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11"/>
          <w:szCs w:val="11"/>
        </w:rPr>
      </w:pPr>
    </w:p>
    <w:p>
      <w:pPr>
        <w:spacing w:line="2580" w:lineRule="exact"/>
        <w:ind w:left="2820"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51"/>
          <w:sz w:val="20"/>
          <w:szCs w:val="20"/>
        </w:rPr>
        <w:drawing>
          <wp:inline distT="0" distB="0" distL="0" distR="0">
            <wp:extent cx="1876552" cy="1638300"/>
            <wp:effectExtent l="0" t="0" r="0" b="0"/>
            <wp:docPr id="1" name="image2.png" descr=""/>
            <wp:cNvGraphicFramePr>
              <a:graphicFrameLocks noChangeAspect="1"/>
            </wp:cNvGraphicFramePr>
            <a:graphic>
              <a:graphicData uri="http://schemas.openxmlformats.org/drawingml/2006/picture">
                <pic:pic>
                  <pic:nvPicPr>
                    <pic:cNvPr id="2" name="image2.png"/>
                    <pic:cNvPicPr/>
                  </pic:nvPicPr>
                  <pic:blipFill>
                    <a:blip r:embed="rId6" cstate="print"/>
                    <a:stretch>
                      <a:fillRect/>
                    </a:stretch>
                  </pic:blipFill>
                  <pic:spPr>
                    <a:xfrm>
                      <a:off x="0" y="0"/>
                      <a:ext cx="1876552" cy="1638300"/>
                    </a:xfrm>
                    <a:prstGeom prst="rect">
                      <a:avLst/>
                    </a:prstGeom>
                  </pic:spPr>
                </pic:pic>
              </a:graphicData>
            </a:graphic>
          </wp:inline>
        </w:drawing>
      </w:r>
      <w:r>
        <w:rPr>
          <w:rFonts w:ascii="Times New Roman" w:hAnsi="Times New Roman" w:cs="Times New Roman" w:eastAsia="Times New Roman" w:hint="default"/>
          <w:position w:val="-51"/>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5"/>
        <w:rPr>
          <w:rFonts w:ascii="Times New Roman" w:hAnsi="Times New Roman" w:cs="Times New Roman" w:eastAsia="Times New Roman" w:hint="default"/>
          <w:sz w:val="26"/>
          <w:szCs w:val="26"/>
        </w:rPr>
      </w:pPr>
    </w:p>
    <w:p>
      <w:pPr>
        <w:spacing w:line="460" w:lineRule="exact" w:before="0"/>
        <w:ind w:left="1721" w:right="3405" w:firstLine="0"/>
        <w:jc w:val="center"/>
        <w:rPr>
          <w:rFonts w:ascii="宋体" w:hAnsi="宋体" w:cs="宋体" w:eastAsia="宋体" w:hint="default"/>
          <w:sz w:val="36"/>
          <w:szCs w:val="36"/>
        </w:rPr>
      </w:pPr>
      <w:r>
        <w:rPr>
          <w:rFonts w:ascii="宋体" w:hAnsi="宋体" w:cs="宋体" w:eastAsia="宋体" w:hint="default"/>
          <w:b/>
          <w:bCs/>
          <w:sz w:val="36"/>
          <w:szCs w:val="36"/>
        </w:rPr>
        <w:t>中嘉博创信息技术股份有限公司</w:t>
      </w:r>
      <w:r>
        <w:rPr>
          <w:rFonts w:ascii="宋体" w:hAnsi="宋体" w:cs="宋体" w:eastAsia="宋体" w:hint="default"/>
          <w:sz w:val="36"/>
          <w:szCs w:val="36"/>
        </w:rPr>
      </w:r>
    </w:p>
    <w:p>
      <w:pPr>
        <w:spacing w:line="240" w:lineRule="auto" w:before="4"/>
        <w:rPr>
          <w:rFonts w:ascii="宋体" w:hAnsi="宋体" w:cs="宋体" w:eastAsia="宋体" w:hint="default"/>
          <w:b/>
          <w:bCs/>
          <w:sz w:val="30"/>
          <w:szCs w:val="30"/>
        </w:rPr>
      </w:pPr>
    </w:p>
    <w:p>
      <w:pPr>
        <w:pStyle w:val="Heading1"/>
        <w:spacing w:line="240" w:lineRule="auto"/>
        <w:ind w:left="1721" w:right="3402"/>
        <w:jc w:val="center"/>
        <w:rPr>
          <w:b w:val="0"/>
          <w:bCs w:val="0"/>
        </w:rPr>
      </w:pPr>
      <w:r>
        <w:rPr>
          <w:rFonts w:ascii="Times New Roman" w:hAnsi="Times New Roman" w:cs="Times New Roman" w:eastAsia="Times New Roman" w:hint="default"/>
        </w:rPr>
        <w:t>2019</w:t>
      </w:r>
      <w:r>
        <w:rPr>
          <w:rFonts w:ascii="Times New Roman" w:hAnsi="Times New Roman" w:cs="Times New Roman" w:eastAsia="Times New Roman" w:hint="default"/>
          <w:spacing w:val="-3"/>
        </w:rPr>
        <w:t> </w:t>
      </w:r>
      <w:r>
        <w:rPr/>
        <w:t>年年度报告</w:t>
      </w:r>
      <w:r>
        <w:rPr>
          <w:b w:val="0"/>
          <w:bCs w:val="0"/>
        </w:rPr>
      </w: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8"/>
        <w:rPr>
          <w:rFonts w:ascii="宋体" w:hAnsi="宋体" w:cs="宋体" w:eastAsia="宋体" w:hint="default"/>
          <w:b/>
          <w:bCs/>
          <w:sz w:val="48"/>
          <w:szCs w:val="48"/>
        </w:rPr>
      </w:pPr>
    </w:p>
    <w:p>
      <w:pPr>
        <w:spacing w:before="0"/>
        <w:ind w:left="1721" w:right="3399" w:firstLine="0"/>
        <w:jc w:val="center"/>
        <w:rPr>
          <w:rFonts w:ascii="宋体" w:hAnsi="宋体" w:cs="宋体" w:eastAsia="宋体" w:hint="default"/>
          <w:sz w:val="32"/>
          <w:szCs w:val="32"/>
        </w:rPr>
      </w:pPr>
      <w:r>
        <w:rPr>
          <w:rFonts w:ascii="Times New Roman" w:hAnsi="Times New Roman" w:cs="Times New Roman" w:eastAsia="Times New Roman" w:hint="default"/>
          <w:b/>
          <w:bCs/>
          <w:sz w:val="32"/>
          <w:szCs w:val="32"/>
        </w:rPr>
        <w:t>2020</w:t>
      </w:r>
      <w:r>
        <w:rPr>
          <w:rFonts w:ascii="Times New Roman" w:hAnsi="Times New Roman" w:cs="Times New Roman" w:eastAsia="Times New Roman" w:hint="default"/>
          <w:b/>
          <w:bCs/>
          <w:spacing w:val="-1"/>
          <w:sz w:val="32"/>
          <w:szCs w:val="32"/>
        </w:rPr>
        <w:t> </w:t>
      </w:r>
      <w:r>
        <w:rPr>
          <w:rFonts w:ascii="宋体" w:hAnsi="宋体" w:cs="宋体" w:eastAsia="宋体" w:hint="default"/>
          <w:b/>
          <w:bCs/>
          <w:sz w:val="32"/>
          <w:szCs w:val="32"/>
        </w:rPr>
        <w:t>年</w:t>
      </w:r>
      <w:r>
        <w:rPr>
          <w:rFonts w:ascii="宋体" w:hAnsi="宋体" w:cs="宋体" w:eastAsia="宋体" w:hint="default"/>
          <w:b/>
          <w:bCs/>
          <w:spacing w:val="-81"/>
          <w:sz w:val="32"/>
          <w:szCs w:val="32"/>
        </w:rPr>
        <w:t> </w:t>
      </w:r>
      <w:r>
        <w:rPr>
          <w:rFonts w:ascii="Times New Roman" w:hAnsi="Times New Roman" w:cs="Times New Roman" w:eastAsia="Times New Roman" w:hint="default"/>
          <w:b/>
          <w:bCs/>
          <w:sz w:val="32"/>
          <w:szCs w:val="32"/>
        </w:rPr>
        <w:t>04</w:t>
      </w:r>
      <w:r>
        <w:rPr>
          <w:rFonts w:ascii="Times New Roman" w:hAnsi="Times New Roman" w:cs="Times New Roman" w:eastAsia="Times New Roman" w:hint="default"/>
          <w:b/>
          <w:bCs/>
          <w:spacing w:val="-1"/>
          <w:sz w:val="32"/>
          <w:szCs w:val="32"/>
        </w:rPr>
        <w:t> </w:t>
      </w:r>
      <w:r>
        <w:rPr>
          <w:rFonts w:ascii="宋体" w:hAnsi="宋体" w:cs="宋体" w:eastAsia="宋体" w:hint="default"/>
          <w:b/>
          <w:bCs/>
          <w:sz w:val="32"/>
          <w:szCs w:val="32"/>
        </w:rPr>
        <w:t>月</w:t>
      </w:r>
      <w:r>
        <w:rPr>
          <w:rFonts w:ascii="宋体" w:hAnsi="宋体" w:cs="宋体" w:eastAsia="宋体" w:hint="default"/>
          <w:sz w:val="32"/>
          <w:szCs w:val="32"/>
        </w:rPr>
      </w:r>
    </w:p>
    <w:p>
      <w:pPr>
        <w:spacing w:after="0"/>
        <w:jc w:val="center"/>
        <w:rPr>
          <w:rFonts w:ascii="宋体" w:hAnsi="宋体" w:cs="宋体" w:eastAsia="宋体" w:hint="default"/>
          <w:sz w:val="32"/>
          <w:szCs w:val="32"/>
        </w:rPr>
        <w:sectPr>
          <w:footerReference w:type="default" r:id="rId5"/>
          <w:type w:val="continuous"/>
          <w:pgSz w:w="11910" w:h="16840"/>
          <w:pgMar w:footer="504" w:top="1580" w:bottom="700" w:left="1680" w:right="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pStyle w:val="Heading1"/>
        <w:tabs>
          <w:tab w:pos="1286" w:val="left" w:leader="none"/>
        </w:tabs>
        <w:spacing w:line="240" w:lineRule="auto" w:before="142"/>
        <w:ind w:right="980"/>
        <w:jc w:val="center"/>
        <w:rPr>
          <w:b w:val="0"/>
          <w:bCs w:val="0"/>
        </w:rPr>
      </w:pPr>
      <w:bookmarkStart w:name="_bookmark0" w:id="1"/>
      <w:bookmarkEnd w:id="1"/>
      <w:r>
        <w:rPr>
          <w:b w:val="0"/>
          <w:bCs w:val="0"/>
        </w:rPr>
      </w:r>
      <w:r>
        <w:rPr>
          <w:w w:val="95"/>
        </w:rPr>
        <w:t>第一章</w:t>
        <w:tab/>
      </w:r>
      <w:r>
        <w:rPr/>
        <w:t>重要提示、目录和释义</w:t>
      </w:r>
      <w:r>
        <w:rPr>
          <w:b w:val="0"/>
          <w:bCs w:val="0"/>
        </w:rPr>
      </w:r>
    </w:p>
    <w:p>
      <w:pPr>
        <w:spacing w:line="240" w:lineRule="auto" w:before="8"/>
        <w:rPr>
          <w:rFonts w:ascii="宋体" w:hAnsi="宋体" w:cs="宋体" w:eastAsia="宋体" w:hint="default"/>
          <w:b/>
          <w:bCs/>
          <w:sz w:val="24"/>
          <w:szCs w:val="24"/>
        </w:rPr>
      </w:pPr>
    </w:p>
    <w:p>
      <w:pPr>
        <w:spacing w:line="352" w:lineRule="auto" w:before="0"/>
        <w:ind w:left="152" w:right="1136" w:firstLine="562"/>
        <w:jc w:val="both"/>
        <w:rPr>
          <w:rFonts w:ascii="宋体" w:hAnsi="宋体" w:cs="宋体" w:eastAsia="宋体" w:hint="default"/>
          <w:sz w:val="28"/>
          <w:szCs w:val="28"/>
        </w:rPr>
      </w:pPr>
      <w:r>
        <w:rPr>
          <w:rFonts w:ascii="宋体" w:hAnsi="宋体" w:cs="宋体" w:eastAsia="宋体" w:hint="default"/>
          <w:b/>
          <w:bCs/>
          <w:spacing w:val="2"/>
          <w:sz w:val="28"/>
          <w:szCs w:val="28"/>
        </w:rPr>
        <w:t>公司董事会、监事会及董事、监事、高级管理人员保证年度报告内容的真</w:t>
      </w:r>
      <w:r>
        <w:rPr>
          <w:rFonts w:ascii="宋体" w:hAnsi="宋体" w:cs="宋体" w:eastAsia="宋体" w:hint="default"/>
          <w:b/>
          <w:bCs/>
          <w:w w:val="99"/>
          <w:sz w:val="28"/>
          <w:szCs w:val="28"/>
        </w:rPr>
        <w:t> </w:t>
      </w:r>
      <w:r>
        <w:rPr>
          <w:rFonts w:ascii="宋体" w:hAnsi="宋体" w:cs="宋体" w:eastAsia="宋体" w:hint="default"/>
          <w:b/>
          <w:bCs/>
          <w:spacing w:val="2"/>
          <w:sz w:val="28"/>
          <w:szCs w:val="28"/>
        </w:rPr>
        <w:t>实、准确、完整，不存在虚假记载、误导性陈述或重大遗漏，并承担个别和连</w:t>
      </w:r>
      <w:r>
        <w:rPr>
          <w:rFonts w:ascii="宋体" w:hAnsi="宋体" w:cs="宋体" w:eastAsia="宋体" w:hint="default"/>
          <w:b/>
          <w:bCs/>
          <w:w w:val="99"/>
          <w:sz w:val="28"/>
          <w:szCs w:val="28"/>
        </w:rPr>
        <w:t> </w:t>
      </w:r>
      <w:r>
        <w:rPr>
          <w:rFonts w:ascii="宋体" w:hAnsi="宋体" w:cs="宋体" w:eastAsia="宋体" w:hint="default"/>
          <w:b/>
          <w:bCs/>
          <w:sz w:val="28"/>
          <w:szCs w:val="28"/>
        </w:rPr>
        <w:t>带的法律责任。</w:t>
      </w:r>
      <w:r>
        <w:rPr>
          <w:rFonts w:ascii="宋体" w:hAnsi="宋体" w:cs="宋体" w:eastAsia="宋体" w:hint="default"/>
          <w:sz w:val="28"/>
          <w:szCs w:val="28"/>
        </w:rPr>
      </w:r>
    </w:p>
    <w:p>
      <w:pPr>
        <w:spacing w:line="333" w:lineRule="auto" w:before="42"/>
        <w:ind w:left="152" w:right="1131" w:firstLine="562"/>
        <w:jc w:val="both"/>
        <w:rPr>
          <w:rFonts w:ascii="宋体" w:hAnsi="宋体" w:cs="宋体" w:eastAsia="宋体" w:hint="default"/>
          <w:sz w:val="28"/>
          <w:szCs w:val="28"/>
        </w:rPr>
      </w:pPr>
      <w:r>
        <w:rPr>
          <w:rFonts w:ascii="宋体" w:hAnsi="宋体" w:cs="宋体" w:eastAsia="宋体" w:hint="default"/>
          <w:b/>
          <w:bCs/>
          <w:w w:val="95"/>
          <w:sz w:val="28"/>
          <w:szCs w:val="28"/>
        </w:rPr>
        <w:t>公司负责人吴鹰、主管会计工作负责人李鹏宇及会计机构负责人</w:t>
      </w:r>
      <w:r>
        <w:rPr>
          <w:rFonts w:ascii="Times New Roman" w:hAnsi="Times New Roman" w:cs="Times New Roman" w:eastAsia="Times New Roman" w:hint="default"/>
          <w:b/>
          <w:bCs/>
          <w:w w:val="95"/>
          <w:sz w:val="28"/>
          <w:szCs w:val="28"/>
        </w:rPr>
        <w:t>(</w:t>
      </w:r>
      <w:r>
        <w:rPr>
          <w:rFonts w:ascii="宋体" w:hAnsi="宋体" w:cs="宋体" w:eastAsia="宋体" w:hint="default"/>
          <w:b/>
          <w:bCs/>
          <w:w w:val="95"/>
          <w:sz w:val="28"/>
          <w:szCs w:val="28"/>
        </w:rPr>
        <w:t>会计主管</w:t>
      </w:r>
      <w:r>
        <w:rPr>
          <w:rFonts w:ascii="宋体" w:hAnsi="宋体" w:cs="宋体" w:eastAsia="宋体" w:hint="default"/>
          <w:b/>
          <w:bCs/>
          <w:w w:val="99"/>
          <w:sz w:val="28"/>
          <w:szCs w:val="28"/>
        </w:rPr>
        <w:t> </w:t>
      </w:r>
      <w:r>
        <w:rPr>
          <w:rFonts w:ascii="宋体" w:hAnsi="宋体" w:cs="宋体" w:eastAsia="宋体" w:hint="default"/>
          <w:b/>
          <w:bCs/>
          <w:sz w:val="28"/>
          <w:szCs w:val="28"/>
        </w:rPr>
        <w:t>人员</w:t>
      </w:r>
      <w:r>
        <w:rPr>
          <w:rFonts w:ascii="Times New Roman" w:hAnsi="Times New Roman" w:cs="Times New Roman" w:eastAsia="Times New Roman" w:hint="default"/>
          <w:b/>
          <w:bCs/>
          <w:sz w:val="28"/>
          <w:szCs w:val="28"/>
        </w:rPr>
        <w:t>)</w:t>
      </w:r>
      <w:r>
        <w:rPr>
          <w:rFonts w:ascii="宋体" w:hAnsi="宋体" w:cs="宋体" w:eastAsia="宋体" w:hint="default"/>
          <w:b/>
          <w:bCs/>
          <w:sz w:val="28"/>
          <w:szCs w:val="28"/>
        </w:rPr>
        <w:t>张雷声明：保证年度报告中财务报告的真实、准确、完整。</w:t>
      </w:r>
      <w:r>
        <w:rPr>
          <w:rFonts w:ascii="宋体" w:hAnsi="宋体" w:cs="宋体" w:eastAsia="宋体" w:hint="default"/>
          <w:sz w:val="28"/>
          <w:szCs w:val="28"/>
        </w:rPr>
      </w:r>
    </w:p>
    <w:p>
      <w:pPr>
        <w:spacing w:line="352" w:lineRule="auto" w:before="32"/>
        <w:ind w:left="714" w:right="1133" w:firstLine="0"/>
        <w:jc w:val="left"/>
        <w:rPr>
          <w:rFonts w:ascii="宋体" w:hAnsi="宋体" w:cs="宋体" w:eastAsia="宋体" w:hint="default"/>
          <w:sz w:val="28"/>
          <w:szCs w:val="28"/>
        </w:rPr>
      </w:pPr>
      <w:r>
        <w:rPr>
          <w:rFonts w:ascii="宋体" w:hAnsi="宋体" w:cs="宋体" w:eastAsia="宋体" w:hint="default"/>
          <w:b/>
          <w:bCs/>
          <w:sz w:val="28"/>
          <w:szCs w:val="28"/>
        </w:rPr>
        <w:t>所有董事均已出席了审议本报告的董事会会议。</w:t>
      </w:r>
      <w:r>
        <w:rPr>
          <w:rFonts w:ascii="宋体" w:hAnsi="宋体" w:cs="宋体" w:eastAsia="宋体" w:hint="default"/>
          <w:b/>
          <w:bCs/>
          <w:w w:val="99"/>
          <w:sz w:val="28"/>
          <w:szCs w:val="28"/>
        </w:rPr>
        <w:t> </w:t>
      </w:r>
      <w:r>
        <w:rPr>
          <w:rFonts w:ascii="宋体" w:hAnsi="宋体" w:cs="宋体" w:eastAsia="宋体" w:hint="default"/>
          <w:b/>
          <w:bCs/>
          <w:spacing w:val="2"/>
          <w:sz w:val="28"/>
          <w:szCs w:val="28"/>
        </w:rPr>
        <w:t>公司年度报告涉及未来计划等前瞻性陈述，同时附有相应的警示性陈述，</w:t>
      </w:r>
      <w:r>
        <w:rPr>
          <w:rFonts w:ascii="宋体" w:hAnsi="宋体" w:cs="宋体" w:eastAsia="宋体" w:hint="default"/>
          <w:spacing w:val="2"/>
          <w:sz w:val="28"/>
          <w:szCs w:val="28"/>
        </w:rPr>
      </w:r>
    </w:p>
    <w:p>
      <w:pPr>
        <w:spacing w:line="352" w:lineRule="auto" w:before="42"/>
        <w:ind w:left="152" w:right="1141" w:firstLine="0"/>
        <w:jc w:val="both"/>
        <w:rPr>
          <w:rFonts w:ascii="宋体" w:hAnsi="宋体" w:cs="宋体" w:eastAsia="宋体" w:hint="default"/>
          <w:sz w:val="28"/>
          <w:szCs w:val="28"/>
        </w:rPr>
      </w:pPr>
      <w:r>
        <w:rPr>
          <w:rFonts w:ascii="宋体" w:hAnsi="宋体" w:cs="宋体" w:eastAsia="宋体" w:hint="default"/>
          <w:b/>
          <w:bCs/>
          <w:spacing w:val="2"/>
          <w:sz w:val="28"/>
          <w:szCs w:val="28"/>
        </w:rPr>
        <w:t>公司声明：该计划不构成公司对投资者的实质承诺，投资者及相关人士均应当</w:t>
      </w:r>
      <w:r>
        <w:rPr>
          <w:rFonts w:ascii="宋体" w:hAnsi="宋体" w:cs="宋体" w:eastAsia="宋体" w:hint="default"/>
          <w:b/>
          <w:bCs/>
          <w:w w:val="99"/>
          <w:sz w:val="28"/>
          <w:szCs w:val="28"/>
        </w:rPr>
        <w:t> </w:t>
      </w:r>
      <w:r>
        <w:rPr>
          <w:rFonts w:ascii="宋体" w:hAnsi="宋体" w:cs="宋体" w:eastAsia="宋体" w:hint="default"/>
          <w:b/>
          <w:bCs/>
          <w:sz w:val="28"/>
          <w:szCs w:val="28"/>
        </w:rPr>
        <w:t>对此保持足够的风险认识，并且应当理解计划、预测与承诺之间的差异。</w:t>
      </w:r>
      <w:r>
        <w:rPr>
          <w:rFonts w:ascii="宋体" w:hAnsi="宋体" w:cs="宋体" w:eastAsia="宋体" w:hint="default"/>
          <w:sz w:val="28"/>
          <w:szCs w:val="28"/>
        </w:rPr>
      </w:r>
    </w:p>
    <w:p>
      <w:pPr>
        <w:spacing w:line="348" w:lineRule="auto" w:before="42"/>
        <w:ind w:left="152" w:right="1131" w:firstLine="562"/>
        <w:jc w:val="both"/>
        <w:rPr>
          <w:rFonts w:ascii="宋体" w:hAnsi="宋体" w:cs="宋体" w:eastAsia="宋体" w:hint="default"/>
          <w:sz w:val="28"/>
          <w:szCs w:val="28"/>
        </w:rPr>
      </w:pPr>
      <w:r>
        <w:rPr>
          <w:rFonts w:ascii="宋体" w:hAnsi="宋体" w:cs="宋体" w:eastAsia="宋体" w:hint="default"/>
          <w:b/>
          <w:bCs/>
          <w:spacing w:val="2"/>
          <w:sz w:val="28"/>
          <w:szCs w:val="28"/>
        </w:rPr>
        <w:t>本公司请投资者认真阅读本年度报告全文，并特别注意下列风险因素：公</w:t>
      </w:r>
      <w:r>
        <w:rPr>
          <w:rFonts w:ascii="宋体" w:hAnsi="宋体" w:cs="宋体" w:eastAsia="宋体" w:hint="default"/>
          <w:b/>
          <w:bCs/>
          <w:w w:val="99"/>
          <w:sz w:val="28"/>
          <w:szCs w:val="28"/>
        </w:rPr>
        <w:t> </w:t>
      </w:r>
      <w:r>
        <w:rPr>
          <w:rFonts w:ascii="宋体" w:hAnsi="宋体" w:cs="宋体" w:eastAsia="宋体" w:hint="default"/>
          <w:b/>
          <w:bCs/>
          <w:spacing w:val="2"/>
          <w:sz w:val="28"/>
          <w:szCs w:val="28"/>
        </w:rPr>
        <w:t>司面对的风险包括可能的商誉减值风险因素、信息服务的客户集中度上升、流</w:t>
      </w:r>
      <w:r>
        <w:rPr>
          <w:rFonts w:ascii="宋体" w:hAnsi="宋体" w:cs="宋体" w:eastAsia="宋体" w:hint="default"/>
          <w:b/>
          <w:bCs/>
          <w:w w:val="99"/>
          <w:sz w:val="28"/>
          <w:szCs w:val="28"/>
        </w:rPr>
        <w:t> </w:t>
      </w:r>
      <w:r>
        <w:rPr>
          <w:rFonts w:ascii="宋体" w:hAnsi="宋体" w:cs="宋体" w:eastAsia="宋体" w:hint="default"/>
          <w:b/>
          <w:bCs/>
          <w:spacing w:val="2"/>
          <w:sz w:val="28"/>
          <w:szCs w:val="28"/>
        </w:rPr>
        <w:t>失及新技术替代的风险因素、业绩承诺实现风险、通信网络维护的技术竞争和</w:t>
      </w:r>
      <w:r>
        <w:rPr>
          <w:rFonts w:ascii="宋体" w:hAnsi="宋体" w:cs="宋体" w:eastAsia="宋体" w:hint="default"/>
          <w:b/>
          <w:bCs/>
          <w:w w:val="99"/>
          <w:sz w:val="28"/>
          <w:szCs w:val="28"/>
        </w:rPr>
        <w:t> </w:t>
      </w:r>
      <w:r>
        <w:rPr>
          <w:rFonts w:ascii="宋体" w:hAnsi="宋体" w:cs="宋体" w:eastAsia="宋体" w:hint="default"/>
          <w:b/>
          <w:bCs/>
          <w:spacing w:val="-2"/>
          <w:sz w:val="28"/>
          <w:szCs w:val="28"/>
        </w:rPr>
        <w:t>客户依赖等风险因素，有关内容可阅读本年报第四章第三节</w:t>
      </w:r>
      <w:r>
        <w:rPr>
          <w:rFonts w:ascii="Times New Roman" w:hAnsi="Times New Roman" w:cs="Times New Roman" w:eastAsia="Times New Roman" w:hint="default"/>
          <w:b/>
          <w:bCs/>
          <w:spacing w:val="-2"/>
          <w:sz w:val="28"/>
          <w:szCs w:val="28"/>
        </w:rPr>
        <w:t>“</w:t>
      </w:r>
      <w:r>
        <w:rPr>
          <w:rFonts w:ascii="宋体" w:hAnsi="宋体" w:cs="宋体" w:eastAsia="宋体" w:hint="default"/>
          <w:b/>
          <w:bCs/>
          <w:spacing w:val="-2"/>
          <w:sz w:val="28"/>
          <w:szCs w:val="28"/>
        </w:rPr>
        <w:t>四、可能面对的风</w:t>
      </w:r>
      <w:r>
        <w:rPr>
          <w:rFonts w:ascii="宋体" w:hAnsi="宋体" w:cs="宋体" w:eastAsia="宋体" w:hint="default"/>
          <w:b/>
          <w:bCs/>
          <w:spacing w:val="-132"/>
          <w:sz w:val="28"/>
          <w:szCs w:val="28"/>
        </w:rPr>
        <w:t> </w:t>
      </w:r>
      <w:r>
        <w:rPr>
          <w:rFonts w:ascii="宋体" w:hAnsi="宋体" w:cs="宋体" w:eastAsia="宋体" w:hint="default"/>
          <w:b/>
          <w:bCs/>
          <w:spacing w:val="-132"/>
          <w:sz w:val="28"/>
          <w:szCs w:val="28"/>
        </w:rPr>
      </w:r>
      <w:r>
        <w:rPr>
          <w:rFonts w:ascii="宋体" w:hAnsi="宋体" w:cs="宋体" w:eastAsia="宋体" w:hint="default"/>
          <w:b/>
          <w:bCs/>
          <w:sz w:val="28"/>
          <w:szCs w:val="28"/>
        </w:rPr>
        <w:t>险</w:t>
      </w:r>
      <w:r>
        <w:rPr>
          <w:rFonts w:ascii="Times New Roman" w:hAnsi="Times New Roman" w:cs="Times New Roman" w:eastAsia="Times New Roman" w:hint="default"/>
          <w:b/>
          <w:bCs/>
          <w:sz w:val="28"/>
          <w:szCs w:val="28"/>
        </w:rPr>
        <w:t>”</w:t>
      </w:r>
      <w:r>
        <w:rPr>
          <w:rFonts w:ascii="宋体" w:hAnsi="宋体" w:cs="宋体" w:eastAsia="宋体" w:hint="default"/>
          <w:b/>
          <w:bCs/>
          <w:sz w:val="28"/>
          <w:szCs w:val="28"/>
        </w:rPr>
        <w:t>部分。</w:t>
      </w:r>
      <w:r>
        <w:rPr>
          <w:rFonts w:ascii="宋体" w:hAnsi="宋体" w:cs="宋体" w:eastAsia="宋体" w:hint="default"/>
          <w:sz w:val="28"/>
          <w:szCs w:val="28"/>
        </w:rPr>
      </w:r>
    </w:p>
    <w:p>
      <w:pPr>
        <w:spacing w:before="13"/>
        <w:ind w:left="714" w:right="819" w:firstLine="0"/>
        <w:jc w:val="left"/>
        <w:rPr>
          <w:rFonts w:ascii="宋体" w:hAnsi="宋体" w:cs="宋体" w:eastAsia="宋体" w:hint="default"/>
          <w:sz w:val="28"/>
          <w:szCs w:val="28"/>
        </w:rPr>
      </w:pPr>
      <w:r>
        <w:rPr>
          <w:rFonts w:ascii="宋体" w:hAnsi="宋体" w:cs="宋体" w:eastAsia="宋体" w:hint="default"/>
          <w:b/>
          <w:bCs/>
          <w:spacing w:val="-3"/>
          <w:sz w:val="28"/>
          <w:szCs w:val="28"/>
        </w:rPr>
        <w:t>公司经本次董事会审议通过的利润分配预案为：以</w:t>
      </w:r>
      <w:r>
        <w:rPr>
          <w:rFonts w:ascii="宋体" w:hAnsi="宋体" w:cs="宋体" w:eastAsia="宋体" w:hint="default"/>
          <w:b/>
          <w:bCs/>
          <w:spacing w:val="-71"/>
          <w:sz w:val="28"/>
          <w:szCs w:val="28"/>
        </w:rPr>
        <w:t> </w:t>
      </w:r>
      <w:r>
        <w:rPr>
          <w:rFonts w:ascii="Times New Roman" w:hAnsi="Times New Roman" w:cs="Times New Roman" w:eastAsia="Times New Roman" w:hint="default"/>
          <w:b/>
          <w:bCs/>
          <w:sz w:val="28"/>
          <w:szCs w:val="28"/>
        </w:rPr>
        <w:t>2019 </w:t>
      </w:r>
      <w:r>
        <w:rPr>
          <w:rFonts w:ascii="宋体" w:hAnsi="宋体" w:cs="宋体" w:eastAsia="宋体" w:hint="default"/>
          <w:b/>
          <w:bCs/>
          <w:sz w:val="28"/>
          <w:szCs w:val="28"/>
        </w:rPr>
        <w:t>年</w:t>
      </w:r>
      <w:r>
        <w:rPr>
          <w:rFonts w:ascii="宋体" w:hAnsi="宋体" w:cs="宋体" w:eastAsia="宋体" w:hint="default"/>
          <w:b/>
          <w:bCs/>
          <w:spacing w:val="-69"/>
          <w:sz w:val="28"/>
          <w:szCs w:val="28"/>
        </w:rPr>
        <w:t> </w:t>
      </w:r>
      <w:r>
        <w:rPr>
          <w:rFonts w:ascii="Times New Roman" w:hAnsi="Times New Roman" w:cs="Times New Roman" w:eastAsia="Times New Roman" w:hint="default"/>
          <w:b/>
          <w:bCs/>
          <w:sz w:val="28"/>
          <w:szCs w:val="28"/>
        </w:rPr>
        <w:t>12</w:t>
      </w:r>
      <w:r>
        <w:rPr>
          <w:rFonts w:ascii="Times New Roman" w:hAnsi="Times New Roman" w:cs="Times New Roman" w:eastAsia="Times New Roman" w:hint="default"/>
          <w:b/>
          <w:bCs/>
          <w:spacing w:val="1"/>
          <w:sz w:val="28"/>
          <w:szCs w:val="28"/>
        </w:rPr>
        <w:t> </w:t>
      </w:r>
      <w:r>
        <w:rPr>
          <w:rFonts w:ascii="宋体" w:hAnsi="宋体" w:cs="宋体" w:eastAsia="宋体" w:hint="default"/>
          <w:b/>
          <w:bCs/>
          <w:sz w:val="28"/>
          <w:szCs w:val="28"/>
        </w:rPr>
        <w:t>月</w:t>
      </w:r>
      <w:r>
        <w:rPr>
          <w:rFonts w:ascii="宋体" w:hAnsi="宋体" w:cs="宋体" w:eastAsia="宋体" w:hint="default"/>
          <w:b/>
          <w:bCs/>
          <w:spacing w:val="-70"/>
          <w:sz w:val="28"/>
          <w:szCs w:val="28"/>
        </w:rPr>
        <w:t> </w:t>
      </w:r>
      <w:r>
        <w:rPr>
          <w:rFonts w:ascii="Times New Roman" w:hAnsi="Times New Roman" w:cs="Times New Roman" w:eastAsia="Times New Roman" w:hint="default"/>
          <w:b/>
          <w:bCs/>
          <w:sz w:val="28"/>
          <w:szCs w:val="28"/>
        </w:rPr>
        <w:t>31</w:t>
      </w:r>
      <w:r>
        <w:rPr>
          <w:rFonts w:ascii="Times New Roman" w:hAnsi="Times New Roman" w:cs="Times New Roman" w:eastAsia="Times New Roman" w:hint="default"/>
          <w:b/>
          <w:bCs/>
          <w:spacing w:val="-1"/>
          <w:sz w:val="28"/>
          <w:szCs w:val="28"/>
        </w:rPr>
        <w:t> </w:t>
      </w:r>
      <w:r>
        <w:rPr>
          <w:rFonts w:ascii="宋体" w:hAnsi="宋体" w:cs="宋体" w:eastAsia="宋体" w:hint="default"/>
          <w:b/>
          <w:bCs/>
          <w:sz w:val="28"/>
          <w:szCs w:val="28"/>
        </w:rPr>
        <w:t>日的公</w:t>
      </w:r>
      <w:r>
        <w:rPr>
          <w:rFonts w:ascii="宋体" w:hAnsi="宋体" w:cs="宋体" w:eastAsia="宋体" w:hint="default"/>
          <w:sz w:val="28"/>
          <w:szCs w:val="28"/>
        </w:rPr>
      </w:r>
    </w:p>
    <w:p>
      <w:pPr>
        <w:spacing w:before="152"/>
        <w:ind w:left="152" w:right="0" w:firstLine="0"/>
        <w:jc w:val="both"/>
        <w:rPr>
          <w:rFonts w:ascii="宋体" w:hAnsi="宋体" w:cs="宋体" w:eastAsia="宋体" w:hint="default"/>
          <w:sz w:val="28"/>
          <w:szCs w:val="28"/>
        </w:rPr>
      </w:pPr>
      <w:r>
        <w:rPr>
          <w:rFonts w:ascii="宋体" w:hAnsi="宋体" w:cs="宋体" w:eastAsia="宋体" w:hint="default"/>
          <w:b/>
          <w:bCs/>
          <w:sz w:val="28"/>
          <w:szCs w:val="28"/>
        </w:rPr>
        <w:t>司总股本</w:t>
      </w:r>
      <w:r>
        <w:rPr>
          <w:rFonts w:ascii="宋体" w:hAnsi="宋体" w:cs="宋体" w:eastAsia="宋体" w:hint="default"/>
          <w:b/>
          <w:bCs/>
          <w:spacing w:val="-56"/>
          <w:sz w:val="28"/>
          <w:szCs w:val="28"/>
        </w:rPr>
        <w:t> </w:t>
      </w:r>
      <w:r>
        <w:rPr>
          <w:rFonts w:ascii="Times New Roman" w:hAnsi="Times New Roman" w:cs="Times New Roman" w:eastAsia="Times New Roman" w:hint="default"/>
          <w:b/>
          <w:bCs/>
          <w:sz w:val="28"/>
          <w:szCs w:val="28"/>
        </w:rPr>
        <w:t>669,101,883</w:t>
      </w:r>
      <w:r>
        <w:rPr>
          <w:rFonts w:ascii="Times New Roman" w:hAnsi="Times New Roman" w:cs="Times New Roman" w:eastAsia="Times New Roman" w:hint="default"/>
          <w:b/>
          <w:bCs/>
          <w:spacing w:val="12"/>
          <w:sz w:val="28"/>
          <w:szCs w:val="28"/>
        </w:rPr>
        <w:t> </w:t>
      </w:r>
      <w:r>
        <w:rPr>
          <w:rFonts w:ascii="宋体" w:hAnsi="宋体" w:cs="宋体" w:eastAsia="宋体" w:hint="default"/>
          <w:b/>
          <w:bCs/>
          <w:sz w:val="28"/>
          <w:szCs w:val="28"/>
        </w:rPr>
        <w:t>股扣除已回购股份</w:t>
      </w:r>
      <w:r>
        <w:rPr>
          <w:rFonts w:ascii="宋体" w:hAnsi="宋体" w:cs="宋体" w:eastAsia="宋体" w:hint="default"/>
          <w:b/>
          <w:bCs/>
          <w:spacing w:val="-58"/>
          <w:sz w:val="28"/>
          <w:szCs w:val="28"/>
        </w:rPr>
        <w:t> </w:t>
      </w:r>
      <w:r>
        <w:rPr>
          <w:rFonts w:ascii="Times New Roman" w:hAnsi="Times New Roman" w:cs="Times New Roman" w:eastAsia="Times New Roman" w:hint="default"/>
          <w:b/>
          <w:bCs/>
          <w:sz w:val="28"/>
          <w:szCs w:val="28"/>
        </w:rPr>
        <w:t>1,128,800</w:t>
      </w:r>
      <w:r>
        <w:rPr>
          <w:rFonts w:ascii="Times New Roman" w:hAnsi="Times New Roman" w:cs="Times New Roman" w:eastAsia="Times New Roman" w:hint="default"/>
          <w:b/>
          <w:bCs/>
          <w:spacing w:val="12"/>
          <w:sz w:val="28"/>
          <w:szCs w:val="28"/>
        </w:rPr>
        <w:t> </w:t>
      </w:r>
      <w:r>
        <w:rPr>
          <w:rFonts w:ascii="宋体" w:hAnsi="宋体" w:cs="宋体" w:eastAsia="宋体" w:hint="default"/>
          <w:b/>
          <w:bCs/>
          <w:sz w:val="28"/>
          <w:szCs w:val="28"/>
        </w:rPr>
        <w:t>股后的</w:t>
      </w:r>
      <w:r>
        <w:rPr>
          <w:rFonts w:ascii="宋体" w:hAnsi="宋体" w:cs="宋体" w:eastAsia="宋体" w:hint="default"/>
          <w:b/>
          <w:bCs/>
          <w:spacing w:val="-59"/>
          <w:sz w:val="28"/>
          <w:szCs w:val="28"/>
        </w:rPr>
        <w:t> </w:t>
      </w:r>
      <w:r>
        <w:rPr>
          <w:rFonts w:ascii="Times New Roman" w:hAnsi="Times New Roman" w:cs="Times New Roman" w:eastAsia="Times New Roman" w:hint="default"/>
          <w:b/>
          <w:bCs/>
          <w:sz w:val="28"/>
          <w:szCs w:val="28"/>
        </w:rPr>
        <w:t>667,973,083</w:t>
      </w:r>
      <w:r>
        <w:rPr>
          <w:rFonts w:ascii="Times New Roman" w:hAnsi="Times New Roman" w:cs="Times New Roman" w:eastAsia="Times New Roman" w:hint="default"/>
          <w:b/>
          <w:bCs/>
          <w:spacing w:val="14"/>
          <w:sz w:val="28"/>
          <w:szCs w:val="28"/>
        </w:rPr>
        <w:t> </w:t>
      </w:r>
      <w:r>
        <w:rPr>
          <w:rFonts w:ascii="宋体" w:hAnsi="宋体" w:cs="宋体" w:eastAsia="宋体" w:hint="default"/>
          <w:b/>
          <w:bCs/>
          <w:sz w:val="28"/>
          <w:szCs w:val="28"/>
        </w:rPr>
        <w:t>为基数，</w:t>
      </w:r>
      <w:r>
        <w:rPr>
          <w:rFonts w:ascii="宋体" w:hAnsi="宋体" w:cs="宋体" w:eastAsia="宋体" w:hint="default"/>
          <w:sz w:val="28"/>
          <w:szCs w:val="28"/>
        </w:rPr>
      </w:r>
    </w:p>
    <w:p>
      <w:pPr>
        <w:spacing w:line="343" w:lineRule="auto" w:before="152"/>
        <w:ind w:left="152" w:right="1132" w:firstLine="0"/>
        <w:jc w:val="both"/>
        <w:rPr>
          <w:rFonts w:ascii="宋体" w:hAnsi="宋体" w:cs="宋体" w:eastAsia="宋体" w:hint="default"/>
          <w:sz w:val="28"/>
          <w:szCs w:val="28"/>
        </w:rPr>
      </w:pPr>
      <w:r>
        <w:rPr>
          <w:rFonts w:ascii="宋体" w:hAnsi="宋体" w:cs="宋体" w:eastAsia="宋体" w:hint="default"/>
          <w:b/>
          <w:bCs/>
          <w:sz w:val="28"/>
          <w:szCs w:val="28"/>
        </w:rPr>
        <w:t>以资本公积金向全体股东每</w:t>
      </w:r>
      <w:r>
        <w:rPr>
          <w:rFonts w:ascii="宋体" w:hAnsi="宋体" w:cs="宋体" w:eastAsia="宋体" w:hint="default"/>
          <w:b/>
          <w:bCs/>
          <w:spacing w:val="-70"/>
          <w:sz w:val="28"/>
          <w:szCs w:val="28"/>
        </w:rPr>
        <w:t> </w:t>
      </w:r>
      <w:r>
        <w:rPr>
          <w:rFonts w:ascii="Times New Roman" w:hAnsi="Times New Roman" w:cs="Times New Roman" w:eastAsia="Times New Roman" w:hint="default"/>
          <w:b/>
          <w:bCs/>
          <w:sz w:val="28"/>
          <w:szCs w:val="28"/>
        </w:rPr>
        <w:t>10</w:t>
      </w:r>
      <w:r>
        <w:rPr>
          <w:rFonts w:ascii="Times New Roman" w:hAnsi="Times New Roman" w:cs="Times New Roman" w:eastAsia="Times New Roman" w:hint="default"/>
          <w:b/>
          <w:bCs/>
          <w:spacing w:val="-1"/>
          <w:sz w:val="28"/>
          <w:szCs w:val="28"/>
        </w:rPr>
        <w:t> </w:t>
      </w:r>
      <w:r>
        <w:rPr>
          <w:rFonts w:ascii="宋体" w:hAnsi="宋体" w:cs="宋体" w:eastAsia="宋体" w:hint="default"/>
          <w:b/>
          <w:bCs/>
          <w:sz w:val="28"/>
          <w:szCs w:val="28"/>
        </w:rPr>
        <w:t>股转增</w:t>
      </w:r>
      <w:r>
        <w:rPr>
          <w:rFonts w:ascii="宋体" w:hAnsi="宋体" w:cs="宋体" w:eastAsia="宋体" w:hint="default"/>
          <w:b/>
          <w:bCs/>
          <w:spacing w:val="1"/>
          <w:sz w:val="28"/>
          <w:szCs w:val="28"/>
        </w:rPr>
        <w:t> </w:t>
      </w:r>
      <w:r>
        <w:rPr>
          <w:rFonts w:ascii="Times New Roman" w:hAnsi="Times New Roman" w:cs="Times New Roman" w:eastAsia="Times New Roman" w:hint="default"/>
          <w:b/>
          <w:bCs/>
          <w:sz w:val="28"/>
          <w:szCs w:val="28"/>
        </w:rPr>
        <w:t>4</w:t>
      </w:r>
      <w:r>
        <w:rPr>
          <w:rFonts w:ascii="Times New Roman" w:hAnsi="Times New Roman" w:cs="Times New Roman" w:eastAsia="Times New Roman" w:hint="default"/>
          <w:b/>
          <w:bCs/>
          <w:spacing w:val="1"/>
          <w:sz w:val="28"/>
          <w:szCs w:val="28"/>
        </w:rPr>
        <w:t> </w:t>
      </w:r>
      <w:r>
        <w:rPr>
          <w:rFonts w:ascii="宋体" w:hAnsi="宋体" w:cs="宋体" w:eastAsia="宋体" w:hint="default"/>
          <w:b/>
          <w:bCs/>
          <w:spacing w:val="-8"/>
          <w:sz w:val="28"/>
          <w:szCs w:val="28"/>
        </w:rPr>
        <w:t>股，不派发现金红利，不送红股。如本</w:t>
      </w:r>
      <w:r>
        <w:rPr>
          <w:rFonts w:ascii="宋体" w:hAnsi="宋体" w:cs="宋体" w:eastAsia="宋体" w:hint="default"/>
          <w:b/>
          <w:bCs/>
          <w:w w:val="99"/>
          <w:sz w:val="28"/>
          <w:szCs w:val="28"/>
        </w:rPr>
        <w:t> </w:t>
      </w:r>
      <w:r>
        <w:rPr>
          <w:rFonts w:ascii="宋体" w:hAnsi="宋体" w:cs="宋体" w:eastAsia="宋体" w:hint="default"/>
          <w:b/>
          <w:bCs/>
          <w:spacing w:val="2"/>
          <w:sz w:val="28"/>
          <w:szCs w:val="28"/>
        </w:rPr>
        <w:t>次资本公积金转增股本预案经董事会、股东大会审议通过后至实施前公司总股</w:t>
      </w:r>
      <w:r>
        <w:rPr>
          <w:rFonts w:ascii="宋体" w:hAnsi="宋体" w:cs="宋体" w:eastAsia="宋体" w:hint="default"/>
          <w:b/>
          <w:bCs/>
          <w:w w:val="99"/>
          <w:sz w:val="28"/>
          <w:szCs w:val="28"/>
        </w:rPr>
        <w:t> </w:t>
      </w:r>
      <w:r>
        <w:rPr>
          <w:rFonts w:ascii="宋体" w:hAnsi="宋体" w:cs="宋体" w:eastAsia="宋体" w:hint="default"/>
          <w:b/>
          <w:bCs/>
          <w:sz w:val="28"/>
          <w:szCs w:val="28"/>
        </w:rPr>
        <w:t>本发生变动，将按照现有分配比例不变的原则对分配总额进行调整。</w:t>
      </w:r>
      <w:r>
        <w:rPr>
          <w:rFonts w:ascii="宋体" w:hAnsi="宋体" w:cs="宋体" w:eastAsia="宋体" w:hint="default"/>
          <w:sz w:val="28"/>
          <w:szCs w:val="28"/>
        </w:rPr>
      </w:r>
    </w:p>
    <w:p>
      <w:pPr>
        <w:spacing w:after="0" w:line="343" w:lineRule="auto"/>
        <w:jc w:val="both"/>
        <w:rPr>
          <w:rFonts w:ascii="宋体" w:hAnsi="宋体" w:cs="宋体" w:eastAsia="宋体" w:hint="default"/>
          <w:sz w:val="28"/>
          <w:szCs w:val="28"/>
        </w:rPr>
        <w:sectPr>
          <w:headerReference w:type="default" r:id="rId7"/>
          <w:footerReference w:type="default" r:id="rId8"/>
          <w:pgSz w:w="11910" w:h="16840"/>
          <w:pgMar w:header="880" w:footer="975" w:top="1100" w:bottom="1160" w:left="980" w:right="0"/>
          <w:pgNumType w:start="1"/>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9"/>
          <w:szCs w:val="29"/>
        </w:rPr>
      </w:pPr>
    </w:p>
    <w:p>
      <w:pPr>
        <w:tabs>
          <w:tab w:pos="724" w:val="left" w:leader="none"/>
        </w:tabs>
        <w:spacing w:line="460" w:lineRule="exact" w:before="0"/>
        <w:ind w:left="0" w:right="978" w:firstLine="0"/>
        <w:jc w:val="center"/>
        <w:rPr>
          <w:rFonts w:ascii="宋体" w:hAnsi="宋体" w:cs="宋体" w:eastAsia="宋体" w:hint="default"/>
          <w:sz w:val="36"/>
          <w:szCs w:val="36"/>
        </w:rPr>
      </w:pPr>
      <w:r>
        <w:rPr>
          <w:rFonts w:ascii="宋体" w:hAnsi="宋体" w:cs="宋体" w:eastAsia="宋体" w:hint="default"/>
          <w:b/>
          <w:bCs/>
          <w:w w:val="95"/>
          <w:sz w:val="36"/>
          <w:szCs w:val="36"/>
        </w:rPr>
        <w:t>目</w:t>
        <w:tab/>
      </w:r>
      <w:r>
        <w:rPr>
          <w:rFonts w:ascii="宋体" w:hAnsi="宋体" w:cs="宋体" w:eastAsia="宋体" w:hint="default"/>
          <w:b/>
          <w:bCs/>
          <w:sz w:val="36"/>
          <w:szCs w:val="36"/>
        </w:rPr>
        <w:t>录</w:t>
      </w:r>
      <w:r>
        <w:rPr>
          <w:rFonts w:ascii="宋体" w:hAnsi="宋体" w:cs="宋体" w:eastAsia="宋体" w:hint="default"/>
          <w:sz w:val="36"/>
          <w:szCs w:val="36"/>
        </w:rPr>
      </w:r>
    </w:p>
    <w:p>
      <w:pPr>
        <w:spacing w:line="240" w:lineRule="auto" w:before="0"/>
        <w:rPr>
          <w:rFonts w:ascii="宋体" w:hAnsi="宋体" w:cs="宋体" w:eastAsia="宋体" w:hint="default"/>
          <w:b/>
          <w:bCs/>
          <w:sz w:val="36"/>
          <w:szCs w:val="36"/>
        </w:rPr>
      </w:pPr>
    </w:p>
    <w:p>
      <w:pPr>
        <w:spacing w:line="240" w:lineRule="auto" w:before="11"/>
        <w:rPr>
          <w:rFonts w:ascii="宋体" w:hAnsi="宋体" w:cs="宋体" w:eastAsia="宋体" w:hint="default"/>
          <w:b/>
          <w:bCs/>
          <w:sz w:val="44"/>
          <w:szCs w:val="44"/>
        </w:rPr>
      </w:pPr>
    </w:p>
    <w:p>
      <w:pPr>
        <w:spacing w:before="0"/>
        <w:ind w:left="152" w:right="0" w:firstLine="0"/>
        <w:jc w:val="both"/>
        <w:rPr>
          <w:rFonts w:ascii="宋体" w:hAnsi="宋体" w:cs="宋体" w:eastAsia="宋体" w:hint="default"/>
          <w:sz w:val="28"/>
          <w:szCs w:val="28"/>
        </w:rPr>
      </w:pPr>
      <w:hyperlink w:history="true" w:anchor="_bookmark0">
        <w:r>
          <w:rPr>
            <w:rFonts w:ascii="宋体" w:hAnsi="宋体" w:cs="宋体" w:eastAsia="宋体" w:hint="default"/>
            <w:b/>
            <w:bCs/>
            <w:sz w:val="28"/>
            <w:szCs w:val="28"/>
          </w:rPr>
          <w:t>第一章  </w:t>
        </w:r>
        <w:r>
          <w:rPr>
            <w:rFonts w:ascii="宋体" w:hAnsi="宋体" w:cs="宋体" w:eastAsia="宋体" w:hint="default"/>
            <w:b/>
            <w:bCs/>
            <w:sz w:val="28"/>
            <w:szCs w:val="28"/>
          </w:rPr>
        </w:r>
        <w:r>
          <w:rPr>
            <w:rFonts w:ascii="宋体" w:hAnsi="宋体" w:cs="宋体" w:eastAsia="宋体" w:hint="default"/>
            <w:b/>
            <w:bCs/>
            <w:sz w:val="28"/>
            <w:szCs w:val="28"/>
          </w:rPr>
          <w:t>重要提示、目录和释义 </w:t>
        </w:r>
        <w:r>
          <w:rPr>
            <w:rFonts w:ascii="宋体" w:hAnsi="宋体" w:cs="宋体" w:eastAsia="宋体" w:hint="default"/>
            <w:b/>
            <w:bCs/>
            <w:sz w:val="28"/>
            <w:szCs w:val="28"/>
          </w:rPr>
        </w:r>
        <w:r>
          <w:rPr>
            <w:rFonts w:ascii="宋体" w:hAnsi="宋体" w:cs="宋体" w:eastAsia="宋体" w:hint="default"/>
            <w:b/>
            <w:bCs/>
            <w:spacing w:val="3"/>
            <w:sz w:val="28"/>
            <w:szCs w:val="28"/>
          </w:rPr>
          <w:t>.....................................</w:t>
        </w:r>
        <w:r>
          <w:rPr>
            <w:rFonts w:ascii="宋体" w:hAnsi="宋体" w:cs="宋体" w:eastAsia="宋体" w:hint="default"/>
            <w:b/>
            <w:bCs/>
            <w:spacing w:val="-87"/>
            <w:sz w:val="28"/>
            <w:szCs w:val="28"/>
          </w:rPr>
          <w:t> </w:t>
        </w:r>
        <w:r>
          <w:rPr>
            <w:rFonts w:ascii="宋体" w:hAnsi="宋体" w:cs="宋体" w:eastAsia="宋体" w:hint="default"/>
            <w:b/>
            <w:bCs/>
            <w:sz w:val="28"/>
            <w:szCs w:val="28"/>
          </w:rPr>
          <w:t>1</w:t>
        </w:r>
      </w:hyperlink>
      <w:r>
        <w:rPr>
          <w:rFonts w:ascii="宋体" w:hAnsi="宋体" w:cs="宋体" w:eastAsia="宋体" w:hint="default"/>
          <w:b/>
          <w:bCs/>
          <w:sz w:val="28"/>
          <w:szCs w:val="28"/>
        </w:rPr>
        <w:t> </w:t>
      </w:r>
      <w:r>
        <w:rPr>
          <w:rFonts w:ascii="宋体" w:hAnsi="宋体" w:cs="宋体" w:eastAsia="宋体" w:hint="default"/>
          <w:sz w:val="28"/>
          <w:szCs w:val="28"/>
        </w:rPr>
      </w:r>
    </w:p>
    <w:p>
      <w:pPr>
        <w:spacing w:line="240" w:lineRule="auto" w:before="10"/>
        <w:rPr>
          <w:rFonts w:ascii="宋体" w:hAnsi="宋体" w:cs="宋体" w:eastAsia="宋体" w:hint="default"/>
          <w:b/>
          <w:bCs/>
          <w:sz w:val="25"/>
          <w:szCs w:val="25"/>
        </w:rPr>
      </w:pPr>
    </w:p>
    <w:p>
      <w:pPr>
        <w:spacing w:before="0"/>
        <w:ind w:left="152" w:right="0" w:firstLine="0"/>
        <w:jc w:val="both"/>
        <w:rPr>
          <w:rFonts w:ascii="宋体" w:hAnsi="宋体" w:cs="宋体" w:eastAsia="宋体" w:hint="default"/>
          <w:sz w:val="28"/>
          <w:szCs w:val="28"/>
        </w:rPr>
      </w:pPr>
      <w:hyperlink w:history="true" w:anchor="_bookmark1">
        <w:r>
          <w:rPr>
            <w:rFonts w:ascii="宋体" w:hAnsi="宋体" w:cs="宋体" w:eastAsia="宋体" w:hint="default"/>
            <w:b/>
            <w:bCs/>
            <w:sz w:val="28"/>
            <w:szCs w:val="28"/>
          </w:rPr>
          <w:t>第二章  </w:t>
        </w:r>
        <w:r>
          <w:rPr>
            <w:rFonts w:ascii="宋体" w:hAnsi="宋体" w:cs="宋体" w:eastAsia="宋体" w:hint="default"/>
            <w:b/>
            <w:bCs/>
            <w:sz w:val="28"/>
            <w:szCs w:val="28"/>
          </w:rPr>
        </w:r>
        <w:r>
          <w:rPr>
            <w:rFonts w:ascii="宋体" w:hAnsi="宋体" w:cs="宋体" w:eastAsia="宋体" w:hint="default"/>
            <w:b/>
            <w:bCs/>
            <w:sz w:val="28"/>
            <w:szCs w:val="28"/>
          </w:rPr>
          <w:t>公司简介和主要财务指标 </w:t>
        </w:r>
        <w:r>
          <w:rPr>
            <w:rFonts w:ascii="宋体" w:hAnsi="宋体" w:cs="宋体" w:eastAsia="宋体" w:hint="default"/>
            <w:b/>
            <w:bCs/>
            <w:sz w:val="28"/>
            <w:szCs w:val="28"/>
          </w:rPr>
        </w:r>
        <w:r>
          <w:rPr>
            <w:rFonts w:ascii="宋体" w:hAnsi="宋体" w:cs="宋体" w:eastAsia="宋体" w:hint="default"/>
            <w:b/>
            <w:bCs/>
            <w:spacing w:val="3"/>
            <w:sz w:val="28"/>
            <w:szCs w:val="28"/>
          </w:rPr>
          <w:t>...................................</w:t>
        </w:r>
        <w:r>
          <w:rPr>
            <w:rFonts w:ascii="宋体" w:hAnsi="宋体" w:cs="宋体" w:eastAsia="宋体" w:hint="default"/>
            <w:b/>
            <w:bCs/>
            <w:spacing w:val="-78"/>
            <w:sz w:val="28"/>
            <w:szCs w:val="28"/>
          </w:rPr>
          <w:t> </w:t>
        </w:r>
        <w:r>
          <w:rPr>
            <w:rFonts w:ascii="宋体" w:hAnsi="宋体" w:cs="宋体" w:eastAsia="宋体" w:hint="default"/>
            <w:b/>
            <w:bCs/>
            <w:sz w:val="28"/>
            <w:szCs w:val="28"/>
          </w:rPr>
          <w:t>4</w:t>
        </w:r>
      </w:hyperlink>
      <w:r>
        <w:rPr>
          <w:rFonts w:ascii="宋体" w:hAnsi="宋体" w:cs="宋体" w:eastAsia="宋体" w:hint="default"/>
          <w:b/>
          <w:bCs/>
          <w:sz w:val="28"/>
          <w:szCs w:val="28"/>
        </w:rPr>
        <w:t> </w:t>
      </w:r>
      <w:r>
        <w:rPr>
          <w:rFonts w:ascii="宋体" w:hAnsi="宋体" w:cs="宋体" w:eastAsia="宋体" w:hint="default"/>
          <w:sz w:val="28"/>
          <w:szCs w:val="28"/>
        </w:rPr>
      </w:r>
    </w:p>
    <w:p>
      <w:pPr>
        <w:spacing w:line="240" w:lineRule="auto" w:before="13"/>
        <w:rPr>
          <w:rFonts w:ascii="宋体" w:hAnsi="宋体" w:cs="宋体" w:eastAsia="宋体" w:hint="default"/>
          <w:b/>
          <w:bCs/>
          <w:sz w:val="25"/>
          <w:szCs w:val="25"/>
        </w:rPr>
      </w:pPr>
    </w:p>
    <w:p>
      <w:pPr>
        <w:spacing w:before="0"/>
        <w:ind w:left="152" w:right="0" w:firstLine="0"/>
        <w:jc w:val="both"/>
        <w:rPr>
          <w:rFonts w:ascii="宋体" w:hAnsi="宋体" w:cs="宋体" w:eastAsia="宋体" w:hint="default"/>
          <w:sz w:val="28"/>
          <w:szCs w:val="28"/>
        </w:rPr>
      </w:pPr>
      <w:hyperlink w:history="true" w:anchor="_bookmark2">
        <w:r>
          <w:rPr>
            <w:rFonts w:ascii="宋体" w:hAnsi="宋体" w:cs="宋体" w:eastAsia="宋体" w:hint="default"/>
            <w:b/>
            <w:bCs/>
            <w:sz w:val="28"/>
            <w:szCs w:val="28"/>
          </w:rPr>
          <w:t>第三章 </w:t>
        </w:r>
        <w:r>
          <w:rPr>
            <w:rFonts w:ascii="宋体" w:hAnsi="宋体" w:cs="宋体" w:eastAsia="宋体" w:hint="default"/>
            <w:b/>
            <w:bCs/>
            <w:sz w:val="28"/>
            <w:szCs w:val="28"/>
          </w:rPr>
        </w:r>
        <w:r>
          <w:rPr>
            <w:rFonts w:ascii="宋体" w:hAnsi="宋体" w:cs="宋体" w:eastAsia="宋体" w:hint="default"/>
            <w:b/>
            <w:bCs/>
            <w:sz w:val="28"/>
            <w:szCs w:val="28"/>
          </w:rPr>
          <w:t>公司业务概要 </w:t>
        </w:r>
        <w:r>
          <w:rPr>
            <w:rFonts w:ascii="宋体" w:hAnsi="宋体" w:cs="宋体" w:eastAsia="宋体" w:hint="default"/>
            <w:b/>
            <w:bCs/>
            <w:sz w:val="28"/>
            <w:szCs w:val="28"/>
          </w:rPr>
        </w:r>
        <w:r>
          <w:rPr>
            <w:rFonts w:ascii="宋体" w:hAnsi="宋体" w:cs="宋体" w:eastAsia="宋体" w:hint="default"/>
            <w:b/>
            <w:bCs/>
            <w:spacing w:val="3"/>
            <w:sz w:val="28"/>
            <w:szCs w:val="28"/>
          </w:rPr>
          <w:t>.............................................</w:t>
        </w:r>
        <w:r>
          <w:rPr>
            <w:rFonts w:ascii="宋体" w:hAnsi="宋体" w:cs="宋体" w:eastAsia="宋体" w:hint="default"/>
            <w:b/>
            <w:bCs/>
            <w:spacing w:val="24"/>
            <w:sz w:val="28"/>
            <w:szCs w:val="28"/>
          </w:rPr>
          <w:t> </w:t>
        </w:r>
        <w:r>
          <w:rPr>
            <w:rFonts w:ascii="宋体" w:hAnsi="宋体" w:cs="宋体" w:eastAsia="宋体" w:hint="default"/>
            <w:b/>
            <w:bCs/>
            <w:sz w:val="28"/>
            <w:szCs w:val="28"/>
          </w:rPr>
          <w:t>7</w:t>
        </w:r>
      </w:hyperlink>
      <w:r>
        <w:rPr>
          <w:rFonts w:ascii="宋体" w:hAnsi="宋体" w:cs="宋体" w:eastAsia="宋体" w:hint="default"/>
          <w:b/>
          <w:bCs/>
          <w:sz w:val="28"/>
          <w:szCs w:val="28"/>
        </w:rPr>
        <w:t> </w:t>
      </w:r>
      <w:r>
        <w:rPr>
          <w:rFonts w:ascii="宋体" w:hAnsi="宋体" w:cs="宋体" w:eastAsia="宋体" w:hint="default"/>
          <w:sz w:val="28"/>
          <w:szCs w:val="28"/>
        </w:rPr>
      </w:r>
    </w:p>
    <w:p>
      <w:pPr>
        <w:spacing w:line="240" w:lineRule="auto" w:before="10"/>
        <w:rPr>
          <w:rFonts w:ascii="宋体" w:hAnsi="宋体" w:cs="宋体" w:eastAsia="宋体" w:hint="default"/>
          <w:b/>
          <w:bCs/>
          <w:sz w:val="25"/>
          <w:szCs w:val="25"/>
        </w:rPr>
      </w:pPr>
    </w:p>
    <w:p>
      <w:pPr>
        <w:spacing w:before="0"/>
        <w:ind w:left="152" w:right="0" w:firstLine="0"/>
        <w:jc w:val="both"/>
        <w:rPr>
          <w:rFonts w:ascii="宋体" w:hAnsi="宋体" w:cs="宋体" w:eastAsia="宋体" w:hint="default"/>
          <w:sz w:val="28"/>
          <w:szCs w:val="28"/>
        </w:rPr>
      </w:pPr>
      <w:hyperlink w:history="true" w:anchor="_bookmark3">
        <w:r>
          <w:rPr>
            <w:rFonts w:ascii="宋体" w:hAnsi="宋体" w:cs="宋体" w:eastAsia="宋体" w:hint="default"/>
            <w:b/>
            <w:bCs/>
            <w:sz w:val="28"/>
            <w:szCs w:val="28"/>
          </w:rPr>
          <w:t>第四章  </w:t>
        </w:r>
        <w:r>
          <w:rPr>
            <w:rFonts w:ascii="宋体" w:hAnsi="宋体" w:cs="宋体" w:eastAsia="宋体" w:hint="default"/>
            <w:b/>
            <w:bCs/>
            <w:sz w:val="28"/>
            <w:szCs w:val="28"/>
          </w:rPr>
        </w:r>
        <w:r>
          <w:rPr>
            <w:rFonts w:ascii="宋体" w:hAnsi="宋体" w:cs="宋体" w:eastAsia="宋体" w:hint="default"/>
            <w:b/>
            <w:bCs/>
            <w:sz w:val="28"/>
            <w:szCs w:val="28"/>
          </w:rPr>
          <w:t>经营情况讨论与分析 </w:t>
        </w:r>
        <w:r>
          <w:rPr>
            <w:rFonts w:ascii="宋体" w:hAnsi="宋体" w:cs="宋体" w:eastAsia="宋体" w:hint="default"/>
            <w:b/>
            <w:bCs/>
            <w:sz w:val="28"/>
            <w:szCs w:val="28"/>
          </w:rPr>
        </w:r>
        <w:r>
          <w:rPr>
            <w:rFonts w:ascii="宋体" w:hAnsi="宋体" w:cs="宋体" w:eastAsia="宋体" w:hint="default"/>
            <w:b/>
            <w:bCs/>
            <w:spacing w:val="3"/>
            <w:sz w:val="28"/>
            <w:szCs w:val="28"/>
          </w:rPr>
          <w:t>......................................</w:t>
        </w:r>
        <w:r>
          <w:rPr>
            <w:rFonts w:ascii="宋体" w:hAnsi="宋体" w:cs="宋体" w:eastAsia="宋体" w:hint="default"/>
            <w:b/>
            <w:bCs/>
            <w:spacing w:val="-91"/>
            <w:sz w:val="28"/>
            <w:szCs w:val="28"/>
          </w:rPr>
          <w:t> </w:t>
        </w:r>
        <w:r>
          <w:rPr>
            <w:rFonts w:ascii="宋体" w:hAnsi="宋体" w:cs="宋体" w:eastAsia="宋体" w:hint="default"/>
            <w:b/>
            <w:bCs/>
            <w:sz w:val="28"/>
            <w:szCs w:val="28"/>
          </w:rPr>
          <w:t>14</w:t>
        </w:r>
      </w:hyperlink>
      <w:r>
        <w:rPr>
          <w:rFonts w:ascii="宋体" w:hAnsi="宋体" w:cs="宋体" w:eastAsia="宋体" w:hint="default"/>
          <w:b/>
          <w:bCs/>
          <w:sz w:val="28"/>
          <w:szCs w:val="28"/>
        </w:rPr>
        <w:t> </w:t>
      </w:r>
      <w:r>
        <w:rPr>
          <w:rFonts w:ascii="宋体" w:hAnsi="宋体" w:cs="宋体" w:eastAsia="宋体" w:hint="default"/>
          <w:sz w:val="28"/>
          <w:szCs w:val="28"/>
        </w:rPr>
      </w:r>
    </w:p>
    <w:p>
      <w:pPr>
        <w:spacing w:line="240" w:lineRule="auto" w:before="10"/>
        <w:rPr>
          <w:rFonts w:ascii="宋体" w:hAnsi="宋体" w:cs="宋体" w:eastAsia="宋体" w:hint="default"/>
          <w:b/>
          <w:bCs/>
          <w:sz w:val="25"/>
          <w:szCs w:val="25"/>
        </w:rPr>
      </w:pPr>
    </w:p>
    <w:p>
      <w:pPr>
        <w:spacing w:before="0"/>
        <w:ind w:left="152" w:right="0" w:firstLine="0"/>
        <w:jc w:val="both"/>
        <w:rPr>
          <w:rFonts w:ascii="宋体" w:hAnsi="宋体" w:cs="宋体" w:eastAsia="宋体" w:hint="default"/>
          <w:sz w:val="28"/>
          <w:szCs w:val="28"/>
        </w:rPr>
      </w:pPr>
      <w:hyperlink w:history="true" w:anchor="_bookmark4">
        <w:r>
          <w:rPr>
            <w:rFonts w:ascii="宋体" w:hAnsi="宋体" w:cs="宋体" w:eastAsia="宋体" w:hint="default"/>
            <w:b/>
            <w:bCs/>
            <w:sz w:val="28"/>
            <w:szCs w:val="28"/>
          </w:rPr>
          <w:t>第五章 </w:t>
        </w:r>
        <w:r>
          <w:rPr>
            <w:rFonts w:ascii="宋体" w:hAnsi="宋体" w:cs="宋体" w:eastAsia="宋体" w:hint="default"/>
            <w:b/>
            <w:bCs/>
            <w:sz w:val="28"/>
            <w:szCs w:val="28"/>
          </w:rPr>
        </w:r>
        <w:r>
          <w:rPr>
            <w:rFonts w:ascii="宋体" w:hAnsi="宋体" w:cs="宋体" w:eastAsia="宋体" w:hint="default"/>
            <w:b/>
            <w:bCs/>
            <w:sz w:val="28"/>
            <w:szCs w:val="28"/>
          </w:rPr>
          <w:t>重要事项 </w:t>
        </w:r>
        <w:r>
          <w:rPr>
            <w:rFonts w:ascii="宋体" w:hAnsi="宋体" w:cs="宋体" w:eastAsia="宋体" w:hint="default"/>
            <w:b/>
            <w:bCs/>
            <w:sz w:val="28"/>
            <w:szCs w:val="28"/>
          </w:rPr>
        </w:r>
        <w:r>
          <w:rPr>
            <w:rFonts w:ascii="宋体" w:hAnsi="宋体" w:cs="宋体" w:eastAsia="宋体" w:hint="default"/>
            <w:b/>
            <w:bCs/>
            <w:spacing w:val="3"/>
            <w:sz w:val="28"/>
            <w:szCs w:val="28"/>
          </w:rPr>
          <w:t>................................................</w:t>
        </w:r>
        <w:r>
          <w:rPr>
            <w:rFonts w:ascii="宋体" w:hAnsi="宋体" w:cs="宋体" w:eastAsia="宋体" w:hint="default"/>
            <w:b/>
            <w:bCs/>
            <w:spacing w:val="10"/>
            <w:sz w:val="28"/>
            <w:szCs w:val="28"/>
          </w:rPr>
          <w:t> </w:t>
        </w:r>
        <w:r>
          <w:rPr>
            <w:rFonts w:ascii="宋体" w:hAnsi="宋体" w:cs="宋体" w:eastAsia="宋体" w:hint="default"/>
            <w:b/>
            <w:bCs/>
            <w:sz w:val="28"/>
            <w:szCs w:val="28"/>
          </w:rPr>
          <w:t>39</w:t>
        </w:r>
      </w:hyperlink>
      <w:r>
        <w:rPr>
          <w:rFonts w:ascii="宋体" w:hAnsi="宋体" w:cs="宋体" w:eastAsia="宋体" w:hint="default"/>
          <w:b/>
          <w:bCs/>
          <w:sz w:val="28"/>
          <w:szCs w:val="28"/>
        </w:rPr>
        <w:t> </w:t>
      </w:r>
      <w:r>
        <w:rPr>
          <w:rFonts w:ascii="宋体" w:hAnsi="宋体" w:cs="宋体" w:eastAsia="宋体" w:hint="default"/>
          <w:sz w:val="28"/>
          <w:szCs w:val="28"/>
        </w:rPr>
      </w:r>
    </w:p>
    <w:p>
      <w:pPr>
        <w:spacing w:line="240" w:lineRule="auto" w:before="12"/>
        <w:rPr>
          <w:rFonts w:ascii="宋体" w:hAnsi="宋体" w:cs="宋体" w:eastAsia="宋体" w:hint="default"/>
          <w:b/>
          <w:bCs/>
          <w:sz w:val="25"/>
          <w:szCs w:val="25"/>
        </w:rPr>
      </w:pPr>
    </w:p>
    <w:p>
      <w:pPr>
        <w:spacing w:before="0"/>
        <w:ind w:left="152" w:right="0" w:firstLine="0"/>
        <w:jc w:val="both"/>
        <w:rPr>
          <w:rFonts w:ascii="宋体" w:hAnsi="宋体" w:cs="宋体" w:eastAsia="宋体" w:hint="default"/>
          <w:sz w:val="28"/>
          <w:szCs w:val="28"/>
        </w:rPr>
      </w:pPr>
      <w:hyperlink w:history="true" w:anchor="_bookmark5">
        <w:r>
          <w:rPr>
            <w:rFonts w:ascii="宋体" w:hAnsi="宋体" w:cs="宋体" w:eastAsia="宋体" w:hint="default"/>
            <w:b/>
            <w:bCs/>
            <w:sz w:val="28"/>
            <w:szCs w:val="28"/>
          </w:rPr>
          <w:t>第六章  </w:t>
        </w:r>
        <w:r>
          <w:rPr>
            <w:rFonts w:ascii="宋体" w:hAnsi="宋体" w:cs="宋体" w:eastAsia="宋体" w:hint="default"/>
            <w:b/>
            <w:bCs/>
            <w:sz w:val="28"/>
            <w:szCs w:val="28"/>
          </w:rPr>
        </w:r>
        <w:r>
          <w:rPr>
            <w:rFonts w:ascii="宋体" w:hAnsi="宋体" w:cs="宋体" w:eastAsia="宋体" w:hint="default"/>
            <w:b/>
            <w:bCs/>
            <w:sz w:val="28"/>
            <w:szCs w:val="28"/>
          </w:rPr>
          <w:t>股份变动及股东情况 </w:t>
        </w:r>
        <w:r>
          <w:rPr>
            <w:rFonts w:ascii="宋体" w:hAnsi="宋体" w:cs="宋体" w:eastAsia="宋体" w:hint="default"/>
            <w:b/>
            <w:bCs/>
            <w:sz w:val="28"/>
            <w:szCs w:val="28"/>
          </w:rPr>
        </w:r>
        <w:r>
          <w:rPr>
            <w:rFonts w:ascii="宋体" w:hAnsi="宋体" w:cs="宋体" w:eastAsia="宋体" w:hint="default"/>
            <w:b/>
            <w:bCs/>
            <w:spacing w:val="3"/>
            <w:sz w:val="28"/>
            <w:szCs w:val="28"/>
          </w:rPr>
          <w:t>......................................</w:t>
        </w:r>
        <w:r>
          <w:rPr>
            <w:rFonts w:ascii="宋体" w:hAnsi="宋体" w:cs="宋体" w:eastAsia="宋体" w:hint="default"/>
            <w:b/>
            <w:bCs/>
            <w:spacing w:val="-91"/>
            <w:sz w:val="28"/>
            <w:szCs w:val="28"/>
          </w:rPr>
          <w:t> </w:t>
        </w:r>
        <w:r>
          <w:rPr>
            <w:rFonts w:ascii="宋体" w:hAnsi="宋体" w:cs="宋体" w:eastAsia="宋体" w:hint="default"/>
            <w:b/>
            <w:bCs/>
            <w:sz w:val="28"/>
            <w:szCs w:val="28"/>
          </w:rPr>
          <w:t>66</w:t>
        </w:r>
      </w:hyperlink>
      <w:r>
        <w:rPr>
          <w:rFonts w:ascii="宋体" w:hAnsi="宋体" w:cs="宋体" w:eastAsia="宋体" w:hint="default"/>
          <w:b/>
          <w:bCs/>
          <w:sz w:val="28"/>
          <w:szCs w:val="28"/>
        </w:rPr>
        <w:t> </w:t>
      </w:r>
      <w:r>
        <w:rPr>
          <w:rFonts w:ascii="宋体" w:hAnsi="宋体" w:cs="宋体" w:eastAsia="宋体" w:hint="default"/>
          <w:sz w:val="28"/>
          <w:szCs w:val="28"/>
        </w:rPr>
      </w:r>
    </w:p>
    <w:p>
      <w:pPr>
        <w:spacing w:line="240" w:lineRule="auto" w:before="10"/>
        <w:rPr>
          <w:rFonts w:ascii="宋体" w:hAnsi="宋体" w:cs="宋体" w:eastAsia="宋体" w:hint="default"/>
          <w:b/>
          <w:bCs/>
          <w:sz w:val="25"/>
          <w:szCs w:val="25"/>
        </w:rPr>
      </w:pPr>
    </w:p>
    <w:p>
      <w:pPr>
        <w:spacing w:before="0"/>
        <w:ind w:left="152" w:right="0" w:firstLine="0"/>
        <w:jc w:val="both"/>
        <w:rPr>
          <w:rFonts w:ascii="宋体" w:hAnsi="宋体" w:cs="宋体" w:eastAsia="宋体" w:hint="default"/>
          <w:sz w:val="28"/>
          <w:szCs w:val="28"/>
        </w:rPr>
      </w:pPr>
      <w:hyperlink w:history="true" w:anchor="_bookmark6">
        <w:r>
          <w:rPr>
            <w:rFonts w:ascii="宋体" w:hAnsi="宋体" w:cs="宋体" w:eastAsia="宋体" w:hint="default"/>
            <w:b/>
            <w:bCs/>
            <w:sz w:val="28"/>
            <w:szCs w:val="28"/>
          </w:rPr>
          <w:t>第七章  </w:t>
        </w:r>
        <w:r>
          <w:rPr>
            <w:rFonts w:ascii="宋体" w:hAnsi="宋体" w:cs="宋体" w:eastAsia="宋体" w:hint="default"/>
            <w:b/>
            <w:bCs/>
            <w:sz w:val="28"/>
            <w:szCs w:val="28"/>
          </w:rPr>
        </w:r>
        <w:r>
          <w:rPr>
            <w:rFonts w:ascii="宋体" w:hAnsi="宋体" w:cs="宋体" w:eastAsia="宋体" w:hint="default"/>
            <w:b/>
            <w:bCs/>
            <w:sz w:val="28"/>
            <w:szCs w:val="28"/>
          </w:rPr>
          <w:t>优先股相关情况 </w:t>
        </w:r>
        <w:r>
          <w:rPr>
            <w:rFonts w:ascii="宋体" w:hAnsi="宋体" w:cs="宋体" w:eastAsia="宋体" w:hint="default"/>
            <w:b/>
            <w:bCs/>
            <w:sz w:val="28"/>
            <w:szCs w:val="28"/>
          </w:rPr>
        </w:r>
        <w:r>
          <w:rPr>
            <w:rFonts w:ascii="宋体" w:hAnsi="宋体" w:cs="宋体" w:eastAsia="宋体" w:hint="default"/>
            <w:b/>
            <w:bCs/>
            <w:spacing w:val="3"/>
            <w:sz w:val="28"/>
            <w:szCs w:val="28"/>
          </w:rPr>
          <w:t>..........................................</w:t>
        </w:r>
        <w:r>
          <w:rPr>
            <w:rFonts w:ascii="宋体" w:hAnsi="宋体" w:cs="宋体" w:eastAsia="宋体" w:hint="default"/>
            <w:b/>
            <w:bCs/>
            <w:spacing w:val="-106"/>
            <w:sz w:val="28"/>
            <w:szCs w:val="28"/>
          </w:rPr>
          <w:t> </w:t>
        </w:r>
        <w:r>
          <w:rPr>
            <w:rFonts w:ascii="宋体" w:hAnsi="宋体" w:cs="宋体" w:eastAsia="宋体" w:hint="default"/>
            <w:b/>
            <w:bCs/>
            <w:sz w:val="28"/>
            <w:szCs w:val="28"/>
          </w:rPr>
          <w:t>71</w:t>
        </w:r>
      </w:hyperlink>
      <w:r>
        <w:rPr>
          <w:rFonts w:ascii="宋体" w:hAnsi="宋体" w:cs="宋体" w:eastAsia="宋体" w:hint="default"/>
          <w:b/>
          <w:bCs/>
          <w:sz w:val="28"/>
          <w:szCs w:val="28"/>
        </w:rPr>
        <w:t> </w:t>
      </w:r>
      <w:r>
        <w:rPr>
          <w:rFonts w:ascii="宋体" w:hAnsi="宋体" w:cs="宋体" w:eastAsia="宋体" w:hint="default"/>
          <w:sz w:val="28"/>
          <w:szCs w:val="28"/>
        </w:rPr>
      </w:r>
    </w:p>
    <w:p>
      <w:pPr>
        <w:spacing w:line="240" w:lineRule="auto" w:before="10"/>
        <w:rPr>
          <w:rFonts w:ascii="宋体" w:hAnsi="宋体" w:cs="宋体" w:eastAsia="宋体" w:hint="default"/>
          <w:b/>
          <w:bCs/>
          <w:sz w:val="25"/>
          <w:szCs w:val="25"/>
        </w:rPr>
      </w:pPr>
    </w:p>
    <w:p>
      <w:pPr>
        <w:spacing w:line="460" w:lineRule="auto" w:before="0"/>
        <w:ind w:left="152" w:right="1000" w:firstLine="0"/>
        <w:jc w:val="both"/>
        <w:rPr>
          <w:rFonts w:ascii="宋体" w:hAnsi="宋体" w:cs="宋体" w:eastAsia="宋体" w:hint="default"/>
          <w:sz w:val="28"/>
          <w:szCs w:val="28"/>
        </w:rPr>
      </w:pPr>
      <w:hyperlink w:history="true" w:anchor="_bookmark7">
        <w:r>
          <w:rPr>
            <w:rFonts w:ascii="宋体" w:hAnsi="宋体" w:cs="宋体" w:eastAsia="宋体" w:hint="default"/>
            <w:b/>
            <w:bCs/>
            <w:sz w:val="28"/>
            <w:szCs w:val="28"/>
          </w:rPr>
          <w:t>第八章 </w:t>
        </w:r>
        <w:r>
          <w:rPr>
            <w:rFonts w:ascii="宋体" w:hAnsi="宋体" w:cs="宋体" w:eastAsia="宋体" w:hint="default"/>
            <w:b/>
            <w:bCs/>
            <w:sz w:val="28"/>
            <w:szCs w:val="28"/>
          </w:rPr>
        </w:r>
        <w:r>
          <w:rPr>
            <w:rFonts w:ascii="宋体" w:hAnsi="宋体" w:cs="宋体" w:eastAsia="宋体" w:hint="default"/>
            <w:b/>
            <w:bCs/>
            <w:sz w:val="28"/>
            <w:szCs w:val="28"/>
          </w:rPr>
          <w:t>可转换公司债券相关情况 </w:t>
        </w:r>
        <w:r>
          <w:rPr>
            <w:rFonts w:ascii="宋体" w:hAnsi="宋体" w:cs="宋体" w:eastAsia="宋体" w:hint="default"/>
            <w:b/>
            <w:bCs/>
            <w:sz w:val="28"/>
            <w:szCs w:val="28"/>
          </w:rPr>
        </w:r>
        <w:r>
          <w:rPr>
            <w:rFonts w:ascii="宋体" w:hAnsi="宋体" w:cs="宋体" w:eastAsia="宋体" w:hint="default"/>
            <w:b/>
            <w:bCs/>
            <w:spacing w:val="3"/>
            <w:sz w:val="28"/>
            <w:szCs w:val="28"/>
          </w:rPr>
          <w:t>..................................</w:t>
        </w:r>
        <w:r>
          <w:rPr>
            <w:rFonts w:ascii="宋体" w:hAnsi="宋体" w:cs="宋体" w:eastAsia="宋体" w:hint="default"/>
            <w:b/>
            <w:bCs/>
            <w:spacing w:val="-68"/>
            <w:sz w:val="28"/>
            <w:szCs w:val="28"/>
          </w:rPr>
          <w:t> </w:t>
        </w:r>
        <w:r>
          <w:rPr>
            <w:rFonts w:ascii="宋体" w:hAnsi="宋体" w:cs="宋体" w:eastAsia="宋体" w:hint="default"/>
            <w:b/>
            <w:bCs/>
            <w:sz w:val="28"/>
            <w:szCs w:val="28"/>
          </w:rPr>
          <w:t>71</w:t>
        </w:r>
      </w:hyperlink>
      <w:r>
        <w:rPr>
          <w:rFonts w:ascii="宋体" w:hAnsi="宋体" w:cs="宋体" w:eastAsia="宋体" w:hint="default"/>
          <w:b/>
          <w:bCs/>
          <w:w w:val="99"/>
          <w:sz w:val="28"/>
          <w:szCs w:val="28"/>
        </w:rPr>
        <w:t> </w:t>
      </w:r>
      <w:hyperlink w:history="true" w:anchor="_bookmark8">
        <w:r>
          <w:rPr>
            <w:rFonts w:ascii="宋体" w:hAnsi="宋体" w:cs="宋体" w:eastAsia="宋体" w:hint="default"/>
            <w:b/>
            <w:bCs/>
            <w:sz w:val="28"/>
            <w:szCs w:val="28"/>
          </w:rPr>
          <w:t>第九章 </w:t>
        </w:r>
        <w:r>
          <w:rPr>
            <w:rFonts w:ascii="宋体" w:hAnsi="宋体" w:cs="宋体" w:eastAsia="宋体" w:hint="default"/>
            <w:b/>
            <w:bCs/>
            <w:sz w:val="28"/>
            <w:szCs w:val="28"/>
          </w:rPr>
        </w:r>
        <w:r>
          <w:rPr>
            <w:rFonts w:ascii="宋体" w:hAnsi="宋体" w:cs="宋体" w:eastAsia="宋体" w:hint="default"/>
            <w:b/>
            <w:bCs/>
            <w:sz w:val="28"/>
            <w:szCs w:val="28"/>
          </w:rPr>
          <w:t>董事、监事、高级管理人员和员工情况 </w:t>
        </w:r>
        <w:r>
          <w:rPr>
            <w:rFonts w:ascii="宋体" w:hAnsi="宋体" w:cs="宋体" w:eastAsia="宋体" w:hint="default"/>
            <w:b/>
            <w:bCs/>
            <w:sz w:val="28"/>
            <w:szCs w:val="28"/>
          </w:rPr>
        </w:r>
        <w:r>
          <w:rPr>
            <w:rFonts w:ascii="宋体" w:hAnsi="宋体" w:cs="宋体" w:eastAsia="宋体" w:hint="default"/>
            <w:b/>
            <w:bCs/>
            <w:spacing w:val="3"/>
            <w:sz w:val="28"/>
            <w:szCs w:val="28"/>
          </w:rPr>
          <w:t>.......................</w:t>
        </w:r>
        <w:r>
          <w:rPr>
            <w:rFonts w:ascii="宋体" w:hAnsi="宋体" w:cs="宋体" w:eastAsia="宋体" w:hint="default"/>
            <w:b/>
            <w:bCs/>
            <w:spacing w:val="-23"/>
            <w:sz w:val="28"/>
            <w:szCs w:val="28"/>
          </w:rPr>
          <w:t> </w:t>
        </w:r>
        <w:r>
          <w:rPr>
            <w:rFonts w:ascii="宋体" w:hAnsi="宋体" w:cs="宋体" w:eastAsia="宋体" w:hint="default"/>
            <w:b/>
            <w:bCs/>
            <w:sz w:val="28"/>
            <w:szCs w:val="28"/>
          </w:rPr>
          <w:t>72</w:t>
        </w:r>
      </w:hyperlink>
      <w:r>
        <w:rPr>
          <w:rFonts w:ascii="宋体" w:hAnsi="宋体" w:cs="宋体" w:eastAsia="宋体" w:hint="default"/>
          <w:b/>
          <w:bCs/>
          <w:w w:val="99"/>
          <w:sz w:val="28"/>
          <w:szCs w:val="28"/>
        </w:rPr>
        <w:t> </w:t>
      </w:r>
      <w:hyperlink w:history="true" w:anchor="_bookmark9">
        <w:r>
          <w:rPr>
            <w:rFonts w:ascii="宋体" w:hAnsi="宋体" w:cs="宋体" w:eastAsia="宋体" w:hint="default"/>
            <w:b/>
            <w:bCs/>
            <w:sz w:val="28"/>
            <w:szCs w:val="28"/>
          </w:rPr>
          <w:t>第十章 </w:t>
        </w:r>
        <w:r>
          <w:rPr>
            <w:rFonts w:ascii="宋体" w:hAnsi="宋体" w:cs="宋体" w:eastAsia="宋体" w:hint="default"/>
            <w:b/>
            <w:bCs/>
            <w:sz w:val="28"/>
            <w:szCs w:val="28"/>
          </w:rPr>
        </w:r>
        <w:r>
          <w:rPr>
            <w:rFonts w:ascii="宋体" w:hAnsi="宋体" w:cs="宋体" w:eastAsia="宋体" w:hint="default"/>
            <w:b/>
            <w:bCs/>
            <w:sz w:val="28"/>
            <w:szCs w:val="28"/>
          </w:rPr>
          <w:t>公司治理 </w:t>
        </w:r>
        <w:r>
          <w:rPr>
            <w:rFonts w:ascii="宋体" w:hAnsi="宋体" w:cs="宋体" w:eastAsia="宋体" w:hint="default"/>
            <w:b/>
            <w:bCs/>
            <w:sz w:val="28"/>
            <w:szCs w:val="28"/>
          </w:rPr>
        </w:r>
        <w:r>
          <w:rPr>
            <w:rFonts w:ascii="宋体" w:hAnsi="宋体" w:cs="宋体" w:eastAsia="宋体" w:hint="default"/>
            <w:b/>
            <w:bCs/>
            <w:spacing w:val="3"/>
            <w:sz w:val="28"/>
            <w:szCs w:val="28"/>
          </w:rPr>
          <w:t>................................................</w:t>
        </w:r>
        <w:r>
          <w:rPr>
            <w:rFonts w:ascii="宋体" w:hAnsi="宋体" w:cs="宋体" w:eastAsia="宋体" w:hint="default"/>
            <w:b/>
            <w:bCs/>
            <w:spacing w:val="10"/>
            <w:sz w:val="28"/>
            <w:szCs w:val="28"/>
          </w:rPr>
          <w:t> </w:t>
        </w:r>
        <w:r>
          <w:rPr>
            <w:rFonts w:ascii="宋体" w:hAnsi="宋体" w:cs="宋体" w:eastAsia="宋体" w:hint="default"/>
            <w:b/>
            <w:bCs/>
            <w:sz w:val="28"/>
            <w:szCs w:val="28"/>
          </w:rPr>
          <w:t>79</w:t>
        </w:r>
      </w:hyperlink>
      <w:r>
        <w:rPr>
          <w:rFonts w:ascii="宋体" w:hAnsi="宋体" w:cs="宋体" w:eastAsia="宋体" w:hint="default"/>
          <w:b/>
          <w:bCs/>
          <w:sz w:val="28"/>
          <w:szCs w:val="28"/>
        </w:rPr>
        <w:t> </w:t>
      </w:r>
      <w:r>
        <w:rPr>
          <w:rFonts w:ascii="宋体" w:hAnsi="宋体" w:cs="宋体" w:eastAsia="宋体" w:hint="default"/>
          <w:sz w:val="28"/>
          <w:szCs w:val="28"/>
        </w:rPr>
      </w:r>
    </w:p>
    <w:p>
      <w:pPr>
        <w:spacing w:before="79"/>
        <w:ind w:left="152" w:right="0" w:firstLine="0"/>
        <w:jc w:val="both"/>
        <w:rPr>
          <w:rFonts w:ascii="宋体" w:hAnsi="宋体" w:cs="宋体" w:eastAsia="宋体" w:hint="default"/>
          <w:sz w:val="28"/>
          <w:szCs w:val="28"/>
        </w:rPr>
      </w:pPr>
      <w:hyperlink w:history="true" w:anchor="_bookmark10">
        <w:r>
          <w:rPr>
            <w:rFonts w:ascii="宋体" w:hAnsi="宋体" w:cs="宋体" w:eastAsia="宋体" w:hint="default"/>
            <w:b/>
            <w:bCs/>
            <w:sz w:val="28"/>
            <w:szCs w:val="28"/>
          </w:rPr>
          <w:t>第十一章  </w:t>
        </w:r>
        <w:r>
          <w:rPr>
            <w:rFonts w:ascii="宋体" w:hAnsi="宋体" w:cs="宋体" w:eastAsia="宋体" w:hint="default"/>
            <w:b/>
            <w:bCs/>
            <w:sz w:val="28"/>
            <w:szCs w:val="28"/>
          </w:rPr>
        </w:r>
        <w:r>
          <w:rPr>
            <w:rFonts w:ascii="宋体" w:hAnsi="宋体" w:cs="宋体" w:eastAsia="宋体" w:hint="default"/>
            <w:b/>
            <w:bCs/>
            <w:sz w:val="28"/>
            <w:szCs w:val="28"/>
          </w:rPr>
          <w:t>公司债券相关情况 </w:t>
        </w:r>
        <w:r>
          <w:rPr>
            <w:rFonts w:ascii="宋体" w:hAnsi="宋体" w:cs="宋体" w:eastAsia="宋体" w:hint="default"/>
            <w:b/>
            <w:bCs/>
            <w:sz w:val="28"/>
            <w:szCs w:val="28"/>
          </w:rPr>
        </w:r>
        <w:r>
          <w:rPr>
            <w:rFonts w:ascii="宋体" w:hAnsi="宋体" w:cs="宋体" w:eastAsia="宋体" w:hint="default"/>
            <w:b/>
            <w:bCs/>
            <w:spacing w:val="3"/>
            <w:sz w:val="28"/>
            <w:szCs w:val="28"/>
          </w:rPr>
          <w:t>......................................</w:t>
        </w:r>
        <w:r>
          <w:rPr>
            <w:rFonts w:ascii="宋体" w:hAnsi="宋体" w:cs="宋体" w:eastAsia="宋体" w:hint="default"/>
            <w:b/>
            <w:bCs/>
            <w:spacing w:val="-93"/>
            <w:sz w:val="28"/>
            <w:szCs w:val="28"/>
          </w:rPr>
          <w:t> </w:t>
        </w:r>
        <w:r>
          <w:rPr>
            <w:rFonts w:ascii="宋体" w:hAnsi="宋体" w:cs="宋体" w:eastAsia="宋体" w:hint="default"/>
            <w:b/>
            <w:bCs/>
            <w:sz w:val="28"/>
            <w:szCs w:val="28"/>
          </w:rPr>
          <w:t>83</w:t>
        </w:r>
      </w:hyperlink>
      <w:r>
        <w:rPr>
          <w:rFonts w:ascii="宋体" w:hAnsi="宋体" w:cs="宋体" w:eastAsia="宋体" w:hint="default"/>
          <w:b/>
          <w:bCs/>
          <w:sz w:val="28"/>
          <w:szCs w:val="28"/>
        </w:rPr>
        <w:t> </w:t>
      </w:r>
      <w:r>
        <w:rPr>
          <w:rFonts w:ascii="宋体" w:hAnsi="宋体" w:cs="宋体" w:eastAsia="宋体" w:hint="default"/>
          <w:sz w:val="28"/>
          <w:szCs w:val="28"/>
        </w:rPr>
      </w:r>
    </w:p>
    <w:p>
      <w:pPr>
        <w:spacing w:line="240" w:lineRule="auto" w:before="12"/>
        <w:rPr>
          <w:rFonts w:ascii="宋体" w:hAnsi="宋体" w:cs="宋体" w:eastAsia="宋体" w:hint="default"/>
          <w:b/>
          <w:bCs/>
          <w:sz w:val="25"/>
          <w:szCs w:val="25"/>
        </w:rPr>
      </w:pPr>
    </w:p>
    <w:p>
      <w:pPr>
        <w:spacing w:before="0"/>
        <w:ind w:left="152" w:right="0" w:firstLine="0"/>
        <w:jc w:val="both"/>
        <w:rPr>
          <w:rFonts w:ascii="宋体" w:hAnsi="宋体" w:cs="宋体" w:eastAsia="宋体" w:hint="default"/>
          <w:sz w:val="28"/>
          <w:szCs w:val="28"/>
        </w:rPr>
      </w:pPr>
      <w:hyperlink w:history="true" w:anchor="_bookmark11">
        <w:r>
          <w:rPr>
            <w:rFonts w:ascii="宋体" w:hAnsi="宋体" w:cs="宋体" w:eastAsia="宋体" w:hint="default"/>
            <w:b/>
            <w:bCs/>
            <w:sz w:val="28"/>
            <w:szCs w:val="28"/>
          </w:rPr>
          <w:t>第十二章 </w:t>
        </w:r>
        <w:r>
          <w:rPr>
            <w:rFonts w:ascii="宋体" w:hAnsi="宋体" w:cs="宋体" w:eastAsia="宋体" w:hint="default"/>
            <w:b/>
            <w:bCs/>
            <w:sz w:val="28"/>
            <w:szCs w:val="28"/>
          </w:rPr>
        </w:r>
        <w:r>
          <w:rPr>
            <w:rFonts w:ascii="宋体" w:hAnsi="宋体" w:cs="宋体" w:eastAsia="宋体" w:hint="default"/>
            <w:b/>
            <w:bCs/>
            <w:sz w:val="28"/>
            <w:szCs w:val="28"/>
          </w:rPr>
          <w:t>财务报告 </w:t>
        </w:r>
        <w:r>
          <w:rPr>
            <w:rFonts w:ascii="宋体" w:hAnsi="宋体" w:cs="宋体" w:eastAsia="宋体" w:hint="default"/>
            <w:b/>
            <w:bCs/>
            <w:sz w:val="28"/>
            <w:szCs w:val="28"/>
          </w:rPr>
        </w:r>
        <w:r>
          <w:rPr>
            <w:rFonts w:ascii="宋体" w:hAnsi="宋体" w:cs="宋体" w:eastAsia="宋体" w:hint="default"/>
            <w:b/>
            <w:bCs/>
            <w:spacing w:val="3"/>
            <w:sz w:val="28"/>
            <w:szCs w:val="28"/>
          </w:rPr>
          <w:t>..............................................</w:t>
        </w:r>
        <w:r>
          <w:rPr>
            <w:rFonts w:ascii="宋体" w:hAnsi="宋体" w:cs="宋体" w:eastAsia="宋体" w:hint="default"/>
            <w:b/>
            <w:bCs/>
            <w:spacing w:val="17"/>
            <w:sz w:val="28"/>
            <w:szCs w:val="28"/>
          </w:rPr>
          <w:t> </w:t>
        </w:r>
        <w:r>
          <w:rPr>
            <w:rFonts w:ascii="宋体" w:hAnsi="宋体" w:cs="宋体" w:eastAsia="宋体" w:hint="default"/>
            <w:b/>
            <w:bCs/>
            <w:sz w:val="28"/>
            <w:szCs w:val="28"/>
          </w:rPr>
          <w:t>84</w:t>
        </w:r>
      </w:hyperlink>
      <w:r>
        <w:rPr>
          <w:rFonts w:ascii="宋体" w:hAnsi="宋体" w:cs="宋体" w:eastAsia="宋体" w:hint="default"/>
          <w:b/>
          <w:bCs/>
          <w:sz w:val="28"/>
          <w:szCs w:val="28"/>
        </w:rPr>
        <w:t> </w:t>
      </w:r>
      <w:r>
        <w:rPr>
          <w:rFonts w:ascii="宋体" w:hAnsi="宋体" w:cs="宋体" w:eastAsia="宋体" w:hint="default"/>
          <w:sz w:val="28"/>
          <w:szCs w:val="28"/>
        </w:rPr>
      </w:r>
    </w:p>
    <w:p>
      <w:pPr>
        <w:spacing w:line="240" w:lineRule="auto" w:before="10"/>
        <w:rPr>
          <w:rFonts w:ascii="宋体" w:hAnsi="宋体" w:cs="宋体" w:eastAsia="宋体" w:hint="default"/>
          <w:b/>
          <w:bCs/>
          <w:sz w:val="25"/>
          <w:szCs w:val="25"/>
        </w:rPr>
      </w:pPr>
    </w:p>
    <w:p>
      <w:pPr>
        <w:spacing w:before="0"/>
        <w:ind w:left="152" w:right="0" w:firstLine="0"/>
        <w:jc w:val="both"/>
        <w:rPr>
          <w:rFonts w:ascii="宋体" w:hAnsi="宋体" w:cs="宋体" w:eastAsia="宋体" w:hint="default"/>
          <w:sz w:val="28"/>
          <w:szCs w:val="28"/>
        </w:rPr>
      </w:pPr>
      <w:hyperlink w:history="true" w:anchor="_bookmark12">
        <w:r>
          <w:rPr>
            <w:rFonts w:ascii="宋体" w:hAnsi="宋体" w:cs="宋体" w:eastAsia="宋体" w:hint="default"/>
            <w:b/>
            <w:bCs/>
            <w:sz w:val="28"/>
            <w:szCs w:val="28"/>
          </w:rPr>
          <w:t>第十三章  </w:t>
        </w:r>
        <w:r>
          <w:rPr>
            <w:rFonts w:ascii="宋体" w:hAnsi="宋体" w:cs="宋体" w:eastAsia="宋体" w:hint="default"/>
            <w:b/>
            <w:bCs/>
            <w:sz w:val="28"/>
            <w:szCs w:val="28"/>
          </w:rPr>
        </w:r>
        <w:r>
          <w:rPr>
            <w:rFonts w:ascii="宋体" w:hAnsi="宋体" w:cs="宋体" w:eastAsia="宋体" w:hint="default"/>
            <w:b/>
            <w:bCs/>
            <w:sz w:val="28"/>
            <w:szCs w:val="28"/>
          </w:rPr>
          <w:t>备查文件目录 </w:t>
        </w:r>
        <w:r>
          <w:rPr>
            <w:rFonts w:ascii="宋体" w:hAnsi="宋体" w:cs="宋体" w:eastAsia="宋体" w:hint="default"/>
            <w:b/>
            <w:bCs/>
            <w:sz w:val="28"/>
            <w:szCs w:val="28"/>
          </w:rPr>
        </w:r>
        <w:r>
          <w:rPr>
            <w:rFonts w:ascii="宋体" w:hAnsi="宋体" w:cs="宋体" w:eastAsia="宋体" w:hint="default"/>
            <w:b/>
            <w:bCs/>
            <w:spacing w:val="3"/>
            <w:sz w:val="28"/>
            <w:szCs w:val="28"/>
          </w:rPr>
          <w:t>.........................................</w:t>
        </w:r>
        <w:r>
          <w:rPr>
            <w:rFonts w:ascii="宋体" w:hAnsi="宋体" w:cs="宋体" w:eastAsia="宋体" w:hint="default"/>
            <w:b/>
            <w:bCs/>
            <w:spacing w:val="-103"/>
            <w:sz w:val="28"/>
            <w:szCs w:val="28"/>
          </w:rPr>
          <w:t> </w:t>
        </w:r>
        <w:r>
          <w:rPr>
            <w:rFonts w:ascii="宋体" w:hAnsi="宋体" w:cs="宋体" w:eastAsia="宋体" w:hint="default"/>
            <w:b/>
            <w:bCs/>
            <w:sz w:val="28"/>
            <w:szCs w:val="28"/>
          </w:rPr>
          <w:t>176</w:t>
        </w:r>
        <w:r>
          <w:rPr>
            <w:rFonts w:ascii="宋体" w:hAnsi="宋体" w:cs="宋体" w:eastAsia="宋体" w:hint="default"/>
            <w:sz w:val="28"/>
            <w:szCs w:val="28"/>
          </w:rPr>
        </w:r>
      </w:hyperlink>
    </w:p>
    <w:p>
      <w:pPr>
        <w:spacing w:after="0"/>
        <w:jc w:val="both"/>
        <w:rPr>
          <w:rFonts w:ascii="宋体" w:hAnsi="宋体" w:cs="宋体" w:eastAsia="宋体" w:hint="default"/>
          <w:sz w:val="28"/>
          <w:szCs w:val="28"/>
        </w:rPr>
        <w:sectPr>
          <w:pgSz w:w="11910" w:h="16840"/>
          <w:pgMar w:header="880" w:footer="975" w:top="1100" w:bottom="1160" w:left="980" w:right="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pStyle w:val="Heading1"/>
        <w:tabs>
          <w:tab w:pos="964" w:val="left" w:leader="none"/>
        </w:tabs>
        <w:spacing w:line="240" w:lineRule="auto" w:before="152"/>
        <w:ind w:right="980"/>
        <w:jc w:val="center"/>
        <w:rPr>
          <w:b w:val="0"/>
          <w:bCs w:val="0"/>
        </w:rPr>
      </w:pPr>
      <w:r>
        <w:rPr>
          <w:w w:val="95"/>
        </w:rPr>
        <w:t>释</w:t>
        <w:tab/>
      </w:r>
      <w:r>
        <w:rPr/>
        <w:t>义</w:t>
      </w:r>
      <w:r>
        <w:rPr>
          <w:b w:val="0"/>
          <w:bCs w:val="0"/>
        </w:rPr>
      </w:r>
    </w:p>
    <w:p>
      <w:pPr>
        <w:spacing w:line="240" w:lineRule="auto" w:before="8"/>
        <w:rPr>
          <w:rFonts w:ascii="宋体" w:hAnsi="宋体" w:cs="宋体" w:eastAsia="宋体" w:hint="default"/>
          <w:b/>
          <w:bCs/>
          <w:sz w:val="11"/>
          <w:szCs w:val="11"/>
        </w:rPr>
      </w:pPr>
    </w:p>
    <w:tbl>
      <w:tblPr>
        <w:tblW w:w="0" w:type="auto"/>
        <w:jc w:val="left"/>
        <w:tblInd w:w="148" w:type="dxa"/>
        <w:tblLayout w:type="fixed"/>
        <w:tblCellMar>
          <w:top w:w="0" w:type="dxa"/>
          <w:left w:w="0" w:type="dxa"/>
          <w:bottom w:w="0" w:type="dxa"/>
          <w:right w:w="0" w:type="dxa"/>
        </w:tblCellMar>
        <w:tblLook w:val="01E0"/>
      </w:tblPr>
      <w:tblGrid>
        <w:gridCol w:w="2696"/>
        <w:gridCol w:w="567"/>
        <w:gridCol w:w="6308"/>
      </w:tblGrid>
      <w:tr>
        <w:trPr>
          <w:trHeight w:val="401" w:hRule="exact"/>
        </w:trPr>
        <w:tc>
          <w:tcPr>
            <w:tcW w:w="26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释义项</w:t>
            </w:r>
          </w:p>
        </w:tc>
        <w:tc>
          <w:tcPr>
            <w:tcW w:w="5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3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释义内容</w:t>
            </w:r>
          </w:p>
        </w:tc>
      </w:tr>
      <w:tr>
        <w:trPr>
          <w:trHeight w:val="715" w:hRule="exact"/>
        </w:trPr>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3"/>
              <w:ind w:left="24" w:right="22"/>
              <w:jc w:val="left"/>
              <w:rPr>
                <w:rFonts w:ascii="宋体" w:hAnsi="宋体" w:cs="宋体" w:eastAsia="宋体" w:hint="default"/>
                <w:sz w:val="18"/>
                <w:szCs w:val="18"/>
              </w:rPr>
            </w:pPr>
            <w:r>
              <w:rPr>
                <w:rFonts w:ascii="宋体" w:hAnsi="宋体" w:cs="宋体" w:eastAsia="宋体" w:hint="default"/>
                <w:spacing w:val="-5"/>
                <w:sz w:val="18"/>
                <w:szCs w:val="18"/>
              </w:rPr>
              <w:t>公司、本公司、上市公司、中嘉博</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创、茂业通信、茂业物流</w:t>
            </w:r>
          </w:p>
        </w:tc>
        <w:tc>
          <w:tcPr>
            <w:tcW w:w="5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宋体" w:hAnsi="宋体" w:cs="宋体" w:eastAsia="宋体" w:hint="default"/>
                <w:b/>
                <w:bCs/>
                <w:sz w:val="16"/>
                <w:szCs w:val="16"/>
              </w:rPr>
            </w:pPr>
          </w:p>
          <w:p>
            <w:pPr>
              <w:pStyle w:val="TableParagraph"/>
              <w:spacing w:line="240" w:lineRule="auto"/>
              <w:ind w:left="3"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b/>
                <w:bCs/>
                <w:sz w:val="16"/>
                <w:szCs w:val="16"/>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中嘉博创信息技术股份有限公司</w:t>
            </w:r>
          </w:p>
        </w:tc>
      </w:tr>
      <w:tr>
        <w:trPr>
          <w:trHeight w:val="401" w:hRule="exact"/>
        </w:trPr>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创世漫道</w:t>
            </w:r>
          </w:p>
        </w:tc>
        <w:tc>
          <w:tcPr>
            <w:tcW w:w="5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公司全资子公司北京创世漫道科技有限公司</w:t>
            </w:r>
          </w:p>
        </w:tc>
      </w:tr>
      <w:tr>
        <w:trPr>
          <w:trHeight w:val="403" w:hRule="exact"/>
        </w:trPr>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长实通信</w:t>
            </w:r>
          </w:p>
        </w:tc>
        <w:tc>
          <w:tcPr>
            <w:tcW w:w="5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公司全资子公司广东长实通信科技有限公司</w:t>
            </w:r>
          </w:p>
        </w:tc>
      </w:tr>
      <w:tr>
        <w:trPr>
          <w:trHeight w:val="401" w:hRule="exact"/>
        </w:trPr>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嘉华信息</w:t>
            </w:r>
          </w:p>
        </w:tc>
        <w:tc>
          <w:tcPr>
            <w:tcW w:w="5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公司全资子公司北京中天嘉华信息技术有限公司</w:t>
            </w:r>
          </w:p>
        </w:tc>
      </w:tr>
      <w:tr>
        <w:trPr>
          <w:trHeight w:val="715" w:hRule="exact"/>
        </w:trPr>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b/>
                <w:bCs/>
                <w:sz w:val="16"/>
                <w:szCs w:val="16"/>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年重组</w:t>
            </w:r>
          </w:p>
        </w:tc>
        <w:tc>
          <w:tcPr>
            <w:tcW w:w="5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宋体" w:hAnsi="宋体" w:cs="宋体" w:eastAsia="宋体" w:hint="default"/>
                <w:b/>
                <w:bCs/>
                <w:sz w:val="16"/>
                <w:szCs w:val="16"/>
              </w:rPr>
            </w:pPr>
          </w:p>
          <w:p>
            <w:pPr>
              <w:pStyle w:val="TableParagraph"/>
              <w:spacing w:line="240" w:lineRule="auto"/>
              <w:ind w:left="3"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308" w:type="dxa"/>
            <w:tcBorders>
              <w:top w:val="single" w:sz="4" w:space="0" w:color="000000"/>
              <w:left w:val="single" w:sz="4" w:space="0" w:color="000000"/>
              <w:bottom w:val="single" w:sz="4" w:space="0" w:color="000000"/>
              <w:right w:val="single" w:sz="4" w:space="0" w:color="000000"/>
            </w:tcBorders>
          </w:tcPr>
          <w:p>
            <w:pPr>
              <w:pStyle w:val="TableParagraph"/>
              <w:spacing w:line="297" w:lineRule="auto" w:before="53"/>
              <w:ind w:left="24" w:right="106"/>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年度发生并实施完毕的公司发行股份及支付现金购买资产并向特定对象募 集配套资金事项</w:t>
            </w:r>
          </w:p>
        </w:tc>
      </w:tr>
      <w:tr>
        <w:trPr>
          <w:trHeight w:val="401" w:hRule="exact"/>
        </w:trPr>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年重大资产购买</w:t>
            </w:r>
          </w:p>
        </w:tc>
        <w:tc>
          <w:tcPr>
            <w:tcW w:w="5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年度发生完成的公司资产购买暨关联交易事项：收购长实通信</w:t>
            </w:r>
            <w:r>
              <w:rPr>
                <w:rFonts w:ascii="宋体" w:hAnsi="宋体" w:cs="宋体" w:eastAsia="宋体" w:hint="default"/>
                <w:spacing w:val="-61"/>
                <w:sz w:val="18"/>
                <w:szCs w:val="18"/>
              </w:rPr>
              <w:t> </w:t>
            </w:r>
            <w:r>
              <w:rPr>
                <w:rFonts w:ascii="Times New Roman" w:hAnsi="Times New Roman" w:cs="Times New Roman" w:eastAsia="Times New Roman" w:hint="default"/>
                <w:sz w:val="18"/>
                <w:szCs w:val="18"/>
              </w:rPr>
              <w:t>100%</w:t>
            </w:r>
            <w:r>
              <w:rPr>
                <w:rFonts w:ascii="宋体" w:hAnsi="宋体" w:cs="宋体" w:eastAsia="宋体" w:hint="default"/>
                <w:sz w:val="18"/>
                <w:szCs w:val="18"/>
              </w:rPr>
              <w:t>的股权</w:t>
            </w:r>
          </w:p>
        </w:tc>
      </w:tr>
      <w:tr>
        <w:trPr>
          <w:trHeight w:val="715" w:hRule="exact"/>
        </w:trPr>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b/>
                <w:bCs/>
                <w:sz w:val="16"/>
                <w:szCs w:val="16"/>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年重组</w:t>
            </w:r>
          </w:p>
        </w:tc>
        <w:tc>
          <w:tcPr>
            <w:tcW w:w="5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宋体" w:hAnsi="宋体" w:cs="宋体" w:eastAsia="宋体" w:hint="default"/>
                <w:b/>
                <w:bCs/>
                <w:sz w:val="16"/>
                <w:szCs w:val="16"/>
              </w:rPr>
            </w:pPr>
          </w:p>
          <w:p>
            <w:pPr>
              <w:pStyle w:val="TableParagraph"/>
              <w:spacing w:line="240" w:lineRule="auto"/>
              <w:ind w:left="3"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308" w:type="dxa"/>
            <w:tcBorders>
              <w:top w:val="single" w:sz="4" w:space="0" w:color="000000"/>
              <w:left w:val="single" w:sz="4" w:space="0" w:color="000000"/>
              <w:bottom w:val="single" w:sz="4" w:space="0" w:color="000000"/>
              <w:right w:val="single" w:sz="4" w:space="0" w:color="000000"/>
            </w:tcBorders>
          </w:tcPr>
          <w:p>
            <w:pPr>
              <w:pStyle w:val="TableParagraph"/>
              <w:spacing w:line="297" w:lineRule="auto" w:before="53"/>
              <w:ind w:left="24" w:right="61"/>
              <w:jc w:val="left"/>
              <w:rPr>
                <w:rFonts w:ascii="宋体" w:hAnsi="宋体" w:cs="宋体" w:eastAsia="宋体"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年筹划、</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年实施完毕的公司发行股份及支付现金购买资产事项：收购 嘉华信息</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100%</w:t>
            </w:r>
            <w:r>
              <w:rPr>
                <w:rFonts w:ascii="宋体" w:hAnsi="宋体" w:cs="宋体" w:eastAsia="宋体" w:hint="default"/>
                <w:sz w:val="18"/>
                <w:szCs w:val="18"/>
              </w:rPr>
              <w:t>的股权</w:t>
            </w:r>
          </w:p>
        </w:tc>
      </w:tr>
      <w:tr>
        <w:trPr>
          <w:trHeight w:val="401" w:hRule="exact"/>
        </w:trPr>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鹰溪谷</w:t>
            </w:r>
          </w:p>
        </w:tc>
        <w:tc>
          <w:tcPr>
            <w:tcW w:w="5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公司第一大股东孝昌鹰溪谷投资中心</w:t>
            </w:r>
            <w:r>
              <w:rPr>
                <w:rFonts w:ascii="Times New Roman" w:hAnsi="Times New Roman" w:cs="Times New Roman" w:eastAsia="Times New Roman" w:hint="default"/>
                <w:sz w:val="18"/>
                <w:szCs w:val="18"/>
              </w:rPr>
              <w:t>(</w:t>
            </w:r>
            <w:r>
              <w:rPr>
                <w:rFonts w:ascii="宋体" w:hAnsi="宋体" w:cs="宋体" w:eastAsia="宋体" w:hint="default"/>
                <w:sz w:val="18"/>
                <w:szCs w:val="18"/>
              </w:rPr>
              <w:t>有限合伙</w:t>
            </w:r>
            <w:r>
              <w:rPr>
                <w:rFonts w:ascii="Times New Roman" w:hAnsi="Times New Roman" w:cs="Times New Roman" w:eastAsia="Times New Roman" w:hint="default"/>
                <w:sz w:val="18"/>
                <w:szCs w:val="18"/>
              </w:rPr>
              <w:t>)</w:t>
            </w:r>
          </w:p>
        </w:tc>
      </w:tr>
      <w:tr>
        <w:trPr>
          <w:trHeight w:val="403" w:hRule="exact"/>
        </w:trPr>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中兆投资</w:t>
            </w:r>
          </w:p>
        </w:tc>
        <w:tc>
          <w:tcPr>
            <w:tcW w:w="5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公司第二大股东中兆投资管理有限公司</w:t>
            </w:r>
          </w:p>
        </w:tc>
      </w:tr>
      <w:tr>
        <w:trPr>
          <w:trHeight w:val="401" w:hRule="exact"/>
        </w:trPr>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通泰达</w:t>
            </w:r>
          </w:p>
        </w:tc>
        <w:tc>
          <w:tcPr>
            <w:tcW w:w="5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公司第三大股东深圳通泰达投资中心</w:t>
            </w:r>
            <w:r>
              <w:rPr>
                <w:rFonts w:ascii="Times New Roman" w:hAnsi="Times New Roman" w:cs="Times New Roman" w:eastAsia="Times New Roman" w:hint="default"/>
                <w:sz w:val="18"/>
                <w:szCs w:val="18"/>
              </w:rPr>
              <w:t>(</w:t>
            </w:r>
            <w:r>
              <w:rPr>
                <w:rFonts w:ascii="宋体" w:hAnsi="宋体" w:cs="宋体" w:eastAsia="宋体" w:hint="default"/>
                <w:sz w:val="18"/>
                <w:szCs w:val="18"/>
              </w:rPr>
              <w:t>有限合伙</w:t>
            </w:r>
            <w:r>
              <w:rPr>
                <w:rFonts w:ascii="Times New Roman" w:hAnsi="Times New Roman" w:cs="Times New Roman" w:eastAsia="Times New Roman" w:hint="default"/>
                <w:sz w:val="18"/>
                <w:szCs w:val="18"/>
              </w:rPr>
              <w:t>)</w:t>
            </w:r>
          </w:p>
        </w:tc>
      </w:tr>
      <w:tr>
        <w:trPr>
          <w:trHeight w:val="403" w:hRule="exact"/>
        </w:trPr>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博升优势</w:t>
            </w:r>
          </w:p>
        </w:tc>
        <w:tc>
          <w:tcPr>
            <w:tcW w:w="5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公司股东北京博升优势科技发展有限公司</w:t>
            </w:r>
          </w:p>
        </w:tc>
      </w:tr>
      <w:tr>
        <w:trPr>
          <w:trHeight w:val="401" w:hRule="exact"/>
        </w:trPr>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峰幽投资</w:t>
            </w:r>
          </w:p>
        </w:tc>
        <w:tc>
          <w:tcPr>
            <w:tcW w:w="5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公司股东上海峰幽投资管理中心</w:t>
            </w:r>
            <w:r>
              <w:rPr>
                <w:rFonts w:ascii="Times New Roman" w:hAnsi="Times New Roman" w:cs="Times New Roman" w:eastAsia="Times New Roman" w:hint="default"/>
                <w:sz w:val="18"/>
                <w:szCs w:val="18"/>
              </w:rPr>
              <w:t>(</w:t>
            </w:r>
            <w:r>
              <w:rPr>
                <w:rFonts w:ascii="宋体" w:hAnsi="宋体" w:cs="宋体" w:eastAsia="宋体" w:hint="default"/>
                <w:sz w:val="18"/>
                <w:szCs w:val="18"/>
              </w:rPr>
              <w:t>普通合伙</w:t>
            </w:r>
            <w:r>
              <w:rPr>
                <w:rFonts w:ascii="Times New Roman" w:hAnsi="Times New Roman" w:cs="Times New Roman" w:eastAsia="Times New Roman" w:hint="default"/>
                <w:sz w:val="18"/>
                <w:szCs w:val="18"/>
              </w:rPr>
              <w:t>)</w:t>
            </w:r>
          </w:p>
        </w:tc>
      </w:tr>
      <w:tr>
        <w:trPr>
          <w:trHeight w:val="403" w:hRule="exact"/>
        </w:trPr>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深圳茂业百货</w:t>
            </w:r>
          </w:p>
        </w:tc>
        <w:tc>
          <w:tcPr>
            <w:tcW w:w="5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公司大股东中兆投资的关联方深圳茂业百货有限公司</w:t>
            </w:r>
          </w:p>
        </w:tc>
      </w:tr>
      <w:tr>
        <w:trPr>
          <w:trHeight w:val="401" w:hRule="exact"/>
        </w:trPr>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中泽嘉盟</w:t>
            </w:r>
          </w:p>
        </w:tc>
        <w:tc>
          <w:tcPr>
            <w:tcW w:w="5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公司股东鹰溪谷的间接股东北京中泽嘉盟投资中心</w:t>
            </w:r>
            <w:r>
              <w:rPr>
                <w:rFonts w:ascii="Times New Roman" w:hAnsi="Times New Roman" w:cs="Times New Roman" w:eastAsia="Times New Roman" w:hint="default"/>
                <w:sz w:val="18"/>
                <w:szCs w:val="18"/>
              </w:rPr>
              <w:t>(</w:t>
            </w:r>
            <w:r>
              <w:rPr>
                <w:rFonts w:ascii="宋体" w:hAnsi="宋体" w:cs="宋体" w:eastAsia="宋体" w:hint="default"/>
                <w:sz w:val="18"/>
                <w:szCs w:val="18"/>
              </w:rPr>
              <w:t>有限合伙</w:t>
            </w:r>
            <w:r>
              <w:rPr>
                <w:rFonts w:ascii="Times New Roman" w:hAnsi="Times New Roman" w:cs="Times New Roman" w:eastAsia="Times New Roman" w:hint="default"/>
                <w:sz w:val="18"/>
                <w:szCs w:val="18"/>
              </w:rPr>
              <w:t>)</w:t>
            </w:r>
          </w:p>
        </w:tc>
      </w:tr>
      <w:tr>
        <w:trPr>
          <w:trHeight w:val="404" w:hRule="exact"/>
        </w:trPr>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18"/>
                <w:szCs w:val="18"/>
              </w:rPr>
            </w:pPr>
            <w:r>
              <w:rPr>
                <w:rFonts w:ascii="宋体" w:hAnsi="宋体" w:cs="宋体" w:eastAsia="宋体" w:hint="default"/>
                <w:sz w:val="18"/>
                <w:szCs w:val="18"/>
              </w:rPr>
              <w:t>茂业国际</w:t>
            </w:r>
          </w:p>
        </w:tc>
        <w:tc>
          <w:tcPr>
            <w:tcW w:w="5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3"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中兆投资的间接控股股东茂业国际控股有限公司</w:t>
            </w:r>
            <w:r>
              <w:rPr>
                <w:rFonts w:ascii="Times New Roman" w:hAnsi="Times New Roman" w:cs="Times New Roman" w:eastAsia="Times New Roman" w:hint="default"/>
                <w:sz w:val="18"/>
                <w:szCs w:val="18"/>
              </w:rPr>
              <w:t>(</w:t>
            </w:r>
            <w:r>
              <w:rPr>
                <w:rFonts w:ascii="宋体" w:hAnsi="宋体" w:cs="宋体" w:eastAsia="宋体" w:hint="default"/>
                <w:sz w:val="18"/>
                <w:szCs w:val="18"/>
              </w:rPr>
              <w:t>股票代码：</w:t>
            </w:r>
            <w:r>
              <w:rPr>
                <w:rFonts w:ascii="Times New Roman" w:hAnsi="Times New Roman" w:cs="Times New Roman" w:eastAsia="Times New Roman" w:hint="default"/>
                <w:sz w:val="18"/>
                <w:szCs w:val="18"/>
              </w:rPr>
              <w:t>00848.HK)</w:t>
            </w:r>
          </w:p>
        </w:tc>
      </w:tr>
      <w:tr>
        <w:trPr>
          <w:trHeight w:val="401" w:hRule="exact"/>
        </w:trPr>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长实建设</w:t>
            </w:r>
          </w:p>
        </w:tc>
        <w:tc>
          <w:tcPr>
            <w:tcW w:w="5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清远市长实建设有限公司</w:t>
            </w:r>
          </w:p>
        </w:tc>
      </w:tr>
      <w:tr>
        <w:trPr>
          <w:trHeight w:val="403" w:hRule="exact"/>
        </w:trPr>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长实网络</w:t>
            </w:r>
          </w:p>
        </w:tc>
        <w:tc>
          <w:tcPr>
            <w:tcW w:w="5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2015 </w:t>
            </w:r>
            <w:r>
              <w:rPr>
                <w:rFonts w:ascii="宋体" w:hAnsi="宋体" w:cs="宋体" w:eastAsia="宋体" w:hint="default"/>
                <w:sz w:val="18"/>
                <w:szCs w:val="18"/>
              </w:rPr>
              <w:t>年重大资产购买交易对方广东长实网络技术有限公司</w:t>
            </w:r>
          </w:p>
        </w:tc>
      </w:tr>
      <w:tr>
        <w:trPr>
          <w:trHeight w:val="401" w:hRule="exact"/>
        </w:trPr>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孝昌恒隆</w:t>
            </w:r>
          </w:p>
        </w:tc>
        <w:tc>
          <w:tcPr>
            <w:tcW w:w="5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公司</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2015 </w:t>
            </w:r>
            <w:r>
              <w:rPr>
                <w:rFonts w:ascii="宋体" w:hAnsi="宋体" w:cs="宋体" w:eastAsia="宋体" w:hint="default"/>
                <w:sz w:val="18"/>
                <w:szCs w:val="18"/>
              </w:rPr>
              <w:t>年重大资产购买交易对方孝昌恒隆投资中心</w:t>
            </w:r>
            <w:r>
              <w:rPr>
                <w:rFonts w:ascii="Times New Roman" w:hAnsi="Times New Roman" w:cs="Times New Roman" w:eastAsia="Times New Roman" w:hint="default"/>
                <w:sz w:val="18"/>
                <w:szCs w:val="18"/>
              </w:rPr>
              <w:t>(</w:t>
            </w:r>
            <w:r>
              <w:rPr>
                <w:rFonts w:ascii="宋体" w:hAnsi="宋体" w:cs="宋体" w:eastAsia="宋体" w:hint="default"/>
                <w:sz w:val="18"/>
                <w:szCs w:val="18"/>
              </w:rPr>
              <w:t>有限合伙</w:t>
            </w:r>
            <w:r>
              <w:rPr>
                <w:rFonts w:ascii="Times New Roman" w:hAnsi="Times New Roman" w:cs="Times New Roman" w:eastAsia="Times New Roman" w:hint="default"/>
                <w:sz w:val="18"/>
                <w:szCs w:val="18"/>
              </w:rPr>
              <w:t>)</w:t>
            </w:r>
          </w:p>
        </w:tc>
      </w:tr>
      <w:tr>
        <w:trPr>
          <w:trHeight w:val="403" w:hRule="exact"/>
        </w:trPr>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长实锦轩</w:t>
            </w:r>
          </w:p>
        </w:tc>
        <w:tc>
          <w:tcPr>
            <w:tcW w:w="5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公司</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2015 </w:t>
            </w:r>
            <w:r>
              <w:rPr>
                <w:rFonts w:ascii="宋体" w:hAnsi="宋体" w:cs="宋体" w:eastAsia="宋体" w:hint="default"/>
                <w:sz w:val="18"/>
                <w:szCs w:val="18"/>
              </w:rPr>
              <w:t>年重大资产购买交易对方孝昌长实锦轩投资中心</w:t>
            </w:r>
            <w:r>
              <w:rPr>
                <w:rFonts w:ascii="Times New Roman" w:hAnsi="Times New Roman" w:cs="Times New Roman" w:eastAsia="Times New Roman" w:hint="default"/>
                <w:sz w:val="18"/>
                <w:szCs w:val="18"/>
              </w:rPr>
              <w:t>(</w:t>
            </w:r>
            <w:r>
              <w:rPr>
                <w:rFonts w:ascii="宋体" w:hAnsi="宋体" w:cs="宋体" w:eastAsia="宋体" w:hint="default"/>
                <w:sz w:val="18"/>
                <w:szCs w:val="18"/>
              </w:rPr>
              <w:t>有限合伙</w:t>
            </w:r>
            <w:r>
              <w:rPr>
                <w:rFonts w:ascii="Times New Roman" w:hAnsi="Times New Roman" w:cs="Times New Roman" w:eastAsia="Times New Roman" w:hint="default"/>
                <w:sz w:val="18"/>
                <w:szCs w:val="18"/>
              </w:rPr>
              <w:t>)</w:t>
            </w:r>
          </w:p>
        </w:tc>
      </w:tr>
      <w:tr>
        <w:trPr>
          <w:trHeight w:val="401" w:hRule="exact"/>
        </w:trPr>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嘉语春华</w:t>
            </w:r>
          </w:p>
        </w:tc>
        <w:tc>
          <w:tcPr>
            <w:tcW w:w="5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宁波保税区嘉语春华投资合伙企业</w:t>
            </w:r>
            <w:r>
              <w:rPr>
                <w:rFonts w:ascii="Times New Roman" w:hAnsi="Times New Roman" w:cs="Times New Roman" w:eastAsia="Times New Roman" w:hint="default"/>
                <w:sz w:val="18"/>
                <w:szCs w:val="18"/>
              </w:rPr>
              <w:t>(</w:t>
            </w:r>
            <w:r>
              <w:rPr>
                <w:rFonts w:ascii="宋体" w:hAnsi="宋体" w:cs="宋体" w:eastAsia="宋体" w:hint="default"/>
                <w:sz w:val="18"/>
                <w:szCs w:val="18"/>
              </w:rPr>
              <w:t>有限合伙</w:t>
            </w:r>
            <w:r>
              <w:rPr>
                <w:rFonts w:ascii="Times New Roman" w:hAnsi="Times New Roman" w:cs="Times New Roman" w:eastAsia="Times New Roman" w:hint="default"/>
                <w:sz w:val="18"/>
                <w:szCs w:val="18"/>
              </w:rPr>
              <w:t>)</w:t>
            </w:r>
          </w:p>
        </w:tc>
      </w:tr>
      <w:tr>
        <w:trPr>
          <w:trHeight w:val="403" w:hRule="exact"/>
        </w:trPr>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嘉惠秋实</w:t>
            </w:r>
          </w:p>
        </w:tc>
        <w:tc>
          <w:tcPr>
            <w:tcW w:w="5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宁波保税区嘉惠秋实投资合伙企业</w:t>
            </w:r>
            <w:r>
              <w:rPr>
                <w:rFonts w:ascii="Times New Roman" w:hAnsi="Times New Roman" w:cs="Times New Roman" w:eastAsia="Times New Roman" w:hint="default"/>
                <w:sz w:val="18"/>
                <w:szCs w:val="18"/>
              </w:rPr>
              <w:t>(</w:t>
            </w:r>
            <w:r>
              <w:rPr>
                <w:rFonts w:ascii="宋体" w:hAnsi="宋体" w:cs="宋体" w:eastAsia="宋体" w:hint="default"/>
                <w:sz w:val="18"/>
                <w:szCs w:val="18"/>
              </w:rPr>
              <w:t>有限合伙</w:t>
            </w:r>
            <w:r>
              <w:rPr>
                <w:rFonts w:ascii="Times New Roman" w:hAnsi="Times New Roman" w:cs="Times New Roman" w:eastAsia="Times New Roman" w:hint="default"/>
                <w:sz w:val="18"/>
                <w:szCs w:val="18"/>
              </w:rPr>
              <w:t>)</w:t>
            </w:r>
          </w:p>
        </w:tc>
      </w:tr>
      <w:tr>
        <w:trPr>
          <w:trHeight w:val="401" w:hRule="exact"/>
        </w:trPr>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亚太（集团）</w:t>
            </w:r>
          </w:p>
        </w:tc>
        <w:tc>
          <w:tcPr>
            <w:tcW w:w="5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亚太（集团）会计师事务所</w:t>
            </w:r>
            <w:r>
              <w:rPr>
                <w:rFonts w:ascii="Times New Roman" w:hAnsi="Times New Roman" w:cs="Times New Roman" w:eastAsia="Times New Roman" w:hint="default"/>
                <w:sz w:val="18"/>
                <w:szCs w:val="18"/>
              </w:rPr>
              <w:t>(</w:t>
            </w:r>
            <w:r>
              <w:rPr>
                <w:rFonts w:ascii="宋体" w:hAnsi="宋体" w:cs="宋体" w:eastAsia="宋体" w:hint="default"/>
                <w:sz w:val="18"/>
                <w:szCs w:val="18"/>
              </w:rPr>
              <w:t>特殊普通合伙</w:t>
            </w:r>
            <w:r>
              <w:rPr>
                <w:rFonts w:ascii="Times New Roman" w:hAnsi="Times New Roman" w:cs="Times New Roman" w:eastAsia="Times New Roman" w:hint="default"/>
                <w:sz w:val="18"/>
                <w:szCs w:val="18"/>
              </w:rPr>
              <w:t>)</w:t>
            </w:r>
          </w:p>
        </w:tc>
      </w:tr>
      <w:tr>
        <w:trPr>
          <w:trHeight w:val="716" w:hRule="exact"/>
        </w:trPr>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b/>
                <w:bCs/>
                <w:sz w:val="16"/>
                <w:szCs w:val="16"/>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pacing w:val="-5"/>
                <w:sz w:val="18"/>
                <w:szCs w:val="18"/>
              </w:rPr>
              <w:t>通信运营商、电信运营商、运营商</w:t>
            </w:r>
          </w:p>
        </w:tc>
        <w:tc>
          <w:tcPr>
            <w:tcW w:w="5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宋体" w:hAnsi="宋体" w:cs="宋体" w:eastAsia="宋体" w:hint="default"/>
                <w:b/>
                <w:bCs/>
                <w:sz w:val="16"/>
                <w:szCs w:val="16"/>
              </w:rPr>
            </w:pPr>
          </w:p>
          <w:p>
            <w:pPr>
              <w:pStyle w:val="TableParagraph"/>
              <w:spacing w:line="240" w:lineRule="auto"/>
              <w:ind w:left="3"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308"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3"/>
              <w:ind w:left="24" w:right="20"/>
              <w:jc w:val="left"/>
              <w:rPr>
                <w:rFonts w:ascii="宋体" w:hAnsi="宋体" w:cs="宋体" w:eastAsia="宋体" w:hint="default"/>
                <w:sz w:val="18"/>
                <w:szCs w:val="18"/>
              </w:rPr>
            </w:pPr>
            <w:r>
              <w:rPr>
                <w:rFonts w:ascii="宋体" w:hAnsi="宋体" w:cs="宋体" w:eastAsia="宋体" w:hint="default"/>
                <w:spacing w:val="-2"/>
                <w:sz w:val="18"/>
                <w:szCs w:val="18"/>
              </w:rPr>
              <w:t>国内基础通信运营商，包括中国移动通信集团公司、中国联合网络通信集团有限</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公司、中国电信集团公司</w:t>
            </w:r>
          </w:p>
        </w:tc>
      </w:tr>
      <w:tr>
        <w:trPr>
          <w:trHeight w:val="401" w:hRule="exact"/>
        </w:trPr>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海联金汇</w:t>
            </w:r>
          </w:p>
        </w:tc>
        <w:tc>
          <w:tcPr>
            <w:tcW w:w="5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海联金汇科技股份有限公司</w:t>
            </w:r>
            <w:r>
              <w:rPr>
                <w:rFonts w:ascii="Times New Roman" w:hAnsi="Times New Roman" w:cs="Times New Roman" w:eastAsia="Times New Roman" w:hint="default"/>
                <w:sz w:val="18"/>
                <w:szCs w:val="18"/>
              </w:rPr>
              <w:t>(002537.SZ)</w:t>
            </w:r>
          </w:p>
        </w:tc>
      </w:tr>
      <w:tr>
        <w:trPr>
          <w:trHeight w:val="403" w:hRule="exact"/>
        </w:trPr>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联动优势</w:t>
            </w:r>
          </w:p>
        </w:tc>
        <w:tc>
          <w:tcPr>
            <w:tcW w:w="5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海联金汇的全资子公司联动优势科技有限公司</w:t>
            </w:r>
          </w:p>
        </w:tc>
      </w:tr>
      <w:tr>
        <w:trPr>
          <w:trHeight w:val="401" w:hRule="exact"/>
        </w:trPr>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4" w:right="0"/>
              <w:jc w:val="left"/>
              <w:rPr>
                <w:rFonts w:ascii="Times New Roman" w:hAnsi="Times New Roman" w:cs="Times New Roman" w:eastAsia="Times New Roman" w:hint="default"/>
                <w:sz w:val="18"/>
                <w:szCs w:val="18"/>
              </w:rPr>
            </w:pPr>
            <w:r>
              <w:rPr>
                <w:rFonts w:ascii="Times New Roman"/>
                <w:sz w:val="18"/>
              </w:rPr>
              <w:t>5G</w:t>
            </w:r>
          </w:p>
        </w:tc>
        <w:tc>
          <w:tcPr>
            <w:tcW w:w="5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第五代移动通信技术</w:t>
            </w:r>
          </w:p>
        </w:tc>
      </w:tr>
      <w:tr>
        <w:trPr>
          <w:trHeight w:val="403" w:hRule="exact"/>
        </w:trPr>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4" w:right="0"/>
              <w:jc w:val="left"/>
              <w:rPr>
                <w:rFonts w:ascii="Times New Roman" w:hAnsi="Times New Roman" w:cs="Times New Roman" w:eastAsia="Times New Roman" w:hint="default"/>
                <w:sz w:val="18"/>
                <w:szCs w:val="18"/>
              </w:rPr>
            </w:pPr>
            <w:r>
              <w:rPr>
                <w:rFonts w:ascii="Times New Roman"/>
                <w:sz w:val="18"/>
              </w:rPr>
              <w:t>IDC</w:t>
            </w:r>
          </w:p>
        </w:tc>
        <w:tc>
          <w:tcPr>
            <w:tcW w:w="5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3"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互联网数据中心</w:t>
            </w:r>
          </w:p>
        </w:tc>
      </w:tr>
      <w:tr>
        <w:trPr>
          <w:trHeight w:val="403" w:hRule="exact"/>
        </w:trPr>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4" w:right="0"/>
              <w:jc w:val="left"/>
              <w:rPr>
                <w:rFonts w:ascii="Times New Roman" w:hAnsi="Times New Roman" w:cs="Times New Roman" w:eastAsia="Times New Roman" w:hint="default"/>
                <w:sz w:val="18"/>
                <w:szCs w:val="18"/>
              </w:rPr>
            </w:pPr>
            <w:r>
              <w:rPr>
                <w:rFonts w:ascii="Times New Roman"/>
                <w:sz w:val="18"/>
              </w:rPr>
              <w:t>BPO</w:t>
            </w:r>
          </w:p>
        </w:tc>
        <w:tc>
          <w:tcPr>
            <w:tcW w:w="5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6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Bu</w:t>
            </w:r>
            <w:r>
              <w:rPr>
                <w:rFonts w:ascii="Times New Roman" w:hAnsi="Times New Roman" w:cs="Times New Roman" w:eastAsia="Times New Roman" w:hint="default"/>
                <w:w w:val="99"/>
                <w:sz w:val="18"/>
                <w:szCs w:val="18"/>
              </w:rPr>
              <w:t>sin</w:t>
            </w:r>
            <w:r>
              <w:rPr>
                <w:rFonts w:ascii="Times New Roman" w:hAnsi="Times New Roman" w:cs="Times New Roman" w:eastAsia="Times New Roman" w:hint="default"/>
                <w:spacing w:val="-1"/>
                <w:sz w:val="18"/>
                <w:szCs w:val="18"/>
              </w:rPr>
              <w:t>e</w:t>
            </w:r>
            <w:r>
              <w:rPr>
                <w:rFonts w:ascii="Times New Roman" w:hAnsi="Times New Roman" w:cs="Times New Roman" w:eastAsia="Times New Roman" w:hint="default"/>
                <w:w w:val="99"/>
                <w:sz w:val="18"/>
                <w:szCs w:val="18"/>
              </w:rPr>
              <w:t>ss</w:t>
            </w:r>
            <w:r>
              <w:rPr>
                <w:rFonts w:ascii="Times New Roman" w:hAnsi="Times New Roman" w:cs="Times New Roman" w:eastAsia="Times New Roman" w:hint="default"/>
                <w:spacing w:val="-1"/>
                <w:sz w:val="18"/>
                <w:szCs w:val="18"/>
              </w:rPr>
              <w:t> </w:t>
            </w:r>
            <w:r>
              <w:rPr>
                <w:rFonts w:ascii="Times New Roman" w:hAnsi="Times New Roman" w:cs="Times New Roman" w:eastAsia="Times New Roman" w:hint="default"/>
                <w:w w:val="99"/>
                <w:sz w:val="18"/>
                <w:szCs w:val="18"/>
              </w:rPr>
              <w:t>P</w:t>
            </w:r>
            <w:r>
              <w:rPr>
                <w:rFonts w:ascii="Times New Roman" w:hAnsi="Times New Roman" w:cs="Times New Roman" w:eastAsia="Times New Roman" w:hint="default"/>
                <w:w w:val="99"/>
                <w:sz w:val="18"/>
                <w:szCs w:val="18"/>
              </w:rPr>
              <w:t>r</w:t>
            </w:r>
            <w:r>
              <w:rPr>
                <w:rFonts w:ascii="Times New Roman" w:hAnsi="Times New Roman" w:cs="Times New Roman" w:eastAsia="Times New Roman" w:hint="default"/>
                <w:spacing w:val="1"/>
                <w:w w:val="99"/>
                <w:sz w:val="18"/>
                <w:szCs w:val="18"/>
              </w:rPr>
              <w:t>o</w:t>
            </w:r>
            <w:r>
              <w:rPr>
                <w:rFonts w:ascii="Times New Roman" w:hAnsi="Times New Roman" w:cs="Times New Roman" w:eastAsia="Times New Roman" w:hint="default"/>
                <w:spacing w:val="-1"/>
                <w:w w:val="99"/>
                <w:sz w:val="18"/>
                <w:szCs w:val="18"/>
              </w:rPr>
              <w:t>ce</w:t>
            </w:r>
            <w:r>
              <w:rPr>
                <w:rFonts w:ascii="Times New Roman" w:hAnsi="Times New Roman" w:cs="Times New Roman" w:eastAsia="Times New Roman" w:hint="default"/>
                <w:w w:val="99"/>
                <w:sz w:val="18"/>
                <w:szCs w:val="18"/>
              </w:rPr>
              <w:t>ss</w:t>
            </w:r>
            <w:r>
              <w:rPr>
                <w:rFonts w:ascii="Times New Roman" w:hAnsi="Times New Roman" w:cs="Times New Roman" w:eastAsia="Times New Roman" w:hint="default"/>
                <w:spacing w:val="-1"/>
                <w:sz w:val="18"/>
                <w:szCs w:val="18"/>
              </w:rPr>
              <w:t> </w:t>
            </w:r>
            <w:r>
              <w:rPr>
                <w:rFonts w:ascii="Times New Roman" w:hAnsi="Times New Roman" w:cs="Times New Roman" w:eastAsia="Times New Roman" w:hint="default"/>
                <w:w w:val="99"/>
                <w:sz w:val="18"/>
                <w:szCs w:val="18"/>
              </w:rPr>
              <w:t>Outs</w:t>
            </w:r>
            <w:r>
              <w:rPr>
                <w:rFonts w:ascii="Times New Roman" w:hAnsi="Times New Roman" w:cs="Times New Roman" w:eastAsia="Times New Roman" w:hint="default"/>
                <w:spacing w:val="-2"/>
                <w:w w:val="99"/>
                <w:sz w:val="18"/>
                <w:szCs w:val="18"/>
              </w:rPr>
              <w:t>o</w:t>
            </w:r>
            <w:r>
              <w:rPr>
                <w:rFonts w:ascii="Times New Roman" w:hAnsi="Times New Roman" w:cs="Times New Roman" w:eastAsia="Times New Roman" w:hint="default"/>
                <w:spacing w:val="1"/>
                <w:sz w:val="18"/>
                <w:szCs w:val="18"/>
              </w:rPr>
              <w:t>u</w:t>
            </w:r>
            <w:r>
              <w:rPr>
                <w:rFonts w:ascii="Times New Roman" w:hAnsi="Times New Roman" w:cs="Times New Roman" w:eastAsia="Times New Roman" w:hint="default"/>
                <w:sz w:val="18"/>
                <w:szCs w:val="18"/>
              </w:rPr>
              <w:t>r</w:t>
            </w:r>
            <w:r>
              <w:rPr>
                <w:rFonts w:ascii="Times New Roman" w:hAnsi="Times New Roman" w:cs="Times New Roman" w:eastAsia="Times New Roman" w:hint="default"/>
                <w:spacing w:val="-1"/>
                <w:sz w:val="18"/>
                <w:szCs w:val="18"/>
              </w:rPr>
              <w:t>c</w:t>
            </w:r>
            <w:r>
              <w:rPr>
                <w:rFonts w:ascii="Times New Roman" w:hAnsi="Times New Roman" w:cs="Times New Roman" w:eastAsia="Times New Roman" w:hint="default"/>
                <w:sz w:val="18"/>
                <w:szCs w:val="18"/>
              </w:rPr>
              <w:t>i</w:t>
            </w:r>
            <w:r>
              <w:rPr>
                <w:rFonts w:ascii="Times New Roman" w:hAnsi="Times New Roman" w:cs="Times New Roman" w:eastAsia="Times New Roman" w:hint="default"/>
                <w:spacing w:val="-1"/>
                <w:sz w:val="18"/>
                <w:szCs w:val="18"/>
              </w:rPr>
              <w:t>n</w:t>
            </w:r>
            <w:r>
              <w:rPr>
                <w:rFonts w:ascii="Times New Roman" w:hAnsi="Times New Roman" w:cs="Times New Roman" w:eastAsia="Times New Roman" w:hint="default"/>
                <w:spacing w:val="1"/>
                <w:sz w:val="18"/>
                <w:szCs w:val="18"/>
              </w:rPr>
              <w:t>g</w:t>
            </w:r>
            <w:r>
              <w:rPr>
                <w:rFonts w:ascii="宋体" w:hAnsi="宋体" w:cs="宋体" w:eastAsia="宋体" w:hint="default"/>
                <w:sz w:val="18"/>
                <w:szCs w:val="18"/>
              </w:rPr>
              <w:t>”的简称，即“商务流程外包</w:t>
            </w:r>
            <w:r>
              <w:rPr>
                <w:rFonts w:ascii="宋体" w:hAnsi="宋体" w:cs="宋体" w:eastAsia="宋体" w:hint="default"/>
                <w:spacing w:val="-89"/>
                <w:sz w:val="18"/>
                <w:szCs w:val="18"/>
              </w:rPr>
              <w:t>”</w:t>
            </w:r>
            <w:r>
              <w:rPr>
                <w:rFonts w:ascii="宋体" w:hAnsi="宋体" w:cs="宋体" w:eastAsia="宋体" w:hint="default"/>
                <w:sz w:val="18"/>
                <w:szCs w:val="18"/>
              </w:rPr>
              <w:t>，指金融服务外包</w:t>
            </w:r>
          </w:p>
        </w:tc>
      </w:tr>
    </w:tbl>
    <w:p>
      <w:pPr>
        <w:spacing w:after="0" w:line="240" w:lineRule="auto"/>
        <w:jc w:val="left"/>
        <w:rPr>
          <w:rFonts w:ascii="宋体" w:hAnsi="宋体" w:cs="宋体" w:eastAsia="宋体" w:hint="default"/>
          <w:sz w:val="18"/>
          <w:szCs w:val="18"/>
        </w:rPr>
        <w:sectPr>
          <w:pgSz w:w="11910" w:h="16840"/>
          <w:pgMar w:header="880" w:footer="975" w:top="1100" w:bottom="1160" w:left="980" w:right="0"/>
        </w:sectPr>
      </w:pPr>
    </w:p>
    <w:p>
      <w:pPr>
        <w:spacing w:line="240" w:lineRule="auto" w:before="0"/>
        <w:rPr>
          <w:rFonts w:ascii="宋体" w:hAnsi="宋体" w:cs="宋体" w:eastAsia="宋体" w:hint="default"/>
          <w:b/>
          <w:bCs/>
          <w:sz w:val="20"/>
          <w:szCs w:val="20"/>
        </w:rPr>
      </w:pPr>
    </w:p>
    <w:p>
      <w:pPr>
        <w:spacing w:before="137"/>
        <w:ind w:left="2642" w:right="1133" w:firstLine="0"/>
        <w:jc w:val="left"/>
        <w:rPr>
          <w:rFonts w:ascii="宋体" w:hAnsi="宋体" w:cs="宋体" w:eastAsia="宋体" w:hint="default"/>
          <w:sz w:val="32"/>
          <w:szCs w:val="32"/>
        </w:rPr>
      </w:pPr>
      <w:bookmarkStart w:name="_bookmark1" w:id="2"/>
      <w:bookmarkEnd w:id="2"/>
      <w:r>
        <w:rPr/>
      </w:r>
      <w:r>
        <w:rPr>
          <w:rFonts w:ascii="宋体" w:hAnsi="宋体" w:cs="宋体" w:eastAsia="宋体" w:hint="default"/>
          <w:b/>
          <w:bCs/>
          <w:sz w:val="32"/>
          <w:szCs w:val="32"/>
        </w:rPr>
        <w:t>第二章</w:t>
      </w:r>
      <w:r>
        <w:rPr>
          <w:rFonts w:ascii="宋体" w:hAnsi="宋体" w:cs="宋体" w:eastAsia="宋体" w:hint="default"/>
          <w:b/>
          <w:bCs/>
          <w:spacing w:val="-5"/>
          <w:sz w:val="32"/>
          <w:szCs w:val="32"/>
        </w:rPr>
        <w:t> </w:t>
      </w:r>
      <w:r>
        <w:rPr>
          <w:rFonts w:ascii="宋体" w:hAnsi="宋体" w:cs="宋体" w:eastAsia="宋体" w:hint="default"/>
          <w:b/>
          <w:bCs/>
          <w:sz w:val="32"/>
          <w:szCs w:val="32"/>
        </w:rPr>
        <w:t>公司简介和主要财务指标</w:t>
      </w:r>
      <w:r>
        <w:rPr>
          <w:rFonts w:ascii="宋体" w:hAnsi="宋体" w:cs="宋体" w:eastAsia="宋体" w:hint="default"/>
          <w:sz w:val="32"/>
          <w:szCs w:val="32"/>
        </w:rPr>
      </w:r>
    </w:p>
    <w:p>
      <w:pPr>
        <w:spacing w:line="240" w:lineRule="auto" w:before="6"/>
        <w:rPr>
          <w:rFonts w:ascii="宋体" w:hAnsi="宋体" w:cs="宋体" w:eastAsia="宋体" w:hint="default"/>
          <w:b/>
          <w:bCs/>
          <w:sz w:val="16"/>
          <w:szCs w:val="16"/>
        </w:rPr>
      </w:pPr>
    </w:p>
    <w:p>
      <w:pPr>
        <w:pStyle w:val="Heading2"/>
        <w:spacing w:line="240" w:lineRule="auto"/>
        <w:ind w:right="1133"/>
        <w:jc w:val="left"/>
        <w:rPr>
          <w:b w:val="0"/>
          <w:bCs w:val="0"/>
        </w:rPr>
      </w:pPr>
      <w:r>
        <w:rPr/>
        <w:t>一、公司信息</w:t>
      </w:r>
      <w:r>
        <w:rPr>
          <w:b w:val="0"/>
          <w:bCs w:val="0"/>
        </w:rPr>
      </w:r>
    </w:p>
    <w:p>
      <w:pPr>
        <w:spacing w:line="240" w:lineRule="auto" w:before="11"/>
        <w:rPr>
          <w:rFonts w:ascii="宋体" w:hAnsi="宋体" w:cs="宋体" w:eastAsia="宋体" w:hint="default"/>
          <w:b/>
          <w:bCs/>
          <w:sz w:val="5"/>
          <w:szCs w:val="5"/>
        </w:rPr>
      </w:pPr>
    </w:p>
    <w:tbl>
      <w:tblPr>
        <w:tblW w:w="0" w:type="auto"/>
        <w:jc w:val="left"/>
        <w:tblInd w:w="148" w:type="dxa"/>
        <w:tblLayout w:type="fixed"/>
        <w:tblCellMar>
          <w:top w:w="0" w:type="dxa"/>
          <w:left w:w="0" w:type="dxa"/>
          <w:bottom w:w="0" w:type="dxa"/>
          <w:right w:w="0" w:type="dxa"/>
        </w:tblCellMar>
        <w:tblLook w:val="01E0"/>
      </w:tblPr>
      <w:tblGrid>
        <w:gridCol w:w="2835"/>
        <w:gridCol w:w="2404"/>
        <w:gridCol w:w="2154"/>
        <w:gridCol w:w="2177"/>
      </w:tblGrid>
      <w:tr>
        <w:trPr>
          <w:trHeight w:val="367" w:hRule="exact"/>
        </w:trPr>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股票简称</w:t>
            </w:r>
            <w:r>
              <w:rPr>
                <w:rFonts w:ascii="宋体" w:hAnsi="宋体" w:cs="宋体" w:eastAsia="宋体" w:hint="default"/>
                <w:sz w:val="21"/>
                <w:szCs w:val="21"/>
              </w:rPr>
              <w:t> </w:t>
            </w:r>
          </w:p>
        </w:tc>
        <w:tc>
          <w:tcPr>
            <w:tcW w:w="2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21"/>
                <w:szCs w:val="21"/>
              </w:rPr>
            </w:pPr>
            <w:r>
              <w:rPr>
                <w:rFonts w:ascii="宋体" w:hAnsi="宋体" w:cs="宋体" w:eastAsia="宋体" w:hint="default"/>
                <w:sz w:val="21"/>
                <w:szCs w:val="21"/>
              </w:rPr>
              <w:t>中嘉博创</w:t>
            </w:r>
            <w:r>
              <w:rPr>
                <w:rFonts w:ascii="宋体" w:hAnsi="宋体" w:cs="宋体" w:eastAsia="宋体" w:hint="default"/>
                <w:sz w:val="21"/>
                <w:szCs w:val="21"/>
              </w:rPr>
              <w:t> </w:t>
            </w:r>
          </w:p>
        </w:tc>
        <w:tc>
          <w:tcPr>
            <w:tcW w:w="21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8"/>
              <w:ind w:left="22" w:right="0"/>
              <w:jc w:val="left"/>
              <w:rPr>
                <w:rFonts w:ascii="宋体" w:hAnsi="宋体" w:cs="宋体" w:eastAsia="宋体" w:hint="default"/>
                <w:sz w:val="21"/>
                <w:szCs w:val="21"/>
              </w:rPr>
            </w:pPr>
            <w:r>
              <w:rPr>
                <w:rFonts w:ascii="宋体" w:hAnsi="宋体" w:cs="宋体" w:eastAsia="宋体" w:hint="default"/>
                <w:sz w:val="21"/>
                <w:szCs w:val="21"/>
              </w:rPr>
              <w:t>股票代码</w:t>
            </w:r>
            <w:r>
              <w:rPr>
                <w:rFonts w:ascii="宋体" w:hAnsi="宋体" w:cs="宋体" w:eastAsia="宋体" w:hint="default"/>
                <w:sz w:val="21"/>
                <w:szCs w:val="21"/>
              </w:rPr>
              <w:t> </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6" w:right="0"/>
              <w:jc w:val="left"/>
              <w:rPr>
                <w:rFonts w:ascii="宋体" w:hAnsi="宋体" w:cs="宋体" w:eastAsia="宋体" w:hint="default"/>
                <w:sz w:val="21"/>
                <w:szCs w:val="21"/>
              </w:rPr>
            </w:pPr>
            <w:r>
              <w:rPr>
                <w:rFonts w:ascii="宋体"/>
                <w:sz w:val="21"/>
              </w:rPr>
              <w:t>000889 </w:t>
            </w:r>
          </w:p>
        </w:tc>
      </w:tr>
      <w:tr>
        <w:trPr>
          <w:trHeight w:val="358" w:hRule="exact"/>
        </w:trPr>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3"/>
              <w:ind w:left="24" w:right="0"/>
              <w:jc w:val="left"/>
              <w:rPr>
                <w:rFonts w:ascii="宋体" w:hAnsi="宋体" w:cs="宋体" w:eastAsia="宋体" w:hint="default"/>
                <w:sz w:val="21"/>
                <w:szCs w:val="21"/>
              </w:rPr>
            </w:pPr>
            <w:r>
              <w:rPr>
                <w:rFonts w:ascii="宋体" w:hAnsi="宋体" w:cs="宋体" w:eastAsia="宋体" w:hint="default"/>
                <w:sz w:val="21"/>
                <w:szCs w:val="21"/>
              </w:rPr>
              <w:t>股票上市证券交易所</w:t>
            </w:r>
            <w:r>
              <w:rPr>
                <w:rFonts w:ascii="宋体" w:hAnsi="宋体" w:cs="宋体" w:eastAsia="宋体" w:hint="default"/>
                <w:sz w:val="21"/>
                <w:szCs w:val="21"/>
              </w:rPr>
              <w:t> </w:t>
            </w:r>
          </w:p>
        </w:tc>
        <w:tc>
          <w:tcPr>
            <w:tcW w:w="6736"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3"/>
              <w:ind w:left="23" w:right="0"/>
              <w:jc w:val="left"/>
              <w:rPr>
                <w:rFonts w:ascii="宋体" w:hAnsi="宋体" w:cs="宋体" w:eastAsia="宋体" w:hint="default"/>
                <w:sz w:val="21"/>
                <w:szCs w:val="21"/>
              </w:rPr>
            </w:pPr>
            <w:r>
              <w:rPr>
                <w:rFonts w:ascii="宋体" w:hAnsi="宋体" w:cs="宋体" w:eastAsia="宋体" w:hint="default"/>
                <w:sz w:val="21"/>
                <w:szCs w:val="21"/>
              </w:rPr>
              <w:t>深圳证券交易所</w:t>
            </w:r>
            <w:r>
              <w:rPr>
                <w:rFonts w:ascii="宋体" w:hAnsi="宋体" w:cs="宋体" w:eastAsia="宋体" w:hint="default"/>
                <w:sz w:val="21"/>
                <w:szCs w:val="21"/>
              </w:rPr>
              <w:t> </w:t>
            </w:r>
          </w:p>
        </w:tc>
      </w:tr>
      <w:tr>
        <w:trPr>
          <w:trHeight w:val="360" w:hRule="exact"/>
        </w:trPr>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公司的中文名称</w:t>
            </w:r>
            <w:r>
              <w:rPr>
                <w:rFonts w:ascii="宋体" w:hAnsi="宋体" w:cs="宋体" w:eastAsia="宋体" w:hint="default"/>
                <w:sz w:val="21"/>
                <w:szCs w:val="21"/>
              </w:rPr>
              <w:t> </w:t>
            </w:r>
          </w:p>
        </w:tc>
        <w:tc>
          <w:tcPr>
            <w:tcW w:w="673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21"/>
                <w:szCs w:val="21"/>
              </w:rPr>
            </w:pPr>
            <w:r>
              <w:rPr>
                <w:rFonts w:ascii="宋体" w:hAnsi="宋体" w:cs="宋体" w:eastAsia="宋体" w:hint="default"/>
                <w:sz w:val="21"/>
                <w:szCs w:val="21"/>
              </w:rPr>
              <w:t>中嘉博创信息技术股份有限公司</w:t>
            </w:r>
            <w:r>
              <w:rPr>
                <w:rFonts w:ascii="宋体" w:hAnsi="宋体" w:cs="宋体" w:eastAsia="宋体" w:hint="default"/>
                <w:sz w:val="21"/>
                <w:szCs w:val="21"/>
              </w:rPr>
              <w:t> </w:t>
            </w:r>
          </w:p>
        </w:tc>
      </w:tr>
      <w:tr>
        <w:trPr>
          <w:trHeight w:val="362" w:hRule="exact"/>
        </w:trPr>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0"/>
              <w:ind w:left="24" w:right="0"/>
              <w:jc w:val="left"/>
              <w:rPr>
                <w:rFonts w:ascii="宋体" w:hAnsi="宋体" w:cs="宋体" w:eastAsia="宋体" w:hint="default"/>
                <w:sz w:val="21"/>
                <w:szCs w:val="21"/>
              </w:rPr>
            </w:pPr>
            <w:r>
              <w:rPr>
                <w:rFonts w:ascii="宋体" w:hAnsi="宋体" w:cs="宋体" w:eastAsia="宋体" w:hint="default"/>
                <w:sz w:val="21"/>
                <w:szCs w:val="21"/>
              </w:rPr>
              <w:t>公司的中文简称</w:t>
            </w:r>
            <w:r>
              <w:rPr>
                <w:rFonts w:ascii="宋体" w:hAnsi="宋体" w:cs="宋体" w:eastAsia="宋体" w:hint="default"/>
                <w:sz w:val="21"/>
                <w:szCs w:val="21"/>
              </w:rPr>
              <w:t> </w:t>
            </w:r>
          </w:p>
        </w:tc>
        <w:tc>
          <w:tcPr>
            <w:tcW w:w="673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3" w:right="0"/>
              <w:jc w:val="left"/>
              <w:rPr>
                <w:rFonts w:ascii="宋体" w:hAnsi="宋体" w:cs="宋体" w:eastAsia="宋体" w:hint="default"/>
                <w:sz w:val="21"/>
                <w:szCs w:val="21"/>
              </w:rPr>
            </w:pPr>
            <w:r>
              <w:rPr>
                <w:rFonts w:ascii="宋体" w:hAnsi="宋体" w:cs="宋体" w:eastAsia="宋体" w:hint="default"/>
                <w:sz w:val="21"/>
                <w:szCs w:val="21"/>
              </w:rPr>
              <w:t>中嘉博创</w:t>
            </w:r>
            <w:r>
              <w:rPr>
                <w:rFonts w:ascii="宋体" w:hAnsi="宋体" w:cs="宋体" w:eastAsia="宋体" w:hint="default"/>
                <w:sz w:val="21"/>
                <w:szCs w:val="21"/>
              </w:rPr>
              <w:t> </w:t>
            </w:r>
          </w:p>
        </w:tc>
      </w:tr>
      <w:tr>
        <w:trPr>
          <w:trHeight w:val="362" w:hRule="exact"/>
        </w:trPr>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公司的外文名称（如有）</w:t>
            </w:r>
            <w:r>
              <w:rPr>
                <w:rFonts w:ascii="宋体" w:hAnsi="宋体" w:cs="宋体" w:eastAsia="宋体" w:hint="default"/>
                <w:sz w:val="21"/>
                <w:szCs w:val="21"/>
              </w:rPr>
              <w:t> </w:t>
            </w:r>
          </w:p>
        </w:tc>
        <w:tc>
          <w:tcPr>
            <w:tcW w:w="673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21"/>
                <w:szCs w:val="21"/>
              </w:rPr>
            </w:pPr>
            <w:r>
              <w:rPr>
                <w:rFonts w:ascii="宋体"/>
                <w:sz w:val="21"/>
              </w:rPr>
              <w:t>ZJBC Information Technology</w:t>
            </w:r>
            <w:r>
              <w:rPr>
                <w:rFonts w:ascii="宋体"/>
                <w:spacing w:val="-5"/>
                <w:sz w:val="21"/>
              </w:rPr>
              <w:t> </w:t>
            </w:r>
            <w:r>
              <w:rPr>
                <w:rFonts w:ascii="宋体"/>
                <w:sz w:val="21"/>
              </w:rPr>
              <w:t>Co.,Ltd </w:t>
            </w:r>
          </w:p>
        </w:tc>
      </w:tr>
      <w:tr>
        <w:trPr>
          <w:trHeight w:val="362" w:hRule="exact"/>
        </w:trPr>
        <w:tc>
          <w:tcPr>
            <w:tcW w:w="2835" w:type="dxa"/>
            <w:tcBorders>
              <w:top w:val="single" w:sz="4" w:space="0" w:color="000000"/>
              <w:left w:val="single" w:sz="4" w:space="0" w:color="000000"/>
              <w:bottom w:val="single" w:sz="4" w:space="0" w:color="000000"/>
              <w:right w:val="single" w:sz="13" w:space="0" w:color="FFFFFF"/>
            </w:tcBorders>
            <w:shd w:val="clear" w:color="auto" w:fill="D2D2D2"/>
          </w:tcPr>
          <w:p>
            <w:pPr>
              <w:pStyle w:val="TableParagraph"/>
              <w:spacing w:line="240" w:lineRule="auto" w:before="28"/>
              <w:ind w:left="24" w:right="-48"/>
              <w:jc w:val="left"/>
              <w:rPr>
                <w:rFonts w:ascii="宋体" w:hAnsi="宋体" w:cs="宋体" w:eastAsia="宋体" w:hint="default"/>
                <w:sz w:val="21"/>
                <w:szCs w:val="21"/>
              </w:rPr>
            </w:pPr>
            <w:r>
              <w:rPr>
                <w:rFonts w:ascii="宋体" w:hAnsi="宋体" w:cs="宋体" w:eastAsia="宋体" w:hint="default"/>
                <w:sz w:val="21"/>
                <w:szCs w:val="21"/>
              </w:rPr>
              <w:t>公司的外文名称缩写（如有）</w:t>
            </w:r>
            <w:r>
              <w:rPr>
                <w:rFonts w:ascii="宋体" w:hAnsi="宋体" w:cs="宋体" w:eastAsia="宋体" w:hint="default"/>
                <w:sz w:val="21"/>
                <w:szCs w:val="21"/>
              </w:rPr>
              <w:t> </w:t>
            </w:r>
          </w:p>
        </w:tc>
        <w:tc>
          <w:tcPr>
            <w:tcW w:w="6736" w:type="dxa"/>
            <w:gridSpan w:val="3"/>
            <w:tcBorders>
              <w:top w:val="single" w:sz="4" w:space="0" w:color="000000"/>
              <w:left w:val="single" w:sz="13" w:space="0" w:color="FFFFFF"/>
              <w:bottom w:val="single" w:sz="4" w:space="0" w:color="000000"/>
              <w:right w:val="single" w:sz="13" w:space="0" w:color="FFFFFF"/>
            </w:tcBorders>
          </w:tcPr>
          <w:p>
            <w:pPr>
              <w:pStyle w:val="TableParagraph"/>
              <w:spacing w:line="240" w:lineRule="auto" w:before="28"/>
              <w:ind w:left="11" w:right="0"/>
              <w:jc w:val="left"/>
              <w:rPr>
                <w:rFonts w:ascii="宋体" w:hAnsi="宋体" w:cs="宋体" w:eastAsia="宋体" w:hint="default"/>
                <w:sz w:val="21"/>
                <w:szCs w:val="21"/>
              </w:rPr>
            </w:pPr>
            <w:r>
              <w:rPr>
                <w:rFonts w:ascii="宋体"/>
                <w:sz w:val="21"/>
              </w:rPr>
              <w:t>ZJBC </w:t>
            </w:r>
          </w:p>
        </w:tc>
      </w:tr>
      <w:tr>
        <w:trPr>
          <w:trHeight w:val="362" w:hRule="exact"/>
        </w:trPr>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公司的法定代表人</w:t>
            </w:r>
            <w:r>
              <w:rPr>
                <w:rFonts w:ascii="宋体" w:hAnsi="宋体" w:cs="宋体" w:eastAsia="宋体" w:hint="default"/>
                <w:sz w:val="21"/>
                <w:szCs w:val="21"/>
              </w:rPr>
              <w:t> </w:t>
            </w:r>
          </w:p>
        </w:tc>
        <w:tc>
          <w:tcPr>
            <w:tcW w:w="673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21"/>
                <w:szCs w:val="21"/>
              </w:rPr>
            </w:pPr>
            <w:r>
              <w:rPr>
                <w:rFonts w:ascii="宋体" w:hAnsi="宋体" w:cs="宋体" w:eastAsia="宋体" w:hint="default"/>
                <w:sz w:val="21"/>
                <w:szCs w:val="21"/>
              </w:rPr>
              <w:t>吴鹰</w:t>
            </w:r>
            <w:r>
              <w:rPr>
                <w:rFonts w:ascii="宋体" w:hAnsi="宋体" w:cs="宋体" w:eastAsia="宋体" w:hint="default"/>
                <w:sz w:val="21"/>
                <w:szCs w:val="21"/>
              </w:rPr>
              <w:t> </w:t>
            </w:r>
          </w:p>
        </w:tc>
      </w:tr>
      <w:tr>
        <w:trPr>
          <w:trHeight w:val="362" w:hRule="exact"/>
        </w:trPr>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注册地址</w:t>
            </w:r>
            <w:r>
              <w:rPr>
                <w:rFonts w:ascii="宋体" w:hAnsi="宋体" w:cs="宋体" w:eastAsia="宋体" w:hint="default"/>
                <w:sz w:val="21"/>
                <w:szCs w:val="21"/>
              </w:rPr>
              <w:t> </w:t>
            </w:r>
          </w:p>
        </w:tc>
        <w:tc>
          <w:tcPr>
            <w:tcW w:w="673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21"/>
                <w:szCs w:val="21"/>
              </w:rPr>
            </w:pPr>
            <w:r>
              <w:rPr>
                <w:rFonts w:ascii="宋体" w:hAnsi="宋体" w:cs="宋体" w:eastAsia="宋体" w:hint="default"/>
                <w:sz w:val="21"/>
                <w:szCs w:val="21"/>
              </w:rPr>
              <w:t>秦皇岛市海港区河北大街中段</w:t>
            </w:r>
            <w:r>
              <w:rPr>
                <w:rFonts w:ascii="宋体" w:hAnsi="宋体" w:cs="宋体" w:eastAsia="宋体" w:hint="default"/>
                <w:spacing w:val="-52"/>
                <w:sz w:val="21"/>
                <w:szCs w:val="21"/>
              </w:rPr>
              <w:t> </w:t>
            </w:r>
            <w:r>
              <w:rPr>
                <w:rFonts w:ascii="宋体" w:hAnsi="宋体" w:cs="宋体" w:eastAsia="宋体" w:hint="default"/>
                <w:sz w:val="21"/>
                <w:szCs w:val="21"/>
              </w:rPr>
              <w:t>146</w:t>
            </w:r>
            <w:r>
              <w:rPr>
                <w:rFonts w:ascii="宋体" w:hAnsi="宋体" w:cs="宋体" w:eastAsia="宋体" w:hint="default"/>
                <w:spacing w:val="-55"/>
                <w:sz w:val="21"/>
                <w:szCs w:val="21"/>
              </w:rPr>
              <w:t> </w:t>
            </w:r>
            <w:r>
              <w:rPr>
                <w:rFonts w:ascii="宋体" w:hAnsi="宋体" w:cs="宋体" w:eastAsia="宋体" w:hint="default"/>
                <w:sz w:val="21"/>
                <w:szCs w:val="21"/>
              </w:rPr>
              <w:t>号</w:t>
            </w:r>
            <w:r>
              <w:rPr>
                <w:rFonts w:ascii="宋体" w:hAnsi="宋体" w:cs="宋体" w:eastAsia="宋体" w:hint="default"/>
                <w:spacing w:val="-53"/>
                <w:sz w:val="21"/>
                <w:szCs w:val="21"/>
              </w:rPr>
              <w:t> </w:t>
            </w:r>
            <w:r>
              <w:rPr>
                <w:rFonts w:ascii="宋体" w:hAnsi="宋体" w:cs="宋体" w:eastAsia="宋体" w:hint="default"/>
                <w:sz w:val="21"/>
                <w:szCs w:val="21"/>
              </w:rPr>
              <w:t>26</w:t>
            </w:r>
            <w:r>
              <w:rPr>
                <w:rFonts w:ascii="宋体" w:hAnsi="宋体" w:cs="宋体" w:eastAsia="宋体" w:hint="default"/>
                <w:spacing w:val="-55"/>
                <w:sz w:val="21"/>
                <w:szCs w:val="21"/>
              </w:rPr>
              <w:t> </w:t>
            </w:r>
            <w:r>
              <w:rPr>
                <w:rFonts w:ascii="宋体" w:hAnsi="宋体" w:cs="宋体" w:eastAsia="宋体" w:hint="default"/>
                <w:spacing w:val="-3"/>
                <w:sz w:val="21"/>
                <w:szCs w:val="21"/>
              </w:rPr>
              <w:t>层</w:t>
            </w:r>
            <w:r>
              <w:rPr>
                <w:rFonts w:ascii="宋体" w:hAnsi="宋体" w:cs="宋体" w:eastAsia="宋体" w:hint="default"/>
                <w:sz w:val="21"/>
                <w:szCs w:val="21"/>
              </w:rPr>
              <w:t> </w:t>
            </w:r>
          </w:p>
        </w:tc>
      </w:tr>
      <w:tr>
        <w:trPr>
          <w:trHeight w:val="361" w:hRule="exact"/>
        </w:trPr>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9"/>
              <w:ind w:left="24" w:right="0"/>
              <w:jc w:val="left"/>
              <w:rPr>
                <w:rFonts w:ascii="宋体" w:hAnsi="宋体" w:cs="宋体" w:eastAsia="宋体" w:hint="default"/>
                <w:sz w:val="21"/>
                <w:szCs w:val="21"/>
              </w:rPr>
            </w:pPr>
            <w:r>
              <w:rPr>
                <w:rFonts w:ascii="宋体" w:hAnsi="宋体" w:cs="宋体" w:eastAsia="宋体" w:hint="default"/>
                <w:sz w:val="21"/>
                <w:szCs w:val="21"/>
              </w:rPr>
              <w:t>注册地址的邮政编码</w:t>
            </w:r>
            <w:r>
              <w:rPr>
                <w:rFonts w:ascii="宋体" w:hAnsi="宋体" w:cs="宋体" w:eastAsia="宋体" w:hint="default"/>
                <w:sz w:val="21"/>
                <w:szCs w:val="21"/>
              </w:rPr>
              <w:t> </w:t>
            </w:r>
          </w:p>
        </w:tc>
        <w:tc>
          <w:tcPr>
            <w:tcW w:w="673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29"/>
              <w:ind w:left="23" w:right="0"/>
              <w:jc w:val="left"/>
              <w:rPr>
                <w:rFonts w:ascii="宋体" w:hAnsi="宋体" w:cs="宋体" w:eastAsia="宋体" w:hint="default"/>
                <w:sz w:val="21"/>
                <w:szCs w:val="21"/>
              </w:rPr>
            </w:pPr>
            <w:r>
              <w:rPr>
                <w:rFonts w:ascii="宋体"/>
                <w:sz w:val="21"/>
              </w:rPr>
              <w:t>066000 </w:t>
            </w:r>
          </w:p>
        </w:tc>
      </w:tr>
      <w:tr>
        <w:trPr>
          <w:trHeight w:val="182" w:hRule="exact"/>
        </w:trPr>
        <w:tc>
          <w:tcPr>
            <w:tcW w:w="2835" w:type="dxa"/>
            <w:tcBorders>
              <w:top w:val="single" w:sz="4" w:space="0" w:color="000000"/>
              <w:left w:val="single" w:sz="4" w:space="0" w:color="000000"/>
              <w:bottom w:val="nil" w:sz="6" w:space="0" w:color="auto"/>
              <w:right w:val="single" w:sz="4" w:space="0" w:color="000000"/>
            </w:tcBorders>
            <w:shd w:val="clear" w:color="auto" w:fill="D2D2D2"/>
          </w:tcPr>
          <w:p>
            <w:pPr/>
          </w:p>
        </w:tc>
        <w:tc>
          <w:tcPr>
            <w:tcW w:w="6736" w:type="dxa"/>
            <w:gridSpan w:val="3"/>
            <w:vMerge w:val="restart"/>
            <w:tcBorders>
              <w:top w:val="single" w:sz="4" w:space="0" w:color="000000"/>
              <w:left w:val="single" w:sz="4" w:space="0" w:color="000000"/>
              <w:right w:val="single" w:sz="4" w:space="0" w:color="000000"/>
            </w:tcBorders>
          </w:tcPr>
          <w:p>
            <w:pPr>
              <w:pStyle w:val="TableParagraph"/>
              <w:spacing w:line="307" w:lineRule="auto" w:before="30"/>
              <w:ind w:left="23" w:right="2078"/>
              <w:jc w:val="left"/>
              <w:rPr>
                <w:rFonts w:ascii="宋体" w:hAnsi="宋体" w:cs="宋体" w:eastAsia="宋体" w:hint="default"/>
                <w:sz w:val="21"/>
                <w:szCs w:val="21"/>
              </w:rPr>
            </w:pPr>
            <w:r>
              <w:rPr>
                <w:rFonts w:ascii="宋体" w:hAnsi="宋体" w:cs="宋体" w:eastAsia="宋体" w:hint="default"/>
                <w:sz w:val="21"/>
                <w:szCs w:val="21"/>
              </w:rPr>
              <w:t>北京市朝阳区京顺路</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3"/>
                <w:sz w:val="21"/>
                <w:szCs w:val="21"/>
              </w:rPr>
              <w:t> </w:t>
            </w:r>
            <w:r>
              <w:rPr>
                <w:rFonts w:ascii="宋体" w:hAnsi="宋体" w:cs="宋体" w:eastAsia="宋体" w:hint="default"/>
                <w:sz w:val="21"/>
                <w:szCs w:val="21"/>
              </w:rPr>
              <w:t>号曙光大厦</w:t>
            </w:r>
            <w:r>
              <w:rPr>
                <w:rFonts w:ascii="宋体" w:hAnsi="宋体" w:cs="宋体" w:eastAsia="宋体" w:hint="default"/>
                <w:spacing w:val="-52"/>
                <w:sz w:val="21"/>
                <w:szCs w:val="21"/>
              </w:rPr>
              <w:t> </w:t>
            </w:r>
            <w:r>
              <w:rPr>
                <w:rFonts w:ascii="宋体" w:hAnsi="宋体" w:cs="宋体" w:eastAsia="宋体" w:hint="default"/>
                <w:sz w:val="21"/>
                <w:szCs w:val="21"/>
              </w:rPr>
              <w:t>C</w:t>
            </w:r>
            <w:r>
              <w:rPr>
                <w:rFonts w:ascii="宋体" w:hAnsi="宋体" w:cs="宋体" w:eastAsia="宋体" w:hint="default"/>
                <w:spacing w:val="-56"/>
                <w:sz w:val="21"/>
                <w:szCs w:val="21"/>
              </w:rPr>
              <w:t> </w:t>
            </w:r>
            <w:r>
              <w:rPr>
                <w:rFonts w:ascii="宋体" w:hAnsi="宋体" w:cs="宋体" w:eastAsia="宋体" w:hint="default"/>
                <w:sz w:val="21"/>
                <w:szCs w:val="21"/>
              </w:rPr>
              <w:t>座；</w:t>
            </w:r>
            <w:r>
              <w:rPr>
                <w:rFonts w:ascii="宋体" w:hAnsi="宋体" w:cs="宋体" w:eastAsia="宋体" w:hint="default"/>
                <w:w w:val="100"/>
                <w:sz w:val="21"/>
                <w:szCs w:val="21"/>
              </w:rPr>
              <w:t> </w:t>
            </w:r>
            <w:r>
              <w:rPr>
                <w:rFonts w:ascii="宋体" w:hAnsi="宋体" w:cs="宋体" w:eastAsia="宋体" w:hint="default"/>
                <w:sz w:val="21"/>
                <w:szCs w:val="21"/>
              </w:rPr>
              <w:t>秦皇岛市河北大街</w:t>
            </w:r>
            <w:r>
              <w:rPr>
                <w:rFonts w:ascii="宋体" w:hAnsi="宋体" w:cs="宋体" w:eastAsia="宋体" w:hint="default"/>
                <w:spacing w:val="-53"/>
                <w:sz w:val="21"/>
                <w:szCs w:val="21"/>
              </w:rPr>
              <w:t> </w:t>
            </w:r>
            <w:r>
              <w:rPr>
                <w:rFonts w:ascii="宋体" w:hAnsi="宋体" w:cs="宋体" w:eastAsia="宋体" w:hint="default"/>
                <w:sz w:val="21"/>
                <w:szCs w:val="21"/>
              </w:rPr>
              <w:t>146</w:t>
            </w:r>
            <w:r>
              <w:rPr>
                <w:rFonts w:ascii="宋体" w:hAnsi="宋体" w:cs="宋体" w:eastAsia="宋体" w:hint="default"/>
                <w:spacing w:val="-54"/>
                <w:sz w:val="21"/>
                <w:szCs w:val="21"/>
              </w:rPr>
              <w:t> </w:t>
            </w:r>
            <w:r>
              <w:rPr>
                <w:rFonts w:ascii="宋体" w:hAnsi="宋体" w:cs="宋体" w:eastAsia="宋体" w:hint="default"/>
                <w:sz w:val="21"/>
                <w:szCs w:val="21"/>
              </w:rPr>
              <w:t>号金原国际商务大厦</w:t>
            </w:r>
            <w:r>
              <w:rPr>
                <w:rFonts w:ascii="宋体" w:hAnsi="宋体" w:cs="宋体" w:eastAsia="宋体" w:hint="default"/>
                <w:spacing w:val="-54"/>
                <w:sz w:val="21"/>
                <w:szCs w:val="21"/>
              </w:rPr>
              <w:t> </w:t>
            </w:r>
            <w:r>
              <w:rPr>
                <w:rFonts w:ascii="宋体" w:hAnsi="宋体" w:cs="宋体" w:eastAsia="宋体" w:hint="default"/>
                <w:sz w:val="21"/>
                <w:szCs w:val="21"/>
              </w:rPr>
              <w:t>27</w:t>
            </w:r>
            <w:r>
              <w:rPr>
                <w:rFonts w:ascii="宋体" w:hAnsi="宋体" w:cs="宋体" w:eastAsia="宋体" w:hint="default"/>
                <w:spacing w:val="-54"/>
                <w:sz w:val="21"/>
                <w:szCs w:val="21"/>
              </w:rPr>
              <w:t> </w:t>
            </w:r>
            <w:r>
              <w:rPr>
                <w:rFonts w:ascii="宋体" w:hAnsi="宋体" w:cs="宋体" w:eastAsia="宋体" w:hint="default"/>
                <w:spacing w:val="-3"/>
                <w:sz w:val="21"/>
                <w:szCs w:val="21"/>
              </w:rPr>
              <w:t>层</w:t>
            </w:r>
            <w:r>
              <w:rPr>
                <w:rFonts w:ascii="宋体" w:hAnsi="宋体" w:cs="宋体" w:eastAsia="宋体" w:hint="default"/>
                <w:sz w:val="21"/>
                <w:szCs w:val="21"/>
              </w:rPr>
              <w:t> </w:t>
            </w:r>
          </w:p>
        </w:tc>
      </w:tr>
      <w:tr>
        <w:trPr>
          <w:trHeight w:val="353" w:hRule="exact"/>
        </w:trPr>
        <w:tc>
          <w:tcPr>
            <w:tcW w:w="2835" w:type="dxa"/>
            <w:tcBorders>
              <w:top w:val="nil" w:sz="6" w:space="0" w:color="auto"/>
              <w:left w:val="single" w:sz="4" w:space="0" w:color="000000"/>
              <w:bottom w:val="nil" w:sz="6" w:space="0" w:color="auto"/>
              <w:right w:val="single" w:sz="4" w:space="0" w:color="000000"/>
            </w:tcBorders>
          </w:tcPr>
          <w:p>
            <w:pPr>
              <w:pStyle w:val="TableParagraph"/>
              <w:tabs>
                <w:tab w:pos="2803" w:val="left" w:leader="none"/>
              </w:tabs>
              <w:spacing w:line="240" w:lineRule="auto" w:before="28"/>
              <w:ind w:left="24" w:right="0"/>
              <w:jc w:val="left"/>
              <w:rPr>
                <w:rFonts w:ascii="宋体" w:hAnsi="宋体" w:cs="宋体" w:eastAsia="宋体" w:hint="default"/>
                <w:sz w:val="21"/>
                <w:szCs w:val="21"/>
              </w:rPr>
            </w:pPr>
            <w:r>
              <w:rPr>
                <w:rFonts w:ascii="宋体" w:hAnsi="宋体" w:cs="宋体" w:eastAsia="宋体" w:hint="default"/>
                <w:w w:val="100"/>
                <w:sz w:val="21"/>
                <w:szCs w:val="21"/>
              </w:rPr>
            </w:r>
            <w:r>
              <w:rPr>
                <w:rFonts w:ascii="宋体" w:hAnsi="宋体" w:cs="宋体" w:eastAsia="宋体" w:hint="default"/>
                <w:sz w:val="21"/>
                <w:szCs w:val="21"/>
                <w:shd w:fill="D2D2D2" w:color="auto" w:val="clear"/>
              </w:rPr>
              <w:t>办公地址</w:t>
            </w:r>
            <w:r>
              <w:rPr>
                <w:rFonts w:ascii="宋体" w:hAnsi="宋体" w:cs="宋体" w:eastAsia="宋体" w:hint="default"/>
                <w:sz w:val="21"/>
                <w:szCs w:val="21"/>
                <w:shd w:fill="D2D2D2" w:color="auto" w:val="clear"/>
              </w:rPr>
              <w:t> </w:t>
              <w:tab/>
            </w:r>
            <w:r>
              <w:rPr>
                <w:rFonts w:ascii="宋体" w:hAnsi="宋体" w:cs="宋体" w:eastAsia="宋体" w:hint="default"/>
                <w:sz w:val="21"/>
                <w:szCs w:val="21"/>
              </w:rPr>
            </w:r>
          </w:p>
        </w:tc>
        <w:tc>
          <w:tcPr>
            <w:tcW w:w="6736" w:type="dxa"/>
            <w:gridSpan w:val="3"/>
            <w:vMerge/>
            <w:tcBorders>
              <w:left w:val="single" w:sz="4" w:space="0" w:color="000000"/>
              <w:right w:val="single" w:sz="4" w:space="0" w:color="000000"/>
            </w:tcBorders>
          </w:tcPr>
          <w:p>
            <w:pPr/>
          </w:p>
        </w:tc>
      </w:tr>
      <w:tr>
        <w:trPr>
          <w:trHeight w:val="180" w:hRule="exact"/>
        </w:trPr>
        <w:tc>
          <w:tcPr>
            <w:tcW w:w="2835" w:type="dxa"/>
            <w:tcBorders>
              <w:top w:val="nil" w:sz="6" w:space="0" w:color="auto"/>
              <w:left w:val="single" w:sz="4" w:space="0" w:color="000000"/>
              <w:bottom w:val="single" w:sz="4" w:space="0" w:color="000000"/>
              <w:right w:val="single" w:sz="4" w:space="0" w:color="000000"/>
            </w:tcBorders>
            <w:shd w:val="clear" w:color="auto" w:fill="D2D2D2"/>
          </w:tcPr>
          <w:p>
            <w:pPr/>
          </w:p>
        </w:tc>
        <w:tc>
          <w:tcPr>
            <w:tcW w:w="6736" w:type="dxa"/>
            <w:gridSpan w:val="3"/>
            <w:vMerge/>
            <w:tcBorders>
              <w:left w:val="single" w:sz="4" w:space="0" w:color="000000"/>
              <w:bottom w:val="single" w:sz="4" w:space="0" w:color="000000"/>
              <w:right w:val="single" w:sz="4" w:space="0" w:color="000000"/>
            </w:tcBorders>
          </w:tcPr>
          <w:p>
            <w:pPr/>
          </w:p>
        </w:tc>
      </w:tr>
      <w:tr>
        <w:trPr>
          <w:trHeight w:val="362" w:hRule="exact"/>
        </w:trPr>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办公地址的邮政编码</w:t>
            </w:r>
            <w:r>
              <w:rPr>
                <w:rFonts w:ascii="宋体" w:hAnsi="宋体" w:cs="宋体" w:eastAsia="宋体" w:hint="default"/>
                <w:sz w:val="21"/>
                <w:szCs w:val="21"/>
              </w:rPr>
              <w:t> </w:t>
            </w:r>
          </w:p>
        </w:tc>
        <w:tc>
          <w:tcPr>
            <w:tcW w:w="673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21"/>
                <w:szCs w:val="21"/>
              </w:rPr>
            </w:pPr>
            <w:r>
              <w:rPr>
                <w:rFonts w:ascii="宋体"/>
                <w:sz w:val="21"/>
              </w:rPr>
              <w:t>066000 </w:t>
            </w:r>
          </w:p>
        </w:tc>
      </w:tr>
      <w:tr>
        <w:trPr>
          <w:trHeight w:val="362" w:hRule="exact"/>
        </w:trPr>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公司网址</w:t>
            </w:r>
            <w:r>
              <w:rPr>
                <w:rFonts w:ascii="宋体" w:hAnsi="宋体" w:cs="宋体" w:eastAsia="宋体" w:hint="default"/>
                <w:sz w:val="21"/>
                <w:szCs w:val="21"/>
              </w:rPr>
              <w:t> </w:t>
            </w:r>
          </w:p>
        </w:tc>
        <w:tc>
          <w:tcPr>
            <w:tcW w:w="673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21"/>
                <w:szCs w:val="21"/>
              </w:rPr>
            </w:pPr>
            <w:hyperlink r:id="rId9">
              <w:r>
                <w:rPr>
                  <w:rFonts w:ascii="宋体"/>
                  <w:sz w:val="21"/>
                </w:rPr>
                <w:t>www.zjbctech.com</w:t>
              </w:r>
            </w:hyperlink>
            <w:r>
              <w:rPr>
                <w:rFonts w:ascii="宋体"/>
                <w:sz w:val="21"/>
              </w:rPr>
              <w:t> </w:t>
            </w:r>
          </w:p>
        </w:tc>
      </w:tr>
      <w:tr>
        <w:trPr>
          <w:trHeight w:val="362" w:hRule="exact"/>
        </w:trPr>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电子信箱</w:t>
            </w:r>
            <w:r>
              <w:rPr>
                <w:rFonts w:ascii="宋体" w:hAnsi="宋体" w:cs="宋体" w:eastAsia="宋体" w:hint="default"/>
                <w:sz w:val="21"/>
                <w:szCs w:val="21"/>
              </w:rPr>
              <w:t> </w:t>
            </w:r>
          </w:p>
        </w:tc>
        <w:tc>
          <w:tcPr>
            <w:tcW w:w="673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21"/>
                <w:szCs w:val="21"/>
              </w:rPr>
            </w:pPr>
            <w:hyperlink r:id="rId10">
              <w:r>
                <w:rPr>
                  <w:rFonts w:ascii="宋体"/>
                  <w:sz w:val="21"/>
                </w:rPr>
                <w:t>ir@zjbctech.com</w:t>
              </w:r>
            </w:hyperlink>
            <w:r>
              <w:rPr>
                <w:rFonts w:ascii="宋体"/>
                <w:sz w:val="21"/>
              </w:rPr>
              <w:t> </w:t>
            </w:r>
          </w:p>
        </w:tc>
      </w:tr>
    </w:tbl>
    <w:p>
      <w:pPr>
        <w:spacing w:line="240" w:lineRule="auto" w:before="6"/>
        <w:rPr>
          <w:rFonts w:ascii="宋体" w:hAnsi="宋体" w:cs="宋体" w:eastAsia="宋体" w:hint="default"/>
          <w:b/>
          <w:bCs/>
          <w:sz w:val="13"/>
          <w:szCs w:val="13"/>
        </w:rPr>
      </w:pPr>
    </w:p>
    <w:p>
      <w:pPr>
        <w:spacing w:before="26"/>
        <w:ind w:left="152" w:right="1133" w:firstLine="0"/>
        <w:jc w:val="left"/>
        <w:rPr>
          <w:rFonts w:ascii="宋体" w:hAnsi="宋体" w:cs="宋体" w:eastAsia="宋体" w:hint="default"/>
          <w:sz w:val="24"/>
          <w:szCs w:val="24"/>
        </w:rPr>
      </w:pPr>
      <w:r>
        <w:rPr>
          <w:rFonts w:ascii="宋体" w:hAnsi="宋体" w:cs="宋体" w:eastAsia="宋体" w:hint="default"/>
          <w:b/>
          <w:bCs/>
          <w:sz w:val="24"/>
          <w:szCs w:val="24"/>
        </w:rPr>
        <w:t>二、联系人和联系方式</w:t>
      </w:r>
      <w:r>
        <w:rPr>
          <w:rFonts w:ascii="宋体" w:hAnsi="宋体" w:cs="宋体" w:eastAsia="宋体" w:hint="default"/>
          <w:sz w:val="24"/>
          <w:szCs w:val="24"/>
        </w:rPr>
      </w:r>
    </w:p>
    <w:p>
      <w:pPr>
        <w:spacing w:line="240" w:lineRule="auto" w:before="9"/>
        <w:rPr>
          <w:rFonts w:ascii="宋体" w:hAnsi="宋体" w:cs="宋体" w:eastAsia="宋体" w:hint="default"/>
          <w:b/>
          <w:bCs/>
          <w:sz w:val="5"/>
          <w:szCs w:val="5"/>
        </w:rPr>
      </w:pPr>
    </w:p>
    <w:tbl>
      <w:tblPr>
        <w:tblW w:w="0" w:type="auto"/>
        <w:jc w:val="left"/>
        <w:tblInd w:w="148" w:type="dxa"/>
        <w:tblLayout w:type="fixed"/>
        <w:tblCellMar>
          <w:top w:w="0" w:type="dxa"/>
          <w:left w:w="0" w:type="dxa"/>
          <w:bottom w:w="0" w:type="dxa"/>
          <w:right w:w="0" w:type="dxa"/>
        </w:tblCellMar>
        <w:tblLook w:val="01E0"/>
      </w:tblPr>
      <w:tblGrid>
        <w:gridCol w:w="2835"/>
        <w:gridCol w:w="3404"/>
        <w:gridCol w:w="3332"/>
      </w:tblGrid>
      <w:tr>
        <w:trPr>
          <w:trHeight w:val="382" w:hRule="exact"/>
        </w:trPr>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08" w:right="0"/>
              <w:jc w:val="center"/>
              <w:rPr>
                <w:rFonts w:ascii="宋体" w:hAnsi="宋体" w:cs="宋体" w:eastAsia="宋体" w:hint="default"/>
                <w:sz w:val="21"/>
                <w:szCs w:val="21"/>
              </w:rPr>
            </w:pPr>
            <w:r>
              <w:rPr>
                <w:rFonts w:ascii="宋体"/>
                <w:w w:val="100"/>
                <w:sz w:val="21"/>
              </w:rPr>
              <w:t> </w:t>
            </w:r>
          </w:p>
        </w:tc>
        <w:tc>
          <w:tcPr>
            <w:tcW w:w="340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171" w:right="0"/>
              <w:jc w:val="left"/>
              <w:rPr>
                <w:rFonts w:ascii="宋体" w:hAnsi="宋体" w:cs="宋体" w:eastAsia="宋体" w:hint="default"/>
                <w:sz w:val="21"/>
                <w:szCs w:val="21"/>
              </w:rPr>
            </w:pPr>
            <w:r>
              <w:rPr>
                <w:rFonts w:ascii="宋体" w:hAnsi="宋体" w:cs="宋体" w:eastAsia="宋体" w:hint="default"/>
                <w:sz w:val="21"/>
                <w:szCs w:val="21"/>
              </w:rPr>
              <w:t>董事会秘书</w:t>
            </w:r>
            <w:r>
              <w:rPr>
                <w:rFonts w:ascii="宋体" w:hAnsi="宋体" w:cs="宋体" w:eastAsia="宋体" w:hint="default"/>
                <w:sz w:val="21"/>
                <w:szCs w:val="21"/>
              </w:rPr>
              <w:t> </w:t>
            </w:r>
          </w:p>
        </w:tc>
        <w:tc>
          <w:tcPr>
            <w:tcW w:w="33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1031" w:right="0"/>
              <w:jc w:val="left"/>
              <w:rPr>
                <w:rFonts w:ascii="宋体" w:hAnsi="宋体" w:cs="宋体" w:eastAsia="宋体" w:hint="default"/>
                <w:sz w:val="21"/>
                <w:szCs w:val="21"/>
              </w:rPr>
            </w:pPr>
            <w:r>
              <w:rPr>
                <w:rFonts w:ascii="宋体" w:hAnsi="宋体" w:cs="宋体" w:eastAsia="宋体" w:hint="default"/>
                <w:sz w:val="21"/>
                <w:szCs w:val="21"/>
              </w:rPr>
              <w:t>证券事务代表</w:t>
            </w:r>
            <w:r>
              <w:rPr>
                <w:rFonts w:ascii="宋体" w:hAnsi="宋体" w:cs="宋体" w:eastAsia="宋体" w:hint="default"/>
                <w:sz w:val="21"/>
                <w:szCs w:val="21"/>
              </w:rPr>
              <w:t> </w:t>
            </w:r>
          </w:p>
        </w:tc>
      </w:tr>
      <w:tr>
        <w:trPr>
          <w:trHeight w:val="384" w:hRule="exact"/>
        </w:trPr>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姓名</w:t>
            </w:r>
            <w:r>
              <w:rPr>
                <w:rFonts w:ascii="宋体" w:hAnsi="宋体" w:cs="宋体" w:eastAsia="宋体" w:hint="default"/>
                <w:sz w:val="21"/>
                <w:szCs w:val="21"/>
              </w:rPr>
              <w:t> </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21"/>
                <w:szCs w:val="21"/>
              </w:rPr>
            </w:pPr>
            <w:r>
              <w:rPr>
                <w:rFonts w:ascii="宋体" w:hAnsi="宋体" w:cs="宋体" w:eastAsia="宋体" w:hint="default"/>
                <w:sz w:val="21"/>
                <w:szCs w:val="21"/>
              </w:rPr>
              <w:t>束海峰</w:t>
            </w:r>
            <w:r>
              <w:rPr>
                <w:rFonts w:ascii="宋体" w:hAnsi="宋体" w:cs="宋体" w:eastAsia="宋体" w:hint="default"/>
                <w:sz w:val="21"/>
                <w:szCs w:val="21"/>
              </w:rPr>
              <w:t> </w:t>
            </w:r>
          </w:p>
        </w:tc>
        <w:tc>
          <w:tcPr>
            <w:tcW w:w="3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21"/>
                <w:szCs w:val="21"/>
              </w:rPr>
            </w:pPr>
            <w:r>
              <w:rPr>
                <w:rFonts w:ascii="宋体" w:hAnsi="宋体" w:cs="宋体" w:eastAsia="宋体" w:hint="default"/>
                <w:sz w:val="21"/>
                <w:szCs w:val="21"/>
              </w:rPr>
              <w:t>张海英</w:t>
            </w:r>
            <w:r>
              <w:rPr>
                <w:rFonts w:ascii="宋体" w:hAnsi="宋体" w:cs="宋体" w:eastAsia="宋体" w:hint="default"/>
                <w:sz w:val="21"/>
                <w:szCs w:val="21"/>
              </w:rPr>
              <w:t> </w:t>
            </w:r>
          </w:p>
        </w:tc>
      </w:tr>
      <w:tr>
        <w:trPr>
          <w:trHeight w:val="180" w:hRule="exact"/>
        </w:trPr>
        <w:tc>
          <w:tcPr>
            <w:tcW w:w="2835" w:type="dxa"/>
            <w:tcBorders>
              <w:top w:val="single" w:sz="4" w:space="0" w:color="000000"/>
              <w:left w:val="single" w:sz="4" w:space="0" w:color="000000"/>
              <w:bottom w:val="nil" w:sz="6" w:space="0" w:color="auto"/>
              <w:right w:val="single" w:sz="4" w:space="0" w:color="000000"/>
            </w:tcBorders>
            <w:shd w:val="clear" w:color="auto" w:fill="D2D2D2"/>
          </w:tcPr>
          <w:p>
            <w:pPr/>
          </w:p>
        </w:tc>
        <w:tc>
          <w:tcPr>
            <w:tcW w:w="6736" w:type="dxa"/>
            <w:gridSpan w:val="2"/>
            <w:vMerge w:val="restart"/>
            <w:tcBorders>
              <w:top w:val="single" w:sz="4" w:space="0" w:color="000000"/>
              <w:left w:val="single" w:sz="4" w:space="0" w:color="000000"/>
              <w:right w:val="single" w:sz="4" w:space="0" w:color="000000"/>
            </w:tcBorders>
          </w:tcPr>
          <w:p>
            <w:pPr>
              <w:pStyle w:val="TableParagraph"/>
              <w:spacing w:line="309" w:lineRule="auto" w:before="26"/>
              <w:ind w:left="23" w:right="2078"/>
              <w:jc w:val="left"/>
              <w:rPr>
                <w:rFonts w:ascii="宋体" w:hAnsi="宋体" w:cs="宋体" w:eastAsia="宋体" w:hint="default"/>
                <w:sz w:val="21"/>
                <w:szCs w:val="21"/>
              </w:rPr>
            </w:pPr>
            <w:r>
              <w:rPr>
                <w:rFonts w:ascii="宋体" w:hAnsi="宋体" w:cs="宋体" w:eastAsia="宋体" w:hint="default"/>
                <w:sz w:val="21"/>
                <w:szCs w:val="21"/>
              </w:rPr>
              <w:t>北京市朝阳区京顺路</w:t>
            </w:r>
            <w:r>
              <w:rPr>
                <w:rFonts w:ascii="宋体" w:hAnsi="宋体" w:cs="宋体" w:eastAsia="宋体" w:hint="default"/>
                <w:spacing w:val="-52"/>
                <w:sz w:val="21"/>
                <w:szCs w:val="21"/>
              </w:rPr>
              <w:t> </w:t>
            </w:r>
            <w:r>
              <w:rPr>
                <w:rFonts w:ascii="宋体" w:hAnsi="宋体" w:cs="宋体" w:eastAsia="宋体" w:hint="default"/>
                <w:sz w:val="21"/>
                <w:szCs w:val="21"/>
              </w:rPr>
              <w:t>5</w:t>
            </w:r>
            <w:r>
              <w:rPr>
                <w:rFonts w:ascii="宋体" w:hAnsi="宋体" w:cs="宋体" w:eastAsia="宋体" w:hint="default"/>
                <w:spacing w:val="-53"/>
                <w:sz w:val="21"/>
                <w:szCs w:val="21"/>
              </w:rPr>
              <w:t> </w:t>
            </w:r>
            <w:r>
              <w:rPr>
                <w:rFonts w:ascii="宋体" w:hAnsi="宋体" w:cs="宋体" w:eastAsia="宋体" w:hint="default"/>
                <w:sz w:val="21"/>
                <w:szCs w:val="21"/>
              </w:rPr>
              <w:t>号曙光大厦</w:t>
            </w:r>
            <w:r>
              <w:rPr>
                <w:rFonts w:ascii="宋体" w:hAnsi="宋体" w:cs="宋体" w:eastAsia="宋体" w:hint="default"/>
                <w:spacing w:val="-52"/>
                <w:sz w:val="21"/>
                <w:szCs w:val="21"/>
              </w:rPr>
              <w:t> </w:t>
            </w:r>
            <w:r>
              <w:rPr>
                <w:rFonts w:ascii="宋体" w:hAnsi="宋体" w:cs="宋体" w:eastAsia="宋体" w:hint="default"/>
                <w:sz w:val="21"/>
                <w:szCs w:val="21"/>
              </w:rPr>
              <w:t>C</w:t>
            </w:r>
            <w:r>
              <w:rPr>
                <w:rFonts w:ascii="宋体" w:hAnsi="宋体" w:cs="宋体" w:eastAsia="宋体" w:hint="default"/>
                <w:spacing w:val="-56"/>
                <w:sz w:val="21"/>
                <w:szCs w:val="21"/>
              </w:rPr>
              <w:t> </w:t>
            </w:r>
            <w:r>
              <w:rPr>
                <w:rFonts w:ascii="宋体" w:hAnsi="宋体" w:cs="宋体" w:eastAsia="宋体" w:hint="default"/>
                <w:sz w:val="21"/>
                <w:szCs w:val="21"/>
              </w:rPr>
              <w:t>座；</w:t>
            </w:r>
            <w:r>
              <w:rPr>
                <w:rFonts w:ascii="宋体" w:hAnsi="宋体" w:cs="宋体" w:eastAsia="宋体" w:hint="default"/>
                <w:w w:val="100"/>
                <w:sz w:val="21"/>
                <w:szCs w:val="21"/>
              </w:rPr>
              <w:t> </w:t>
            </w:r>
            <w:r>
              <w:rPr>
                <w:rFonts w:ascii="宋体" w:hAnsi="宋体" w:cs="宋体" w:eastAsia="宋体" w:hint="default"/>
                <w:sz w:val="21"/>
                <w:szCs w:val="21"/>
              </w:rPr>
              <w:t>秦皇岛市河北大街</w:t>
            </w:r>
            <w:r>
              <w:rPr>
                <w:rFonts w:ascii="宋体" w:hAnsi="宋体" w:cs="宋体" w:eastAsia="宋体" w:hint="default"/>
                <w:spacing w:val="-53"/>
                <w:sz w:val="21"/>
                <w:szCs w:val="21"/>
              </w:rPr>
              <w:t> </w:t>
            </w:r>
            <w:r>
              <w:rPr>
                <w:rFonts w:ascii="宋体" w:hAnsi="宋体" w:cs="宋体" w:eastAsia="宋体" w:hint="default"/>
                <w:sz w:val="21"/>
                <w:szCs w:val="21"/>
              </w:rPr>
              <w:t>146</w:t>
            </w:r>
            <w:r>
              <w:rPr>
                <w:rFonts w:ascii="宋体" w:hAnsi="宋体" w:cs="宋体" w:eastAsia="宋体" w:hint="default"/>
                <w:spacing w:val="-54"/>
                <w:sz w:val="21"/>
                <w:szCs w:val="21"/>
              </w:rPr>
              <w:t> </w:t>
            </w:r>
            <w:r>
              <w:rPr>
                <w:rFonts w:ascii="宋体" w:hAnsi="宋体" w:cs="宋体" w:eastAsia="宋体" w:hint="default"/>
                <w:sz w:val="21"/>
                <w:szCs w:val="21"/>
              </w:rPr>
              <w:t>号金原国际商务大厦</w:t>
            </w:r>
            <w:r>
              <w:rPr>
                <w:rFonts w:ascii="宋体" w:hAnsi="宋体" w:cs="宋体" w:eastAsia="宋体" w:hint="default"/>
                <w:spacing w:val="-54"/>
                <w:sz w:val="21"/>
                <w:szCs w:val="21"/>
              </w:rPr>
              <w:t> </w:t>
            </w:r>
            <w:r>
              <w:rPr>
                <w:rFonts w:ascii="宋体" w:hAnsi="宋体" w:cs="宋体" w:eastAsia="宋体" w:hint="default"/>
                <w:sz w:val="21"/>
                <w:szCs w:val="21"/>
              </w:rPr>
              <w:t>27</w:t>
            </w:r>
            <w:r>
              <w:rPr>
                <w:rFonts w:ascii="宋体" w:hAnsi="宋体" w:cs="宋体" w:eastAsia="宋体" w:hint="default"/>
                <w:spacing w:val="-54"/>
                <w:sz w:val="21"/>
                <w:szCs w:val="21"/>
              </w:rPr>
              <w:t> </w:t>
            </w:r>
            <w:r>
              <w:rPr>
                <w:rFonts w:ascii="宋体" w:hAnsi="宋体" w:cs="宋体" w:eastAsia="宋体" w:hint="default"/>
                <w:spacing w:val="-3"/>
                <w:sz w:val="21"/>
                <w:szCs w:val="21"/>
              </w:rPr>
              <w:t>层</w:t>
            </w:r>
            <w:r>
              <w:rPr>
                <w:rFonts w:ascii="宋体" w:hAnsi="宋体" w:cs="宋体" w:eastAsia="宋体" w:hint="default"/>
                <w:sz w:val="21"/>
                <w:szCs w:val="21"/>
              </w:rPr>
              <w:t> </w:t>
            </w:r>
          </w:p>
        </w:tc>
      </w:tr>
      <w:tr>
        <w:trPr>
          <w:trHeight w:val="372" w:hRule="exact"/>
        </w:trPr>
        <w:tc>
          <w:tcPr>
            <w:tcW w:w="2835" w:type="dxa"/>
            <w:tcBorders>
              <w:top w:val="nil" w:sz="6" w:space="0" w:color="auto"/>
              <w:left w:val="single" w:sz="4" w:space="0" w:color="000000"/>
              <w:bottom w:val="nil" w:sz="6" w:space="0" w:color="auto"/>
              <w:right w:val="single" w:sz="4" w:space="0" w:color="000000"/>
            </w:tcBorders>
          </w:tcPr>
          <w:p>
            <w:pPr>
              <w:pStyle w:val="TableParagraph"/>
              <w:tabs>
                <w:tab w:pos="2803" w:val="left" w:leader="none"/>
              </w:tabs>
              <w:spacing w:line="240" w:lineRule="auto" w:before="26"/>
              <w:ind w:left="24" w:right="0"/>
              <w:jc w:val="left"/>
              <w:rPr>
                <w:rFonts w:ascii="宋体" w:hAnsi="宋体" w:cs="宋体" w:eastAsia="宋体" w:hint="default"/>
                <w:sz w:val="21"/>
                <w:szCs w:val="21"/>
              </w:rPr>
            </w:pPr>
            <w:r>
              <w:rPr>
                <w:rFonts w:ascii="宋体" w:hAnsi="宋体" w:cs="宋体" w:eastAsia="宋体" w:hint="default"/>
                <w:w w:val="100"/>
                <w:sz w:val="21"/>
                <w:szCs w:val="21"/>
              </w:rPr>
            </w:r>
            <w:r>
              <w:rPr>
                <w:rFonts w:ascii="宋体" w:hAnsi="宋体" w:cs="宋体" w:eastAsia="宋体" w:hint="default"/>
                <w:sz w:val="21"/>
                <w:szCs w:val="21"/>
                <w:shd w:fill="D2D2D2" w:color="auto" w:val="clear"/>
              </w:rPr>
              <w:t>联系地址</w:t>
            </w:r>
            <w:r>
              <w:rPr>
                <w:rFonts w:ascii="宋体" w:hAnsi="宋体" w:cs="宋体" w:eastAsia="宋体" w:hint="default"/>
                <w:sz w:val="21"/>
                <w:szCs w:val="21"/>
                <w:shd w:fill="D2D2D2" w:color="auto" w:val="clear"/>
              </w:rPr>
              <w:t> </w:t>
              <w:tab/>
            </w:r>
            <w:r>
              <w:rPr>
                <w:rFonts w:ascii="宋体" w:hAnsi="宋体" w:cs="宋体" w:eastAsia="宋体" w:hint="default"/>
                <w:sz w:val="21"/>
                <w:szCs w:val="21"/>
              </w:rPr>
            </w:r>
          </w:p>
        </w:tc>
        <w:tc>
          <w:tcPr>
            <w:tcW w:w="6736" w:type="dxa"/>
            <w:gridSpan w:val="2"/>
            <w:vMerge/>
            <w:tcBorders>
              <w:left w:val="single" w:sz="4" w:space="0" w:color="000000"/>
              <w:right w:val="single" w:sz="4" w:space="0" w:color="000000"/>
            </w:tcBorders>
          </w:tcPr>
          <w:p>
            <w:pPr/>
          </w:p>
        </w:tc>
      </w:tr>
      <w:tr>
        <w:trPr>
          <w:trHeight w:val="180" w:hRule="exact"/>
        </w:trPr>
        <w:tc>
          <w:tcPr>
            <w:tcW w:w="2835" w:type="dxa"/>
            <w:tcBorders>
              <w:top w:val="nil" w:sz="6" w:space="0" w:color="auto"/>
              <w:left w:val="single" w:sz="4" w:space="0" w:color="000000"/>
              <w:bottom w:val="single" w:sz="4" w:space="0" w:color="000000"/>
              <w:right w:val="single" w:sz="4" w:space="0" w:color="000000"/>
            </w:tcBorders>
            <w:shd w:val="clear" w:color="auto" w:fill="D2D2D2"/>
          </w:tcPr>
          <w:p>
            <w:pPr/>
          </w:p>
        </w:tc>
        <w:tc>
          <w:tcPr>
            <w:tcW w:w="6736" w:type="dxa"/>
            <w:gridSpan w:val="2"/>
            <w:vMerge/>
            <w:tcBorders>
              <w:left w:val="single" w:sz="4" w:space="0" w:color="000000"/>
              <w:bottom w:val="single" w:sz="4" w:space="0" w:color="000000"/>
              <w:right w:val="single" w:sz="4" w:space="0" w:color="000000"/>
            </w:tcBorders>
          </w:tcPr>
          <w:p>
            <w:pPr/>
          </w:p>
        </w:tc>
      </w:tr>
      <w:tr>
        <w:trPr>
          <w:trHeight w:val="384" w:hRule="exact"/>
        </w:trPr>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8"/>
              <w:ind w:left="24" w:right="0"/>
              <w:jc w:val="left"/>
              <w:rPr>
                <w:rFonts w:ascii="宋体" w:hAnsi="宋体" w:cs="宋体" w:eastAsia="宋体" w:hint="default"/>
                <w:sz w:val="21"/>
                <w:szCs w:val="21"/>
              </w:rPr>
            </w:pPr>
            <w:r>
              <w:rPr>
                <w:rFonts w:ascii="宋体" w:hAnsi="宋体" w:cs="宋体" w:eastAsia="宋体" w:hint="default"/>
                <w:sz w:val="21"/>
                <w:szCs w:val="21"/>
              </w:rPr>
              <w:t>电话</w:t>
            </w:r>
            <w:r>
              <w:rPr>
                <w:rFonts w:ascii="宋体" w:hAnsi="宋体" w:cs="宋体" w:eastAsia="宋体" w:hint="default"/>
                <w:sz w:val="21"/>
                <w:szCs w:val="21"/>
              </w:rPr>
              <w:t> </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21"/>
                <w:szCs w:val="21"/>
              </w:rPr>
            </w:pPr>
            <w:r>
              <w:rPr>
                <w:rFonts w:ascii="宋体"/>
                <w:sz w:val="21"/>
              </w:rPr>
              <w:t>0335-3733868 </w:t>
            </w:r>
          </w:p>
        </w:tc>
        <w:tc>
          <w:tcPr>
            <w:tcW w:w="3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3" w:right="0"/>
              <w:jc w:val="left"/>
              <w:rPr>
                <w:rFonts w:ascii="宋体" w:hAnsi="宋体" w:cs="宋体" w:eastAsia="宋体" w:hint="default"/>
                <w:sz w:val="21"/>
                <w:szCs w:val="21"/>
              </w:rPr>
            </w:pPr>
            <w:r>
              <w:rPr>
                <w:rFonts w:ascii="宋体"/>
                <w:sz w:val="21"/>
              </w:rPr>
              <w:t>0335-3280602 </w:t>
            </w:r>
          </w:p>
        </w:tc>
      </w:tr>
      <w:tr>
        <w:trPr>
          <w:trHeight w:val="382" w:hRule="exact"/>
        </w:trPr>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4" w:right="0"/>
              <w:jc w:val="left"/>
              <w:rPr>
                <w:rFonts w:ascii="宋体" w:hAnsi="宋体" w:cs="宋体" w:eastAsia="宋体" w:hint="default"/>
                <w:sz w:val="21"/>
                <w:szCs w:val="21"/>
              </w:rPr>
            </w:pPr>
            <w:r>
              <w:rPr>
                <w:rFonts w:ascii="宋体" w:hAnsi="宋体" w:cs="宋体" w:eastAsia="宋体" w:hint="default"/>
                <w:sz w:val="21"/>
                <w:szCs w:val="21"/>
              </w:rPr>
              <w:t>传真</w:t>
            </w:r>
            <w:r>
              <w:rPr>
                <w:rFonts w:ascii="宋体" w:hAnsi="宋体" w:cs="宋体" w:eastAsia="宋体" w:hint="default"/>
                <w:sz w:val="21"/>
                <w:szCs w:val="21"/>
              </w:rPr>
              <w:t> </w:t>
            </w:r>
          </w:p>
        </w:tc>
        <w:tc>
          <w:tcPr>
            <w:tcW w:w="673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3" w:right="0"/>
              <w:jc w:val="left"/>
              <w:rPr>
                <w:rFonts w:ascii="宋体" w:hAnsi="宋体" w:cs="宋体" w:eastAsia="宋体" w:hint="default"/>
                <w:sz w:val="21"/>
                <w:szCs w:val="21"/>
              </w:rPr>
            </w:pPr>
            <w:r>
              <w:rPr>
                <w:rFonts w:ascii="宋体"/>
                <w:sz w:val="21"/>
              </w:rPr>
              <w:t>0335-3023349 </w:t>
            </w:r>
          </w:p>
        </w:tc>
      </w:tr>
      <w:tr>
        <w:trPr>
          <w:trHeight w:val="382" w:hRule="exact"/>
        </w:trPr>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4" w:right="0"/>
              <w:jc w:val="left"/>
              <w:rPr>
                <w:rFonts w:ascii="宋体" w:hAnsi="宋体" w:cs="宋体" w:eastAsia="宋体" w:hint="default"/>
                <w:sz w:val="21"/>
                <w:szCs w:val="21"/>
              </w:rPr>
            </w:pPr>
            <w:r>
              <w:rPr>
                <w:rFonts w:ascii="宋体" w:hAnsi="宋体" w:cs="宋体" w:eastAsia="宋体" w:hint="default"/>
                <w:sz w:val="21"/>
                <w:szCs w:val="21"/>
              </w:rPr>
              <w:t>电子信箱</w:t>
            </w:r>
            <w:r>
              <w:rPr>
                <w:rFonts w:ascii="宋体" w:hAnsi="宋体" w:cs="宋体" w:eastAsia="宋体" w:hint="default"/>
                <w:sz w:val="21"/>
                <w:szCs w:val="21"/>
              </w:rPr>
              <w:t> </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3" w:right="0"/>
              <w:jc w:val="left"/>
              <w:rPr>
                <w:rFonts w:ascii="宋体" w:hAnsi="宋体" w:cs="宋体" w:eastAsia="宋体" w:hint="default"/>
                <w:sz w:val="18"/>
                <w:szCs w:val="18"/>
              </w:rPr>
            </w:pPr>
            <w:hyperlink r:id="rId11">
              <w:r>
                <w:rPr>
                  <w:rFonts w:ascii="宋体"/>
                  <w:sz w:val="21"/>
                </w:rPr>
                <w:t>shuhaifeng@zjbctech.com</w:t>
              </w:r>
            </w:hyperlink>
            <w:r>
              <w:rPr>
                <w:rFonts w:ascii="宋体"/>
                <w:sz w:val="18"/>
              </w:rPr>
              <w:t> </w:t>
            </w:r>
          </w:p>
        </w:tc>
        <w:tc>
          <w:tcPr>
            <w:tcW w:w="33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3" w:right="0"/>
              <w:jc w:val="left"/>
              <w:rPr>
                <w:rFonts w:ascii="宋体" w:hAnsi="宋体" w:cs="宋体" w:eastAsia="宋体" w:hint="default"/>
                <w:sz w:val="21"/>
                <w:szCs w:val="21"/>
              </w:rPr>
            </w:pPr>
            <w:hyperlink r:id="rId12">
              <w:r>
                <w:rPr>
                  <w:rFonts w:ascii="宋体"/>
                  <w:sz w:val="21"/>
                </w:rPr>
                <w:t>zhanghaiying@zjbctech.com</w:t>
              </w:r>
            </w:hyperlink>
            <w:r>
              <w:rPr>
                <w:rFonts w:ascii="宋体"/>
                <w:sz w:val="21"/>
              </w:rPr>
              <w:t> </w:t>
            </w:r>
          </w:p>
        </w:tc>
      </w:tr>
    </w:tbl>
    <w:p>
      <w:pPr>
        <w:spacing w:line="240" w:lineRule="auto" w:before="6"/>
        <w:rPr>
          <w:rFonts w:ascii="宋体" w:hAnsi="宋体" w:cs="宋体" w:eastAsia="宋体" w:hint="default"/>
          <w:b/>
          <w:bCs/>
          <w:sz w:val="13"/>
          <w:szCs w:val="13"/>
        </w:rPr>
      </w:pPr>
    </w:p>
    <w:p>
      <w:pPr>
        <w:spacing w:before="26"/>
        <w:ind w:left="152" w:right="1133" w:firstLine="0"/>
        <w:jc w:val="left"/>
        <w:rPr>
          <w:rFonts w:ascii="宋体" w:hAnsi="宋体" w:cs="宋体" w:eastAsia="宋体" w:hint="default"/>
          <w:sz w:val="24"/>
          <w:szCs w:val="24"/>
        </w:rPr>
      </w:pPr>
      <w:r>
        <w:rPr>
          <w:rFonts w:ascii="宋体" w:hAnsi="宋体" w:cs="宋体" w:eastAsia="宋体" w:hint="default"/>
          <w:b/>
          <w:bCs/>
          <w:sz w:val="24"/>
          <w:szCs w:val="24"/>
        </w:rPr>
        <w:t>三、信息披露及备置地点</w:t>
      </w:r>
      <w:r>
        <w:rPr>
          <w:rFonts w:ascii="宋体" w:hAnsi="宋体" w:cs="宋体" w:eastAsia="宋体" w:hint="default"/>
          <w:sz w:val="24"/>
          <w:szCs w:val="24"/>
        </w:rPr>
      </w:r>
    </w:p>
    <w:p>
      <w:pPr>
        <w:spacing w:line="240" w:lineRule="auto" w:before="11"/>
        <w:rPr>
          <w:rFonts w:ascii="宋体" w:hAnsi="宋体" w:cs="宋体" w:eastAsia="宋体" w:hint="default"/>
          <w:b/>
          <w:bCs/>
          <w:sz w:val="5"/>
          <w:szCs w:val="5"/>
        </w:rPr>
      </w:pPr>
    </w:p>
    <w:tbl>
      <w:tblPr>
        <w:tblW w:w="0" w:type="auto"/>
        <w:jc w:val="left"/>
        <w:tblInd w:w="149" w:type="dxa"/>
        <w:tblLayout w:type="fixed"/>
        <w:tblCellMar>
          <w:top w:w="0" w:type="dxa"/>
          <w:left w:w="0" w:type="dxa"/>
          <w:bottom w:w="0" w:type="dxa"/>
          <w:right w:w="0" w:type="dxa"/>
        </w:tblCellMar>
        <w:tblLook w:val="01E0"/>
      </w:tblPr>
      <w:tblGrid>
        <w:gridCol w:w="4111"/>
        <w:gridCol w:w="5459"/>
      </w:tblGrid>
      <w:tr>
        <w:trPr>
          <w:trHeight w:val="401" w:hRule="exact"/>
        </w:trPr>
        <w:tc>
          <w:tcPr>
            <w:tcW w:w="41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公司选定的信息披露媒体的名称</w:t>
            </w:r>
            <w:r>
              <w:rPr>
                <w:rFonts w:ascii="宋体" w:hAnsi="宋体" w:cs="宋体" w:eastAsia="宋体" w:hint="default"/>
                <w:sz w:val="21"/>
                <w:szCs w:val="21"/>
              </w:rPr>
              <w:t> </w:t>
            </w:r>
          </w:p>
        </w:tc>
        <w:tc>
          <w:tcPr>
            <w:tcW w:w="5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3" w:right="0"/>
              <w:jc w:val="left"/>
              <w:rPr>
                <w:rFonts w:ascii="宋体" w:hAnsi="宋体" w:cs="宋体" w:eastAsia="宋体" w:hint="default"/>
                <w:sz w:val="21"/>
                <w:szCs w:val="21"/>
              </w:rPr>
            </w:pPr>
            <w:r>
              <w:rPr>
                <w:rFonts w:ascii="宋体" w:hAnsi="宋体" w:cs="宋体" w:eastAsia="宋体" w:hint="default"/>
                <w:w w:val="100"/>
                <w:sz w:val="21"/>
                <w:szCs w:val="21"/>
              </w:rPr>
              <w:t>《中</w:t>
            </w:r>
            <w:r>
              <w:rPr>
                <w:rFonts w:ascii="宋体" w:hAnsi="宋体" w:cs="宋体" w:eastAsia="宋体" w:hint="default"/>
                <w:spacing w:val="-3"/>
                <w:w w:val="100"/>
                <w:sz w:val="21"/>
                <w:szCs w:val="21"/>
              </w:rPr>
              <w:t>国</w:t>
            </w:r>
            <w:r>
              <w:rPr>
                <w:rFonts w:ascii="宋体" w:hAnsi="宋体" w:cs="宋体" w:eastAsia="宋体" w:hint="default"/>
                <w:w w:val="100"/>
                <w:sz w:val="21"/>
                <w:szCs w:val="21"/>
              </w:rPr>
              <w:t>证</w:t>
            </w:r>
            <w:r>
              <w:rPr>
                <w:rFonts w:ascii="宋体" w:hAnsi="宋体" w:cs="宋体" w:eastAsia="宋体" w:hint="default"/>
                <w:spacing w:val="-3"/>
                <w:w w:val="100"/>
                <w:sz w:val="21"/>
                <w:szCs w:val="21"/>
              </w:rPr>
              <w:t>券</w:t>
            </w:r>
            <w:r>
              <w:rPr>
                <w:rFonts w:ascii="宋体" w:hAnsi="宋体" w:cs="宋体" w:eastAsia="宋体" w:hint="default"/>
                <w:w w:val="100"/>
                <w:sz w:val="21"/>
                <w:szCs w:val="21"/>
              </w:rPr>
              <w:t>报</w:t>
            </w:r>
            <w:r>
              <w:rPr>
                <w:rFonts w:ascii="宋体" w:hAnsi="宋体" w:cs="宋体" w:eastAsia="宋体" w:hint="default"/>
                <w:spacing w:val="-106"/>
                <w:w w:val="100"/>
                <w:sz w:val="21"/>
                <w:szCs w:val="21"/>
              </w:rPr>
              <w:t>》</w:t>
            </w:r>
            <w:r>
              <w:rPr>
                <w:rFonts w:ascii="宋体" w:hAnsi="宋体" w:cs="宋体" w:eastAsia="宋体" w:hint="default"/>
                <w:spacing w:val="-108"/>
                <w:w w:val="100"/>
                <w:sz w:val="21"/>
                <w:szCs w:val="21"/>
              </w:rPr>
              <w:t>、</w:t>
            </w:r>
            <w:r>
              <w:rPr>
                <w:rFonts w:ascii="宋体" w:hAnsi="宋体" w:cs="宋体" w:eastAsia="宋体" w:hint="default"/>
                <w:w w:val="100"/>
                <w:sz w:val="21"/>
                <w:szCs w:val="21"/>
              </w:rPr>
              <w:t>《</w:t>
            </w:r>
            <w:r>
              <w:rPr>
                <w:rFonts w:ascii="宋体" w:hAnsi="宋体" w:cs="宋体" w:eastAsia="宋体" w:hint="default"/>
                <w:spacing w:val="-3"/>
                <w:w w:val="100"/>
                <w:sz w:val="21"/>
                <w:szCs w:val="21"/>
              </w:rPr>
              <w:t>证</w:t>
            </w:r>
            <w:r>
              <w:rPr>
                <w:rFonts w:ascii="宋体" w:hAnsi="宋体" w:cs="宋体" w:eastAsia="宋体" w:hint="default"/>
                <w:w w:val="100"/>
                <w:sz w:val="21"/>
                <w:szCs w:val="21"/>
              </w:rPr>
              <w:t>券</w:t>
            </w:r>
            <w:r>
              <w:rPr>
                <w:rFonts w:ascii="宋体" w:hAnsi="宋体" w:cs="宋体" w:eastAsia="宋体" w:hint="default"/>
                <w:spacing w:val="-3"/>
                <w:w w:val="100"/>
                <w:sz w:val="21"/>
                <w:szCs w:val="21"/>
              </w:rPr>
              <w:t>时</w:t>
            </w:r>
            <w:r>
              <w:rPr>
                <w:rFonts w:ascii="宋体" w:hAnsi="宋体" w:cs="宋体" w:eastAsia="宋体" w:hint="default"/>
                <w:w w:val="100"/>
                <w:sz w:val="21"/>
                <w:szCs w:val="21"/>
              </w:rPr>
              <w:t>报</w:t>
            </w:r>
            <w:r>
              <w:rPr>
                <w:rFonts w:ascii="宋体" w:hAnsi="宋体" w:cs="宋体" w:eastAsia="宋体" w:hint="default"/>
                <w:spacing w:val="-3"/>
                <w:w w:val="100"/>
                <w:sz w:val="21"/>
                <w:szCs w:val="21"/>
              </w:rPr>
              <w:t>》</w:t>
            </w:r>
            <w:r>
              <w:rPr>
                <w:rFonts w:ascii="宋体" w:hAnsi="宋体" w:cs="宋体" w:eastAsia="宋体" w:hint="default"/>
                <w:w w:val="100"/>
                <w:sz w:val="21"/>
                <w:szCs w:val="21"/>
              </w:rPr>
              <w:t> </w:t>
            </w:r>
          </w:p>
        </w:tc>
      </w:tr>
      <w:tr>
        <w:trPr>
          <w:trHeight w:val="403" w:hRule="exact"/>
        </w:trPr>
        <w:tc>
          <w:tcPr>
            <w:tcW w:w="41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20"/>
              <w:jc w:val="left"/>
              <w:rPr>
                <w:rFonts w:ascii="宋体" w:hAnsi="宋体" w:cs="宋体" w:eastAsia="宋体" w:hint="default"/>
                <w:sz w:val="21"/>
                <w:szCs w:val="21"/>
              </w:rPr>
            </w:pPr>
            <w:r>
              <w:rPr>
                <w:rFonts w:ascii="宋体" w:hAnsi="宋体" w:cs="宋体" w:eastAsia="宋体" w:hint="default"/>
                <w:sz w:val="21"/>
                <w:szCs w:val="21"/>
              </w:rPr>
              <w:t>登载年度报告的中国证监会指定网站的网址</w:t>
            </w:r>
            <w:r>
              <w:rPr>
                <w:rFonts w:ascii="宋体" w:hAnsi="宋体" w:cs="宋体" w:eastAsia="宋体" w:hint="default"/>
                <w:sz w:val="21"/>
                <w:szCs w:val="21"/>
              </w:rPr>
              <w:t> </w:t>
            </w:r>
          </w:p>
        </w:tc>
        <w:tc>
          <w:tcPr>
            <w:tcW w:w="5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3" w:right="0"/>
              <w:jc w:val="left"/>
              <w:rPr>
                <w:rFonts w:ascii="宋体" w:hAnsi="宋体" w:cs="宋体" w:eastAsia="宋体" w:hint="default"/>
                <w:sz w:val="21"/>
                <w:szCs w:val="21"/>
              </w:rPr>
            </w:pPr>
            <w:r>
              <w:rPr>
                <w:rFonts w:ascii="宋体" w:hAnsi="宋体" w:cs="宋体" w:eastAsia="宋体" w:hint="default"/>
                <w:sz w:val="21"/>
                <w:szCs w:val="21"/>
              </w:rPr>
              <w:t>巨潮资讯网及网址：</w:t>
            </w:r>
            <w:hyperlink r:id="rId13">
              <w:r>
                <w:rPr>
                  <w:rFonts w:ascii="宋体" w:hAnsi="宋体" w:cs="宋体" w:eastAsia="宋体" w:hint="default"/>
                  <w:sz w:val="21"/>
                  <w:szCs w:val="21"/>
                </w:rPr>
                <w:t>http://www.cninfo.com.cn</w:t>
              </w:r>
            </w:hyperlink>
            <w:r>
              <w:rPr>
                <w:rFonts w:ascii="宋体" w:hAnsi="宋体" w:cs="宋体" w:eastAsia="宋体" w:hint="default"/>
                <w:sz w:val="21"/>
                <w:szCs w:val="21"/>
              </w:rPr>
              <w:t> </w:t>
            </w:r>
          </w:p>
        </w:tc>
      </w:tr>
      <w:tr>
        <w:trPr>
          <w:trHeight w:val="401" w:hRule="exact"/>
        </w:trPr>
        <w:tc>
          <w:tcPr>
            <w:tcW w:w="41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公司年度报告备置地点</w:t>
            </w:r>
            <w:r>
              <w:rPr>
                <w:rFonts w:ascii="宋体" w:hAnsi="宋体" w:cs="宋体" w:eastAsia="宋体" w:hint="default"/>
                <w:sz w:val="21"/>
                <w:szCs w:val="21"/>
              </w:rPr>
              <w:t> </w:t>
            </w:r>
          </w:p>
        </w:tc>
        <w:tc>
          <w:tcPr>
            <w:tcW w:w="5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3" w:right="0"/>
              <w:jc w:val="left"/>
              <w:rPr>
                <w:rFonts w:ascii="宋体" w:hAnsi="宋体" w:cs="宋体" w:eastAsia="宋体" w:hint="default"/>
                <w:sz w:val="21"/>
                <w:szCs w:val="21"/>
              </w:rPr>
            </w:pPr>
            <w:r>
              <w:rPr>
                <w:rFonts w:ascii="宋体" w:hAnsi="宋体" w:cs="宋体" w:eastAsia="宋体" w:hint="default"/>
                <w:sz w:val="21"/>
                <w:szCs w:val="21"/>
              </w:rPr>
              <w:t>公司证券部</w:t>
            </w:r>
            <w:r>
              <w:rPr>
                <w:rFonts w:ascii="宋体" w:hAnsi="宋体" w:cs="宋体" w:eastAsia="宋体" w:hint="default"/>
                <w:sz w:val="21"/>
                <w:szCs w:val="21"/>
              </w:rPr>
              <w:t> </w:t>
            </w:r>
          </w:p>
        </w:tc>
      </w:tr>
    </w:tbl>
    <w:p>
      <w:pPr>
        <w:spacing w:line="240" w:lineRule="auto" w:before="6"/>
        <w:rPr>
          <w:rFonts w:ascii="宋体" w:hAnsi="宋体" w:cs="宋体" w:eastAsia="宋体" w:hint="default"/>
          <w:b/>
          <w:bCs/>
          <w:sz w:val="13"/>
          <w:szCs w:val="13"/>
        </w:rPr>
      </w:pPr>
    </w:p>
    <w:p>
      <w:pPr>
        <w:spacing w:before="26"/>
        <w:ind w:left="152" w:right="1133" w:firstLine="0"/>
        <w:jc w:val="left"/>
        <w:rPr>
          <w:rFonts w:ascii="宋体" w:hAnsi="宋体" w:cs="宋体" w:eastAsia="宋体" w:hint="default"/>
          <w:sz w:val="24"/>
          <w:szCs w:val="24"/>
        </w:rPr>
      </w:pPr>
      <w:r>
        <w:rPr>
          <w:rFonts w:ascii="宋体" w:hAnsi="宋体" w:cs="宋体" w:eastAsia="宋体" w:hint="default"/>
          <w:b/>
          <w:bCs/>
          <w:sz w:val="24"/>
          <w:szCs w:val="24"/>
        </w:rPr>
        <w:t>四、注册变更情况</w:t>
      </w:r>
      <w:r>
        <w:rPr>
          <w:rFonts w:ascii="宋体" w:hAnsi="宋体" w:cs="宋体" w:eastAsia="宋体" w:hint="default"/>
          <w:sz w:val="24"/>
          <w:szCs w:val="24"/>
        </w:rPr>
      </w:r>
    </w:p>
    <w:p>
      <w:pPr>
        <w:spacing w:line="240" w:lineRule="auto" w:before="12"/>
        <w:rPr>
          <w:rFonts w:ascii="宋体" w:hAnsi="宋体" w:cs="宋体" w:eastAsia="宋体" w:hint="default"/>
          <w:b/>
          <w:bCs/>
          <w:sz w:val="5"/>
          <w:szCs w:val="5"/>
        </w:rPr>
      </w:pPr>
    </w:p>
    <w:tbl>
      <w:tblPr>
        <w:tblW w:w="0" w:type="auto"/>
        <w:jc w:val="left"/>
        <w:tblInd w:w="149" w:type="dxa"/>
        <w:tblLayout w:type="fixed"/>
        <w:tblCellMar>
          <w:top w:w="0" w:type="dxa"/>
          <w:left w:w="0" w:type="dxa"/>
          <w:bottom w:w="0" w:type="dxa"/>
          <w:right w:w="0" w:type="dxa"/>
        </w:tblCellMar>
        <w:tblLook w:val="01E0"/>
      </w:tblPr>
      <w:tblGrid>
        <w:gridCol w:w="3403"/>
        <w:gridCol w:w="6167"/>
      </w:tblGrid>
      <w:tr>
        <w:trPr>
          <w:trHeight w:val="403" w:hRule="exact"/>
        </w:trPr>
        <w:tc>
          <w:tcPr>
            <w:tcW w:w="34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组织机构代码</w:t>
            </w:r>
            <w:r>
              <w:rPr>
                <w:rFonts w:ascii="宋体" w:hAnsi="宋体" w:cs="宋体" w:eastAsia="宋体" w:hint="default"/>
                <w:sz w:val="21"/>
                <w:szCs w:val="21"/>
              </w:rPr>
              <w:t> </w:t>
            </w:r>
          </w:p>
        </w:tc>
        <w:tc>
          <w:tcPr>
            <w:tcW w:w="6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3" w:right="0"/>
              <w:jc w:val="left"/>
              <w:rPr>
                <w:rFonts w:ascii="宋体" w:hAnsi="宋体" w:cs="宋体" w:eastAsia="宋体" w:hint="default"/>
                <w:sz w:val="21"/>
                <w:szCs w:val="21"/>
              </w:rPr>
            </w:pPr>
            <w:r>
              <w:rPr>
                <w:rFonts w:ascii="宋体" w:hAnsi="宋体" w:cs="宋体" w:eastAsia="宋体" w:hint="default"/>
                <w:sz w:val="21"/>
                <w:szCs w:val="21"/>
              </w:rPr>
              <w:t>91130300104366111M(</w:t>
            </w:r>
            <w:r>
              <w:rPr>
                <w:rFonts w:ascii="宋体" w:hAnsi="宋体" w:cs="宋体" w:eastAsia="宋体" w:hint="default"/>
                <w:sz w:val="21"/>
                <w:szCs w:val="21"/>
              </w:rPr>
              <w:t>无变更）</w:t>
            </w:r>
            <w:r>
              <w:rPr>
                <w:rFonts w:ascii="宋体" w:hAnsi="宋体" w:cs="宋体" w:eastAsia="宋体" w:hint="default"/>
                <w:sz w:val="21"/>
                <w:szCs w:val="21"/>
              </w:rPr>
              <w:t> </w:t>
            </w:r>
          </w:p>
        </w:tc>
      </w:tr>
      <w:tr>
        <w:trPr>
          <w:trHeight w:val="713" w:hRule="exact"/>
        </w:trPr>
        <w:tc>
          <w:tcPr>
            <w:tcW w:w="34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left="22" w:right="0"/>
              <w:jc w:val="left"/>
              <w:rPr>
                <w:rFonts w:ascii="宋体" w:hAnsi="宋体" w:cs="宋体" w:eastAsia="宋体" w:hint="default"/>
                <w:sz w:val="21"/>
                <w:szCs w:val="21"/>
              </w:rPr>
            </w:pPr>
            <w:r>
              <w:rPr>
                <w:rFonts w:ascii="宋体" w:hAnsi="宋体" w:cs="宋体" w:eastAsia="宋体" w:hint="default"/>
                <w:sz w:val="21"/>
                <w:szCs w:val="21"/>
              </w:rPr>
              <w:t>公司报告期内主营业务的变化情况</w:t>
            </w:r>
            <w:r>
              <w:rPr>
                <w:rFonts w:ascii="宋体" w:hAnsi="宋体" w:cs="宋体" w:eastAsia="宋体" w:hint="default"/>
                <w:sz w:val="21"/>
                <w:szCs w:val="21"/>
              </w:rPr>
              <w:t> </w:t>
            </w:r>
          </w:p>
        </w:tc>
        <w:tc>
          <w:tcPr>
            <w:tcW w:w="6167" w:type="dxa"/>
            <w:tcBorders>
              <w:top w:val="single" w:sz="4" w:space="0" w:color="000000"/>
              <w:left w:val="single" w:sz="4" w:space="0" w:color="000000"/>
              <w:bottom w:val="single" w:sz="4" w:space="0" w:color="000000"/>
              <w:right w:val="single" w:sz="4" w:space="0" w:color="000000"/>
            </w:tcBorders>
          </w:tcPr>
          <w:p>
            <w:pPr>
              <w:pStyle w:val="TableParagraph"/>
              <w:spacing w:line="271" w:lineRule="auto" w:before="28"/>
              <w:ind w:left="23" w:right="35"/>
              <w:jc w:val="left"/>
              <w:rPr>
                <w:rFonts w:ascii="宋体" w:hAnsi="宋体" w:cs="宋体" w:eastAsia="宋体" w:hint="default"/>
                <w:sz w:val="21"/>
                <w:szCs w:val="21"/>
              </w:rPr>
            </w:pPr>
            <w:r>
              <w:rPr>
                <w:rFonts w:ascii="宋体" w:hAnsi="宋体" w:cs="宋体" w:eastAsia="宋体" w:hint="default"/>
                <w:spacing w:val="-2"/>
                <w:sz w:val="21"/>
                <w:szCs w:val="21"/>
              </w:rPr>
              <w:t>报告期内主营信息智能传输、通信网络维护和金融服务外包，主营</w:t>
            </w:r>
            <w:r>
              <w:rPr>
                <w:rFonts w:ascii="宋体" w:hAnsi="宋体" w:cs="宋体" w:eastAsia="宋体" w:hint="default"/>
                <w:spacing w:val="-50"/>
                <w:sz w:val="21"/>
                <w:szCs w:val="21"/>
              </w:rPr>
              <w:t> </w:t>
            </w:r>
            <w:r>
              <w:rPr>
                <w:rFonts w:ascii="宋体" w:hAnsi="宋体" w:cs="宋体" w:eastAsia="宋体" w:hint="default"/>
                <w:spacing w:val="-50"/>
                <w:sz w:val="21"/>
                <w:szCs w:val="21"/>
              </w:rPr>
            </w:r>
            <w:r>
              <w:rPr>
                <w:rFonts w:ascii="宋体" w:hAnsi="宋体" w:cs="宋体" w:eastAsia="宋体" w:hint="default"/>
                <w:sz w:val="21"/>
                <w:szCs w:val="21"/>
              </w:rPr>
              <w:t>业务没有变化。</w:t>
            </w:r>
            <w:r>
              <w:rPr>
                <w:rFonts w:ascii="宋体" w:hAnsi="宋体" w:cs="宋体" w:eastAsia="宋体" w:hint="default"/>
                <w:sz w:val="21"/>
                <w:szCs w:val="21"/>
              </w:rPr>
              <w:t> </w:t>
            </w:r>
          </w:p>
        </w:tc>
      </w:tr>
      <w:tr>
        <w:trPr>
          <w:trHeight w:val="403" w:hRule="exact"/>
        </w:trPr>
        <w:tc>
          <w:tcPr>
            <w:tcW w:w="34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控股股东的变更情况</w:t>
            </w:r>
            <w:r>
              <w:rPr>
                <w:rFonts w:ascii="宋体" w:hAnsi="宋体" w:cs="宋体" w:eastAsia="宋体" w:hint="default"/>
                <w:sz w:val="21"/>
                <w:szCs w:val="21"/>
              </w:rPr>
              <w:t> </w:t>
            </w:r>
          </w:p>
        </w:tc>
        <w:tc>
          <w:tcPr>
            <w:tcW w:w="6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3" w:right="0"/>
              <w:jc w:val="left"/>
              <w:rPr>
                <w:rFonts w:ascii="宋体" w:hAnsi="宋体" w:cs="宋体" w:eastAsia="宋体" w:hint="default"/>
                <w:sz w:val="21"/>
                <w:szCs w:val="21"/>
              </w:rPr>
            </w:pPr>
            <w:r>
              <w:rPr>
                <w:rFonts w:ascii="宋体" w:hAnsi="宋体" w:cs="宋体" w:eastAsia="宋体" w:hint="default"/>
                <w:sz w:val="21"/>
                <w:szCs w:val="21"/>
              </w:rPr>
              <w:t>公司无控股股东、实际控制人，本报告期无变更。</w:t>
            </w:r>
            <w:r>
              <w:rPr>
                <w:rFonts w:ascii="宋体" w:hAnsi="宋体" w:cs="宋体" w:eastAsia="宋体" w:hint="default"/>
                <w:sz w:val="21"/>
                <w:szCs w:val="21"/>
              </w:rPr>
              <w:t> </w:t>
            </w:r>
          </w:p>
        </w:tc>
      </w:tr>
    </w:tbl>
    <w:p>
      <w:pPr>
        <w:spacing w:after="0" w:line="240" w:lineRule="auto"/>
        <w:jc w:val="left"/>
        <w:rPr>
          <w:rFonts w:ascii="宋体" w:hAnsi="宋体" w:cs="宋体" w:eastAsia="宋体" w:hint="default"/>
          <w:sz w:val="21"/>
          <w:szCs w:val="21"/>
        </w:rPr>
        <w:sectPr>
          <w:pgSz w:w="11910" w:h="16840"/>
          <w:pgMar w:header="880" w:footer="975" w:top="1100" w:bottom="1160" w:left="980" w:right="0"/>
        </w:sectPr>
      </w:pPr>
    </w:p>
    <w:p>
      <w:pPr>
        <w:spacing w:line="240" w:lineRule="auto" w:before="9"/>
        <w:rPr>
          <w:rFonts w:ascii="宋体" w:hAnsi="宋体" w:cs="宋体" w:eastAsia="宋体" w:hint="default"/>
          <w:b/>
          <w:bCs/>
          <w:sz w:val="19"/>
          <w:szCs w:val="19"/>
        </w:rPr>
      </w:pPr>
    </w:p>
    <w:p>
      <w:pPr>
        <w:spacing w:before="26"/>
        <w:ind w:left="152" w:right="1133" w:firstLine="0"/>
        <w:jc w:val="left"/>
        <w:rPr>
          <w:rFonts w:ascii="宋体" w:hAnsi="宋体" w:cs="宋体" w:eastAsia="宋体" w:hint="default"/>
          <w:sz w:val="24"/>
          <w:szCs w:val="24"/>
        </w:rPr>
      </w:pPr>
      <w:r>
        <w:rPr>
          <w:rFonts w:ascii="宋体" w:hAnsi="宋体" w:cs="宋体" w:eastAsia="宋体" w:hint="default"/>
          <w:b/>
          <w:bCs/>
          <w:sz w:val="24"/>
          <w:szCs w:val="24"/>
        </w:rPr>
        <w:t>五、其他有关资料</w:t>
      </w:r>
      <w:r>
        <w:rPr>
          <w:rFonts w:ascii="宋体" w:hAnsi="宋体" w:cs="宋体" w:eastAsia="宋体" w:hint="default"/>
          <w:sz w:val="24"/>
          <w:szCs w:val="24"/>
        </w:rPr>
      </w:r>
    </w:p>
    <w:p>
      <w:pPr>
        <w:pStyle w:val="BodyText"/>
        <w:spacing w:line="240" w:lineRule="auto" w:before="64"/>
        <w:ind w:right="1133"/>
        <w:jc w:val="left"/>
      </w:pPr>
      <w:r>
        <w:rPr/>
        <w:t>公司聘请的会计师事务所</w:t>
      </w:r>
    </w:p>
    <w:p>
      <w:pPr>
        <w:spacing w:line="240" w:lineRule="auto" w:before="10"/>
        <w:rPr>
          <w:rFonts w:ascii="宋体" w:hAnsi="宋体" w:cs="宋体" w:eastAsia="宋体" w:hint="default"/>
          <w:sz w:val="3"/>
          <w:szCs w:val="3"/>
        </w:rPr>
      </w:pPr>
    </w:p>
    <w:tbl>
      <w:tblPr>
        <w:tblW w:w="0" w:type="auto"/>
        <w:jc w:val="left"/>
        <w:tblInd w:w="149" w:type="dxa"/>
        <w:tblLayout w:type="fixed"/>
        <w:tblCellMar>
          <w:top w:w="0" w:type="dxa"/>
          <w:left w:w="0" w:type="dxa"/>
          <w:bottom w:w="0" w:type="dxa"/>
          <w:right w:w="0" w:type="dxa"/>
        </w:tblCellMar>
        <w:tblLook w:val="01E0"/>
      </w:tblPr>
      <w:tblGrid>
        <w:gridCol w:w="3545"/>
        <w:gridCol w:w="6025"/>
      </w:tblGrid>
      <w:tr>
        <w:trPr>
          <w:trHeight w:val="401" w:hRule="exact"/>
        </w:trPr>
        <w:tc>
          <w:tcPr>
            <w:tcW w:w="3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会计师事务所名称</w:t>
            </w:r>
            <w:r>
              <w:rPr>
                <w:rFonts w:ascii="宋体" w:hAnsi="宋体" w:cs="宋体" w:eastAsia="宋体" w:hint="default"/>
                <w:sz w:val="21"/>
                <w:szCs w:val="21"/>
              </w:rPr>
              <w:t> </w:t>
            </w:r>
          </w:p>
        </w:tc>
        <w:tc>
          <w:tcPr>
            <w:tcW w:w="6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3" w:right="0"/>
              <w:jc w:val="left"/>
              <w:rPr>
                <w:rFonts w:ascii="宋体" w:hAnsi="宋体" w:cs="宋体" w:eastAsia="宋体" w:hint="default"/>
                <w:sz w:val="21"/>
                <w:szCs w:val="21"/>
              </w:rPr>
            </w:pPr>
            <w:r>
              <w:rPr>
                <w:rFonts w:ascii="宋体" w:hAnsi="宋体" w:cs="宋体" w:eastAsia="宋体" w:hint="default"/>
                <w:sz w:val="21"/>
                <w:szCs w:val="21"/>
              </w:rPr>
              <w:t>亚太（集团）会计师事务所（特殊普通合伙）</w:t>
            </w:r>
            <w:r>
              <w:rPr>
                <w:rFonts w:ascii="宋体" w:hAnsi="宋体" w:cs="宋体" w:eastAsia="宋体" w:hint="default"/>
                <w:sz w:val="21"/>
                <w:szCs w:val="21"/>
              </w:rPr>
              <w:t> </w:t>
            </w:r>
          </w:p>
        </w:tc>
      </w:tr>
      <w:tr>
        <w:trPr>
          <w:trHeight w:val="403" w:hRule="exact"/>
        </w:trPr>
        <w:tc>
          <w:tcPr>
            <w:tcW w:w="3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会计师事务所办公地址</w:t>
            </w:r>
            <w:r>
              <w:rPr>
                <w:rFonts w:ascii="宋体" w:hAnsi="宋体" w:cs="宋体" w:eastAsia="宋体" w:hint="default"/>
                <w:sz w:val="21"/>
                <w:szCs w:val="21"/>
              </w:rPr>
              <w:t> </w:t>
            </w:r>
          </w:p>
        </w:tc>
        <w:tc>
          <w:tcPr>
            <w:tcW w:w="6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3" w:right="0"/>
              <w:jc w:val="left"/>
              <w:rPr>
                <w:rFonts w:ascii="宋体" w:hAnsi="宋体" w:cs="宋体" w:eastAsia="宋体" w:hint="default"/>
                <w:sz w:val="21"/>
                <w:szCs w:val="21"/>
              </w:rPr>
            </w:pPr>
            <w:r>
              <w:rPr>
                <w:rFonts w:ascii="宋体" w:hAnsi="宋体" w:cs="宋体" w:eastAsia="宋体" w:hint="default"/>
                <w:sz w:val="21"/>
                <w:szCs w:val="21"/>
              </w:rPr>
              <w:t>北京市车公庄大街</w:t>
            </w:r>
            <w:r>
              <w:rPr>
                <w:rFonts w:ascii="宋体" w:hAnsi="宋体" w:cs="宋体" w:eastAsia="宋体" w:hint="default"/>
                <w:spacing w:val="-52"/>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号院</w:t>
            </w:r>
            <w:r>
              <w:rPr>
                <w:rFonts w:ascii="宋体" w:hAnsi="宋体" w:cs="宋体" w:eastAsia="宋体" w:hint="default"/>
                <w:spacing w:val="-54"/>
                <w:sz w:val="21"/>
                <w:szCs w:val="21"/>
              </w:rPr>
              <w:t> </w:t>
            </w:r>
            <w:r>
              <w:rPr>
                <w:rFonts w:ascii="宋体" w:hAnsi="宋体" w:cs="宋体" w:eastAsia="宋体" w:hint="default"/>
                <w:sz w:val="21"/>
                <w:szCs w:val="21"/>
              </w:rPr>
              <w:t>B</w:t>
            </w:r>
            <w:r>
              <w:rPr>
                <w:rFonts w:ascii="宋体" w:hAnsi="宋体" w:cs="宋体" w:eastAsia="宋体" w:hint="default"/>
                <w:spacing w:val="-52"/>
                <w:sz w:val="21"/>
                <w:szCs w:val="21"/>
              </w:rPr>
              <w:t> </w:t>
            </w:r>
            <w:r>
              <w:rPr>
                <w:rFonts w:ascii="宋体" w:hAnsi="宋体" w:cs="宋体" w:eastAsia="宋体" w:hint="default"/>
                <w:sz w:val="21"/>
                <w:szCs w:val="21"/>
              </w:rPr>
              <w:t>座</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单元</w:t>
            </w:r>
            <w:r>
              <w:rPr>
                <w:rFonts w:ascii="宋体" w:hAnsi="宋体" w:cs="宋体" w:eastAsia="宋体" w:hint="default"/>
                <w:spacing w:val="-54"/>
                <w:sz w:val="21"/>
                <w:szCs w:val="21"/>
              </w:rPr>
              <w:t> </w:t>
            </w:r>
            <w:r>
              <w:rPr>
                <w:rFonts w:ascii="宋体" w:hAnsi="宋体" w:cs="宋体" w:eastAsia="宋体" w:hint="default"/>
                <w:sz w:val="21"/>
                <w:szCs w:val="21"/>
              </w:rPr>
              <w:t>301</w:t>
            </w:r>
            <w:r>
              <w:rPr>
                <w:rFonts w:ascii="宋体" w:hAnsi="宋体" w:cs="宋体" w:eastAsia="宋体" w:hint="default"/>
                <w:spacing w:val="-54"/>
                <w:sz w:val="21"/>
                <w:szCs w:val="21"/>
              </w:rPr>
              <w:t> </w:t>
            </w:r>
            <w:r>
              <w:rPr>
                <w:rFonts w:ascii="宋体" w:hAnsi="宋体" w:cs="宋体" w:eastAsia="宋体" w:hint="default"/>
                <w:spacing w:val="-3"/>
                <w:sz w:val="21"/>
                <w:szCs w:val="21"/>
              </w:rPr>
              <w:t>室</w:t>
            </w:r>
            <w:r>
              <w:rPr>
                <w:rFonts w:ascii="宋体" w:hAnsi="宋体" w:cs="宋体" w:eastAsia="宋体" w:hint="default"/>
                <w:sz w:val="21"/>
                <w:szCs w:val="21"/>
              </w:rPr>
              <w:t> </w:t>
            </w:r>
          </w:p>
        </w:tc>
      </w:tr>
      <w:tr>
        <w:trPr>
          <w:trHeight w:val="401" w:hRule="exact"/>
        </w:trPr>
        <w:tc>
          <w:tcPr>
            <w:tcW w:w="35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22" w:right="0"/>
              <w:jc w:val="left"/>
              <w:rPr>
                <w:rFonts w:ascii="宋体" w:hAnsi="宋体" w:cs="宋体" w:eastAsia="宋体" w:hint="default"/>
                <w:sz w:val="21"/>
                <w:szCs w:val="21"/>
              </w:rPr>
            </w:pPr>
            <w:r>
              <w:rPr>
                <w:rFonts w:ascii="宋体" w:hAnsi="宋体" w:cs="宋体" w:eastAsia="宋体" w:hint="default"/>
                <w:sz w:val="21"/>
                <w:szCs w:val="21"/>
              </w:rPr>
              <w:t>签字会计师姓名</w:t>
            </w:r>
            <w:r>
              <w:rPr>
                <w:rFonts w:ascii="宋体" w:hAnsi="宋体" w:cs="宋体" w:eastAsia="宋体" w:hint="default"/>
                <w:sz w:val="21"/>
                <w:szCs w:val="21"/>
              </w:rPr>
              <w:t> </w:t>
            </w:r>
          </w:p>
        </w:tc>
        <w:tc>
          <w:tcPr>
            <w:tcW w:w="6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23" w:right="0"/>
              <w:jc w:val="left"/>
              <w:rPr>
                <w:rFonts w:ascii="宋体" w:hAnsi="宋体" w:cs="宋体" w:eastAsia="宋体" w:hint="default"/>
                <w:sz w:val="21"/>
                <w:szCs w:val="21"/>
              </w:rPr>
            </w:pPr>
            <w:r>
              <w:rPr>
                <w:rFonts w:ascii="宋体" w:hAnsi="宋体" w:cs="宋体" w:eastAsia="宋体" w:hint="default"/>
                <w:sz w:val="21"/>
                <w:szCs w:val="21"/>
              </w:rPr>
              <w:t>张庆栾、朱文华</w:t>
            </w:r>
            <w:r>
              <w:rPr>
                <w:rFonts w:ascii="宋体" w:hAnsi="宋体" w:cs="宋体" w:eastAsia="宋体" w:hint="default"/>
                <w:sz w:val="21"/>
                <w:szCs w:val="21"/>
              </w:rPr>
              <w:t> </w:t>
            </w:r>
          </w:p>
        </w:tc>
      </w:tr>
    </w:tbl>
    <w:p>
      <w:pPr>
        <w:spacing w:line="240" w:lineRule="auto" w:before="10"/>
        <w:rPr>
          <w:rFonts w:ascii="宋体" w:hAnsi="宋体" w:cs="宋体" w:eastAsia="宋体" w:hint="default"/>
          <w:sz w:val="23"/>
          <w:szCs w:val="23"/>
        </w:rPr>
      </w:pPr>
    </w:p>
    <w:p>
      <w:pPr>
        <w:pStyle w:val="BodyText"/>
        <w:spacing w:line="240" w:lineRule="auto" w:before="36"/>
        <w:ind w:right="1133"/>
        <w:jc w:val="left"/>
        <w:rPr>
          <w:rFonts w:ascii="宋体" w:hAnsi="宋体" w:cs="宋体" w:eastAsia="宋体" w:hint="default"/>
        </w:rPr>
      </w:pPr>
      <w:r>
        <w:rPr/>
        <w:t>公司聘请的报告期内履行持续督导职责的财务顾问</w:t>
      </w:r>
      <w:r>
        <w:rPr>
          <w:rFonts w:ascii="宋体" w:hAnsi="宋体" w:cs="宋体" w:eastAsia="宋体" w:hint="default"/>
        </w:rPr>
        <w:t> </w:t>
      </w:r>
    </w:p>
    <w:p>
      <w:pPr>
        <w:spacing w:line="240" w:lineRule="auto" w:before="12"/>
        <w:rPr>
          <w:rFonts w:ascii="宋体" w:hAnsi="宋体" w:cs="宋体" w:eastAsia="宋体" w:hint="default"/>
          <w:sz w:val="6"/>
          <w:szCs w:val="6"/>
        </w:rPr>
      </w:pPr>
    </w:p>
    <w:tbl>
      <w:tblPr>
        <w:tblW w:w="0" w:type="auto"/>
        <w:jc w:val="left"/>
        <w:tblInd w:w="148" w:type="dxa"/>
        <w:tblLayout w:type="fixed"/>
        <w:tblCellMar>
          <w:top w:w="0" w:type="dxa"/>
          <w:left w:w="0" w:type="dxa"/>
          <w:bottom w:w="0" w:type="dxa"/>
          <w:right w:w="0" w:type="dxa"/>
        </w:tblCellMar>
        <w:tblLook w:val="01E0"/>
      </w:tblPr>
      <w:tblGrid>
        <w:gridCol w:w="2268"/>
        <w:gridCol w:w="3121"/>
        <w:gridCol w:w="1983"/>
        <w:gridCol w:w="2199"/>
      </w:tblGrid>
      <w:tr>
        <w:trPr>
          <w:trHeight w:val="401" w:hRule="exact"/>
        </w:trPr>
        <w:tc>
          <w:tcPr>
            <w:tcW w:w="2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499" w:right="0"/>
              <w:jc w:val="left"/>
              <w:rPr>
                <w:rFonts w:ascii="宋体" w:hAnsi="宋体" w:cs="宋体" w:eastAsia="宋体" w:hint="default"/>
                <w:sz w:val="21"/>
                <w:szCs w:val="21"/>
              </w:rPr>
            </w:pPr>
            <w:r>
              <w:rPr>
                <w:rFonts w:ascii="宋体" w:hAnsi="宋体" w:cs="宋体" w:eastAsia="宋体" w:hint="default"/>
                <w:sz w:val="21"/>
                <w:szCs w:val="21"/>
              </w:rPr>
              <w:t>财务顾问名称</w:t>
            </w:r>
            <w:r>
              <w:rPr>
                <w:rFonts w:ascii="宋体" w:hAnsi="宋体" w:cs="宋体" w:eastAsia="宋体" w:hint="default"/>
                <w:sz w:val="21"/>
                <w:szCs w:val="21"/>
              </w:rPr>
              <w:t> </w:t>
            </w:r>
          </w:p>
        </w:tc>
        <w:tc>
          <w:tcPr>
            <w:tcW w:w="31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715" w:right="0"/>
              <w:jc w:val="left"/>
              <w:rPr>
                <w:rFonts w:ascii="宋体" w:hAnsi="宋体" w:cs="宋体" w:eastAsia="宋体" w:hint="default"/>
                <w:sz w:val="21"/>
                <w:szCs w:val="21"/>
              </w:rPr>
            </w:pPr>
            <w:r>
              <w:rPr>
                <w:rFonts w:ascii="宋体" w:hAnsi="宋体" w:cs="宋体" w:eastAsia="宋体" w:hint="default"/>
                <w:sz w:val="21"/>
                <w:szCs w:val="21"/>
              </w:rPr>
              <w:t>财务顾问办公地址</w:t>
            </w:r>
            <w:r>
              <w:rPr>
                <w:rFonts w:ascii="宋体" w:hAnsi="宋体" w:cs="宋体" w:eastAsia="宋体" w:hint="default"/>
                <w:sz w:val="21"/>
                <w:szCs w:val="21"/>
              </w:rPr>
              <w:t> </w:t>
            </w:r>
          </w:p>
        </w:tc>
        <w:tc>
          <w:tcPr>
            <w:tcW w:w="19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40" w:right="0"/>
              <w:jc w:val="left"/>
              <w:rPr>
                <w:rFonts w:ascii="宋体" w:hAnsi="宋体" w:cs="宋体" w:eastAsia="宋体" w:hint="default"/>
                <w:sz w:val="21"/>
                <w:szCs w:val="21"/>
              </w:rPr>
            </w:pPr>
            <w:r>
              <w:rPr>
                <w:rFonts w:ascii="宋体" w:hAnsi="宋体" w:cs="宋体" w:eastAsia="宋体" w:hint="default"/>
                <w:sz w:val="21"/>
                <w:szCs w:val="21"/>
              </w:rPr>
              <w:t>财务顾问主办人姓名</w:t>
            </w:r>
          </w:p>
        </w:tc>
        <w:tc>
          <w:tcPr>
            <w:tcW w:w="21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463" w:right="0"/>
              <w:jc w:val="left"/>
              <w:rPr>
                <w:rFonts w:ascii="宋体" w:hAnsi="宋体" w:cs="宋体" w:eastAsia="宋体" w:hint="default"/>
                <w:sz w:val="21"/>
                <w:szCs w:val="21"/>
              </w:rPr>
            </w:pPr>
            <w:r>
              <w:rPr>
                <w:rFonts w:ascii="宋体" w:hAnsi="宋体" w:cs="宋体" w:eastAsia="宋体" w:hint="default"/>
                <w:sz w:val="21"/>
                <w:szCs w:val="21"/>
              </w:rPr>
              <w:t>持续督导期间</w:t>
            </w:r>
            <w:r>
              <w:rPr>
                <w:rFonts w:ascii="宋体" w:hAnsi="宋体" w:cs="宋体" w:eastAsia="宋体" w:hint="default"/>
                <w:sz w:val="21"/>
                <w:szCs w:val="21"/>
              </w:rPr>
              <w:t> </w:t>
            </w:r>
          </w:p>
        </w:tc>
      </w:tr>
      <w:tr>
        <w:trPr>
          <w:trHeight w:val="715"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24" w:right="0"/>
              <w:jc w:val="left"/>
              <w:rPr>
                <w:rFonts w:ascii="宋体" w:hAnsi="宋体" w:cs="宋体" w:eastAsia="宋体" w:hint="default"/>
                <w:sz w:val="21"/>
                <w:szCs w:val="21"/>
              </w:rPr>
            </w:pPr>
            <w:r>
              <w:rPr>
                <w:rFonts w:ascii="宋体" w:hAnsi="宋体" w:cs="宋体" w:eastAsia="宋体" w:hint="default"/>
                <w:sz w:val="21"/>
                <w:szCs w:val="21"/>
              </w:rPr>
              <w:t>中信证券股份有限公司</w:t>
            </w:r>
            <w:r>
              <w:rPr>
                <w:rFonts w:ascii="宋体" w:hAnsi="宋体" w:cs="宋体" w:eastAsia="宋体" w:hint="default"/>
                <w:sz w:val="21"/>
                <w:szCs w:val="21"/>
              </w:rPr>
              <w:t> </w:t>
            </w:r>
          </w:p>
        </w:tc>
        <w:tc>
          <w:tcPr>
            <w:tcW w:w="3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3" w:right="0"/>
              <w:jc w:val="left"/>
              <w:rPr>
                <w:rFonts w:ascii="宋体" w:hAnsi="宋体" w:cs="宋体" w:eastAsia="宋体" w:hint="default"/>
                <w:sz w:val="21"/>
                <w:szCs w:val="21"/>
              </w:rPr>
            </w:pPr>
            <w:r>
              <w:rPr>
                <w:rFonts w:ascii="宋体" w:hAnsi="宋体" w:cs="宋体" w:eastAsia="宋体" w:hint="default"/>
                <w:sz w:val="21"/>
                <w:szCs w:val="21"/>
              </w:rPr>
              <w:t>广东省深圳市福田区中心三路</w:t>
            </w:r>
            <w:r>
              <w:rPr>
                <w:rFonts w:ascii="宋体" w:hAnsi="宋体" w:cs="宋体" w:eastAsia="宋体" w:hint="default"/>
                <w:spacing w:val="-51"/>
                <w:sz w:val="21"/>
                <w:szCs w:val="21"/>
              </w:rPr>
              <w:t> </w:t>
            </w:r>
            <w:r>
              <w:rPr>
                <w:rFonts w:ascii="宋体" w:hAnsi="宋体" w:cs="宋体" w:eastAsia="宋体" w:hint="default"/>
                <w:sz w:val="21"/>
                <w:szCs w:val="21"/>
              </w:rPr>
              <w:t>8</w:t>
            </w:r>
          </w:p>
          <w:p>
            <w:pPr>
              <w:pStyle w:val="TableParagraph"/>
              <w:spacing w:line="240" w:lineRule="auto" w:before="34"/>
              <w:ind w:left="23" w:right="0"/>
              <w:jc w:val="left"/>
              <w:rPr>
                <w:rFonts w:ascii="宋体" w:hAnsi="宋体" w:cs="宋体" w:eastAsia="宋体" w:hint="default"/>
                <w:sz w:val="21"/>
                <w:szCs w:val="21"/>
              </w:rPr>
            </w:pPr>
            <w:r>
              <w:rPr>
                <w:rFonts w:ascii="宋体" w:hAnsi="宋体" w:cs="宋体" w:eastAsia="宋体" w:hint="default"/>
                <w:sz w:val="21"/>
                <w:szCs w:val="21"/>
              </w:rPr>
              <w:t>号卓越时代广场（二期）北座</w:t>
            </w:r>
            <w:r>
              <w:rPr>
                <w:rFonts w:ascii="宋体" w:hAnsi="宋体" w:cs="宋体" w:eastAsia="宋体" w:hint="default"/>
                <w:sz w:val="21"/>
                <w:szCs w:val="21"/>
              </w:rPr>
              <w:t> </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sz w:val="21"/>
                <w:szCs w:val="21"/>
              </w:rPr>
              <w:t>康昊昱、蔡勇</w:t>
            </w:r>
            <w:r>
              <w:rPr>
                <w:rFonts w:ascii="宋体" w:hAnsi="宋体" w:cs="宋体" w:eastAsia="宋体" w:hint="default"/>
                <w:sz w:val="21"/>
                <w:szCs w:val="21"/>
              </w:rPr>
              <w:t> </w:t>
            </w:r>
          </w:p>
        </w:tc>
        <w:tc>
          <w:tcPr>
            <w:tcW w:w="21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3"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10</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12</w:t>
            </w:r>
            <w:r>
              <w:rPr>
                <w:rFonts w:ascii="宋体" w:hAnsi="宋体" w:cs="宋体" w:eastAsia="宋体" w:hint="default"/>
                <w:spacing w:val="-52"/>
                <w:sz w:val="21"/>
                <w:szCs w:val="21"/>
              </w:rPr>
              <w:t> </w:t>
            </w:r>
            <w:r>
              <w:rPr>
                <w:rFonts w:ascii="宋体" w:hAnsi="宋体" w:cs="宋体" w:eastAsia="宋体" w:hint="default"/>
                <w:spacing w:val="-3"/>
                <w:sz w:val="21"/>
                <w:szCs w:val="21"/>
              </w:rPr>
              <w:t>日至</w:t>
            </w:r>
            <w:r>
              <w:rPr>
                <w:rFonts w:ascii="宋体" w:hAnsi="宋体" w:cs="宋体" w:eastAsia="宋体" w:hint="default"/>
                <w:sz w:val="21"/>
                <w:szCs w:val="21"/>
              </w:rPr>
            </w:r>
          </w:p>
          <w:p>
            <w:pPr>
              <w:pStyle w:val="TableParagraph"/>
              <w:spacing w:line="240" w:lineRule="auto" w:before="34"/>
              <w:ind w:left="23"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12</w:t>
            </w:r>
            <w:r>
              <w:rPr>
                <w:rFonts w:ascii="宋体" w:hAnsi="宋体" w:cs="宋体" w:eastAsia="宋体" w:hint="default"/>
                <w:spacing w:val="-53"/>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31</w:t>
            </w:r>
            <w:r>
              <w:rPr>
                <w:rFonts w:ascii="宋体" w:hAnsi="宋体" w:cs="宋体" w:eastAsia="宋体" w:hint="default"/>
                <w:spacing w:val="-52"/>
                <w:sz w:val="21"/>
                <w:szCs w:val="21"/>
              </w:rPr>
              <w:t> </w:t>
            </w:r>
            <w:r>
              <w:rPr>
                <w:rFonts w:ascii="宋体" w:hAnsi="宋体" w:cs="宋体" w:eastAsia="宋体" w:hint="default"/>
                <w:spacing w:val="-3"/>
                <w:sz w:val="21"/>
                <w:szCs w:val="21"/>
              </w:rPr>
              <w:t>日</w:t>
            </w:r>
            <w:r>
              <w:rPr>
                <w:rFonts w:ascii="宋体" w:hAnsi="宋体" w:cs="宋体" w:eastAsia="宋体" w:hint="default"/>
                <w:sz w:val="21"/>
                <w:szCs w:val="21"/>
              </w:rPr>
              <w:t> </w:t>
            </w:r>
          </w:p>
        </w:tc>
      </w:tr>
    </w:tbl>
    <w:p>
      <w:pPr>
        <w:spacing w:line="240" w:lineRule="auto" w:before="1"/>
        <w:rPr>
          <w:rFonts w:ascii="宋体" w:hAnsi="宋体" w:cs="宋体" w:eastAsia="宋体" w:hint="default"/>
          <w:sz w:val="25"/>
          <w:szCs w:val="25"/>
        </w:rPr>
      </w:pPr>
    </w:p>
    <w:p>
      <w:pPr>
        <w:pStyle w:val="Heading2"/>
        <w:spacing w:line="240" w:lineRule="auto"/>
        <w:ind w:right="1133"/>
        <w:jc w:val="left"/>
        <w:rPr>
          <w:b w:val="0"/>
          <w:bCs w:val="0"/>
        </w:rPr>
      </w:pPr>
      <w:r>
        <w:rPr/>
        <w:t>六、主要会计数据和财务指标</w:t>
      </w:r>
      <w:r>
        <w:rPr>
          <w:b w:val="0"/>
          <w:bCs w:val="0"/>
        </w:rPr>
      </w:r>
    </w:p>
    <w:p>
      <w:pPr>
        <w:pStyle w:val="BodyText"/>
        <w:spacing w:line="307" w:lineRule="auto" w:before="179"/>
        <w:ind w:right="2896"/>
        <w:jc w:val="left"/>
        <w:rPr>
          <w:rFonts w:ascii="宋体" w:hAnsi="宋体" w:cs="宋体" w:eastAsia="宋体" w:hint="default"/>
        </w:rPr>
      </w:pPr>
      <w:r>
        <w:rPr/>
        <w:t>公司没有因会计政策变更及会计差错更正等追溯调整或重述以前年度会计数据。</w:t>
      </w:r>
      <w:r>
        <w:rPr>
          <w:rFonts w:ascii="宋体" w:hAnsi="宋体" w:cs="宋体" w:eastAsia="宋体" w:hint="default"/>
          <w:w w:val="100"/>
        </w:rPr>
        <w:t> </w:t>
      </w:r>
      <w:r>
        <w:rPr/>
        <w:t>公司近</w:t>
      </w:r>
      <w:r>
        <w:rPr>
          <w:spacing w:val="-57"/>
        </w:rPr>
        <w:t> </w:t>
      </w:r>
      <w:r>
        <w:rPr>
          <w:rFonts w:ascii="宋体" w:hAnsi="宋体" w:cs="宋体" w:eastAsia="宋体" w:hint="default"/>
        </w:rPr>
        <w:t>3</w:t>
      </w:r>
      <w:r>
        <w:rPr>
          <w:rFonts w:ascii="宋体" w:hAnsi="宋体" w:cs="宋体" w:eastAsia="宋体" w:hint="default"/>
          <w:spacing w:val="-58"/>
        </w:rPr>
        <w:t> </w:t>
      </w:r>
      <w:r>
        <w:rPr/>
        <w:t>年主要会计数据和财务指标</w:t>
      </w:r>
      <w:r>
        <w:rPr>
          <w:rFonts w:ascii="宋体" w:hAnsi="宋体" w:cs="宋体" w:eastAsia="宋体" w:hint="default"/>
        </w:rPr>
        <w:t>(</w:t>
      </w:r>
      <w:r>
        <w:rPr/>
        <w:t>货币金额指人民币金额，下同</w:t>
      </w:r>
      <w:r>
        <w:rPr>
          <w:rFonts w:ascii="宋体" w:hAnsi="宋体" w:cs="宋体" w:eastAsia="宋体" w:hint="default"/>
        </w:rPr>
        <w:t>) </w:t>
      </w:r>
    </w:p>
    <w:tbl>
      <w:tblPr>
        <w:tblW w:w="0" w:type="auto"/>
        <w:jc w:val="left"/>
        <w:tblInd w:w="148" w:type="dxa"/>
        <w:tblLayout w:type="fixed"/>
        <w:tblCellMar>
          <w:top w:w="0" w:type="dxa"/>
          <w:left w:w="0" w:type="dxa"/>
          <w:bottom w:w="0" w:type="dxa"/>
          <w:right w:w="0" w:type="dxa"/>
        </w:tblCellMar>
        <w:tblLook w:val="01E0"/>
      </w:tblPr>
      <w:tblGrid>
        <w:gridCol w:w="2835"/>
        <w:gridCol w:w="1702"/>
        <w:gridCol w:w="1702"/>
        <w:gridCol w:w="1843"/>
        <w:gridCol w:w="1700"/>
      </w:tblGrid>
      <w:tr>
        <w:trPr>
          <w:trHeight w:val="593" w:hRule="exact"/>
        </w:trPr>
        <w:tc>
          <w:tcPr>
            <w:tcW w:w="28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7"/>
              <w:ind w:left="103" w:right="0"/>
              <w:jc w:val="left"/>
              <w:rPr>
                <w:rFonts w:ascii="宋体" w:hAnsi="宋体" w:cs="宋体" w:eastAsia="宋体" w:hint="default"/>
                <w:sz w:val="18"/>
                <w:szCs w:val="18"/>
              </w:rPr>
            </w:pPr>
            <w:r>
              <w:rPr>
                <w:rFonts w:ascii="宋体"/>
                <w:sz w:val="18"/>
              </w:rPr>
              <w:t> </w:t>
            </w:r>
          </w:p>
        </w:tc>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7"/>
              <w:ind w:left="554"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3"/>
                <w:sz w:val="18"/>
                <w:szCs w:val="18"/>
              </w:rPr>
              <w:t> </w:t>
            </w:r>
            <w:r>
              <w:rPr>
                <w:rFonts w:ascii="宋体" w:hAnsi="宋体" w:cs="宋体" w:eastAsia="宋体" w:hint="default"/>
                <w:spacing w:val="-3"/>
                <w:sz w:val="18"/>
                <w:szCs w:val="18"/>
              </w:rPr>
              <w:t>年</w:t>
            </w:r>
            <w:r>
              <w:rPr>
                <w:rFonts w:ascii="宋体" w:hAnsi="宋体" w:cs="宋体" w:eastAsia="宋体" w:hint="default"/>
                <w:sz w:val="18"/>
                <w:szCs w:val="18"/>
              </w:rPr>
              <w:t> </w:t>
            </w:r>
          </w:p>
        </w:tc>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7"/>
              <w:ind w:left="55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z w:val="18"/>
                <w:szCs w:val="18"/>
              </w:rPr>
              <w:t> </w:t>
            </w:r>
          </w:p>
        </w:tc>
        <w:tc>
          <w:tcPr>
            <w:tcW w:w="18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7"/>
              <w:ind w:left="151" w:right="0"/>
              <w:jc w:val="left"/>
              <w:rPr>
                <w:rFonts w:ascii="宋体" w:hAnsi="宋体" w:cs="宋体" w:eastAsia="宋体" w:hint="default"/>
                <w:sz w:val="18"/>
                <w:szCs w:val="18"/>
              </w:rPr>
            </w:pPr>
            <w:r>
              <w:rPr>
                <w:rFonts w:ascii="宋体" w:hAnsi="宋体" w:cs="宋体" w:eastAsia="宋体" w:hint="default"/>
                <w:sz w:val="18"/>
                <w:szCs w:val="18"/>
              </w:rPr>
              <w:t>本年比上年增减</w:t>
            </w:r>
            <w:r>
              <w:rPr>
                <w:rFonts w:ascii="宋体" w:hAnsi="宋体" w:cs="宋体" w:eastAsia="宋体" w:hint="default"/>
                <w:sz w:val="18"/>
                <w:szCs w:val="18"/>
              </w:rPr>
              <w:t>(%) </w:t>
            </w:r>
          </w:p>
        </w:tc>
        <w:tc>
          <w:tcPr>
            <w:tcW w:w="17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7"/>
              <w:ind w:left="552" w:right="0"/>
              <w:jc w:val="lef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43"/>
                <w:sz w:val="18"/>
                <w:szCs w:val="18"/>
              </w:rPr>
              <w:t> </w:t>
            </w:r>
            <w:r>
              <w:rPr>
                <w:rFonts w:ascii="宋体" w:hAnsi="宋体" w:cs="宋体" w:eastAsia="宋体" w:hint="default"/>
                <w:spacing w:val="-3"/>
                <w:sz w:val="18"/>
                <w:szCs w:val="18"/>
              </w:rPr>
              <w:t>年</w:t>
            </w:r>
            <w:r>
              <w:rPr>
                <w:rFonts w:ascii="宋体" w:hAnsi="宋体" w:cs="宋体" w:eastAsia="宋体" w:hint="default"/>
                <w:sz w:val="18"/>
                <w:szCs w:val="18"/>
              </w:rPr>
              <w:t> </w:t>
            </w:r>
          </w:p>
        </w:tc>
      </w:tr>
      <w:tr>
        <w:trPr>
          <w:trHeight w:val="408" w:hRule="exact"/>
        </w:trPr>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pacing w:val="-18"/>
                <w:sz w:val="18"/>
                <w:szCs w:val="18"/>
              </w:rPr>
              <w:t>营业收入</w:t>
            </w:r>
            <w:r>
              <w:rPr>
                <w:rFonts w:ascii="宋体" w:hAnsi="宋体" w:cs="宋体" w:eastAsia="宋体" w:hint="default"/>
                <w:spacing w:val="-18"/>
                <w:sz w:val="18"/>
                <w:szCs w:val="18"/>
              </w:rPr>
              <w:t>(</w:t>
            </w:r>
            <w:r>
              <w:rPr>
                <w:rFonts w:ascii="宋体" w:hAnsi="宋体" w:cs="宋体" w:eastAsia="宋体" w:hint="default"/>
                <w:spacing w:val="-18"/>
                <w:sz w:val="18"/>
                <w:szCs w:val="18"/>
              </w:rPr>
              <w:t>元</w:t>
            </w:r>
            <w:r>
              <w:rPr>
                <w:rFonts w:ascii="宋体" w:hAnsi="宋体" w:cs="宋体" w:eastAsia="宋体" w:hint="default"/>
                <w:spacing w:val="-18"/>
                <w:sz w:val="18"/>
                <w:szCs w:val="18"/>
              </w:rPr>
              <w:t>)</w:t>
            </w:r>
            <w:r>
              <w:rPr>
                <w:rFonts w:ascii="宋体" w:hAnsi="宋体" w:cs="宋体" w:eastAsia="宋体" w:hint="default"/>
                <w:sz w:val="18"/>
                <w:szCs w:val="18"/>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41"/>
              <w:jc w:val="right"/>
              <w:rPr>
                <w:rFonts w:ascii="宋体" w:hAnsi="宋体" w:cs="宋体" w:eastAsia="宋体" w:hint="default"/>
                <w:sz w:val="18"/>
                <w:szCs w:val="18"/>
              </w:rPr>
            </w:pPr>
            <w:r>
              <w:rPr>
                <w:rFonts w:ascii="宋体"/>
                <w:spacing w:val="-1"/>
                <w:sz w:val="18"/>
              </w:rPr>
              <w:t>3,162,631,426.91</w:t>
            </w:r>
            <w:r>
              <w:rPr>
                <w:rFonts w:ascii="宋体"/>
                <w:sz w:val="18"/>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40"/>
              <w:jc w:val="right"/>
              <w:rPr>
                <w:rFonts w:ascii="宋体" w:hAnsi="宋体" w:cs="宋体" w:eastAsia="宋体" w:hint="default"/>
                <w:sz w:val="18"/>
                <w:szCs w:val="18"/>
              </w:rPr>
            </w:pPr>
            <w:r>
              <w:rPr>
                <w:rFonts w:ascii="宋体"/>
                <w:spacing w:val="-1"/>
                <w:sz w:val="18"/>
              </w:rPr>
              <w:t>3,030,758,905.79 </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40"/>
              <w:jc w:val="right"/>
              <w:rPr>
                <w:rFonts w:ascii="宋体" w:hAnsi="宋体" w:cs="宋体" w:eastAsia="宋体" w:hint="default"/>
                <w:sz w:val="18"/>
                <w:szCs w:val="18"/>
              </w:rPr>
            </w:pPr>
            <w:r>
              <w:rPr>
                <w:rFonts w:ascii="宋体"/>
                <w:spacing w:val="-1"/>
                <w:sz w:val="18"/>
              </w:rPr>
              <w:t>4.35</w:t>
            </w:r>
            <w:r>
              <w:rPr>
                <w:rFonts w:ascii="宋体"/>
                <w:sz w:val="18"/>
              </w:rPr>
              <w:t> </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43"/>
              <w:jc w:val="right"/>
              <w:rPr>
                <w:rFonts w:ascii="宋体" w:hAnsi="宋体" w:cs="宋体" w:eastAsia="宋体" w:hint="default"/>
                <w:sz w:val="18"/>
                <w:szCs w:val="18"/>
              </w:rPr>
            </w:pPr>
            <w:r>
              <w:rPr>
                <w:rFonts w:ascii="宋体"/>
                <w:spacing w:val="-1"/>
                <w:sz w:val="18"/>
              </w:rPr>
              <w:t>2,107,385,087.61 </w:t>
            </w:r>
          </w:p>
        </w:tc>
      </w:tr>
      <w:tr>
        <w:trPr>
          <w:trHeight w:val="406" w:hRule="exact"/>
        </w:trPr>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pacing w:val="-12"/>
                <w:sz w:val="18"/>
                <w:szCs w:val="18"/>
              </w:rPr>
              <w:t>归属于上市公司股东的净利润</w:t>
            </w:r>
            <w:r>
              <w:rPr>
                <w:rFonts w:ascii="宋体" w:hAnsi="宋体" w:cs="宋体" w:eastAsia="宋体" w:hint="default"/>
                <w:spacing w:val="-12"/>
                <w:sz w:val="18"/>
                <w:szCs w:val="18"/>
              </w:rPr>
              <w:t>(</w:t>
            </w:r>
            <w:r>
              <w:rPr>
                <w:rFonts w:ascii="宋体" w:hAnsi="宋体" w:cs="宋体" w:eastAsia="宋体" w:hint="default"/>
                <w:spacing w:val="-12"/>
                <w:sz w:val="18"/>
                <w:szCs w:val="18"/>
              </w:rPr>
              <w:t>元</w:t>
            </w:r>
            <w:r>
              <w:rPr>
                <w:rFonts w:ascii="宋体" w:hAnsi="宋体" w:cs="宋体" w:eastAsia="宋体" w:hint="default"/>
                <w:spacing w:val="-12"/>
                <w:sz w:val="18"/>
                <w:szCs w:val="18"/>
              </w:rPr>
              <w:t>)</w:t>
            </w:r>
            <w:r>
              <w:rPr>
                <w:rFonts w:ascii="宋体" w:hAnsi="宋体" w:cs="宋体" w:eastAsia="宋体" w:hint="default"/>
                <w:sz w:val="18"/>
                <w:szCs w:val="18"/>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41"/>
              <w:jc w:val="right"/>
              <w:rPr>
                <w:rFonts w:ascii="宋体" w:hAnsi="宋体" w:cs="宋体" w:eastAsia="宋体" w:hint="default"/>
                <w:sz w:val="18"/>
                <w:szCs w:val="18"/>
              </w:rPr>
            </w:pPr>
            <w:r>
              <w:rPr>
                <w:rFonts w:ascii="宋体"/>
                <w:spacing w:val="-1"/>
                <w:sz w:val="18"/>
              </w:rPr>
              <w:t>-1,240,168,787.93</w:t>
            </w:r>
            <w:r>
              <w:rPr>
                <w:rFonts w:ascii="宋体"/>
                <w:sz w:val="18"/>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40"/>
              <w:jc w:val="right"/>
              <w:rPr>
                <w:rFonts w:ascii="宋体" w:hAnsi="宋体" w:cs="宋体" w:eastAsia="宋体" w:hint="default"/>
                <w:sz w:val="18"/>
                <w:szCs w:val="18"/>
              </w:rPr>
            </w:pPr>
            <w:r>
              <w:rPr>
                <w:rFonts w:ascii="宋体"/>
                <w:spacing w:val="-1"/>
                <w:sz w:val="18"/>
              </w:rPr>
              <w:t>252,883,527.21 </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40"/>
              <w:jc w:val="right"/>
              <w:rPr>
                <w:rFonts w:ascii="宋体" w:hAnsi="宋体" w:cs="宋体" w:eastAsia="宋体" w:hint="default"/>
                <w:sz w:val="18"/>
                <w:szCs w:val="18"/>
              </w:rPr>
            </w:pPr>
            <w:r>
              <w:rPr>
                <w:rFonts w:ascii="宋体"/>
                <w:spacing w:val="-1"/>
                <w:sz w:val="18"/>
              </w:rPr>
              <w:t>-590.41</w:t>
            </w:r>
            <w:r>
              <w:rPr>
                <w:rFonts w:ascii="宋体"/>
                <w:sz w:val="18"/>
              </w:rPr>
              <w:t> </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43"/>
              <w:jc w:val="right"/>
              <w:rPr>
                <w:rFonts w:ascii="宋体" w:hAnsi="宋体" w:cs="宋体" w:eastAsia="宋体" w:hint="default"/>
                <w:sz w:val="18"/>
                <w:szCs w:val="18"/>
              </w:rPr>
            </w:pPr>
            <w:r>
              <w:rPr>
                <w:rFonts w:ascii="宋体"/>
                <w:spacing w:val="-1"/>
                <w:sz w:val="18"/>
              </w:rPr>
              <w:t>228,581,216.75 </w:t>
            </w:r>
          </w:p>
        </w:tc>
      </w:tr>
      <w:tr>
        <w:trPr>
          <w:trHeight w:val="540" w:hRule="exact"/>
        </w:trPr>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before="1"/>
              <w:ind w:left="103" w:right="102"/>
              <w:jc w:val="left"/>
              <w:rPr>
                <w:rFonts w:ascii="宋体" w:hAnsi="宋体" w:cs="宋体" w:eastAsia="宋体" w:hint="default"/>
                <w:sz w:val="18"/>
                <w:szCs w:val="18"/>
              </w:rPr>
            </w:pPr>
            <w:r>
              <w:rPr>
                <w:rFonts w:ascii="宋体" w:hAnsi="宋体" w:cs="宋体" w:eastAsia="宋体" w:hint="default"/>
                <w:spacing w:val="6"/>
                <w:sz w:val="18"/>
                <w:szCs w:val="18"/>
              </w:rPr>
              <w:t>归属于上市公司股东的扣除非经</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常性损益的净利润</w:t>
            </w:r>
            <w:r>
              <w:rPr>
                <w:rFonts w:ascii="宋体" w:hAnsi="宋体" w:cs="宋体" w:eastAsia="宋体" w:hint="default"/>
                <w:sz w:val="18"/>
                <w:szCs w:val="18"/>
              </w:rPr>
              <w:t>(</w:t>
            </w:r>
            <w:r>
              <w:rPr>
                <w:rFonts w:ascii="宋体" w:hAnsi="宋体" w:cs="宋体" w:eastAsia="宋体" w:hint="default"/>
                <w:sz w:val="18"/>
                <w:szCs w:val="18"/>
              </w:rPr>
              <w:t>元</w:t>
            </w:r>
            <w:r>
              <w:rPr>
                <w:rFonts w:ascii="宋体" w:hAnsi="宋体" w:cs="宋体" w:eastAsia="宋体" w:hint="default"/>
                <w:sz w:val="18"/>
                <w:szCs w:val="18"/>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41"/>
              <w:jc w:val="right"/>
              <w:rPr>
                <w:rFonts w:ascii="宋体" w:hAnsi="宋体" w:cs="宋体" w:eastAsia="宋体" w:hint="default"/>
                <w:sz w:val="18"/>
                <w:szCs w:val="18"/>
              </w:rPr>
            </w:pPr>
            <w:r>
              <w:rPr>
                <w:rFonts w:ascii="宋体"/>
                <w:spacing w:val="-1"/>
                <w:sz w:val="18"/>
              </w:rPr>
              <w:t>-1,203,632,653.04</w:t>
            </w:r>
            <w:r>
              <w:rPr>
                <w:rFonts w:ascii="宋体"/>
                <w:sz w:val="18"/>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40"/>
              <w:jc w:val="right"/>
              <w:rPr>
                <w:rFonts w:ascii="宋体" w:hAnsi="宋体" w:cs="宋体" w:eastAsia="宋体" w:hint="default"/>
                <w:sz w:val="18"/>
                <w:szCs w:val="18"/>
              </w:rPr>
            </w:pPr>
            <w:r>
              <w:rPr>
                <w:rFonts w:ascii="宋体"/>
                <w:spacing w:val="-1"/>
                <w:sz w:val="18"/>
              </w:rPr>
              <w:t>244,261,174.70 </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40"/>
              <w:jc w:val="right"/>
              <w:rPr>
                <w:rFonts w:ascii="宋体" w:hAnsi="宋体" w:cs="宋体" w:eastAsia="宋体" w:hint="default"/>
                <w:sz w:val="18"/>
                <w:szCs w:val="18"/>
              </w:rPr>
            </w:pPr>
            <w:r>
              <w:rPr>
                <w:rFonts w:ascii="宋体"/>
                <w:spacing w:val="-1"/>
                <w:sz w:val="18"/>
              </w:rPr>
              <w:t>-592.76</w:t>
            </w:r>
            <w:r>
              <w:rPr>
                <w:rFonts w:ascii="宋体"/>
                <w:sz w:val="18"/>
              </w:rPr>
              <w:t> </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43"/>
              <w:jc w:val="right"/>
              <w:rPr>
                <w:rFonts w:ascii="宋体" w:hAnsi="宋体" w:cs="宋体" w:eastAsia="宋体" w:hint="default"/>
                <w:sz w:val="18"/>
                <w:szCs w:val="18"/>
              </w:rPr>
            </w:pPr>
            <w:r>
              <w:rPr>
                <w:rFonts w:ascii="宋体"/>
                <w:spacing w:val="-1"/>
                <w:sz w:val="18"/>
              </w:rPr>
              <w:t>226,636,787.19 </w:t>
            </w:r>
          </w:p>
        </w:tc>
      </w:tr>
      <w:tr>
        <w:trPr>
          <w:trHeight w:val="406" w:hRule="exact"/>
        </w:trPr>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pacing w:val="-12"/>
                <w:sz w:val="18"/>
                <w:szCs w:val="18"/>
              </w:rPr>
              <w:t>经营活动产生的现金流量净额</w:t>
            </w:r>
            <w:r>
              <w:rPr>
                <w:rFonts w:ascii="宋体" w:hAnsi="宋体" w:cs="宋体" w:eastAsia="宋体" w:hint="default"/>
                <w:spacing w:val="-12"/>
                <w:sz w:val="18"/>
                <w:szCs w:val="18"/>
              </w:rPr>
              <w:t>(</w:t>
            </w:r>
            <w:r>
              <w:rPr>
                <w:rFonts w:ascii="宋体" w:hAnsi="宋体" w:cs="宋体" w:eastAsia="宋体" w:hint="default"/>
                <w:spacing w:val="-12"/>
                <w:sz w:val="18"/>
                <w:szCs w:val="18"/>
              </w:rPr>
              <w:t>元</w:t>
            </w:r>
            <w:r>
              <w:rPr>
                <w:rFonts w:ascii="宋体" w:hAnsi="宋体" w:cs="宋体" w:eastAsia="宋体" w:hint="default"/>
                <w:spacing w:val="-12"/>
                <w:sz w:val="18"/>
                <w:szCs w:val="18"/>
              </w:rPr>
              <w:t>)</w:t>
            </w:r>
            <w:r>
              <w:rPr>
                <w:rFonts w:ascii="宋体" w:hAnsi="宋体" w:cs="宋体" w:eastAsia="宋体" w:hint="default"/>
                <w:sz w:val="18"/>
                <w:szCs w:val="18"/>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43"/>
              <w:jc w:val="right"/>
              <w:rPr>
                <w:rFonts w:ascii="宋体" w:hAnsi="宋体" w:cs="宋体" w:eastAsia="宋体" w:hint="default"/>
                <w:sz w:val="18"/>
                <w:szCs w:val="18"/>
              </w:rPr>
            </w:pPr>
            <w:r>
              <w:rPr>
                <w:rFonts w:ascii="宋体"/>
                <w:spacing w:val="-1"/>
                <w:sz w:val="18"/>
              </w:rPr>
              <w:t>414,811,466.10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0"/>
              <w:jc w:val="right"/>
              <w:rPr>
                <w:rFonts w:ascii="宋体" w:hAnsi="宋体" w:cs="宋体" w:eastAsia="宋体" w:hint="default"/>
                <w:sz w:val="18"/>
                <w:szCs w:val="18"/>
              </w:rPr>
            </w:pPr>
            <w:r>
              <w:rPr>
                <w:rFonts w:ascii="宋体"/>
                <w:spacing w:val="-1"/>
                <w:sz w:val="18"/>
              </w:rPr>
              <w:t>-89,314,795.04 </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40"/>
              <w:jc w:val="right"/>
              <w:rPr>
                <w:rFonts w:ascii="宋体" w:hAnsi="宋体" w:cs="宋体" w:eastAsia="宋体" w:hint="default"/>
                <w:sz w:val="18"/>
                <w:szCs w:val="18"/>
              </w:rPr>
            </w:pPr>
            <w:r>
              <w:rPr>
                <w:rFonts w:ascii="宋体"/>
                <w:spacing w:val="-1"/>
                <w:sz w:val="18"/>
              </w:rPr>
              <w:t>564.44</w:t>
            </w:r>
            <w:r>
              <w:rPr>
                <w:rFonts w:ascii="宋体"/>
                <w:sz w:val="18"/>
              </w:rPr>
              <w:t> </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3"/>
              <w:jc w:val="right"/>
              <w:rPr>
                <w:rFonts w:ascii="宋体" w:hAnsi="宋体" w:cs="宋体" w:eastAsia="宋体" w:hint="default"/>
                <w:sz w:val="18"/>
                <w:szCs w:val="18"/>
              </w:rPr>
            </w:pPr>
            <w:r>
              <w:rPr>
                <w:rFonts w:ascii="宋体"/>
                <w:spacing w:val="-1"/>
                <w:sz w:val="18"/>
              </w:rPr>
              <w:t>43,163,323.32</w:t>
            </w:r>
            <w:r>
              <w:rPr>
                <w:rFonts w:ascii="宋体"/>
                <w:sz w:val="18"/>
              </w:rPr>
              <w:t> </w:t>
            </w:r>
          </w:p>
        </w:tc>
      </w:tr>
      <w:tr>
        <w:trPr>
          <w:trHeight w:val="408" w:hRule="exact"/>
        </w:trPr>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基本每股收益</w:t>
            </w:r>
            <w:r>
              <w:rPr>
                <w:rFonts w:ascii="宋体" w:hAnsi="宋体" w:cs="宋体" w:eastAsia="宋体" w:hint="default"/>
                <w:sz w:val="18"/>
                <w:szCs w:val="18"/>
              </w:rPr>
              <w:t>(</w:t>
            </w:r>
            <w:r>
              <w:rPr>
                <w:rFonts w:ascii="宋体" w:hAnsi="宋体" w:cs="宋体" w:eastAsia="宋体" w:hint="default"/>
                <w:sz w:val="18"/>
                <w:szCs w:val="18"/>
              </w:rPr>
              <w:t>元</w:t>
            </w:r>
            <w:r>
              <w:rPr>
                <w:rFonts w:ascii="宋体" w:hAnsi="宋体" w:cs="宋体" w:eastAsia="宋体" w:hint="default"/>
                <w:sz w:val="18"/>
                <w:szCs w:val="18"/>
              </w:rPr>
              <w:t>/</w:t>
            </w:r>
            <w:r>
              <w:rPr>
                <w:rFonts w:ascii="宋体" w:hAnsi="宋体" w:cs="宋体" w:eastAsia="宋体" w:hint="default"/>
                <w:sz w:val="18"/>
                <w:szCs w:val="18"/>
              </w:rPr>
              <w:t>股</w:t>
            </w:r>
            <w:r>
              <w:rPr>
                <w:rFonts w:ascii="宋体" w:hAnsi="宋体" w:cs="宋体" w:eastAsia="宋体" w:hint="default"/>
                <w:sz w:val="18"/>
                <w:szCs w:val="18"/>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43"/>
              <w:jc w:val="right"/>
              <w:rPr>
                <w:rFonts w:ascii="宋体" w:hAnsi="宋体" w:cs="宋体" w:eastAsia="宋体" w:hint="default"/>
                <w:sz w:val="18"/>
                <w:szCs w:val="18"/>
              </w:rPr>
            </w:pPr>
            <w:r>
              <w:rPr>
                <w:rFonts w:ascii="宋体"/>
                <w:spacing w:val="-1"/>
                <w:sz w:val="18"/>
              </w:rPr>
              <w:t>-1.8558</w:t>
            </w:r>
            <w:r>
              <w:rPr>
                <w:rFonts w:ascii="宋体"/>
                <w:sz w:val="18"/>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40"/>
              <w:jc w:val="right"/>
              <w:rPr>
                <w:rFonts w:ascii="宋体" w:hAnsi="宋体" w:cs="宋体" w:eastAsia="宋体" w:hint="default"/>
                <w:sz w:val="18"/>
                <w:szCs w:val="18"/>
              </w:rPr>
            </w:pPr>
            <w:r>
              <w:rPr>
                <w:rFonts w:ascii="宋体"/>
                <w:spacing w:val="-1"/>
                <w:sz w:val="18"/>
              </w:rPr>
              <w:t>0.3991</w:t>
            </w:r>
            <w:r>
              <w:rPr>
                <w:rFonts w:ascii="宋体"/>
                <w:sz w:val="18"/>
              </w:rPr>
              <w:t> </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40"/>
              <w:jc w:val="right"/>
              <w:rPr>
                <w:rFonts w:ascii="宋体" w:hAnsi="宋体" w:cs="宋体" w:eastAsia="宋体" w:hint="default"/>
                <w:sz w:val="18"/>
                <w:szCs w:val="18"/>
              </w:rPr>
            </w:pPr>
            <w:r>
              <w:rPr>
                <w:rFonts w:ascii="宋体"/>
                <w:spacing w:val="-1"/>
                <w:sz w:val="18"/>
              </w:rPr>
              <w:t>-565.00</w:t>
            </w:r>
            <w:r>
              <w:rPr>
                <w:rFonts w:ascii="宋体"/>
                <w:sz w:val="18"/>
              </w:rPr>
              <w:t> </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43"/>
              <w:jc w:val="right"/>
              <w:rPr>
                <w:rFonts w:ascii="宋体" w:hAnsi="宋体" w:cs="宋体" w:eastAsia="宋体" w:hint="default"/>
                <w:sz w:val="18"/>
                <w:szCs w:val="18"/>
              </w:rPr>
            </w:pPr>
            <w:r>
              <w:rPr>
                <w:rFonts w:ascii="宋体"/>
                <w:spacing w:val="-1"/>
                <w:sz w:val="18"/>
              </w:rPr>
              <w:t>0.3676</w:t>
            </w:r>
            <w:r>
              <w:rPr>
                <w:rFonts w:ascii="宋体"/>
                <w:sz w:val="18"/>
              </w:rPr>
              <w:t> </w:t>
            </w:r>
          </w:p>
        </w:tc>
      </w:tr>
      <w:tr>
        <w:trPr>
          <w:trHeight w:val="408" w:hRule="exact"/>
        </w:trPr>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稀释每股收益</w:t>
            </w:r>
            <w:r>
              <w:rPr>
                <w:rFonts w:ascii="宋体" w:hAnsi="宋体" w:cs="宋体" w:eastAsia="宋体" w:hint="default"/>
                <w:sz w:val="18"/>
                <w:szCs w:val="18"/>
              </w:rPr>
              <w:t>(</w:t>
            </w:r>
            <w:r>
              <w:rPr>
                <w:rFonts w:ascii="宋体" w:hAnsi="宋体" w:cs="宋体" w:eastAsia="宋体" w:hint="default"/>
                <w:sz w:val="18"/>
                <w:szCs w:val="18"/>
              </w:rPr>
              <w:t>元</w:t>
            </w:r>
            <w:r>
              <w:rPr>
                <w:rFonts w:ascii="宋体" w:hAnsi="宋体" w:cs="宋体" w:eastAsia="宋体" w:hint="default"/>
                <w:sz w:val="18"/>
                <w:szCs w:val="18"/>
              </w:rPr>
              <w:t>/</w:t>
            </w:r>
            <w:r>
              <w:rPr>
                <w:rFonts w:ascii="宋体" w:hAnsi="宋体" w:cs="宋体" w:eastAsia="宋体" w:hint="default"/>
                <w:sz w:val="18"/>
                <w:szCs w:val="18"/>
              </w:rPr>
              <w:t>股</w:t>
            </w:r>
            <w:r>
              <w:rPr>
                <w:rFonts w:ascii="宋体" w:hAnsi="宋体" w:cs="宋体" w:eastAsia="宋体" w:hint="default"/>
                <w:sz w:val="18"/>
                <w:szCs w:val="18"/>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43"/>
              <w:jc w:val="right"/>
              <w:rPr>
                <w:rFonts w:ascii="宋体" w:hAnsi="宋体" w:cs="宋体" w:eastAsia="宋体" w:hint="default"/>
                <w:sz w:val="18"/>
                <w:szCs w:val="18"/>
              </w:rPr>
            </w:pPr>
            <w:r>
              <w:rPr>
                <w:rFonts w:ascii="宋体"/>
                <w:spacing w:val="-1"/>
                <w:sz w:val="18"/>
              </w:rPr>
              <w:t>-1.8558</w:t>
            </w:r>
            <w:r>
              <w:rPr>
                <w:rFonts w:ascii="宋体"/>
                <w:sz w:val="18"/>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40"/>
              <w:jc w:val="right"/>
              <w:rPr>
                <w:rFonts w:ascii="宋体" w:hAnsi="宋体" w:cs="宋体" w:eastAsia="宋体" w:hint="default"/>
                <w:sz w:val="18"/>
                <w:szCs w:val="18"/>
              </w:rPr>
            </w:pPr>
            <w:r>
              <w:rPr>
                <w:rFonts w:ascii="宋体"/>
                <w:spacing w:val="-1"/>
                <w:sz w:val="18"/>
              </w:rPr>
              <w:t>0.3991</w:t>
            </w:r>
            <w:r>
              <w:rPr>
                <w:rFonts w:ascii="宋体"/>
                <w:sz w:val="18"/>
              </w:rPr>
              <w:t> </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40"/>
              <w:jc w:val="right"/>
              <w:rPr>
                <w:rFonts w:ascii="宋体" w:hAnsi="宋体" w:cs="宋体" w:eastAsia="宋体" w:hint="default"/>
                <w:sz w:val="18"/>
                <w:szCs w:val="18"/>
              </w:rPr>
            </w:pPr>
            <w:r>
              <w:rPr>
                <w:rFonts w:ascii="宋体"/>
                <w:spacing w:val="-1"/>
                <w:sz w:val="18"/>
              </w:rPr>
              <w:t>-565.00</w:t>
            </w:r>
            <w:r>
              <w:rPr>
                <w:rFonts w:ascii="宋体"/>
                <w:sz w:val="18"/>
              </w:rPr>
              <w:t> </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43"/>
              <w:jc w:val="right"/>
              <w:rPr>
                <w:rFonts w:ascii="宋体" w:hAnsi="宋体" w:cs="宋体" w:eastAsia="宋体" w:hint="default"/>
                <w:sz w:val="18"/>
                <w:szCs w:val="18"/>
              </w:rPr>
            </w:pPr>
            <w:r>
              <w:rPr>
                <w:rFonts w:ascii="宋体"/>
                <w:spacing w:val="-1"/>
                <w:sz w:val="18"/>
              </w:rPr>
              <w:t>0.3676</w:t>
            </w:r>
            <w:r>
              <w:rPr>
                <w:rFonts w:ascii="宋体"/>
                <w:sz w:val="18"/>
              </w:rPr>
              <w:t> </w:t>
            </w:r>
          </w:p>
        </w:tc>
      </w:tr>
      <w:tr>
        <w:trPr>
          <w:trHeight w:val="406" w:hRule="exact"/>
        </w:trPr>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r>
              <w:rPr>
                <w:rFonts w:ascii="宋体" w:hAnsi="宋体" w:cs="宋体" w:eastAsia="宋体" w:hint="default"/>
                <w:sz w:val="18"/>
                <w:szCs w:val="18"/>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43"/>
              <w:jc w:val="right"/>
              <w:rPr>
                <w:rFonts w:ascii="宋体" w:hAnsi="宋体" w:cs="宋体" w:eastAsia="宋体" w:hint="default"/>
                <w:sz w:val="18"/>
                <w:szCs w:val="18"/>
              </w:rPr>
            </w:pPr>
            <w:r>
              <w:rPr>
                <w:rFonts w:ascii="宋体"/>
                <w:spacing w:val="-1"/>
                <w:sz w:val="18"/>
              </w:rPr>
              <w:t>-41.88</w:t>
            </w:r>
            <w:r>
              <w:rPr>
                <w:rFonts w:ascii="宋体"/>
                <w:sz w:val="18"/>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40"/>
              <w:jc w:val="right"/>
              <w:rPr>
                <w:rFonts w:ascii="宋体" w:hAnsi="宋体" w:cs="宋体" w:eastAsia="宋体" w:hint="default"/>
                <w:sz w:val="18"/>
                <w:szCs w:val="18"/>
              </w:rPr>
            </w:pPr>
            <w:r>
              <w:rPr>
                <w:rFonts w:ascii="宋体"/>
                <w:spacing w:val="-1"/>
                <w:sz w:val="18"/>
              </w:rPr>
              <w:t>8.54</w:t>
            </w:r>
            <w:r>
              <w:rPr>
                <w:rFonts w:ascii="宋体"/>
                <w:sz w:val="18"/>
              </w:rPr>
              <w:t> </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40"/>
              <w:jc w:val="right"/>
              <w:rPr>
                <w:rFonts w:ascii="宋体" w:hAnsi="宋体" w:cs="宋体" w:eastAsia="宋体" w:hint="default"/>
                <w:sz w:val="18"/>
                <w:szCs w:val="18"/>
              </w:rPr>
            </w:pPr>
            <w:r>
              <w:rPr>
                <w:rFonts w:ascii="宋体" w:hAnsi="宋体" w:cs="宋体" w:eastAsia="宋体" w:hint="default"/>
                <w:sz w:val="18"/>
                <w:szCs w:val="18"/>
              </w:rPr>
              <w:t>减少</w:t>
            </w:r>
            <w:r>
              <w:rPr>
                <w:rFonts w:ascii="宋体" w:hAnsi="宋体" w:cs="宋体" w:eastAsia="宋体" w:hint="default"/>
                <w:spacing w:val="-47"/>
                <w:sz w:val="18"/>
                <w:szCs w:val="18"/>
              </w:rPr>
              <w:t> </w:t>
            </w:r>
            <w:r>
              <w:rPr>
                <w:rFonts w:ascii="宋体" w:hAnsi="宋体" w:cs="宋体" w:eastAsia="宋体" w:hint="default"/>
                <w:sz w:val="18"/>
                <w:szCs w:val="18"/>
              </w:rPr>
              <w:t>50.42</w:t>
            </w:r>
            <w:r>
              <w:rPr>
                <w:rFonts w:ascii="宋体" w:hAnsi="宋体" w:cs="宋体" w:eastAsia="宋体" w:hint="default"/>
                <w:spacing w:val="-46"/>
                <w:sz w:val="18"/>
                <w:szCs w:val="18"/>
              </w:rPr>
              <w:t> </w:t>
            </w:r>
            <w:r>
              <w:rPr>
                <w:rFonts w:ascii="宋体" w:hAnsi="宋体" w:cs="宋体" w:eastAsia="宋体" w:hint="default"/>
                <w:sz w:val="18"/>
                <w:szCs w:val="18"/>
              </w:rPr>
              <w:t>个百分点</w:t>
            </w:r>
            <w:r>
              <w:rPr>
                <w:rFonts w:ascii="宋体" w:hAnsi="宋体" w:cs="宋体" w:eastAsia="宋体" w:hint="default"/>
                <w:sz w:val="18"/>
                <w:szCs w:val="18"/>
              </w:rPr>
              <w:t> </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43"/>
              <w:jc w:val="right"/>
              <w:rPr>
                <w:rFonts w:ascii="宋体" w:hAnsi="宋体" w:cs="宋体" w:eastAsia="宋体" w:hint="default"/>
                <w:sz w:val="18"/>
                <w:szCs w:val="18"/>
              </w:rPr>
            </w:pPr>
            <w:r>
              <w:rPr>
                <w:rFonts w:ascii="宋体"/>
                <w:spacing w:val="-1"/>
                <w:sz w:val="18"/>
              </w:rPr>
              <w:t>8.93</w:t>
            </w:r>
            <w:r>
              <w:rPr>
                <w:rFonts w:ascii="宋体"/>
                <w:sz w:val="18"/>
              </w:rPr>
              <w:t> </w:t>
            </w:r>
          </w:p>
        </w:tc>
      </w:tr>
      <w:tr>
        <w:trPr>
          <w:trHeight w:val="610" w:hRule="exact"/>
        </w:trPr>
        <w:tc>
          <w:tcPr>
            <w:tcW w:w="28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31"/>
              <w:ind w:left="103" w:right="0"/>
              <w:jc w:val="left"/>
              <w:rPr>
                <w:rFonts w:ascii="宋体" w:hAnsi="宋体" w:cs="宋体" w:eastAsia="宋体" w:hint="default"/>
                <w:sz w:val="21"/>
                <w:szCs w:val="21"/>
              </w:rPr>
            </w:pPr>
            <w:r>
              <w:rPr>
                <w:rFonts w:ascii="宋体"/>
                <w:w w:val="100"/>
                <w:sz w:val="21"/>
              </w:rPr>
              <w:t> </w:t>
            </w:r>
          </w:p>
        </w:tc>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57"/>
              <w:ind w:left="466"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年末</w:t>
            </w:r>
            <w:r>
              <w:rPr>
                <w:rFonts w:ascii="宋体" w:hAnsi="宋体" w:cs="宋体" w:eastAsia="宋体" w:hint="default"/>
                <w:sz w:val="18"/>
                <w:szCs w:val="18"/>
              </w:rPr>
              <w:t> </w:t>
            </w:r>
          </w:p>
        </w:tc>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57"/>
              <w:ind w:left="463"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5"/>
                <w:sz w:val="18"/>
                <w:szCs w:val="18"/>
              </w:rPr>
              <w:t> </w:t>
            </w:r>
            <w:r>
              <w:rPr>
                <w:rFonts w:ascii="宋体" w:hAnsi="宋体" w:cs="宋体" w:eastAsia="宋体" w:hint="default"/>
                <w:sz w:val="18"/>
                <w:szCs w:val="18"/>
              </w:rPr>
              <w:t>年末</w:t>
            </w:r>
            <w:r>
              <w:rPr>
                <w:rFonts w:ascii="宋体" w:hAnsi="宋体" w:cs="宋体" w:eastAsia="宋体" w:hint="default"/>
                <w:sz w:val="18"/>
                <w:szCs w:val="18"/>
              </w:rPr>
              <w:t> </w:t>
            </w:r>
          </w:p>
        </w:tc>
        <w:tc>
          <w:tcPr>
            <w:tcW w:w="18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8" w:lineRule="auto" w:before="20"/>
              <w:ind w:left="599" w:right="197" w:hanging="315"/>
              <w:jc w:val="left"/>
              <w:rPr>
                <w:rFonts w:ascii="宋体" w:hAnsi="宋体" w:cs="宋体" w:eastAsia="宋体" w:hint="default"/>
                <w:sz w:val="18"/>
                <w:szCs w:val="18"/>
              </w:rPr>
            </w:pPr>
            <w:r>
              <w:rPr>
                <w:rFonts w:ascii="宋体" w:hAnsi="宋体" w:cs="宋体" w:eastAsia="宋体" w:hint="default"/>
                <w:sz w:val="18"/>
                <w:szCs w:val="18"/>
              </w:rPr>
              <w:t>本年末比上年末</w:t>
            </w:r>
            <w:r>
              <w:rPr>
                <w:rFonts w:ascii="宋体" w:hAnsi="宋体" w:cs="宋体" w:eastAsia="宋体" w:hint="default"/>
                <w:sz w:val="18"/>
                <w:szCs w:val="18"/>
              </w:rPr>
              <w:t> </w:t>
            </w:r>
            <w:r>
              <w:rPr>
                <w:rFonts w:ascii="宋体" w:hAnsi="宋体" w:cs="宋体" w:eastAsia="宋体" w:hint="default"/>
                <w:sz w:val="18"/>
                <w:szCs w:val="18"/>
              </w:rPr>
              <w:t>增减</w:t>
            </w:r>
            <w:r>
              <w:rPr>
                <w:rFonts w:ascii="宋体" w:hAnsi="宋体" w:cs="宋体" w:eastAsia="宋体" w:hint="default"/>
                <w:sz w:val="18"/>
                <w:szCs w:val="18"/>
              </w:rPr>
              <w:t>(%) </w:t>
            </w:r>
          </w:p>
        </w:tc>
        <w:tc>
          <w:tcPr>
            <w:tcW w:w="17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31"/>
              <w:ind w:left="398" w:right="0"/>
              <w:jc w:val="left"/>
              <w:rPr>
                <w:rFonts w:ascii="宋体" w:hAnsi="宋体" w:cs="宋体" w:eastAsia="宋体" w:hint="default"/>
                <w:sz w:val="21"/>
                <w:szCs w:val="21"/>
              </w:rPr>
            </w:pPr>
            <w:r>
              <w:rPr>
                <w:rFonts w:ascii="宋体" w:hAnsi="宋体" w:cs="宋体" w:eastAsia="宋体" w:hint="default"/>
                <w:sz w:val="21"/>
                <w:szCs w:val="21"/>
              </w:rPr>
              <w:t>2017</w:t>
            </w:r>
            <w:r>
              <w:rPr>
                <w:rFonts w:ascii="宋体" w:hAnsi="宋体" w:cs="宋体" w:eastAsia="宋体" w:hint="default"/>
                <w:spacing w:val="-54"/>
                <w:sz w:val="21"/>
                <w:szCs w:val="21"/>
              </w:rPr>
              <w:t> </w:t>
            </w:r>
            <w:r>
              <w:rPr>
                <w:rFonts w:ascii="宋体" w:hAnsi="宋体" w:cs="宋体" w:eastAsia="宋体" w:hint="default"/>
                <w:sz w:val="21"/>
                <w:szCs w:val="21"/>
              </w:rPr>
              <w:t>年末</w:t>
            </w:r>
            <w:r>
              <w:rPr>
                <w:rFonts w:ascii="宋体" w:hAnsi="宋体" w:cs="宋体" w:eastAsia="宋体" w:hint="default"/>
                <w:sz w:val="21"/>
                <w:szCs w:val="21"/>
              </w:rPr>
              <w:t> </w:t>
            </w:r>
          </w:p>
        </w:tc>
      </w:tr>
      <w:tr>
        <w:trPr>
          <w:trHeight w:val="408" w:hRule="exact"/>
        </w:trPr>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总资产</w:t>
            </w:r>
            <w:r>
              <w:rPr>
                <w:rFonts w:ascii="宋体" w:hAnsi="宋体" w:cs="宋体" w:eastAsia="宋体" w:hint="default"/>
                <w:sz w:val="18"/>
                <w:szCs w:val="18"/>
              </w:rPr>
              <w:t>(</w:t>
            </w:r>
            <w:r>
              <w:rPr>
                <w:rFonts w:ascii="宋体" w:hAnsi="宋体" w:cs="宋体" w:eastAsia="宋体" w:hint="default"/>
                <w:sz w:val="18"/>
                <w:szCs w:val="18"/>
              </w:rPr>
              <w:t>元</w:t>
            </w:r>
            <w:r>
              <w:rPr>
                <w:rFonts w:ascii="宋体" w:hAnsi="宋体" w:cs="宋体" w:eastAsia="宋体" w:hint="default"/>
                <w:sz w:val="18"/>
                <w:szCs w:val="18"/>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0"/>
              <w:jc w:val="right"/>
              <w:rPr>
                <w:rFonts w:ascii="宋体" w:hAnsi="宋体" w:cs="宋体" w:eastAsia="宋体" w:hint="default"/>
                <w:sz w:val="18"/>
                <w:szCs w:val="18"/>
              </w:rPr>
            </w:pPr>
            <w:r>
              <w:rPr>
                <w:rFonts w:ascii="宋体"/>
                <w:spacing w:val="-1"/>
                <w:sz w:val="18"/>
              </w:rPr>
              <w:t>3,907,595,690.57</w:t>
            </w:r>
            <w:r>
              <w:rPr>
                <w:rFonts w:ascii="宋体"/>
                <w:sz w:val="18"/>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40"/>
              <w:jc w:val="right"/>
              <w:rPr>
                <w:rFonts w:ascii="宋体" w:hAnsi="宋体" w:cs="宋体" w:eastAsia="宋体" w:hint="default"/>
                <w:sz w:val="18"/>
                <w:szCs w:val="18"/>
              </w:rPr>
            </w:pPr>
            <w:r>
              <w:rPr>
                <w:rFonts w:ascii="宋体"/>
                <w:spacing w:val="-1"/>
                <w:sz w:val="18"/>
              </w:rPr>
              <w:t>5,325,499,130.46 </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40"/>
              <w:jc w:val="right"/>
              <w:rPr>
                <w:rFonts w:ascii="宋体" w:hAnsi="宋体" w:cs="宋体" w:eastAsia="宋体" w:hint="default"/>
                <w:sz w:val="18"/>
                <w:szCs w:val="18"/>
              </w:rPr>
            </w:pPr>
            <w:r>
              <w:rPr>
                <w:rFonts w:ascii="宋体"/>
                <w:spacing w:val="-1"/>
                <w:sz w:val="18"/>
              </w:rPr>
              <w:t>-26.62</w:t>
            </w:r>
            <w:r>
              <w:rPr>
                <w:rFonts w:ascii="宋体"/>
                <w:sz w:val="18"/>
              </w:rPr>
              <w:t> </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43"/>
              <w:jc w:val="right"/>
              <w:rPr>
                <w:rFonts w:ascii="宋体" w:hAnsi="宋体" w:cs="宋体" w:eastAsia="宋体" w:hint="default"/>
                <w:sz w:val="18"/>
                <w:szCs w:val="18"/>
              </w:rPr>
            </w:pPr>
            <w:r>
              <w:rPr>
                <w:rFonts w:ascii="宋体"/>
                <w:spacing w:val="-1"/>
                <w:sz w:val="18"/>
              </w:rPr>
              <w:t>3,223,186,028.74 </w:t>
            </w:r>
          </w:p>
        </w:tc>
      </w:tr>
      <w:tr>
        <w:trPr>
          <w:trHeight w:val="540" w:hRule="exact"/>
        </w:trPr>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before="1"/>
              <w:ind w:left="103" w:right="0"/>
              <w:jc w:val="left"/>
              <w:rPr>
                <w:rFonts w:ascii="宋体" w:hAnsi="宋体" w:cs="宋体" w:eastAsia="宋体" w:hint="default"/>
                <w:sz w:val="18"/>
                <w:szCs w:val="18"/>
              </w:rPr>
            </w:pPr>
            <w:r>
              <w:rPr>
                <w:rFonts w:ascii="宋体" w:hAnsi="宋体" w:cs="宋体" w:eastAsia="宋体" w:hint="default"/>
                <w:sz w:val="18"/>
                <w:szCs w:val="18"/>
              </w:rPr>
              <w:t>归</w:t>
            </w:r>
            <w:r>
              <w:rPr>
                <w:rFonts w:ascii="宋体" w:hAnsi="宋体" w:cs="宋体" w:eastAsia="宋体" w:hint="default"/>
                <w:spacing w:val="-67"/>
                <w:sz w:val="18"/>
                <w:szCs w:val="18"/>
              </w:rPr>
              <w:t> </w:t>
            </w:r>
            <w:r>
              <w:rPr>
                <w:rFonts w:ascii="宋体" w:hAnsi="宋体" w:cs="宋体" w:eastAsia="宋体" w:hint="default"/>
                <w:sz w:val="18"/>
                <w:szCs w:val="18"/>
              </w:rPr>
              <w:t>属</w:t>
            </w:r>
            <w:r>
              <w:rPr>
                <w:rFonts w:ascii="宋体" w:hAnsi="宋体" w:cs="宋体" w:eastAsia="宋体" w:hint="default"/>
                <w:spacing w:val="-67"/>
                <w:sz w:val="18"/>
                <w:szCs w:val="18"/>
              </w:rPr>
              <w:t> </w:t>
            </w:r>
            <w:r>
              <w:rPr>
                <w:rFonts w:ascii="宋体" w:hAnsi="宋体" w:cs="宋体" w:eastAsia="宋体" w:hint="default"/>
                <w:sz w:val="18"/>
                <w:szCs w:val="18"/>
              </w:rPr>
              <w:t>于</w:t>
            </w:r>
            <w:r>
              <w:rPr>
                <w:rFonts w:ascii="宋体" w:hAnsi="宋体" w:cs="宋体" w:eastAsia="宋体" w:hint="default"/>
                <w:spacing w:val="-67"/>
                <w:sz w:val="18"/>
                <w:szCs w:val="18"/>
              </w:rPr>
              <w:t> </w:t>
            </w:r>
            <w:r>
              <w:rPr>
                <w:rFonts w:ascii="宋体" w:hAnsi="宋体" w:cs="宋体" w:eastAsia="宋体" w:hint="default"/>
                <w:spacing w:val="10"/>
                <w:sz w:val="18"/>
                <w:szCs w:val="18"/>
              </w:rPr>
              <w:t>上市</w:t>
            </w:r>
            <w:r>
              <w:rPr>
                <w:rFonts w:ascii="宋体" w:hAnsi="宋体" w:cs="宋体" w:eastAsia="宋体" w:hint="default"/>
                <w:spacing w:val="-67"/>
                <w:sz w:val="18"/>
                <w:szCs w:val="18"/>
              </w:rPr>
              <w:t> </w:t>
            </w:r>
            <w:r>
              <w:rPr>
                <w:rFonts w:ascii="宋体" w:hAnsi="宋体" w:cs="宋体" w:eastAsia="宋体" w:hint="default"/>
                <w:sz w:val="18"/>
                <w:szCs w:val="18"/>
              </w:rPr>
              <w:t>公</w:t>
            </w:r>
            <w:r>
              <w:rPr>
                <w:rFonts w:ascii="宋体" w:hAnsi="宋体" w:cs="宋体" w:eastAsia="宋体" w:hint="default"/>
                <w:spacing w:val="-67"/>
                <w:sz w:val="18"/>
                <w:szCs w:val="18"/>
              </w:rPr>
              <w:t> </w:t>
            </w:r>
            <w:r>
              <w:rPr>
                <w:rFonts w:ascii="宋体" w:hAnsi="宋体" w:cs="宋体" w:eastAsia="宋体" w:hint="default"/>
                <w:sz w:val="18"/>
                <w:szCs w:val="18"/>
              </w:rPr>
              <w:t>司</w:t>
            </w:r>
            <w:r>
              <w:rPr>
                <w:rFonts w:ascii="宋体" w:hAnsi="宋体" w:cs="宋体" w:eastAsia="宋体" w:hint="default"/>
                <w:spacing w:val="-67"/>
                <w:sz w:val="18"/>
                <w:szCs w:val="18"/>
              </w:rPr>
              <w:t> </w:t>
            </w:r>
            <w:r>
              <w:rPr>
                <w:rFonts w:ascii="宋体" w:hAnsi="宋体" w:cs="宋体" w:eastAsia="宋体" w:hint="default"/>
                <w:spacing w:val="10"/>
                <w:sz w:val="18"/>
                <w:szCs w:val="18"/>
              </w:rPr>
              <w:t>股东</w:t>
            </w:r>
            <w:r>
              <w:rPr>
                <w:rFonts w:ascii="宋体" w:hAnsi="宋体" w:cs="宋体" w:eastAsia="宋体" w:hint="default"/>
                <w:spacing w:val="-67"/>
                <w:sz w:val="18"/>
                <w:szCs w:val="18"/>
              </w:rPr>
              <w:t> </w:t>
            </w:r>
            <w:r>
              <w:rPr>
                <w:rFonts w:ascii="宋体" w:hAnsi="宋体" w:cs="宋体" w:eastAsia="宋体" w:hint="default"/>
                <w:sz w:val="18"/>
                <w:szCs w:val="18"/>
              </w:rPr>
              <w:t>的</w:t>
            </w:r>
            <w:r>
              <w:rPr>
                <w:rFonts w:ascii="宋体" w:hAnsi="宋体" w:cs="宋体" w:eastAsia="宋体" w:hint="default"/>
                <w:spacing w:val="-67"/>
                <w:sz w:val="18"/>
                <w:szCs w:val="18"/>
              </w:rPr>
              <w:t> </w:t>
            </w:r>
            <w:r>
              <w:rPr>
                <w:rFonts w:ascii="宋体" w:hAnsi="宋体" w:cs="宋体" w:eastAsia="宋体" w:hint="default"/>
                <w:spacing w:val="14"/>
                <w:sz w:val="18"/>
                <w:szCs w:val="18"/>
              </w:rPr>
              <w:t>净资产</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元</w:t>
            </w:r>
            <w:r>
              <w:rPr>
                <w:rFonts w:ascii="宋体" w:hAnsi="宋体" w:cs="宋体" w:eastAsia="宋体" w:hint="default"/>
                <w:sz w:val="18"/>
                <w:szCs w:val="18"/>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10"/>
              <w:jc w:val="right"/>
              <w:rPr>
                <w:rFonts w:ascii="宋体" w:hAnsi="宋体" w:cs="宋体" w:eastAsia="宋体" w:hint="default"/>
                <w:sz w:val="18"/>
                <w:szCs w:val="18"/>
              </w:rPr>
            </w:pPr>
            <w:r>
              <w:rPr>
                <w:rFonts w:ascii="宋体"/>
                <w:spacing w:val="-1"/>
                <w:sz w:val="18"/>
              </w:rPr>
              <w:t>2,322,627,647.48</w:t>
            </w:r>
            <w:r>
              <w:rPr>
                <w:rFonts w:ascii="宋体"/>
                <w:sz w:val="18"/>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40"/>
              <w:jc w:val="right"/>
              <w:rPr>
                <w:rFonts w:ascii="宋体" w:hAnsi="宋体" w:cs="宋体" w:eastAsia="宋体" w:hint="default"/>
                <w:sz w:val="18"/>
                <w:szCs w:val="18"/>
              </w:rPr>
            </w:pPr>
            <w:r>
              <w:rPr>
                <w:rFonts w:ascii="宋体"/>
                <w:spacing w:val="-1"/>
                <w:sz w:val="18"/>
              </w:rPr>
              <w:t>3,602,604,503.00 </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40"/>
              <w:jc w:val="right"/>
              <w:rPr>
                <w:rFonts w:ascii="宋体" w:hAnsi="宋体" w:cs="宋体" w:eastAsia="宋体" w:hint="default"/>
                <w:sz w:val="18"/>
                <w:szCs w:val="18"/>
              </w:rPr>
            </w:pPr>
            <w:r>
              <w:rPr>
                <w:rFonts w:ascii="宋体"/>
                <w:spacing w:val="-1"/>
                <w:sz w:val="18"/>
              </w:rPr>
              <w:t>-35.53</w:t>
            </w:r>
            <w:r>
              <w:rPr>
                <w:rFonts w:ascii="宋体"/>
                <w:sz w:val="18"/>
              </w:rPr>
              <w:t> </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1"/>
              <w:ind w:right="-43"/>
              <w:jc w:val="right"/>
              <w:rPr>
                <w:rFonts w:ascii="宋体" w:hAnsi="宋体" w:cs="宋体" w:eastAsia="宋体" w:hint="default"/>
                <w:sz w:val="18"/>
                <w:szCs w:val="18"/>
              </w:rPr>
            </w:pPr>
            <w:r>
              <w:rPr>
                <w:rFonts w:ascii="宋体"/>
                <w:spacing w:val="-1"/>
                <w:sz w:val="18"/>
              </w:rPr>
              <w:t>2,661,028,566.87</w:t>
            </w:r>
            <w:r>
              <w:rPr>
                <w:rFonts w:ascii="宋体"/>
                <w:sz w:val="18"/>
              </w:rPr>
              <w:t> </w:t>
            </w:r>
          </w:p>
        </w:tc>
      </w:tr>
    </w:tbl>
    <w:p>
      <w:pPr>
        <w:spacing w:line="240" w:lineRule="auto" w:before="4"/>
        <w:rPr>
          <w:rFonts w:ascii="宋体" w:hAnsi="宋体" w:cs="宋体" w:eastAsia="宋体" w:hint="default"/>
          <w:sz w:val="24"/>
          <w:szCs w:val="24"/>
        </w:rPr>
      </w:pPr>
    </w:p>
    <w:p>
      <w:pPr>
        <w:pStyle w:val="Heading2"/>
        <w:spacing w:line="240" w:lineRule="auto"/>
        <w:ind w:right="1133"/>
        <w:jc w:val="left"/>
        <w:rPr>
          <w:b w:val="0"/>
          <w:bCs w:val="0"/>
        </w:rPr>
      </w:pPr>
      <w:r>
        <w:rPr/>
        <w:t>七、境内外会计准则下会计数据差异</w:t>
      </w:r>
      <w:r>
        <w:rPr>
          <w:b w:val="0"/>
          <w:bCs w:val="0"/>
        </w:rPr>
      </w:r>
    </w:p>
    <w:p>
      <w:pPr>
        <w:pStyle w:val="BodyText"/>
        <w:spacing w:line="240" w:lineRule="auto" w:before="141"/>
        <w:ind w:right="1133"/>
        <w:jc w:val="left"/>
      </w:pPr>
      <w:r>
        <w:rPr>
          <w:rFonts w:ascii="Times New Roman" w:hAnsi="Times New Roman" w:cs="Times New Roman" w:eastAsia="Times New Roman" w:hint="default"/>
        </w:rPr>
        <w:t>1</w:t>
      </w:r>
      <w:r>
        <w:rPr/>
        <w:t>、同时按照国际会计准则与按照中国会计准则披露的财务报告中净利润和净资产差异情况</w:t>
      </w:r>
    </w:p>
    <w:p>
      <w:pPr>
        <w:pStyle w:val="BodyText"/>
        <w:spacing w:line="376" w:lineRule="auto" w:before="142"/>
        <w:ind w:right="1133"/>
        <w:jc w:val="left"/>
      </w:pPr>
      <w:r>
        <w:rPr/>
        <w:t>□ 适用 √ 不适用</w:t>
      </w:r>
      <w:r>
        <w:rPr>
          <w:spacing w:val="-104"/>
        </w:rPr>
        <w:t> </w:t>
      </w:r>
      <w:r>
        <w:rPr>
          <w:spacing w:val="-104"/>
        </w:rPr>
      </w:r>
      <w:r>
        <w:rPr>
          <w:spacing w:val="-2"/>
        </w:rPr>
        <w:t>公司报告期不存在按照国际会计准则与按照中国会计准则披露的财务报告中净利润和净资产差异情况。</w:t>
      </w:r>
      <w:r>
        <w:rPr>
          <w:spacing w:val="-21"/>
        </w:rPr>
        <w:t> </w:t>
      </w:r>
      <w:r>
        <w:rPr>
          <w:spacing w:val="-21"/>
        </w:rPr>
      </w:r>
      <w:r>
        <w:rPr>
          <w:rFonts w:ascii="Times New Roman" w:hAnsi="Times New Roman" w:cs="Times New Roman" w:eastAsia="Times New Roman" w:hint="default"/>
        </w:rPr>
        <w:t>2</w:t>
      </w:r>
      <w:r>
        <w:rPr/>
        <w:t>、同时按照境外会计准则与按照中国会计准则披露的财务报告中净利润和净资产差异情况</w:t>
      </w:r>
    </w:p>
    <w:p>
      <w:pPr>
        <w:pStyle w:val="BodyText"/>
        <w:spacing w:line="376" w:lineRule="auto" w:before="8"/>
        <w:ind w:right="1133" w:firstLine="105"/>
        <w:jc w:val="left"/>
      </w:pPr>
      <w:r>
        <w:rPr/>
        <w:t>□ 适用 √</w:t>
      </w:r>
      <w:r>
        <w:rPr>
          <w:spacing w:val="-1"/>
        </w:rPr>
        <w:t> </w:t>
      </w:r>
      <w:r>
        <w:rPr/>
        <w:t>不适用</w:t>
      </w:r>
      <w:r>
        <w:rPr>
          <w:w w:val="100"/>
        </w:rPr>
        <w:t> </w:t>
      </w:r>
      <w:r>
        <w:rPr>
          <w:spacing w:val="-2"/>
        </w:rPr>
        <w:t>公司报告期不存在按照境外会计准则与按照中国会计准则披露的财务报告中净利润和净资产差异情况。</w:t>
      </w:r>
    </w:p>
    <w:p>
      <w:pPr>
        <w:spacing w:after="0" w:line="376" w:lineRule="auto"/>
        <w:jc w:val="left"/>
        <w:sectPr>
          <w:pgSz w:w="11910" w:h="16840"/>
          <w:pgMar w:header="880" w:footer="975" w:top="1100" w:bottom="1160" w:left="980" w:right="0"/>
        </w:sectPr>
      </w:pPr>
    </w:p>
    <w:p>
      <w:pPr>
        <w:spacing w:line="240" w:lineRule="auto" w:before="9"/>
        <w:rPr>
          <w:rFonts w:ascii="宋体" w:hAnsi="宋体" w:cs="宋体" w:eastAsia="宋体" w:hint="default"/>
          <w:sz w:val="19"/>
          <w:szCs w:val="19"/>
        </w:rPr>
      </w:pPr>
    </w:p>
    <w:p>
      <w:pPr>
        <w:spacing w:before="26"/>
        <w:ind w:left="152" w:right="1133" w:firstLine="0"/>
        <w:jc w:val="left"/>
        <w:rPr>
          <w:rFonts w:ascii="宋体" w:hAnsi="宋体" w:cs="宋体" w:eastAsia="宋体" w:hint="default"/>
          <w:sz w:val="21"/>
          <w:szCs w:val="21"/>
        </w:rPr>
      </w:pPr>
      <w:r>
        <w:rPr>
          <w:rFonts w:ascii="宋体" w:hAnsi="宋体" w:cs="宋体" w:eastAsia="宋体" w:hint="default"/>
          <w:b/>
          <w:bCs/>
          <w:sz w:val="24"/>
          <w:szCs w:val="24"/>
        </w:rPr>
        <w:t>八、分季度主要财务指标</w:t>
      </w:r>
      <w:r>
        <w:rPr>
          <w:rFonts w:ascii="宋体" w:hAnsi="宋体" w:cs="宋体" w:eastAsia="宋体" w:hint="default"/>
          <w:sz w:val="21"/>
          <w:szCs w:val="21"/>
        </w:rPr>
        <w:t>（单位：元）</w:t>
      </w:r>
    </w:p>
    <w:p>
      <w:pPr>
        <w:spacing w:line="240" w:lineRule="auto" w:before="11"/>
        <w:rPr>
          <w:rFonts w:ascii="宋体" w:hAnsi="宋体" w:cs="宋体" w:eastAsia="宋体" w:hint="default"/>
          <w:sz w:val="5"/>
          <w:szCs w:val="5"/>
        </w:rPr>
      </w:pPr>
    </w:p>
    <w:tbl>
      <w:tblPr>
        <w:tblW w:w="0" w:type="auto"/>
        <w:jc w:val="left"/>
        <w:tblInd w:w="148" w:type="dxa"/>
        <w:tblLayout w:type="fixed"/>
        <w:tblCellMar>
          <w:top w:w="0" w:type="dxa"/>
          <w:left w:w="0" w:type="dxa"/>
          <w:bottom w:w="0" w:type="dxa"/>
          <w:right w:w="0" w:type="dxa"/>
        </w:tblCellMar>
        <w:tblLook w:val="01E0"/>
      </w:tblPr>
      <w:tblGrid>
        <w:gridCol w:w="2621"/>
        <w:gridCol w:w="1741"/>
        <w:gridCol w:w="1740"/>
        <w:gridCol w:w="1738"/>
        <w:gridCol w:w="1801"/>
      </w:tblGrid>
      <w:tr>
        <w:trPr>
          <w:trHeight w:val="401"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360"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7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446" w:right="0"/>
              <w:jc w:val="left"/>
              <w:rPr>
                <w:rFonts w:ascii="宋体" w:hAnsi="宋体" w:cs="宋体" w:eastAsia="宋体" w:hint="default"/>
                <w:sz w:val="21"/>
                <w:szCs w:val="21"/>
              </w:rPr>
            </w:pPr>
            <w:r>
              <w:rPr>
                <w:rFonts w:ascii="宋体" w:hAnsi="宋体" w:cs="宋体" w:eastAsia="宋体" w:hint="default"/>
                <w:sz w:val="21"/>
                <w:szCs w:val="21"/>
              </w:rPr>
              <w:t>第一季度</w:t>
            </w:r>
          </w:p>
        </w:tc>
        <w:tc>
          <w:tcPr>
            <w:tcW w:w="1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443" w:right="0"/>
              <w:jc w:val="left"/>
              <w:rPr>
                <w:rFonts w:ascii="宋体" w:hAnsi="宋体" w:cs="宋体" w:eastAsia="宋体" w:hint="default"/>
                <w:sz w:val="21"/>
                <w:szCs w:val="21"/>
              </w:rPr>
            </w:pPr>
            <w:r>
              <w:rPr>
                <w:rFonts w:ascii="宋体" w:hAnsi="宋体" w:cs="宋体" w:eastAsia="宋体" w:hint="default"/>
                <w:sz w:val="21"/>
                <w:szCs w:val="21"/>
              </w:rPr>
              <w:t>第二季度</w:t>
            </w:r>
          </w:p>
        </w:tc>
        <w:tc>
          <w:tcPr>
            <w:tcW w:w="17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443" w:right="0"/>
              <w:jc w:val="left"/>
              <w:rPr>
                <w:rFonts w:ascii="宋体" w:hAnsi="宋体" w:cs="宋体" w:eastAsia="宋体" w:hint="default"/>
                <w:sz w:val="21"/>
                <w:szCs w:val="21"/>
              </w:rPr>
            </w:pPr>
            <w:r>
              <w:rPr>
                <w:rFonts w:ascii="宋体" w:hAnsi="宋体" w:cs="宋体" w:eastAsia="宋体" w:hint="default"/>
                <w:sz w:val="21"/>
                <w:szCs w:val="21"/>
              </w:rPr>
              <w:t>第三季度</w:t>
            </w:r>
          </w:p>
        </w:tc>
        <w:tc>
          <w:tcPr>
            <w:tcW w:w="18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6"/>
              <w:ind w:left="475" w:right="0"/>
              <w:jc w:val="left"/>
              <w:rPr>
                <w:rFonts w:ascii="宋体" w:hAnsi="宋体" w:cs="宋体" w:eastAsia="宋体" w:hint="default"/>
                <w:sz w:val="21"/>
                <w:szCs w:val="21"/>
              </w:rPr>
            </w:pPr>
            <w:r>
              <w:rPr>
                <w:rFonts w:ascii="宋体" w:hAnsi="宋体" w:cs="宋体" w:eastAsia="宋体" w:hint="default"/>
                <w:sz w:val="21"/>
                <w:szCs w:val="21"/>
              </w:rPr>
              <w:t>第四季度</w:t>
            </w:r>
          </w:p>
        </w:tc>
      </w:tr>
      <w:tr>
        <w:trPr>
          <w:trHeight w:val="403"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7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2"/>
                <w:sz w:val="18"/>
              </w:rPr>
              <w:t> </w:t>
            </w:r>
            <w:r>
              <w:rPr>
                <w:rFonts w:ascii="宋体"/>
                <w:spacing w:val="-1"/>
                <w:sz w:val="18"/>
              </w:rPr>
              <w:t>828,482,939.04</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pacing w:val="-1"/>
                <w:sz w:val="18"/>
              </w:rPr>
              <w:t>794,767,862.70</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宋体" w:hAnsi="宋体" w:cs="宋体" w:eastAsia="宋体" w:hint="default"/>
                <w:sz w:val="18"/>
                <w:szCs w:val="18"/>
              </w:rPr>
            </w:pPr>
            <w:r>
              <w:rPr>
                <w:rFonts w:ascii="宋体"/>
                <w:spacing w:val="-1"/>
                <w:sz w:val="18"/>
              </w:rPr>
              <w:t>710,494,829.23</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宋体" w:hAnsi="宋体" w:cs="宋体" w:eastAsia="宋体" w:hint="default"/>
                <w:sz w:val="18"/>
                <w:szCs w:val="18"/>
              </w:rPr>
            </w:pPr>
            <w:r>
              <w:rPr>
                <w:rFonts w:ascii="宋体"/>
                <w:spacing w:val="-1"/>
                <w:sz w:val="18"/>
              </w:rPr>
              <w:t>828,885,795.94</w:t>
            </w:r>
          </w:p>
        </w:tc>
      </w:tr>
      <w:tr>
        <w:trPr>
          <w:trHeight w:val="401"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tc>
        <w:tc>
          <w:tcPr>
            <w:tcW w:w="17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1"/>
                <w:sz w:val="18"/>
              </w:rPr>
              <w:t> 52,422,031.91</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pacing w:val="-1"/>
                <w:sz w:val="18"/>
              </w:rPr>
              <w:t>31,168,369.31</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宋体" w:hAnsi="宋体" w:cs="宋体" w:eastAsia="宋体" w:hint="default"/>
                <w:sz w:val="18"/>
                <w:szCs w:val="18"/>
              </w:rPr>
            </w:pPr>
            <w:r>
              <w:rPr>
                <w:rFonts w:ascii="宋体"/>
                <w:spacing w:val="-1"/>
                <w:sz w:val="18"/>
              </w:rPr>
              <w:t>27,378,734.57</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pacing w:val="-1"/>
                <w:sz w:val="18"/>
              </w:rPr>
              <w:t>-1,351,137,923.72</w:t>
            </w:r>
          </w:p>
        </w:tc>
      </w:tr>
      <w:tr>
        <w:trPr>
          <w:trHeight w:val="715"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4" w:right="65"/>
              <w:jc w:val="left"/>
              <w:rPr>
                <w:rFonts w:ascii="宋体" w:hAnsi="宋体" w:cs="宋体" w:eastAsia="宋体" w:hint="default"/>
                <w:sz w:val="18"/>
                <w:szCs w:val="18"/>
              </w:rPr>
            </w:pPr>
            <w:r>
              <w:rPr>
                <w:rFonts w:ascii="宋体" w:hAnsi="宋体" w:cs="宋体" w:eastAsia="宋体" w:hint="default"/>
                <w:sz w:val="18"/>
                <w:szCs w:val="18"/>
              </w:rPr>
              <w:t>归属于上市公司股东的扣除非经 常性损益的净利润</w:t>
            </w:r>
          </w:p>
        </w:tc>
        <w:tc>
          <w:tcPr>
            <w:tcW w:w="1741" w:type="dxa"/>
            <w:tcBorders>
              <w:top w:val="single" w:sz="4" w:space="0" w:color="000000"/>
              <w:left w:val="single" w:sz="10" w:space="0" w:color="D2D2D2"/>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1"/>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1"/>
                <w:sz w:val="18"/>
              </w:rPr>
              <w:t> 52,287,839.98</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2"/>
              <w:jc w:val="right"/>
              <w:rPr>
                <w:rFonts w:ascii="宋体" w:hAnsi="宋体" w:cs="宋体" w:eastAsia="宋体" w:hint="default"/>
                <w:sz w:val="18"/>
                <w:szCs w:val="18"/>
              </w:rPr>
            </w:pPr>
            <w:r>
              <w:rPr>
                <w:rFonts w:ascii="宋体"/>
                <w:spacing w:val="-1"/>
                <w:sz w:val="18"/>
              </w:rPr>
              <w:t>29,990,630.77</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9"/>
              <w:jc w:val="right"/>
              <w:rPr>
                <w:rFonts w:ascii="宋体" w:hAnsi="宋体" w:cs="宋体" w:eastAsia="宋体" w:hint="default"/>
                <w:sz w:val="18"/>
                <w:szCs w:val="18"/>
              </w:rPr>
            </w:pPr>
            <w:r>
              <w:rPr>
                <w:rFonts w:ascii="宋体"/>
                <w:spacing w:val="-1"/>
                <w:sz w:val="18"/>
              </w:rPr>
              <w:t>23,444,546.38</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0"/>
              <w:jc w:val="right"/>
              <w:rPr>
                <w:rFonts w:ascii="宋体" w:hAnsi="宋体" w:cs="宋体" w:eastAsia="宋体" w:hint="default"/>
                <w:sz w:val="18"/>
                <w:szCs w:val="18"/>
              </w:rPr>
            </w:pPr>
            <w:r>
              <w:rPr>
                <w:rFonts w:ascii="宋体"/>
                <w:spacing w:val="-1"/>
                <w:sz w:val="18"/>
              </w:rPr>
              <w:t>-1,309,355,670.17</w:t>
            </w:r>
          </w:p>
        </w:tc>
      </w:tr>
      <w:tr>
        <w:trPr>
          <w:trHeight w:val="401"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7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宋体" w:hAnsi="宋体" w:cs="宋体" w:eastAsia="宋体" w:hint="default"/>
                <w:sz w:val="18"/>
                <w:szCs w:val="18"/>
              </w:rPr>
            </w:pPr>
            <w:r>
              <w:rPr>
                <w:rFonts w:ascii="宋体"/>
                <w:spacing w:val="-1"/>
                <w:sz w:val="18"/>
              </w:rPr>
              <w:t>-76,503,644.74</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pacing w:val="-1"/>
                <w:sz w:val="18"/>
              </w:rPr>
              <w:t>20,780,559.69</w:t>
            </w:r>
          </w:p>
        </w:tc>
        <w:tc>
          <w:tcPr>
            <w:tcW w:w="17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宋体" w:hAnsi="宋体" w:cs="宋体" w:eastAsia="宋体" w:hint="default"/>
                <w:sz w:val="18"/>
                <w:szCs w:val="18"/>
              </w:rPr>
            </w:pPr>
            <w:r>
              <w:rPr>
                <w:rFonts w:ascii="宋体"/>
                <w:spacing w:val="-1"/>
                <w:sz w:val="18"/>
              </w:rPr>
              <w:t>28,641,383.21</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1"/>
                <w:sz w:val="18"/>
              </w:rPr>
              <w:t> 441,893,167.94</w:t>
            </w:r>
          </w:p>
        </w:tc>
      </w:tr>
    </w:tbl>
    <w:p>
      <w:pPr>
        <w:spacing w:line="240" w:lineRule="auto" w:before="6"/>
        <w:rPr>
          <w:rFonts w:ascii="宋体" w:hAnsi="宋体" w:cs="宋体" w:eastAsia="宋体" w:hint="default"/>
          <w:sz w:val="5"/>
          <w:szCs w:val="5"/>
        </w:rPr>
      </w:pPr>
    </w:p>
    <w:p>
      <w:pPr>
        <w:pStyle w:val="BodyText"/>
        <w:spacing w:line="240" w:lineRule="auto" w:before="36"/>
        <w:ind w:right="1133"/>
        <w:jc w:val="left"/>
        <w:rPr>
          <w:rFonts w:ascii="宋体" w:hAnsi="宋体" w:cs="宋体" w:eastAsia="宋体" w:hint="default"/>
        </w:rPr>
      </w:pPr>
      <w:r>
        <w:rPr/>
        <w:t>上述财务指标或其加总数是否与公司已披露季度报告、半年度报告相关财务指标存在重大差异</w:t>
      </w:r>
      <w:r>
        <w:rPr>
          <w:rFonts w:ascii="宋体" w:hAnsi="宋体" w:cs="宋体" w:eastAsia="宋体" w:hint="default"/>
        </w:rPr>
        <w:t> </w:t>
      </w:r>
    </w:p>
    <w:p>
      <w:pPr>
        <w:pStyle w:val="BodyText"/>
        <w:spacing w:line="240" w:lineRule="auto" w:before="78"/>
        <w:ind w:left="258" w:right="1133"/>
        <w:jc w:val="left"/>
        <w:rPr>
          <w:rFonts w:ascii="宋体" w:hAnsi="宋体" w:cs="宋体" w:eastAsia="宋体" w:hint="default"/>
        </w:rPr>
      </w:pPr>
      <w:r>
        <w:rPr/>
        <w:t>□ 是  </w:t>
      </w:r>
      <w:r>
        <w:rPr>
          <w:rFonts w:ascii="宋体" w:hAnsi="宋体" w:cs="宋体" w:eastAsia="宋体" w:hint="default"/>
        </w:rPr>
      </w:r>
      <w:r>
        <w:rPr/>
        <w:t>√</w:t>
      </w:r>
      <w:r>
        <w:rPr>
          <w:spacing w:val="1"/>
        </w:rPr>
        <w:t> </w:t>
      </w:r>
      <w:r>
        <w:rPr>
          <w:spacing w:val="-3"/>
        </w:rPr>
        <w:t>否</w:t>
      </w:r>
      <w:r>
        <w:rPr>
          <w:rFonts w:ascii="宋体" w:hAnsi="宋体" w:cs="宋体" w:eastAsia="宋体" w:hint="default"/>
        </w:rPr>
        <w:t> </w:t>
      </w:r>
    </w:p>
    <w:p>
      <w:pPr>
        <w:spacing w:line="240" w:lineRule="auto" w:before="3"/>
        <w:rPr>
          <w:rFonts w:ascii="宋体" w:hAnsi="宋体" w:cs="宋体" w:eastAsia="宋体" w:hint="default"/>
          <w:sz w:val="19"/>
          <w:szCs w:val="19"/>
        </w:rPr>
      </w:pPr>
    </w:p>
    <w:p>
      <w:pPr>
        <w:pStyle w:val="Heading2"/>
        <w:spacing w:line="240" w:lineRule="auto" w:before="0"/>
        <w:ind w:right="1133"/>
        <w:jc w:val="left"/>
        <w:rPr>
          <w:b w:val="0"/>
          <w:bCs w:val="0"/>
        </w:rPr>
      </w:pPr>
      <w:r>
        <w:rPr/>
        <w:t>九、非经常性损益项目及金额</w:t>
      </w:r>
      <w:r>
        <w:rPr>
          <w:b w:val="0"/>
          <w:bCs w:val="0"/>
        </w:rPr>
      </w:r>
    </w:p>
    <w:p>
      <w:pPr>
        <w:pStyle w:val="BodyText"/>
        <w:spacing w:line="240" w:lineRule="auto" w:before="64"/>
        <w:ind w:left="258" w:right="1133"/>
        <w:jc w:val="left"/>
        <w:rPr>
          <w:rFonts w:ascii="宋体" w:hAnsi="宋体" w:cs="宋体" w:eastAsia="宋体" w:hint="default"/>
        </w:rPr>
      </w:pPr>
      <w:r>
        <w:rPr/>
        <w:t>√ 适用  </w:t>
      </w:r>
      <w:r>
        <w:rPr>
          <w:rFonts w:ascii="宋体" w:hAnsi="宋体" w:cs="宋体" w:eastAsia="宋体" w:hint="default"/>
        </w:rPr>
      </w:r>
      <w:r>
        <w:rPr/>
        <w:t>□ </w:t>
      </w:r>
      <w:r>
        <w:rPr>
          <w:rFonts w:ascii="宋体" w:hAnsi="宋体" w:cs="宋体" w:eastAsia="宋体" w:hint="default"/>
        </w:rPr>
      </w:r>
      <w:r>
        <w:rPr/>
        <w:t>不适用                                                           </w:t>
      </w:r>
      <w:r>
        <w:rPr>
          <w:spacing w:val="91"/>
        </w:rPr>
        <w:t> </w:t>
      </w:r>
      <w:r>
        <w:rPr>
          <w:rFonts w:ascii="宋体" w:hAnsi="宋体" w:cs="宋体" w:eastAsia="宋体" w:hint="default"/>
          <w:spacing w:val="91"/>
        </w:rPr>
      </w:r>
      <w:r>
        <w:rPr/>
        <w:t>单位：元</w:t>
      </w:r>
      <w:r>
        <w:rPr>
          <w:rFonts w:ascii="宋体" w:hAnsi="宋体" w:cs="宋体" w:eastAsia="宋体" w:hint="default"/>
        </w:rPr>
        <w:t> </w:t>
      </w:r>
    </w:p>
    <w:p>
      <w:pPr>
        <w:spacing w:line="240" w:lineRule="auto" w:before="10"/>
        <w:rPr>
          <w:rFonts w:ascii="宋体" w:hAnsi="宋体" w:cs="宋体" w:eastAsia="宋体" w:hint="default"/>
          <w:sz w:val="6"/>
          <w:szCs w:val="6"/>
        </w:rPr>
      </w:pPr>
    </w:p>
    <w:tbl>
      <w:tblPr>
        <w:tblW w:w="0" w:type="auto"/>
        <w:jc w:val="left"/>
        <w:tblInd w:w="148" w:type="dxa"/>
        <w:tblLayout w:type="fixed"/>
        <w:tblCellMar>
          <w:top w:w="0" w:type="dxa"/>
          <w:left w:w="0" w:type="dxa"/>
          <w:bottom w:w="0" w:type="dxa"/>
          <w:right w:w="0" w:type="dxa"/>
        </w:tblCellMar>
        <w:tblLook w:val="01E0"/>
      </w:tblPr>
      <w:tblGrid>
        <w:gridCol w:w="4964"/>
        <w:gridCol w:w="1558"/>
        <w:gridCol w:w="1560"/>
        <w:gridCol w:w="1558"/>
      </w:tblGrid>
      <w:tr>
        <w:trPr>
          <w:trHeight w:val="403" w:hRule="exact"/>
        </w:trPr>
        <w:tc>
          <w:tcPr>
            <w:tcW w:w="49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非经常性损益项目</w:t>
            </w:r>
            <w:r>
              <w:rPr>
                <w:rFonts w:ascii="宋体" w:hAnsi="宋体" w:cs="宋体" w:eastAsia="宋体" w:hint="default"/>
                <w:sz w:val="18"/>
                <w:szCs w:val="18"/>
              </w:rPr>
              <w:t> </w:t>
            </w:r>
          </w:p>
        </w:tc>
        <w:tc>
          <w:tcPr>
            <w:tcW w:w="15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302"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年金额</w:t>
            </w:r>
            <w:r>
              <w:rPr>
                <w:rFonts w:ascii="宋体" w:hAnsi="宋体" w:cs="宋体" w:eastAsia="宋体" w:hint="default"/>
                <w:sz w:val="18"/>
                <w:szCs w:val="18"/>
              </w:rPr>
              <w:t> </w:t>
            </w:r>
          </w:p>
        </w:tc>
        <w:tc>
          <w:tcPr>
            <w:tcW w:w="15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304"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年金额</w:t>
            </w:r>
            <w:r>
              <w:rPr>
                <w:rFonts w:ascii="宋体" w:hAnsi="宋体" w:cs="宋体" w:eastAsia="宋体" w:hint="default"/>
                <w:sz w:val="18"/>
                <w:szCs w:val="18"/>
              </w:rPr>
              <w:t> </w:t>
            </w:r>
          </w:p>
        </w:tc>
        <w:tc>
          <w:tcPr>
            <w:tcW w:w="15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302" w:right="0"/>
              <w:jc w:val="lef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46"/>
                <w:sz w:val="18"/>
                <w:szCs w:val="18"/>
              </w:rPr>
              <w:t> </w:t>
            </w:r>
            <w:r>
              <w:rPr>
                <w:rFonts w:ascii="宋体" w:hAnsi="宋体" w:cs="宋体" w:eastAsia="宋体" w:hint="default"/>
                <w:sz w:val="18"/>
                <w:szCs w:val="18"/>
              </w:rPr>
              <w:t>年金额</w:t>
            </w:r>
            <w:r>
              <w:rPr>
                <w:rFonts w:ascii="宋体" w:hAnsi="宋体" w:cs="宋体" w:eastAsia="宋体" w:hint="default"/>
                <w:sz w:val="18"/>
                <w:szCs w:val="18"/>
              </w:rPr>
              <w:t> </w:t>
            </w:r>
          </w:p>
        </w:tc>
      </w:tr>
      <w:tr>
        <w:trPr>
          <w:trHeight w:val="401" w:hRule="exact"/>
        </w:trPr>
        <w:tc>
          <w:tcPr>
            <w:tcW w:w="4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r>
              <w:rPr>
                <w:rFonts w:ascii="宋体" w:hAnsi="宋体" w:cs="宋体" w:eastAsia="宋体" w:hint="default"/>
                <w:sz w:val="18"/>
                <w:szCs w:val="18"/>
              </w:rPr>
              <w:t>(</w:t>
            </w:r>
            <w:r>
              <w:rPr>
                <w:rFonts w:ascii="宋体" w:hAnsi="宋体" w:cs="宋体" w:eastAsia="宋体" w:hint="default"/>
                <w:sz w:val="18"/>
                <w:szCs w:val="18"/>
              </w:rPr>
              <w:t>包括已计提资产减值准备的冲销部分</w:t>
            </w:r>
            <w:r>
              <w:rPr>
                <w:rFonts w:ascii="宋体" w:hAnsi="宋体" w:cs="宋体" w:eastAsia="宋体" w:hint="default"/>
                <w:sz w:val="18"/>
                <w:szCs w:val="18"/>
              </w:rPr>
              <w:t>) </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128,762.64</w:t>
            </w:r>
            <w:r>
              <w:rPr>
                <w:rFonts w:ascii="宋体"/>
                <w:sz w:val="18"/>
              </w:rPr>
              <w:t>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
              <w:jc w:val="right"/>
              <w:rPr>
                <w:rFonts w:ascii="宋体" w:hAnsi="宋体" w:cs="宋体" w:eastAsia="宋体" w:hint="default"/>
                <w:sz w:val="18"/>
                <w:szCs w:val="18"/>
              </w:rPr>
            </w:pPr>
            <w:r>
              <w:rPr>
                <w:rFonts w:ascii="宋体"/>
                <w:spacing w:val="-1"/>
                <w:sz w:val="18"/>
              </w:rPr>
              <w:t>-287,988.01</w:t>
            </w:r>
            <w:r>
              <w:rPr>
                <w:rFonts w:ascii="宋体"/>
                <w:sz w:val="18"/>
              </w:rPr>
              <w:t> </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
              <w:jc w:val="right"/>
              <w:rPr>
                <w:rFonts w:ascii="宋体" w:hAnsi="宋体" w:cs="宋体" w:eastAsia="宋体" w:hint="default"/>
                <w:sz w:val="18"/>
                <w:szCs w:val="18"/>
              </w:rPr>
            </w:pPr>
            <w:r>
              <w:rPr>
                <w:rFonts w:ascii="宋体"/>
                <w:spacing w:val="-1"/>
                <w:sz w:val="18"/>
              </w:rPr>
              <w:t>-81,880.85</w:t>
            </w:r>
            <w:r>
              <w:rPr>
                <w:rFonts w:ascii="宋体"/>
                <w:sz w:val="18"/>
              </w:rPr>
              <w:t> </w:t>
            </w:r>
          </w:p>
        </w:tc>
      </w:tr>
      <w:tr>
        <w:trPr>
          <w:trHeight w:val="533" w:hRule="exact"/>
        </w:trPr>
        <w:tc>
          <w:tcPr>
            <w:tcW w:w="4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101"/>
              <w:jc w:val="left"/>
              <w:rPr>
                <w:rFonts w:ascii="宋体" w:hAnsi="宋体" w:cs="宋体" w:eastAsia="宋体" w:hint="default"/>
                <w:sz w:val="18"/>
                <w:szCs w:val="18"/>
              </w:rPr>
            </w:pPr>
            <w:r>
              <w:rPr>
                <w:rFonts w:ascii="宋体" w:hAnsi="宋体" w:cs="宋体" w:eastAsia="宋体" w:hint="default"/>
                <w:spacing w:val="-1"/>
                <w:sz w:val="18"/>
                <w:szCs w:val="18"/>
              </w:rPr>
              <w:t>计入当期损益的政府补助</w:t>
            </w:r>
            <w:r>
              <w:rPr>
                <w:rFonts w:ascii="宋体" w:hAnsi="宋体" w:cs="宋体" w:eastAsia="宋体" w:hint="default"/>
                <w:spacing w:val="-1"/>
                <w:sz w:val="18"/>
                <w:szCs w:val="18"/>
              </w:rPr>
              <w:t>(</w:t>
            </w:r>
            <w:r>
              <w:rPr>
                <w:rFonts w:ascii="宋体" w:hAnsi="宋体" w:cs="宋体" w:eastAsia="宋体" w:hint="default"/>
                <w:spacing w:val="-1"/>
                <w:sz w:val="18"/>
                <w:szCs w:val="18"/>
              </w:rPr>
              <w:t>与企业业务密切相关，按照国家统</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一标准定额或定量享受的政府补助除外</w:t>
            </w:r>
            <w:r>
              <w:rPr>
                <w:rFonts w:ascii="宋体" w:hAnsi="宋体" w:cs="宋体" w:eastAsia="宋体" w:hint="default"/>
                <w:sz w:val="18"/>
                <w:szCs w:val="18"/>
              </w:rPr>
              <w:t>) </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
              <w:jc w:val="right"/>
              <w:rPr>
                <w:rFonts w:ascii="宋体" w:hAnsi="宋体" w:cs="宋体" w:eastAsia="宋体" w:hint="default"/>
                <w:sz w:val="18"/>
                <w:szCs w:val="18"/>
              </w:rPr>
            </w:pPr>
            <w:r>
              <w:rPr>
                <w:rFonts w:ascii="宋体"/>
                <w:spacing w:val="1"/>
                <w:sz w:val="18"/>
              </w:rPr>
              <w:t>  </w:t>
            </w:r>
            <w:r>
              <w:rPr>
                <w:rFonts w:ascii="宋体"/>
                <w:spacing w:val="-1"/>
                <w:sz w:val="18"/>
              </w:rPr>
              <w:t>3,505,194.99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8"/>
              <w:jc w:val="right"/>
              <w:rPr>
                <w:rFonts w:ascii="宋体" w:hAnsi="宋体" w:cs="宋体" w:eastAsia="宋体" w:hint="default"/>
                <w:sz w:val="18"/>
                <w:szCs w:val="18"/>
              </w:rPr>
            </w:pPr>
            <w:r>
              <w:rPr>
                <w:rFonts w:ascii="宋体"/>
                <w:spacing w:val="-1"/>
                <w:sz w:val="18"/>
              </w:rPr>
              <w:t>7,306,338.77</w:t>
            </w:r>
            <w:r>
              <w:rPr>
                <w:rFonts w:ascii="宋体"/>
                <w:sz w:val="18"/>
              </w:rPr>
              <w:t> </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8"/>
              <w:ind w:right="8"/>
              <w:jc w:val="right"/>
              <w:rPr>
                <w:rFonts w:ascii="宋体" w:hAnsi="宋体" w:cs="宋体" w:eastAsia="宋体" w:hint="default"/>
                <w:sz w:val="18"/>
                <w:szCs w:val="18"/>
              </w:rPr>
            </w:pPr>
            <w:r>
              <w:rPr>
                <w:rFonts w:ascii="宋体"/>
                <w:spacing w:val="-1"/>
                <w:sz w:val="18"/>
              </w:rPr>
              <w:t>6,837,717.00</w:t>
            </w:r>
            <w:r>
              <w:rPr>
                <w:rFonts w:ascii="宋体"/>
                <w:sz w:val="18"/>
              </w:rPr>
              <w:t> </w:t>
            </w:r>
          </w:p>
        </w:tc>
      </w:tr>
      <w:tr>
        <w:trPr>
          <w:trHeight w:val="401" w:hRule="exact"/>
        </w:trPr>
        <w:tc>
          <w:tcPr>
            <w:tcW w:w="4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委托他人投资或管理资产的损益</w:t>
            </w:r>
            <w:r>
              <w:rPr>
                <w:rFonts w:ascii="宋体" w:hAnsi="宋体" w:cs="宋体" w:eastAsia="宋体" w:hint="default"/>
                <w:sz w:val="18"/>
                <w:szCs w:val="18"/>
              </w:rPr>
              <w:t> </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
              <w:jc w:val="right"/>
              <w:rPr>
                <w:rFonts w:ascii="宋体" w:hAnsi="宋体" w:cs="宋体" w:eastAsia="宋体" w:hint="default"/>
                <w:sz w:val="18"/>
                <w:szCs w:val="18"/>
              </w:rPr>
            </w:pPr>
            <w:r>
              <w:rPr>
                <w:rFonts w:ascii="宋体"/>
                <w:spacing w:val="1"/>
                <w:sz w:val="18"/>
              </w:rPr>
              <w:t>  </w:t>
            </w:r>
            <w:r>
              <w:rPr>
                <w:rFonts w:ascii="宋体"/>
                <w:spacing w:val="-1"/>
                <w:sz w:val="18"/>
              </w:rPr>
              <w:t>1,682,091.21</w:t>
            </w:r>
            <w:r>
              <w:rPr>
                <w:rFonts w:ascii="宋体"/>
                <w:sz w:val="18"/>
              </w:rPr>
              <w:t>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
              <w:jc w:val="right"/>
              <w:rPr>
                <w:rFonts w:ascii="宋体" w:hAnsi="宋体" w:cs="宋体" w:eastAsia="宋体" w:hint="default"/>
                <w:sz w:val="18"/>
                <w:szCs w:val="18"/>
              </w:rPr>
            </w:pPr>
            <w:r>
              <w:rPr>
                <w:rFonts w:ascii="宋体"/>
                <w:spacing w:val="-1"/>
                <w:sz w:val="18"/>
              </w:rPr>
              <w:t>3,967,582.93</w:t>
            </w:r>
            <w:r>
              <w:rPr>
                <w:rFonts w:ascii="宋体"/>
                <w:sz w:val="18"/>
              </w:rPr>
              <w:t> </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
              <w:jc w:val="right"/>
              <w:rPr>
                <w:rFonts w:ascii="宋体" w:hAnsi="宋体" w:cs="宋体" w:eastAsia="宋体" w:hint="default"/>
                <w:sz w:val="18"/>
                <w:szCs w:val="18"/>
              </w:rPr>
            </w:pPr>
            <w:r>
              <w:rPr>
                <w:rFonts w:ascii="宋体"/>
                <w:sz w:val="18"/>
              </w:rPr>
              <w:t> </w:t>
            </w:r>
          </w:p>
        </w:tc>
      </w:tr>
      <w:tr>
        <w:trPr>
          <w:trHeight w:val="403" w:hRule="exact"/>
        </w:trPr>
        <w:tc>
          <w:tcPr>
            <w:tcW w:w="4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20"/>
                <w:szCs w:val="20"/>
              </w:rPr>
              <w:t>债务重组损益</w:t>
            </w:r>
            <w:r>
              <w:rPr>
                <w:rFonts w:ascii="宋体" w:hAnsi="宋体" w:cs="宋体" w:eastAsia="宋体" w:hint="default"/>
                <w:sz w:val="18"/>
                <w:szCs w:val="18"/>
              </w:rPr>
              <w:t> </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0"/>
              <w:jc w:val="right"/>
              <w:rPr>
                <w:rFonts w:ascii="宋体" w:hAnsi="宋体" w:cs="宋体" w:eastAsia="宋体" w:hint="default"/>
                <w:sz w:val="18"/>
                <w:szCs w:val="18"/>
              </w:rPr>
            </w:pPr>
            <w:r>
              <w:rPr>
                <w:rFonts w:ascii="宋体"/>
                <w:spacing w:val="-1"/>
                <w:sz w:val="18"/>
              </w:rPr>
              <w:t>-32,945,187.07</w:t>
            </w:r>
            <w:r>
              <w:rPr>
                <w:rFonts w:ascii="宋体"/>
                <w:sz w:val="18"/>
              </w:rPr>
              <w:t>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8"/>
              <w:jc w:val="right"/>
              <w:rPr>
                <w:rFonts w:ascii="宋体" w:hAnsi="宋体" w:cs="宋体" w:eastAsia="宋体" w:hint="default"/>
                <w:sz w:val="18"/>
                <w:szCs w:val="18"/>
              </w:rPr>
            </w:pPr>
            <w:r>
              <w:rPr>
                <w:rFonts w:ascii="宋体"/>
                <w:sz w:val="18"/>
              </w:rPr>
              <w:t> </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8"/>
              <w:jc w:val="right"/>
              <w:rPr>
                <w:rFonts w:ascii="宋体" w:hAnsi="宋体" w:cs="宋体" w:eastAsia="宋体" w:hint="default"/>
                <w:sz w:val="18"/>
                <w:szCs w:val="18"/>
              </w:rPr>
            </w:pPr>
            <w:r>
              <w:rPr>
                <w:rFonts w:ascii="宋体"/>
                <w:sz w:val="18"/>
              </w:rPr>
              <w:t> </w:t>
            </w:r>
          </w:p>
        </w:tc>
      </w:tr>
      <w:tr>
        <w:trPr>
          <w:trHeight w:val="1022" w:hRule="exact"/>
        </w:trPr>
        <w:tc>
          <w:tcPr>
            <w:tcW w:w="4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104"/>
              <w:jc w:val="both"/>
              <w:rPr>
                <w:rFonts w:ascii="宋体" w:hAnsi="宋体" w:cs="宋体" w:eastAsia="宋体" w:hint="default"/>
                <w:sz w:val="18"/>
                <w:szCs w:val="18"/>
              </w:rPr>
            </w:pPr>
            <w:r>
              <w:rPr>
                <w:rFonts w:ascii="宋体" w:hAnsi="宋体" w:cs="宋体" w:eastAsia="宋体" w:hint="default"/>
                <w:spacing w:val="2"/>
                <w:sz w:val="18"/>
                <w:szCs w:val="18"/>
              </w:rPr>
              <w:t>除同公司正常经营业务相关的有效套期保值业务外，持有交 易性金融资产、交易性金融负债产生的公允价值变动损益， 以及处置交易性金融资产、交易性金融负债和可供出售金融 </w:t>
            </w:r>
            <w:r>
              <w:rPr>
                <w:rFonts w:ascii="宋体" w:hAnsi="宋体" w:cs="宋体" w:eastAsia="宋体" w:hint="default"/>
                <w:sz w:val="18"/>
                <w:szCs w:val="18"/>
              </w:rPr>
              <w:t>资产取得的投资收益</w:t>
            </w:r>
            <w:r>
              <w:rPr>
                <w:rFonts w:ascii="宋体" w:hAnsi="宋体" w:cs="宋体" w:eastAsia="宋体" w:hint="default"/>
                <w:sz w:val="18"/>
                <w:szCs w:val="18"/>
              </w:rPr>
              <w:t> </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
              <w:jc w:val="right"/>
              <w:rPr>
                <w:rFonts w:ascii="宋体" w:hAnsi="宋体" w:cs="宋体" w:eastAsia="宋体" w:hint="default"/>
                <w:sz w:val="18"/>
                <w:szCs w:val="18"/>
              </w:rPr>
            </w:pPr>
            <w:r>
              <w:rPr>
                <w:rFonts w:ascii="宋体"/>
                <w:sz w:val="18"/>
              </w:rPr>
              <w:t>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8"/>
              <w:jc w:val="right"/>
              <w:rPr>
                <w:rFonts w:ascii="宋体" w:hAnsi="宋体" w:cs="宋体" w:eastAsia="宋体" w:hint="default"/>
                <w:sz w:val="18"/>
                <w:szCs w:val="18"/>
              </w:rPr>
            </w:pPr>
            <w:r>
              <w:rPr>
                <w:rFonts w:ascii="宋体"/>
                <w:sz w:val="18"/>
              </w:rPr>
              <w:t> </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8"/>
              <w:jc w:val="right"/>
              <w:rPr>
                <w:rFonts w:ascii="宋体" w:hAnsi="宋体" w:cs="宋体" w:eastAsia="宋体" w:hint="default"/>
                <w:sz w:val="18"/>
                <w:szCs w:val="18"/>
              </w:rPr>
            </w:pPr>
            <w:r>
              <w:rPr>
                <w:rFonts w:ascii="宋体"/>
                <w:spacing w:val="-1"/>
                <w:sz w:val="18"/>
              </w:rPr>
              <w:t>104,182.24</w:t>
            </w:r>
            <w:r>
              <w:rPr>
                <w:rFonts w:ascii="宋体"/>
                <w:sz w:val="18"/>
              </w:rPr>
              <w:t> </w:t>
            </w:r>
          </w:p>
        </w:tc>
      </w:tr>
      <w:tr>
        <w:trPr>
          <w:trHeight w:val="403" w:hRule="exact"/>
        </w:trPr>
        <w:tc>
          <w:tcPr>
            <w:tcW w:w="4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18"/>
                <w:szCs w:val="18"/>
              </w:rPr>
            </w:pPr>
            <w:r>
              <w:rPr>
                <w:rFonts w:ascii="宋体" w:hAnsi="宋体" w:cs="宋体" w:eastAsia="宋体" w:hint="default"/>
                <w:sz w:val="18"/>
                <w:szCs w:val="18"/>
              </w:rPr>
              <w:t>单独进行减值测试的应收款项减值准备转回</w:t>
            </w:r>
            <w:r>
              <w:rPr>
                <w:rFonts w:ascii="宋体" w:hAnsi="宋体" w:cs="宋体" w:eastAsia="宋体" w:hint="default"/>
                <w:sz w:val="18"/>
                <w:szCs w:val="18"/>
              </w:rPr>
              <w:t> </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7"/>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1"/>
                <w:sz w:val="18"/>
              </w:rPr>
              <w:t>59,904.80</w:t>
            </w:r>
            <w:r>
              <w:rPr>
                <w:rFonts w:ascii="宋体"/>
                <w:spacing w:val="1"/>
                <w:sz w:val="18"/>
              </w:rPr>
              <w:t> </w:t>
            </w:r>
            <w:r>
              <w:rPr>
                <w:rFonts w:ascii="宋体"/>
                <w:sz w:val="18"/>
              </w:rPr>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
              <w:jc w:val="right"/>
              <w:rPr>
                <w:rFonts w:ascii="宋体" w:hAnsi="宋体" w:cs="宋体" w:eastAsia="宋体" w:hint="default"/>
                <w:sz w:val="18"/>
                <w:szCs w:val="18"/>
              </w:rPr>
            </w:pPr>
            <w:r>
              <w:rPr>
                <w:rFonts w:ascii="宋体"/>
                <w:spacing w:val="-1"/>
                <w:sz w:val="18"/>
              </w:rPr>
              <w:t>196,216.64</w:t>
            </w:r>
            <w:r>
              <w:rPr>
                <w:rFonts w:ascii="宋体"/>
                <w:sz w:val="18"/>
              </w:rPr>
              <w:t> </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
              <w:jc w:val="right"/>
              <w:rPr>
                <w:rFonts w:ascii="宋体" w:hAnsi="宋体" w:cs="宋体" w:eastAsia="宋体" w:hint="default"/>
                <w:sz w:val="18"/>
                <w:szCs w:val="18"/>
              </w:rPr>
            </w:pPr>
            <w:r>
              <w:rPr>
                <w:rFonts w:ascii="宋体"/>
                <w:sz w:val="18"/>
              </w:rPr>
              <w:t> </w:t>
            </w:r>
          </w:p>
        </w:tc>
      </w:tr>
      <w:tr>
        <w:trPr>
          <w:trHeight w:val="401" w:hRule="exact"/>
        </w:trPr>
        <w:tc>
          <w:tcPr>
            <w:tcW w:w="4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9"/>
              <w:ind w:left="103"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r>
              <w:rPr>
                <w:rFonts w:ascii="宋体" w:hAnsi="宋体" w:cs="宋体" w:eastAsia="宋体" w:hint="default"/>
                <w:sz w:val="18"/>
                <w:szCs w:val="18"/>
              </w:rPr>
              <w:t> </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
              <w:jc w:val="right"/>
              <w:rPr>
                <w:rFonts w:ascii="宋体" w:hAnsi="宋体" w:cs="宋体" w:eastAsia="宋体" w:hint="default"/>
                <w:sz w:val="18"/>
                <w:szCs w:val="18"/>
              </w:rPr>
            </w:pPr>
            <w:r>
              <w:rPr>
                <w:rFonts w:ascii="宋体"/>
                <w:spacing w:val="-1"/>
                <w:sz w:val="18"/>
              </w:rPr>
              <w:t>-8,389,272.96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
              <w:jc w:val="right"/>
              <w:rPr>
                <w:rFonts w:ascii="宋体" w:hAnsi="宋体" w:cs="宋体" w:eastAsia="宋体" w:hint="default"/>
                <w:sz w:val="18"/>
                <w:szCs w:val="18"/>
              </w:rPr>
            </w:pPr>
            <w:r>
              <w:rPr>
                <w:rFonts w:ascii="宋体"/>
                <w:spacing w:val="-1"/>
                <w:sz w:val="18"/>
              </w:rPr>
              <w:t>-1,216,215.24</w:t>
            </w:r>
            <w:r>
              <w:rPr>
                <w:rFonts w:ascii="宋体"/>
                <w:sz w:val="18"/>
              </w:rPr>
              <w:t> </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
              <w:jc w:val="right"/>
              <w:rPr>
                <w:rFonts w:ascii="宋体" w:hAnsi="宋体" w:cs="宋体" w:eastAsia="宋体" w:hint="default"/>
                <w:sz w:val="18"/>
                <w:szCs w:val="18"/>
              </w:rPr>
            </w:pPr>
            <w:r>
              <w:rPr>
                <w:rFonts w:ascii="宋体"/>
                <w:spacing w:val="-1"/>
                <w:sz w:val="18"/>
              </w:rPr>
              <w:t>-4,471,530.11</w:t>
            </w:r>
            <w:r>
              <w:rPr>
                <w:rFonts w:ascii="宋体"/>
                <w:sz w:val="18"/>
              </w:rPr>
              <w:t> </w:t>
            </w:r>
          </w:p>
        </w:tc>
      </w:tr>
      <w:tr>
        <w:trPr>
          <w:trHeight w:val="403" w:hRule="exact"/>
        </w:trPr>
        <w:tc>
          <w:tcPr>
            <w:tcW w:w="4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减：所得税影响额</w:t>
            </w:r>
            <w:r>
              <w:rPr>
                <w:rFonts w:ascii="宋体" w:hAnsi="宋体" w:cs="宋体" w:eastAsia="宋体" w:hint="default"/>
                <w:sz w:val="18"/>
                <w:szCs w:val="18"/>
              </w:rPr>
              <w:t> </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8"/>
              <w:jc w:val="right"/>
              <w:rPr>
                <w:rFonts w:ascii="宋体" w:hAnsi="宋体" w:cs="宋体" w:eastAsia="宋体" w:hint="default"/>
                <w:sz w:val="18"/>
                <w:szCs w:val="18"/>
              </w:rPr>
            </w:pPr>
            <w:r>
              <w:rPr>
                <w:rFonts w:ascii="宋体"/>
                <w:spacing w:val="1"/>
                <w:sz w:val="18"/>
              </w:rPr>
              <w:t> </w:t>
            </w:r>
            <w:r>
              <w:rPr>
                <w:rFonts w:ascii="宋体"/>
                <w:spacing w:val="-1"/>
                <w:sz w:val="18"/>
              </w:rPr>
              <w:t>577,628.50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8"/>
              <w:jc w:val="right"/>
              <w:rPr>
                <w:rFonts w:ascii="宋体" w:hAnsi="宋体" w:cs="宋体" w:eastAsia="宋体" w:hint="default"/>
                <w:sz w:val="18"/>
                <w:szCs w:val="18"/>
              </w:rPr>
            </w:pPr>
            <w:r>
              <w:rPr>
                <w:rFonts w:ascii="宋体"/>
                <w:spacing w:val="-1"/>
                <w:sz w:val="18"/>
              </w:rPr>
              <w:t>1,343,582.58</w:t>
            </w:r>
            <w:r>
              <w:rPr>
                <w:rFonts w:ascii="宋体"/>
                <w:sz w:val="18"/>
              </w:rPr>
              <w:t> </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8"/>
              <w:jc w:val="right"/>
              <w:rPr>
                <w:rFonts w:ascii="宋体" w:hAnsi="宋体" w:cs="宋体" w:eastAsia="宋体" w:hint="default"/>
                <w:sz w:val="18"/>
                <w:szCs w:val="18"/>
              </w:rPr>
            </w:pPr>
            <w:r>
              <w:rPr>
                <w:rFonts w:ascii="宋体"/>
                <w:spacing w:val="-1"/>
                <w:sz w:val="18"/>
              </w:rPr>
              <w:t>444,058.72</w:t>
            </w:r>
            <w:r>
              <w:rPr>
                <w:rFonts w:ascii="宋体"/>
                <w:sz w:val="18"/>
              </w:rPr>
              <w:t> </w:t>
            </w:r>
          </w:p>
        </w:tc>
      </w:tr>
      <w:tr>
        <w:trPr>
          <w:trHeight w:val="402" w:hRule="exact"/>
        </w:trPr>
        <w:tc>
          <w:tcPr>
            <w:tcW w:w="496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5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8"/>
              <w:jc w:val="right"/>
              <w:rPr>
                <w:rFonts w:ascii="宋体" w:hAnsi="宋体" w:cs="宋体" w:eastAsia="宋体" w:hint="default"/>
                <w:sz w:val="18"/>
                <w:szCs w:val="18"/>
              </w:rPr>
            </w:pPr>
            <w:r>
              <w:rPr>
                <w:rFonts w:ascii="宋体"/>
                <w:spacing w:val="-1"/>
                <w:sz w:val="18"/>
              </w:rPr>
              <w:t>-36,536,134.89</w:t>
            </w:r>
            <w:r>
              <w:rPr>
                <w:rFonts w:ascii="宋体"/>
                <w:sz w:val="18"/>
              </w:rPr>
              <w:t> </w:t>
            </w:r>
          </w:p>
        </w:tc>
        <w:tc>
          <w:tcPr>
            <w:tcW w:w="15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8"/>
              <w:jc w:val="right"/>
              <w:rPr>
                <w:rFonts w:ascii="宋体" w:hAnsi="宋体" w:cs="宋体" w:eastAsia="宋体" w:hint="default"/>
                <w:sz w:val="18"/>
                <w:szCs w:val="18"/>
              </w:rPr>
            </w:pPr>
            <w:r>
              <w:rPr>
                <w:rFonts w:ascii="宋体"/>
                <w:spacing w:val="-1"/>
                <w:sz w:val="18"/>
              </w:rPr>
              <w:t>8,622,352.51</w:t>
            </w:r>
            <w:r>
              <w:rPr>
                <w:rFonts w:ascii="宋体"/>
                <w:sz w:val="18"/>
              </w:rPr>
              <w:t> </w:t>
            </w:r>
          </w:p>
        </w:tc>
        <w:tc>
          <w:tcPr>
            <w:tcW w:w="15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8"/>
              <w:jc w:val="right"/>
              <w:rPr>
                <w:rFonts w:ascii="宋体" w:hAnsi="宋体" w:cs="宋体" w:eastAsia="宋体" w:hint="default"/>
                <w:sz w:val="18"/>
                <w:szCs w:val="18"/>
              </w:rPr>
            </w:pPr>
            <w:r>
              <w:rPr>
                <w:rFonts w:ascii="宋体"/>
                <w:spacing w:val="-1"/>
                <w:sz w:val="18"/>
              </w:rPr>
              <w:t>1,944,429.56</w:t>
            </w:r>
            <w:r>
              <w:rPr>
                <w:rFonts w:ascii="宋体"/>
                <w:sz w:val="18"/>
              </w:rPr>
              <w:t> </w:t>
            </w:r>
          </w:p>
        </w:tc>
      </w:tr>
    </w:tbl>
    <w:p>
      <w:pPr>
        <w:spacing w:line="240" w:lineRule="auto" w:before="9"/>
        <w:rPr>
          <w:rFonts w:ascii="宋体" w:hAnsi="宋体" w:cs="宋体" w:eastAsia="宋体" w:hint="default"/>
          <w:sz w:val="14"/>
          <w:szCs w:val="14"/>
        </w:rPr>
      </w:pPr>
    </w:p>
    <w:p>
      <w:pPr>
        <w:pStyle w:val="BodyText"/>
        <w:spacing w:line="273" w:lineRule="auto" w:before="36"/>
        <w:ind w:right="1208"/>
        <w:jc w:val="left"/>
        <w:rPr>
          <w:rFonts w:ascii="宋体" w:hAnsi="宋体" w:cs="宋体" w:eastAsia="宋体" w:hint="default"/>
        </w:rPr>
      </w:pPr>
      <w:r>
        <w:rPr>
          <w:rFonts w:ascii="宋体" w:hAnsi="宋体" w:cs="宋体" w:eastAsia="宋体" w:hint="default"/>
          <w:w w:val="100"/>
        </w:rPr>
        <w:t>    </w:t>
      </w:r>
      <w:r>
        <w:rPr/>
        <w:t>注</w:t>
      </w:r>
      <w:r>
        <w:rPr>
          <w:rFonts w:ascii="宋体" w:hAnsi="宋体" w:cs="宋体" w:eastAsia="宋体" w:hint="default"/>
        </w:rPr>
        <w:t>:</w:t>
      </w:r>
      <w:r>
        <w:rPr/>
        <w:t>公司报告期不存在将根据《公开发行证券的公司信息披露解释性公告第</w:t>
      </w:r>
      <w:r>
        <w:rPr>
          <w:spacing w:val="-58"/>
        </w:rPr>
        <w:t> </w:t>
      </w:r>
      <w:r>
        <w:rPr>
          <w:rFonts w:ascii="宋体" w:hAnsi="宋体" w:cs="宋体" w:eastAsia="宋体" w:hint="default"/>
        </w:rPr>
        <w:t>1</w:t>
      </w:r>
      <w:r>
        <w:rPr>
          <w:rFonts w:ascii="宋体" w:hAnsi="宋体" w:cs="宋体" w:eastAsia="宋体" w:hint="default"/>
          <w:spacing w:val="-58"/>
        </w:rPr>
        <w:t> </w:t>
      </w:r>
      <w:r>
        <w:rPr/>
        <w:t>号——非经常性损益》</w:t>
      </w:r>
      <w:r>
        <w:rPr>
          <w:w w:val="100"/>
        </w:rPr>
        <w:t> </w:t>
      </w:r>
      <w:r>
        <w:rPr/>
        <w:t>定义、列举的非经常性损益项目界定为经常性损益的项目的情形。</w:t>
      </w:r>
      <w:r>
        <w:rPr>
          <w:rFonts w:ascii="宋体" w:hAnsi="宋体" w:cs="宋体" w:eastAsia="宋体" w:hint="default"/>
        </w:rPr>
        <w:t> </w:t>
      </w:r>
    </w:p>
    <w:p>
      <w:pPr>
        <w:spacing w:after="0" w:line="273" w:lineRule="auto"/>
        <w:jc w:val="left"/>
        <w:rPr>
          <w:rFonts w:ascii="宋体" w:hAnsi="宋体" w:cs="宋体" w:eastAsia="宋体" w:hint="default"/>
        </w:rPr>
        <w:sectPr>
          <w:pgSz w:w="11910" w:h="16840"/>
          <w:pgMar w:header="880" w:footer="975" w:top="1100" w:bottom="1160" w:left="980" w:right="0"/>
        </w:sectPr>
      </w:pPr>
    </w:p>
    <w:p>
      <w:pPr>
        <w:spacing w:line="240" w:lineRule="auto" w:before="0"/>
        <w:rPr>
          <w:rFonts w:ascii="宋体" w:hAnsi="宋体" w:cs="宋体" w:eastAsia="宋体" w:hint="default"/>
          <w:sz w:val="20"/>
          <w:szCs w:val="20"/>
        </w:rPr>
      </w:pPr>
    </w:p>
    <w:p>
      <w:pPr>
        <w:pStyle w:val="Heading1"/>
        <w:tabs>
          <w:tab w:pos="1286" w:val="left" w:leader="none"/>
        </w:tabs>
        <w:spacing w:line="240" w:lineRule="auto" w:before="176"/>
        <w:ind w:right="983"/>
        <w:jc w:val="center"/>
        <w:rPr>
          <w:b w:val="0"/>
          <w:bCs w:val="0"/>
        </w:rPr>
      </w:pPr>
      <w:bookmarkStart w:name="_bookmark2" w:id="3"/>
      <w:bookmarkEnd w:id="3"/>
      <w:r>
        <w:rPr>
          <w:b w:val="0"/>
          <w:bCs w:val="0"/>
        </w:rPr>
      </w:r>
      <w:r>
        <w:rPr>
          <w:w w:val="95"/>
        </w:rPr>
        <w:t>第三章</w:t>
        <w:tab/>
      </w:r>
      <w:r>
        <w:rPr/>
        <w:t>公司业务概要</w:t>
      </w:r>
      <w:r>
        <w:rPr>
          <w:b w:val="0"/>
          <w:bCs w:val="0"/>
        </w:rPr>
      </w:r>
    </w:p>
    <w:p>
      <w:pPr>
        <w:spacing w:line="240" w:lineRule="auto" w:before="13"/>
        <w:rPr>
          <w:rFonts w:ascii="宋体" w:hAnsi="宋体" w:cs="宋体" w:eastAsia="宋体" w:hint="default"/>
          <w:b/>
          <w:bCs/>
          <w:sz w:val="38"/>
          <w:szCs w:val="38"/>
        </w:rPr>
      </w:pPr>
    </w:p>
    <w:p>
      <w:pPr>
        <w:pStyle w:val="Heading2"/>
        <w:spacing w:line="240" w:lineRule="auto" w:before="0"/>
        <w:ind w:left="635" w:right="1133"/>
        <w:jc w:val="left"/>
        <w:rPr>
          <w:b w:val="0"/>
          <w:bCs w:val="0"/>
        </w:rPr>
      </w:pPr>
      <w:r>
        <w:rPr/>
        <w:t>一、报告期内公司从事的主要业务</w:t>
      </w:r>
      <w:r>
        <w:rPr>
          <w:b w:val="0"/>
          <w:bCs w:val="0"/>
        </w:rPr>
      </w:r>
    </w:p>
    <w:p>
      <w:pPr>
        <w:pStyle w:val="BodyText"/>
        <w:spacing w:line="307" w:lineRule="auto" w:before="143"/>
        <w:ind w:left="573" w:right="1133" w:firstLine="2"/>
        <w:jc w:val="left"/>
      </w:pPr>
      <w:r>
        <w:rPr>
          <w:rFonts w:ascii="宋体" w:hAnsi="宋体" w:cs="宋体" w:eastAsia="宋体" w:hint="default"/>
          <w:b/>
          <w:bCs/>
        </w:rPr>
        <w:t>（一）主要业务</w:t>
      </w:r>
      <w:r>
        <w:rPr>
          <w:rFonts w:ascii="宋体" w:hAnsi="宋体" w:cs="宋体" w:eastAsia="宋体" w:hint="default"/>
          <w:b/>
          <w:bCs/>
          <w:w w:val="99"/>
        </w:rPr>
        <w:t> </w:t>
      </w:r>
      <w:r>
        <w:rPr>
          <w:spacing w:val="-2"/>
        </w:rPr>
        <w:t>公司主要业务为信息智能传输、通信网络维护和金融服务外包。本公司为控股型企业，主要业务由三</w:t>
      </w:r>
    </w:p>
    <w:p>
      <w:pPr>
        <w:pStyle w:val="BodyText"/>
        <w:spacing w:line="253" w:lineRule="exact"/>
        <w:ind w:right="0"/>
        <w:jc w:val="both"/>
      </w:pPr>
      <w:r>
        <w:rPr/>
        <w:t>家全资子公司创世漫道、长实通信和嘉华信息经营，创世漫道主营信息智能传输；长实通信主营通信网络</w:t>
      </w:r>
    </w:p>
    <w:p>
      <w:pPr>
        <w:pStyle w:val="BodyText"/>
        <w:spacing w:line="326" w:lineRule="auto" w:before="37"/>
        <w:ind w:left="573" w:right="1133" w:hanging="421"/>
        <w:jc w:val="left"/>
      </w:pPr>
      <w:r>
        <w:rPr/>
        <w:t>维护；嘉华信息主营信息智能传输和金融服务外包。</w:t>
      </w:r>
      <w:r>
        <w:rPr>
          <w:rFonts w:ascii="宋体" w:hAnsi="宋体" w:cs="宋体" w:eastAsia="宋体" w:hint="default"/>
          <w:w w:val="100"/>
        </w:rPr>
        <w:t> </w:t>
      </w:r>
      <w:r>
        <w:rPr>
          <w:rFonts w:ascii="宋体" w:hAnsi="宋体" w:cs="宋体" w:eastAsia="宋体" w:hint="default"/>
        </w:rPr>
        <w:t>1</w:t>
      </w:r>
      <w:r>
        <w:rPr/>
        <w:t>、信息智能传输业务即创世漫道、嘉华信息利用通信运营商移动通信网络系统及互联网，凭借自主</w:t>
      </w:r>
    </w:p>
    <w:p>
      <w:pPr>
        <w:pStyle w:val="BodyText"/>
        <w:spacing w:line="236" w:lineRule="exact"/>
        <w:ind w:right="0"/>
        <w:jc w:val="both"/>
      </w:pPr>
      <w:r>
        <w:rPr/>
        <w:t>研发的独立系统核心处理平台，向行业分布广泛、数量众多的企业公司、事业单位等客户提供的指定手机</w:t>
      </w:r>
    </w:p>
    <w:p>
      <w:pPr>
        <w:pStyle w:val="BodyText"/>
        <w:spacing w:line="273" w:lineRule="auto" w:before="37"/>
        <w:ind w:right="1126"/>
        <w:jc w:val="both"/>
        <w:rPr>
          <w:rFonts w:ascii="宋体" w:hAnsi="宋体" w:cs="宋体" w:eastAsia="宋体" w:hint="default"/>
        </w:rPr>
      </w:pPr>
      <w:r>
        <w:rPr>
          <w:spacing w:val="-2"/>
        </w:rPr>
        <w:t>用户发送有真实需求的身份验证、提醒通知、信息确认、信息告知等触发类和有真实需求的短信</w:t>
      </w:r>
      <w:r>
        <w:rPr>
          <w:rFonts w:ascii="宋体" w:hAnsi="宋体" w:cs="宋体" w:eastAsia="宋体" w:hint="default"/>
          <w:spacing w:val="-2"/>
        </w:rPr>
        <w:t>(</w:t>
      </w:r>
      <w:r>
        <w:rPr>
          <w:spacing w:val="-2"/>
        </w:rPr>
        <w:t>含彩信</w:t>
      </w:r>
      <w:r>
        <w:rPr>
          <w:rFonts w:ascii="宋体" w:hAnsi="宋体" w:cs="宋体" w:eastAsia="宋体" w:hint="default"/>
          <w:spacing w:val="-2"/>
        </w:rPr>
        <w:t>.</w:t>
      </w:r>
      <w:r>
        <w:rPr>
          <w:rFonts w:ascii="宋体" w:hAnsi="宋体" w:cs="宋体" w:eastAsia="宋体" w:hint="default"/>
          <w:spacing w:val="-44"/>
        </w:rPr>
        <w:t> </w:t>
      </w:r>
      <w:r>
        <w:rPr>
          <w:spacing w:val="-5"/>
        </w:rPr>
        <w:t>下同</w:t>
      </w:r>
      <w:r>
        <w:rPr>
          <w:rFonts w:ascii="宋体" w:hAnsi="宋体" w:cs="宋体" w:eastAsia="宋体" w:hint="default"/>
          <w:spacing w:val="-5"/>
        </w:rPr>
        <w:t>)</w:t>
      </w:r>
      <w:r>
        <w:rPr>
          <w:spacing w:val="-5"/>
        </w:rPr>
        <w:t>，包括文字、图片或语音等格式载体，以及将指定手机用户向客户发送的短信息收集并回传的服务。 </w:t>
      </w:r>
      <w:r>
        <w:rPr/>
        <w:t>同时为客户提供短信发送的各类接口产品及技术支持。</w:t>
      </w:r>
      <w:r>
        <w:rPr>
          <w:rFonts w:ascii="宋体" w:hAnsi="宋体" w:cs="宋体" w:eastAsia="宋体" w:hint="default"/>
        </w:rPr>
        <w:t> </w:t>
      </w:r>
    </w:p>
    <w:p>
      <w:pPr>
        <w:pStyle w:val="BodyText"/>
        <w:spacing w:line="273" w:lineRule="auto" w:before="163"/>
        <w:ind w:right="819" w:firstLine="420"/>
        <w:jc w:val="left"/>
        <w:rPr>
          <w:rFonts w:ascii="宋体" w:hAnsi="宋体" w:cs="宋体" w:eastAsia="宋体" w:hint="default"/>
          <w:sz w:val="18"/>
          <w:szCs w:val="18"/>
        </w:rPr>
      </w:pPr>
      <w:r>
        <w:rPr>
          <w:rFonts w:ascii="宋体" w:hAnsi="宋体" w:cs="宋体" w:eastAsia="宋体" w:hint="default"/>
        </w:rPr>
        <w:t>2</w:t>
      </w:r>
      <w:r>
        <w:rPr/>
        <w:t>、通信网络维护业务主要是由长实通信对通信运营商及铁塔公司所拥有的网络资源实行运行管理、</w:t>
      </w:r>
      <w:r>
        <w:rPr>
          <w:w w:val="100"/>
        </w:rPr>
        <w:t> </w:t>
      </w:r>
      <w:r>
        <w:rPr/>
        <w:t>故障维修及日常维护等全方位的专业技术服务，保障网络正常运行，提高通信网络质量安全和运行效率。</w:t>
      </w:r>
      <w:r>
        <w:rPr>
          <w:spacing w:val="-24"/>
        </w:rPr>
        <w:t> </w:t>
      </w:r>
      <w:r>
        <w:rPr>
          <w:spacing w:val="-24"/>
        </w:rPr>
      </w:r>
      <w:r>
        <w:rPr>
          <w:spacing w:val="-2"/>
        </w:rPr>
        <w:t>维护服务的内容包括基站、线路、宽带接入、固定电话接入、</w:t>
      </w:r>
      <w:r>
        <w:rPr>
          <w:rFonts w:ascii="宋体" w:hAnsi="宋体" w:cs="宋体" w:eastAsia="宋体" w:hint="default"/>
          <w:spacing w:val="-2"/>
        </w:rPr>
        <w:t>WLAN</w:t>
      </w:r>
      <w:r>
        <w:rPr>
          <w:rFonts w:ascii="宋体" w:hAnsi="宋体" w:cs="宋体" w:eastAsia="宋体" w:hint="default"/>
          <w:spacing w:val="22"/>
        </w:rPr>
        <w:t> </w:t>
      </w:r>
      <w:r>
        <w:rPr>
          <w:spacing w:val="-2"/>
        </w:rPr>
        <w:t>的运行管理和维护保障。</w:t>
      </w:r>
      <w:r>
        <w:rPr>
          <w:rFonts w:ascii="宋体" w:hAnsi="宋体" w:cs="宋体" w:eastAsia="宋体" w:hint="default"/>
          <w:sz w:val="18"/>
          <w:szCs w:val="18"/>
        </w:rPr>
        <w:t> </w:t>
      </w:r>
    </w:p>
    <w:p>
      <w:pPr>
        <w:pStyle w:val="BodyText"/>
        <w:spacing w:line="272" w:lineRule="exact" w:before="136"/>
        <w:ind w:right="1127" w:firstLine="420"/>
        <w:jc w:val="both"/>
        <w:rPr>
          <w:rFonts w:ascii="宋体" w:hAnsi="宋体" w:cs="宋体" w:eastAsia="宋体" w:hint="default"/>
        </w:rPr>
      </w:pPr>
      <w:r>
        <w:rPr>
          <w:rFonts w:ascii="宋体" w:hAnsi="宋体" w:cs="宋体" w:eastAsia="宋体" w:hint="default"/>
        </w:rPr>
        <w:t>3</w:t>
      </w:r>
      <w:r>
        <w:rPr/>
        <w:t>、金融服务外包（</w:t>
      </w:r>
      <w:r>
        <w:rPr>
          <w:rFonts w:ascii="宋体" w:hAnsi="宋体" w:cs="宋体" w:eastAsia="宋体" w:hint="default"/>
        </w:rPr>
        <w:t>BPO</w:t>
      </w:r>
      <w:r>
        <w:rPr/>
        <w:t>，</w:t>
      </w:r>
      <w:r>
        <w:rPr>
          <w:rFonts w:ascii="宋体" w:hAnsi="宋体" w:cs="宋体" w:eastAsia="宋体" w:hint="default"/>
        </w:rPr>
        <w:t>Business Process</w:t>
      </w:r>
      <w:r>
        <w:rPr>
          <w:rFonts w:ascii="宋体" w:hAnsi="宋体" w:cs="宋体" w:eastAsia="宋体" w:hint="default"/>
          <w:spacing w:val="-36"/>
        </w:rPr>
        <w:t> </w:t>
      </w:r>
      <w:r>
        <w:rPr>
          <w:rFonts w:ascii="宋体" w:hAnsi="宋体" w:cs="宋体" w:eastAsia="宋体" w:hint="default"/>
        </w:rPr>
        <w:t>Outsourcing</w:t>
      </w:r>
      <w:r>
        <w:rPr/>
        <w:t>）业务主要是嘉华信息以服务外包的形式承</w:t>
      </w:r>
      <w:r>
        <w:rPr>
          <w:w w:val="100"/>
        </w:rPr>
        <w:t> </w:t>
      </w:r>
      <w:r>
        <w:rPr>
          <w:spacing w:val="-2"/>
        </w:rPr>
        <w:t>接银行等金融机构部分日常营销、程序性工作，比如：向银行提供信用卡开卡信息核对、信用卡催收、信</w:t>
      </w:r>
      <w:r>
        <w:rPr>
          <w:spacing w:val="-43"/>
        </w:rPr>
        <w:t> </w:t>
      </w:r>
      <w:r>
        <w:rPr>
          <w:spacing w:val="-43"/>
        </w:rPr>
      </w:r>
      <w:r>
        <w:rPr>
          <w:spacing w:val="-2"/>
        </w:rPr>
        <w:t>用卡账单分期营销等客户服务；使用银行的系统，通过电话外呼形式，帮助银行丰富客户服务、促进客户</w:t>
      </w:r>
      <w:r>
        <w:rPr>
          <w:spacing w:val="-47"/>
        </w:rPr>
        <w:t> </w:t>
      </w:r>
      <w:r>
        <w:rPr>
          <w:spacing w:val="-47"/>
        </w:rPr>
      </w:r>
      <w:r>
        <w:rPr/>
        <w:t>交易、提高客户忠诚度、获得中间业务收入。</w:t>
      </w:r>
      <w:r>
        <w:rPr>
          <w:rFonts w:ascii="宋体" w:hAnsi="宋体" w:cs="宋体" w:eastAsia="宋体" w:hint="default"/>
        </w:rPr>
        <w:t> </w:t>
      </w:r>
    </w:p>
    <w:p>
      <w:pPr>
        <w:pStyle w:val="Heading3"/>
        <w:spacing w:line="240" w:lineRule="auto" w:before="151"/>
        <w:ind w:left="575" w:right="1133"/>
        <w:jc w:val="left"/>
        <w:rPr>
          <w:rFonts w:ascii="宋体" w:hAnsi="宋体" w:cs="宋体" w:eastAsia="宋体" w:hint="default"/>
          <w:b w:val="0"/>
          <w:bCs w:val="0"/>
        </w:rPr>
      </w:pPr>
      <w:r>
        <w:rPr>
          <w:rFonts w:ascii="宋体" w:hAnsi="宋体" w:cs="宋体" w:eastAsia="宋体" w:hint="default"/>
        </w:rPr>
        <w:t>(</w:t>
      </w:r>
      <w:r>
        <w:rPr/>
        <w:t>二</w:t>
      </w:r>
      <w:r>
        <w:rPr>
          <w:rFonts w:ascii="宋体" w:hAnsi="宋体" w:cs="宋体" w:eastAsia="宋体" w:hint="default"/>
        </w:rPr>
        <w:t>)</w:t>
      </w:r>
      <w:r>
        <w:rPr/>
        <w:t>经营模式</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78"/>
        <w:ind w:left="573" w:right="1133"/>
        <w:jc w:val="left"/>
        <w:rPr>
          <w:rFonts w:ascii="宋体" w:hAnsi="宋体" w:cs="宋体" w:eastAsia="宋体" w:hint="default"/>
        </w:rPr>
      </w:pPr>
      <w:r>
        <w:rPr/>
        <w:t>公司主营业务信息智能传输和通信网络维护的经营模式报告期没有变化，经营模式简要如下：</w:t>
      </w:r>
      <w:r>
        <w:rPr>
          <w:rFonts w:ascii="宋体" w:hAnsi="宋体" w:cs="宋体" w:eastAsia="宋体" w:hint="default"/>
        </w:rPr>
        <w:t> </w:t>
      </w:r>
    </w:p>
    <w:p>
      <w:pPr>
        <w:spacing w:line="240" w:lineRule="auto" w:before="2"/>
        <w:rPr>
          <w:rFonts w:ascii="宋体" w:hAnsi="宋体" w:cs="宋体" w:eastAsia="宋体" w:hint="default"/>
          <w:sz w:val="6"/>
          <w:szCs w:val="6"/>
        </w:rPr>
      </w:pPr>
    </w:p>
    <w:tbl>
      <w:tblPr>
        <w:tblW w:w="0" w:type="auto"/>
        <w:jc w:val="left"/>
        <w:tblInd w:w="148" w:type="dxa"/>
        <w:tblLayout w:type="fixed"/>
        <w:tblCellMar>
          <w:top w:w="0" w:type="dxa"/>
          <w:left w:w="0" w:type="dxa"/>
          <w:bottom w:w="0" w:type="dxa"/>
          <w:right w:w="0" w:type="dxa"/>
        </w:tblCellMar>
        <w:tblLook w:val="01E0"/>
      </w:tblPr>
      <w:tblGrid>
        <w:gridCol w:w="994"/>
        <w:gridCol w:w="8646"/>
      </w:tblGrid>
      <w:tr>
        <w:trPr>
          <w:trHeight w:val="401" w:hRule="exact"/>
        </w:trPr>
        <w:tc>
          <w:tcPr>
            <w:tcW w:w="9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39"/>
              <w:jc w:val="right"/>
              <w:rPr>
                <w:rFonts w:ascii="宋体" w:hAnsi="宋体" w:cs="宋体" w:eastAsia="宋体" w:hint="default"/>
                <w:sz w:val="18"/>
                <w:szCs w:val="18"/>
              </w:rPr>
            </w:pPr>
            <w:r>
              <w:rPr>
                <w:rFonts w:ascii="宋体" w:hAnsi="宋体" w:cs="宋体" w:eastAsia="宋体" w:hint="default"/>
                <w:sz w:val="18"/>
                <w:szCs w:val="18"/>
              </w:rPr>
              <w:t>业务类型</w:t>
            </w:r>
            <w:r>
              <w:rPr>
                <w:rFonts w:ascii="宋体" w:hAnsi="宋体" w:cs="宋体" w:eastAsia="宋体" w:hint="default"/>
                <w:sz w:val="18"/>
                <w:szCs w:val="18"/>
              </w:rPr>
              <w:t> </w:t>
            </w:r>
          </w:p>
        </w:tc>
        <w:tc>
          <w:tcPr>
            <w:tcW w:w="86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3686"/>
              <w:jc w:val="right"/>
              <w:rPr>
                <w:rFonts w:ascii="宋体" w:hAnsi="宋体" w:cs="宋体" w:eastAsia="宋体" w:hint="default"/>
                <w:sz w:val="18"/>
                <w:szCs w:val="18"/>
              </w:rPr>
            </w:pPr>
            <w:r>
              <w:rPr>
                <w:rFonts w:ascii="宋体" w:hAnsi="宋体" w:cs="宋体" w:eastAsia="宋体" w:hint="default"/>
                <w:sz w:val="18"/>
                <w:szCs w:val="18"/>
              </w:rPr>
              <w:t>信息智能传输</w:t>
            </w:r>
            <w:r>
              <w:rPr>
                <w:rFonts w:ascii="宋体" w:hAnsi="宋体" w:cs="宋体" w:eastAsia="宋体" w:hint="default"/>
                <w:sz w:val="18"/>
                <w:szCs w:val="18"/>
              </w:rPr>
              <w:t> </w:t>
            </w:r>
          </w:p>
        </w:tc>
      </w:tr>
      <w:tr>
        <w:trPr>
          <w:trHeight w:val="790"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right="68"/>
              <w:jc w:val="right"/>
              <w:rPr>
                <w:rFonts w:ascii="宋体" w:hAnsi="宋体" w:cs="宋体" w:eastAsia="宋体" w:hint="default"/>
                <w:sz w:val="18"/>
                <w:szCs w:val="18"/>
              </w:rPr>
            </w:pPr>
            <w:r>
              <w:rPr>
                <w:rFonts w:ascii="宋体" w:hAnsi="宋体" w:cs="宋体" w:eastAsia="宋体" w:hint="default"/>
                <w:sz w:val="18"/>
                <w:szCs w:val="18"/>
              </w:rPr>
              <w:t>盈利模式</w:t>
            </w:r>
            <w:r>
              <w:rPr>
                <w:rFonts w:ascii="宋体" w:hAnsi="宋体" w:cs="宋体" w:eastAsia="宋体" w:hint="default"/>
                <w:sz w:val="18"/>
                <w:szCs w:val="18"/>
              </w:rPr>
              <w:t> </w:t>
            </w:r>
          </w:p>
        </w:tc>
        <w:tc>
          <w:tcPr>
            <w:tcW w:w="8646"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13"/>
              <w:ind w:left="103" w:right="100"/>
              <w:jc w:val="both"/>
              <w:rPr>
                <w:rFonts w:ascii="宋体" w:hAnsi="宋体" w:cs="宋体" w:eastAsia="宋体" w:hint="default"/>
                <w:sz w:val="18"/>
                <w:szCs w:val="18"/>
              </w:rPr>
            </w:pPr>
            <w:r>
              <w:rPr>
                <w:rFonts w:ascii="宋体" w:hAnsi="宋体" w:cs="宋体" w:eastAsia="宋体" w:hint="default"/>
                <w:spacing w:val="2"/>
                <w:sz w:val="18"/>
                <w:szCs w:val="18"/>
              </w:rPr>
              <w:t>主要为通过向客户提供短彩信发送服务收取费用，以及电信运营商根据短信发送量支付的业务酬金获取收</w:t>
            </w:r>
            <w:r>
              <w:rPr>
                <w:rFonts w:ascii="宋体" w:hAnsi="宋体" w:cs="宋体" w:eastAsia="宋体" w:hint="default"/>
                <w:spacing w:val="-61"/>
                <w:sz w:val="18"/>
                <w:szCs w:val="18"/>
              </w:rPr>
              <w:t> </w:t>
            </w:r>
            <w:r>
              <w:rPr>
                <w:rFonts w:ascii="宋体" w:hAnsi="宋体" w:cs="宋体" w:eastAsia="宋体" w:hint="default"/>
                <w:spacing w:val="-61"/>
                <w:sz w:val="18"/>
                <w:szCs w:val="18"/>
              </w:rPr>
            </w:r>
            <w:r>
              <w:rPr>
                <w:rFonts w:ascii="宋体" w:hAnsi="宋体" w:cs="宋体" w:eastAsia="宋体" w:hint="default"/>
                <w:spacing w:val="-1"/>
                <w:sz w:val="18"/>
                <w:szCs w:val="18"/>
              </w:rPr>
              <w:t>入，支付电信运营商按照价格标准及短信发送量收取的短信业务资费为主要成本。按照短彩信发送服务量收</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取的客户费用，构成创世漫道、嘉华信息主要的收入来源。</w:t>
            </w:r>
            <w:r>
              <w:rPr>
                <w:rFonts w:ascii="宋体" w:hAnsi="宋体" w:cs="宋体" w:eastAsia="宋体" w:hint="default"/>
                <w:sz w:val="18"/>
                <w:szCs w:val="18"/>
              </w:rPr>
              <w:t> </w:t>
            </w:r>
          </w:p>
        </w:tc>
      </w:tr>
      <w:tr>
        <w:trPr>
          <w:trHeight w:val="792"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68"/>
              <w:jc w:val="right"/>
              <w:rPr>
                <w:rFonts w:ascii="宋体" w:hAnsi="宋体" w:cs="宋体" w:eastAsia="宋体" w:hint="default"/>
                <w:sz w:val="18"/>
                <w:szCs w:val="18"/>
              </w:rPr>
            </w:pPr>
            <w:r>
              <w:rPr>
                <w:rFonts w:ascii="宋体" w:hAnsi="宋体" w:cs="宋体" w:eastAsia="宋体" w:hint="default"/>
                <w:sz w:val="18"/>
                <w:szCs w:val="18"/>
              </w:rPr>
              <w:t>采购模式</w:t>
            </w:r>
            <w:r>
              <w:rPr>
                <w:rFonts w:ascii="宋体" w:hAnsi="宋体" w:cs="宋体" w:eastAsia="宋体" w:hint="default"/>
                <w:sz w:val="18"/>
                <w:szCs w:val="18"/>
              </w:rPr>
              <w:t> </w:t>
            </w:r>
          </w:p>
        </w:tc>
        <w:tc>
          <w:tcPr>
            <w:tcW w:w="8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100"/>
              <w:jc w:val="both"/>
              <w:rPr>
                <w:rFonts w:ascii="宋体" w:hAnsi="宋体" w:cs="宋体" w:eastAsia="宋体" w:hint="default"/>
                <w:sz w:val="18"/>
                <w:szCs w:val="18"/>
              </w:rPr>
            </w:pPr>
            <w:r>
              <w:rPr>
                <w:rFonts w:ascii="宋体" w:hAnsi="宋体" w:cs="宋体" w:eastAsia="宋体" w:hint="default"/>
                <w:spacing w:val="-1"/>
                <w:sz w:val="18"/>
                <w:szCs w:val="18"/>
              </w:rPr>
              <w:t>在全国范围内寻找电信运营商适宜的全网短信通道资源，扩充通道规模；以及对已接入的短信通道资源进行</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pacing w:val="-1"/>
                <w:sz w:val="18"/>
                <w:szCs w:val="18"/>
              </w:rPr>
              <w:t>维护管理。采购对象为电信运营商的各地方公司以及与该等运营商具有合作关系并具备相应资质的第三方公</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司。</w:t>
            </w:r>
            <w:r>
              <w:rPr>
                <w:rFonts w:ascii="宋体" w:hAnsi="宋体" w:cs="宋体" w:eastAsia="宋体" w:hint="default"/>
                <w:sz w:val="18"/>
                <w:szCs w:val="18"/>
              </w:rPr>
              <w:t> </w:t>
            </w:r>
          </w:p>
        </w:tc>
      </w:tr>
      <w:tr>
        <w:trPr>
          <w:trHeight w:val="557"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68"/>
              <w:jc w:val="right"/>
              <w:rPr>
                <w:rFonts w:ascii="宋体" w:hAnsi="宋体" w:cs="宋体" w:eastAsia="宋体" w:hint="default"/>
                <w:sz w:val="18"/>
                <w:szCs w:val="18"/>
              </w:rPr>
            </w:pPr>
            <w:r>
              <w:rPr>
                <w:rFonts w:ascii="宋体" w:hAnsi="宋体" w:cs="宋体" w:eastAsia="宋体" w:hint="default"/>
                <w:sz w:val="18"/>
                <w:szCs w:val="18"/>
              </w:rPr>
              <w:t>销售模式</w:t>
            </w:r>
            <w:r>
              <w:rPr>
                <w:rFonts w:ascii="宋体" w:hAnsi="宋体" w:cs="宋体" w:eastAsia="宋体" w:hint="default"/>
                <w:sz w:val="18"/>
                <w:szCs w:val="18"/>
              </w:rPr>
              <w:t> </w:t>
            </w:r>
          </w:p>
        </w:tc>
        <w:tc>
          <w:tcPr>
            <w:tcW w:w="8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95"/>
              <w:jc w:val="left"/>
              <w:rPr>
                <w:rFonts w:ascii="宋体" w:hAnsi="宋体" w:cs="宋体" w:eastAsia="宋体" w:hint="default"/>
                <w:sz w:val="18"/>
                <w:szCs w:val="18"/>
              </w:rPr>
            </w:pPr>
            <w:r>
              <w:rPr>
                <w:rFonts w:ascii="宋体" w:hAnsi="宋体" w:cs="宋体" w:eastAsia="宋体" w:hint="default"/>
                <w:sz w:val="18"/>
                <w:szCs w:val="18"/>
              </w:rPr>
              <w:t>有直接与终端企业客户</w:t>
            </w:r>
            <w:r>
              <w:rPr>
                <w:rFonts w:ascii="宋体" w:hAnsi="宋体" w:cs="宋体" w:eastAsia="宋体" w:hint="default"/>
                <w:sz w:val="18"/>
                <w:szCs w:val="18"/>
              </w:rPr>
              <w:t>(</w:t>
            </w:r>
            <w:r>
              <w:rPr>
                <w:rFonts w:ascii="宋体" w:hAnsi="宋体" w:cs="宋体" w:eastAsia="宋体" w:hint="default"/>
                <w:sz w:val="18"/>
                <w:szCs w:val="18"/>
              </w:rPr>
              <w:t>指全国范围内的主要大客户</w:t>
            </w:r>
            <w:r>
              <w:rPr>
                <w:rFonts w:ascii="宋体" w:hAnsi="宋体" w:cs="宋体" w:eastAsia="宋体" w:hint="default"/>
                <w:sz w:val="18"/>
                <w:szCs w:val="18"/>
              </w:rPr>
              <w:t>)</w:t>
            </w:r>
            <w:r>
              <w:rPr>
                <w:rFonts w:ascii="宋体" w:hAnsi="宋体" w:cs="宋体" w:eastAsia="宋体" w:hint="default"/>
                <w:sz w:val="18"/>
                <w:szCs w:val="18"/>
              </w:rPr>
              <w:t>签约发送短信的直接销售模式，有与渠道代理商</w:t>
            </w:r>
            <w:r>
              <w:rPr>
                <w:rFonts w:ascii="宋体" w:hAnsi="宋体" w:cs="宋体" w:eastAsia="宋体" w:hint="default"/>
                <w:sz w:val="18"/>
                <w:szCs w:val="18"/>
              </w:rPr>
              <w:t>(</w:t>
            </w:r>
            <w:r>
              <w:rPr>
                <w:rFonts w:ascii="宋体" w:hAnsi="宋体" w:cs="宋体" w:eastAsia="宋体" w:hint="default"/>
                <w:sz w:val="18"/>
                <w:szCs w:val="18"/>
              </w:rPr>
              <w:t>其对</w:t>
            </w:r>
            <w:r>
              <w:rPr>
                <w:rFonts w:ascii="宋体" w:hAnsi="宋体" w:cs="宋体" w:eastAsia="宋体" w:hint="default"/>
                <w:spacing w:val="-31"/>
                <w:sz w:val="18"/>
                <w:szCs w:val="18"/>
              </w:rPr>
              <w:t> </w:t>
            </w:r>
            <w:r>
              <w:rPr>
                <w:rFonts w:ascii="宋体" w:hAnsi="宋体" w:cs="宋体" w:eastAsia="宋体" w:hint="default"/>
                <w:sz w:val="18"/>
                <w:szCs w:val="18"/>
              </w:rPr>
              <w:t>接大量分散的中小客户</w:t>
            </w:r>
            <w:r>
              <w:rPr>
                <w:rFonts w:ascii="宋体" w:hAnsi="宋体" w:cs="宋体" w:eastAsia="宋体" w:hint="default"/>
                <w:sz w:val="18"/>
                <w:szCs w:val="18"/>
              </w:rPr>
              <w:t>)</w:t>
            </w:r>
            <w:r>
              <w:rPr>
                <w:rFonts w:ascii="宋体" w:hAnsi="宋体" w:cs="宋体" w:eastAsia="宋体" w:hint="default"/>
                <w:sz w:val="18"/>
                <w:szCs w:val="18"/>
              </w:rPr>
              <w:t>签约销售的渠道销售模式。</w:t>
            </w:r>
            <w:r>
              <w:rPr>
                <w:rFonts w:ascii="宋体" w:hAnsi="宋体" w:cs="宋体" w:eastAsia="宋体" w:hint="default"/>
                <w:sz w:val="18"/>
                <w:szCs w:val="18"/>
              </w:rPr>
              <w:t> </w:t>
            </w:r>
          </w:p>
        </w:tc>
      </w:tr>
      <w:tr>
        <w:trPr>
          <w:trHeight w:val="557"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68"/>
              <w:jc w:val="right"/>
              <w:rPr>
                <w:rFonts w:ascii="宋体" w:hAnsi="宋体" w:cs="宋体" w:eastAsia="宋体" w:hint="default"/>
                <w:sz w:val="18"/>
                <w:szCs w:val="18"/>
              </w:rPr>
            </w:pPr>
            <w:r>
              <w:rPr>
                <w:rFonts w:ascii="宋体" w:hAnsi="宋体" w:cs="宋体" w:eastAsia="宋体" w:hint="default"/>
                <w:sz w:val="18"/>
                <w:szCs w:val="18"/>
              </w:rPr>
              <w:t>结算模式</w:t>
            </w:r>
            <w:r>
              <w:rPr>
                <w:rFonts w:ascii="宋体" w:hAnsi="宋体" w:cs="宋体" w:eastAsia="宋体" w:hint="default"/>
                <w:sz w:val="18"/>
                <w:szCs w:val="18"/>
              </w:rPr>
              <w:t> </w:t>
            </w:r>
          </w:p>
        </w:tc>
        <w:tc>
          <w:tcPr>
            <w:tcW w:w="8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11"/>
              <w:jc w:val="left"/>
              <w:rPr>
                <w:rFonts w:ascii="宋体" w:hAnsi="宋体" w:cs="宋体" w:eastAsia="宋体" w:hint="default"/>
                <w:sz w:val="18"/>
                <w:szCs w:val="18"/>
              </w:rPr>
            </w:pPr>
            <w:r>
              <w:rPr>
                <w:rFonts w:ascii="宋体" w:hAnsi="宋体" w:cs="宋体" w:eastAsia="宋体" w:hint="default"/>
                <w:spacing w:val="-3"/>
                <w:sz w:val="18"/>
                <w:szCs w:val="18"/>
              </w:rPr>
              <w:t>有预付费模式，要求客户签约后先向指定账户支付预付费用；对实力较强的直接销售客户及少数渠道代理商，</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如果短信发送业务量较大，可实行后付费模式。</w:t>
            </w:r>
            <w:r>
              <w:rPr>
                <w:rFonts w:ascii="宋体" w:hAnsi="宋体" w:cs="宋体" w:eastAsia="宋体" w:hint="default"/>
                <w:sz w:val="18"/>
                <w:szCs w:val="18"/>
              </w:rPr>
              <w:t> </w:t>
            </w:r>
          </w:p>
        </w:tc>
      </w:tr>
      <w:tr>
        <w:trPr>
          <w:trHeight w:val="398" w:hRule="exact"/>
        </w:trPr>
        <w:tc>
          <w:tcPr>
            <w:tcW w:w="9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sz w:val="18"/>
              </w:rPr>
              <w:t> </w:t>
            </w:r>
          </w:p>
        </w:tc>
      </w:tr>
      <w:tr>
        <w:trPr>
          <w:trHeight w:val="401" w:hRule="exact"/>
        </w:trPr>
        <w:tc>
          <w:tcPr>
            <w:tcW w:w="9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39"/>
              <w:jc w:val="right"/>
              <w:rPr>
                <w:rFonts w:ascii="宋体" w:hAnsi="宋体" w:cs="宋体" w:eastAsia="宋体" w:hint="default"/>
                <w:sz w:val="18"/>
                <w:szCs w:val="18"/>
              </w:rPr>
            </w:pPr>
            <w:r>
              <w:rPr>
                <w:rFonts w:ascii="宋体" w:hAnsi="宋体" w:cs="宋体" w:eastAsia="宋体" w:hint="default"/>
                <w:sz w:val="18"/>
                <w:szCs w:val="18"/>
              </w:rPr>
              <w:t>业务类型</w:t>
            </w:r>
            <w:r>
              <w:rPr>
                <w:rFonts w:ascii="宋体" w:hAnsi="宋体" w:cs="宋体" w:eastAsia="宋体" w:hint="default"/>
                <w:sz w:val="18"/>
                <w:szCs w:val="18"/>
              </w:rPr>
              <w:t> </w:t>
            </w:r>
          </w:p>
        </w:tc>
        <w:tc>
          <w:tcPr>
            <w:tcW w:w="86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3686"/>
              <w:jc w:val="right"/>
              <w:rPr>
                <w:rFonts w:ascii="宋体" w:hAnsi="宋体" w:cs="宋体" w:eastAsia="宋体" w:hint="default"/>
                <w:sz w:val="18"/>
                <w:szCs w:val="18"/>
              </w:rPr>
            </w:pPr>
            <w:r>
              <w:rPr>
                <w:rFonts w:ascii="宋体" w:hAnsi="宋体" w:cs="宋体" w:eastAsia="宋体" w:hint="default"/>
                <w:sz w:val="18"/>
                <w:szCs w:val="18"/>
              </w:rPr>
              <w:t>通信网络维护</w:t>
            </w:r>
            <w:r>
              <w:rPr>
                <w:rFonts w:ascii="宋体" w:hAnsi="宋体" w:cs="宋体" w:eastAsia="宋体" w:hint="default"/>
                <w:sz w:val="18"/>
                <w:szCs w:val="18"/>
              </w:rPr>
              <w:t> </w:t>
            </w:r>
          </w:p>
        </w:tc>
      </w:tr>
      <w:tr>
        <w:trPr>
          <w:trHeight w:val="557"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1"/>
              <w:ind w:right="68"/>
              <w:jc w:val="right"/>
              <w:rPr>
                <w:rFonts w:ascii="宋体" w:hAnsi="宋体" w:cs="宋体" w:eastAsia="宋体" w:hint="default"/>
                <w:sz w:val="18"/>
                <w:szCs w:val="18"/>
              </w:rPr>
            </w:pPr>
            <w:r>
              <w:rPr>
                <w:rFonts w:ascii="宋体" w:hAnsi="宋体" w:cs="宋体" w:eastAsia="宋体" w:hint="default"/>
                <w:sz w:val="18"/>
                <w:szCs w:val="18"/>
              </w:rPr>
              <w:t>盈利模式</w:t>
            </w:r>
            <w:r>
              <w:rPr>
                <w:rFonts w:ascii="宋体" w:hAnsi="宋体" w:cs="宋体" w:eastAsia="宋体" w:hint="default"/>
                <w:sz w:val="18"/>
                <w:szCs w:val="18"/>
              </w:rPr>
              <w:t> </w:t>
            </w:r>
          </w:p>
        </w:tc>
        <w:tc>
          <w:tcPr>
            <w:tcW w:w="8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100"/>
              <w:jc w:val="left"/>
              <w:rPr>
                <w:rFonts w:ascii="宋体" w:hAnsi="宋体" w:cs="宋体" w:eastAsia="宋体" w:hint="default"/>
                <w:sz w:val="18"/>
                <w:szCs w:val="18"/>
              </w:rPr>
            </w:pPr>
            <w:r>
              <w:rPr>
                <w:rFonts w:ascii="宋体" w:hAnsi="宋体" w:cs="宋体" w:eastAsia="宋体" w:hint="default"/>
                <w:spacing w:val="-1"/>
                <w:sz w:val="18"/>
                <w:szCs w:val="18"/>
              </w:rPr>
              <w:t>通过公开投标中标或少数邀请投标中标，与通信运营商和铁塔公司签约提供通信网络维护服务取得收入，维</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护发生的人工、材料等支出为主要成本。</w:t>
            </w:r>
            <w:r>
              <w:rPr>
                <w:rFonts w:ascii="宋体" w:hAnsi="宋体" w:cs="宋体" w:eastAsia="宋体" w:hint="default"/>
                <w:sz w:val="18"/>
                <w:szCs w:val="18"/>
              </w:rPr>
              <w:t> </w:t>
            </w:r>
          </w:p>
        </w:tc>
      </w:tr>
      <w:tr>
        <w:trPr>
          <w:trHeight w:val="559"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right="68"/>
              <w:jc w:val="right"/>
              <w:rPr>
                <w:rFonts w:ascii="宋体" w:hAnsi="宋体" w:cs="宋体" w:eastAsia="宋体" w:hint="default"/>
                <w:sz w:val="18"/>
                <w:szCs w:val="18"/>
              </w:rPr>
            </w:pPr>
            <w:r>
              <w:rPr>
                <w:rFonts w:ascii="宋体" w:hAnsi="宋体" w:cs="宋体" w:eastAsia="宋体" w:hint="default"/>
                <w:sz w:val="18"/>
                <w:szCs w:val="18"/>
              </w:rPr>
              <w:t>采购模式</w:t>
            </w:r>
            <w:r>
              <w:rPr>
                <w:rFonts w:ascii="宋体" w:hAnsi="宋体" w:cs="宋体" w:eastAsia="宋体" w:hint="default"/>
                <w:sz w:val="18"/>
                <w:szCs w:val="18"/>
              </w:rPr>
              <w:t> </w:t>
            </w:r>
          </w:p>
        </w:tc>
        <w:tc>
          <w:tcPr>
            <w:tcW w:w="8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98"/>
              <w:jc w:val="left"/>
              <w:rPr>
                <w:rFonts w:ascii="宋体" w:hAnsi="宋体" w:cs="宋体" w:eastAsia="宋体" w:hint="default"/>
                <w:sz w:val="18"/>
                <w:szCs w:val="18"/>
              </w:rPr>
            </w:pPr>
            <w:r>
              <w:rPr>
                <w:rFonts w:ascii="宋体" w:hAnsi="宋体" w:cs="宋体" w:eastAsia="宋体" w:hint="default"/>
                <w:spacing w:val="-1"/>
                <w:sz w:val="18"/>
                <w:szCs w:val="18"/>
              </w:rPr>
              <w:t>对于大宗维护所需设备、常用材料采取集中采购模式，集中询价、确定供应商、安排购买；对维护区域内无</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确定供应商的材料采取就近采购模式；对不常使用的辅助材料采取零星采购模式。</w:t>
            </w:r>
            <w:r>
              <w:rPr>
                <w:rFonts w:ascii="宋体" w:hAnsi="宋体" w:cs="宋体" w:eastAsia="宋体" w:hint="default"/>
                <w:sz w:val="18"/>
                <w:szCs w:val="18"/>
              </w:rPr>
              <w:t> </w:t>
            </w:r>
          </w:p>
        </w:tc>
      </w:tr>
      <w:tr>
        <w:trPr>
          <w:trHeight w:val="557"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68"/>
              <w:jc w:val="right"/>
              <w:rPr>
                <w:rFonts w:ascii="宋体" w:hAnsi="宋体" w:cs="宋体" w:eastAsia="宋体" w:hint="default"/>
                <w:sz w:val="18"/>
                <w:szCs w:val="18"/>
              </w:rPr>
            </w:pPr>
            <w:r>
              <w:rPr>
                <w:rFonts w:ascii="宋体" w:hAnsi="宋体" w:cs="宋体" w:eastAsia="宋体" w:hint="default"/>
                <w:sz w:val="18"/>
                <w:szCs w:val="18"/>
              </w:rPr>
              <w:t>销售模式</w:t>
            </w:r>
            <w:r>
              <w:rPr>
                <w:rFonts w:ascii="宋体" w:hAnsi="宋体" w:cs="宋体" w:eastAsia="宋体" w:hint="default"/>
                <w:sz w:val="18"/>
                <w:szCs w:val="18"/>
              </w:rPr>
              <w:t> </w:t>
            </w:r>
          </w:p>
        </w:tc>
        <w:tc>
          <w:tcPr>
            <w:tcW w:w="8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100"/>
              <w:jc w:val="left"/>
              <w:rPr>
                <w:rFonts w:ascii="宋体" w:hAnsi="宋体" w:cs="宋体" w:eastAsia="宋体" w:hint="default"/>
                <w:sz w:val="18"/>
                <w:szCs w:val="18"/>
              </w:rPr>
            </w:pPr>
            <w:r>
              <w:rPr>
                <w:rFonts w:ascii="宋体" w:hAnsi="宋体" w:cs="宋体" w:eastAsia="宋体" w:hint="default"/>
                <w:spacing w:val="-1"/>
                <w:sz w:val="18"/>
                <w:szCs w:val="18"/>
              </w:rPr>
              <w:t>收到招标邀请或者通过公开渠道获取招投标信息。根据客户要求投标、竞标，中标签署销售服务合同后，先</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垫付资金组织进行网络维护的实施工作，并按期接受委托方的考核。</w:t>
            </w:r>
            <w:r>
              <w:rPr>
                <w:rFonts w:ascii="宋体" w:hAnsi="宋体" w:cs="宋体" w:eastAsia="宋体" w:hint="default"/>
                <w:sz w:val="18"/>
                <w:szCs w:val="18"/>
              </w:rPr>
              <w:t> </w:t>
            </w:r>
          </w:p>
        </w:tc>
      </w:tr>
      <w:tr>
        <w:trPr>
          <w:trHeight w:val="790"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68"/>
              <w:jc w:val="right"/>
              <w:rPr>
                <w:rFonts w:ascii="宋体" w:hAnsi="宋体" w:cs="宋体" w:eastAsia="宋体" w:hint="default"/>
                <w:sz w:val="18"/>
                <w:szCs w:val="18"/>
              </w:rPr>
            </w:pPr>
            <w:r>
              <w:rPr>
                <w:rFonts w:ascii="宋体" w:hAnsi="宋体" w:cs="宋体" w:eastAsia="宋体" w:hint="default"/>
                <w:sz w:val="18"/>
                <w:szCs w:val="18"/>
              </w:rPr>
              <w:t>结算模式</w:t>
            </w:r>
            <w:r>
              <w:rPr>
                <w:rFonts w:ascii="宋体" w:hAnsi="宋体" w:cs="宋体" w:eastAsia="宋体" w:hint="default"/>
                <w:sz w:val="18"/>
                <w:szCs w:val="18"/>
              </w:rPr>
              <w:t> </w:t>
            </w:r>
          </w:p>
        </w:tc>
        <w:tc>
          <w:tcPr>
            <w:tcW w:w="8646"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12"/>
              <w:ind w:left="103" w:right="99"/>
              <w:jc w:val="both"/>
              <w:rPr>
                <w:rFonts w:ascii="宋体" w:hAnsi="宋体" w:cs="宋体" w:eastAsia="宋体" w:hint="default"/>
                <w:sz w:val="18"/>
                <w:szCs w:val="18"/>
              </w:rPr>
            </w:pPr>
            <w:r>
              <w:rPr>
                <w:rFonts w:ascii="宋体" w:hAnsi="宋体" w:cs="宋体" w:eastAsia="宋体" w:hint="default"/>
                <w:spacing w:val="-1"/>
                <w:sz w:val="18"/>
                <w:szCs w:val="18"/>
              </w:rPr>
              <w:t>通信运营商根据与公司签订的服务协议，按月或按季度对公司的通信网络维护和优化业务进行考核，公司根</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pacing w:val="-1"/>
                <w:sz w:val="18"/>
                <w:szCs w:val="18"/>
              </w:rPr>
              <w:t>据考核评分结果向运营商确认服务费用金额，通信运营商在收到公司开具的发票后一定期限内，向公司支付</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服务费。</w:t>
            </w:r>
            <w:r>
              <w:rPr>
                <w:rFonts w:ascii="宋体" w:hAnsi="宋体" w:cs="宋体" w:eastAsia="宋体" w:hint="default"/>
                <w:sz w:val="18"/>
                <w:szCs w:val="18"/>
              </w:rPr>
              <w:t> </w:t>
            </w:r>
          </w:p>
        </w:tc>
      </w:tr>
    </w:tbl>
    <w:p>
      <w:pPr>
        <w:spacing w:after="0" w:line="237" w:lineRule="auto"/>
        <w:jc w:val="both"/>
        <w:rPr>
          <w:rFonts w:ascii="宋体" w:hAnsi="宋体" w:cs="宋体" w:eastAsia="宋体" w:hint="default"/>
          <w:sz w:val="18"/>
          <w:szCs w:val="18"/>
        </w:rPr>
        <w:sectPr>
          <w:pgSz w:w="11910" w:h="16840"/>
          <w:pgMar w:header="880" w:footer="975" w:top="1100" w:bottom="1160" w:left="980" w:right="0"/>
        </w:sectPr>
      </w:pPr>
    </w:p>
    <w:p>
      <w:pPr>
        <w:spacing w:line="240" w:lineRule="auto" w:before="8"/>
        <w:rPr>
          <w:rFonts w:ascii="宋体" w:hAnsi="宋体" w:cs="宋体" w:eastAsia="宋体" w:hint="default"/>
          <w:sz w:val="24"/>
          <w:szCs w:val="24"/>
        </w:rPr>
      </w:pPr>
    </w:p>
    <w:tbl>
      <w:tblPr>
        <w:tblW w:w="0" w:type="auto"/>
        <w:jc w:val="left"/>
        <w:tblInd w:w="148" w:type="dxa"/>
        <w:tblLayout w:type="fixed"/>
        <w:tblCellMar>
          <w:top w:w="0" w:type="dxa"/>
          <w:left w:w="0" w:type="dxa"/>
          <w:bottom w:w="0" w:type="dxa"/>
          <w:right w:w="0" w:type="dxa"/>
        </w:tblCellMar>
        <w:tblLook w:val="01E0"/>
      </w:tblPr>
      <w:tblGrid>
        <w:gridCol w:w="994"/>
        <w:gridCol w:w="8646"/>
      </w:tblGrid>
      <w:tr>
        <w:trPr>
          <w:trHeight w:val="324" w:hRule="exact"/>
        </w:trPr>
        <w:tc>
          <w:tcPr>
            <w:tcW w:w="96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sz w:val="18"/>
              </w:rPr>
              <w:t> </w:t>
            </w:r>
          </w:p>
        </w:tc>
      </w:tr>
      <w:tr>
        <w:trPr>
          <w:trHeight w:val="401" w:hRule="exact"/>
        </w:trPr>
        <w:tc>
          <w:tcPr>
            <w:tcW w:w="9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right="39"/>
              <w:jc w:val="right"/>
              <w:rPr>
                <w:rFonts w:ascii="宋体" w:hAnsi="宋体" w:cs="宋体" w:eastAsia="宋体" w:hint="default"/>
                <w:sz w:val="18"/>
                <w:szCs w:val="18"/>
              </w:rPr>
            </w:pPr>
            <w:r>
              <w:rPr>
                <w:rFonts w:ascii="宋体" w:hAnsi="宋体" w:cs="宋体" w:eastAsia="宋体" w:hint="default"/>
                <w:sz w:val="18"/>
                <w:szCs w:val="18"/>
              </w:rPr>
              <w:t>业务类型</w:t>
            </w:r>
            <w:r>
              <w:rPr>
                <w:rFonts w:ascii="宋体" w:hAnsi="宋体" w:cs="宋体" w:eastAsia="宋体" w:hint="default"/>
                <w:sz w:val="18"/>
                <w:szCs w:val="18"/>
              </w:rPr>
              <w:t> </w:t>
            </w:r>
          </w:p>
        </w:tc>
        <w:tc>
          <w:tcPr>
            <w:tcW w:w="864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90" w:right="0"/>
              <w:jc w:val="center"/>
              <w:rPr>
                <w:rFonts w:ascii="宋体" w:hAnsi="宋体" w:cs="宋体" w:eastAsia="宋体" w:hint="default"/>
                <w:sz w:val="18"/>
                <w:szCs w:val="18"/>
              </w:rPr>
            </w:pPr>
            <w:r>
              <w:rPr>
                <w:rFonts w:ascii="宋体" w:hAnsi="宋体" w:cs="宋体" w:eastAsia="宋体" w:hint="default"/>
                <w:sz w:val="18"/>
                <w:szCs w:val="18"/>
              </w:rPr>
              <w:t>金融服务外包</w:t>
            </w:r>
            <w:r>
              <w:rPr>
                <w:rFonts w:ascii="宋体" w:hAnsi="宋体" w:cs="宋体" w:eastAsia="宋体" w:hint="default"/>
                <w:sz w:val="18"/>
                <w:szCs w:val="18"/>
              </w:rPr>
              <w:t> </w:t>
            </w:r>
          </w:p>
        </w:tc>
      </w:tr>
      <w:tr>
        <w:trPr>
          <w:trHeight w:val="557"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right="68"/>
              <w:jc w:val="right"/>
              <w:rPr>
                <w:rFonts w:ascii="宋体" w:hAnsi="宋体" w:cs="宋体" w:eastAsia="宋体" w:hint="default"/>
                <w:sz w:val="18"/>
                <w:szCs w:val="18"/>
              </w:rPr>
            </w:pPr>
            <w:r>
              <w:rPr>
                <w:rFonts w:ascii="宋体" w:hAnsi="宋体" w:cs="宋体" w:eastAsia="宋体" w:hint="default"/>
                <w:sz w:val="18"/>
                <w:szCs w:val="18"/>
              </w:rPr>
              <w:t>盈利模式</w:t>
            </w:r>
            <w:r>
              <w:rPr>
                <w:rFonts w:ascii="宋体" w:hAnsi="宋体" w:cs="宋体" w:eastAsia="宋体" w:hint="default"/>
                <w:sz w:val="18"/>
                <w:szCs w:val="18"/>
              </w:rPr>
              <w:t> </w:t>
            </w:r>
          </w:p>
        </w:tc>
        <w:tc>
          <w:tcPr>
            <w:tcW w:w="8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100"/>
              <w:jc w:val="left"/>
              <w:rPr>
                <w:rFonts w:ascii="宋体" w:hAnsi="宋体" w:cs="宋体" w:eastAsia="宋体" w:hint="default"/>
                <w:sz w:val="18"/>
                <w:szCs w:val="18"/>
              </w:rPr>
            </w:pPr>
            <w:r>
              <w:rPr>
                <w:rFonts w:ascii="宋体" w:hAnsi="宋体" w:cs="宋体" w:eastAsia="宋体" w:hint="default"/>
                <w:spacing w:val="-1"/>
                <w:sz w:val="18"/>
                <w:szCs w:val="18"/>
              </w:rPr>
              <w:t>通过业务团队为核心输出营销服务，为银行完成定量的服务或营销任务，如账单分期量、现金分期量、催款</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成功量等，根据服务情况收取相应的费用。</w:t>
            </w:r>
            <w:r>
              <w:rPr>
                <w:rFonts w:ascii="宋体" w:hAnsi="宋体" w:cs="宋体" w:eastAsia="宋体" w:hint="default"/>
                <w:sz w:val="18"/>
                <w:szCs w:val="18"/>
              </w:rPr>
              <w:t> </w:t>
            </w:r>
          </w:p>
        </w:tc>
      </w:tr>
      <w:tr>
        <w:trPr>
          <w:trHeight w:val="403"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68"/>
              <w:jc w:val="right"/>
              <w:rPr>
                <w:rFonts w:ascii="宋体" w:hAnsi="宋体" w:cs="宋体" w:eastAsia="宋体" w:hint="default"/>
                <w:sz w:val="18"/>
                <w:szCs w:val="18"/>
              </w:rPr>
            </w:pPr>
            <w:r>
              <w:rPr>
                <w:rFonts w:ascii="宋体" w:hAnsi="宋体" w:cs="宋体" w:eastAsia="宋体" w:hint="default"/>
                <w:sz w:val="18"/>
                <w:szCs w:val="18"/>
              </w:rPr>
              <w:t>采购模式</w:t>
            </w:r>
            <w:r>
              <w:rPr>
                <w:rFonts w:ascii="宋体" w:hAnsi="宋体" w:cs="宋体" w:eastAsia="宋体" w:hint="default"/>
                <w:sz w:val="18"/>
                <w:szCs w:val="18"/>
              </w:rPr>
              <w:t> </w:t>
            </w:r>
          </w:p>
        </w:tc>
        <w:tc>
          <w:tcPr>
            <w:tcW w:w="8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金融服务外包业务主要成本包含人工成本及场地租赁费。</w:t>
            </w:r>
            <w:r>
              <w:rPr>
                <w:rFonts w:ascii="宋体" w:hAnsi="宋体" w:cs="宋体" w:eastAsia="宋体" w:hint="default"/>
                <w:sz w:val="18"/>
                <w:szCs w:val="18"/>
              </w:rPr>
              <w:t> </w:t>
            </w:r>
          </w:p>
        </w:tc>
      </w:tr>
      <w:tr>
        <w:trPr>
          <w:trHeight w:val="557"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68"/>
              <w:jc w:val="right"/>
              <w:rPr>
                <w:rFonts w:ascii="宋体" w:hAnsi="宋体" w:cs="宋体" w:eastAsia="宋体" w:hint="default"/>
                <w:sz w:val="18"/>
                <w:szCs w:val="18"/>
              </w:rPr>
            </w:pPr>
            <w:r>
              <w:rPr>
                <w:rFonts w:ascii="宋体" w:hAnsi="宋体" w:cs="宋体" w:eastAsia="宋体" w:hint="default"/>
                <w:sz w:val="18"/>
                <w:szCs w:val="18"/>
              </w:rPr>
              <w:t>销售模式</w:t>
            </w:r>
            <w:r>
              <w:rPr>
                <w:rFonts w:ascii="宋体" w:hAnsi="宋体" w:cs="宋体" w:eastAsia="宋体" w:hint="default"/>
                <w:sz w:val="18"/>
                <w:szCs w:val="18"/>
              </w:rPr>
              <w:t> </w:t>
            </w:r>
          </w:p>
        </w:tc>
        <w:tc>
          <w:tcPr>
            <w:tcW w:w="8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100"/>
              <w:jc w:val="left"/>
              <w:rPr>
                <w:rFonts w:ascii="宋体" w:hAnsi="宋体" w:cs="宋体" w:eastAsia="宋体" w:hint="default"/>
                <w:sz w:val="18"/>
                <w:szCs w:val="18"/>
              </w:rPr>
            </w:pPr>
            <w:r>
              <w:rPr>
                <w:rFonts w:ascii="宋体" w:hAnsi="宋体" w:cs="宋体" w:eastAsia="宋体" w:hint="default"/>
                <w:spacing w:val="-1"/>
                <w:sz w:val="18"/>
                <w:szCs w:val="18"/>
              </w:rPr>
              <w:t>收到招标邀请或者通过公开渠道获取招投标信息。根据客户要求投标、竞标，中标签署服务合同后，为客户</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提供金融外包服务。</w:t>
            </w:r>
            <w:r>
              <w:rPr>
                <w:rFonts w:ascii="宋体" w:hAnsi="宋体" w:cs="宋体" w:eastAsia="宋体" w:hint="default"/>
                <w:sz w:val="18"/>
                <w:szCs w:val="18"/>
              </w:rPr>
              <w:t> </w:t>
            </w:r>
          </w:p>
        </w:tc>
      </w:tr>
      <w:tr>
        <w:trPr>
          <w:trHeight w:val="557"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right="68"/>
              <w:jc w:val="right"/>
              <w:rPr>
                <w:rFonts w:ascii="宋体" w:hAnsi="宋体" w:cs="宋体" w:eastAsia="宋体" w:hint="default"/>
                <w:sz w:val="18"/>
                <w:szCs w:val="18"/>
              </w:rPr>
            </w:pPr>
            <w:r>
              <w:rPr>
                <w:rFonts w:ascii="宋体" w:hAnsi="宋体" w:cs="宋体" w:eastAsia="宋体" w:hint="default"/>
                <w:sz w:val="18"/>
                <w:szCs w:val="18"/>
              </w:rPr>
              <w:t>结算模式</w:t>
            </w:r>
            <w:r>
              <w:rPr>
                <w:rFonts w:ascii="宋体" w:hAnsi="宋体" w:cs="宋体" w:eastAsia="宋体" w:hint="default"/>
                <w:sz w:val="18"/>
                <w:szCs w:val="18"/>
              </w:rPr>
              <w:t> </w:t>
            </w:r>
          </w:p>
        </w:tc>
        <w:tc>
          <w:tcPr>
            <w:tcW w:w="86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100"/>
              <w:jc w:val="left"/>
              <w:rPr>
                <w:rFonts w:ascii="宋体" w:hAnsi="宋体" w:cs="宋体" w:eastAsia="宋体" w:hint="default"/>
                <w:sz w:val="18"/>
                <w:szCs w:val="18"/>
              </w:rPr>
            </w:pPr>
            <w:r>
              <w:rPr>
                <w:rFonts w:ascii="宋体" w:hAnsi="宋体" w:cs="宋体" w:eastAsia="宋体" w:hint="default"/>
                <w:spacing w:val="-1"/>
                <w:sz w:val="18"/>
                <w:szCs w:val="18"/>
              </w:rPr>
              <w:t>根据公司与客户签订的合作协议，按约定比例获取服务费，公司在当月根据合同约定的服务费结算方式计算</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确认收入，在次月与客户对账后，将对账差异在对账当月进行调整。</w:t>
            </w:r>
            <w:r>
              <w:rPr>
                <w:rFonts w:ascii="宋体" w:hAnsi="宋体" w:cs="宋体" w:eastAsia="宋体" w:hint="default"/>
                <w:sz w:val="18"/>
                <w:szCs w:val="18"/>
              </w:rPr>
              <w:t> </w:t>
            </w:r>
          </w:p>
        </w:tc>
      </w:tr>
    </w:tbl>
    <w:p>
      <w:pPr>
        <w:spacing w:line="240" w:lineRule="auto" w:before="2"/>
        <w:rPr>
          <w:rFonts w:ascii="宋体" w:hAnsi="宋体" w:cs="宋体" w:eastAsia="宋体" w:hint="default"/>
          <w:sz w:val="26"/>
          <w:szCs w:val="26"/>
        </w:rPr>
      </w:pPr>
    </w:p>
    <w:p>
      <w:pPr>
        <w:spacing w:line="326" w:lineRule="auto" w:before="36"/>
        <w:ind w:left="573" w:right="5542" w:firstLine="2"/>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三</w:t>
      </w:r>
      <w:r>
        <w:rPr>
          <w:rFonts w:ascii="宋体" w:hAnsi="宋体" w:cs="宋体" w:eastAsia="宋体" w:hint="default"/>
          <w:b/>
          <w:bCs/>
          <w:sz w:val="21"/>
          <w:szCs w:val="21"/>
        </w:rPr>
        <w:t>)</w:t>
      </w:r>
      <w:r>
        <w:rPr>
          <w:rFonts w:ascii="宋体" w:hAnsi="宋体" w:cs="宋体" w:eastAsia="宋体" w:hint="default"/>
          <w:b/>
          <w:bCs/>
          <w:sz w:val="21"/>
          <w:szCs w:val="21"/>
        </w:rPr>
        <w:t>主要的业绩驱动因素</w:t>
      </w:r>
      <w:r>
        <w:rPr>
          <w:rFonts w:ascii="宋体" w:hAnsi="宋体" w:cs="宋体" w:eastAsia="宋体" w:hint="default"/>
          <w:b/>
          <w:bCs/>
          <w:w w:val="99"/>
          <w:sz w:val="21"/>
          <w:szCs w:val="21"/>
        </w:rPr>
        <w:t> </w:t>
      </w:r>
      <w:r>
        <w:rPr>
          <w:rFonts w:ascii="宋体" w:hAnsi="宋体" w:cs="宋体" w:eastAsia="宋体" w:hint="default"/>
          <w:sz w:val="21"/>
          <w:szCs w:val="21"/>
        </w:rPr>
        <w:t>1</w:t>
      </w:r>
      <w:r>
        <w:rPr>
          <w:rFonts w:ascii="宋体" w:hAnsi="宋体" w:cs="宋体" w:eastAsia="宋体" w:hint="default"/>
          <w:sz w:val="21"/>
          <w:szCs w:val="21"/>
        </w:rPr>
        <w:t>、信息智能传输业务业绩驱动因素。</w:t>
      </w:r>
      <w:r>
        <w:rPr>
          <w:rFonts w:ascii="宋体" w:hAnsi="宋体" w:cs="宋体" w:eastAsia="宋体" w:hint="default"/>
          <w:sz w:val="21"/>
          <w:szCs w:val="21"/>
        </w:rPr>
        <w:t> </w:t>
      </w:r>
    </w:p>
    <w:p>
      <w:pPr>
        <w:pStyle w:val="BodyText"/>
        <w:spacing w:line="240" w:lineRule="auto" w:before="2"/>
        <w:ind w:left="573" w:right="819"/>
        <w:jc w:val="left"/>
      </w:pPr>
      <w:r>
        <w:rPr/>
        <w:t>经过持续发展，公司与 </w:t>
      </w:r>
      <w:r>
        <w:rPr>
          <w:rFonts w:ascii="宋体" w:hAnsi="宋体" w:cs="宋体" w:eastAsia="宋体" w:hint="default"/>
        </w:rPr>
        <w:t>20</w:t>
      </w:r>
      <w:r>
        <w:rPr>
          <w:rFonts w:ascii="宋体" w:hAnsi="宋体" w:cs="宋体" w:eastAsia="宋体" w:hint="default"/>
          <w:spacing w:val="-29"/>
        </w:rPr>
        <w:t> </w:t>
      </w:r>
      <w:r>
        <w:rPr/>
        <w:t>余个省市级运营商建立了长期、良好的合作关系，形成较强的连通三网、</w:t>
      </w:r>
    </w:p>
    <w:p>
      <w:pPr>
        <w:pStyle w:val="BodyText"/>
        <w:spacing w:line="273" w:lineRule="auto" w:before="37"/>
        <w:ind w:right="819"/>
        <w:jc w:val="left"/>
        <w:rPr>
          <w:rFonts w:ascii="宋体" w:hAnsi="宋体" w:cs="宋体" w:eastAsia="宋体" w:hint="default"/>
        </w:rPr>
      </w:pPr>
      <w:r>
        <w:rPr>
          <w:spacing w:val="-2"/>
        </w:rPr>
        <w:t>覆盖全国的短信通道资源；经过激烈的市场竞争，公司具有服务质量、技术水平、协商定价等满足客户所</w:t>
      </w:r>
      <w:r>
        <w:rPr>
          <w:spacing w:val="-47"/>
        </w:rPr>
        <w:t> </w:t>
      </w:r>
      <w:r>
        <w:rPr>
          <w:spacing w:val="-47"/>
        </w:rPr>
      </w:r>
      <w:r>
        <w:rPr/>
        <w:t>需的黏性，积累了一大批行业分布广泛、发展前景广阔的优质企事业客户群体，包括电子商务、互联网、</w:t>
      </w:r>
      <w:r>
        <w:rPr>
          <w:spacing w:val="-24"/>
        </w:rPr>
        <w:t> </w:t>
      </w:r>
      <w:r>
        <w:rPr>
          <w:spacing w:val="-24"/>
        </w:rPr>
      </w:r>
      <w:r>
        <w:rPr>
          <w:spacing w:val="-5"/>
        </w:rPr>
        <w:t>金融、物流快递、第三方支付等增长较快的行业企业</w:t>
      </w:r>
      <w:r>
        <w:rPr>
          <w:rFonts w:ascii="宋体" w:hAnsi="宋体" w:cs="宋体" w:eastAsia="宋体" w:hint="default"/>
          <w:spacing w:val="-5"/>
        </w:rPr>
        <w:t>(</w:t>
      </w:r>
      <w:r>
        <w:rPr>
          <w:spacing w:val="-5"/>
        </w:rPr>
        <w:t>有关情况可阅读本报告本章“三、核心竞争力分析”</w:t>
      </w:r>
      <w:r>
        <w:rPr>
          <w:spacing w:val="-9"/>
        </w:rPr>
        <w:t> </w:t>
      </w:r>
      <w:r>
        <w:rPr>
          <w:spacing w:val="-9"/>
        </w:rPr>
      </w:r>
      <w:r>
        <w:rPr>
          <w:spacing w:val="-7"/>
        </w:rPr>
        <w:t>的相关内容</w:t>
      </w:r>
      <w:r>
        <w:rPr>
          <w:rFonts w:ascii="宋体" w:hAnsi="宋体" w:cs="宋体" w:eastAsia="宋体" w:hint="default"/>
          <w:spacing w:val="-7"/>
        </w:rPr>
        <w:t>)</w:t>
      </w:r>
      <w:r>
        <w:rPr>
          <w:spacing w:val="-7"/>
        </w:rPr>
        <w:t>。随着移动互联网技术的深入发展，各行业客户对触发类和有真实需求的短信</w:t>
      </w:r>
      <w:r>
        <w:rPr>
          <w:rFonts w:ascii="宋体" w:hAnsi="宋体" w:cs="宋体" w:eastAsia="宋体" w:hint="default"/>
          <w:spacing w:val="-7"/>
        </w:rPr>
        <w:t>(</w:t>
      </w:r>
      <w:r>
        <w:rPr>
          <w:spacing w:val="-7"/>
        </w:rPr>
        <w:t>如认证、提醒、</w:t>
      </w:r>
      <w:r>
        <w:rPr>
          <w:spacing w:val="-13"/>
        </w:rPr>
        <w:t> </w:t>
      </w:r>
      <w:r>
        <w:rPr>
          <w:spacing w:val="-13"/>
        </w:rPr>
      </w:r>
      <w:r>
        <w:rPr/>
        <w:t>确认、通知等信息</w:t>
      </w:r>
      <w:r>
        <w:rPr>
          <w:rFonts w:ascii="宋体" w:hAnsi="宋体" w:cs="宋体" w:eastAsia="宋体" w:hint="default"/>
        </w:rPr>
        <w:t>)</w:t>
      </w:r>
      <w:r>
        <w:rPr/>
        <w:t>服务的需求增强，公司将保持着扩大收入的条件和市场需求。</w:t>
      </w:r>
      <w:r>
        <w:rPr>
          <w:rFonts w:ascii="宋体" w:hAnsi="宋体" w:cs="宋体" w:eastAsia="宋体" w:hint="default"/>
        </w:rPr>
        <w:t> </w:t>
      </w:r>
    </w:p>
    <w:p>
      <w:pPr>
        <w:pStyle w:val="BodyText"/>
        <w:spacing w:line="240" w:lineRule="auto" w:before="70"/>
        <w:ind w:left="573" w:right="1133"/>
        <w:jc w:val="left"/>
        <w:rPr>
          <w:rFonts w:ascii="宋体" w:hAnsi="宋体" w:cs="宋体" w:eastAsia="宋体" w:hint="default"/>
        </w:rPr>
      </w:pPr>
      <w:r>
        <w:rPr>
          <w:rFonts w:ascii="宋体" w:hAnsi="宋体" w:cs="宋体" w:eastAsia="宋体" w:hint="default"/>
        </w:rPr>
        <w:t>2</w:t>
      </w:r>
      <w:r>
        <w:rPr/>
        <w:t>、通信网络维护业务业绩驱动因素。</w:t>
      </w:r>
      <w:r>
        <w:rPr>
          <w:rFonts w:ascii="宋体" w:hAnsi="宋体" w:cs="宋体" w:eastAsia="宋体" w:hint="default"/>
        </w:rPr>
        <w:t> </w:t>
      </w:r>
    </w:p>
    <w:p>
      <w:pPr>
        <w:pStyle w:val="BodyText"/>
        <w:spacing w:line="273" w:lineRule="auto" w:before="75"/>
        <w:ind w:right="1126" w:firstLine="420"/>
        <w:jc w:val="both"/>
        <w:rPr>
          <w:rFonts w:ascii="宋体" w:hAnsi="宋体" w:cs="宋体" w:eastAsia="宋体" w:hint="default"/>
        </w:rPr>
      </w:pPr>
      <w:r>
        <w:rPr>
          <w:spacing w:val="-2"/>
        </w:rPr>
        <w:t>公司通信网络维护业务收入的主要客户是通信运营商和铁塔公司，客户采购逐渐集中化，有利于市场</w:t>
      </w:r>
      <w:r>
        <w:rPr>
          <w:w w:val="100"/>
        </w:rPr>
        <w:t> </w:t>
      </w:r>
      <w:r>
        <w:rPr>
          <w:spacing w:val="-2"/>
        </w:rPr>
        <w:t>地位靠前的企业通过公开投标中标获得订单。随着通信技术的发展，为满足个人及企业等社会主体日益增</w:t>
      </w:r>
      <w:r>
        <w:rPr>
          <w:spacing w:val="-43"/>
        </w:rPr>
        <w:t> </w:t>
      </w:r>
      <w:r>
        <w:rPr>
          <w:spacing w:val="-43"/>
        </w:rPr>
      </w:r>
      <w:r>
        <w:rPr>
          <w:spacing w:val="-2"/>
        </w:rPr>
        <w:t>长的互联互通需求，我国通信业基础设施升级及运营维护投入将决定着通信网络维护业务的市场规模不断</w:t>
      </w:r>
      <w:r>
        <w:rPr>
          <w:spacing w:val="-43"/>
        </w:rPr>
        <w:t> </w:t>
      </w:r>
      <w:r>
        <w:rPr>
          <w:spacing w:val="-43"/>
        </w:rPr>
      </w:r>
      <w:r>
        <w:rPr>
          <w:spacing w:val="-2"/>
        </w:rPr>
        <w:t>扩大</w:t>
      </w:r>
      <w:r>
        <w:rPr>
          <w:rFonts w:ascii="宋体" w:hAnsi="宋体" w:cs="宋体" w:eastAsia="宋体" w:hint="default"/>
          <w:spacing w:val="-2"/>
        </w:rPr>
        <w:t>(</w:t>
      </w:r>
      <w:r>
        <w:rPr>
          <w:spacing w:val="-2"/>
        </w:rPr>
        <w:t>有关情况可阅读本报告第四章“第一节概述”的相关内容</w:t>
      </w:r>
      <w:r>
        <w:rPr>
          <w:rFonts w:ascii="宋体" w:hAnsi="宋体" w:cs="宋体" w:eastAsia="宋体" w:hint="default"/>
          <w:spacing w:val="-2"/>
        </w:rPr>
        <w:t>)</w:t>
      </w:r>
      <w:r>
        <w:rPr>
          <w:spacing w:val="-2"/>
        </w:rPr>
        <w:t>。长实通信经过竞争发展，已成为市场信</w:t>
      </w:r>
      <w:r>
        <w:rPr>
          <w:spacing w:val="-48"/>
        </w:rPr>
        <w:t> </w:t>
      </w:r>
      <w:r>
        <w:rPr>
          <w:spacing w:val="-48"/>
        </w:rPr>
      </w:r>
      <w:r>
        <w:rPr>
          <w:spacing w:val="-2"/>
        </w:rPr>
        <w:t>誉好、服务考评优良、资质齐备并具有跨区域及综合维护能力的通信网络维护商，将有更多中标获得业务</w:t>
      </w:r>
      <w:r>
        <w:rPr>
          <w:spacing w:val="-44"/>
        </w:rPr>
        <w:t> </w:t>
      </w:r>
      <w:r>
        <w:rPr>
          <w:spacing w:val="-44"/>
        </w:rPr>
      </w:r>
      <w:r>
        <w:rPr/>
        <w:t>订单的机会。</w:t>
      </w:r>
      <w:r>
        <w:rPr>
          <w:rFonts w:ascii="宋体" w:hAnsi="宋体" w:cs="宋体" w:eastAsia="宋体" w:hint="default"/>
        </w:rPr>
        <w:t> </w:t>
      </w:r>
    </w:p>
    <w:p>
      <w:pPr>
        <w:pStyle w:val="BodyText"/>
        <w:spacing w:line="240" w:lineRule="auto" w:before="48"/>
        <w:ind w:left="573" w:right="1133"/>
        <w:jc w:val="left"/>
        <w:rPr>
          <w:rFonts w:ascii="宋体" w:hAnsi="宋体" w:cs="宋体" w:eastAsia="宋体" w:hint="default"/>
        </w:rPr>
      </w:pPr>
      <w:r>
        <w:rPr>
          <w:rFonts w:ascii="宋体" w:hAnsi="宋体" w:cs="宋体" w:eastAsia="宋体" w:hint="default"/>
        </w:rPr>
        <w:t>3</w:t>
      </w:r>
      <w:r>
        <w:rPr/>
        <w:t>、金融服务外包业务业绩驱动因素。</w:t>
      </w:r>
      <w:r>
        <w:rPr>
          <w:rFonts w:ascii="宋体" w:hAnsi="宋体" w:cs="宋体" w:eastAsia="宋体" w:hint="default"/>
          <w:b/>
          <w:bCs/>
          <w:w w:val="99"/>
        </w:rPr>
        <w:t> </w:t>
      </w:r>
      <w:r>
        <w:rPr>
          <w:rFonts w:ascii="宋体" w:hAnsi="宋体" w:cs="宋体" w:eastAsia="宋体" w:hint="default"/>
        </w:rPr>
      </w:r>
    </w:p>
    <w:p>
      <w:pPr>
        <w:spacing w:line="240" w:lineRule="auto" w:before="10"/>
        <w:rPr>
          <w:rFonts w:ascii="宋体" w:hAnsi="宋体" w:cs="宋体" w:eastAsia="宋体" w:hint="default"/>
          <w:b/>
          <w:bCs/>
          <w:sz w:val="14"/>
          <w:szCs w:val="14"/>
        </w:rPr>
      </w:pPr>
    </w:p>
    <w:p>
      <w:pPr>
        <w:pStyle w:val="BodyText"/>
        <w:spacing w:line="273" w:lineRule="auto"/>
        <w:ind w:right="819" w:firstLine="420"/>
        <w:jc w:val="left"/>
        <w:rPr>
          <w:rFonts w:ascii="宋体" w:hAnsi="宋体" w:cs="宋体" w:eastAsia="宋体" w:hint="default"/>
        </w:rPr>
      </w:pPr>
      <w:r>
        <w:rPr>
          <w:spacing w:val="-2"/>
        </w:rPr>
        <w:t>公司子公司嘉华信息是最早从事银行信用卡全业务流程外包合作业务模式的金融服务外包商之一。目</w:t>
      </w:r>
      <w:r>
        <w:rPr>
          <w:w w:val="100"/>
        </w:rPr>
        <w:t> </w:t>
      </w:r>
      <w:r>
        <w:rPr>
          <w:spacing w:val="-2"/>
        </w:rPr>
        <w:t>前，在嘉华信息服务的几家金融机构的金融外包业务中，嘉华信息的业绩均处于前列，在细分市场和区域</w:t>
      </w:r>
      <w:r>
        <w:rPr>
          <w:spacing w:val="-44"/>
        </w:rPr>
        <w:t> </w:t>
      </w:r>
      <w:r>
        <w:rPr>
          <w:spacing w:val="-44"/>
        </w:rPr>
      </w:r>
      <w:r>
        <w:rPr/>
        <w:t>内形成了一定的品牌效应，从事金融服务外包的员工规模持续扩大，服务客户涵盖光大银行、兴业银行、</w:t>
      </w:r>
      <w:r>
        <w:rPr>
          <w:spacing w:val="-24"/>
        </w:rPr>
        <w:t> </w:t>
      </w:r>
      <w:r>
        <w:rPr>
          <w:spacing w:val="-24"/>
        </w:rPr>
      </w:r>
      <w:r>
        <w:rPr>
          <w:spacing w:val="-2"/>
        </w:rPr>
        <w:t>民生银行、中国建设银行、招商银行等多家国内知名金融机构。面对消费金融广阔的发展空间，我国消费</w:t>
      </w:r>
      <w:r>
        <w:rPr>
          <w:spacing w:val="-50"/>
        </w:rPr>
        <w:t> </w:t>
      </w:r>
      <w:r>
        <w:rPr>
          <w:spacing w:val="-50"/>
        </w:rPr>
      </w:r>
      <w:r>
        <w:rPr>
          <w:spacing w:val="-2"/>
        </w:rPr>
        <w:t>金融市场规模近年来始终保持着较快的增速。消费金融快速发展带动服务外包增长的趋势势不可挡，随着</w:t>
      </w:r>
      <w:r>
        <w:rPr>
          <w:spacing w:val="-42"/>
        </w:rPr>
        <w:t> </w:t>
      </w:r>
      <w:r>
        <w:rPr>
          <w:spacing w:val="-42"/>
        </w:rPr>
      </w:r>
      <w:r>
        <w:rPr/>
        <w:t>互联网金融等新兴金融产业的发展，金融机构竞争加剧，刺激服务外包需求以降低成本，提高服务质量，</w:t>
      </w:r>
      <w:r>
        <w:rPr>
          <w:spacing w:val="-24"/>
        </w:rPr>
        <w:t> </w:t>
      </w:r>
      <w:r>
        <w:rPr>
          <w:spacing w:val="-24"/>
        </w:rPr>
      </w:r>
      <w:r>
        <w:rPr>
          <w:spacing w:val="-7"/>
          <w:w w:val="100"/>
        </w:rPr>
        <w:t>以信息化与技术化带动金融服务外包业的发展</w:t>
      </w:r>
      <w:r>
        <w:rPr>
          <w:rFonts w:ascii="宋体" w:hAnsi="宋体" w:cs="宋体" w:eastAsia="宋体" w:hint="default"/>
          <w:spacing w:val="-7"/>
          <w:w w:val="100"/>
        </w:rPr>
        <w:t>(</w:t>
      </w:r>
      <w:r>
        <w:rPr>
          <w:spacing w:val="-7"/>
          <w:w w:val="100"/>
        </w:rPr>
        <w:t>有关情况可阅读本报告第四章“第一节概述”的相关内容</w:t>
      </w:r>
      <w:r>
        <w:rPr>
          <w:rFonts w:ascii="宋体" w:hAnsi="宋体" w:cs="宋体" w:eastAsia="宋体" w:hint="default"/>
          <w:spacing w:val="-7"/>
          <w:w w:val="100"/>
        </w:rPr>
        <w:t>)</w:t>
      </w:r>
      <w:r>
        <w:rPr>
          <w:spacing w:val="-7"/>
          <w:w w:val="100"/>
        </w:rPr>
        <w:t>。</w:t>
      </w:r>
      <w:r>
        <w:rPr>
          <w:rFonts w:ascii="宋体" w:hAnsi="宋体" w:cs="宋体" w:eastAsia="宋体" w:hint="default"/>
          <w:w w:val="100"/>
        </w:rPr>
        <w:t> </w:t>
      </w:r>
    </w:p>
    <w:p>
      <w:pPr>
        <w:pStyle w:val="Heading3"/>
        <w:spacing w:line="468" w:lineRule="exact" w:before="34"/>
        <w:ind w:left="575" w:right="2896"/>
        <w:jc w:val="left"/>
        <w:rPr>
          <w:rFonts w:ascii="宋体" w:hAnsi="宋体" w:cs="宋体" w:eastAsia="宋体" w:hint="default"/>
          <w:b w:val="0"/>
          <w:bCs w:val="0"/>
        </w:rPr>
      </w:pPr>
      <w:r>
        <w:rPr>
          <w:rFonts w:ascii="宋体" w:hAnsi="宋体" w:cs="宋体" w:eastAsia="宋体" w:hint="default"/>
          <w:spacing w:val="-1"/>
        </w:rPr>
        <w:t>(</w:t>
      </w:r>
      <w:r>
        <w:rPr>
          <w:spacing w:val="-1"/>
        </w:rPr>
        <w:t>四</w:t>
      </w:r>
      <w:r>
        <w:rPr>
          <w:rFonts w:ascii="宋体" w:hAnsi="宋体" w:cs="宋体" w:eastAsia="宋体" w:hint="default"/>
          <w:spacing w:val="-1"/>
        </w:rPr>
        <w:t>)</w:t>
      </w:r>
      <w:r>
        <w:rPr>
          <w:spacing w:val="-1"/>
        </w:rPr>
        <w:t>报告期内公司所属行业的发展阶段、周期性特点以及公司所处的行业地位等</w:t>
      </w:r>
      <w:r>
        <w:rPr>
          <w:spacing w:val="-73"/>
        </w:rPr>
        <w:t> </w:t>
      </w:r>
      <w:r>
        <w:rPr>
          <w:spacing w:val="-73"/>
        </w:rPr>
      </w:r>
      <w:r>
        <w:rPr>
          <w:rFonts w:ascii="宋体" w:hAnsi="宋体" w:cs="宋体" w:eastAsia="宋体" w:hint="default"/>
        </w:rPr>
        <w:t>1</w:t>
      </w:r>
      <w:r>
        <w:rPr/>
        <w:t>、信息智能传输</w:t>
      </w:r>
      <w:r>
        <w:rPr>
          <w:rFonts w:ascii="宋体" w:hAnsi="宋体" w:cs="宋体" w:eastAsia="宋体" w:hint="default"/>
          <w:w w:val="99"/>
        </w:rPr>
        <w:t> </w:t>
      </w:r>
      <w:r>
        <w:rPr>
          <w:rFonts w:ascii="宋体" w:hAnsi="宋体" w:cs="宋体" w:eastAsia="宋体" w:hint="default"/>
          <w:b w:val="0"/>
          <w:bCs w:val="0"/>
        </w:rPr>
      </w:r>
    </w:p>
    <w:p>
      <w:pPr>
        <w:pStyle w:val="BodyText"/>
        <w:spacing w:line="273" w:lineRule="auto" w:before="14"/>
        <w:ind w:right="1126" w:firstLine="420"/>
        <w:jc w:val="both"/>
        <w:rPr>
          <w:rFonts w:ascii="宋体" w:hAnsi="宋体" w:cs="宋体" w:eastAsia="宋体" w:hint="default"/>
        </w:rPr>
      </w:pPr>
      <w:r>
        <w:rPr>
          <w:spacing w:val="-2"/>
        </w:rPr>
        <w:t>公司短信发送收入在行业中名列前茅。行业属于向企业公司、事业单位等客户提供有真实应用需求的</w:t>
      </w:r>
      <w:r>
        <w:rPr>
          <w:w w:val="100"/>
        </w:rPr>
        <w:t> </w:t>
      </w:r>
      <w:r>
        <w:rPr>
          <w:spacing w:val="-2"/>
        </w:rPr>
        <w:t>移动信息发送服务以及与之相关的系统开发与运营维护的信息服务业，由全资子公司创世漫道及嘉华信息</w:t>
      </w:r>
      <w:r>
        <w:rPr>
          <w:spacing w:val="-43"/>
        </w:rPr>
        <w:t> </w:t>
      </w:r>
      <w:r>
        <w:rPr>
          <w:spacing w:val="-43"/>
        </w:rPr>
      </w:r>
      <w:r>
        <w:rPr/>
        <w:t>经营。</w:t>
      </w:r>
      <w:r>
        <w:rPr>
          <w:rFonts w:ascii="宋体" w:hAnsi="宋体" w:cs="宋体" w:eastAsia="宋体" w:hint="default"/>
        </w:rPr>
        <w:t> </w:t>
      </w:r>
    </w:p>
    <w:p>
      <w:pPr>
        <w:pStyle w:val="BodyText"/>
        <w:spacing w:line="273" w:lineRule="auto" w:before="125"/>
        <w:ind w:right="1126" w:firstLine="420"/>
        <w:jc w:val="both"/>
        <w:rPr>
          <w:rFonts w:ascii="宋体" w:hAnsi="宋体" w:cs="宋体" w:eastAsia="宋体" w:hint="default"/>
        </w:rPr>
      </w:pPr>
      <w:r>
        <w:rPr>
          <w:spacing w:val="-7"/>
          <w:w w:val="100"/>
        </w:rPr>
        <w:t>受国庆节、圣诞节以及“双十一”、“双十二”电商促销的影响，四季度是一年中信息智能传输业务的</w:t>
      </w:r>
      <w:r>
        <w:rPr>
          <w:w w:val="100"/>
        </w:rPr>
        <w:t> </w:t>
      </w:r>
      <w:r>
        <w:rPr>
          <w:spacing w:val="-7"/>
          <w:w w:val="100"/>
        </w:rPr>
        <w:t>相对高峰期。因国庆、圣诞、“双十一”、“双十二”等法定假日或电商促销不会自然取消，经营季节性波</w:t>
      </w:r>
      <w:r>
        <w:rPr>
          <w:spacing w:val="-69"/>
          <w:w w:val="100"/>
        </w:rPr>
        <w:t> </w:t>
      </w:r>
      <w:r>
        <w:rPr>
          <w:spacing w:val="-69"/>
          <w:w w:val="100"/>
        </w:rPr>
      </w:r>
      <w:r>
        <w:rPr/>
        <w:t>动不构成风险。</w:t>
      </w:r>
      <w:r>
        <w:rPr>
          <w:rFonts w:ascii="宋体" w:hAnsi="宋体" w:cs="宋体" w:eastAsia="宋体" w:hint="default"/>
        </w:rPr>
        <w:t> </w:t>
      </w:r>
    </w:p>
    <w:p>
      <w:pPr>
        <w:spacing w:after="0" w:line="273" w:lineRule="auto"/>
        <w:jc w:val="both"/>
        <w:rPr>
          <w:rFonts w:ascii="宋体" w:hAnsi="宋体" w:cs="宋体" w:eastAsia="宋体" w:hint="default"/>
        </w:rPr>
        <w:sectPr>
          <w:pgSz w:w="11910" w:h="16840"/>
          <w:pgMar w:header="880" w:footer="975" w:top="1100" w:bottom="1160" w:left="980" w:right="0"/>
        </w:sectPr>
      </w:pPr>
    </w:p>
    <w:p>
      <w:pPr>
        <w:spacing w:line="240" w:lineRule="auto" w:before="11"/>
        <w:rPr>
          <w:rFonts w:ascii="宋体" w:hAnsi="宋体" w:cs="宋体" w:eastAsia="宋体" w:hint="default"/>
          <w:sz w:val="20"/>
          <w:szCs w:val="20"/>
        </w:rPr>
      </w:pPr>
    </w:p>
    <w:p>
      <w:pPr>
        <w:pStyle w:val="BodyText"/>
        <w:spacing w:line="273" w:lineRule="auto" w:before="36"/>
        <w:ind w:right="1126" w:firstLine="420"/>
        <w:jc w:val="both"/>
        <w:rPr>
          <w:rFonts w:ascii="宋体" w:hAnsi="宋体" w:cs="宋体" w:eastAsia="宋体" w:hint="default"/>
        </w:rPr>
      </w:pPr>
      <w:r>
        <w:rPr>
          <w:spacing w:val="-2"/>
        </w:rPr>
        <w:t>创世漫道专注于行业应用需求的移动短彩信发送领域，主要向电子商务、互联网企业、物流快递等企</w:t>
      </w:r>
      <w:r>
        <w:rPr>
          <w:w w:val="100"/>
        </w:rPr>
        <w:t> </w:t>
      </w:r>
      <w:r>
        <w:rPr>
          <w:spacing w:val="-2"/>
        </w:rPr>
        <w:t>业客户提供触发类移动信息服务，经过长期经营积累了丰富的客户服务经验，能够有效把握客户需求，技</w:t>
      </w:r>
      <w:r>
        <w:rPr>
          <w:spacing w:val="-43"/>
        </w:rPr>
        <w:t> </w:t>
      </w:r>
      <w:r>
        <w:rPr>
          <w:spacing w:val="-43"/>
        </w:rPr>
      </w:r>
      <w:r>
        <w:rPr>
          <w:spacing w:val="-2"/>
        </w:rPr>
        <w:t>术平台不断优化完善，在规模运营能力、品牌影响力等方面不断增强，已经发展为国内领先的信息智能传</w:t>
      </w:r>
      <w:r>
        <w:rPr>
          <w:spacing w:val="-44"/>
        </w:rPr>
        <w:t> </w:t>
      </w:r>
      <w:r>
        <w:rPr>
          <w:spacing w:val="-44"/>
        </w:rPr>
      </w:r>
      <w:r>
        <w:rPr>
          <w:spacing w:val="-2"/>
        </w:rPr>
        <w:t>输服务提供商，运营规模和市场占有率在行业内名列前茅。凭借良好的品牌影响力，创世漫道已经吸引了</w:t>
      </w:r>
      <w:r>
        <w:rPr>
          <w:spacing w:val="-43"/>
        </w:rPr>
        <w:t> </w:t>
      </w:r>
      <w:r>
        <w:rPr>
          <w:spacing w:val="-43"/>
        </w:rPr>
      </w:r>
      <w:r>
        <w:rPr>
          <w:spacing w:val="-2"/>
        </w:rPr>
        <w:t>京东商城、腾讯、阿里巴巴等众多知名企业客户，并曾持续为全国“两会”提供移动信息服务，进一步确</w:t>
      </w:r>
      <w:r>
        <w:rPr>
          <w:spacing w:val="-42"/>
        </w:rPr>
        <w:t> </w:t>
      </w:r>
      <w:r>
        <w:rPr>
          <w:spacing w:val="-42"/>
        </w:rPr>
      </w:r>
      <w:r>
        <w:rPr>
          <w:spacing w:val="-4"/>
        </w:rPr>
        <w:t>立了领先的行业地位。</w:t>
      </w:r>
      <w:r>
        <w:rPr>
          <w:rFonts w:ascii="宋体" w:hAnsi="宋体" w:cs="宋体" w:eastAsia="宋体" w:hint="default"/>
          <w:spacing w:val="-4"/>
        </w:rPr>
        <w:t>2019 </w:t>
      </w:r>
      <w:r>
        <w:rPr>
          <w:spacing w:val="-3"/>
        </w:rPr>
        <w:t>年创世漫道获得的社会及行业评价及荣誉包括：中国电子商务协会及全球互联</w:t>
      </w:r>
      <w:r>
        <w:rPr>
          <w:spacing w:val="-77"/>
        </w:rPr>
        <w:t> </w:t>
      </w:r>
      <w:r>
        <w:rPr>
          <w:spacing w:val="-77"/>
        </w:rPr>
      </w:r>
      <w:r>
        <w:rPr/>
        <w:t>网经济大会颁发的</w:t>
      </w:r>
      <w:r>
        <w:rPr>
          <w:spacing w:val="-44"/>
        </w:rPr>
        <w:t> </w:t>
      </w:r>
      <w:r>
        <w:rPr>
          <w:rFonts w:ascii="宋体" w:hAnsi="宋体" w:cs="宋体" w:eastAsia="宋体" w:hint="default"/>
        </w:rPr>
        <w:t>2018-2019</w:t>
      </w:r>
      <w:r>
        <w:rPr>
          <w:rFonts w:ascii="宋体" w:hAnsi="宋体" w:cs="宋体" w:eastAsia="宋体" w:hint="default"/>
          <w:spacing w:val="-44"/>
        </w:rPr>
        <w:t> </w:t>
      </w:r>
      <w:r>
        <w:rPr>
          <w:spacing w:val="-4"/>
        </w:rPr>
        <w:t>年度最具技术创新移动通信服务平台；北京软件和信息服务协会颁发的</w:t>
      </w:r>
      <w:r>
        <w:rPr>
          <w:spacing w:val="-43"/>
        </w:rPr>
        <w:t> </w:t>
      </w:r>
      <w:r>
        <w:rPr>
          <w:rFonts w:ascii="宋体" w:hAnsi="宋体" w:cs="宋体" w:eastAsia="宋体" w:hint="default"/>
        </w:rPr>
        <w:t>2019</w:t>
      </w:r>
      <w:r>
        <w:rPr>
          <w:rFonts w:ascii="宋体" w:hAnsi="宋体" w:cs="宋体" w:eastAsia="宋体" w:hint="default"/>
          <w:spacing w:val="-100"/>
        </w:rPr>
        <w:t> </w:t>
      </w:r>
      <w:r>
        <w:rPr>
          <w:rFonts w:ascii="宋体" w:hAnsi="宋体" w:cs="宋体" w:eastAsia="宋体" w:hint="default"/>
          <w:spacing w:val="-100"/>
        </w:rPr>
      </w:r>
      <w:r>
        <w:rPr/>
        <w:t>年北京市软件和信息服务综合实力百强企业；依据</w:t>
      </w:r>
      <w:r>
        <w:rPr>
          <w:spacing w:val="-33"/>
        </w:rPr>
        <w:t> </w:t>
      </w:r>
      <w:r>
        <w:rPr>
          <w:rFonts w:ascii="宋体" w:hAnsi="宋体" w:cs="宋体" w:eastAsia="宋体" w:hint="default"/>
        </w:rPr>
        <w:t>T/BSIA-002-2019&lt;</w:t>
      </w:r>
      <w:r>
        <w:rPr/>
        <w:t>软件企业核心竞争力评价规范</w:t>
      </w:r>
      <w:r>
        <w:rPr>
          <w:rFonts w:ascii="宋体" w:hAnsi="宋体" w:cs="宋体" w:eastAsia="宋体" w:hint="default"/>
        </w:rPr>
        <w:t>&gt;</w:t>
      </w:r>
      <w:r>
        <w:rPr/>
        <w:t>，经</w:t>
      </w:r>
      <w:r>
        <w:rPr>
          <w:spacing w:val="-3"/>
          <w:w w:val="100"/>
        </w:rPr>
        <w:t> </w:t>
      </w:r>
      <w:r>
        <w:rPr>
          <w:spacing w:val="-3"/>
        </w:rPr>
        <w:t>评价为：</w:t>
      </w:r>
      <w:r>
        <w:rPr>
          <w:rFonts w:ascii="宋体" w:hAnsi="宋体" w:cs="宋体" w:eastAsia="宋体" w:hint="default"/>
          <w:spacing w:val="-3"/>
        </w:rPr>
        <w:t>2019 </w:t>
      </w:r>
      <w:r>
        <w:rPr>
          <w:spacing w:val="-3"/>
        </w:rPr>
        <w:t>年北京市软件企业核心竞争力评价（规模性）企业；由北京市经济和信息化局、首都精神文</w:t>
      </w:r>
      <w:r>
        <w:rPr>
          <w:spacing w:val="-98"/>
        </w:rPr>
        <w:t> </w:t>
      </w:r>
      <w:r>
        <w:rPr>
          <w:spacing w:val="-98"/>
        </w:rPr>
      </w:r>
      <w:r>
        <w:rPr>
          <w:spacing w:val="-2"/>
        </w:rPr>
        <w:t>明建设委员会办公室、北京市市场监督管理局联合颁发的北京市诚信创建企业；北京软件和信息服务协会</w:t>
      </w:r>
      <w:r>
        <w:rPr>
          <w:spacing w:val="-44"/>
        </w:rPr>
        <w:t> </w:t>
      </w:r>
      <w:r>
        <w:rPr>
          <w:spacing w:val="-44"/>
        </w:rPr>
      </w:r>
      <w:r>
        <w:rPr/>
        <w:t>认定的</w:t>
      </w:r>
      <w:r>
        <w:rPr>
          <w:spacing w:val="-55"/>
        </w:rPr>
        <w:t> </w:t>
      </w:r>
      <w:r>
        <w:rPr>
          <w:rFonts w:ascii="宋体" w:hAnsi="宋体" w:cs="宋体" w:eastAsia="宋体" w:hint="default"/>
        </w:rPr>
        <w:t>2019</w:t>
      </w:r>
      <w:r>
        <w:rPr>
          <w:rFonts w:ascii="宋体" w:hAnsi="宋体" w:cs="宋体" w:eastAsia="宋体" w:hint="default"/>
          <w:spacing w:val="-56"/>
        </w:rPr>
        <w:t> </w:t>
      </w:r>
      <w:r>
        <w:rPr/>
        <w:t>年北京市诚信系统集成企业。</w:t>
      </w:r>
      <w:r>
        <w:rPr>
          <w:rFonts w:ascii="宋体" w:hAnsi="宋体" w:cs="宋体" w:eastAsia="宋体" w:hint="default"/>
        </w:rPr>
        <w:t> </w:t>
      </w:r>
    </w:p>
    <w:p>
      <w:pPr>
        <w:pStyle w:val="BodyText"/>
        <w:spacing w:line="273" w:lineRule="auto" w:before="48"/>
        <w:ind w:right="1126" w:firstLine="420"/>
        <w:jc w:val="both"/>
        <w:rPr>
          <w:rFonts w:ascii="宋体" w:hAnsi="宋体" w:cs="宋体" w:eastAsia="宋体" w:hint="default"/>
        </w:rPr>
      </w:pPr>
      <w:r>
        <w:rPr>
          <w:rFonts w:ascii="宋体" w:hAnsi="宋体" w:cs="宋体" w:eastAsia="宋体" w:hint="default"/>
          <w:w w:val="100"/>
        </w:rPr>
        <w:t> </w:t>
      </w:r>
      <w:r>
        <w:rPr/>
        <w:t>嘉华信息更加专注于金融行业应用需求的移动短彩信发送业务，已经建立了成熟的移动信息服务技</w:t>
      </w:r>
      <w:r>
        <w:rPr>
          <w:w w:val="100"/>
        </w:rPr>
        <w:t> </w:t>
      </w:r>
      <w:r>
        <w:rPr>
          <w:spacing w:val="-2"/>
        </w:rPr>
        <w:t>术解决方案，具备较强的移动信息服务方案解决能力、稳定连接运营商与企业客户的渠道能力，以及大型</w:t>
      </w:r>
      <w:r>
        <w:rPr>
          <w:spacing w:val="-42"/>
        </w:rPr>
        <w:t> </w:t>
      </w:r>
      <w:r>
        <w:rPr>
          <w:spacing w:val="-42"/>
        </w:rPr>
      </w:r>
      <w:r>
        <w:rPr>
          <w:spacing w:val="-2"/>
        </w:rPr>
        <w:t>企业客户的定制服务能力。凭借良好而稳定的技术解决方案，嘉华信息快速的占领保险及金融行业移动增</w:t>
      </w:r>
      <w:r>
        <w:rPr>
          <w:spacing w:val="-43"/>
        </w:rPr>
        <w:t> </w:t>
      </w:r>
      <w:r>
        <w:rPr>
          <w:spacing w:val="-43"/>
        </w:rPr>
      </w:r>
      <w:r>
        <w:rPr>
          <w:spacing w:val="-2"/>
        </w:rPr>
        <w:t>值服务市场，同时，嘉华信息进一步的依托行业解决方案能力，获得了多家大型股份制银行以及保险公司</w:t>
      </w:r>
      <w:r>
        <w:rPr>
          <w:spacing w:val="-43"/>
        </w:rPr>
        <w:t> </w:t>
      </w:r>
      <w:r>
        <w:rPr>
          <w:spacing w:val="-43"/>
        </w:rPr>
      </w:r>
      <w:r>
        <w:rPr>
          <w:spacing w:val="-2"/>
        </w:rPr>
        <w:t>客户。伴随着金融企业客户的快速发展，嘉华信息经过长期市场开拓积累了丰富的行业客户服务经验和能</w:t>
      </w:r>
      <w:r>
        <w:rPr>
          <w:spacing w:val="-42"/>
        </w:rPr>
        <w:t> </w:t>
      </w:r>
      <w:r>
        <w:rPr>
          <w:spacing w:val="-42"/>
        </w:rPr>
      </w:r>
      <w:r>
        <w:rPr>
          <w:spacing w:val="-3"/>
        </w:rPr>
        <w:t>力，运营规模和市场占有率在行业内名列前茅。</w:t>
      </w:r>
      <w:r>
        <w:rPr>
          <w:rFonts w:ascii="宋体" w:hAnsi="宋体" w:cs="宋体" w:eastAsia="宋体" w:hint="default"/>
          <w:spacing w:val="-3"/>
        </w:rPr>
        <w:t>2019 </w:t>
      </w:r>
      <w:r>
        <w:rPr>
          <w:spacing w:val="-4"/>
        </w:rPr>
        <w:t>年，公司销售部门、运营部门全体员工密切配合，积</w:t>
      </w:r>
      <w:r>
        <w:rPr>
          <w:spacing w:val="-75"/>
        </w:rPr>
        <w:t> </w:t>
      </w:r>
      <w:r>
        <w:rPr>
          <w:spacing w:val="-75"/>
        </w:rPr>
      </w:r>
      <w:r>
        <w:rPr>
          <w:spacing w:val="-2"/>
        </w:rPr>
        <w:t>极沟通，在老客户维护、新客户拓展上都取得了显著成果。电信增值业务在老客户维护上，做到重大客户</w:t>
      </w:r>
      <w:r>
        <w:rPr>
          <w:spacing w:val="-47"/>
        </w:rPr>
        <w:t> </w:t>
      </w:r>
      <w:r>
        <w:rPr>
          <w:spacing w:val="-47"/>
        </w:rPr>
      </w:r>
      <w:r>
        <w:rPr/>
        <w:t>百分百留存，未出现重大客户流失情况，在新客户拓展上，成功签约近百家互联网、金融客户。</w:t>
      </w:r>
      <w:r>
        <w:rPr>
          <w:rFonts w:ascii="宋体" w:hAnsi="宋体" w:cs="宋体" w:eastAsia="宋体" w:hint="default"/>
        </w:rPr>
        <w:t> </w:t>
      </w:r>
    </w:p>
    <w:p>
      <w:pPr>
        <w:pStyle w:val="Heading3"/>
        <w:spacing w:line="240" w:lineRule="auto" w:before="125"/>
        <w:ind w:left="575" w:right="1133"/>
        <w:jc w:val="left"/>
        <w:rPr>
          <w:rFonts w:ascii="宋体" w:hAnsi="宋体" w:cs="宋体" w:eastAsia="宋体" w:hint="default"/>
          <w:b w:val="0"/>
          <w:bCs w:val="0"/>
        </w:rPr>
      </w:pPr>
      <w:r>
        <w:rPr>
          <w:rFonts w:ascii="宋体" w:hAnsi="宋体" w:cs="宋体" w:eastAsia="宋体" w:hint="default"/>
        </w:rPr>
        <w:t>2</w:t>
      </w:r>
      <w:r>
        <w:rPr/>
        <w:t>、通信网络维护</w:t>
      </w:r>
      <w:r>
        <w:rPr>
          <w:rFonts w:ascii="宋体" w:hAnsi="宋体" w:cs="宋体" w:eastAsia="宋体" w:hint="default"/>
          <w:w w:val="99"/>
        </w:rPr>
        <w:t> </w:t>
      </w:r>
      <w:r>
        <w:rPr>
          <w:rFonts w:ascii="宋体" w:hAnsi="宋体" w:cs="宋体" w:eastAsia="宋体" w:hint="default"/>
          <w:b w:val="0"/>
          <w:bCs w:val="0"/>
        </w:rPr>
      </w:r>
    </w:p>
    <w:p>
      <w:pPr>
        <w:pStyle w:val="BodyText"/>
        <w:spacing w:line="273" w:lineRule="auto" w:before="78"/>
        <w:ind w:right="819" w:firstLine="420"/>
        <w:jc w:val="left"/>
        <w:rPr>
          <w:rFonts w:ascii="宋体" w:hAnsi="宋体" w:cs="宋体" w:eastAsia="宋体" w:hint="default"/>
        </w:rPr>
      </w:pPr>
      <w:r>
        <w:rPr/>
        <w:t>公司的通信网络维护业务所属通信技术服务业，由全资子公司长实通信经营。随着通信技术的发展，</w:t>
      </w:r>
      <w:r>
        <w:rPr>
          <w:w w:val="100"/>
        </w:rPr>
        <w:t> </w:t>
      </w:r>
      <w:r>
        <w:rPr>
          <w:spacing w:val="-2"/>
        </w:rPr>
        <w:t>个人及企业等社会主体对信息传递和接收的需求呈爆发式增长，通信用户数量持续增长，通信内容不断丰</w:t>
      </w:r>
      <w:r>
        <w:rPr>
          <w:spacing w:val="-44"/>
        </w:rPr>
        <w:t> </w:t>
      </w:r>
      <w:r>
        <w:rPr>
          <w:spacing w:val="-44"/>
        </w:rPr>
      </w:r>
      <w:r>
        <w:rPr>
          <w:spacing w:val="-2"/>
        </w:rPr>
        <w:t>富，激发了运营商对通信技术基础投资及服务的长期需求，而通信网络维护作为运营商保持通信网络运营</w:t>
      </w:r>
      <w:r>
        <w:rPr>
          <w:spacing w:val="-44"/>
        </w:rPr>
        <w:t> </w:t>
      </w:r>
      <w:r>
        <w:rPr>
          <w:spacing w:val="-44"/>
        </w:rPr>
      </w:r>
      <w:r>
        <w:rPr>
          <w:spacing w:val="-2"/>
        </w:rPr>
        <w:t>平稳，提高网络使用率，满足终端客户网络应用需求的直接、高效、低成本的手段，将长期存在和快速发</w:t>
      </w:r>
      <w:r>
        <w:rPr>
          <w:spacing w:val="-43"/>
        </w:rPr>
        <w:t> </w:t>
      </w:r>
      <w:r>
        <w:rPr>
          <w:spacing w:val="-43"/>
        </w:rPr>
      </w:r>
      <w:r>
        <w:rPr/>
        <w:t>展。</w:t>
      </w:r>
      <w:r>
        <w:rPr>
          <w:rFonts w:ascii="宋体" w:hAnsi="宋体" w:cs="宋体" w:eastAsia="宋体" w:hint="default"/>
        </w:rPr>
        <w:t> </w:t>
      </w:r>
    </w:p>
    <w:p>
      <w:pPr>
        <w:pStyle w:val="BodyText"/>
        <w:spacing w:line="307" w:lineRule="auto" w:before="49"/>
        <w:ind w:left="573" w:right="819"/>
        <w:jc w:val="left"/>
      </w:pPr>
      <w:r>
        <w:rPr/>
        <w:t>通信网络维护需求随着通信网络规模的扩大而持续增长，不存在明显的周期性和季节性特征。</w:t>
      </w:r>
      <w:r>
        <w:rPr>
          <w:w w:val="100"/>
        </w:rPr>
        <w:t> </w:t>
      </w:r>
      <w:r>
        <w:rPr/>
        <w:t>长实通信作为具有跨区域、综合运维能力的第三方通信网络技术服务商，专注于通信网络维护业务，</w:t>
      </w:r>
    </w:p>
    <w:p>
      <w:pPr>
        <w:pStyle w:val="BodyText"/>
        <w:spacing w:line="253" w:lineRule="exact"/>
        <w:ind w:right="1133"/>
        <w:jc w:val="left"/>
      </w:pPr>
      <w:r>
        <w:rPr>
          <w:spacing w:val="-7"/>
        </w:rPr>
        <w:t>经过十余年的经营与市场拓展，客户包括电信运营商、铁塔公司及企事业单位大客户，业务范围覆盖广东、</w:t>
      </w:r>
    </w:p>
    <w:p>
      <w:pPr>
        <w:pStyle w:val="BodyText"/>
        <w:spacing w:line="273" w:lineRule="auto" w:before="37"/>
        <w:ind w:right="819"/>
        <w:jc w:val="left"/>
        <w:rPr>
          <w:rFonts w:ascii="宋体" w:hAnsi="宋体" w:cs="宋体" w:eastAsia="宋体" w:hint="default"/>
        </w:rPr>
      </w:pPr>
      <w:r>
        <w:rPr>
          <w:spacing w:val="-7"/>
        </w:rPr>
        <w:t>云南、浙江等</w:t>
      </w:r>
      <w:r>
        <w:rPr>
          <w:spacing w:val="-30"/>
        </w:rPr>
        <w:t> </w:t>
      </w:r>
      <w:r>
        <w:rPr>
          <w:rFonts w:ascii="宋体" w:hAnsi="宋体" w:cs="宋体" w:eastAsia="宋体" w:hint="default"/>
        </w:rPr>
        <w:t>28</w:t>
      </w:r>
      <w:r>
        <w:rPr>
          <w:rFonts w:ascii="宋体" w:hAnsi="宋体" w:cs="宋体" w:eastAsia="宋体" w:hint="default"/>
          <w:spacing w:val="-27"/>
        </w:rPr>
        <w:t> </w:t>
      </w:r>
      <w:r>
        <w:rPr>
          <w:spacing w:val="-4"/>
        </w:rPr>
        <w:t>个省区。长实通信高度重视服务质量，客户评价优良，作为综合性通信网络技术服务商，</w:t>
      </w:r>
      <w:r>
        <w:rPr>
          <w:spacing w:val="-93"/>
        </w:rPr>
        <w:t> </w:t>
      </w:r>
      <w:r>
        <w:rPr>
          <w:spacing w:val="-93"/>
        </w:rPr>
      </w:r>
      <w:r>
        <w:rPr>
          <w:spacing w:val="-2"/>
        </w:rPr>
        <w:t>长实通信业务资质齐备，是国内具有通信网络代维基站和线路双甲级资质及综合代维甲级资质的企业，行</w:t>
      </w:r>
      <w:r>
        <w:rPr>
          <w:spacing w:val="-43"/>
        </w:rPr>
        <w:t> </w:t>
      </w:r>
      <w:r>
        <w:rPr>
          <w:spacing w:val="-43"/>
        </w:rPr>
      </w:r>
      <w:r>
        <w:rPr>
          <w:spacing w:val="-12"/>
          <w:w w:val="100"/>
        </w:rPr>
        <w:t>业地位领先。</w:t>
      </w:r>
      <w:r>
        <w:rPr>
          <w:rFonts w:ascii="宋体" w:hAnsi="宋体" w:cs="宋体" w:eastAsia="宋体" w:hint="default"/>
          <w:spacing w:val="-12"/>
          <w:w w:val="100"/>
        </w:rPr>
        <w:t>2019</w:t>
      </w:r>
      <w:r>
        <w:rPr>
          <w:rFonts w:ascii="宋体" w:hAnsi="宋体" w:cs="宋体" w:eastAsia="宋体" w:hint="default"/>
          <w:spacing w:val="-62"/>
          <w:w w:val="100"/>
        </w:rPr>
        <w:t> </w:t>
      </w:r>
      <w:r>
        <w:rPr>
          <w:spacing w:val="-7"/>
          <w:w w:val="100"/>
        </w:rPr>
        <w:t>年获得的资质荣誉包括：</w:t>
      </w:r>
      <w:r>
        <w:rPr>
          <w:rFonts w:ascii="宋体" w:hAnsi="宋体" w:cs="宋体" w:eastAsia="宋体" w:hint="default"/>
          <w:spacing w:val="-7"/>
          <w:w w:val="100"/>
        </w:rPr>
        <w:t>2018-2019</w:t>
      </w:r>
      <w:r>
        <w:rPr>
          <w:rFonts w:ascii="宋体" w:hAnsi="宋体" w:cs="宋体" w:eastAsia="宋体" w:hint="default"/>
          <w:spacing w:val="-60"/>
          <w:w w:val="100"/>
        </w:rPr>
        <w:t> </w:t>
      </w:r>
      <w:r>
        <w:rPr>
          <w:spacing w:val="-5"/>
          <w:w w:val="100"/>
        </w:rPr>
        <w:t>年度通信网络运营维护服务用户满意企业、</w:t>
      </w:r>
      <w:r>
        <w:rPr>
          <w:rFonts w:ascii="宋体" w:hAnsi="宋体" w:cs="宋体" w:eastAsia="宋体" w:hint="default"/>
          <w:spacing w:val="-5"/>
          <w:w w:val="100"/>
        </w:rPr>
        <w:t>2018-2019</w:t>
      </w:r>
      <w:r>
        <w:rPr>
          <w:rFonts w:ascii="宋体" w:hAnsi="宋体" w:cs="宋体" w:eastAsia="宋体" w:hint="default"/>
          <w:spacing w:val="-101"/>
          <w:w w:val="100"/>
        </w:rPr>
        <w:t> </w:t>
      </w:r>
      <w:r>
        <w:rPr>
          <w:rFonts w:ascii="宋体" w:hAnsi="宋体" w:cs="宋体" w:eastAsia="宋体" w:hint="default"/>
          <w:spacing w:val="-101"/>
          <w:w w:val="100"/>
        </w:rPr>
      </w:r>
      <w:r>
        <w:rPr/>
        <w:t>年度通信网络维护服务支撑先进单位、</w:t>
      </w:r>
      <w:r>
        <w:rPr>
          <w:rFonts w:ascii="宋体" w:hAnsi="宋体" w:cs="宋体" w:eastAsia="宋体" w:hint="default"/>
        </w:rPr>
        <w:t>2019</w:t>
      </w:r>
      <w:r>
        <w:rPr>
          <w:rFonts w:ascii="宋体" w:hAnsi="宋体" w:cs="宋体" w:eastAsia="宋体" w:hint="default"/>
          <w:spacing w:val="-57"/>
        </w:rPr>
        <w:t> </w:t>
      </w:r>
      <w:r>
        <w:rPr/>
        <w:t>年广东省企业</w:t>
      </w:r>
      <w:r>
        <w:rPr>
          <w:spacing w:val="-55"/>
        </w:rPr>
        <w:t> </w:t>
      </w:r>
      <w:r>
        <w:rPr>
          <w:rFonts w:ascii="宋体" w:hAnsi="宋体" w:cs="宋体" w:eastAsia="宋体" w:hint="default"/>
        </w:rPr>
        <w:t>500</w:t>
      </w:r>
      <w:r>
        <w:rPr>
          <w:rFonts w:ascii="宋体" w:hAnsi="宋体" w:cs="宋体" w:eastAsia="宋体" w:hint="default"/>
          <w:spacing w:val="-57"/>
        </w:rPr>
        <w:t> </w:t>
      </w:r>
      <w:r>
        <w:rPr/>
        <w:t>强、</w:t>
      </w:r>
      <w:r>
        <w:rPr>
          <w:rFonts w:ascii="宋体" w:hAnsi="宋体" w:cs="宋体" w:eastAsia="宋体" w:hint="default"/>
        </w:rPr>
        <w:t>2019</w:t>
      </w:r>
      <w:r>
        <w:rPr>
          <w:rFonts w:ascii="宋体" w:hAnsi="宋体" w:cs="宋体" w:eastAsia="宋体" w:hint="default"/>
          <w:spacing w:val="-55"/>
        </w:rPr>
        <w:t> </w:t>
      </w:r>
      <w:r>
        <w:rPr/>
        <w:t>年广东省民营企业</w:t>
      </w:r>
      <w:r>
        <w:rPr>
          <w:spacing w:val="-54"/>
        </w:rPr>
        <w:t> </w:t>
      </w:r>
      <w:r>
        <w:rPr>
          <w:rFonts w:ascii="宋体" w:hAnsi="宋体" w:cs="宋体" w:eastAsia="宋体" w:hint="default"/>
        </w:rPr>
        <w:t>100</w:t>
      </w:r>
      <w:r>
        <w:rPr>
          <w:rFonts w:ascii="宋体" w:hAnsi="宋体" w:cs="宋体" w:eastAsia="宋体" w:hint="default"/>
          <w:spacing w:val="-55"/>
        </w:rPr>
        <w:t> </w:t>
      </w:r>
      <w:r>
        <w:rPr/>
        <w:t>强、</w:t>
      </w:r>
      <w:r>
        <w:rPr>
          <w:rFonts w:ascii="宋体" w:hAnsi="宋体" w:cs="宋体" w:eastAsia="宋体" w:hint="default"/>
        </w:rPr>
        <w:t>2019</w:t>
      </w:r>
      <w:r>
        <w:rPr>
          <w:rFonts w:ascii="宋体" w:hAnsi="宋体" w:cs="宋体" w:eastAsia="宋体" w:hint="default"/>
          <w:w w:val="100"/>
        </w:rPr>
        <w:t> </w:t>
      </w:r>
      <w:r>
        <w:rPr>
          <w:spacing w:val="-2"/>
          <w:w w:val="100"/>
        </w:rPr>
        <w:t>年广东省服务业</w:t>
      </w:r>
      <w:r>
        <w:rPr>
          <w:spacing w:val="-43"/>
          <w:w w:val="100"/>
        </w:rPr>
        <w:t> </w:t>
      </w:r>
      <w:r>
        <w:rPr>
          <w:rFonts w:ascii="宋体" w:hAnsi="宋体" w:cs="宋体" w:eastAsia="宋体" w:hint="default"/>
          <w:w w:val="100"/>
        </w:rPr>
        <w:t>100</w:t>
      </w:r>
      <w:r>
        <w:rPr>
          <w:rFonts w:ascii="宋体" w:hAnsi="宋体" w:cs="宋体" w:eastAsia="宋体" w:hint="default"/>
          <w:spacing w:val="-45"/>
          <w:w w:val="100"/>
        </w:rPr>
        <w:t> </w:t>
      </w:r>
      <w:r>
        <w:rPr>
          <w:spacing w:val="-5"/>
          <w:w w:val="100"/>
        </w:rPr>
        <w:t>强、“连续十七年（</w:t>
      </w:r>
      <w:r>
        <w:rPr>
          <w:rFonts w:ascii="宋体" w:hAnsi="宋体" w:cs="宋体" w:eastAsia="宋体" w:hint="default"/>
          <w:spacing w:val="-5"/>
          <w:w w:val="100"/>
        </w:rPr>
        <w:t>2002-2018</w:t>
      </w:r>
      <w:r>
        <w:rPr>
          <w:spacing w:val="-5"/>
          <w:w w:val="100"/>
        </w:rPr>
        <w:t>）广东省守合同重信用企业”等。</w:t>
      </w:r>
      <w:r>
        <w:rPr>
          <w:rFonts w:ascii="宋体" w:hAnsi="宋体" w:cs="宋体" w:eastAsia="宋体" w:hint="default"/>
          <w:w w:val="100"/>
        </w:rPr>
        <w:t> </w:t>
      </w:r>
    </w:p>
    <w:p>
      <w:pPr>
        <w:pStyle w:val="Heading3"/>
        <w:spacing w:line="240" w:lineRule="auto" w:before="46"/>
        <w:ind w:left="575" w:right="1133"/>
        <w:jc w:val="left"/>
        <w:rPr>
          <w:rFonts w:ascii="宋体" w:hAnsi="宋体" w:cs="宋体" w:eastAsia="宋体" w:hint="default"/>
          <w:b w:val="0"/>
          <w:bCs w:val="0"/>
        </w:rPr>
      </w:pPr>
      <w:r>
        <w:rPr>
          <w:rFonts w:ascii="宋体" w:hAnsi="宋体" w:cs="宋体" w:eastAsia="宋体" w:hint="default"/>
        </w:rPr>
        <w:t>3</w:t>
      </w:r>
      <w:r>
        <w:rPr/>
        <w:t>、金融服务外包业务</w:t>
      </w:r>
      <w:r>
        <w:rPr>
          <w:rFonts w:ascii="宋体" w:hAnsi="宋体" w:cs="宋体" w:eastAsia="宋体" w:hint="default"/>
          <w:w w:val="99"/>
        </w:rPr>
        <w:t> </w:t>
      </w:r>
      <w:r>
        <w:rPr>
          <w:rFonts w:ascii="宋体" w:hAnsi="宋体" w:cs="宋体" w:eastAsia="宋体" w:hint="default"/>
          <w:b w:val="0"/>
          <w:bCs w:val="0"/>
        </w:rPr>
      </w:r>
    </w:p>
    <w:p>
      <w:pPr>
        <w:pStyle w:val="BodyText"/>
        <w:spacing w:line="273" w:lineRule="auto" w:before="78"/>
        <w:ind w:right="1126" w:firstLine="420"/>
        <w:jc w:val="both"/>
        <w:rPr>
          <w:rFonts w:ascii="宋体" w:hAnsi="宋体" w:cs="宋体" w:eastAsia="宋体" w:hint="default"/>
        </w:rPr>
      </w:pPr>
      <w:r>
        <w:rPr>
          <w:spacing w:val="-2"/>
        </w:rPr>
        <w:t>金融服务外包是指金融机构将部分业务流程或职能委托给专业服务商，由专业服务商为其提供相应的</w:t>
      </w:r>
      <w:r>
        <w:rPr>
          <w:w w:val="100"/>
        </w:rPr>
        <w:t> </w:t>
      </w:r>
      <w:r>
        <w:rPr>
          <w:spacing w:val="-2"/>
        </w:rPr>
        <w:t>服务。金融服务外包帮助金融机构实现对辅助业务的有效控制，改善辅助业务对核心业务的支撑作用，有</w:t>
      </w:r>
      <w:r>
        <w:rPr>
          <w:spacing w:val="-43"/>
        </w:rPr>
        <w:t> </w:t>
      </w:r>
      <w:r>
        <w:rPr>
          <w:spacing w:val="-43"/>
        </w:rPr>
      </w:r>
      <w:r>
        <w:rPr/>
        <w:t>利于金融机构降低成本、优化产业、提升企业核心竞争力。</w:t>
      </w:r>
      <w:r>
        <w:rPr>
          <w:rFonts w:ascii="宋体" w:hAnsi="宋体" w:cs="宋体" w:eastAsia="宋体" w:hint="default"/>
        </w:rPr>
        <w:t> </w:t>
      </w:r>
    </w:p>
    <w:p>
      <w:pPr>
        <w:pStyle w:val="BodyText"/>
        <w:spacing w:line="273" w:lineRule="auto" w:before="48"/>
        <w:ind w:right="1126" w:firstLine="420"/>
        <w:jc w:val="both"/>
        <w:rPr>
          <w:rFonts w:ascii="宋体" w:hAnsi="宋体" w:cs="宋体" w:eastAsia="宋体" w:hint="default"/>
        </w:rPr>
      </w:pPr>
      <w:r>
        <w:rPr>
          <w:spacing w:val="-2"/>
        </w:rPr>
        <w:t>近年来，在我国金融业对外开放加快及市场竞争日益加剧的环境下，随着《关于金融支持服务外包产</w:t>
      </w:r>
      <w:r>
        <w:rPr>
          <w:w w:val="100"/>
        </w:rPr>
        <w:t> </w:t>
      </w:r>
      <w:r>
        <w:rPr>
          <w:spacing w:val="-2"/>
        </w:rPr>
        <w:t>业发展的若干意见》等支持性政策的相继出台，国内金融机构更加关注自身核心业务的发展创新和整体经</w:t>
      </w:r>
      <w:r>
        <w:rPr>
          <w:spacing w:val="-43"/>
        </w:rPr>
        <w:t> </w:t>
      </w:r>
      <w:r>
        <w:rPr>
          <w:spacing w:val="-43"/>
        </w:rPr>
      </w:r>
      <w:r>
        <w:rPr/>
        <w:t>营效益的提升，并开始外包部分非核心业务，金融服务外包行业因此得到快速发展。</w:t>
      </w:r>
      <w:r>
        <w:rPr>
          <w:rFonts w:ascii="宋体" w:hAnsi="宋体" w:cs="宋体" w:eastAsia="宋体" w:hint="default"/>
        </w:rPr>
        <w:t> </w:t>
      </w:r>
    </w:p>
    <w:p>
      <w:pPr>
        <w:pStyle w:val="BodyText"/>
        <w:spacing w:line="273" w:lineRule="auto" w:before="46"/>
        <w:ind w:right="1127" w:firstLine="420"/>
        <w:jc w:val="both"/>
        <w:rPr>
          <w:rFonts w:ascii="宋体" w:hAnsi="宋体" w:cs="宋体" w:eastAsia="宋体" w:hint="default"/>
        </w:rPr>
      </w:pPr>
      <w:r>
        <w:rPr>
          <w:spacing w:val="-2"/>
        </w:rPr>
        <w:t>金融服务外包需求随着银行信用卡发卡量及消费信贷规模的扩大等因素而增长，不存在明显的周期性</w:t>
      </w:r>
      <w:r>
        <w:rPr>
          <w:w w:val="100"/>
        </w:rPr>
        <w:t> </w:t>
      </w:r>
      <w:r>
        <w:rPr/>
        <w:t>和季节性特征。</w:t>
      </w:r>
      <w:r>
        <w:rPr>
          <w:rFonts w:ascii="宋体" w:hAnsi="宋体" w:cs="宋体" w:eastAsia="宋体" w:hint="default"/>
        </w:rPr>
        <w:t> </w:t>
      </w:r>
    </w:p>
    <w:p>
      <w:pPr>
        <w:pStyle w:val="BodyText"/>
        <w:spacing w:line="240" w:lineRule="auto" w:before="48"/>
        <w:ind w:left="573" w:right="819"/>
        <w:jc w:val="left"/>
      </w:pPr>
      <w:r>
        <w:rPr/>
        <w:t>我国金融服务外包行业整体集中度较低，市场较为分散，在竞争激烈的金融服务外包行业中，只有规</w:t>
      </w:r>
    </w:p>
    <w:p>
      <w:pPr>
        <w:spacing w:after="0" w:line="240" w:lineRule="auto"/>
        <w:jc w:val="left"/>
        <w:sectPr>
          <w:pgSz w:w="11910" w:h="16840"/>
          <w:pgMar w:header="880" w:footer="975" w:top="1100" w:bottom="1160" w:left="980" w:right="0"/>
        </w:sectPr>
      </w:pPr>
    </w:p>
    <w:p>
      <w:pPr>
        <w:spacing w:line="240" w:lineRule="auto" w:before="11"/>
        <w:rPr>
          <w:rFonts w:ascii="宋体" w:hAnsi="宋体" w:cs="宋体" w:eastAsia="宋体" w:hint="default"/>
          <w:sz w:val="20"/>
          <w:szCs w:val="20"/>
        </w:rPr>
      </w:pPr>
    </w:p>
    <w:p>
      <w:pPr>
        <w:pStyle w:val="BodyText"/>
        <w:spacing w:line="273" w:lineRule="auto" w:before="36"/>
        <w:ind w:right="1126"/>
        <w:jc w:val="both"/>
        <w:rPr>
          <w:rFonts w:ascii="宋体" w:hAnsi="宋体" w:cs="宋体" w:eastAsia="宋体" w:hint="default"/>
        </w:rPr>
      </w:pPr>
      <w:r>
        <w:rPr>
          <w:spacing w:val="-2"/>
        </w:rPr>
        <w:t>模较大、经验丰富、熟悉银行情况的外包服务商才能与中、大型银行建立长期、稳定的合作关系。凭借在</w:t>
      </w:r>
      <w:r>
        <w:rPr>
          <w:spacing w:val="-43"/>
        </w:rPr>
        <w:t> </w:t>
      </w:r>
      <w:r>
        <w:rPr>
          <w:spacing w:val="-43"/>
        </w:rPr>
      </w:r>
      <w:r>
        <w:rPr>
          <w:spacing w:val="-2"/>
        </w:rPr>
        <w:t>行业内多年的发展、周到的客户服务，嘉华信息已经在金融服务外包行业内建立了一定的品牌知名度，并</w:t>
      </w:r>
      <w:r>
        <w:rPr>
          <w:spacing w:val="-42"/>
        </w:rPr>
        <w:t> </w:t>
      </w:r>
      <w:r>
        <w:rPr>
          <w:spacing w:val="-42"/>
        </w:rPr>
      </w:r>
      <w:r>
        <w:rPr>
          <w:spacing w:val="-2"/>
        </w:rPr>
        <w:t>已经与包括光大银行、民生银行、兴业银行、中国建设银行、招商银行在内的多家中大型股份制银行建立</w:t>
      </w:r>
      <w:r>
        <w:rPr>
          <w:spacing w:val="-46"/>
        </w:rPr>
        <w:t> </w:t>
      </w:r>
      <w:r>
        <w:rPr>
          <w:spacing w:val="-46"/>
        </w:rPr>
      </w:r>
      <w:r>
        <w:rPr>
          <w:spacing w:val="-2"/>
        </w:rPr>
        <w:t>了良好、稳定的长期合作。目前，嘉华信息在沈阳等地设立有呼叫中心及客户服务中心，自有的一线话务</w:t>
      </w:r>
      <w:r>
        <w:rPr>
          <w:spacing w:val="-47"/>
        </w:rPr>
        <w:t> </w:t>
      </w:r>
      <w:r>
        <w:rPr>
          <w:spacing w:val="-47"/>
        </w:rPr>
      </w:r>
      <w:r>
        <w:rPr/>
        <w:t>团队规模超千人。</w:t>
      </w:r>
      <w:r>
        <w:rPr>
          <w:rFonts w:ascii="宋体" w:hAnsi="宋体" w:cs="宋体" w:eastAsia="宋体" w:hint="default"/>
        </w:rPr>
        <w:t> </w:t>
      </w:r>
    </w:p>
    <w:p>
      <w:pPr>
        <w:spacing w:line="240" w:lineRule="auto" w:before="13"/>
        <w:rPr>
          <w:rFonts w:ascii="宋体" w:hAnsi="宋体" w:cs="宋体" w:eastAsia="宋体" w:hint="default"/>
          <w:sz w:val="16"/>
          <w:szCs w:val="16"/>
        </w:rPr>
      </w:pPr>
    </w:p>
    <w:p>
      <w:pPr>
        <w:pStyle w:val="Heading2"/>
        <w:spacing w:line="240" w:lineRule="auto" w:before="0"/>
        <w:ind w:left="633" w:right="1133"/>
        <w:jc w:val="left"/>
        <w:rPr>
          <w:b w:val="0"/>
          <w:bCs w:val="0"/>
        </w:rPr>
      </w:pPr>
      <w:r>
        <w:rPr/>
        <w:t>二、主要资产重大变化情况</w:t>
      </w:r>
      <w:r>
        <w:rPr>
          <w:b w:val="0"/>
          <w:bCs w:val="0"/>
        </w:rPr>
      </w:r>
    </w:p>
    <w:p>
      <w:pPr>
        <w:spacing w:line="240" w:lineRule="auto" w:before="2"/>
        <w:rPr>
          <w:rFonts w:ascii="宋体" w:hAnsi="宋体" w:cs="宋体" w:eastAsia="宋体" w:hint="default"/>
          <w:b/>
          <w:bCs/>
          <w:sz w:val="20"/>
          <w:szCs w:val="20"/>
        </w:rPr>
      </w:pPr>
    </w:p>
    <w:p>
      <w:pPr>
        <w:pStyle w:val="Heading3"/>
        <w:spacing w:line="240" w:lineRule="auto" w:before="0"/>
        <w:ind w:left="587" w:right="1133"/>
        <w:jc w:val="left"/>
        <w:rPr>
          <w:b w:val="0"/>
          <w:bCs w:val="0"/>
        </w:rPr>
      </w:pPr>
      <w:r>
        <w:rPr/>
        <w:t>（一）主要资产重大变化情况</w:t>
      </w:r>
      <w:r>
        <w:rPr>
          <w:b w:val="0"/>
          <w:bCs w:val="0"/>
        </w:rPr>
      </w:r>
    </w:p>
    <w:p>
      <w:pPr>
        <w:spacing w:line="240" w:lineRule="auto" w:before="10"/>
        <w:rPr>
          <w:rFonts w:ascii="宋体" w:hAnsi="宋体" w:cs="宋体" w:eastAsia="宋体" w:hint="default"/>
          <w:b/>
          <w:bCs/>
          <w:sz w:val="3"/>
          <w:szCs w:val="3"/>
        </w:rPr>
      </w:pPr>
    </w:p>
    <w:tbl>
      <w:tblPr>
        <w:tblW w:w="0" w:type="auto"/>
        <w:jc w:val="left"/>
        <w:tblInd w:w="148" w:type="dxa"/>
        <w:tblLayout w:type="fixed"/>
        <w:tblCellMar>
          <w:top w:w="0" w:type="dxa"/>
          <w:left w:w="0" w:type="dxa"/>
          <w:bottom w:w="0" w:type="dxa"/>
          <w:right w:w="0" w:type="dxa"/>
        </w:tblCellMar>
        <w:tblLook w:val="01E0"/>
      </w:tblPr>
      <w:tblGrid>
        <w:gridCol w:w="2127"/>
        <w:gridCol w:w="7514"/>
      </w:tblGrid>
      <w:tr>
        <w:trPr>
          <w:trHeight w:val="506" w:hRule="exact"/>
        </w:trPr>
        <w:tc>
          <w:tcPr>
            <w:tcW w:w="21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4"/>
              <w:ind w:left="698" w:right="0"/>
              <w:jc w:val="left"/>
              <w:rPr>
                <w:rFonts w:ascii="宋体" w:hAnsi="宋体" w:cs="宋体" w:eastAsia="宋体" w:hint="default"/>
                <w:sz w:val="18"/>
                <w:szCs w:val="18"/>
              </w:rPr>
            </w:pPr>
            <w:r>
              <w:rPr>
                <w:rFonts w:ascii="宋体" w:hAnsi="宋体" w:cs="宋体" w:eastAsia="宋体" w:hint="default"/>
                <w:sz w:val="18"/>
                <w:szCs w:val="18"/>
              </w:rPr>
              <w:t>主要资产</w:t>
            </w:r>
          </w:p>
        </w:tc>
        <w:tc>
          <w:tcPr>
            <w:tcW w:w="75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4"/>
              <w:ind w:right="0"/>
              <w:jc w:val="center"/>
              <w:rPr>
                <w:rFonts w:ascii="宋体" w:hAnsi="宋体" w:cs="宋体" w:eastAsia="宋体" w:hint="default"/>
                <w:sz w:val="18"/>
                <w:szCs w:val="18"/>
              </w:rPr>
            </w:pPr>
            <w:r>
              <w:rPr>
                <w:rFonts w:ascii="宋体" w:hAnsi="宋体" w:cs="宋体" w:eastAsia="宋体" w:hint="default"/>
                <w:sz w:val="18"/>
                <w:szCs w:val="18"/>
              </w:rPr>
              <w:t>重大变化说明</w:t>
            </w:r>
          </w:p>
        </w:tc>
      </w:tr>
      <w:tr>
        <w:trPr>
          <w:trHeight w:val="322" w:hRule="exact"/>
        </w:trPr>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应收票据</w:t>
            </w:r>
            <w:r>
              <w:rPr>
                <w:rFonts w:ascii="宋体" w:hAnsi="宋体" w:cs="宋体" w:eastAsia="宋体" w:hint="default"/>
                <w:sz w:val="18"/>
                <w:szCs w:val="18"/>
              </w:rPr>
              <w:t> </w:t>
            </w:r>
          </w:p>
        </w:tc>
        <w:tc>
          <w:tcPr>
            <w:tcW w:w="7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比期初减少</w:t>
            </w:r>
            <w:r>
              <w:rPr>
                <w:rFonts w:ascii="宋体" w:hAnsi="宋体" w:cs="宋体" w:eastAsia="宋体" w:hint="default"/>
                <w:spacing w:val="-47"/>
                <w:sz w:val="18"/>
                <w:szCs w:val="18"/>
              </w:rPr>
              <w:t> </w:t>
            </w:r>
            <w:r>
              <w:rPr>
                <w:rFonts w:ascii="宋体" w:hAnsi="宋体" w:cs="宋体" w:eastAsia="宋体" w:hint="default"/>
                <w:sz w:val="18"/>
                <w:szCs w:val="18"/>
              </w:rPr>
              <w:t>962.05</w:t>
            </w:r>
            <w:r>
              <w:rPr>
                <w:rFonts w:ascii="宋体" w:hAnsi="宋体" w:cs="宋体" w:eastAsia="宋体" w:hint="default"/>
                <w:spacing w:val="-46"/>
                <w:sz w:val="18"/>
                <w:szCs w:val="18"/>
              </w:rPr>
              <w:t> </w:t>
            </w:r>
            <w:r>
              <w:rPr>
                <w:rFonts w:ascii="宋体" w:hAnsi="宋体" w:cs="宋体" w:eastAsia="宋体" w:hint="default"/>
                <w:sz w:val="18"/>
                <w:szCs w:val="18"/>
              </w:rPr>
              <w:t>万元，降幅</w:t>
            </w:r>
            <w:r>
              <w:rPr>
                <w:rFonts w:ascii="宋体" w:hAnsi="宋体" w:cs="宋体" w:eastAsia="宋体" w:hint="default"/>
                <w:spacing w:val="-48"/>
                <w:sz w:val="18"/>
                <w:szCs w:val="18"/>
              </w:rPr>
              <w:t> </w:t>
            </w:r>
            <w:r>
              <w:rPr>
                <w:rFonts w:ascii="宋体" w:hAnsi="宋体" w:cs="宋体" w:eastAsia="宋体" w:hint="default"/>
                <w:sz w:val="18"/>
                <w:szCs w:val="18"/>
              </w:rPr>
              <w:t>94.18%</w:t>
            </w:r>
            <w:r>
              <w:rPr>
                <w:rFonts w:ascii="宋体" w:hAnsi="宋体" w:cs="宋体" w:eastAsia="宋体" w:hint="default"/>
                <w:sz w:val="18"/>
                <w:szCs w:val="18"/>
              </w:rPr>
              <w:t>，主要是子公司长实通信票据到期承兑。</w:t>
            </w:r>
            <w:r>
              <w:rPr>
                <w:rFonts w:ascii="宋体" w:hAnsi="宋体" w:cs="宋体" w:eastAsia="宋体" w:hint="default"/>
                <w:sz w:val="18"/>
                <w:szCs w:val="18"/>
              </w:rPr>
              <w:t> </w:t>
            </w:r>
          </w:p>
        </w:tc>
      </w:tr>
      <w:tr>
        <w:trPr>
          <w:trHeight w:val="324" w:hRule="exact"/>
        </w:trPr>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存货</w:t>
            </w:r>
            <w:r>
              <w:rPr>
                <w:rFonts w:ascii="宋体" w:hAnsi="宋体" w:cs="宋体" w:eastAsia="宋体" w:hint="default"/>
                <w:sz w:val="18"/>
                <w:szCs w:val="18"/>
              </w:rPr>
              <w:t> </w:t>
            </w:r>
          </w:p>
        </w:tc>
        <w:tc>
          <w:tcPr>
            <w:tcW w:w="7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23" w:right="0"/>
              <w:jc w:val="left"/>
              <w:rPr>
                <w:rFonts w:ascii="宋体" w:hAnsi="宋体" w:cs="宋体" w:eastAsia="宋体" w:hint="default"/>
                <w:sz w:val="18"/>
                <w:szCs w:val="18"/>
              </w:rPr>
            </w:pPr>
            <w:r>
              <w:rPr>
                <w:rFonts w:ascii="宋体" w:hAnsi="宋体" w:cs="宋体" w:eastAsia="宋体" w:hint="default"/>
                <w:sz w:val="18"/>
                <w:szCs w:val="18"/>
              </w:rPr>
              <w:t>比期初减少</w:t>
            </w:r>
            <w:r>
              <w:rPr>
                <w:rFonts w:ascii="宋体" w:hAnsi="宋体" w:cs="宋体" w:eastAsia="宋体" w:hint="default"/>
                <w:spacing w:val="-47"/>
                <w:sz w:val="18"/>
                <w:szCs w:val="18"/>
              </w:rPr>
              <w:t> </w:t>
            </w:r>
            <w:r>
              <w:rPr>
                <w:rFonts w:ascii="宋体" w:hAnsi="宋体" w:cs="宋体" w:eastAsia="宋体" w:hint="default"/>
                <w:sz w:val="18"/>
                <w:szCs w:val="18"/>
              </w:rPr>
              <w:t>1,607.49</w:t>
            </w:r>
            <w:r>
              <w:rPr>
                <w:rFonts w:ascii="宋体" w:hAnsi="宋体" w:cs="宋体" w:eastAsia="宋体" w:hint="default"/>
                <w:spacing w:val="-46"/>
                <w:sz w:val="18"/>
                <w:szCs w:val="18"/>
              </w:rPr>
              <w:t> </w:t>
            </w:r>
            <w:r>
              <w:rPr>
                <w:rFonts w:ascii="宋体" w:hAnsi="宋体" w:cs="宋体" w:eastAsia="宋体" w:hint="default"/>
                <w:sz w:val="18"/>
                <w:szCs w:val="18"/>
              </w:rPr>
              <w:t>万元，降幅</w:t>
            </w:r>
            <w:r>
              <w:rPr>
                <w:rFonts w:ascii="宋体" w:hAnsi="宋体" w:cs="宋体" w:eastAsia="宋体" w:hint="default"/>
                <w:spacing w:val="-48"/>
                <w:sz w:val="18"/>
                <w:szCs w:val="18"/>
              </w:rPr>
              <w:t> </w:t>
            </w:r>
            <w:r>
              <w:rPr>
                <w:rFonts w:ascii="宋体" w:hAnsi="宋体" w:cs="宋体" w:eastAsia="宋体" w:hint="default"/>
                <w:sz w:val="18"/>
                <w:szCs w:val="18"/>
              </w:rPr>
              <w:t>33.67%</w:t>
            </w:r>
            <w:r>
              <w:rPr>
                <w:rFonts w:ascii="宋体" w:hAnsi="宋体" w:cs="宋体" w:eastAsia="宋体" w:hint="default"/>
                <w:sz w:val="18"/>
                <w:szCs w:val="18"/>
              </w:rPr>
              <w:t>，是长实通信业务下降，影响存货同向下降。</w:t>
            </w:r>
            <w:r>
              <w:rPr>
                <w:rFonts w:ascii="宋体" w:hAnsi="宋体" w:cs="宋体" w:eastAsia="宋体" w:hint="default"/>
                <w:sz w:val="18"/>
                <w:szCs w:val="18"/>
              </w:rPr>
              <w:t> </w:t>
            </w:r>
          </w:p>
        </w:tc>
      </w:tr>
      <w:tr>
        <w:trPr>
          <w:trHeight w:val="322" w:hRule="exact"/>
        </w:trPr>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r>
              <w:rPr>
                <w:rFonts w:ascii="宋体" w:hAnsi="宋体" w:cs="宋体" w:eastAsia="宋体" w:hint="default"/>
                <w:sz w:val="18"/>
                <w:szCs w:val="18"/>
              </w:rPr>
              <w:t> </w:t>
            </w:r>
          </w:p>
        </w:tc>
        <w:tc>
          <w:tcPr>
            <w:tcW w:w="7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比期初减少</w:t>
            </w:r>
            <w:r>
              <w:rPr>
                <w:rFonts w:ascii="宋体" w:hAnsi="宋体" w:cs="宋体" w:eastAsia="宋体" w:hint="default"/>
                <w:spacing w:val="-47"/>
                <w:sz w:val="18"/>
                <w:szCs w:val="18"/>
              </w:rPr>
              <w:t> </w:t>
            </w:r>
            <w:r>
              <w:rPr>
                <w:rFonts w:ascii="宋体" w:hAnsi="宋体" w:cs="宋体" w:eastAsia="宋体" w:hint="default"/>
                <w:sz w:val="18"/>
                <w:szCs w:val="18"/>
              </w:rPr>
              <w:t>8,682.03</w:t>
            </w:r>
            <w:r>
              <w:rPr>
                <w:rFonts w:ascii="宋体" w:hAnsi="宋体" w:cs="宋体" w:eastAsia="宋体" w:hint="default"/>
                <w:spacing w:val="-46"/>
                <w:sz w:val="18"/>
                <w:szCs w:val="18"/>
              </w:rPr>
              <w:t> </w:t>
            </w:r>
            <w:r>
              <w:rPr>
                <w:rFonts w:ascii="宋体" w:hAnsi="宋体" w:cs="宋体" w:eastAsia="宋体" w:hint="default"/>
                <w:sz w:val="18"/>
                <w:szCs w:val="18"/>
              </w:rPr>
              <w:t>万元，降幅</w:t>
            </w:r>
            <w:r>
              <w:rPr>
                <w:rFonts w:ascii="宋体" w:hAnsi="宋体" w:cs="宋体" w:eastAsia="宋体" w:hint="default"/>
                <w:spacing w:val="-48"/>
                <w:sz w:val="18"/>
                <w:szCs w:val="18"/>
              </w:rPr>
              <w:t> </w:t>
            </w:r>
            <w:r>
              <w:rPr>
                <w:rFonts w:ascii="宋体" w:hAnsi="宋体" w:cs="宋体" w:eastAsia="宋体" w:hint="default"/>
                <w:sz w:val="18"/>
                <w:szCs w:val="18"/>
              </w:rPr>
              <w:t>100%</w:t>
            </w:r>
            <w:r>
              <w:rPr>
                <w:rFonts w:ascii="宋体" w:hAnsi="宋体" w:cs="宋体" w:eastAsia="宋体" w:hint="default"/>
                <w:sz w:val="18"/>
                <w:szCs w:val="18"/>
              </w:rPr>
              <w:t>，是业务重组。</w:t>
            </w:r>
            <w:r>
              <w:rPr>
                <w:rFonts w:ascii="宋体" w:hAnsi="宋体" w:cs="宋体" w:eastAsia="宋体" w:hint="default"/>
                <w:sz w:val="18"/>
                <w:szCs w:val="18"/>
              </w:rPr>
              <w:t> </w:t>
            </w:r>
          </w:p>
        </w:tc>
      </w:tr>
      <w:tr>
        <w:trPr>
          <w:trHeight w:val="322" w:hRule="exact"/>
        </w:trPr>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长期应收款</w:t>
            </w:r>
            <w:r>
              <w:rPr>
                <w:rFonts w:ascii="宋体" w:hAnsi="宋体" w:cs="宋体" w:eastAsia="宋体" w:hint="default"/>
                <w:sz w:val="18"/>
                <w:szCs w:val="18"/>
              </w:rPr>
              <w:t> </w:t>
            </w:r>
          </w:p>
        </w:tc>
        <w:tc>
          <w:tcPr>
            <w:tcW w:w="7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3" w:right="0"/>
              <w:jc w:val="left"/>
              <w:rPr>
                <w:rFonts w:ascii="宋体" w:hAnsi="宋体" w:cs="宋体" w:eastAsia="宋体" w:hint="default"/>
                <w:sz w:val="18"/>
                <w:szCs w:val="18"/>
              </w:rPr>
            </w:pPr>
            <w:r>
              <w:rPr>
                <w:rFonts w:ascii="宋体" w:hAnsi="宋体" w:cs="宋体" w:eastAsia="宋体" w:hint="default"/>
                <w:sz w:val="18"/>
                <w:szCs w:val="18"/>
              </w:rPr>
              <w:t>比期初减少</w:t>
            </w:r>
            <w:r>
              <w:rPr>
                <w:rFonts w:ascii="宋体" w:hAnsi="宋体" w:cs="宋体" w:eastAsia="宋体" w:hint="default"/>
                <w:spacing w:val="-47"/>
                <w:sz w:val="18"/>
                <w:szCs w:val="18"/>
              </w:rPr>
              <w:t> </w:t>
            </w:r>
            <w:r>
              <w:rPr>
                <w:rFonts w:ascii="宋体" w:hAnsi="宋体" w:cs="宋体" w:eastAsia="宋体" w:hint="default"/>
                <w:sz w:val="18"/>
                <w:szCs w:val="18"/>
              </w:rPr>
              <w:t>8,420.18</w:t>
            </w:r>
            <w:r>
              <w:rPr>
                <w:rFonts w:ascii="宋体" w:hAnsi="宋体" w:cs="宋体" w:eastAsia="宋体" w:hint="default"/>
                <w:spacing w:val="-46"/>
                <w:sz w:val="18"/>
                <w:szCs w:val="18"/>
              </w:rPr>
              <w:t> </w:t>
            </w:r>
            <w:r>
              <w:rPr>
                <w:rFonts w:ascii="宋体" w:hAnsi="宋体" w:cs="宋体" w:eastAsia="宋体" w:hint="default"/>
                <w:sz w:val="18"/>
                <w:szCs w:val="18"/>
              </w:rPr>
              <w:t>万元，降幅</w:t>
            </w:r>
            <w:r>
              <w:rPr>
                <w:rFonts w:ascii="宋体" w:hAnsi="宋体" w:cs="宋体" w:eastAsia="宋体" w:hint="default"/>
                <w:spacing w:val="-48"/>
                <w:sz w:val="18"/>
                <w:szCs w:val="18"/>
              </w:rPr>
              <w:t> </w:t>
            </w:r>
            <w:r>
              <w:rPr>
                <w:rFonts w:ascii="宋体" w:hAnsi="宋体" w:cs="宋体" w:eastAsia="宋体" w:hint="default"/>
                <w:sz w:val="18"/>
                <w:szCs w:val="18"/>
              </w:rPr>
              <w:t>100%</w:t>
            </w:r>
            <w:r>
              <w:rPr>
                <w:rFonts w:ascii="宋体" w:hAnsi="宋体" w:cs="宋体" w:eastAsia="宋体" w:hint="default"/>
                <w:sz w:val="18"/>
                <w:szCs w:val="18"/>
              </w:rPr>
              <w:t>，是业务重组。</w:t>
            </w:r>
            <w:r>
              <w:rPr>
                <w:rFonts w:ascii="宋体" w:hAnsi="宋体" w:cs="宋体" w:eastAsia="宋体" w:hint="default"/>
                <w:sz w:val="18"/>
                <w:szCs w:val="18"/>
              </w:rPr>
              <w:t> </w:t>
            </w:r>
          </w:p>
        </w:tc>
      </w:tr>
      <w:tr>
        <w:trPr>
          <w:trHeight w:val="322" w:hRule="exact"/>
        </w:trPr>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在建工程</w:t>
            </w:r>
            <w:r>
              <w:rPr>
                <w:rFonts w:ascii="宋体" w:hAnsi="宋体" w:cs="宋体" w:eastAsia="宋体" w:hint="default"/>
                <w:sz w:val="18"/>
                <w:szCs w:val="18"/>
              </w:rPr>
              <w:t> </w:t>
            </w:r>
          </w:p>
        </w:tc>
        <w:tc>
          <w:tcPr>
            <w:tcW w:w="7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比期初增加</w:t>
            </w:r>
            <w:r>
              <w:rPr>
                <w:rFonts w:ascii="宋体" w:hAnsi="宋体" w:cs="宋体" w:eastAsia="宋体" w:hint="default"/>
                <w:spacing w:val="-46"/>
                <w:sz w:val="18"/>
                <w:szCs w:val="18"/>
              </w:rPr>
              <w:t> </w:t>
            </w:r>
            <w:r>
              <w:rPr>
                <w:rFonts w:ascii="宋体" w:hAnsi="宋体" w:cs="宋体" w:eastAsia="宋体" w:hint="default"/>
                <w:sz w:val="18"/>
                <w:szCs w:val="18"/>
              </w:rPr>
              <w:t>4.82</w:t>
            </w:r>
            <w:r>
              <w:rPr>
                <w:rFonts w:ascii="宋体" w:hAnsi="宋体" w:cs="宋体" w:eastAsia="宋体" w:hint="default"/>
                <w:spacing w:val="-45"/>
                <w:sz w:val="18"/>
                <w:szCs w:val="18"/>
              </w:rPr>
              <w:t> </w:t>
            </w:r>
            <w:r>
              <w:rPr>
                <w:rFonts w:ascii="宋体" w:hAnsi="宋体" w:cs="宋体" w:eastAsia="宋体" w:hint="default"/>
                <w:sz w:val="18"/>
                <w:szCs w:val="18"/>
              </w:rPr>
              <w:t>万元，增幅大于</w:t>
            </w:r>
            <w:r>
              <w:rPr>
                <w:rFonts w:ascii="宋体" w:hAnsi="宋体" w:cs="宋体" w:eastAsia="宋体" w:hint="default"/>
                <w:spacing w:val="-47"/>
                <w:sz w:val="18"/>
                <w:szCs w:val="18"/>
              </w:rPr>
              <w:t> </w:t>
            </w:r>
            <w:r>
              <w:rPr>
                <w:rFonts w:ascii="宋体" w:hAnsi="宋体" w:cs="宋体" w:eastAsia="宋体" w:hint="default"/>
                <w:sz w:val="18"/>
                <w:szCs w:val="18"/>
              </w:rPr>
              <w:t>100%</w:t>
            </w:r>
            <w:r>
              <w:rPr>
                <w:rFonts w:ascii="宋体" w:hAnsi="宋体" w:cs="宋体" w:eastAsia="宋体" w:hint="default"/>
                <w:sz w:val="18"/>
                <w:szCs w:val="18"/>
              </w:rPr>
              <w:t>，是站址建设。</w:t>
            </w:r>
            <w:r>
              <w:rPr>
                <w:rFonts w:ascii="宋体" w:hAnsi="宋体" w:cs="宋体" w:eastAsia="宋体" w:hint="default"/>
                <w:sz w:val="18"/>
                <w:szCs w:val="18"/>
              </w:rPr>
              <w:t> </w:t>
            </w:r>
          </w:p>
        </w:tc>
      </w:tr>
      <w:tr>
        <w:trPr>
          <w:trHeight w:val="634" w:hRule="exact"/>
        </w:trPr>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商誉</w:t>
            </w:r>
            <w:r>
              <w:rPr>
                <w:rFonts w:ascii="宋体" w:hAnsi="宋体" w:cs="宋体" w:eastAsia="宋体" w:hint="default"/>
                <w:sz w:val="18"/>
                <w:szCs w:val="18"/>
              </w:rPr>
              <w:t> </w:t>
            </w:r>
          </w:p>
        </w:tc>
        <w:tc>
          <w:tcPr>
            <w:tcW w:w="751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3" w:right="20"/>
              <w:jc w:val="left"/>
              <w:rPr>
                <w:rFonts w:ascii="宋体" w:hAnsi="宋体" w:cs="宋体" w:eastAsia="宋体" w:hint="default"/>
                <w:sz w:val="18"/>
                <w:szCs w:val="18"/>
              </w:rPr>
            </w:pPr>
            <w:r>
              <w:rPr>
                <w:rFonts w:ascii="宋体" w:hAnsi="宋体" w:cs="宋体" w:eastAsia="宋体" w:hint="default"/>
                <w:sz w:val="18"/>
                <w:szCs w:val="18"/>
              </w:rPr>
              <w:t>比期初减少</w:t>
            </w:r>
            <w:r>
              <w:rPr>
                <w:rFonts w:ascii="宋体" w:hAnsi="宋体" w:cs="宋体" w:eastAsia="宋体" w:hint="default"/>
                <w:spacing w:val="-57"/>
                <w:sz w:val="18"/>
                <w:szCs w:val="18"/>
              </w:rPr>
              <w:t> </w:t>
            </w:r>
            <w:r>
              <w:rPr>
                <w:rFonts w:ascii="宋体" w:hAnsi="宋体" w:cs="宋体" w:eastAsia="宋体" w:hint="default"/>
                <w:sz w:val="18"/>
                <w:szCs w:val="18"/>
              </w:rPr>
              <w:t>120,222.20</w:t>
            </w:r>
            <w:r>
              <w:rPr>
                <w:rFonts w:ascii="宋体" w:hAnsi="宋体" w:cs="宋体" w:eastAsia="宋体" w:hint="default"/>
                <w:spacing w:val="-57"/>
                <w:sz w:val="18"/>
                <w:szCs w:val="18"/>
              </w:rPr>
              <w:t> </w:t>
            </w:r>
            <w:r>
              <w:rPr>
                <w:rFonts w:ascii="宋体" w:hAnsi="宋体" w:cs="宋体" w:eastAsia="宋体" w:hint="default"/>
                <w:spacing w:val="-5"/>
                <w:sz w:val="18"/>
                <w:szCs w:val="18"/>
              </w:rPr>
              <w:t>万元，降幅</w:t>
            </w:r>
            <w:r>
              <w:rPr>
                <w:rFonts w:ascii="宋体" w:hAnsi="宋体" w:cs="宋体" w:eastAsia="宋体" w:hint="default"/>
                <w:spacing w:val="-58"/>
                <w:sz w:val="18"/>
                <w:szCs w:val="18"/>
              </w:rPr>
              <w:t> </w:t>
            </w:r>
            <w:r>
              <w:rPr>
                <w:rFonts w:ascii="宋体" w:hAnsi="宋体" w:cs="宋体" w:eastAsia="宋体" w:hint="default"/>
                <w:sz w:val="18"/>
                <w:szCs w:val="18"/>
              </w:rPr>
              <w:t>40.46%</w:t>
            </w:r>
            <w:r>
              <w:rPr>
                <w:rFonts w:ascii="宋体" w:hAnsi="宋体" w:cs="宋体" w:eastAsia="宋体" w:hint="default"/>
                <w:sz w:val="18"/>
                <w:szCs w:val="18"/>
              </w:rPr>
              <w:t>，是对购入子公司长实通信、创世漫道形成的商誉计 提减值。</w:t>
            </w:r>
            <w:r>
              <w:rPr>
                <w:rFonts w:ascii="宋体" w:hAnsi="宋体" w:cs="宋体" w:eastAsia="宋体" w:hint="default"/>
                <w:sz w:val="18"/>
                <w:szCs w:val="18"/>
              </w:rPr>
              <w:t> </w:t>
            </w:r>
          </w:p>
        </w:tc>
      </w:tr>
      <w:tr>
        <w:trPr>
          <w:trHeight w:val="322" w:hRule="exact"/>
        </w:trPr>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递延所得税资产</w:t>
            </w:r>
            <w:r>
              <w:rPr>
                <w:rFonts w:ascii="宋体" w:hAnsi="宋体" w:cs="宋体" w:eastAsia="宋体" w:hint="default"/>
                <w:sz w:val="18"/>
                <w:szCs w:val="18"/>
              </w:rPr>
              <w:t> </w:t>
            </w:r>
          </w:p>
        </w:tc>
        <w:tc>
          <w:tcPr>
            <w:tcW w:w="7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比期初增加</w:t>
            </w:r>
            <w:r>
              <w:rPr>
                <w:rFonts w:ascii="宋体" w:hAnsi="宋体" w:cs="宋体" w:eastAsia="宋体" w:hint="default"/>
                <w:spacing w:val="-47"/>
                <w:sz w:val="18"/>
                <w:szCs w:val="18"/>
              </w:rPr>
              <w:t> </w:t>
            </w:r>
            <w:r>
              <w:rPr>
                <w:rFonts w:ascii="宋体" w:hAnsi="宋体" w:cs="宋体" w:eastAsia="宋体" w:hint="default"/>
                <w:sz w:val="18"/>
                <w:szCs w:val="18"/>
              </w:rPr>
              <w:t>1,274.89</w:t>
            </w:r>
            <w:r>
              <w:rPr>
                <w:rFonts w:ascii="宋体" w:hAnsi="宋体" w:cs="宋体" w:eastAsia="宋体" w:hint="default"/>
                <w:spacing w:val="-47"/>
                <w:sz w:val="18"/>
                <w:szCs w:val="18"/>
              </w:rPr>
              <w:t> </w:t>
            </w:r>
            <w:r>
              <w:rPr>
                <w:rFonts w:ascii="宋体" w:hAnsi="宋体" w:cs="宋体" w:eastAsia="宋体" w:hint="default"/>
                <w:sz w:val="18"/>
                <w:szCs w:val="18"/>
              </w:rPr>
              <w:t>万元，增幅</w:t>
            </w:r>
            <w:r>
              <w:rPr>
                <w:rFonts w:ascii="宋体" w:hAnsi="宋体" w:cs="宋体" w:eastAsia="宋体" w:hint="default"/>
                <w:spacing w:val="-48"/>
                <w:sz w:val="18"/>
                <w:szCs w:val="18"/>
              </w:rPr>
              <w:t> </w:t>
            </w:r>
            <w:r>
              <w:rPr>
                <w:rFonts w:ascii="宋体" w:hAnsi="宋体" w:cs="宋体" w:eastAsia="宋体" w:hint="default"/>
                <w:sz w:val="18"/>
                <w:szCs w:val="18"/>
              </w:rPr>
              <w:t>85.45%</w:t>
            </w:r>
            <w:r>
              <w:rPr>
                <w:rFonts w:ascii="宋体" w:hAnsi="宋体" w:cs="宋体" w:eastAsia="宋体" w:hint="default"/>
                <w:sz w:val="18"/>
                <w:szCs w:val="18"/>
              </w:rPr>
              <w:t>，主要是减值准备增加影响递延税金增加。</w:t>
            </w:r>
            <w:r>
              <w:rPr>
                <w:rFonts w:ascii="宋体" w:hAnsi="宋体" w:cs="宋体" w:eastAsia="宋体" w:hint="default"/>
                <w:sz w:val="18"/>
                <w:szCs w:val="18"/>
              </w:rPr>
              <w:t> </w:t>
            </w:r>
          </w:p>
        </w:tc>
      </w:tr>
      <w:tr>
        <w:trPr>
          <w:trHeight w:val="324" w:hRule="exact"/>
        </w:trPr>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24" w:right="0"/>
              <w:jc w:val="left"/>
              <w:rPr>
                <w:rFonts w:ascii="宋体" w:hAnsi="宋体" w:cs="宋体" w:eastAsia="宋体" w:hint="default"/>
                <w:sz w:val="18"/>
                <w:szCs w:val="18"/>
              </w:rPr>
            </w:pPr>
            <w:r>
              <w:rPr>
                <w:rFonts w:ascii="宋体" w:hAnsi="宋体" w:cs="宋体" w:eastAsia="宋体" w:hint="default"/>
                <w:sz w:val="18"/>
                <w:szCs w:val="18"/>
              </w:rPr>
              <w:t>应付票据</w:t>
            </w:r>
            <w:r>
              <w:rPr>
                <w:rFonts w:ascii="宋体" w:hAnsi="宋体" w:cs="宋体" w:eastAsia="宋体" w:hint="default"/>
                <w:sz w:val="18"/>
                <w:szCs w:val="18"/>
              </w:rPr>
              <w:t> </w:t>
            </w:r>
          </w:p>
        </w:tc>
        <w:tc>
          <w:tcPr>
            <w:tcW w:w="7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23" w:right="0"/>
              <w:jc w:val="left"/>
              <w:rPr>
                <w:rFonts w:ascii="宋体" w:hAnsi="宋体" w:cs="宋体" w:eastAsia="宋体" w:hint="default"/>
                <w:sz w:val="18"/>
                <w:szCs w:val="18"/>
              </w:rPr>
            </w:pPr>
            <w:r>
              <w:rPr>
                <w:rFonts w:ascii="宋体" w:hAnsi="宋体" w:cs="宋体" w:eastAsia="宋体" w:hint="default"/>
                <w:sz w:val="18"/>
                <w:szCs w:val="18"/>
              </w:rPr>
              <w:t>比期初增加</w:t>
            </w:r>
            <w:r>
              <w:rPr>
                <w:rFonts w:ascii="宋体" w:hAnsi="宋体" w:cs="宋体" w:eastAsia="宋体" w:hint="default"/>
                <w:spacing w:val="-47"/>
                <w:sz w:val="18"/>
                <w:szCs w:val="18"/>
              </w:rPr>
              <w:t> </w:t>
            </w:r>
            <w:r>
              <w:rPr>
                <w:rFonts w:ascii="宋体" w:hAnsi="宋体" w:cs="宋体" w:eastAsia="宋体" w:hint="default"/>
                <w:sz w:val="18"/>
                <w:szCs w:val="18"/>
              </w:rPr>
              <w:t>89.49</w:t>
            </w:r>
            <w:r>
              <w:rPr>
                <w:rFonts w:ascii="宋体" w:hAnsi="宋体" w:cs="宋体" w:eastAsia="宋体" w:hint="default"/>
                <w:spacing w:val="-46"/>
                <w:sz w:val="18"/>
                <w:szCs w:val="18"/>
              </w:rPr>
              <w:t> </w:t>
            </w:r>
            <w:r>
              <w:rPr>
                <w:rFonts w:ascii="宋体" w:hAnsi="宋体" w:cs="宋体" w:eastAsia="宋体" w:hint="default"/>
                <w:sz w:val="18"/>
                <w:szCs w:val="18"/>
              </w:rPr>
              <w:t>万元，增幅大于</w:t>
            </w:r>
            <w:r>
              <w:rPr>
                <w:rFonts w:ascii="宋体" w:hAnsi="宋体" w:cs="宋体" w:eastAsia="宋体" w:hint="default"/>
                <w:spacing w:val="-48"/>
                <w:sz w:val="18"/>
                <w:szCs w:val="18"/>
              </w:rPr>
              <w:t> </w:t>
            </w:r>
            <w:r>
              <w:rPr>
                <w:rFonts w:ascii="宋体" w:hAnsi="宋体" w:cs="宋体" w:eastAsia="宋体" w:hint="default"/>
                <w:sz w:val="18"/>
                <w:szCs w:val="18"/>
              </w:rPr>
              <w:t>100%</w:t>
            </w:r>
            <w:r>
              <w:rPr>
                <w:rFonts w:ascii="宋体" w:hAnsi="宋体" w:cs="宋体" w:eastAsia="宋体" w:hint="default"/>
                <w:sz w:val="18"/>
                <w:szCs w:val="18"/>
              </w:rPr>
              <w:t>，是长实增加应付票据结算。</w:t>
            </w:r>
            <w:r>
              <w:rPr>
                <w:rFonts w:ascii="宋体" w:hAnsi="宋体" w:cs="宋体" w:eastAsia="宋体" w:hint="default"/>
                <w:sz w:val="18"/>
                <w:szCs w:val="18"/>
              </w:rPr>
              <w:t> </w:t>
            </w:r>
          </w:p>
        </w:tc>
      </w:tr>
      <w:tr>
        <w:trPr>
          <w:trHeight w:val="322" w:hRule="exact"/>
        </w:trPr>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应付职工薪酬</w:t>
            </w:r>
            <w:r>
              <w:rPr>
                <w:rFonts w:ascii="宋体" w:hAnsi="宋体" w:cs="宋体" w:eastAsia="宋体" w:hint="default"/>
                <w:sz w:val="18"/>
                <w:szCs w:val="18"/>
              </w:rPr>
              <w:t> </w:t>
            </w:r>
          </w:p>
        </w:tc>
        <w:tc>
          <w:tcPr>
            <w:tcW w:w="7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比期初减少</w:t>
            </w:r>
            <w:r>
              <w:rPr>
                <w:rFonts w:ascii="宋体" w:hAnsi="宋体" w:cs="宋体" w:eastAsia="宋体" w:hint="default"/>
                <w:spacing w:val="-47"/>
                <w:sz w:val="18"/>
                <w:szCs w:val="18"/>
              </w:rPr>
              <w:t> </w:t>
            </w:r>
            <w:r>
              <w:rPr>
                <w:rFonts w:ascii="宋体" w:hAnsi="宋体" w:cs="宋体" w:eastAsia="宋体" w:hint="default"/>
                <w:sz w:val="18"/>
                <w:szCs w:val="18"/>
              </w:rPr>
              <w:t>3,013.17</w:t>
            </w:r>
            <w:r>
              <w:rPr>
                <w:rFonts w:ascii="宋体" w:hAnsi="宋体" w:cs="宋体" w:eastAsia="宋体" w:hint="default"/>
                <w:spacing w:val="-46"/>
                <w:sz w:val="18"/>
                <w:szCs w:val="18"/>
              </w:rPr>
              <w:t> </w:t>
            </w:r>
            <w:r>
              <w:rPr>
                <w:rFonts w:ascii="宋体" w:hAnsi="宋体" w:cs="宋体" w:eastAsia="宋体" w:hint="default"/>
                <w:sz w:val="18"/>
                <w:szCs w:val="18"/>
              </w:rPr>
              <w:t>万元，降幅</w:t>
            </w:r>
            <w:r>
              <w:rPr>
                <w:rFonts w:ascii="宋体" w:hAnsi="宋体" w:cs="宋体" w:eastAsia="宋体" w:hint="default"/>
                <w:spacing w:val="-48"/>
                <w:sz w:val="18"/>
                <w:szCs w:val="18"/>
              </w:rPr>
              <w:t> </w:t>
            </w:r>
            <w:r>
              <w:rPr>
                <w:rFonts w:ascii="宋体" w:hAnsi="宋体" w:cs="宋体" w:eastAsia="宋体" w:hint="default"/>
                <w:sz w:val="18"/>
                <w:szCs w:val="18"/>
              </w:rPr>
              <w:t>35.93%</w:t>
            </w:r>
            <w:r>
              <w:rPr>
                <w:rFonts w:ascii="宋体" w:hAnsi="宋体" w:cs="宋体" w:eastAsia="宋体" w:hint="default"/>
                <w:sz w:val="18"/>
                <w:szCs w:val="18"/>
              </w:rPr>
              <w:t>，主要是</w:t>
            </w:r>
            <w:r>
              <w:rPr>
                <w:rFonts w:ascii="宋体" w:hAnsi="宋体" w:cs="宋体" w:eastAsia="宋体" w:hint="default"/>
                <w:spacing w:val="-50"/>
                <w:sz w:val="18"/>
                <w:szCs w:val="18"/>
              </w:rPr>
              <w:t> </w:t>
            </w: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年计提的工资下降。</w:t>
            </w:r>
            <w:r>
              <w:rPr>
                <w:rFonts w:ascii="宋体" w:hAnsi="宋体" w:cs="宋体" w:eastAsia="宋体" w:hint="default"/>
                <w:sz w:val="18"/>
                <w:szCs w:val="18"/>
              </w:rPr>
              <w:t> </w:t>
            </w:r>
          </w:p>
        </w:tc>
      </w:tr>
      <w:tr>
        <w:trPr>
          <w:trHeight w:val="322" w:hRule="exact"/>
        </w:trPr>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r>
              <w:rPr>
                <w:rFonts w:ascii="宋体" w:hAnsi="宋体" w:cs="宋体" w:eastAsia="宋体" w:hint="default"/>
                <w:sz w:val="18"/>
                <w:szCs w:val="18"/>
              </w:rPr>
              <w:t> </w:t>
            </w:r>
          </w:p>
        </w:tc>
        <w:tc>
          <w:tcPr>
            <w:tcW w:w="7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比期初增加</w:t>
            </w:r>
            <w:r>
              <w:rPr>
                <w:rFonts w:ascii="宋体" w:hAnsi="宋体" w:cs="宋体" w:eastAsia="宋体" w:hint="default"/>
                <w:spacing w:val="-47"/>
                <w:sz w:val="18"/>
                <w:szCs w:val="18"/>
              </w:rPr>
              <w:t> </w:t>
            </w:r>
            <w:r>
              <w:rPr>
                <w:rFonts w:ascii="宋体" w:hAnsi="宋体" w:cs="宋体" w:eastAsia="宋体" w:hint="default"/>
                <w:sz w:val="18"/>
                <w:szCs w:val="18"/>
              </w:rPr>
              <w:t>8,011.65</w:t>
            </w:r>
            <w:r>
              <w:rPr>
                <w:rFonts w:ascii="宋体" w:hAnsi="宋体" w:cs="宋体" w:eastAsia="宋体" w:hint="default"/>
                <w:spacing w:val="-47"/>
                <w:sz w:val="18"/>
                <w:szCs w:val="18"/>
              </w:rPr>
              <w:t> </w:t>
            </w:r>
            <w:r>
              <w:rPr>
                <w:rFonts w:ascii="宋体" w:hAnsi="宋体" w:cs="宋体" w:eastAsia="宋体" w:hint="default"/>
                <w:sz w:val="18"/>
                <w:szCs w:val="18"/>
              </w:rPr>
              <w:t>万元，增幅</w:t>
            </w:r>
            <w:r>
              <w:rPr>
                <w:rFonts w:ascii="宋体" w:hAnsi="宋体" w:cs="宋体" w:eastAsia="宋体" w:hint="default"/>
                <w:spacing w:val="-48"/>
                <w:sz w:val="18"/>
                <w:szCs w:val="18"/>
              </w:rPr>
              <w:t> </w:t>
            </w:r>
            <w:r>
              <w:rPr>
                <w:rFonts w:ascii="宋体" w:hAnsi="宋体" w:cs="宋体" w:eastAsia="宋体" w:hint="default"/>
                <w:sz w:val="18"/>
                <w:szCs w:val="18"/>
              </w:rPr>
              <w:t>205.52%</w:t>
            </w:r>
            <w:r>
              <w:rPr>
                <w:rFonts w:ascii="宋体" w:hAnsi="宋体" w:cs="宋体" w:eastAsia="宋体" w:hint="default"/>
                <w:sz w:val="18"/>
                <w:szCs w:val="18"/>
              </w:rPr>
              <w:t>，是公司一年内应归还的长期借款。</w:t>
            </w:r>
            <w:r>
              <w:rPr>
                <w:rFonts w:ascii="宋体" w:hAnsi="宋体" w:cs="宋体" w:eastAsia="宋体" w:hint="default"/>
                <w:sz w:val="18"/>
                <w:szCs w:val="18"/>
              </w:rPr>
              <w:t> </w:t>
            </w:r>
          </w:p>
        </w:tc>
      </w:tr>
      <w:tr>
        <w:trPr>
          <w:trHeight w:val="322" w:hRule="exact"/>
        </w:trPr>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其他流动负债</w:t>
            </w:r>
            <w:r>
              <w:rPr>
                <w:rFonts w:ascii="宋体" w:hAnsi="宋体" w:cs="宋体" w:eastAsia="宋体" w:hint="default"/>
                <w:sz w:val="18"/>
                <w:szCs w:val="18"/>
              </w:rPr>
              <w:t> </w:t>
            </w:r>
          </w:p>
        </w:tc>
        <w:tc>
          <w:tcPr>
            <w:tcW w:w="7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比期初减少</w:t>
            </w:r>
            <w:r>
              <w:rPr>
                <w:rFonts w:ascii="宋体" w:hAnsi="宋体" w:cs="宋体" w:eastAsia="宋体" w:hint="default"/>
                <w:spacing w:val="-47"/>
                <w:sz w:val="18"/>
                <w:szCs w:val="18"/>
              </w:rPr>
              <w:t> </w:t>
            </w:r>
            <w:r>
              <w:rPr>
                <w:rFonts w:ascii="宋体" w:hAnsi="宋体" w:cs="宋体" w:eastAsia="宋体" w:hint="default"/>
                <w:sz w:val="18"/>
                <w:szCs w:val="18"/>
              </w:rPr>
              <w:t>1,142.59</w:t>
            </w:r>
            <w:r>
              <w:rPr>
                <w:rFonts w:ascii="宋体" w:hAnsi="宋体" w:cs="宋体" w:eastAsia="宋体" w:hint="default"/>
                <w:spacing w:val="-46"/>
                <w:sz w:val="18"/>
                <w:szCs w:val="18"/>
              </w:rPr>
              <w:t> </w:t>
            </w:r>
            <w:r>
              <w:rPr>
                <w:rFonts w:ascii="宋体" w:hAnsi="宋体" w:cs="宋体" w:eastAsia="宋体" w:hint="default"/>
                <w:sz w:val="18"/>
                <w:szCs w:val="18"/>
              </w:rPr>
              <w:t>万元，降幅</w:t>
            </w:r>
            <w:r>
              <w:rPr>
                <w:rFonts w:ascii="宋体" w:hAnsi="宋体" w:cs="宋体" w:eastAsia="宋体" w:hint="default"/>
                <w:spacing w:val="-48"/>
                <w:sz w:val="18"/>
                <w:szCs w:val="18"/>
              </w:rPr>
              <w:t> </w:t>
            </w:r>
            <w:r>
              <w:rPr>
                <w:rFonts w:ascii="宋体" w:hAnsi="宋体" w:cs="宋体" w:eastAsia="宋体" w:hint="default"/>
                <w:sz w:val="18"/>
                <w:szCs w:val="18"/>
              </w:rPr>
              <w:t>32.85%</w:t>
            </w:r>
            <w:r>
              <w:rPr>
                <w:rFonts w:ascii="宋体" w:hAnsi="宋体" w:cs="宋体" w:eastAsia="宋体" w:hint="default"/>
                <w:sz w:val="18"/>
                <w:szCs w:val="18"/>
              </w:rPr>
              <w:t>，主要是长实通信待转销项税减少。</w:t>
            </w:r>
            <w:r>
              <w:rPr>
                <w:rFonts w:ascii="宋体" w:hAnsi="宋体" w:cs="宋体" w:eastAsia="宋体" w:hint="default"/>
                <w:sz w:val="18"/>
                <w:szCs w:val="18"/>
              </w:rPr>
              <w:t> </w:t>
            </w:r>
          </w:p>
        </w:tc>
      </w:tr>
      <w:tr>
        <w:trPr>
          <w:trHeight w:val="634" w:hRule="exact"/>
        </w:trPr>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长期借款</w:t>
            </w:r>
            <w:r>
              <w:rPr>
                <w:rFonts w:ascii="宋体" w:hAnsi="宋体" w:cs="宋体" w:eastAsia="宋体" w:hint="default"/>
                <w:sz w:val="18"/>
                <w:szCs w:val="18"/>
              </w:rPr>
              <w:t> </w:t>
            </w:r>
          </w:p>
        </w:tc>
        <w:tc>
          <w:tcPr>
            <w:tcW w:w="751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3" w:right="51"/>
              <w:jc w:val="left"/>
              <w:rPr>
                <w:rFonts w:ascii="宋体" w:hAnsi="宋体" w:cs="宋体" w:eastAsia="宋体" w:hint="default"/>
                <w:sz w:val="18"/>
                <w:szCs w:val="18"/>
              </w:rPr>
            </w:pPr>
            <w:r>
              <w:rPr>
                <w:rFonts w:ascii="宋体" w:hAnsi="宋体" w:cs="宋体" w:eastAsia="宋体" w:hint="default"/>
                <w:sz w:val="18"/>
                <w:szCs w:val="18"/>
              </w:rPr>
              <w:t>比期初减少</w:t>
            </w:r>
            <w:r>
              <w:rPr>
                <w:rFonts w:ascii="宋体" w:hAnsi="宋体" w:cs="宋体" w:eastAsia="宋体" w:hint="default"/>
                <w:spacing w:val="-47"/>
                <w:sz w:val="18"/>
                <w:szCs w:val="18"/>
              </w:rPr>
              <w:t> </w:t>
            </w:r>
            <w:r>
              <w:rPr>
                <w:rFonts w:ascii="宋体" w:hAnsi="宋体" w:cs="宋体" w:eastAsia="宋体" w:hint="default"/>
                <w:sz w:val="18"/>
                <w:szCs w:val="18"/>
              </w:rPr>
              <w:t>11,909.97</w:t>
            </w:r>
            <w:r>
              <w:rPr>
                <w:rFonts w:ascii="宋体" w:hAnsi="宋体" w:cs="宋体" w:eastAsia="宋体" w:hint="default"/>
                <w:spacing w:val="-46"/>
                <w:sz w:val="18"/>
                <w:szCs w:val="18"/>
              </w:rPr>
              <w:t> </w:t>
            </w:r>
            <w:r>
              <w:rPr>
                <w:rFonts w:ascii="宋体" w:hAnsi="宋体" w:cs="宋体" w:eastAsia="宋体" w:hint="default"/>
                <w:sz w:val="18"/>
                <w:szCs w:val="18"/>
              </w:rPr>
              <w:t>万元</w:t>
            </w:r>
            <w:r>
              <w:rPr>
                <w:rFonts w:ascii="宋体" w:hAnsi="宋体" w:cs="宋体" w:eastAsia="宋体" w:hint="default"/>
                <w:sz w:val="18"/>
                <w:szCs w:val="18"/>
              </w:rPr>
              <w:t>,</w:t>
            </w:r>
            <w:r>
              <w:rPr>
                <w:rFonts w:ascii="宋体" w:hAnsi="宋体" w:cs="宋体" w:eastAsia="宋体" w:hint="default"/>
                <w:sz w:val="18"/>
                <w:szCs w:val="18"/>
              </w:rPr>
              <w:t>降幅</w:t>
            </w:r>
            <w:r>
              <w:rPr>
                <w:rFonts w:ascii="宋体" w:hAnsi="宋体" w:cs="宋体" w:eastAsia="宋体" w:hint="default"/>
                <w:spacing w:val="-48"/>
                <w:sz w:val="18"/>
                <w:szCs w:val="18"/>
              </w:rPr>
              <w:t> </w:t>
            </w:r>
            <w:r>
              <w:rPr>
                <w:rFonts w:ascii="宋体" w:hAnsi="宋体" w:cs="宋体" w:eastAsia="宋体" w:hint="default"/>
                <w:sz w:val="18"/>
                <w:szCs w:val="18"/>
              </w:rPr>
              <w:t>64.25%</w:t>
            </w:r>
            <w:r>
              <w:rPr>
                <w:rFonts w:ascii="宋体" w:hAnsi="宋体" w:cs="宋体" w:eastAsia="宋体" w:hint="default"/>
                <w:sz w:val="18"/>
                <w:szCs w:val="18"/>
              </w:rPr>
              <w:t>，是公司</w:t>
            </w:r>
            <w:r>
              <w:rPr>
                <w:rFonts w:ascii="宋体" w:hAnsi="宋体" w:cs="宋体" w:eastAsia="宋体" w:hint="default"/>
                <w:spacing w:val="-50"/>
                <w:sz w:val="18"/>
                <w:szCs w:val="18"/>
              </w:rPr>
              <w:t> </w:t>
            </w: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年为购买嘉华信息形成的并购贷款已部 分归还和将一年内到期的长期借款转入一年内到期的非流动负债。</w:t>
            </w:r>
            <w:r>
              <w:rPr>
                <w:rFonts w:ascii="宋体" w:hAnsi="宋体" w:cs="宋体" w:eastAsia="宋体" w:hint="default"/>
                <w:sz w:val="18"/>
                <w:szCs w:val="18"/>
              </w:rPr>
              <w:t> </w:t>
            </w:r>
          </w:p>
        </w:tc>
      </w:tr>
      <w:tr>
        <w:trPr>
          <w:trHeight w:val="322" w:hRule="exact"/>
        </w:trPr>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库存股</w:t>
            </w:r>
            <w:r>
              <w:rPr>
                <w:rFonts w:ascii="宋体" w:hAnsi="宋体" w:cs="宋体" w:eastAsia="宋体" w:hint="default"/>
                <w:sz w:val="18"/>
                <w:szCs w:val="18"/>
              </w:rPr>
              <w:t> </w:t>
            </w:r>
          </w:p>
        </w:tc>
        <w:tc>
          <w:tcPr>
            <w:tcW w:w="7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比期初增加</w:t>
            </w:r>
            <w:r>
              <w:rPr>
                <w:rFonts w:ascii="宋体" w:hAnsi="宋体" w:cs="宋体" w:eastAsia="宋体" w:hint="default"/>
                <w:spacing w:val="-46"/>
                <w:sz w:val="18"/>
                <w:szCs w:val="18"/>
              </w:rPr>
              <w:t> </w:t>
            </w:r>
            <w:r>
              <w:rPr>
                <w:rFonts w:ascii="宋体" w:hAnsi="宋体" w:cs="宋体" w:eastAsia="宋体" w:hint="default"/>
                <w:sz w:val="18"/>
                <w:szCs w:val="18"/>
              </w:rPr>
              <w:t>1,443.62</w:t>
            </w:r>
            <w:r>
              <w:rPr>
                <w:rFonts w:ascii="宋体" w:hAnsi="宋体" w:cs="宋体" w:eastAsia="宋体" w:hint="default"/>
                <w:spacing w:val="-45"/>
                <w:sz w:val="18"/>
                <w:szCs w:val="18"/>
              </w:rPr>
              <w:t> </w:t>
            </w:r>
            <w:r>
              <w:rPr>
                <w:rFonts w:ascii="宋体" w:hAnsi="宋体" w:cs="宋体" w:eastAsia="宋体" w:hint="default"/>
                <w:sz w:val="18"/>
                <w:szCs w:val="18"/>
              </w:rPr>
              <w:t>万元，增幅大于</w:t>
            </w:r>
            <w:r>
              <w:rPr>
                <w:rFonts w:ascii="宋体" w:hAnsi="宋体" w:cs="宋体" w:eastAsia="宋体" w:hint="default"/>
                <w:spacing w:val="-47"/>
                <w:sz w:val="18"/>
                <w:szCs w:val="18"/>
              </w:rPr>
              <w:t> </w:t>
            </w:r>
            <w:r>
              <w:rPr>
                <w:rFonts w:ascii="宋体" w:hAnsi="宋体" w:cs="宋体" w:eastAsia="宋体" w:hint="default"/>
                <w:sz w:val="18"/>
                <w:szCs w:val="18"/>
              </w:rPr>
              <w:t>100%</w:t>
            </w:r>
            <w:r>
              <w:rPr>
                <w:rFonts w:ascii="宋体" w:hAnsi="宋体" w:cs="宋体" w:eastAsia="宋体" w:hint="default"/>
                <w:sz w:val="18"/>
                <w:szCs w:val="18"/>
              </w:rPr>
              <w:t>，是</w:t>
            </w:r>
            <w:r>
              <w:rPr>
                <w:rFonts w:ascii="宋体" w:hAnsi="宋体" w:cs="宋体" w:eastAsia="宋体" w:hint="default"/>
                <w:spacing w:val="-49"/>
                <w:sz w:val="18"/>
                <w:szCs w:val="18"/>
              </w:rPr>
              <w:t> </w:t>
            </w:r>
            <w:r>
              <w:rPr>
                <w:rFonts w:ascii="宋体" w:hAnsi="宋体" w:cs="宋体" w:eastAsia="宋体" w:hint="default"/>
                <w:sz w:val="18"/>
                <w:szCs w:val="18"/>
              </w:rPr>
              <w:t>2019</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月公司回购股份。</w:t>
            </w:r>
            <w:r>
              <w:rPr>
                <w:rFonts w:ascii="宋体" w:hAnsi="宋体" w:cs="宋体" w:eastAsia="宋体" w:hint="default"/>
                <w:sz w:val="18"/>
                <w:szCs w:val="18"/>
              </w:rPr>
              <w:t> </w:t>
            </w:r>
          </w:p>
        </w:tc>
      </w:tr>
      <w:tr>
        <w:trPr>
          <w:trHeight w:val="324" w:hRule="exact"/>
        </w:trPr>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24" w:right="0"/>
              <w:jc w:val="left"/>
              <w:rPr>
                <w:rFonts w:ascii="宋体" w:hAnsi="宋体" w:cs="宋体" w:eastAsia="宋体" w:hint="default"/>
                <w:sz w:val="18"/>
                <w:szCs w:val="18"/>
              </w:rPr>
            </w:pPr>
            <w:r>
              <w:rPr>
                <w:rFonts w:ascii="宋体" w:hAnsi="宋体" w:cs="宋体" w:eastAsia="宋体" w:hint="default"/>
                <w:sz w:val="18"/>
                <w:szCs w:val="18"/>
              </w:rPr>
              <w:t>未分配利润</w:t>
            </w:r>
            <w:r>
              <w:rPr>
                <w:rFonts w:ascii="宋体" w:hAnsi="宋体" w:cs="宋体" w:eastAsia="宋体" w:hint="default"/>
                <w:sz w:val="18"/>
                <w:szCs w:val="18"/>
              </w:rPr>
              <w:t> </w:t>
            </w:r>
          </w:p>
        </w:tc>
        <w:tc>
          <w:tcPr>
            <w:tcW w:w="7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23" w:right="0"/>
              <w:jc w:val="left"/>
              <w:rPr>
                <w:rFonts w:ascii="宋体" w:hAnsi="宋体" w:cs="宋体" w:eastAsia="宋体" w:hint="default"/>
                <w:sz w:val="18"/>
                <w:szCs w:val="18"/>
              </w:rPr>
            </w:pPr>
            <w:r>
              <w:rPr>
                <w:rFonts w:ascii="宋体" w:hAnsi="宋体" w:cs="宋体" w:eastAsia="宋体" w:hint="default"/>
                <w:sz w:val="18"/>
                <w:szCs w:val="18"/>
              </w:rPr>
              <w:t>比期初减少</w:t>
            </w:r>
            <w:r>
              <w:rPr>
                <w:rFonts w:ascii="宋体" w:hAnsi="宋体" w:cs="宋体" w:eastAsia="宋体" w:hint="default"/>
                <w:spacing w:val="-48"/>
                <w:sz w:val="18"/>
                <w:szCs w:val="18"/>
              </w:rPr>
              <w:t> </w:t>
            </w:r>
            <w:r>
              <w:rPr>
                <w:rFonts w:ascii="宋体" w:hAnsi="宋体" w:cs="宋体" w:eastAsia="宋体" w:hint="default"/>
                <w:sz w:val="18"/>
                <w:szCs w:val="18"/>
              </w:rPr>
              <w:t>126,554.07</w:t>
            </w:r>
            <w:r>
              <w:rPr>
                <w:rFonts w:ascii="宋体" w:hAnsi="宋体" w:cs="宋体" w:eastAsia="宋体" w:hint="default"/>
                <w:spacing w:val="-47"/>
                <w:sz w:val="18"/>
                <w:szCs w:val="18"/>
              </w:rPr>
              <w:t> </w:t>
            </w:r>
            <w:r>
              <w:rPr>
                <w:rFonts w:ascii="宋体" w:hAnsi="宋体" w:cs="宋体" w:eastAsia="宋体" w:hint="default"/>
                <w:sz w:val="18"/>
                <w:szCs w:val="18"/>
              </w:rPr>
              <w:t>万元，降幅</w:t>
            </w:r>
            <w:r>
              <w:rPr>
                <w:rFonts w:ascii="宋体" w:hAnsi="宋体" w:cs="宋体" w:eastAsia="宋体" w:hint="default"/>
                <w:spacing w:val="-49"/>
                <w:sz w:val="18"/>
                <w:szCs w:val="18"/>
              </w:rPr>
              <w:t> </w:t>
            </w:r>
            <w:r>
              <w:rPr>
                <w:rFonts w:ascii="宋体" w:hAnsi="宋体" w:cs="宋体" w:eastAsia="宋体" w:hint="default"/>
                <w:sz w:val="18"/>
                <w:szCs w:val="18"/>
              </w:rPr>
              <w:t>119.39%</w:t>
            </w:r>
            <w:r>
              <w:rPr>
                <w:rFonts w:ascii="宋体" w:hAnsi="宋体" w:cs="宋体" w:eastAsia="宋体" w:hint="default"/>
                <w:sz w:val="18"/>
                <w:szCs w:val="18"/>
              </w:rPr>
              <w:t>，是本期亏损所致。</w:t>
            </w:r>
            <w:r>
              <w:rPr>
                <w:rFonts w:ascii="宋体" w:hAnsi="宋体" w:cs="宋体" w:eastAsia="宋体" w:hint="default"/>
                <w:sz w:val="18"/>
                <w:szCs w:val="18"/>
              </w:rPr>
              <w:t> </w:t>
            </w:r>
          </w:p>
        </w:tc>
      </w:tr>
    </w:tbl>
    <w:p>
      <w:pPr>
        <w:spacing w:line="240" w:lineRule="auto" w:before="8"/>
        <w:rPr>
          <w:rFonts w:ascii="宋体" w:hAnsi="宋体" w:cs="宋体" w:eastAsia="宋体" w:hint="default"/>
          <w:b/>
          <w:bCs/>
          <w:sz w:val="14"/>
          <w:szCs w:val="14"/>
        </w:rPr>
      </w:pPr>
    </w:p>
    <w:p>
      <w:pPr>
        <w:spacing w:before="36"/>
        <w:ind w:left="364" w:right="1133" w:firstLine="0"/>
        <w:jc w:val="left"/>
        <w:rPr>
          <w:rFonts w:ascii="宋体" w:hAnsi="宋体" w:cs="宋体" w:eastAsia="宋体" w:hint="default"/>
          <w:sz w:val="21"/>
          <w:szCs w:val="21"/>
        </w:rPr>
      </w:pPr>
      <w:r>
        <w:rPr>
          <w:rFonts w:ascii="宋体" w:hAnsi="宋体" w:cs="宋体" w:eastAsia="宋体" w:hint="default"/>
          <w:b/>
          <w:bCs/>
          <w:sz w:val="21"/>
          <w:szCs w:val="21"/>
        </w:rPr>
        <w:t>（二）主要境外资产情况</w:t>
      </w:r>
      <w:r>
        <w:rPr>
          <w:rFonts w:ascii="宋体" w:hAnsi="宋体" w:cs="宋体" w:eastAsia="宋体" w:hint="default"/>
          <w:sz w:val="21"/>
          <w:szCs w:val="21"/>
        </w:rPr>
      </w:r>
    </w:p>
    <w:p>
      <w:pPr>
        <w:pStyle w:val="BodyText"/>
        <w:spacing w:line="240" w:lineRule="auto" w:before="75"/>
        <w:ind w:right="1133"/>
        <w:jc w:val="left"/>
        <w:rPr>
          <w:rFonts w:ascii="宋体" w:hAnsi="宋体" w:cs="宋体" w:eastAsia="宋体" w:hint="default"/>
        </w:rPr>
      </w:pPr>
      <w:r>
        <w:rPr/>
        <w:pict>
          <v:shape style="position:absolute;margin-left:108.840004pt;margin-top:69.773682pt;width:82.35pt;height:46.8pt;mso-position-horizontal-relative:page;mso-position-vertical-relative:paragraph;z-index:-1013752" type="#_x0000_t202" filled="false" stroked="false">
            <v:textbox inset="0,0,0,0">
              <w:txbxContent>
                <w:p>
                  <w:pPr>
                    <w:spacing w:line="240" w:lineRule="auto" w:before="10"/>
                    <w:rPr>
                      <w:rFonts w:ascii="宋体" w:hAnsi="宋体" w:cs="宋体" w:eastAsia="宋体" w:hint="default"/>
                      <w:sz w:val="12"/>
                      <w:szCs w:val="12"/>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（香港）</w:t>
                  </w:r>
                </w:p>
              </w:txbxContent>
            </v:textbox>
            <w10:wrap type="none"/>
          </v:shape>
        </w:pict>
      </w:r>
      <w:r>
        <w:rPr/>
        <w:pict>
          <v:group style="position:absolute;margin-left:141.979996pt;margin-top:69.773682pt;width:49.2pt;height:46.8pt;mso-position-horizontal-relative:page;mso-position-vertical-relative:paragraph;z-index:-1013728" coordorigin="2840,1395" coordsize="984,936">
            <v:group style="position:absolute;left:2840;top:1395;width:984;height:936" coordorigin="2840,1395" coordsize="984,936">
              <v:shape style="position:absolute;left:2840;top:1395;width:984;height:936" coordorigin="2840,1395" coordsize="984,936" path="m2840,2331l3824,2331,3824,1395,2840,1395,2840,2331xe" filled="true" fillcolor="#ffffff" stroked="false">
                <v:path arrowok="t"/>
                <v:fill type="solid"/>
              </v:shape>
            </v:group>
            <v:group style="position:absolute;left:2864;top:1707;width:936;height:312" coordorigin="2864,1707" coordsize="936,312">
              <v:shape style="position:absolute;left:2864;top:1707;width:936;height:312" coordorigin="2864,1707" coordsize="936,312" path="m2864,2019l3800,2019,3800,1707,2864,1707,2864,2019xe" filled="true" fillcolor="#ffffff" stroked="false">
                <v:path arrowok="t"/>
                <v:fill type="solid"/>
              </v:shape>
            </v:group>
            <w10:wrap type="none"/>
          </v:group>
        </w:pict>
      </w:r>
      <w:r>
        <w:rPr/>
        <w:pict>
          <v:group style="position:absolute;margin-left:234.169998pt;margin-top:69.773682pt;width:35.050pt;height:46.8pt;mso-position-horizontal-relative:page;mso-position-vertical-relative:paragraph;z-index:-1013704" coordorigin="4683,1395" coordsize="701,936">
            <v:group style="position:absolute;left:4683;top:1395;width:701;height:936" coordorigin="4683,1395" coordsize="701,936">
              <v:shape style="position:absolute;left:4683;top:1395;width:701;height:936" coordorigin="4683,1395" coordsize="701,936" path="m4683,2331l5384,2331,5384,1395,4683,1395,4683,2331xe" filled="true" fillcolor="#ffffff" stroked="false">
                <v:path arrowok="t"/>
                <v:fill type="solid"/>
              </v:shape>
            </v:group>
            <v:group style="position:absolute;left:4707;top:1707;width:653;height:312" coordorigin="4707,1707" coordsize="653,312">
              <v:shape style="position:absolute;left:4707;top:1707;width:653;height:312" coordorigin="4707,1707" coordsize="653,312" path="m4707,2019l5360,2019,5360,1707,4707,1707,4707,2019xe" filled="true" fillcolor="#ffffff" stroked="false">
                <v:path arrowok="t"/>
                <v:fill type="solid"/>
              </v:shape>
            </v:group>
            <w10:wrap type="none"/>
          </v:group>
        </w:pict>
      </w:r>
      <w:r>
        <w:rPr>
          <w:rFonts w:ascii="宋体" w:hAnsi="宋体" w:cs="宋体" w:eastAsia="宋体" w:hint="default"/>
          <w:w w:val="100"/>
        </w:rPr>
        <w:t>    </w:t>
      </w:r>
      <w:r>
        <w:rPr>
          <w:spacing w:val="-3"/>
        </w:rPr>
        <w:t>√ </w:t>
      </w:r>
      <w:r>
        <w:rPr/>
        <w:t>适用 </w:t>
      </w:r>
      <w:r>
        <w:rPr>
          <w:rFonts w:ascii="宋体" w:hAnsi="宋体" w:cs="宋体" w:eastAsia="宋体" w:hint="default"/>
        </w:rPr>
      </w:r>
      <w:r>
        <w:rPr>
          <w:spacing w:val="-3"/>
        </w:rPr>
        <w:t>□</w:t>
      </w:r>
      <w:r>
        <w:rPr>
          <w:spacing w:val="5"/>
        </w:rPr>
        <w:t> </w:t>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12"/>
        <w:rPr>
          <w:rFonts w:ascii="宋体" w:hAnsi="宋体" w:cs="宋体" w:eastAsia="宋体" w:hint="default"/>
          <w:sz w:val="6"/>
          <w:szCs w:val="6"/>
        </w:rPr>
      </w:pPr>
    </w:p>
    <w:tbl>
      <w:tblPr>
        <w:tblW w:w="0" w:type="auto"/>
        <w:jc w:val="left"/>
        <w:tblInd w:w="148" w:type="dxa"/>
        <w:tblLayout w:type="fixed"/>
        <w:tblCellMar>
          <w:top w:w="0" w:type="dxa"/>
          <w:left w:w="0" w:type="dxa"/>
          <w:bottom w:w="0" w:type="dxa"/>
          <w:right w:w="0" w:type="dxa"/>
        </w:tblCellMar>
        <w:tblLook w:val="01E0"/>
      </w:tblPr>
      <w:tblGrid>
        <w:gridCol w:w="1702"/>
        <w:gridCol w:w="994"/>
        <w:gridCol w:w="850"/>
        <w:gridCol w:w="710"/>
        <w:gridCol w:w="1133"/>
        <w:gridCol w:w="1275"/>
        <w:gridCol w:w="994"/>
        <w:gridCol w:w="992"/>
        <w:gridCol w:w="1020"/>
      </w:tblGrid>
      <w:tr>
        <w:trPr>
          <w:trHeight w:val="941"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216" w:right="0"/>
              <w:jc w:val="left"/>
              <w:rPr>
                <w:rFonts w:ascii="宋体" w:hAnsi="宋体" w:cs="宋体" w:eastAsia="宋体" w:hint="default"/>
                <w:sz w:val="18"/>
                <w:szCs w:val="18"/>
              </w:rPr>
            </w:pPr>
            <w:r>
              <w:rPr>
                <w:rFonts w:ascii="宋体" w:hAnsi="宋体" w:cs="宋体" w:eastAsia="宋体" w:hint="default"/>
                <w:sz w:val="18"/>
                <w:szCs w:val="18"/>
              </w:rPr>
              <w:t>资产的具体内容</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right="131"/>
              <w:jc w:val="right"/>
              <w:rPr>
                <w:rFonts w:ascii="宋体" w:hAnsi="宋体" w:cs="宋体" w:eastAsia="宋体" w:hint="default"/>
                <w:sz w:val="18"/>
                <w:szCs w:val="18"/>
              </w:rPr>
            </w:pPr>
            <w:r>
              <w:rPr>
                <w:rFonts w:ascii="宋体" w:hAnsi="宋体" w:cs="宋体" w:eastAsia="宋体" w:hint="default"/>
                <w:sz w:val="18"/>
                <w:szCs w:val="18"/>
              </w:rPr>
              <w:t>形成原因</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59" w:right="0"/>
              <w:jc w:val="left"/>
              <w:rPr>
                <w:rFonts w:ascii="宋体" w:hAnsi="宋体" w:cs="宋体" w:eastAsia="宋体" w:hint="default"/>
                <w:sz w:val="18"/>
                <w:szCs w:val="18"/>
              </w:rPr>
            </w:pPr>
            <w:r>
              <w:rPr>
                <w:rFonts w:ascii="宋体" w:hAnsi="宋体" w:cs="宋体" w:eastAsia="宋体" w:hint="default"/>
                <w:sz w:val="18"/>
                <w:szCs w:val="18"/>
              </w:rPr>
              <w:t>资产规模</w:t>
            </w:r>
          </w:p>
        </w:tc>
        <w:tc>
          <w:tcPr>
            <w:tcW w:w="7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79" w:right="0"/>
              <w:jc w:val="left"/>
              <w:rPr>
                <w:rFonts w:ascii="宋体" w:hAnsi="宋体" w:cs="宋体" w:eastAsia="宋体" w:hint="default"/>
                <w:sz w:val="18"/>
                <w:szCs w:val="18"/>
              </w:rPr>
            </w:pPr>
            <w:r>
              <w:rPr>
                <w:rFonts w:ascii="宋体" w:hAnsi="宋体" w:cs="宋体" w:eastAsia="宋体" w:hint="default"/>
                <w:sz w:val="18"/>
                <w:szCs w:val="18"/>
              </w:rPr>
              <w:t>所在地</w:t>
            </w:r>
          </w:p>
        </w:tc>
        <w:tc>
          <w:tcPr>
            <w:tcW w:w="11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201" w:right="0"/>
              <w:jc w:val="left"/>
              <w:rPr>
                <w:rFonts w:ascii="宋体" w:hAnsi="宋体" w:cs="宋体" w:eastAsia="宋体" w:hint="default"/>
                <w:sz w:val="18"/>
                <w:szCs w:val="18"/>
              </w:rPr>
            </w:pPr>
            <w:r>
              <w:rPr>
                <w:rFonts w:ascii="宋体" w:hAnsi="宋体" w:cs="宋体" w:eastAsia="宋体" w:hint="default"/>
                <w:sz w:val="18"/>
                <w:szCs w:val="18"/>
              </w:rPr>
              <w:t>运营模式</w:t>
            </w:r>
          </w:p>
        </w:tc>
        <w:tc>
          <w:tcPr>
            <w:tcW w:w="12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93" w:right="89"/>
              <w:jc w:val="left"/>
              <w:rPr>
                <w:rFonts w:ascii="宋体" w:hAnsi="宋体" w:cs="宋体" w:eastAsia="宋体" w:hint="default"/>
                <w:sz w:val="18"/>
                <w:szCs w:val="18"/>
              </w:rPr>
            </w:pPr>
            <w:r>
              <w:rPr>
                <w:rFonts w:ascii="宋体" w:hAnsi="宋体" w:cs="宋体" w:eastAsia="宋体" w:hint="default"/>
                <w:sz w:val="18"/>
                <w:szCs w:val="18"/>
              </w:rPr>
              <w:t>保障资产安全 性的控制措施</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132" w:right="0"/>
              <w:jc w:val="left"/>
              <w:rPr>
                <w:rFonts w:ascii="宋体" w:hAnsi="宋体" w:cs="宋体" w:eastAsia="宋体" w:hint="default"/>
                <w:sz w:val="18"/>
                <w:szCs w:val="18"/>
              </w:rPr>
            </w:pPr>
            <w:r>
              <w:rPr>
                <w:rFonts w:ascii="宋体" w:hAnsi="宋体" w:cs="宋体" w:eastAsia="宋体" w:hint="default"/>
                <w:sz w:val="18"/>
                <w:szCs w:val="18"/>
              </w:rPr>
              <w:t>收益状况</w:t>
            </w:r>
          </w:p>
        </w:tc>
        <w:tc>
          <w:tcPr>
            <w:tcW w:w="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10"/>
              <w:ind w:left="40" w:right="39"/>
              <w:jc w:val="center"/>
              <w:rPr>
                <w:rFonts w:ascii="宋体" w:hAnsi="宋体" w:cs="宋体" w:eastAsia="宋体" w:hint="default"/>
                <w:sz w:val="18"/>
                <w:szCs w:val="18"/>
              </w:rPr>
            </w:pPr>
            <w:r>
              <w:rPr>
                <w:rFonts w:ascii="宋体" w:hAnsi="宋体" w:cs="宋体" w:eastAsia="宋体" w:hint="default"/>
                <w:sz w:val="18"/>
                <w:szCs w:val="18"/>
              </w:rPr>
              <w:t>境外资产占 公司净资产 的比重</w:t>
            </w:r>
          </w:p>
        </w:tc>
        <w:tc>
          <w:tcPr>
            <w:tcW w:w="10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55" w:right="53"/>
              <w:jc w:val="left"/>
              <w:rPr>
                <w:rFonts w:ascii="宋体" w:hAnsi="宋体" w:cs="宋体" w:eastAsia="宋体" w:hint="default"/>
                <w:sz w:val="18"/>
                <w:szCs w:val="18"/>
              </w:rPr>
            </w:pPr>
            <w:r>
              <w:rPr>
                <w:rFonts w:ascii="宋体" w:hAnsi="宋体" w:cs="宋体" w:eastAsia="宋体" w:hint="default"/>
                <w:sz w:val="18"/>
                <w:szCs w:val="18"/>
              </w:rPr>
              <w:t>是否存在重 大减值风险</w:t>
            </w:r>
          </w:p>
        </w:tc>
      </w:tr>
      <w:tr>
        <w:trPr>
          <w:trHeight w:val="950"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316" w:lineRule="auto"/>
              <w:ind w:left="24" w:right="586"/>
              <w:jc w:val="left"/>
              <w:rPr>
                <w:rFonts w:ascii="宋体" w:hAnsi="宋体" w:cs="宋体" w:eastAsia="宋体" w:hint="default"/>
                <w:sz w:val="18"/>
                <w:szCs w:val="18"/>
              </w:rPr>
            </w:pPr>
            <w:r>
              <w:rPr>
                <w:rFonts w:ascii="宋体" w:hAnsi="宋体" w:cs="宋体" w:eastAsia="宋体" w:hint="default"/>
                <w:sz w:val="18"/>
                <w:szCs w:val="18"/>
              </w:rPr>
              <w:t>长实通信科技 有限公司</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5"/>
                <w:szCs w:val="25"/>
              </w:rPr>
            </w:pPr>
          </w:p>
          <w:p>
            <w:pPr>
              <w:pStyle w:val="TableParagraph"/>
              <w:spacing w:line="240" w:lineRule="auto"/>
              <w:ind w:right="149"/>
              <w:jc w:val="right"/>
              <w:rPr>
                <w:rFonts w:ascii="宋体" w:hAnsi="宋体" w:cs="宋体" w:eastAsia="宋体" w:hint="default"/>
                <w:sz w:val="18"/>
                <w:szCs w:val="18"/>
              </w:rPr>
            </w:pPr>
            <w:r>
              <w:rPr>
                <w:rFonts w:ascii="宋体" w:hAnsi="宋体" w:cs="宋体" w:eastAsia="宋体" w:hint="default"/>
                <w:sz w:val="18"/>
                <w:szCs w:val="18"/>
              </w:rPr>
              <w:t>投资设立</w:t>
            </w:r>
            <w:r>
              <w:rPr>
                <w:rFonts w:ascii="宋体" w:hAnsi="宋体" w:cs="宋体" w:eastAsia="宋体" w:hint="default"/>
                <w:sz w:val="18"/>
                <w:szCs w:val="18"/>
              </w:rPr>
              <w:t> </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5"/>
                <w:szCs w:val="25"/>
              </w:rPr>
            </w:pPr>
          </w:p>
          <w:p>
            <w:pPr>
              <w:pStyle w:val="TableParagraph"/>
              <w:spacing w:line="240" w:lineRule="auto"/>
              <w:ind w:left="23" w:right="-40"/>
              <w:jc w:val="left"/>
              <w:rPr>
                <w:rFonts w:ascii="宋体" w:hAnsi="宋体" w:cs="宋体" w:eastAsia="宋体" w:hint="default"/>
                <w:sz w:val="18"/>
                <w:szCs w:val="18"/>
              </w:rPr>
            </w:pPr>
            <w:r>
              <w:rPr>
                <w:rFonts w:ascii="宋体" w:hAnsi="宋体" w:cs="宋体" w:eastAsia="宋体" w:hint="default"/>
                <w:sz w:val="18"/>
                <w:szCs w:val="18"/>
              </w:rPr>
              <w:t>434.45</w:t>
            </w:r>
            <w:r>
              <w:rPr>
                <w:rFonts w:ascii="宋体" w:hAnsi="宋体" w:cs="宋体" w:eastAsia="宋体" w:hint="default"/>
                <w:spacing w:val="-44"/>
                <w:sz w:val="18"/>
                <w:szCs w:val="18"/>
              </w:rPr>
              <w:t> </w:t>
            </w:r>
            <w:r>
              <w:rPr>
                <w:rFonts w:ascii="宋体" w:hAnsi="宋体" w:cs="宋体" w:eastAsia="宋体" w:hint="default"/>
                <w:spacing w:val="-3"/>
                <w:sz w:val="18"/>
                <w:szCs w:val="18"/>
              </w:rPr>
              <w:t>元</w:t>
            </w:r>
            <w:r>
              <w:rPr>
                <w:rFonts w:ascii="宋体" w:hAnsi="宋体" w:cs="宋体" w:eastAsia="宋体" w:hint="default"/>
                <w:sz w:val="18"/>
                <w:szCs w:val="18"/>
              </w:rPr>
              <w:t> </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5"/>
                <w:szCs w:val="2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香港</w:t>
            </w:r>
            <w:r>
              <w:rPr>
                <w:rFonts w:ascii="宋体" w:hAnsi="宋体" w:cs="宋体" w:eastAsia="宋体" w:hint="default"/>
                <w:sz w:val="18"/>
                <w:szCs w:val="18"/>
              </w:rPr>
              <w:t> </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5"/>
              <w:ind w:left="24" w:right="19"/>
              <w:jc w:val="both"/>
              <w:rPr>
                <w:rFonts w:ascii="宋体" w:hAnsi="宋体" w:cs="宋体" w:eastAsia="宋体" w:hint="default"/>
                <w:sz w:val="18"/>
                <w:szCs w:val="18"/>
              </w:rPr>
            </w:pPr>
            <w:r>
              <w:rPr>
                <w:rFonts w:ascii="宋体" w:hAnsi="宋体" w:cs="宋体" w:eastAsia="宋体" w:hint="default"/>
                <w:sz w:val="18"/>
                <w:szCs w:val="18"/>
              </w:rPr>
              <w:t>未</w:t>
            </w:r>
            <w:r>
              <w:rPr>
                <w:rFonts w:ascii="宋体" w:hAnsi="宋体" w:cs="宋体" w:eastAsia="宋体" w:hint="default"/>
                <w:spacing w:val="-47"/>
                <w:sz w:val="18"/>
                <w:szCs w:val="18"/>
              </w:rPr>
              <w:t> </w:t>
            </w:r>
            <w:r>
              <w:rPr>
                <w:rFonts w:ascii="宋体" w:hAnsi="宋体" w:cs="宋体" w:eastAsia="宋体" w:hint="default"/>
                <w:sz w:val="18"/>
                <w:szCs w:val="18"/>
              </w:rPr>
              <w:t>开</w:t>
            </w:r>
            <w:r>
              <w:rPr>
                <w:rFonts w:ascii="宋体" w:hAnsi="宋体" w:cs="宋体" w:eastAsia="宋体" w:hint="default"/>
                <w:spacing w:val="-47"/>
                <w:sz w:val="18"/>
                <w:szCs w:val="18"/>
              </w:rPr>
              <w:t> </w:t>
            </w:r>
            <w:r>
              <w:rPr>
                <w:rFonts w:ascii="宋体" w:hAnsi="宋体" w:cs="宋体" w:eastAsia="宋体" w:hint="default"/>
                <w:sz w:val="18"/>
                <w:szCs w:val="18"/>
              </w:rPr>
              <w:t>展</w:t>
            </w:r>
            <w:r>
              <w:rPr>
                <w:rFonts w:ascii="宋体" w:hAnsi="宋体" w:cs="宋体" w:eastAsia="宋体" w:hint="default"/>
                <w:spacing w:val="-45"/>
                <w:sz w:val="18"/>
                <w:szCs w:val="18"/>
              </w:rPr>
              <w:t> </w:t>
            </w:r>
            <w:r>
              <w:rPr>
                <w:rFonts w:ascii="宋体" w:hAnsi="宋体" w:cs="宋体" w:eastAsia="宋体" w:hint="default"/>
                <w:sz w:val="18"/>
                <w:szCs w:val="18"/>
              </w:rPr>
              <w:t>实</w:t>
            </w:r>
            <w:r>
              <w:rPr>
                <w:rFonts w:ascii="宋体" w:hAnsi="宋体" w:cs="宋体" w:eastAsia="宋体" w:hint="default"/>
                <w:spacing w:val="-47"/>
                <w:sz w:val="18"/>
                <w:szCs w:val="18"/>
              </w:rPr>
              <w:t> </w:t>
            </w:r>
            <w:r>
              <w:rPr>
                <w:rFonts w:ascii="宋体" w:hAnsi="宋体" w:cs="宋体" w:eastAsia="宋体" w:hint="default"/>
                <w:sz w:val="18"/>
                <w:szCs w:val="18"/>
              </w:rPr>
              <w:t>际</w:t>
            </w:r>
            <w:r>
              <w:rPr>
                <w:rFonts w:ascii="宋体" w:hAnsi="宋体" w:cs="宋体" w:eastAsia="宋体" w:hint="default"/>
                <w:sz w:val="18"/>
                <w:szCs w:val="18"/>
              </w:rPr>
              <w:t> 业务经营，仅 为持股公司</w:t>
            </w:r>
            <w:r>
              <w:rPr>
                <w:rFonts w:ascii="宋体" w:hAnsi="宋体" w:cs="宋体" w:eastAsia="宋体" w:hint="default"/>
                <w:sz w:val="18"/>
                <w:szCs w:val="18"/>
              </w:rPr>
              <w:t> </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5"/>
              <w:ind w:left="23" w:right="-19"/>
              <w:jc w:val="left"/>
              <w:rPr>
                <w:rFonts w:ascii="宋体" w:hAnsi="宋体" w:cs="宋体" w:eastAsia="宋体" w:hint="default"/>
                <w:sz w:val="18"/>
                <w:szCs w:val="18"/>
              </w:rPr>
            </w:pPr>
            <w:r>
              <w:rPr>
                <w:rFonts w:ascii="宋体" w:hAnsi="宋体" w:cs="宋体" w:eastAsia="宋体" w:hint="default"/>
                <w:sz w:val="18"/>
                <w:szCs w:val="18"/>
              </w:rPr>
              <w:t>加强内部控制， 指派专人负责 管理。</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5"/>
                <w:szCs w:val="2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-271.79</w:t>
            </w:r>
            <w:r>
              <w:rPr>
                <w:rFonts w:ascii="宋体" w:hAnsi="宋体" w:cs="宋体" w:eastAsia="宋体" w:hint="default"/>
                <w:spacing w:val="-46"/>
                <w:sz w:val="18"/>
                <w:szCs w:val="18"/>
              </w:rPr>
              <w:t> </w:t>
            </w:r>
            <w:r>
              <w:rPr>
                <w:rFonts w:ascii="宋体" w:hAnsi="宋体" w:cs="宋体" w:eastAsia="宋体" w:hint="default"/>
                <w:spacing w:val="-3"/>
                <w:sz w:val="18"/>
                <w:szCs w:val="18"/>
              </w:rPr>
              <w:t>元</w:t>
            </w:r>
            <w:r>
              <w:rPr>
                <w:rFonts w:ascii="宋体" w:hAnsi="宋体" w:cs="宋体" w:eastAsia="宋体" w:hint="default"/>
                <w:sz w:val="18"/>
                <w:szCs w:val="18"/>
              </w:rPr>
              <w:t> </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5"/>
                <w:szCs w:val="25"/>
              </w:rPr>
            </w:pPr>
          </w:p>
          <w:p>
            <w:pPr>
              <w:pStyle w:val="TableParagraph"/>
              <w:spacing w:line="240" w:lineRule="auto"/>
              <w:ind w:right="20"/>
              <w:jc w:val="right"/>
              <w:rPr>
                <w:rFonts w:ascii="宋体" w:hAnsi="宋体" w:cs="宋体" w:eastAsia="宋体" w:hint="default"/>
                <w:sz w:val="18"/>
                <w:szCs w:val="18"/>
              </w:rPr>
            </w:pPr>
            <w:r>
              <w:rPr>
                <w:rFonts w:ascii="宋体"/>
                <w:sz w:val="18"/>
              </w:rPr>
              <w:t>-</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25"/>
                <w:szCs w:val="25"/>
              </w:rPr>
            </w:pPr>
          </w:p>
          <w:p>
            <w:pPr>
              <w:pStyle w:val="TableParagraph"/>
              <w:spacing w:line="240" w:lineRule="auto"/>
              <w:ind w:right="23"/>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949"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319" w:lineRule="auto"/>
              <w:ind w:left="24" w:right="46"/>
              <w:jc w:val="left"/>
              <w:rPr>
                <w:rFonts w:ascii="宋体" w:hAnsi="宋体" w:cs="宋体" w:eastAsia="宋体" w:hint="default"/>
                <w:sz w:val="18"/>
                <w:szCs w:val="18"/>
              </w:rPr>
            </w:pPr>
            <w:r>
              <w:rPr>
                <w:rFonts w:ascii="宋体" w:hAnsi="宋体" w:cs="宋体" w:eastAsia="宋体" w:hint="default"/>
                <w:sz w:val="18"/>
                <w:szCs w:val="18"/>
              </w:rPr>
              <w:t>广东长实通信科技有 限公司澳门分公司</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49"/>
              <w:jc w:val="right"/>
              <w:rPr>
                <w:rFonts w:ascii="宋体" w:hAnsi="宋体" w:cs="宋体" w:eastAsia="宋体" w:hint="default"/>
                <w:sz w:val="18"/>
                <w:szCs w:val="18"/>
              </w:rPr>
            </w:pPr>
            <w:r>
              <w:rPr>
                <w:rFonts w:ascii="宋体" w:hAnsi="宋体" w:cs="宋体" w:eastAsia="宋体" w:hint="default"/>
                <w:sz w:val="18"/>
                <w:szCs w:val="18"/>
              </w:rPr>
              <w:t>投资设立</w:t>
            </w:r>
            <w:r>
              <w:rPr>
                <w:rFonts w:ascii="宋体" w:hAnsi="宋体" w:cs="宋体" w:eastAsia="宋体" w:hint="default"/>
                <w:sz w:val="18"/>
                <w:szCs w:val="18"/>
              </w:rPr>
              <w:t> </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23" w:right="0"/>
              <w:jc w:val="left"/>
              <w:rPr>
                <w:rFonts w:ascii="宋体" w:hAnsi="宋体" w:cs="宋体" w:eastAsia="宋体" w:hint="default"/>
                <w:sz w:val="18"/>
                <w:szCs w:val="18"/>
              </w:rPr>
            </w:pPr>
            <w:r>
              <w:rPr>
                <w:rFonts w:ascii="宋体"/>
                <w:sz w:val="18"/>
              </w:rPr>
              <w:t>-- </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澳门</w:t>
            </w:r>
            <w:r>
              <w:rPr>
                <w:rFonts w:ascii="宋体" w:hAnsi="宋体" w:cs="宋体" w:eastAsia="宋体" w:hint="default"/>
                <w:sz w:val="18"/>
                <w:szCs w:val="18"/>
              </w:rPr>
              <w:t> </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319" w:lineRule="auto"/>
              <w:ind w:left="24" w:right="22"/>
              <w:jc w:val="left"/>
              <w:rPr>
                <w:rFonts w:ascii="宋体" w:hAnsi="宋体" w:cs="宋体" w:eastAsia="宋体" w:hint="default"/>
                <w:sz w:val="18"/>
                <w:szCs w:val="18"/>
              </w:rPr>
            </w:pPr>
            <w:r>
              <w:rPr>
                <w:rFonts w:ascii="宋体" w:hAnsi="宋体" w:cs="宋体" w:eastAsia="宋体" w:hint="default"/>
                <w:sz w:val="18"/>
                <w:szCs w:val="18"/>
              </w:rPr>
              <w:t>未</w:t>
            </w:r>
            <w:r>
              <w:rPr>
                <w:rFonts w:ascii="宋体" w:hAnsi="宋体" w:cs="宋体" w:eastAsia="宋体" w:hint="default"/>
                <w:spacing w:val="-47"/>
                <w:sz w:val="18"/>
                <w:szCs w:val="18"/>
              </w:rPr>
              <w:t> </w:t>
            </w:r>
            <w:r>
              <w:rPr>
                <w:rFonts w:ascii="宋体" w:hAnsi="宋体" w:cs="宋体" w:eastAsia="宋体" w:hint="default"/>
                <w:sz w:val="18"/>
                <w:szCs w:val="18"/>
              </w:rPr>
              <w:t>开</w:t>
            </w:r>
            <w:r>
              <w:rPr>
                <w:rFonts w:ascii="宋体" w:hAnsi="宋体" w:cs="宋体" w:eastAsia="宋体" w:hint="default"/>
                <w:spacing w:val="-47"/>
                <w:sz w:val="18"/>
                <w:szCs w:val="18"/>
              </w:rPr>
              <w:t> </w:t>
            </w:r>
            <w:r>
              <w:rPr>
                <w:rFonts w:ascii="宋体" w:hAnsi="宋体" w:cs="宋体" w:eastAsia="宋体" w:hint="default"/>
                <w:sz w:val="18"/>
                <w:szCs w:val="18"/>
              </w:rPr>
              <w:t>展</w:t>
            </w:r>
            <w:r>
              <w:rPr>
                <w:rFonts w:ascii="宋体" w:hAnsi="宋体" w:cs="宋体" w:eastAsia="宋体" w:hint="default"/>
                <w:spacing w:val="-45"/>
                <w:sz w:val="18"/>
                <w:szCs w:val="18"/>
              </w:rPr>
              <w:t> </w:t>
            </w:r>
            <w:r>
              <w:rPr>
                <w:rFonts w:ascii="宋体" w:hAnsi="宋体" w:cs="宋体" w:eastAsia="宋体" w:hint="default"/>
                <w:sz w:val="18"/>
                <w:szCs w:val="18"/>
              </w:rPr>
              <w:t>实</w:t>
            </w:r>
            <w:r>
              <w:rPr>
                <w:rFonts w:ascii="宋体" w:hAnsi="宋体" w:cs="宋体" w:eastAsia="宋体" w:hint="default"/>
                <w:spacing w:val="-47"/>
                <w:sz w:val="18"/>
                <w:szCs w:val="18"/>
              </w:rPr>
              <w:t> </w:t>
            </w:r>
            <w:r>
              <w:rPr>
                <w:rFonts w:ascii="宋体" w:hAnsi="宋体" w:cs="宋体" w:eastAsia="宋体" w:hint="default"/>
                <w:sz w:val="18"/>
                <w:szCs w:val="18"/>
              </w:rPr>
              <w:t>际</w:t>
            </w:r>
            <w:r>
              <w:rPr>
                <w:rFonts w:ascii="宋体" w:hAnsi="宋体" w:cs="宋体" w:eastAsia="宋体" w:hint="default"/>
                <w:sz w:val="18"/>
                <w:szCs w:val="18"/>
              </w:rPr>
              <w:t> 业务经营</w:t>
            </w:r>
            <w:r>
              <w:rPr>
                <w:rFonts w:ascii="宋体" w:hAnsi="宋体" w:cs="宋体" w:eastAsia="宋体" w:hint="default"/>
                <w:sz w:val="18"/>
                <w:szCs w:val="18"/>
              </w:rPr>
              <w:t> </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3"/>
              <w:ind w:left="23" w:right="-19"/>
              <w:jc w:val="left"/>
              <w:rPr>
                <w:rFonts w:ascii="宋体" w:hAnsi="宋体" w:cs="宋体" w:eastAsia="宋体" w:hint="default"/>
                <w:sz w:val="18"/>
                <w:szCs w:val="18"/>
              </w:rPr>
            </w:pPr>
            <w:r>
              <w:rPr>
                <w:rFonts w:ascii="宋体" w:hAnsi="宋体" w:cs="宋体" w:eastAsia="宋体" w:hint="default"/>
                <w:sz w:val="18"/>
                <w:szCs w:val="18"/>
              </w:rPr>
              <w:t>加强内部控制， 指派专人负责 管理。</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24" w:right="0"/>
              <w:jc w:val="left"/>
              <w:rPr>
                <w:rFonts w:ascii="宋体" w:hAnsi="宋体" w:cs="宋体" w:eastAsia="宋体" w:hint="default"/>
                <w:sz w:val="18"/>
                <w:szCs w:val="18"/>
              </w:rPr>
            </w:pPr>
            <w:r>
              <w:rPr>
                <w:rFonts w:ascii="宋体"/>
                <w:sz w:val="18"/>
              </w:rPr>
              <w:t>- </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0"/>
              <w:jc w:val="right"/>
              <w:rPr>
                <w:rFonts w:ascii="宋体" w:hAnsi="宋体" w:cs="宋体" w:eastAsia="宋体" w:hint="default"/>
                <w:sz w:val="18"/>
                <w:szCs w:val="18"/>
              </w:rPr>
            </w:pPr>
            <w:r>
              <w:rPr>
                <w:rFonts w:ascii="宋体"/>
                <w:sz w:val="18"/>
              </w:rPr>
              <w:t>-</w:t>
            </w:r>
          </w:p>
        </w:tc>
        <w:tc>
          <w:tcPr>
            <w:tcW w:w="10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3"/>
              <w:jc w:val="right"/>
              <w:rPr>
                <w:rFonts w:ascii="宋体" w:hAnsi="宋体" w:cs="宋体" w:eastAsia="宋体" w:hint="default"/>
                <w:sz w:val="18"/>
                <w:szCs w:val="18"/>
              </w:rPr>
            </w:pPr>
            <w:r>
              <w:rPr>
                <w:rFonts w:ascii="宋体" w:hAnsi="宋体" w:cs="宋体" w:eastAsia="宋体" w:hint="default"/>
                <w:sz w:val="18"/>
                <w:szCs w:val="18"/>
              </w:rPr>
              <w:t>否</w:t>
            </w:r>
          </w:p>
        </w:tc>
      </w:tr>
      <w:tr>
        <w:trPr>
          <w:trHeight w:val="322"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其他情况说明</w:t>
            </w:r>
          </w:p>
        </w:tc>
        <w:tc>
          <w:tcPr>
            <w:tcW w:w="7967" w:type="dxa"/>
            <w:gridSpan w:val="8"/>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以上主体均未开展业务，均未实际出资。</w:t>
            </w:r>
          </w:p>
        </w:tc>
      </w:tr>
    </w:tbl>
    <w:p>
      <w:pPr>
        <w:spacing w:line="240" w:lineRule="auto" w:before="6"/>
        <w:rPr>
          <w:rFonts w:ascii="宋体" w:hAnsi="宋体" w:cs="宋体" w:eastAsia="宋体" w:hint="default"/>
          <w:sz w:val="13"/>
          <w:szCs w:val="13"/>
        </w:rPr>
      </w:pPr>
    </w:p>
    <w:p>
      <w:pPr>
        <w:pStyle w:val="Heading2"/>
        <w:spacing w:line="240" w:lineRule="auto"/>
        <w:ind w:left="633" w:right="1133"/>
        <w:jc w:val="left"/>
        <w:rPr>
          <w:b w:val="0"/>
          <w:bCs w:val="0"/>
        </w:rPr>
      </w:pPr>
      <w:r>
        <w:rPr/>
        <w:t>三、核心竞争力分析</w:t>
      </w:r>
      <w:r>
        <w:rPr>
          <w:b w:val="0"/>
          <w:bCs w:val="0"/>
        </w:rPr>
      </w:r>
    </w:p>
    <w:p>
      <w:pPr>
        <w:pStyle w:val="BodyText"/>
        <w:spacing w:line="273" w:lineRule="auto" w:before="143"/>
        <w:ind w:right="1133" w:firstLine="420"/>
        <w:jc w:val="left"/>
      </w:pPr>
      <w:r>
        <w:rPr>
          <w:rFonts w:ascii="宋体" w:hAnsi="宋体" w:cs="宋体" w:eastAsia="宋体" w:hint="default"/>
          <w:w w:val="100"/>
        </w:rPr>
        <w:t> </w:t>
      </w:r>
      <w:r>
        <w:rPr>
          <w:rFonts w:ascii="宋体" w:hAnsi="宋体" w:cs="宋体" w:eastAsia="宋体" w:hint="default"/>
        </w:rPr>
        <w:t>(</w:t>
      </w:r>
      <w:r>
        <w:rPr/>
        <w:t>一</w:t>
      </w:r>
      <w:r>
        <w:rPr>
          <w:rFonts w:ascii="宋体" w:hAnsi="宋体" w:cs="宋体" w:eastAsia="宋体" w:hint="default"/>
        </w:rPr>
        <w:t>)</w:t>
      </w:r>
      <w:r>
        <w:rPr/>
        <w:t>作为移动信息智能传输服务综合信息服务平台运营商，创世漫道竞争优势包括经验丰富且高效</w:t>
      </w:r>
      <w:r>
        <w:rPr>
          <w:w w:val="100"/>
        </w:rPr>
        <w:t> </w:t>
      </w:r>
      <w:r>
        <w:rPr>
          <w:spacing w:val="-2"/>
        </w:rPr>
        <w:t>稳定的人才结构、自主核心处理平台的技术优势、分布广泛且质量较高的客户结构、进入良性循环的业务</w:t>
      </w:r>
    </w:p>
    <w:p>
      <w:pPr>
        <w:spacing w:after="0" w:line="273" w:lineRule="auto"/>
        <w:jc w:val="left"/>
        <w:sectPr>
          <w:pgSz w:w="11910" w:h="16840"/>
          <w:pgMar w:header="880" w:footer="975" w:top="1100" w:bottom="1160" w:left="980" w:right="0"/>
        </w:sectPr>
      </w:pPr>
    </w:p>
    <w:p>
      <w:pPr>
        <w:spacing w:line="240" w:lineRule="auto" w:before="11"/>
        <w:rPr>
          <w:rFonts w:ascii="宋体" w:hAnsi="宋体" w:cs="宋体" w:eastAsia="宋体" w:hint="default"/>
          <w:sz w:val="20"/>
          <w:szCs w:val="20"/>
        </w:rPr>
      </w:pPr>
    </w:p>
    <w:p>
      <w:pPr>
        <w:pStyle w:val="BodyText"/>
        <w:spacing w:line="240" w:lineRule="auto" w:before="36"/>
        <w:ind w:right="0"/>
        <w:jc w:val="both"/>
        <w:rPr>
          <w:rFonts w:ascii="宋体" w:hAnsi="宋体" w:cs="宋体" w:eastAsia="宋体" w:hint="default"/>
        </w:rPr>
      </w:pPr>
      <w:r>
        <w:rPr/>
        <w:t>规模、长期市场化经营建立的品牌影响力、全面完善的客户增值服务优势：</w:t>
      </w:r>
      <w:r>
        <w:rPr>
          <w:rFonts w:ascii="宋体" w:hAnsi="宋体" w:cs="宋体" w:eastAsia="宋体" w:hint="default"/>
        </w:rPr>
        <w:t> </w:t>
      </w:r>
    </w:p>
    <w:p>
      <w:pPr>
        <w:spacing w:line="240" w:lineRule="auto" w:before="10"/>
        <w:rPr>
          <w:rFonts w:ascii="宋体" w:hAnsi="宋体" w:cs="宋体" w:eastAsia="宋体" w:hint="default"/>
          <w:sz w:val="14"/>
          <w:szCs w:val="14"/>
        </w:rPr>
      </w:pPr>
    </w:p>
    <w:p>
      <w:pPr>
        <w:pStyle w:val="BodyText"/>
        <w:spacing w:line="307" w:lineRule="auto"/>
        <w:ind w:left="573" w:right="1133"/>
        <w:jc w:val="left"/>
      </w:pPr>
      <w:r>
        <w:rPr/>
        <w:t>——经验丰富且高效稳定的人才结构。</w:t>
      </w:r>
      <w:r>
        <w:rPr>
          <w:rFonts w:ascii="宋体" w:hAnsi="宋体" w:cs="宋体" w:eastAsia="宋体" w:hint="default"/>
          <w:w w:val="100"/>
        </w:rPr>
        <w:t> </w:t>
      </w:r>
      <w:r>
        <w:rPr>
          <w:spacing w:val="-2"/>
        </w:rPr>
        <w:t>作为科技驱动型企业，创世漫道经过激烈的市场历练，建立了一支行业经验丰富、稳定高效的核心经</w:t>
      </w:r>
    </w:p>
    <w:p>
      <w:pPr>
        <w:pStyle w:val="BodyText"/>
        <w:spacing w:line="253" w:lineRule="exact"/>
        <w:ind w:right="0"/>
        <w:jc w:val="both"/>
      </w:pPr>
      <w:r>
        <w:rPr/>
        <w:t>营团队，团队成员均为国内长期从事移动信息服务及研发的从业人员，具有深厚的行业认识和丰富的业务</w:t>
      </w:r>
    </w:p>
    <w:p>
      <w:pPr>
        <w:pStyle w:val="BodyText"/>
        <w:spacing w:line="273" w:lineRule="auto" w:before="37"/>
        <w:ind w:right="1126"/>
        <w:jc w:val="both"/>
        <w:rPr>
          <w:rFonts w:ascii="宋体" w:hAnsi="宋体" w:cs="宋体" w:eastAsia="宋体" w:hint="default"/>
        </w:rPr>
      </w:pPr>
      <w:r>
        <w:rPr>
          <w:spacing w:val="-2"/>
        </w:rPr>
        <w:t>资源，熟悉国内三大运营商的不同技术标准，能够准确把握不同行业中客户的应用需求，并开发出操作简</w:t>
      </w:r>
      <w:r>
        <w:rPr>
          <w:spacing w:val="-43"/>
        </w:rPr>
        <w:t> </w:t>
      </w:r>
      <w:r>
        <w:rPr>
          <w:spacing w:val="-43"/>
        </w:rPr>
      </w:r>
      <w:r>
        <w:rPr/>
        <w:t>便、功能完善的个性化接口产品或短信管理平台。报告期该核心团队人员未发生重大变动。</w:t>
      </w:r>
      <w:r>
        <w:rPr>
          <w:rFonts w:ascii="宋体" w:hAnsi="宋体" w:cs="宋体" w:eastAsia="宋体" w:hint="default"/>
        </w:rPr>
        <w:t> </w:t>
      </w:r>
    </w:p>
    <w:p>
      <w:pPr>
        <w:pStyle w:val="BodyText"/>
        <w:spacing w:line="273" w:lineRule="auto" w:before="161"/>
        <w:ind w:right="1126" w:firstLine="420"/>
        <w:jc w:val="both"/>
        <w:rPr>
          <w:rFonts w:ascii="宋体" w:hAnsi="宋体" w:cs="宋体" w:eastAsia="宋体" w:hint="default"/>
        </w:rPr>
      </w:pPr>
      <w:r>
        <w:rPr>
          <w:spacing w:val="-2"/>
        </w:rPr>
        <w:t>——自主核心处理平台的技术优势。核心处理平台是创世漫道技术骨干成员自主研发并长期持续优化</w:t>
      </w:r>
      <w:r>
        <w:rPr>
          <w:w w:val="100"/>
        </w:rPr>
        <w:t> </w:t>
      </w:r>
      <w:r>
        <w:rPr/>
        <w:t>升级的独立系统，是业务发展的根本保障。</w:t>
      </w:r>
      <w:r>
        <w:rPr>
          <w:rFonts w:ascii="宋体" w:hAnsi="宋体" w:cs="宋体" w:eastAsia="宋体" w:hint="default"/>
        </w:rPr>
        <w:t> </w:t>
      </w:r>
    </w:p>
    <w:p>
      <w:pPr>
        <w:pStyle w:val="BodyText"/>
        <w:spacing w:line="273" w:lineRule="auto" w:before="46"/>
        <w:ind w:right="1132" w:firstLine="420"/>
        <w:jc w:val="both"/>
        <w:rPr>
          <w:rFonts w:ascii="宋体" w:hAnsi="宋体" w:cs="宋体" w:eastAsia="宋体" w:hint="default"/>
        </w:rPr>
      </w:pPr>
      <w:r>
        <w:rPr/>
        <w:t>该平台具备智能调度通道资源和综合信息服务优势，具备“平台</w:t>
      </w:r>
      <w:r>
        <w:rPr>
          <w:rFonts w:ascii="宋体" w:hAnsi="宋体" w:cs="宋体" w:eastAsia="宋体" w:hint="default"/>
        </w:rPr>
        <w:t>+</w:t>
      </w:r>
      <w:r>
        <w:rPr/>
        <w:t>接口”架构的广泛适用性和较强兼</w:t>
      </w:r>
      <w:r>
        <w:rPr>
          <w:w w:val="100"/>
        </w:rPr>
        <w:t> </w:t>
      </w:r>
      <w:r>
        <w:rPr/>
        <w:t>容性，具备瞬时并发的快速处理能力，具备高度稳定的服务性能及严密的信息安全保障。</w:t>
      </w:r>
      <w:r>
        <w:rPr>
          <w:rFonts w:ascii="宋体" w:hAnsi="宋体" w:cs="宋体" w:eastAsia="宋体" w:hint="default"/>
        </w:rPr>
        <w:t> </w:t>
      </w:r>
    </w:p>
    <w:p>
      <w:pPr>
        <w:pStyle w:val="BodyText"/>
        <w:spacing w:line="273" w:lineRule="auto" w:before="48"/>
        <w:ind w:right="1126" w:firstLine="420"/>
        <w:jc w:val="both"/>
        <w:rPr>
          <w:rFonts w:ascii="宋体" w:hAnsi="宋体" w:cs="宋体" w:eastAsia="宋体" w:hint="default"/>
        </w:rPr>
      </w:pPr>
      <w:r>
        <w:rPr>
          <w:spacing w:val="-2"/>
        </w:rPr>
        <w:t>报告期创世漫道运用数据驱动、流式计算、大数据、人工智能等核心技术，重塑以数据驱动为核心的</w:t>
      </w:r>
      <w:r>
        <w:rPr>
          <w:w w:val="100"/>
        </w:rPr>
        <w:t> </w:t>
      </w:r>
      <w:r>
        <w:rPr>
          <w:spacing w:val="-2"/>
        </w:rPr>
        <w:t>业务处理平台，使之成为：以数据驱动为核心设计理念的信息推送平台、以大数据为基础的用户画像和标</w:t>
      </w:r>
      <w:r>
        <w:rPr>
          <w:spacing w:val="-45"/>
        </w:rPr>
        <w:t> </w:t>
      </w:r>
      <w:r>
        <w:rPr>
          <w:spacing w:val="-45"/>
        </w:rPr>
      </w:r>
      <w:r>
        <w:rPr>
          <w:spacing w:val="-2"/>
        </w:rPr>
        <w:t>签系统、精准营销信息推送平台、智能业务及运营和自动化运维平台，持续累积三网资源、覆盖全国、分</w:t>
      </w:r>
      <w:r>
        <w:rPr>
          <w:spacing w:val="-43"/>
        </w:rPr>
        <w:t> </w:t>
      </w:r>
      <w:r>
        <w:rPr>
          <w:spacing w:val="-43"/>
        </w:rPr>
      </w:r>
      <w:r>
        <w:rPr>
          <w:spacing w:val="-2"/>
        </w:rPr>
        <w:t>省落地能力、综合服务能力等核心资源，开拓综合信息服务能力，短信发送从被动地、单向地拓展至主动</w:t>
      </w:r>
      <w:r>
        <w:rPr>
          <w:spacing w:val="-50"/>
        </w:rPr>
        <w:t> </w:t>
      </w:r>
      <w:r>
        <w:rPr>
          <w:spacing w:val="-50"/>
        </w:rPr>
      </w:r>
      <w:r>
        <w:rPr/>
        <w:t>地、目标地、相互地信息推送，促进触发类和真实需求的短信业务市场增长。</w:t>
      </w:r>
      <w:r>
        <w:rPr>
          <w:rFonts w:ascii="宋体" w:hAnsi="宋体" w:cs="宋体" w:eastAsia="宋体" w:hint="default"/>
        </w:rPr>
        <w:t> </w:t>
      </w:r>
    </w:p>
    <w:p>
      <w:pPr>
        <w:pStyle w:val="BodyText"/>
        <w:spacing w:line="307" w:lineRule="auto" w:before="163"/>
        <w:ind w:left="573" w:right="819"/>
        <w:jc w:val="left"/>
      </w:pPr>
      <w:r>
        <w:rPr/>
        <w:t>——分布广泛、质量较高的客户结构。</w:t>
      </w:r>
      <w:r>
        <w:rPr>
          <w:rFonts w:ascii="宋体" w:hAnsi="宋体" w:cs="宋体" w:eastAsia="宋体" w:hint="default"/>
          <w:w w:val="100"/>
        </w:rPr>
        <w:t> </w:t>
      </w:r>
      <w:r>
        <w:rPr/>
        <w:t>创世漫道专注于触发类和真实需求短信领域的专业技术服务，服务客户包括阿里巴巴、京东、腾讯、</w:t>
      </w:r>
    </w:p>
    <w:p>
      <w:pPr>
        <w:pStyle w:val="BodyText"/>
        <w:spacing w:line="253" w:lineRule="exact"/>
        <w:ind w:right="0"/>
        <w:jc w:val="both"/>
      </w:pPr>
      <w:r>
        <w:rPr/>
        <w:t>神州专车、广发银行、华融证券、中保财险、网银在线、小米、美团网、快钱、沃尔玛、全国人大信息中</w:t>
      </w:r>
    </w:p>
    <w:p>
      <w:pPr>
        <w:pStyle w:val="BodyText"/>
        <w:spacing w:line="273" w:lineRule="auto" w:before="37"/>
        <w:ind w:right="1028"/>
        <w:jc w:val="both"/>
        <w:rPr>
          <w:rFonts w:ascii="宋体" w:hAnsi="宋体" w:cs="宋体" w:eastAsia="宋体" w:hint="default"/>
        </w:rPr>
      </w:pPr>
      <w:r>
        <w:rPr/>
        <w:t>心、中央政法委政法综治信息中心、中国证券业协会、华为、百果园等数量众多的覆盖电子商务、金融、</w:t>
      </w:r>
      <w:r>
        <w:rPr>
          <w:spacing w:val="-24"/>
        </w:rPr>
        <w:t> </w:t>
      </w:r>
      <w:r>
        <w:rPr>
          <w:spacing w:val="-24"/>
        </w:rPr>
      </w:r>
      <w:r>
        <w:rPr/>
        <w:t>第三方支付、制造业、零售业、政府职能机构、公共服务等单位。报告期创世漫道服务客户数量</w:t>
      </w:r>
      <w:r>
        <w:rPr>
          <w:spacing w:val="83"/>
        </w:rPr>
        <w:t> </w:t>
      </w:r>
      <w:r>
        <w:rPr>
          <w:rFonts w:ascii="宋体" w:hAnsi="宋体" w:cs="宋体" w:eastAsia="宋体" w:hint="default"/>
        </w:rPr>
        <w:t>12,000</w:t>
      </w:r>
    </w:p>
    <w:p>
      <w:pPr>
        <w:pStyle w:val="BodyText"/>
        <w:spacing w:line="240" w:lineRule="auto" w:before="7"/>
        <w:ind w:right="0"/>
        <w:jc w:val="both"/>
        <w:rPr>
          <w:rFonts w:ascii="宋体" w:hAnsi="宋体" w:cs="宋体" w:eastAsia="宋体" w:hint="default"/>
        </w:rPr>
      </w:pPr>
      <w:r>
        <w:rPr/>
        <w:t>多家，服务终端用户超过</w:t>
      </w:r>
      <w:r>
        <w:rPr>
          <w:spacing w:val="-58"/>
        </w:rPr>
        <w:t> </w:t>
      </w:r>
      <w:r>
        <w:rPr>
          <w:rFonts w:ascii="宋体" w:hAnsi="宋体" w:cs="宋体" w:eastAsia="宋体" w:hint="default"/>
        </w:rPr>
        <w:t>8</w:t>
      </w:r>
      <w:r>
        <w:rPr>
          <w:rFonts w:ascii="宋体" w:hAnsi="宋体" w:cs="宋体" w:eastAsia="宋体" w:hint="default"/>
          <w:spacing w:val="-56"/>
        </w:rPr>
        <w:t> </w:t>
      </w:r>
      <w:r>
        <w:rPr/>
        <w:t>亿户，好的客户及其结构成为业务发展的主要驱动力。</w:t>
      </w:r>
      <w:r>
        <w:rPr>
          <w:rFonts w:ascii="宋体" w:hAnsi="宋体" w:cs="宋体" w:eastAsia="宋体" w:hint="default"/>
        </w:rPr>
        <w:t> </w:t>
      </w:r>
    </w:p>
    <w:p>
      <w:pPr>
        <w:spacing w:line="240" w:lineRule="auto" w:before="8"/>
        <w:rPr>
          <w:rFonts w:ascii="宋体" w:hAnsi="宋体" w:cs="宋体" w:eastAsia="宋体" w:hint="default"/>
          <w:sz w:val="14"/>
          <w:szCs w:val="14"/>
        </w:rPr>
      </w:pPr>
    </w:p>
    <w:p>
      <w:pPr>
        <w:pStyle w:val="BodyText"/>
        <w:spacing w:line="307" w:lineRule="auto"/>
        <w:ind w:left="573" w:right="1133"/>
        <w:jc w:val="left"/>
      </w:pPr>
      <w:r>
        <w:rPr/>
        <w:t>——进入良性发展循环的业务规模。</w:t>
      </w:r>
      <w:r>
        <w:rPr>
          <w:rFonts w:ascii="宋体" w:hAnsi="宋体" w:cs="宋体" w:eastAsia="宋体" w:hint="default"/>
          <w:w w:val="100"/>
        </w:rPr>
        <w:t> </w:t>
      </w:r>
      <w:r>
        <w:rPr>
          <w:spacing w:val="-2"/>
        </w:rPr>
        <w:t>传统的信息智能传输业务进入门槛不高，但要形成一定的业务规模并保持增长，则需要系统技术、客</w:t>
      </w:r>
    </w:p>
    <w:p>
      <w:pPr>
        <w:pStyle w:val="BodyText"/>
        <w:spacing w:line="254" w:lineRule="exact"/>
        <w:ind w:right="0"/>
        <w:jc w:val="both"/>
      </w:pPr>
      <w:r>
        <w:rPr/>
        <w:t>户资源、运营商认可等多方面的长期积累。随着上述具备人工智能和大数据运用核心平台的运转使得创世</w:t>
      </w:r>
    </w:p>
    <w:p>
      <w:pPr>
        <w:pStyle w:val="BodyText"/>
        <w:spacing w:line="273" w:lineRule="auto" w:before="37"/>
        <w:ind w:right="1126"/>
        <w:jc w:val="both"/>
        <w:rPr>
          <w:rFonts w:ascii="宋体" w:hAnsi="宋体" w:cs="宋体" w:eastAsia="宋体" w:hint="default"/>
        </w:rPr>
      </w:pPr>
      <w:r>
        <w:rPr>
          <w:spacing w:val="-2"/>
        </w:rPr>
        <w:t>漫道和运营商的合作更紧密、对客户的黏性更高，平台可以基于语义分析，拒绝率，网络吞吐率，投诉率</w:t>
      </w:r>
      <w:r>
        <w:rPr>
          <w:spacing w:val="-43"/>
        </w:rPr>
        <w:t> </w:t>
      </w:r>
      <w:r>
        <w:rPr>
          <w:spacing w:val="-43"/>
        </w:rPr>
      </w:r>
      <w:r>
        <w:rPr>
          <w:spacing w:val="-2"/>
        </w:rPr>
        <w:t>和用户转化率等多纬度动态调配生产要素和参数，产生智能学习效果，使得对信息内容有了更高的风险控</w:t>
      </w:r>
      <w:r>
        <w:rPr>
          <w:spacing w:val="-42"/>
        </w:rPr>
        <w:t> </w:t>
      </w:r>
      <w:r>
        <w:rPr>
          <w:spacing w:val="-42"/>
        </w:rPr>
      </w:r>
      <w:r>
        <w:rPr>
          <w:spacing w:val="-2"/>
        </w:rPr>
        <w:t>制能力，可以承接更多中小企业及互联网类业务，创世漫道凭借良好的客户结构和质量、先进完善的技术</w:t>
      </w:r>
      <w:r>
        <w:rPr>
          <w:spacing w:val="-42"/>
        </w:rPr>
        <w:t> </w:t>
      </w:r>
      <w:r>
        <w:rPr>
          <w:spacing w:val="-42"/>
        </w:rPr>
      </w:r>
      <w:r>
        <w:rPr/>
        <w:t>支持平台，依靠规模优势提高了竞争门槛。</w:t>
      </w:r>
      <w:r>
        <w:rPr>
          <w:rFonts w:ascii="宋体" w:hAnsi="宋体" w:cs="宋体" w:eastAsia="宋体" w:hint="default"/>
        </w:rPr>
        <w:t> </w:t>
      </w:r>
    </w:p>
    <w:p>
      <w:pPr>
        <w:pStyle w:val="BodyText"/>
        <w:spacing w:line="307" w:lineRule="auto" w:before="163"/>
        <w:ind w:left="573" w:right="1133"/>
        <w:jc w:val="left"/>
      </w:pPr>
      <w:r>
        <w:rPr/>
        <w:t>——长期市场化经营建立的品牌影响力。</w:t>
      </w:r>
      <w:r>
        <w:rPr>
          <w:rFonts w:ascii="宋体" w:hAnsi="宋体" w:cs="宋体" w:eastAsia="宋体" w:hint="default"/>
          <w:w w:val="100"/>
        </w:rPr>
        <w:t> </w:t>
      </w:r>
      <w:r>
        <w:rPr>
          <w:spacing w:val="-2"/>
        </w:rPr>
        <w:t>创世漫道坚持市场化运营的原则和技术创新驱动策略，相比拥有特殊资源优势的行业竞争对手，通过</w:t>
      </w:r>
    </w:p>
    <w:p>
      <w:pPr>
        <w:pStyle w:val="BodyText"/>
        <w:spacing w:line="253" w:lineRule="exact"/>
        <w:ind w:right="0"/>
        <w:jc w:val="both"/>
      </w:pPr>
      <w:r>
        <w:rPr/>
        <w:t>长期市场化竞争和持续技术进步积累了深刻的行业运营经验，提升客户综合信息服务水平，因此获得了客</w:t>
      </w:r>
    </w:p>
    <w:p>
      <w:pPr>
        <w:pStyle w:val="BodyText"/>
        <w:spacing w:line="273" w:lineRule="auto" w:before="37"/>
        <w:ind w:right="1127"/>
        <w:jc w:val="both"/>
        <w:rPr>
          <w:rFonts w:ascii="宋体" w:hAnsi="宋体" w:cs="宋体" w:eastAsia="宋体" w:hint="default"/>
        </w:rPr>
      </w:pPr>
      <w:r>
        <w:rPr>
          <w:spacing w:val="-2"/>
        </w:rPr>
        <w:t>户、行业、市场的整体认可，品牌影响力不断提升，业务不断拓展，报告期创世漫道继续保持为各类客户</w:t>
      </w:r>
      <w:r>
        <w:rPr>
          <w:spacing w:val="-43"/>
        </w:rPr>
        <w:t> </w:t>
      </w:r>
      <w:r>
        <w:rPr>
          <w:spacing w:val="-43"/>
        </w:rPr>
      </w:r>
      <w:r>
        <w:rPr/>
        <w:t>集中度较高的头部企业，例如电商京东的首选综合信息服务商。</w:t>
      </w:r>
      <w:r>
        <w:rPr>
          <w:rFonts w:ascii="宋体" w:hAnsi="宋体" w:cs="宋体" w:eastAsia="宋体" w:hint="default"/>
        </w:rPr>
        <w:t> </w:t>
      </w:r>
    </w:p>
    <w:p>
      <w:pPr>
        <w:pStyle w:val="BodyText"/>
        <w:spacing w:line="240" w:lineRule="auto" w:before="163"/>
        <w:ind w:left="573" w:right="1133"/>
        <w:jc w:val="left"/>
        <w:rPr>
          <w:rFonts w:ascii="宋体" w:hAnsi="宋体" w:cs="宋体" w:eastAsia="宋体" w:hint="default"/>
        </w:rPr>
      </w:pPr>
      <w:r>
        <w:rPr/>
        <w:t>——全面完善的客户增值服务优势。</w:t>
      </w:r>
      <w:r>
        <w:rPr>
          <w:rFonts w:ascii="宋体" w:hAnsi="宋体" w:cs="宋体" w:eastAsia="宋体" w:hint="default"/>
        </w:rPr>
        <w:t> </w:t>
      </w:r>
    </w:p>
    <w:p>
      <w:pPr>
        <w:pStyle w:val="BodyText"/>
        <w:spacing w:line="273" w:lineRule="auto" w:before="78"/>
        <w:ind w:right="1126" w:firstLine="420"/>
        <w:jc w:val="both"/>
        <w:rPr>
          <w:rFonts w:ascii="宋体" w:hAnsi="宋体" w:cs="宋体" w:eastAsia="宋体" w:hint="default"/>
        </w:rPr>
      </w:pPr>
      <w:r>
        <w:rPr>
          <w:spacing w:val="-3"/>
        </w:rPr>
        <w:t>创世漫道具备全天候、快速应变能力，提供 </w:t>
      </w:r>
      <w:r>
        <w:rPr/>
        <w:t>7×24</w:t>
      </w:r>
      <w:r>
        <w:rPr>
          <w:spacing w:val="-80"/>
        </w:rPr>
        <w:t> </w:t>
      </w:r>
      <w:r>
        <w:rPr/>
        <w:t>小时客服人员电话专线服务。还为客户提供一系列</w:t>
      </w:r>
      <w:r>
        <w:rPr>
          <w:w w:val="100"/>
        </w:rPr>
        <w:t> </w:t>
      </w:r>
      <w:r>
        <w:rPr>
          <w:spacing w:val="-2"/>
        </w:rPr>
        <w:t>具有前瞻性的增值服务，全面涵盖了移动信息发送服务中的各环节，为客户产生了特定的附加价值，有利</w:t>
      </w:r>
      <w:r>
        <w:rPr>
          <w:spacing w:val="-43"/>
        </w:rPr>
        <w:t> </w:t>
      </w:r>
      <w:r>
        <w:rPr>
          <w:spacing w:val="-43"/>
        </w:rPr>
      </w:r>
      <w:r>
        <w:rPr/>
        <w:t>于进一步完善客户体验，提高客户黏性，加强在市场竞争中确立的业务优势。</w:t>
      </w:r>
      <w:r>
        <w:rPr>
          <w:rFonts w:ascii="宋体" w:hAnsi="宋体" w:cs="宋体" w:eastAsia="宋体" w:hint="default"/>
        </w:rPr>
        <w:t> </w:t>
      </w:r>
    </w:p>
    <w:p>
      <w:pPr>
        <w:pStyle w:val="BodyText"/>
        <w:spacing w:line="273" w:lineRule="auto" w:before="161"/>
        <w:ind w:right="1126" w:firstLine="420"/>
        <w:jc w:val="both"/>
        <w:rPr>
          <w:rFonts w:ascii="宋体" w:hAnsi="宋体" w:cs="宋体" w:eastAsia="宋体" w:hint="default"/>
        </w:rPr>
      </w:pPr>
      <w:r>
        <w:rPr>
          <w:rFonts w:ascii="宋体" w:hAnsi="宋体" w:cs="宋体" w:eastAsia="宋体" w:hint="default"/>
          <w:spacing w:val="-2"/>
        </w:rPr>
        <w:t>(</w:t>
      </w:r>
      <w:r>
        <w:rPr>
          <w:spacing w:val="-2"/>
        </w:rPr>
        <w:t>二</w:t>
      </w:r>
      <w:r>
        <w:rPr>
          <w:rFonts w:ascii="宋体" w:hAnsi="宋体" w:cs="宋体" w:eastAsia="宋体" w:hint="default"/>
          <w:spacing w:val="-2"/>
        </w:rPr>
        <w:t>)</w:t>
      </w:r>
      <w:r>
        <w:rPr>
          <w:spacing w:val="-2"/>
        </w:rPr>
        <w:t>作为通信网络维护技术服务商，公司全资子公司长实通信的竞争优势包括拥有专业的管理团队和</w:t>
      </w:r>
      <w:r>
        <w:rPr>
          <w:w w:val="100"/>
        </w:rPr>
        <w:t> </w:t>
      </w:r>
      <w:r>
        <w:rPr>
          <w:spacing w:val="-7"/>
        </w:rPr>
        <w:t>技术人才、先进的技术服务水平和研发能力、精细化的管理体系、过硬的资质和丰富的项目经验、跨区域、</w:t>
      </w:r>
      <w:r>
        <w:rPr>
          <w:spacing w:val="-23"/>
        </w:rPr>
        <w:t> </w:t>
      </w:r>
      <w:r>
        <w:rPr>
          <w:spacing w:val="-23"/>
        </w:rPr>
      </w:r>
      <w:r>
        <w:rPr/>
        <w:t>综合化的服务能力：</w:t>
      </w:r>
      <w:r>
        <w:rPr>
          <w:rFonts w:ascii="宋体" w:hAnsi="宋体" w:cs="宋体" w:eastAsia="宋体" w:hint="default"/>
        </w:rPr>
        <w:t> </w:t>
      </w:r>
    </w:p>
    <w:p>
      <w:pPr>
        <w:spacing w:after="0" w:line="273" w:lineRule="auto"/>
        <w:jc w:val="both"/>
        <w:rPr>
          <w:rFonts w:ascii="宋体" w:hAnsi="宋体" w:cs="宋体" w:eastAsia="宋体" w:hint="default"/>
        </w:rPr>
        <w:sectPr>
          <w:pgSz w:w="11910" w:h="16840"/>
          <w:pgMar w:header="880" w:footer="975" w:top="1100" w:bottom="1160" w:left="980" w:right="0"/>
        </w:sectPr>
      </w:pPr>
    </w:p>
    <w:p>
      <w:pPr>
        <w:spacing w:line="240" w:lineRule="auto" w:before="11"/>
        <w:rPr>
          <w:rFonts w:ascii="宋体" w:hAnsi="宋体" w:cs="宋体" w:eastAsia="宋体" w:hint="default"/>
          <w:sz w:val="20"/>
          <w:szCs w:val="20"/>
        </w:rPr>
      </w:pPr>
    </w:p>
    <w:p>
      <w:pPr>
        <w:pStyle w:val="BodyText"/>
        <w:spacing w:line="309" w:lineRule="auto" w:before="36"/>
        <w:ind w:left="573" w:right="1133"/>
        <w:jc w:val="left"/>
      </w:pPr>
      <w:r>
        <w:rPr/>
        <w:t>——拥有专业的管理团队和技术人才。</w:t>
      </w:r>
      <w:r>
        <w:rPr>
          <w:rFonts w:ascii="宋体" w:hAnsi="宋体" w:cs="宋体" w:eastAsia="宋体" w:hint="default"/>
          <w:w w:val="100"/>
        </w:rPr>
        <w:t> </w:t>
      </w:r>
      <w:r>
        <w:rPr>
          <w:spacing w:val="-2"/>
        </w:rPr>
        <w:t>专业的管理团队和技术人才是通信网络技术维护业务发展的支柱。长实通信经过多年的人才培养和行</w:t>
      </w:r>
    </w:p>
    <w:p>
      <w:pPr>
        <w:pStyle w:val="BodyText"/>
        <w:spacing w:line="251" w:lineRule="exact"/>
        <w:ind w:right="819"/>
        <w:jc w:val="left"/>
      </w:pPr>
      <w:r>
        <w:rPr>
          <w:spacing w:val="-4"/>
        </w:rPr>
        <w:t>业经验积累，形成的一支专业技术过硬的服务团队，精通基站、线路、宽带接入、固定电话接入、</w:t>
      </w:r>
      <w:r>
        <w:rPr>
          <w:rFonts w:ascii="宋体" w:hAnsi="宋体" w:cs="宋体" w:eastAsia="宋体" w:hint="default"/>
          <w:spacing w:val="-4"/>
        </w:rPr>
        <w:t>WLAN</w:t>
      </w:r>
      <w:r>
        <w:rPr>
          <w:rFonts w:ascii="宋体" w:hAnsi="宋体" w:cs="宋体" w:eastAsia="宋体" w:hint="default"/>
          <w:spacing w:val="47"/>
        </w:rPr>
        <w:t> </w:t>
      </w:r>
      <w:r>
        <w:rPr/>
        <w:t>等</w:t>
      </w:r>
    </w:p>
    <w:p>
      <w:pPr>
        <w:pStyle w:val="BodyText"/>
        <w:spacing w:line="273" w:lineRule="auto" w:before="37"/>
        <w:ind w:right="819"/>
        <w:jc w:val="left"/>
        <w:rPr>
          <w:rFonts w:ascii="宋体" w:hAnsi="宋体" w:cs="宋体" w:eastAsia="宋体" w:hint="default"/>
        </w:rPr>
      </w:pPr>
      <w:r>
        <w:rPr/>
        <w:t>技术专业领域，并熟练掌握了各类不同网络的构造特点、组网方式和各主流设备商通信设备的施工工艺、</w:t>
      </w:r>
      <w:r>
        <w:rPr>
          <w:spacing w:val="-17"/>
        </w:rPr>
        <w:t> </w:t>
      </w:r>
      <w:r>
        <w:rPr>
          <w:spacing w:val="-17"/>
        </w:rPr>
      </w:r>
      <w:r>
        <w:rPr>
          <w:spacing w:val="-2"/>
        </w:rPr>
        <w:t>操作规程、维护技术与优化方法。报告期长实通信管理团队及技术人才保持稳定，其中主要业务人员均通</w:t>
      </w:r>
      <w:r>
        <w:rPr>
          <w:spacing w:val="-44"/>
        </w:rPr>
        <w:t> </w:t>
      </w:r>
      <w:r>
        <w:rPr>
          <w:spacing w:val="-44"/>
        </w:rPr>
      </w:r>
      <w:r>
        <w:rPr/>
        <w:t>过行业技术认证或企业内部技术等级认证。</w:t>
      </w:r>
      <w:r>
        <w:rPr>
          <w:rFonts w:ascii="宋体" w:hAnsi="宋体" w:cs="宋体" w:eastAsia="宋体" w:hint="default"/>
        </w:rPr>
        <w:t> </w:t>
      </w:r>
    </w:p>
    <w:p>
      <w:pPr>
        <w:pStyle w:val="BodyText"/>
        <w:spacing w:line="307" w:lineRule="auto" w:before="161"/>
        <w:ind w:left="573" w:right="1133"/>
        <w:jc w:val="left"/>
      </w:pPr>
      <w:r>
        <w:rPr/>
        <w:t>——拥有先进的技术服务水平和研发能力。</w:t>
      </w:r>
      <w:r>
        <w:rPr>
          <w:rFonts w:ascii="宋体" w:hAnsi="宋体" w:cs="宋体" w:eastAsia="宋体" w:hint="default"/>
          <w:w w:val="100"/>
        </w:rPr>
        <w:t> </w:t>
      </w:r>
      <w:r>
        <w:rPr>
          <w:spacing w:val="-2"/>
        </w:rPr>
        <w:t>长实通信在通信设备质量监控、光缆线路的维护检测等领域取得了领先的技术成果，实现了对光缆线</w:t>
      </w:r>
    </w:p>
    <w:p>
      <w:pPr>
        <w:pStyle w:val="BodyText"/>
        <w:spacing w:line="253" w:lineRule="exact"/>
        <w:ind w:right="819"/>
        <w:jc w:val="left"/>
      </w:pPr>
      <w:r>
        <w:rPr/>
        <w:t>路运行状态的跟踪监测及故障的快速定位，为高危区域的主要设备提供无直接电源情况下的安全追综、监</w:t>
      </w:r>
    </w:p>
    <w:p>
      <w:pPr>
        <w:pStyle w:val="BodyText"/>
        <w:spacing w:line="240" w:lineRule="auto" w:before="37"/>
        <w:ind w:right="1133"/>
        <w:jc w:val="left"/>
        <w:rPr>
          <w:rFonts w:ascii="宋体" w:hAnsi="宋体" w:cs="宋体" w:eastAsia="宋体" w:hint="default"/>
        </w:rPr>
      </w:pPr>
      <w:r>
        <w:rPr>
          <w:spacing w:val="-7"/>
        </w:rPr>
        <w:t>控服务，提高了通信故障的事前预防水平。报告期长实通信优化光缆网络维护检测技术，故障定位更准确。</w:t>
      </w:r>
      <w:r>
        <w:rPr>
          <w:rFonts w:ascii="宋体" w:hAnsi="宋体" w:cs="宋体" w:eastAsia="宋体" w:hint="default"/>
        </w:rPr>
        <w:t> </w:t>
      </w:r>
    </w:p>
    <w:p>
      <w:pPr>
        <w:spacing w:line="240" w:lineRule="auto" w:before="10"/>
        <w:rPr>
          <w:rFonts w:ascii="宋体" w:hAnsi="宋体" w:cs="宋体" w:eastAsia="宋体" w:hint="default"/>
          <w:sz w:val="14"/>
          <w:szCs w:val="14"/>
        </w:rPr>
      </w:pPr>
    </w:p>
    <w:p>
      <w:pPr>
        <w:pStyle w:val="BodyText"/>
        <w:spacing w:line="307" w:lineRule="auto"/>
        <w:ind w:left="573" w:right="819"/>
        <w:jc w:val="left"/>
      </w:pPr>
      <w:r>
        <w:rPr/>
        <w:t>——拥有精细化的管理体系。</w:t>
      </w:r>
      <w:r>
        <w:rPr>
          <w:rFonts w:ascii="宋体" w:hAnsi="宋体" w:cs="宋体" w:eastAsia="宋体" w:hint="default"/>
          <w:w w:val="100"/>
        </w:rPr>
        <w:t> </w:t>
      </w:r>
      <w:r>
        <w:rPr>
          <w:spacing w:val="-2"/>
        </w:rPr>
        <w:t>为了提升对通信运营商本地化或跨区域的服务能力，长实通信针对自身业务特点建立完善的服务网络，</w:t>
      </w:r>
    </w:p>
    <w:p>
      <w:pPr>
        <w:pStyle w:val="BodyText"/>
        <w:spacing w:line="254" w:lineRule="exact"/>
        <w:ind w:right="819"/>
        <w:jc w:val="left"/>
      </w:pPr>
      <w:r>
        <w:rPr/>
        <w:t>通过自主构建的信息化管理平台，全面覆盖项目招投标、合同签订、方案设计、项目执行、项目审核等各</w:t>
      </w:r>
    </w:p>
    <w:p>
      <w:pPr>
        <w:pStyle w:val="BodyText"/>
        <w:spacing w:line="273" w:lineRule="auto" w:before="37"/>
        <w:ind w:right="1126"/>
        <w:jc w:val="both"/>
        <w:rPr>
          <w:rFonts w:ascii="宋体" w:hAnsi="宋体" w:cs="宋体" w:eastAsia="宋体" w:hint="default"/>
        </w:rPr>
      </w:pPr>
      <w:r>
        <w:rPr>
          <w:spacing w:val="-2"/>
        </w:rPr>
        <w:t>个环节，对项目、客户、人员、设备、项目周期进行实时掌控，实现对设备使用及技术人员专业知识、实</w:t>
      </w:r>
      <w:r>
        <w:rPr>
          <w:spacing w:val="-45"/>
        </w:rPr>
        <w:t> </w:t>
      </w:r>
      <w:r>
        <w:rPr>
          <w:spacing w:val="-45"/>
        </w:rPr>
      </w:r>
      <w:r>
        <w:rPr>
          <w:spacing w:val="-2"/>
        </w:rPr>
        <w:t>践经验、所处区位、工作饱和度的实时检索和定位，提高资源使用效率，降低运营管理成本。报告期长实</w:t>
      </w:r>
      <w:r>
        <w:rPr>
          <w:spacing w:val="-43"/>
        </w:rPr>
        <w:t> </w:t>
      </w:r>
      <w:r>
        <w:rPr>
          <w:spacing w:val="-43"/>
        </w:rPr>
      </w:r>
      <w:r>
        <w:rPr/>
        <w:t>通信凭借优化信息化管理平台和技术进步，整合各区域业务技术、人力资源。</w:t>
      </w:r>
      <w:r>
        <w:rPr>
          <w:rFonts w:ascii="宋体" w:hAnsi="宋体" w:cs="宋体" w:eastAsia="宋体" w:hint="default"/>
        </w:rPr>
        <w:t> </w:t>
      </w:r>
    </w:p>
    <w:p>
      <w:pPr>
        <w:pStyle w:val="BodyText"/>
        <w:spacing w:line="307" w:lineRule="auto" w:before="163"/>
        <w:ind w:left="573" w:right="819"/>
        <w:jc w:val="left"/>
      </w:pPr>
      <w:r>
        <w:rPr/>
        <w:t>——拥有过硬的资质和丰富的项目经验。</w:t>
      </w:r>
      <w:r>
        <w:rPr>
          <w:rFonts w:ascii="宋体" w:hAnsi="宋体" w:cs="宋体" w:eastAsia="宋体" w:hint="default"/>
          <w:w w:val="100"/>
        </w:rPr>
        <w:t> </w:t>
      </w:r>
      <w:r>
        <w:rPr>
          <w:spacing w:val="-5"/>
        </w:rPr>
        <w:t>长实通信是国内早期从事通信技术服务的企业之一，经过十余年的专业、专注经营和持续的技术投入，</w:t>
      </w:r>
    </w:p>
    <w:p>
      <w:pPr>
        <w:pStyle w:val="BodyText"/>
        <w:spacing w:line="253" w:lineRule="exact"/>
        <w:ind w:right="819"/>
        <w:jc w:val="left"/>
      </w:pPr>
      <w:r>
        <w:rPr/>
        <w:t>长实通信具备通信网络代维基站、线路、铁塔和综合代维专业四甲资质，报告期经申请获得通信工程施工</w:t>
      </w:r>
    </w:p>
    <w:p>
      <w:pPr>
        <w:pStyle w:val="BodyText"/>
        <w:spacing w:line="240" w:lineRule="auto" w:before="37"/>
        <w:ind w:right="819"/>
        <w:jc w:val="left"/>
        <w:rPr>
          <w:rFonts w:ascii="宋体" w:hAnsi="宋体" w:cs="宋体" w:eastAsia="宋体" w:hint="default"/>
        </w:rPr>
      </w:pPr>
      <w:r>
        <w:rPr>
          <w:spacing w:val="-8"/>
        </w:rPr>
        <w:t>总承包壹级资质。同时，长实通信具有丰富的项目经验，多次参加国家重大通信网络保障项目，曾参与</w:t>
      </w:r>
      <w:r>
        <w:rPr>
          <w:spacing w:val="13"/>
        </w:rPr>
        <w:t> </w:t>
      </w:r>
      <w:r>
        <w:rPr>
          <w:rFonts w:ascii="宋体" w:hAnsi="宋体" w:cs="宋体" w:eastAsia="宋体" w:hint="default"/>
        </w:rPr>
        <w:t>2008</w:t>
      </w:r>
    </w:p>
    <w:p>
      <w:pPr>
        <w:pStyle w:val="BodyText"/>
        <w:spacing w:line="240" w:lineRule="auto" w:before="37"/>
        <w:ind w:right="819"/>
        <w:jc w:val="left"/>
      </w:pPr>
      <w:r>
        <w:rPr>
          <w:w w:val="100"/>
        </w:rPr>
        <w:t>北京</w:t>
      </w:r>
      <w:r>
        <w:rPr>
          <w:spacing w:val="-3"/>
          <w:w w:val="100"/>
        </w:rPr>
        <w:t>奥</w:t>
      </w:r>
      <w:r>
        <w:rPr>
          <w:w w:val="100"/>
        </w:rPr>
        <w:t>运</w:t>
      </w:r>
      <w:r>
        <w:rPr>
          <w:spacing w:val="-3"/>
          <w:w w:val="100"/>
        </w:rPr>
        <w:t>会</w:t>
      </w:r>
      <w:r>
        <w:rPr>
          <w:w w:val="100"/>
        </w:rPr>
        <w:t>的</w:t>
      </w:r>
      <w:r>
        <w:rPr>
          <w:spacing w:val="-3"/>
          <w:w w:val="100"/>
        </w:rPr>
        <w:t>通</w:t>
      </w:r>
      <w:r>
        <w:rPr>
          <w:w w:val="100"/>
        </w:rPr>
        <w:t>信</w:t>
      </w:r>
      <w:r>
        <w:rPr>
          <w:spacing w:val="-3"/>
          <w:w w:val="100"/>
        </w:rPr>
        <w:t>保</w:t>
      </w:r>
      <w:r>
        <w:rPr>
          <w:w w:val="100"/>
        </w:rPr>
        <w:t>障</w:t>
      </w:r>
      <w:r>
        <w:rPr>
          <w:spacing w:val="-3"/>
          <w:w w:val="100"/>
        </w:rPr>
        <w:t>工</w:t>
      </w:r>
      <w:r>
        <w:rPr>
          <w:w w:val="100"/>
        </w:rPr>
        <w:t>作</w:t>
      </w:r>
      <w:r>
        <w:rPr>
          <w:spacing w:val="-106"/>
          <w:w w:val="100"/>
        </w:rPr>
        <w:t>、</w:t>
      </w:r>
      <w:r>
        <w:rPr>
          <w:spacing w:val="-3"/>
          <w:w w:val="100"/>
        </w:rPr>
        <w:t>汶</w:t>
      </w:r>
      <w:r>
        <w:rPr>
          <w:w w:val="100"/>
        </w:rPr>
        <w:t>川</w:t>
      </w:r>
      <w:r>
        <w:rPr>
          <w:spacing w:val="-3"/>
          <w:w w:val="100"/>
        </w:rPr>
        <w:t>大</w:t>
      </w:r>
      <w:r>
        <w:rPr>
          <w:w w:val="100"/>
        </w:rPr>
        <w:t>地</w:t>
      </w:r>
      <w:r>
        <w:rPr>
          <w:spacing w:val="-3"/>
          <w:w w:val="100"/>
        </w:rPr>
        <w:t>震</w:t>
      </w:r>
      <w:r>
        <w:rPr>
          <w:w w:val="100"/>
        </w:rPr>
        <w:t>通</w:t>
      </w:r>
      <w:r>
        <w:rPr>
          <w:spacing w:val="-3"/>
          <w:w w:val="100"/>
        </w:rPr>
        <w:t>信</w:t>
      </w:r>
      <w:r>
        <w:rPr>
          <w:w w:val="100"/>
        </w:rPr>
        <w:t>抢</w:t>
      </w:r>
      <w:r>
        <w:rPr>
          <w:spacing w:val="-3"/>
          <w:w w:val="100"/>
        </w:rPr>
        <w:t>修工</w:t>
      </w:r>
      <w:r>
        <w:rPr>
          <w:w w:val="100"/>
        </w:rPr>
        <w:t>作和</w:t>
      </w:r>
      <w:r>
        <w:rPr>
          <w:spacing w:val="-60"/>
        </w:rPr>
        <w:t> </w:t>
      </w:r>
      <w:r>
        <w:rPr>
          <w:rFonts w:ascii="宋体" w:hAnsi="宋体" w:cs="宋体" w:eastAsia="宋体" w:hint="default"/>
          <w:w w:val="100"/>
        </w:rPr>
        <w:t>20</w:t>
      </w:r>
      <w:r>
        <w:rPr>
          <w:rFonts w:ascii="宋体" w:hAnsi="宋体" w:cs="宋体" w:eastAsia="宋体" w:hint="default"/>
          <w:spacing w:val="-3"/>
          <w:w w:val="100"/>
        </w:rPr>
        <w:t>1</w:t>
      </w:r>
      <w:r>
        <w:rPr>
          <w:rFonts w:ascii="宋体" w:hAnsi="宋体" w:cs="宋体" w:eastAsia="宋体" w:hint="default"/>
          <w:w w:val="100"/>
        </w:rPr>
        <w:t>6</w:t>
      </w:r>
      <w:r>
        <w:rPr>
          <w:rFonts w:ascii="宋体" w:hAnsi="宋体" w:cs="宋体" w:eastAsia="宋体" w:hint="default"/>
          <w:spacing w:val="-60"/>
        </w:rPr>
        <w:t> </w:t>
      </w:r>
      <w:r>
        <w:rPr>
          <w:w w:val="100"/>
        </w:rPr>
        <w:t>年</w:t>
      </w:r>
      <w:r>
        <w:rPr>
          <w:spacing w:val="-57"/>
        </w:rPr>
        <w:t> </w:t>
      </w:r>
      <w:r>
        <w:rPr>
          <w:rFonts w:ascii="宋体" w:hAnsi="宋体" w:cs="宋体" w:eastAsia="宋体" w:hint="default"/>
          <w:spacing w:val="-3"/>
          <w:w w:val="100"/>
        </w:rPr>
        <w:t>2</w:t>
      </w:r>
      <w:r>
        <w:rPr>
          <w:rFonts w:ascii="宋体" w:hAnsi="宋体" w:cs="宋体" w:eastAsia="宋体" w:hint="default"/>
          <w:w w:val="100"/>
        </w:rPr>
        <w:t>0</w:t>
      </w:r>
      <w:r>
        <w:rPr>
          <w:rFonts w:ascii="宋体" w:hAnsi="宋体" w:cs="宋体" w:eastAsia="宋体" w:hint="default"/>
          <w:spacing w:val="-57"/>
        </w:rPr>
        <w:t> </w:t>
      </w:r>
      <w:r>
        <w:rPr>
          <w:spacing w:val="-3"/>
          <w:w w:val="100"/>
        </w:rPr>
        <w:t>国</w:t>
      </w:r>
      <w:r>
        <w:rPr>
          <w:w w:val="100"/>
        </w:rPr>
        <w:t>集</w:t>
      </w:r>
      <w:r>
        <w:rPr>
          <w:spacing w:val="-3"/>
          <w:w w:val="100"/>
        </w:rPr>
        <w:t>团领</w:t>
      </w:r>
      <w:r>
        <w:rPr>
          <w:w w:val="100"/>
        </w:rPr>
        <w:t>导人</w:t>
      </w:r>
      <w:r>
        <w:rPr>
          <w:spacing w:val="-3"/>
          <w:w w:val="100"/>
        </w:rPr>
        <w:t>杭</w:t>
      </w:r>
      <w:r>
        <w:rPr>
          <w:w w:val="100"/>
        </w:rPr>
        <w:t>州</w:t>
      </w:r>
      <w:r>
        <w:rPr>
          <w:spacing w:val="-3"/>
          <w:w w:val="100"/>
        </w:rPr>
        <w:t>峰</w:t>
      </w:r>
      <w:r>
        <w:rPr>
          <w:w w:val="100"/>
        </w:rPr>
        <w:t>会</w:t>
      </w:r>
      <w:r>
        <w:rPr>
          <w:spacing w:val="-3"/>
          <w:w w:val="100"/>
        </w:rPr>
        <w:t>通</w:t>
      </w:r>
      <w:r>
        <w:rPr>
          <w:w w:val="100"/>
        </w:rPr>
        <w:t>信</w:t>
      </w:r>
      <w:r>
        <w:rPr>
          <w:spacing w:val="-3"/>
          <w:w w:val="100"/>
        </w:rPr>
        <w:t>保</w:t>
      </w:r>
      <w:r>
        <w:rPr>
          <w:w w:val="100"/>
        </w:rPr>
        <w:t>障</w:t>
      </w:r>
      <w:r>
        <w:rPr>
          <w:spacing w:val="-3"/>
          <w:w w:val="100"/>
        </w:rPr>
        <w:t>工</w:t>
      </w:r>
      <w:r>
        <w:rPr>
          <w:w w:val="100"/>
        </w:rPr>
        <w:t>作。</w:t>
      </w:r>
    </w:p>
    <w:p>
      <w:pPr>
        <w:pStyle w:val="BodyText"/>
        <w:spacing w:line="273" w:lineRule="auto" w:before="37"/>
        <w:ind w:right="1021"/>
        <w:jc w:val="left"/>
        <w:rPr>
          <w:rFonts w:ascii="宋体" w:hAnsi="宋体" w:cs="宋体" w:eastAsia="宋体" w:hint="default"/>
        </w:rPr>
      </w:pPr>
      <w:r>
        <w:rPr>
          <w:rFonts w:ascii="宋体" w:hAnsi="宋体" w:cs="宋体" w:eastAsia="宋体" w:hint="default"/>
        </w:rPr>
        <w:t>2019</w:t>
      </w:r>
      <w:r>
        <w:rPr>
          <w:rFonts w:ascii="宋体" w:hAnsi="宋体" w:cs="宋体" w:eastAsia="宋体" w:hint="default"/>
          <w:spacing w:val="-44"/>
        </w:rPr>
        <w:t> </w:t>
      </w:r>
      <w:r>
        <w:rPr/>
        <w:t>年长实通信参与第四届中国</w:t>
      </w:r>
      <w:r>
        <w:rPr>
          <w:rFonts w:ascii="宋体" w:hAnsi="宋体" w:cs="宋体" w:eastAsia="宋体" w:hint="default"/>
        </w:rPr>
        <w:t>-</w:t>
      </w:r>
      <w:r>
        <w:rPr/>
        <w:t>阿拉伯国家博览会、南阳</w:t>
      </w:r>
      <w:r>
        <w:rPr>
          <w:spacing w:val="-47"/>
        </w:rPr>
        <w:t> </w:t>
      </w:r>
      <w:r>
        <w:rPr>
          <w:rFonts w:ascii="宋体" w:hAnsi="宋体" w:cs="宋体" w:eastAsia="宋体" w:hint="default"/>
        </w:rPr>
        <w:t>2019</w:t>
      </w:r>
      <w:r>
        <w:rPr>
          <w:rFonts w:ascii="宋体" w:hAnsi="宋体" w:cs="宋体" w:eastAsia="宋体" w:hint="default"/>
          <w:spacing w:val="-46"/>
        </w:rPr>
        <w:t> </w:t>
      </w:r>
      <w:r>
        <w:rPr/>
        <w:t>世界月季洲际大会暨第九届中国月季展、</w:t>
      </w:r>
      <w:r>
        <w:rPr>
          <w:w w:val="100"/>
        </w:rPr>
        <w:t> </w:t>
      </w:r>
      <w:r>
        <w:rPr>
          <w:spacing w:val="-4"/>
        </w:rPr>
        <w:t>第二届数字中国建设峰会、</w:t>
      </w:r>
      <w:r>
        <w:rPr>
          <w:rFonts w:ascii="宋体" w:hAnsi="宋体" w:cs="宋体" w:eastAsia="宋体" w:hint="default"/>
          <w:spacing w:val="-4"/>
        </w:rPr>
        <w:t>2019</w:t>
      </w:r>
      <w:r>
        <w:rPr>
          <w:rFonts w:ascii="宋体" w:hAnsi="宋体" w:cs="宋体" w:eastAsia="宋体" w:hint="default"/>
          <w:spacing w:val="-37"/>
        </w:rPr>
        <w:t> </w:t>
      </w:r>
      <w:r>
        <w:rPr>
          <w:spacing w:val="-5"/>
        </w:rPr>
        <w:t>年央视春晚井冈山分会场等重点大型活动通信保障；支援山东，抗击</w:t>
      </w:r>
      <w:r>
        <w:rPr>
          <w:spacing w:val="-29"/>
        </w:rPr>
        <w:t> </w:t>
      </w:r>
      <w:r>
        <w:rPr>
          <w:rFonts w:ascii="宋体" w:hAnsi="宋体" w:cs="宋体" w:eastAsia="宋体" w:hint="default"/>
          <w:spacing w:val="-29"/>
        </w:rPr>
      </w:r>
      <w:r>
        <w:rPr/>
        <w:t>“利</w:t>
      </w:r>
      <w:r>
        <w:rPr>
          <w:spacing w:val="-64"/>
        </w:rPr>
        <w:t> </w:t>
      </w:r>
      <w:r>
        <w:rPr/>
        <w:t>奇马”台风的通信保障抢修工作。</w:t>
      </w:r>
      <w:r>
        <w:rPr>
          <w:rFonts w:ascii="宋体" w:hAnsi="宋体" w:cs="宋体" w:eastAsia="宋体" w:hint="default"/>
        </w:rPr>
        <w:t> </w:t>
      </w:r>
    </w:p>
    <w:p>
      <w:pPr>
        <w:pStyle w:val="BodyText"/>
        <w:spacing w:line="307" w:lineRule="auto" w:before="161"/>
        <w:ind w:left="573" w:right="1133"/>
        <w:jc w:val="left"/>
      </w:pPr>
      <w:r>
        <w:rPr/>
        <w:t>——拥有跨区域、综合化的服务能力。</w:t>
      </w:r>
      <w:r>
        <w:rPr>
          <w:rFonts w:ascii="宋体" w:hAnsi="宋体" w:cs="宋体" w:eastAsia="宋体" w:hint="default"/>
          <w:w w:val="100"/>
        </w:rPr>
        <w:t> </w:t>
      </w:r>
      <w:r>
        <w:rPr>
          <w:spacing w:val="-2"/>
        </w:rPr>
        <w:t>长实通信形成了特有的运营维护体系，具备了为客户提供通信网络基站、线路、终端设备等维护的一</w:t>
      </w:r>
    </w:p>
    <w:p>
      <w:pPr>
        <w:pStyle w:val="BodyText"/>
        <w:spacing w:line="253" w:lineRule="exact"/>
        <w:ind w:right="819"/>
        <w:jc w:val="left"/>
      </w:pPr>
      <w:r>
        <w:rPr/>
        <w:t>体化解决方案，使客户享受便捷的一站式服务，降低了客户选择不同技术服务商的转换成本和管理成本，</w:t>
      </w:r>
    </w:p>
    <w:p>
      <w:pPr>
        <w:pStyle w:val="BodyText"/>
        <w:spacing w:line="240" w:lineRule="auto" w:before="37"/>
        <w:ind w:right="1133"/>
        <w:jc w:val="left"/>
        <w:rPr>
          <w:rFonts w:ascii="宋体" w:hAnsi="宋体" w:cs="宋体" w:eastAsia="宋体" w:hint="default"/>
        </w:rPr>
      </w:pPr>
      <w:r>
        <w:rPr/>
        <w:t>树立企业品牌，取得客户信赖。</w:t>
      </w:r>
      <w:r>
        <w:rPr>
          <w:rFonts w:ascii="宋体" w:hAnsi="宋体" w:cs="宋体" w:eastAsia="宋体" w:hint="default"/>
        </w:rPr>
        <w:t> </w:t>
      </w:r>
    </w:p>
    <w:p>
      <w:pPr>
        <w:spacing w:line="240" w:lineRule="auto" w:before="2"/>
        <w:rPr>
          <w:rFonts w:ascii="宋体" w:hAnsi="宋体" w:cs="宋体" w:eastAsia="宋体" w:hint="default"/>
          <w:sz w:val="21"/>
          <w:szCs w:val="21"/>
        </w:rPr>
      </w:pPr>
    </w:p>
    <w:p>
      <w:pPr>
        <w:pStyle w:val="BodyText"/>
        <w:spacing w:line="273" w:lineRule="auto"/>
        <w:ind w:right="1131" w:firstLine="420"/>
        <w:jc w:val="both"/>
        <w:rPr>
          <w:rFonts w:ascii="宋体" w:hAnsi="宋体" w:cs="宋体" w:eastAsia="宋体" w:hint="default"/>
        </w:rPr>
      </w:pPr>
      <w:r>
        <w:rPr>
          <w:rFonts w:ascii="宋体" w:hAnsi="宋体" w:cs="宋体" w:eastAsia="宋体" w:hint="default"/>
        </w:rPr>
        <w:t>(</w:t>
      </w:r>
      <w:r>
        <w:rPr/>
        <w:t>三</w:t>
      </w:r>
      <w:r>
        <w:rPr>
          <w:rFonts w:ascii="宋体" w:hAnsi="宋体" w:cs="宋体" w:eastAsia="宋体" w:hint="default"/>
        </w:rPr>
        <w:t>)</w:t>
      </w:r>
      <w:r>
        <w:rPr>
          <w:rFonts w:ascii="宋体" w:hAnsi="宋体" w:cs="宋体" w:eastAsia="宋体" w:hint="default"/>
          <w:spacing w:val="64"/>
        </w:rPr>
        <w:t> </w:t>
      </w:r>
      <w:r>
        <w:rPr/>
        <w:t>作为移动信息智能传输及金融业务流程外包服务商，嘉华信息竞争优势包括领先的行业地位、</w:t>
      </w:r>
      <w:r>
        <w:rPr>
          <w:w w:val="100"/>
        </w:rPr>
        <w:t> </w:t>
      </w:r>
      <w:r>
        <w:rPr>
          <w:spacing w:val="-2"/>
        </w:rPr>
        <w:t>全面的解决方案能力、丰富的通道资源、自主核心处理平台、高质量的数据处理能力，以及在金融业务流</w:t>
      </w:r>
      <w:r>
        <w:rPr>
          <w:spacing w:val="-50"/>
        </w:rPr>
        <w:t> </w:t>
      </w:r>
      <w:r>
        <w:rPr>
          <w:spacing w:val="-50"/>
        </w:rPr>
      </w:r>
      <w:r>
        <w:rPr/>
        <w:t>程外包领域全方位的服务能力。</w:t>
      </w:r>
      <w:r>
        <w:rPr>
          <w:rFonts w:ascii="宋体" w:hAnsi="宋体" w:cs="宋体" w:eastAsia="宋体" w:hint="default"/>
        </w:rPr>
        <w:t> </w:t>
      </w:r>
    </w:p>
    <w:p>
      <w:pPr>
        <w:pStyle w:val="BodyText"/>
        <w:spacing w:line="468" w:lineRule="exact" w:before="34"/>
        <w:ind w:left="573" w:right="1133"/>
        <w:jc w:val="left"/>
      </w:pPr>
      <w:r>
        <w:rPr/>
        <w:t>——嘉华信息在移动信息服务的细分市场中具备领先优势。</w:t>
      </w:r>
      <w:r>
        <w:rPr>
          <w:rFonts w:ascii="宋体" w:hAnsi="宋体" w:cs="宋体" w:eastAsia="宋体" w:hint="default"/>
          <w:w w:val="100"/>
        </w:rPr>
        <w:t> </w:t>
      </w:r>
      <w:r>
        <w:rPr>
          <w:spacing w:val="-2"/>
        </w:rPr>
        <w:t>嘉华信息是国内一家领先的移动信息智能传输服务提供商，已经建立了成熟的移动信息服务技术解决</w:t>
      </w:r>
    </w:p>
    <w:p>
      <w:pPr>
        <w:pStyle w:val="BodyText"/>
        <w:spacing w:line="249" w:lineRule="exact"/>
        <w:ind w:right="819"/>
        <w:jc w:val="left"/>
      </w:pPr>
      <w:r>
        <w:rPr/>
        <w:t>方案，具备较强的移动信息服务方案解决能力、稳定连接运营商与企业客户的渠道能力，以及大型企业客</w:t>
      </w:r>
    </w:p>
    <w:p>
      <w:pPr>
        <w:pStyle w:val="BodyText"/>
        <w:spacing w:line="273" w:lineRule="auto" w:before="37"/>
        <w:ind w:right="1126"/>
        <w:jc w:val="both"/>
        <w:rPr>
          <w:rFonts w:ascii="宋体" w:hAnsi="宋体" w:cs="宋体" w:eastAsia="宋体" w:hint="default"/>
        </w:rPr>
      </w:pPr>
      <w:r>
        <w:rPr>
          <w:spacing w:val="-2"/>
        </w:rPr>
        <w:t>户的定制服务能力。从公司成立至今，凭借良好而稳定的技术解决方案，嘉华信息快速的占领保险及金融</w:t>
      </w:r>
      <w:r>
        <w:rPr>
          <w:spacing w:val="-43"/>
        </w:rPr>
        <w:t> </w:t>
      </w:r>
      <w:r>
        <w:rPr>
          <w:spacing w:val="-43"/>
        </w:rPr>
      </w:r>
      <w:r>
        <w:rPr>
          <w:spacing w:val="-2"/>
        </w:rPr>
        <w:t>行业移动增值服务市场，同时，嘉华信息进一步的依托行业解决方案能力，获得了多家大型股份制银行以</w:t>
      </w:r>
      <w:r>
        <w:rPr>
          <w:spacing w:val="-43"/>
        </w:rPr>
        <w:t> </w:t>
      </w:r>
      <w:r>
        <w:rPr>
          <w:spacing w:val="-43"/>
        </w:rPr>
      </w:r>
      <w:r>
        <w:rPr/>
        <w:t>及保险公司客户。</w:t>
      </w:r>
      <w:r>
        <w:rPr>
          <w:rFonts w:ascii="宋体" w:hAnsi="宋体" w:cs="宋体" w:eastAsia="宋体" w:hint="default"/>
        </w:rPr>
        <w:t> </w:t>
      </w:r>
    </w:p>
    <w:p>
      <w:pPr>
        <w:pStyle w:val="BodyText"/>
        <w:spacing w:line="408" w:lineRule="auto" w:before="163"/>
        <w:ind w:left="573" w:right="1133"/>
        <w:jc w:val="left"/>
      </w:pPr>
      <w:r>
        <w:rPr/>
        <w:t>——具备为金融客户提供全面解决方案的能力</w:t>
      </w:r>
      <w:r>
        <w:rPr>
          <w:rFonts w:ascii="宋体" w:hAnsi="宋体" w:cs="宋体" w:eastAsia="宋体" w:hint="default"/>
          <w:w w:val="100"/>
        </w:rPr>
        <w:t> </w:t>
      </w:r>
      <w:r>
        <w:rPr>
          <w:spacing w:val="-2"/>
        </w:rPr>
        <w:t>嘉华信息利用自身长期积累的开发技术和服务经验，能够为广大客户提供专业化的短彩信智能传输服</w:t>
      </w:r>
    </w:p>
    <w:p>
      <w:pPr>
        <w:spacing w:after="0" w:line="408" w:lineRule="auto"/>
        <w:jc w:val="left"/>
        <w:sectPr>
          <w:pgSz w:w="11910" w:h="16840"/>
          <w:pgMar w:header="880" w:footer="975" w:top="1100" w:bottom="1160" w:left="980" w:right="0"/>
        </w:sectPr>
      </w:pPr>
    </w:p>
    <w:p>
      <w:pPr>
        <w:spacing w:line="240" w:lineRule="auto" w:before="11"/>
        <w:rPr>
          <w:rFonts w:ascii="宋体" w:hAnsi="宋体" w:cs="宋体" w:eastAsia="宋体" w:hint="default"/>
          <w:sz w:val="20"/>
          <w:szCs w:val="20"/>
        </w:rPr>
      </w:pPr>
    </w:p>
    <w:p>
      <w:pPr>
        <w:pStyle w:val="BodyText"/>
        <w:spacing w:line="273" w:lineRule="auto" w:before="36"/>
        <w:ind w:right="1126"/>
        <w:jc w:val="both"/>
        <w:rPr>
          <w:rFonts w:ascii="宋体" w:hAnsi="宋体" w:cs="宋体" w:eastAsia="宋体" w:hint="default"/>
        </w:rPr>
      </w:pPr>
      <w:r>
        <w:rPr>
          <w:spacing w:val="-2"/>
        </w:rPr>
        <w:t>务，并推出了基于企业信息平台程序对接的标准化接口产品，短信发送平台产品，以及结合企业短信发送</w:t>
      </w:r>
      <w:r>
        <w:rPr>
          <w:spacing w:val="-44"/>
        </w:rPr>
        <w:t> </w:t>
      </w:r>
      <w:r>
        <w:rPr>
          <w:spacing w:val="-44"/>
        </w:rPr>
      </w:r>
      <w:r>
        <w:rPr>
          <w:spacing w:val="-2"/>
        </w:rPr>
        <w:t>管理的统一信息管理产品服务。嘉华信息的服务及产品能够全方位满足金融企业移动信息传输需求，帮助</w:t>
      </w:r>
      <w:r>
        <w:rPr>
          <w:spacing w:val="-42"/>
        </w:rPr>
        <w:t> </w:t>
      </w:r>
      <w:r>
        <w:rPr>
          <w:spacing w:val="-42"/>
        </w:rPr>
      </w:r>
      <w:r>
        <w:rPr/>
        <w:t>客户实现面向终端用户的快速产品应用或面向内部人员的移动化管理运营。</w:t>
      </w:r>
      <w:r>
        <w:rPr>
          <w:rFonts w:ascii="宋体" w:hAnsi="宋体" w:cs="宋体" w:eastAsia="宋体" w:hint="default"/>
          <w:spacing w:val="-3"/>
        </w:rPr>
        <w:t> </w:t>
      </w:r>
      <w:r>
        <w:rPr>
          <w:rFonts w:ascii="宋体" w:hAnsi="宋体" w:cs="宋体" w:eastAsia="宋体" w:hint="default"/>
        </w:rPr>
        <w:t> </w:t>
      </w:r>
    </w:p>
    <w:p>
      <w:pPr>
        <w:pStyle w:val="BodyText"/>
        <w:spacing w:line="468" w:lineRule="exact" w:before="34"/>
        <w:ind w:left="573" w:right="819"/>
        <w:jc w:val="left"/>
      </w:pPr>
      <w:r>
        <w:rPr/>
        <w:t>——通道资源丰富，并在细分渠道上具有优势</w:t>
      </w:r>
      <w:r>
        <w:rPr>
          <w:rFonts w:ascii="宋体" w:hAnsi="宋体" w:cs="宋体" w:eastAsia="宋体" w:hint="default"/>
          <w:w w:val="100"/>
        </w:rPr>
        <w:t> </w:t>
      </w:r>
      <w:r>
        <w:rPr>
          <w:spacing w:val="-2"/>
        </w:rPr>
        <w:t>嘉华信息具备在全国范围内接入电信运营商的全网短消息类通道资源，扩充通道规模与信息处理能力，</w:t>
      </w:r>
    </w:p>
    <w:p>
      <w:pPr>
        <w:pStyle w:val="BodyText"/>
        <w:spacing w:line="248" w:lineRule="exact"/>
        <w:ind w:right="0"/>
        <w:jc w:val="both"/>
      </w:pPr>
      <w:r>
        <w:rPr/>
        <w:t>并对已接入的短信通道资源进行维护管理。嘉华信息目前与多个省、市的各电信运营商建立了业务合作关</w:t>
      </w:r>
    </w:p>
    <w:p>
      <w:pPr>
        <w:pStyle w:val="BodyText"/>
        <w:spacing w:line="240" w:lineRule="auto" w:before="37"/>
        <w:ind w:right="0"/>
        <w:jc w:val="both"/>
        <w:rPr>
          <w:rFonts w:ascii="宋体" w:hAnsi="宋体" w:cs="宋体" w:eastAsia="宋体" w:hint="default"/>
        </w:rPr>
      </w:pPr>
      <w:r>
        <w:rPr>
          <w:spacing w:val="-7"/>
        </w:rPr>
        <w:t>系。为提升整体通道资源性能，嘉华信息对已接入的通道进行筛选排序，建立通道使用规范与优先级规则。</w:t>
      </w:r>
      <w:r>
        <w:rPr>
          <w:rFonts w:ascii="宋体" w:hAnsi="宋体" w:cs="宋体" w:eastAsia="宋体" w:hint="default"/>
        </w:rPr>
        <w:t> </w:t>
      </w:r>
    </w:p>
    <w:p>
      <w:pPr>
        <w:pStyle w:val="BodyText"/>
        <w:spacing w:line="460" w:lineRule="atLeast" w:before="8"/>
        <w:ind w:left="573" w:right="1133"/>
        <w:jc w:val="left"/>
      </w:pPr>
      <w:r>
        <w:rPr/>
        <w:t>——拥有自主核心处理平台的技术优势</w:t>
      </w:r>
      <w:r>
        <w:rPr>
          <w:rFonts w:ascii="宋体" w:hAnsi="宋体" w:cs="宋体" w:eastAsia="宋体" w:hint="default"/>
          <w:spacing w:val="-3"/>
          <w:w w:val="100"/>
        </w:rPr>
        <w:t> </w:t>
      </w:r>
      <w:r>
        <w:rPr>
          <w:rFonts w:ascii="宋体" w:hAnsi="宋体" w:cs="宋体" w:eastAsia="宋体" w:hint="default"/>
          <w:w w:val="100"/>
        </w:rPr>
        <w:t> </w:t>
      </w:r>
      <w:r>
        <w:rPr>
          <w:spacing w:val="-2"/>
        </w:rPr>
        <w:t>嘉华信息在为客户提供移动信息智能传输服务的过程中，待发短信需要先经过核心平台系统进行智能</w:t>
      </w:r>
    </w:p>
    <w:p>
      <w:pPr>
        <w:pStyle w:val="BodyText"/>
        <w:spacing w:line="273" w:lineRule="auto" w:before="37"/>
        <w:ind w:right="1126"/>
        <w:jc w:val="both"/>
        <w:rPr>
          <w:rFonts w:ascii="宋体" w:hAnsi="宋体" w:cs="宋体" w:eastAsia="宋体" w:hint="default"/>
        </w:rPr>
      </w:pPr>
      <w:r>
        <w:rPr>
          <w:spacing w:val="-2"/>
        </w:rPr>
        <w:t>处理后再进入电信运营商短信通道。核心处理平台是嘉华信息技术骨干成员自主研发并长期优化的独立系</w:t>
      </w:r>
      <w:r>
        <w:rPr>
          <w:spacing w:val="-43"/>
        </w:rPr>
        <w:t> </w:t>
      </w:r>
      <w:r>
        <w:rPr>
          <w:spacing w:val="-43"/>
        </w:rPr>
      </w:r>
      <w:r>
        <w:rPr/>
        <w:t>统，具有竞争优势。</w:t>
      </w:r>
      <w:r>
        <w:rPr>
          <w:rFonts w:ascii="宋体" w:hAnsi="宋体" w:cs="宋体" w:eastAsia="宋体" w:hint="default"/>
          <w:spacing w:val="-3"/>
        </w:rPr>
        <w:t> </w:t>
      </w:r>
      <w:r>
        <w:rPr>
          <w:rFonts w:ascii="宋体" w:hAnsi="宋体" w:cs="宋体" w:eastAsia="宋体" w:hint="default"/>
        </w:rPr>
        <w:t> </w:t>
      </w:r>
    </w:p>
    <w:p>
      <w:pPr>
        <w:pStyle w:val="BodyText"/>
        <w:spacing w:line="468" w:lineRule="exact" w:before="35"/>
        <w:ind w:left="573" w:right="1126"/>
        <w:jc w:val="left"/>
      </w:pPr>
      <w:r>
        <w:rPr/>
        <w:t>——在数据处理及业务外包行业的核心竞争力</w:t>
      </w:r>
      <w:r>
        <w:rPr>
          <w:rFonts w:ascii="宋体" w:hAnsi="宋体" w:cs="宋体" w:eastAsia="宋体" w:hint="default"/>
          <w:w w:val="100"/>
        </w:rPr>
        <w:t> </w:t>
      </w:r>
      <w:r>
        <w:rPr/>
        <w:t>嘉华信息是最早从事银行信用卡全业务流程外包合作业务模式的金融服务外包商之一。在 </w:t>
      </w:r>
      <w:r>
        <w:rPr>
          <w:rFonts w:ascii="宋体" w:hAnsi="宋体" w:cs="宋体" w:eastAsia="宋体" w:hint="default"/>
        </w:rPr>
        <w:t>2011</w:t>
      </w:r>
      <w:r>
        <w:rPr>
          <w:rFonts w:ascii="宋体" w:hAnsi="宋体" w:cs="宋体" w:eastAsia="宋体" w:hint="default"/>
          <w:spacing w:val="-27"/>
        </w:rPr>
        <w:t> </w:t>
      </w:r>
      <w:r>
        <w:rPr>
          <w:spacing w:val="-3"/>
        </w:rPr>
        <w:t>年，</w:t>
      </w:r>
      <w:r>
        <w:rPr/>
      </w:r>
    </w:p>
    <w:p>
      <w:pPr>
        <w:pStyle w:val="BodyText"/>
        <w:spacing w:line="248" w:lineRule="exact"/>
        <w:ind w:right="0"/>
        <w:jc w:val="both"/>
      </w:pPr>
      <w:r>
        <w:rPr/>
        <w:t>嘉华信息便开始与部分客户，如中国光大银行讨论呼叫中心外包、电话营销外包合作的可行性，并尝试合</w:t>
      </w:r>
    </w:p>
    <w:p>
      <w:pPr>
        <w:pStyle w:val="BodyText"/>
        <w:spacing w:line="273" w:lineRule="auto" w:before="37"/>
        <w:ind w:right="1126"/>
        <w:jc w:val="both"/>
        <w:rPr>
          <w:rFonts w:ascii="宋体" w:hAnsi="宋体" w:cs="宋体" w:eastAsia="宋体" w:hint="default"/>
        </w:rPr>
      </w:pPr>
      <w:r>
        <w:rPr>
          <w:spacing w:val="-2"/>
        </w:rPr>
        <w:t>作进行了账单分期、开卡、催收、非金融产品销售等各种合作模式。正是基于常年对客户的服务建立的合</w:t>
      </w:r>
      <w:r>
        <w:rPr>
          <w:spacing w:val="-47"/>
        </w:rPr>
        <w:t> </w:t>
      </w:r>
      <w:r>
        <w:rPr>
          <w:spacing w:val="-47"/>
        </w:rPr>
      </w:r>
      <w:r>
        <w:rPr>
          <w:spacing w:val="-2"/>
        </w:rPr>
        <w:t>作关系，以及对银行信用卡客户进行的电话营销和服务的合作经验，嘉华信息充分发挥了自身优势，帮助</w:t>
      </w:r>
      <w:r>
        <w:rPr>
          <w:spacing w:val="-43"/>
        </w:rPr>
        <w:t> </w:t>
      </w:r>
      <w:r>
        <w:rPr>
          <w:spacing w:val="-43"/>
        </w:rPr>
      </w:r>
      <w:r>
        <w:rPr/>
        <w:t>客户实现业务快速发展。</w:t>
      </w:r>
      <w:r>
        <w:rPr>
          <w:rFonts w:ascii="宋体" w:hAnsi="宋体" w:cs="宋体" w:eastAsia="宋体" w:hint="default"/>
        </w:rPr>
        <w:t> </w:t>
      </w:r>
    </w:p>
    <w:p>
      <w:pPr>
        <w:spacing w:after="0" w:line="273" w:lineRule="auto"/>
        <w:jc w:val="both"/>
        <w:rPr>
          <w:rFonts w:ascii="宋体" w:hAnsi="宋体" w:cs="宋体" w:eastAsia="宋体" w:hint="default"/>
        </w:rPr>
        <w:sectPr>
          <w:pgSz w:w="11910" w:h="16840"/>
          <w:pgMar w:header="880" w:footer="975" w:top="1100" w:bottom="1160" w:left="980" w:right="0"/>
        </w:sectPr>
      </w:pPr>
    </w:p>
    <w:p>
      <w:pPr>
        <w:spacing w:line="240" w:lineRule="auto" w:before="0"/>
        <w:rPr>
          <w:rFonts w:ascii="宋体" w:hAnsi="宋体" w:cs="宋体" w:eastAsia="宋体" w:hint="default"/>
          <w:sz w:val="20"/>
          <w:szCs w:val="20"/>
        </w:rPr>
      </w:pPr>
    </w:p>
    <w:p>
      <w:pPr>
        <w:pStyle w:val="Heading1"/>
        <w:tabs>
          <w:tab w:pos="4171" w:val="left" w:leader="none"/>
        </w:tabs>
        <w:spacing w:line="240" w:lineRule="auto" w:before="176"/>
        <w:ind w:left="2884" w:right="1133"/>
        <w:jc w:val="left"/>
        <w:rPr>
          <w:b w:val="0"/>
          <w:bCs w:val="0"/>
        </w:rPr>
      </w:pPr>
      <w:bookmarkStart w:name="_bookmark3" w:id="4"/>
      <w:bookmarkEnd w:id="4"/>
      <w:r>
        <w:rPr>
          <w:b w:val="0"/>
          <w:bCs w:val="0"/>
        </w:rPr>
      </w:r>
      <w:r>
        <w:rPr>
          <w:w w:val="95"/>
        </w:rPr>
        <w:t>第四章</w:t>
        <w:tab/>
      </w:r>
      <w:r>
        <w:rPr/>
        <w:t>经营情况讨论与分析</w:t>
      </w:r>
      <w:r>
        <w:rPr>
          <w:b w:val="0"/>
          <w:bCs w:val="0"/>
        </w:rPr>
      </w:r>
    </w:p>
    <w:p>
      <w:pPr>
        <w:spacing w:line="240" w:lineRule="auto" w:before="11"/>
        <w:rPr>
          <w:rFonts w:ascii="宋体" w:hAnsi="宋体" w:cs="宋体" w:eastAsia="宋体" w:hint="default"/>
          <w:b/>
          <w:bCs/>
          <w:sz w:val="20"/>
          <w:szCs w:val="20"/>
        </w:rPr>
      </w:pPr>
    </w:p>
    <w:p>
      <w:pPr>
        <w:spacing w:after="0" w:line="240" w:lineRule="auto"/>
        <w:rPr>
          <w:rFonts w:ascii="宋体" w:hAnsi="宋体" w:cs="宋体" w:eastAsia="宋体" w:hint="default"/>
          <w:sz w:val="20"/>
          <w:szCs w:val="20"/>
        </w:rPr>
        <w:sectPr>
          <w:pgSz w:w="11910" w:h="16840"/>
          <w:pgMar w:header="880" w:footer="975" w:top="1100" w:bottom="1160" w:left="980" w:right="0"/>
        </w:sectPr>
      </w:pPr>
    </w:p>
    <w:p>
      <w:pPr>
        <w:spacing w:line="240" w:lineRule="auto" w:before="0"/>
        <w:rPr>
          <w:rFonts w:ascii="宋体" w:hAnsi="宋体" w:cs="宋体" w:eastAsia="宋体" w:hint="default"/>
          <w:b/>
          <w:bCs/>
          <w:sz w:val="20"/>
          <w:szCs w:val="20"/>
        </w:rPr>
      </w:pPr>
    </w:p>
    <w:p>
      <w:pPr>
        <w:spacing w:before="164"/>
        <w:ind w:left="152" w:right="0" w:firstLine="0"/>
        <w:jc w:val="left"/>
        <w:rPr>
          <w:rFonts w:ascii="宋体" w:hAnsi="宋体" w:cs="宋体" w:eastAsia="宋体" w:hint="default"/>
          <w:sz w:val="21"/>
          <w:szCs w:val="21"/>
        </w:rPr>
      </w:pPr>
      <w:r>
        <w:rPr>
          <w:rFonts w:ascii="宋体"/>
          <w:w w:val="100"/>
          <w:sz w:val="21"/>
        </w:rPr>
        <w:t>  </w:t>
      </w:r>
      <w:r>
        <w:rPr>
          <w:rFonts w:ascii="宋体"/>
          <w:spacing w:val="-2"/>
          <w:w w:val="100"/>
          <w:sz w:val="21"/>
        </w:rPr>
        <w:t> </w:t>
      </w:r>
      <w:r>
        <w:rPr>
          <w:rFonts w:ascii="宋体"/>
          <w:b/>
          <w:w w:val="99"/>
          <w:sz w:val="21"/>
        </w:rPr>
        <w:t>  </w:t>
      </w:r>
      <w:r>
        <w:rPr>
          <w:rFonts w:ascii="宋体"/>
          <w:sz w:val="21"/>
        </w:rPr>
      </w:r>
    </w:p>
    <w:p>
      <w:pPr>
        <w:pStyle w:val="Heading3"/>
        <w:spacing w:line="240" w:lineRule="auto" w:before="102"/>
        <w:ind w:left="575" w:right="0"/>
        <w:jc w:val="left"/>
        <w:rPr>
          <w:rFonts w:ascii="宋体" w:hAnsi="宋体" w:cs="宋体" w:eastAsia="宋体" w:hint="default"/>
          <w:b w:val="0"/>
          <w:bCs w:val="0"/>
        </w:rPr>
      </w:pPr>
      <w:r>
        <w:rPr/>
        <w:t>一、公司</w:t>
      </w:r>
      <w:r>
        <w:rPr>
          <w:spacing w:val="-55"/>
        </w:rPr>
        <w:t> </w:t>
      </w:r>
      <w:r>
        <w:rPr>
          <w:rFonts w:ascii="宋体" w:hAnsi="宋体" w:cs="宋体" w:eastAsia="宋体" w:hint="default"/>
        </w:rPr>
        <w:t>2019</w:t>
      </w:r>
      <w:r>
        <w:rPr>
          <w:rFonts w:ascii="宋体" w:hAnsi="宋体" w:cs="宋体" w:eastAsia="宋体" w:hint="default"/>
          <w:spacing w:val="-55"/>
        </w:rPr>
        <w:t> </w:t>
      </w:r>
      <w:r>
        <w:rPr/>
        <w:t>年业绩回顾</w:t>
      </w:r>
      <w:r>
        <w:rPr>
          <w:rFonts w:ascii="宋体" w:hAnsi="宋体" w:cs="宋体" w:eastAsia="宋体" w:hint="default"/>
          <w:w w:val="99"/>
        </w:rPr>
        <w:t> </w:t>
      </w:r>
      <w:r>
        <w:rPr>
          <w:rFonts w:ascii="宋体" w:hAnsi="宋体" w:cs="宋体" w:eastAsia="宋体" w:hint="default"/>
          <w:b w:val="0"/>
          <w:bCs w:val="0"/>
        </w:rPr>
      </w:r>
    </w:p>
    <w:p>
      <w:pPr>
        <w:tabs>
          <w:tab w:pos="1117" w:val="left" w:leader="none"/>
        </w:tabs>
        <w:spacing w:before="26"/>
        <w:ind w:left="152" w:right="0" w:firstLine="0"/>
        <w:jc w:val="left"/>
        <w:rPr>
          <w:rFonts w:ascii="宋体" w:hAnsi="宋体" w:cs="宋体" w:eastAsia="宋体" w:hint="default"/>
          <w:sz w:val="24"/>
          <w:szCs w:val="24"/>
        </w:rPr>
      </w:pPr>
      <w:r>
        <w:rPr>
          <w:w w:val="95"/>
        </w:rPr>
        <w:br w:type="column"/>
      </w:r>
      <w:r>
        <w:rPr>
          <w:rFonts w:ascii="宋体" w:hAnsi="宋体" w:cs="宋体" w:eastAsia="宋体" w:hint="default"/>
          <w:b/>
          <w:bCs/>
          <w:w w:val="95"/>
          <w:sz w:val="24"/>
          <w:szCs w:val="24"/>
        </w:rPr>
        <w:t>第一节</w:t>
        <w:tab/>
      </w:r>
      <w:r>
        <w:rPr>
          <w:rFonts w:ascii="宋体" w:hAnsi="宋体" w:cs="宋体" w:eastAsia="宋体" w:hint="default"/>
          <w:b/>
          <w:bCs/>
          <w:sz w:val="24"/>
          <w:szCs w:val="24"/>
        </w:rPr>
        <w:t>概述</w:t>
      </w:r>
      <w:r>
        <w:rPr>
          <w:rFonts w:ascii="宋体" w:hAnsi="宋体" w:cs="宋体" w:eastAsia="宋体" w:hint="default"/>
          <w:sz w:val="24"/>
          <w:szCs w:val="24"/>
        </w:rPr>
      </w:r>
    </w:p>
    <w:p>
      <w:pPr>
        <w:spacing w:after="0"/>
        <w:jc w:val="left"/>
        <w:rPr>
          <w:rFonts w:ascii="宋体" w:hAnsi="宋体" w:cs="宋体" w:eastAsia="宋体" w:hint="default"/>
          <w:sz w:val="24"/>
          <w:szCs w:val="24"/>
        </w:rPr>
        <w:sectPr>
          <w:type w:val="continuous"/>
          <w:pgSz w:w="11910" w:h="16840"/>
          <w:pgMar w:top="1580" w:bottom="700" w:left="980" w:right="0"/>
          <w:cols w:num="2" w:equalWidth="0">
            <w:col w:w="3108" w:space="990"/>
            <w:col w:w="6832"/>
          </w:cols>
        </w:sectPr>
      </w:pPr>
    </w:p>
    <w:p>
      <w:pPr>
        <w:pStyle w:val="BodyText"/>
        <w:spacing w:line="273" w:lineRule="auto" w:before="37"/>
        <w:ind w:right="1133" w:firstLine="420"/>
        <w:jc w:val="left"/>
        <w:rPr>
          <w:rFonts w:ascii="宋体" w:hAnsi="宋体" w:cs="宋体" w:eastAsia="宋体" w:hint="default"/>
        </w:rPr>
      </w:pPr>
      <w:r>
        <w:rPr>
          <w:rFonts w:ascii="宋体" w:hAnsi="宋体" w:cs="宋体" w:eastAsia="宋体" w:hint="default"/>
        </w:rPr>
        <w:t>2019</w:t>
      </w:r>
      <w:r>
        <w:rPr>
          <w:rFonts w:ascii="宋体" w:hAnsi="宋体" w:cs="宋体" w:eastAsia="宋体" w:hint="default"/>
          <w:spacing w:val="-8"/>
        </w:rPr>
        <w:t> </w:t>
      </w:r>
      <w:r>
        <w:rPr/>
        <w:t>年公司实现营业总收入</w:t>
      </w:r>
      <w:r>
        <w:rPr>
          <w:rFonts w:ascii="宋体" w:hAnsi="宋体" w:cs="宋体" w:eastAsia="宋体" w:hint="default"/>
        </w:rPr>
        <w:t>31.63</w:t>
      </w:r>
      <w:r>
        <w:rPr/>
        <w:t>亿元，同比增幅</w:t>
      </w:r>
      <w:r>
        <w:rPr>
          <w:rFonts w:ascii="宋体" w:hAnsi="宋体" w:cs="宋体" w:eastAsia="宋体" w:hint="default"/>
        </w:rPr>
        <w:t>4.35%</w:t>
      </w:r>
      <w:r>
        <w:rPr/>
        <w:t>；归属于上市公司股东的净利</w:t>
      </w:r>
      <w:r>
        <w:rPr>
          <w:rFonts w:ascii="宋体" w:hAnsi="宋体" w:cs="宋体" w:eastAsia="宋体" w:hint="default"/>
        </w:rPr>
        <w:t>-12.40</w:t>
      </w:r>
      <w:r>
        <w:rPr/>
        <w:t>亿元，</w:t>
      </w:r>
      <w:r>
        <w:rPr>
          <w:w w:val="100"/>
        </w:rPr>
        <w:t> </w:t>
      </w:r>
      <w:r>
        <w:rPr/>
        <w:t>同比降低</w:t>
      </w:r>
      <w:r>
        <w:rPr>
          <w:rFonts w:ascii="宋体" w:hAnsi="宋体" w:cs="宋体" w:eastAsia="宋体" w:hint="default"/>
        </w:rPr>
        <w:t>590.41%</w:t>
      </w:r>
      <w:r>
        <w:rPr/>
        <w:t>。</w:t>
      </w:r>
      <w:r>
        <w:rPr>
          <w:rFonts w:ascii="宋体" w:hAnsi="宋体" w:cs="宋体" w:eastAsia="宋体" w:hint="default"/>
        </w:rPr>
        <w:t>2019</w:t>
      </w:r>
      <w:r>
        <w:rPr/>
        <w:t>年公司收入规模有所增长，造成本年亏损的原因主要是计提商誉减值和应收款项</w:t>
      </w:r>
      <w:r>
        <w:rPr>
          <w:w w:val="100"/>
        </w:rPr>
        <w:t> </w:t>
      </w:r>
      <w:r>
        <w:rPr>
          <w:spacing w:val="-2"/>
        </w:rPr>
        <w:t>坏账准备。其中计提商誉部分，创世漫道商誉减值</w:t>
      </w:r>
      <w:r>
        <w:rPr>
          <w:rFonts w:ascii="宋体" w:hAnsi="宋体" w:cs="宋体" w:eastAsia="宋体" w:hint="default"/>
          <w:spacing w:val="-2"/>
        </w:rPr>
        <w:t>4.63</w:t>
      </w:r>
      <w:r>
        <w:rPr>
          <w:spacing w:val="-2"/>
        </w:rPr>
        <w:t>亿；长实通信商誉减值</w:t>
      </w:r>
      <w:r>
        <w:rPr>
          <w:rFonts w:ascii="宋体" w:hAnsi="宋体" w:cs="宋体" w:eastAsia="宋体" w:hint="default"/>
          <w:spacing w:val="-2"/>
        </w:rPr>
        <w:t>7.39</w:t>
      </w:r>
      <w:r>
        <w:rPr>
          <w:spacing w:val="-2"/>
        </w:rPr>
        <w:t>亿元。资产减值部分为</w:t>
      </w:r>
      <w:r>
        <w:rPr>
          <w:spacing w:val="-43"/>
        </w:rPr>
        <w:t> </w:t>
      </w:r>
      <w:r>
        <w:rPr>
          <w:spacing w:val="-43"/>
        </w:rPr>
      </w:r>
      <w:r>
        <w:rPr>
          <w:rFonts w:ascii="宋体" w:hAnsi="宋体" w:cs="宋体" w:eastAsia="宋体" w:hint="default"/>
        </w:rPr>
        <w:t>1.69</w:t>
      </w:r>
      <w:r>
        <w:rPr/>
        <w:t>亿元。</w:t>
      </w:r>
      <w:r>
        <w:rPr>
          <w:rFonts w:ascii="宋体" w:hAnsi="宋体" w:cs="宋体" w:eastAsia="宋体" w:hint="default"/>
        </w:rPr>
        <w:t> </w:t>
      </w:r>
    </w:p>
    <w:p>
      <w:pPr>
        <w:pStyle w:val="BodyText"/>
        <w:spacing w:line="273" w:lineRule="auto" w:before="7"/>
        <w:ind w:right="819" w:firstLine="420"/>
        <w:jc w:val="left"/>
        <w:rPr>
          <w:rFonts w:ascii="宋体" w:hAnsi="宋体" w:cs="宋体" w:eastAsia="宋体" w:hint="default"/>
        </w:rPr>
      </w:pPr>
      <w:r>
        <w:rPr>
          <w:spacing w:val="-7"/>
        </w:rPr>
        <w:t>资产负债情况：总资产</w:t>
      </w:r>
      <w:r>
        <w:rPr>
          <w:rFonts w:ascii="宋体" w:hAnsi="宋体" w:cs="宋体" w:eastAsia="宋体" w:hint="default"/>
          <w:spacing w:val="-7"/>
        </w:rPr>
        <w:t>39.08 </w:t>
      </w:r>
      <w:r>
        <w:rPr>
          <w:spacing w:val="-6"/>
        </w:rPr>
        <w:t>亿元，同比降低</w:t>
      </w:r>
      <w:r>
        <w:rPr>
          <w:rFonts w:ascii="宋体" w:hAnsi="宋体" w:cs="宋体" w:eastAsia="宋体" w:hint="default"/>
          <w:spacing w:val="-6"/>
        </w:rPr>
        <w:t>26.62%</w:t>
      </w:r>
      <w:r>
        <w:rPr>
          <w:spacing w:val="-6"/>
        </w:rPr>
        <w:t>；公司归属于上市公司股东的所有者权益</w:t>
      </w:r>
      <w:r>
        <w:rPr>
          <w:rFonts w:ascii="宋体" w:hAnsi="宋体" w:cs="宋体" w:eastAsia="宋体" w:hint="default"/>
          <w:spacing w:val="-6"/>
        </w:rPr>
        <w:t>23.23</w:t>
      </w:r>
      <w:r>
        <w:rPr>
          <w:rFonts w:ascii="宋体" w:hAnsi="宋体" w:cs="宋体" w:eastAsia="宋体" w:hint="default"/>
          <w:spacing w:val="76"/>
        </w:rPr>
        <w:t> </w:t>
      </w:r>
      <w:r>
        <w:rPr/>
        <w:t>亿</w:t>
      </w:r>
      <w:r>
        <w:rPr>
          <w:w w:val="100"/>
        </w:rPr>
        <w:t> </w:t>
      </w:r>
      <w:r>
        <w:rPr/>
        <w:t>元，较年初降低</w:t>
      </w:r>
      <w:r>
        <w:rPr>
          <w:rFonts w:ascii="宋体" w:hAnsi="宋体" w:cs="宋体" w:eastAsia="宋体" w:hint="default"/>
        </w:rPr>
        <w:t>35.53%</w:t>
      </w:r>
      <w:r>
        <w:rPr/>
        <w:t>；归属于上市公司股东的每股净资产</w:t>
      </w:r>
      <w:r>
        <w:rPr>
          <w:rFonts w:ascii="宋体" w:hAnsi="宋体" w:cs="宋体" w:eastAsia="宋体" w:hint="default"/>
        </w:rPr>
        <w:t>3.47</w:t>
      </w:r>
      <w:r>
        <w:rPr>
          <w:rFonts w:ascii="宋体" w:hAnsi="宋体" w:cs="宋体" w:eastAsia="宋体" w:hint="default"/>
          <w:spacing w:val="-7"/>
        </w:rPr>
        <w:t> </w:t>
      </w:r>
      <w:r>
        <w:rPr/>
        <w:t>元，较年初降低</w:t>
      </w:r>
      <w:r>
        <w:rPr>
          <w:rFonts w:ascii="宋体" w:hAnsi="宋体" w:cs="宋体" w:eastAsia="宋体" w:hint="default"/>
        </w:rPr>
        <w:t>35.53%</w:t>
      </w:r>
      <w:r>
        <w:rPr/>
        <w:t>。公司营运资本</w:t>
      </w:r>
      <w:r>
        <w:rPr>
          <w:w w:val="100"/>
        </w:rPr>
        <w:t> </w:t>
      </w:r>
      <w:r>
        <w:rPr>
          <w:rFonts w:ascii="宋体" w:hAnsi="宋体" w:cs="宋体" w:eastAsia="宋体" w:hint="default"/>
          <w:spacing w:val="-2"/>
        </w:rPr>
        <w:t>4.31</w:t>
      </w:r>
      <w:r>
        <w:rPr>
          <w:spacing w:val="-2"/>
        </w:rPr>
        <w:t>亿元，流动比例</w:t>
      </w:r>
      <w:r>
        <w:rPr>
          <w:rFonts w:ascii="宋体" w:hAnsi="宋体" w:cs="宋体" w:eastAsia="宋体" w:hint="default"/>
          <w:spacing w:val="-2"/>
        </w:rPr>
        <w:t>1.29</w:t>
      </w:r>
      <w:r>
        <w:rPr>
          <w:spacing w:val="-2"/>
        </w:rPr>
        <w:t>，同比有所下降，主要为应收账款减少所致。但公司流动性较为充足，偿债风险</w:t>
      </w:r>
      <w:r>
        <w:rPr>
          <w:spacing w:val="-35"/>
        </w:rPr>
        <w:t> </w:t>
      </w:r>
      <w:r>
        <w:rPr>
          <w:spacing w:val="-35"/>
        </w:rPr>
      </w:r>
      <w:r>
        <w:rPr/>
        <w:t>较低。公司期末现金及现金等价物余额</w:t>
      </w:r>
      <w:r>
        <w:rPr>
          <w:rFonts w:ascii="宋体" w:hAnsi="宋体" w:cs="宋体" w:eastAsia="宋体" w:hint="default"/>
        </w:rPr>
        <w:t>8.05</w:t>
      </w:r>
      <w:r>
        <w:rPr/>
        <w:t>亿元，较期初增加</w:t>
      </w:r>
      <w:r>
        <w:rPr>
          <w:rFonts w:ascii="宋体" w:hAnsi="宋体" w:cs="宋体" w:eastAsia="宋体" w:hint="default"/>
        </w:rPr>
        <w:t>1.27</w:t>
      </w:r>
      <w:r>
        <w:rPr/>
        <w:t>亿元，现金余量状态良好。</w:t>
      </w:r>
      <w:r>
        <w:rPr>
          <w:rFonts w:ascii="宋体" w:hAnsi="宋体" w:cs="宋体" w:eastAsia="宋体" w:hint="default"/>
        </w:rPr>
        <w:t> </w:t>
      </w:r>
    </w:p>
    <w:p>
      <w:pPr>
        <w:pStyle w:val="BodyText"/>
        <w:spacing w:line="273" w:lineRule="auto" w:before="7"/>
        <w:ind w:right="1126" w:firstLine="420"/>
        <w:jc w:val="both"/>
        <w:rPr>
          <w:rFonts w:ascii="宋体" w:hAnsi="宋体" w:cs="宋体" w:eastAsia="宋体" w:hint="default"/>
        </w:rPr>
      </w:pPr>
      <w:r>
        <w:rPr>
          <w:spacing w:val="-2"/>
        </w:rPr>
        <w:t>现金流情况：经营活动现金净流量净额</w:t>
      </w:r>
      <w:r>
        <w:rPr>
          <w:rFonts w:ascii="宋体" w:hAnsi="宋体" w:cs="宋体" w:eastAsia="宋体" w:hint="default"/>
          <w:spacing w:val="-2"/>
        </w:rPr>
        <w:t>4.15</w:t>
      </w:r>
      <w:r>
        <w:rPr>
          <w:spacing w:val="-2"/>
        </w:rPr>
        <w:t>亿元，因销售回款较好导致经营活动现金净流量同比增加</w:t>
      </w:r>
      <w:r>
        <w:rPr>
          <w:w w:val="100"/>
        </w:rPr>
        <w:t> </w:t>
      </w:r>
      <w:r>
        <w:rPr>
          <w:rFonts w:ascii="宋体" w:hAnsi="宋体" w:cs="宋体" w:eastAsia="宋体" w:hint="default"/>
          <w:spacing w:val="-2"/>
        </w:rPr>
        <w:t>5.04</w:t>
      </w:r>
      <w:r>
        <w:rPr>
          <w:spacing w:val="-2"/>
        </w:rPr>
        <w:t>亿元；投资及筹资活动现金净流量分别为</w:t>
      </w:r>
      <w:r>
        <w:rPr>
          <w:rFonts w:ascii="宋体" w:hAnsi="宋体" w:cs="宋体" w:eastAsia="宋体" w:hint="default"/>
          <w:spacing w:val="-2"/>
        </w:rPr>
        <w:t>-0.36</w:t>
      </w:r>
      <w:r>
        <w:rPr>
          <w:spacing w:val="-2"/>
        </w:rPr>
        <w:t>亿元和</w:t>
      </w:r>
      <w:r>
        <w:rPr>
          <w:rFonts w:ascii="宋体" w:hAnsi="宋体" w:cs="宋体" w:eastAsia="宋体" w:hint="default"/>
          <w:spacing w:val="-2"/>
        </w:rPr>
        <w:t>-2.51</w:t>
      </w:r>
      <w:r>
        <w:rPr>
          <w:spacing w:val="-2"/>
        </w:rPr>
        <w:t>亿元，公司整体经营现金净流量为上升趋</w:t>
      </w:r>
      <w:r>
        <w:rPr>
          <w:spacing w:val="-32"/>
        </w:rPr>
        <w:t> </w:t>
      </w:r>
      <w:r>
        <w:rPr>
          <w:spacing w:val="-32"/>
        </w:rPr>
      </w:r>
      <w:r>
        <w:rPr/>
        <w:t>势。</w:t>
      </w:r>
      <w:r>
        <w:rPr>
          <w:rFonts w:ascii="宋体" w:hAnsi="宋体" w:cs="宋体" w:eastAsia="宋体" w:hint="default"/>
        </w:rPr>
        <w:t> </w:t>
      </w:r>
    </w:p>
    <w:p>
      <w:pPr>
        <w:pStyle w:val="BodyText"/>
        <w:spacing w:line="273" w:lineRule="auto" w:before="7"/>
        <w:ind w:right="1126" w:firstLine="420"/>
        <w:jc w:val="left"/>
        <w:rPr>
          <w:rFonts w:ascii="宋体" w:hAnsi="宋体" w:cs="宋体" w:eastAsia="宋体" w:hint="default"/>
        </w:rPr>
      </w:pPr>
      <w:r>
        <w:rPr/>
        <w:t>分子公司来看，</w:t>
      </w:r>
      <w:r>
        <w:rPr>
          <w:rFonts w:ascii="宋体" w:hAnsi="宋体" w:cs="宋体" w:eastAsia="宋体" w:hint="default"/>
        </w:rPr>
        <w:t>2019</w:t>
      </w:r>
      <w:r>
        <w:rPr/>
        <w:t>年嘉华信息营业收入</w:t>
      </w:r>
      <w:r>
        <w:rPr>
          <w:rFonts w:ascii="宋体" w:hAnsi="宋体" w:cs="宋体" w:eastAsia="宋体" w:hint="default"/>
        </w:rPr>
        <w:t>8.76</w:t>
      </w:r>
      <w:r>
        <w:rPr/>
        <w:t>亿元增长</w:t>
      </w:r>
      <w:r>
        <w:rPr>
          <w:rFonts w:ascii="宋体" w:hAnsi="宋体" w:cs="宋体" w:eastAsia="宋体" w:hint="default"/>
        </w:rPr>
        <w:t>112.39%</w:t>
      </w:r>
      <w:r>
        <w:rPr/>
        <w:t>；嘉华信息净利润</w:t>
      </w:r>
      <w:r>
        <w:rPr>
          <w:rFonts w:ascii="宋体" w:hAnsi="宋体" w:cs="宋体" w:eastAsia="宋体" w:hint="default"/>
        </w:rPr>
        <w:t>1.69</w:t>
      </w:r>
      <w:r>
        <w:rPr/>
        <w:t>亿元，同比增</w:t>
      </w:r>
      <w:r>
        <w:rPr>
          <w:w w:val="100"/>
        </w:rPr>
        <w:t> </w:t>
      </w:r>
      <w:r>
        <w:rPr>
          <w:spacing w:val="-2"/>
        </w:rPr>
        <w:t>加</w:t>
      </w:r>
      <w:r>
        <w:rPr>
          <w:rFonts w:ascii="宋体" w:hAnsi="宋体" w:cs="宋体" w:eastAsia="宋体" w:hint="default"/>
          <w:spacing w:val="-2"/>
        </w:rPr>
        <w:t>0.69</w:t>
      </w:r>
      <w:r>
        <w:rPr>
          <w:spacing w:val="-2"/>
        </w:rPr>
        <w:t>亿元。创世漫道</w:t>
      </w:r>
      <w:r>
        <w:rPr>
          <w:rFonts w:ascii="宋体" w:hAnsi="宋体" w:cs="宋体" w:eastAsia="宋体" w:hint="default"/>
          <w:spacing w:val="-2"/>
        </w:rPr>
        <w:t>2019</w:t>
      </w:r>
      <w:r>
        <w:rPr>
          <w:spacing w:val="-2"/>
        </w:rPr>
        <w:t>年营业收入</w:t>
      </w:r>
      <w:r>
        <w:rPr>
          <w:rFonts w:ascii="宋体" w:hAnsi="宋体" w:cs="宋体" w:eastAsia="宋体" w:hint="default"/>
          <w:spacing w:val="-2"/>
        </w:rPr>
        <w:t>7.81</w:t>
      </w:r>
      <w:r>
        <w:rPr>
          <w:spacing w:val="-2"/>
        </w:rPr>
        <w:t>亿元同比降幅</w:t>
      </w:r>
      <w:r>
        <w:rPr>
          <w:rFonts w:ascii="宋体" w:hAnsi="宋体" w:cs="宋体" w:eastAsia="宋体" w:hint="default"/>
          <w:spacing w:val="-2"/>
        </w:rPr>
        <w:t>9.54%</w:t>
      </w:r>
      <w:r>
        <w:rPr>
          <w:spacing w:val="-2"/>
        </w:rPr>
        <w:t>。创世漫道净利润</w:t>
      </w:r>
      <w:r>
        <w:rPr>
          <w:rFonts w:ascii="宋体" w:hAnsi="宋体" w:cs="宋体" w:eastAsia="宋体" w:hint="default"/>
          <w:spacing w:val="-2"/>
        </w:rPr>
        <w:t>-0.13</w:t>
      </w:r>
      <w:r>
        <w:rPr>
          <w:spacing w:val="-2"/>
        </w:rPr>
        <w:t>亿元同比减少</w:t>
      </w:r>
      <w:r>
        <w:rPr>
          <w:rFonts w:ascii="宋体" w:hAnsi="宋体" w:cs="宋体" w:eastAsia="宋体" w:hint="default"/>
          <w:spacing w:val="-2"/>
        </w:rPr>
        <w:t>0.98</w:t>
      </w:r>
      <w:r>
        <w:rPr>
          <w:rFonts w:ascii="宋体" w:hAnsi="宋体" w:cs="宋体" w:eastAsia="宋体" w:hint="default"/>
          <w:spacing w:val="-26"/>
        </w:rPr>
        <w:t> </w:t>
      </w:r>
      <w:r>
        <w:rPr>
          <w:rFonts w:ascii="宋体" w:hAnsi="宋体" w:cs="宋体" w:eastAsia="宋体" w:hint="default"/>
          <w:spacing w:val="-26"/>
        </w:rPr>
      </w:r>
      <w:r>
        <w:rPr>
          <w:spacing w:val="-2"/>
        </w:rPr>
        <w:t>亿元，本年亏损的原因主要是计提应收款项坏账准备，计提减值损失为</w:t>
      </w:r>
      <w:r>
        <w:rPr>
          <w:rFonts w:ascii="宋体" w:hAnsi="宋体" w:cs="宋体" w:eastAsia="宋体" w:hint="default"/>
          <w:spacing w:val="-2"/>
        </w:rPr>
        <w:t>0.47</w:t>
      </w:r>
      <w:r>
        <w:rPr>
          <w:spacing w:val="-2"/>
        </w:rPr>
        <w:t>亿元。长实通信</w:t>
      </w:r>
      <w:r>
        <w:rPr>
          <w:rFonts w:ascii="宋体" w:hAnsi="宋体" w:cs="宋体" w:eastAsia="宋体" w:hint="default"/>
          <w:spacing w:val="-2"/>
        </w:rPr>
        <w:t>2019</w:t>
      </w:r>
      <w:r>
        <w:rPr>
          <w:spacing w:val="-2"/>
        </w:rPr>
        <w:t>年营业收</w:t>
      </w:r>
      <w:r>
        <w:rPr>
          <w:spacing w:val="-36"/>
        </w:rPr>
        <w:t> </w:t>
      </w:r>
      <w:r>
        <w:rPr>
          <w:spacing w:val="-36"/>
        </w:rPr>
      </w:r>
      <w:r>
        <w:rPr>
          <w:spacing w:val="-2"/>
        </w:rPr>
        <w:t>入</w:t>
      </w:r>
      <w:r>
        <w:rPr>
          <w:rFonts w:ascii="宋体" w:hAnsi="宋体" w:cs="宋体" w:eastAsia="宋体" w:hint="default"/>
          <w:spacing w:val="-2"/>
        </w:rPr>
        <w:t>15.23</w:t>
      </w:r>
      <w:r>
        <w:rPr>
          <w:spacing w:val="-2"/>
        </w:rPr>
        <w:t>亿元同比降幅</w:t>
      </w:r>
      <w:r>
        <w:rPr>
          <w:rFonts w:ascii="宋体" w:hAnsi="宋体" w:cs="宋体" w:eastAsia="宋体" w:hint="default"/>
          <w:spacing w:val="-2"/>
        </w:rPr>
        <w:t>15.38%</w:t>
      </w:r>
      <w:r>
        <w:rPr>
          <w:spacing w:val="-2"/>
        </w:rPr>
        <w:t>。长实通信净利润</w:t>
      </w:r>
      <w:r>
        <w:rPr>
          <w:rFonts w:ascii="宋体" w:hAnsi="宋体" w:cs="宋体" w:eastAsia="宋体" w:hint="default"/>
          <w:spacing w:val="-2"/>
        </w:rPr>
        <w:t>-1.22</w:t>
      </w:r>
      <w:r>
        <w:rPr>
          <w:spacing w:val="-2"/>
        </w:rPr>
        <w:t>亿元。本年亏损的原因主要是计提应收款项坏账准备</w:t>
      </w:r>
      <w:r>
        <w:rPr>
          <w:spacing w:val="-33"/>
        </w:rPr>
        <w:t> </w:t>
      </w:r>
      <w:r>
        <w:rPr>
          <w:spacing w:val="-33"/>
        </w:rPr>
      </w:r>
      <w:r>
        <w:rPr/>
        <w:t>和债务重组损失金额为</w:t>
      </w:r>
      <w:r>
        <w:rPr>
          <w:rFonts w:ascii="宋体" w:hAnsi="宋体" w:cs="宋体" w:eastAsia="宋体" w:hint="default"/>
        </w:rPr>
        <w:t>0.90</w:t>
      </w:r>
      <w:r>
        <w:rPr/>
        <w:t>亿元。</w:t>
      </w:r>
      <w:r>
        <w:rPr>
          <w:rFonts w:ascii="宋体" w:hAnsi="宋体" w:cs="宋体" w:eastAsia="宋体" w:hint="default"/>
        </w:rPr>
        <w:t> </w:t>
      </w:r>
    </w:p>
    <w:p>
      <w:pPr>
        <w:pStyle w:val="BodyText"/>
        <w:spacing w:line="307" w:lineRule="auto" w:before="127"/>
        <w:ind w:left="573" w:right="1133"/>
        <w:jc w:val="left"/>
      </w:pPr>
      <w:r>
        <w:rPr>
          <w:rFonts w:ascii="宋体" w:hAnsi="宋体" w:cs="宋体" w:eastAsia="宋体" w:hint="default"/>
          <w:b/>
          <w:bCs/>
        </w:rPr>
        <w:t>二、公司愿景与规划</w:t>
      </w:r>
      <w:r>
        <w:rPr>
          <w:rFonts w:ascii="宋体" w:hAnsi="宋体" w:cs="宋体" w:eastAsia="宋体" w:hint="default"/>
          <w:b/>
          <w:bCs/>
          <w:w w:val="99"/>
        </w:rPr>
        <w:t> </w:t>
      </w:r>
      <w:r>
        <w:rPr>
          <w:spacing w:val="-2"/>
        </w:rPr>
        <w:t>作为国内领先的金融科技、通信及网络维护服务公司，主要业务是利用</w:t>
      </w:r>
      <w:r>
        <w:rPr>
          <w:rFonts w:ascii="宋体" w:hAnsi="宋体" w:cs="宋体" w:eastAsia="宋体" w:hint="default"/>
          <w:spacing w:val="-2"/>
        </w:rPr>
        <w:t>AI</w:t>
      </w:r>
      <w:r>
        <w:rPr>
          <w:spacing w:val="-2"/>
        </w:rPr>
        <w:t>、大数据及云服务等能力赋</w:t>
      </w:r>
    </w:p>
    <w:p>
      <w:pPr>
        <w:pStyle w:val="BodyText"/>
        <w:spacing w:line="253" w:lineRule="exact"/>
        <w:ind w:right="819"/>
        <w:jc w:val="left"/>
      </w:pPr>
      <w:r>
        <w:rPr>
          <w:w w:val="100"/>
        </w:rPr>
        <w:t>能于</w:t>
      </w:r>
      <w:r>
        <w:rPr>
          <w:spacing w:val="-3"/>
          <w:w w:val="100"/>
        </w:rPr>
        <w:t>金</w:t>
      </w:r>
      <w:r>
        <w:rPr>
          <w:w w:val="100"/>
        </w:rPr>
        <w:t>融</w:t>
      </w:r>
      <w:r>
        <w:rPr>
          <w:spacing w:val="-3"/>
          <w:w w:val="100"/>
        </w:rPr>
        <w:t>与</w:t>
      </w:r>
      <w:r>
        <w:rPr>
          <w:w w:val="100"/>
        </w:rPr>
        <w:t>互</w:t>
      </w:r>
      <w:r>
        <w:rPr>
          <w:spacing w:val="-3"/>
          <w:w w:val="100"/>
        </w:rPr>
        <w:t>联</w:t>
      </w:r>
      <w:r>
        <w:rPr>
          <w:w w:val="100"/>
        </w:rPr>
        <w:t>网</w:t>
      </w:r>
      <w:r>
        <w:rPr>
          <w:spacing w:val="-3"/>
          <w:w w:val="100"/>
        </w:rPr>
        <w:t>行</w:t>
      </w:r>
      <w:r>
        <w:rPr>
          <w:w w:val="100"/>
        </w:rPr>
        <w:t>业</w:t>
      </w:r>
      <w:r>
        <w:rPr>
          <w:spacing w:val="-10"/>
          <w:w w:val="100"/>
        </w:rPr>
        <w:t>。</w:t>
      </w:r>
      <w:r>
        <w:rPr>
          <w:w w:val="100"/>
        </w:rPr>
        <w:t>公司</w:t>
      </w:r>
      <w:r>
        <w:rPr>
          <w:spacing w:val="-3"/>
          <w:w w:val="100"/>
        </w:rPr>
        <w:t>现</w:t>
      </w:r>
      <w:r>
        <w:rPr>
          <w:w w:val="100"/>
        </w:rPr>
        <w:t>任</w:t>
      </w:r>
      <w:r>
        <w:rPr>
          <w:spacing w:val="-3"/>
          <w:w w:val="100"/>
        </w:rPr>
        <w:t>董</w:t>
      </w:r>
      <w:r>
        <w:rPr>
          <w:w w:val="100"/>
        </w:rPr>
        <w:t>事</w:t>
      </w:r>
      <w:r>
        <w:rPr>
          <w:spacing w:val="-3"/>
          <w:w w:val="100"/>
        </w:rPr>
        <w:t>长</w:t>
      </w:r>
      <w:r>
        <w:rPr>
          <w:w w:val="100"/>
        </w:rPr>
        <w:t>吴</w:t>
      </w:r>
      <w:r>
        <w:rPr>
          <w:spacing w:val="-3"/>
          <w:w w:val="100"/>
        </w:rPr>
        <w:t>鹰</w:t>
      </w:r>
      <w:r>
        <w:rPr>
          <w:spacing w:val="-113"/>
          <w:w w:val="100"/>
        </w:rPr>
        <w:t>，</w:t>
      </w:r>
      <w:r>
        <w:rPr>
          <w:spacing w:val="-3"/>
          <w:w w:val="100"/>
        </w:rPr>
        <w:t>“小</w:t>
      </w:r>
      <w:r>
        <w:rPr>
          <w:w w:val="100"/>
        </w:rPr>
        <w:t>灵通</w:t>
      </w:r>
      <w:r>
        <w:rPr>
          <w:spacing w:val="-3"/>
          <w:w w:val="100"/>
        </w:rPr>
        <w:t>之</w:t>
      </w:r>
      <w:r>
        <w:rPr>
          <w:w w:val="100"/>
        </w:rPr>
        <w:t>父</w:t>
      </w:r>
      <w:r>
        <w:rPr>
          <w:spacing w:val="-108"/>
          <w:w w:val="100"/>
        </w:rPr>
        <w:t>”</w:t>
      </w:r>
      <w:r>
        <w:rPr>
          <w:spacing w:val="-7"/>
          <w:w w:val="100"/>
        </w:rPr>
        <w:t>，</w:t>
      </w:r>
      <w:r>
        <w:rPr>
          <w:spacing w:val="-3"/>
          <w:w w:val="100"/>
        </w:rPr>
        <w:t>在</w:t>
      </w:r>
      <w:r>
        <w:rPr>
          <w:w w:val="100"/>
        </w:rPr>
        <w:t>信</w:t>
      </w:r>
      <w:r>
        <w:rPr>
          <w:spacing w:val="-3"/>
          <w:w w:val="100"/>
        </w:rPr>
        <w:t>息</w:t>
      </w:r>
      <w:r>
        <w:rPr>
          <w:w w:val="100"/>
        </w:rPr>
        <w:t>技</w:t>
      </w:r>
      <w:r>
        <w:rPr>
          <w:spacing w:val="-3"/>
          <w:w w:val="100"/>
        </w:rPr>
        <w:t>术产</w:t>
      </w:r>
      <w:r>
        <w:rPr>
          <w:w w:val="100"/>
        </w:rPr>
        <w:t>业拥</w:t>
      </w:r>
      <w:r>
        <w:rPr>
          <w:spacing w:val="-3"/>
          <w:w w:val="100"/>
        </w:rPr>
        <w:t>有</w:t>
      </w:r>
      <w:r>
        <w:rPr>
          <w:w w:val="100"/>
        </w:rPr>
        <w:t>丰</w:t>
      </w:r>
      <w:r>
        <w:rPr>
          <w:spacing w:val="-3"/>
          <w:w w:val="100"/>
        </w:rPr>
        <w:t>富</w:t>
      </w:r>
      <w:r>
        <w:rPr>
          <w:w w:val="100"/>
        </w:rPr>
        <w:t>的</w:t>
      </w:r>
      <w:r>
        <w:rPr>
          <w:spacing w:val="-3"/>
          <w:w w:val="100"/>
        </w:rPr>
        <w:t>产</w:t>
      </w:r>
      <w:r>
        <w:rPr>
          <w:w w:val="100"/>
        </w:rPr>
        <w:t>业</w:t>
      </w:r>
      <w:r>
        <w:rPr>
          <w:spacing w:val="-3"/>
          <w:w w:val="100"/>
        </w:rPr>
        <w:t>经</w:t>
      </w:r>
      <w:r>
        <w:rPr>
          <w:w w:val="100"/>
        </w:rPr>
        <w:t>验</w:t>
      </w:r>
      <w:r>
        <w:rPr>
          <w:spacing w:val="-3"/>
          <w:w w:val="100"/>
        </w:rPr>
        <w:t>资</w:t>
      </w:r>
      <w:r>
        <w:rPr>
          <w:w w:val="100"/>
        </w:rPr>
        <w:t>源</w:t>
      </w:r>
    </w:p>
    <w:p>
      <w:pPr>
        <w:spacing w:line="324" w:lineRule="auto" w:before="37"/>
        <w:ind w:left="289" w:right="5542" w:hanging="137"/>
        <w:jc w:val="left"/>
        <w:rPr>
          <w:rFonts w:ascii="宋体" w:hAnsi="宋体" w:cs="宋体" w:eastAsia="宋体" w:hint="default"/>
          <w:sz w:val="21"/>
          <w:szCs w:val="21"/>
        </w:rPr>
      </w:pPr>
      <w:r>
        <w:rPr>
          <w:rFonts w:ascii="宋体" w:hAnsi="宋体" w:cs="宋体" w:eastAsia="宋体" w:hint="default"/>
          <w:sz w:val="21"/>
          <w:szCs w:val="21"/>
        </w:rPr>
        <w:t>和经验。目前中嘉博创业务主要有三家子公司经营。</w:t>
      </w:r>
      <w:r>
        <w:rPr>
          <w:rFonts w:ascii="宋体" w:hAnsi="宋体" w:cs="宋体" w:eastAsia="宋体" w:hint="default"/>
          <w:w w:val="100"/>
          <w:sz w:val="21"/>
          <w:szCs w:val="21"/>
        </w:rPr>
        <w:t> </w:t>
      </w:r>
      <w:r>
        <w:rPr>
          <w:rFonts w:ascii="宋体" w:hAnsi="宋体" w:cs="宋体" w:eastAsia="宋体" w:hint="default"/>
          <w:b/>
          <w:bCs/>
          <w:sz w:val="21"/>
          <w:szCs w:val="21"/>
        </w:rPr>
        <w:t>图表 </w:t>
      </w:r>
      <w:r>
        <w:rPr>
          <w:rFonts w:ascii="宋体" w:hAnsi="宋体" w:cs="宋体" w:eastAsia="宋体" w:hint="default"/>
          <w:b/>
          <w:bCs/>
          <w:sz w:val="21"/>
          <w:szCs w:val="21"/>
        </w:rPr>
      </w:r>
      <w:r>
        <w:rPr>
          <w:rFonts w:ascii="宋体" w:hAnsi="宋体" w:cs="宋体" w:eastAsia="宋体" w:hint="default"/>
          <w:b/>
          <w:bCs/>
          <w:sz w:val="21"/>
          <w:szCs w:val="21"/>
        </w:rPr>
        <w:t>上市公司的业务</w:t>
      </w:r>
      <w:r>
        <w:rPr>
          <w:rFonts w:ascii="宋体" w:hAnsi="宋体" w:cs="宋体" w:eastAsia="宋体" w:hint="default"/>
          <w:b/>
          <w:bCs/>
          <w:w w:val="99"/>
          <w:sz w:val="21"/>
          <w:szCs w:val="21"/>
        </w:rPr>
        <w:t> </w:t>
      </w:r>
      <w:r>
        <w:rPr>
          <w:rFonts w:ascii="宋体" w:hAnsi="宋体" w:cs="宋体" w:eastAsia="宋体" w:hint="default"/>
          <w:sz w:val="21"/>
          <w:szCs w:val="21"/>
        </w:rPr>
      </w:r>
    </w:p>
    <w:p>
      <w:pPr>
        <w:spacing w:line="20" w:lineRule="exact"/>
        <w:ind w:left="172" w:right="0" w:firstLine="0"/>
        <w:rPr>
          <w:rFonts w:ascii="宋体" w:hAnsi="宋体" w:cs="宋体" w:eastAsia="宋体" w:hint="default"/>
          <w:sz w:val="2"/>
          <w:szCs w:val="2"/>
        </w:rPr>
      </w:pPr>
      <w:r>
        <w:rPr>
          <w:rFonts w:ascii="宋体" w:hAnsi="宋体" w:cs="宋体" w:eastAsia="宋体" w:hint="default"/>
          <w:sz w:val="2"/>
          <w:szCs w:val="2"/>
        </w:rPr>
        <w:pict>
          <v:group style="width:421.2pt;height:1pt;mso-position-horizontal-relative:char;mso-position-vertical-relative:line" coordorigin="0,0" coordsize="8424,20">
            <v:group style="position:absolute;left:10;top:10;width:8405;height:2" coordorigin="10,10" coordsize="8405,2">
              <v:shape style="position:absolute;left:10;top:10;width:8405;height:2" coordorigin="10,10" coordsize="8405,0" path="m10,10l8414,10e" filled="false" stroked="true" strokeweight=".95999pt" strokecolor="#336699">
                <v:path arrowok="t"/>
              </v:shape>
            </v:group>
          </v:group>
        </w:pict>
      </w:r>
      <w:r>
        <w:rPr>
          <w:rFonts w:ascii="宋体" w:hAnsi="宋体" w:cs="宋体" w:eastAsia="宋体" w:hint="default"/>
          <w:sz w:val="2"/>
          <w:szCs w:val="2"/>
        </w:rPr>
      </w:r>
    </w:p>
    <w:p>
      <w:pPr>
        <w:spacing w:line="240" w:lineRule="auto" w:before="12"/>
        <w:rPr>
          <w:rFonts w:ascii="宋体" w:hAnsi="宋体" w:cs="宋体" w:eastAsia="宋体" w:hint="default"/>
          <w:b/>
          <w:bCs/>
          <w:sz w:val="6"/>
          <w:szCs w:val="6"/>
        </w:rPr>
      </w:pPr>
    </w:p>
    <w:p>
      <w:pPr>
        <w:spacing w:line="4485" w:lineRule="exact"/>
        <w:ind w:left="207" w:right="0" w:firstLine="0"/>
        <w:rPr>
          <w:rFonts w:ascii="宋体" w:hAnsi="宋体" w:cs="宋体" w:eastAsia="宋体" w:hint="default"/>
          <w:sz w:val="20"/>
          <w:szCs w:val="20"/>
        </w:rPr>
      </w:pPr>
      <w:r>
        <w:rPr>
          <w:rFonts w:ascii="宋体" w:hAnsi="宋体" w:cs="宋体" w:eastAsia="宋体" w:hint="default"/>
          <w:position w:val="-89"/>
          <w:sz w:val="20"/>
          <w:szCs w:val="20"/>
        </w:rPr>
        <w:drawing>
          <wp:inline distT="0" distB="0" distL="0" distR="0">
            <wp:extent cx="5233144" cy="2847975"/>
            <wp:effectExtent l="0" t="0" r="0" b="0"/>
            <wp:docPr id="3" name="image3.jpeg" descr=""/>
            <wp:cNvGraphicFramePr>
              <a:graphicFrameLocks noChangeAspect="1"/>
            </wp:cNvGraphicFramePr>
            <a:graphic>
              <a:graphicData uri="http://schemas.openxmlformats.org/drawingml/2006/picture">
                <pic:pic>
                  <pic:nvPicPr>
                    <pic:cNvPr id="4" name="image3.jpeg"/>
                    <pic:cNvPicPr/>
                  </pic:nvPicPr>
                  <pic:blipFill>
                    <a:blip r:embed="rId14" cstate="print"/>
                    <a:stretch>
                      <a:fillRect/>
                    </a:stretch>
                  </pic:blipFill>
                  <pic:spPr>
                    <a:xfrm>
                      <a:off x="0" y="0"/>
                      <a:ext cx="5233144" cy="2847975"/>
                    </a:xfrm>
                    <a:prstGeom prst="rect">
                      <a:avLst/>
                    </a:prstGeom>
                  </pic:spPr>
                </pic:pic>
              </a:graphicData>
            </a:graphic>
          </wp:inline>
        </w:drawing>
      </w:r>
      <w:r>
        <w:rPr>
          <w:rFonts w:ascii="宋体" w:hAnsi="宋体" w:cs="宋体" w:eastAsia="宋体" w:hint="default"/>
          <w:position w:val="-89"/>
          <w:sz w:val="20"/>
          <w:szCs w:val="20"/>
        </w:rPr>
      </w:r>
    </w:p>
    <w:p>
      <w:pPr>
        <w:spacing w:line="240" w:lineRule="auto" w:before="6"/>
        <w:rPr>
          <w:rFonts w:ascii="宋体" w:hAnsi="宋体" w:cs="宋体" w:eastAsia="宋体" w:hint="default"/>
          <w:b/>
          <w:bCs/>
          <w:sz w:val="11"/>
          <w:szCs w:val="11"/>
        </w:rPr>
      </w:pPr>
    </w:p>
    <w:p>
      <w:pPr>
        <w:spacing w:line="20" w:lineRule="exact"/>
        <w:ind w:left="172" w:right="0" w:firstLine="0"/>
        <w:rPr>
          <w:rFonts w:ascii="宋体" w:hAnsi="宋体" w:cs="宋体" w:eastAsia="宋体" w:hint="default"/>
          <w:sz w:val="2"/>
          <w:szCs w:val="2"/>
        </w:rPr>
      </w:pPr>
      <w:r>
        <w:rPr>
          <w:rFonts w:ascii="宋体" w:hAnsi="宋体" w:cs="宋体" w:eastAsia="宋体" w:hint="default"/>
          <w:sz w:val="2"/>
          <w:szCs w:val="2"/>
        </w:rPr>
        <w:pict>
          <v:group style="width:421.2pt;height:1pt;mso-position-horizontal-relative:char;mso-position-vertical-relative:line" coordorigin="0,0" coordsize="8424,20">
            <v:group style="position:absolute;left:10;top:10;width:10;height:2" coordorigin="10,10" coordsize="10,2">
              <v:shape style="position:absolute;left:10;top:10;width:10;height:2" coordorigin="10,10" coordsize="10,0" path="m10,10l19,10e" filled="false" stroked="true" strokeweight=".96002pt" strokecolor="#336699">
                <v:path arrowok="t"/>
              </v:shape>
            </v:group>
            <v:group style="position:absolute;left:19;top:10;width:20;height:2" coordorigin="19,10" coordsize="20,2">
              <v:shape style="position:absolute;left:19;top:10;width:20;height:2" coordorigin="19,10" coordsize="20,0" path="m19,10l38,10e" filled="false" stroked="true" strokeweight=".96002pt" strokecolor="#336699">
                <v:path arrowok="t"/>
              </v:shape>
            </v:group>
            <v:group style="position:absolute;left:38;top:10;width:8376;height:2" coordorigin="38,10" coordsize="8376,2">
              <v:shape style="position:absolute;left:38;top:10;width:8376;height:2" coordorigin="38,10" coordsize="8376,0" path="m38,10l8414,10e" filled="false" stroked="true" strokeweight=".96002pt" strokecolor="#336699">
                <v:path arrowok="t"/>
              </v:shape>
            </v:group>
          </v:group>
        </w:pict>
      </w:r>
      <w:r>
        <w:rPr>
          <w:rFonts w:ascii="宋体" w:hAnsi="宋体" w:cs="宋体" w:eastAsia="宋体" w:hint="default"/>
          <w:sz w:val="2"/>
          <w:szCs w:val="2"/>
        </w:rPr>
      </w:r>
    </w:p>
    <w:p>
      <w:pPr>
        <w:spacing w:before="0"/>
        <w:ind w:left="299" w:right="1133" w:firstLine="0"/>
        <w:jc w:val="left"/>
        <w:rPr>
          <w:rFonts w:ascii="宋体" w:hAnsi="宋体" w:cs="宋体" w:eastAsia="宋体" w:hint="default"/>
          <w:sz w:val="19"/>
          <w:szCs w:val="19"/>
        </w:rPr>
      </w:pPr>
      <w:r>
        <w:rPr>
          <w:rFonts w:ascii="宋体" w:hAnsi="宋体" w:cs="宋体" w:eastAsia="宋体" w:hint="default"/>
          <w:i/>
          <w:sz w:val="19"/>
          <w:szCs w:val="19"/>
        </w:rPr>
        <w:t>资料来源：中嘉博创</w:t>
      </w:r>
      <w:r>
        <w:rPr>
          <w:rFonts w:ascii="宋体" w:hAnsi="宋体" w:cs="宋体" w:eastAsia="宋体" w:hint="default"/>
          <w:i/>
          <w:sz w:val="19"/>
          <w:szCs w:val="19"/>
        </w:rPr>
        <w:t> </w:t>
      </w:r>
      <w:r>
        <w:rPr>
          <w:rFonts w:ascii="宋体" w:hAnsi="宋体" w:cs="宋体" w:eastAsia="宋体" w:hint="default"/>
          <w:sz w:val="19"/>
          <w:szCs w:val="19"/>
        </w:rPr>
      </w:r>
    </w:p>
    <w:p>
      <w:pPr>
        <w:spacing w:after="0"/>
        <w:jc w:val="left"/>
        <w:rPr>
          <w:rFonts w:ascii="宋体" w:hAnsi="宋体" w:cs="宋体" w:eastAsia="宋体" w:hint="default"/>
          <w:sz w:val="19"/>
          <w:szCs w:val="19"/>
        </w:rPr>
        <w:sectPr>
          <w:type w:val="continuous"/>
          <w:pgSz w:w="11910" w:h="16840"/>
          <w:pgMar w:top="1580" w:bottom="700" w:left="980" w:right="0"/>
        </w:sectPr>
      </w:pPr>
    </w:p>
    <w:p>
      <w:pPr>
        <w:spacing w:line="240" w:lineRule="auto" w:before="7"/>
        <w:rPr>
          <w:rFonts w:ascii="宋体" w:hAnsi="宋体" w:cs="宋体" w:eastAsia="宋体" w:hint="default"/>
          <w:i/>
          <w:sz w:val="22"/>
          <w:szCs w:val="22"/>
        </w:rPr>
      </w:pPr>
    </w:p>
    <w:p>
      <w:pPr>
        <w:pStyle w:val="BodyText"/>
        <w:spacing w:line="312" w:lineRule="auto" w:before="36"/>
        <w:ind w:right="1133" w:firstLine="420"/>
        <w:jc w:val="left"/>
        <w:rPr>
          <w:rFonts w:ascii="宋体" w:hAnsi="宋体" w:cs="宋体" w:eastAsia="宋体" w:hint="default"/>
        </w:rPr>
      </w:pPr>
      <w:r>
        <w:rPr>
          <w:spacing w:val="-2"/>
        </w:rPr>
        <w:t>长远来看，公司主要发展是利用通讯、</w:t>
      </w:r>
      <w:r>
        <w:rPr>
          <w:rFonts w:ascii="宋体" w:hAnsi="宋体" w:cs="宋体" w:eastAsia="宋体" w:hint="default"/>
          <w:spacing w:val="-2"/>
        </w:rPr>
        <w:t>IT</w:t>
      </w:r>
      <w:r>
        <w:rPr>
          <w:spacing w:val="-2"/>
        </w:rPr>
        <w:t>技术等元素为基础，赋能于互联网和金融等多个行业。连接</w:t>
      </w:r>
      <w:r>
        <w:rPr>
          <w:w w:val="100"/>
        </w:rPr>
        <w:t> </w:t>
      </w:r>
      <w:r>
        <w:rPr/>
        <w:t>创造多应用场景。</w:t>
      </w:r>
      <w:r>
        <w:rPr>
          <w:rFonts w:ascii="宋体" w:hAnsi="宋体" w:cs="宋体" w:eastAsia="宋体" w:hint="default"/>
        </w:rPr>
        <w:t> </w:t>
      </w:r>
    </w:p>
    <w:p>
      <w:pPr>
        <w:pStyle w:val="Heading3"/>
        <w:spacing w:line="240" w:lineRule="auto" w:before="63"/>
        <w:ind w:left="289" w:right="1133"/>
        <w:jc w:val="left"/>
        <w:rPr>
          <w:rFonts w:ascii="宋体" w:hAnsi="宋体" w:cs="宋体" w:eastAsia="宋体" w:hint="default"/>
          <w:b w:val="0"/>
          <w:bCs w:val="0"/>
        </w:rPr>
      </w:pPr>
      <w:r>
        <w:rPr/>
        <w:t>图表 </w:t>
      </w:r>
      <w:r>
        <w:rPr>
          <w:rFonts w:ascii="宋体" w:hAnsi="宋体" w:cs="宋体" w:eastAsia="宋体" w:hint="default"/>
        </w:rPr>
      </w:r>
      <w:r>
        <w:rPr/>
        <w:t>上市公司的业务</w:t>
      </w:r>
      <w:r>
        <w:rPr>
          <w:rFonts w:ascii="宋体" w:hAnsi="宋体" w:cs="宋体" w:eastAsia="宋体" w:hint="default"/>
          <w:w w:val="99"/>
        </w:rPr>
        <w:t> </w:t>
      </w:r>
      <w:r>
        <w:rPr>
          <w:rFonts w:ascii="宋体" w:hAnsi="宋体" w:cs="宋体" w:eastAsia="宋体" w:hint="default"/>
          <w:b w:val="0"/>
          <w:bCs w:val="0"/>
        </w:rPr>
      </w:r>
    </w:p>
    <w:p>
      <w:pPr>
        <w:spacing w:line="240" w:lineRule="auto" w:before="8"/>
        <w:rPr>
          <w:rFonts w:ascii="宋体" w:hAnsi="宋体" w:cs="宋体" w:eastAsia="宋体" w:hint="default"/>
          <w:b/>
          <w:bCs/>
          <w:sz w:val="5"/>
          <w:szCs w:val="5"/>
        </w:rPr>
      </w:pPr>
    </w:p>
    <w:p>
      <w:pPr>
        <w:spacing w:line="4177" w:lineRule="exact"/>
        <w:ind w:left="172" w:right="0" w:firstLine="0"/>
        <w:rPr>
          <w:rFonts w:ascii="宋体" w:hAnsi="宋体" w:cs="宋体" w:eastAsia="宋体" w:hint="default"/>
          <w:sz w:val="20"/>
          <w:szCs w:val="20"/>
        </w:rPr>
      </w:pPr>
      <w:r>
        <w:rPr>
          <w:rFonts w:ascii="宋体" w:hAnsi="宋体" w:cs="宋体" w:eastAsia="宋体" w:hint="default"/>
          <w:position w:val="-83"/>
          <w:sz w:val="20"/>
          <w:szCs w:val="20"/>
        </w:rPr>
        <w:drawing>
          <wp:inline distT="0" distB="0" distL="0" distR="0">
            <wp:extent cx="5504096" cy="2652712"/>
            <wp:effectExtent l="0" t="0" r="0" b="0"/>
            <wp:docPr id="5" name="image4.png" descr=""/>
            <wp:cNvGraphicFramePr>
              <a:graphicFrameLocks noChangeAspect="1"/>
            </wp:cNvGraphicFramePr>
            <a:graphic>
              <a:graphicData uri="http://schemas.openxmlformats.org/drawingml/2006/picture">
                <pic:pic>
                  <pic:nvPicPr>
                    <pic:cNvPr id="6" name="image4.png"/>
                    <pic:cNvPicPr/>
                  </pic:nvPicPr>
                  <pic:blipFill>
                    <a:blip r:embed="rId15" cstate="print"/>
                    <a:stretch>
                      <a:fillRect/>
                    </a:stretch>
                  </pic:blipFill>
                  <pic:spPr>
                    <a:xfrm>
                      <a:off x="0" y="0"/>
                      <a:ext cx="5504096" cy="2652712"/>
                    </a:xfrm>
                    <a:prstGeom prst="rect">
                      <a:avLst/>
                    </a:prstGeom>
                  </pic:spPr>
                </pic:pic>
              </a:graphicData>
            </a:graphic>
          </wp:inline>
        </w:drawing>
      </w:r>
      <w:r>
        <w:rPr>
          <w:rFonts w:ascii="宋体" w:hAnsi="宋体" w:cs="宋体" w:eastAsia="宋体" w:hint="default"/>
          <w:position w:val="-83"/>
          <w:sz w:val="20"/>
          <w:szCs w:val="20"/>
        </w:rPr>
      </w:r>
    </w:p>
    <w:p>
      <w:pPr>
        <w:spacing w:before="63"/>
        <w:ind w:left="289" w:right="1133" w:firstLine="0"/>
        <w:jc w:val="left"/>
        <w:rPr>
          <w:rFonts w:ascii="宋体" w:hAnsi="宋体" w:cs="宋体" w:eastAsia="宋体" w:hint="default"/>
          <w:sz w:val="19"/>
          <w:szCs w:val="19"/>
        </w:rPr>
      </w:pPr>
      <w:r>
        <w:rPr>
          <w:rFonts w:ascii="宋体" w:hAnsi="宋体" w:cs="宋体" w:eastAsia="宋体" w:hint="default"/>
          <w:i/>
          <w:sz w:val="19"/>
          <w:szCs w:val="19"/>
        </w:rPr>
        <w:t>资料来源：中嘉博创</w:t>
      </w:r>
      <w:r>
        <w:rPr>
          <w:rFonts w:ascii="宋体" w:hAnsi="宋体" w:cs="宋体" w:eastAsia="宋体" w:hint="default"/>
          <w:i/>
          <w:sz w:val="19"/>
          <w:szCs w:val="19"/>
        </w:rPr>
        <w:t> </w:t>
      </w:r>
      <w:r>
        <w:rPr>
          <w:rFonts w:ascii="宋体" w:hAnsi="宋体" w:cs="宋体" w:eastAsia="宋体" w:hint="default"/>
          <w:sz w:val="19"/>
          <w:szCs w:val="19"/>
        </w:rPr>
      </w:r>
    </w:p>
    <w:p>
      <w:pPr>
        <w:spacing w:line="240" w:lineRule="auto" w:before="6"/>
        <w:rPr>
          <w:rFonts w:ascii="宋体" w:hAnsi="宋体" w:cs="宋体" w:eastAsia="宋体" w:hint="default"/>
          <w:i/>
          <w:sz w:val="16"/>
          <w:szCs w:val="16"/>
        </w:rPr>
      </w:pPr>
    </w:p>
    <w:p>
      <w:pPr>
        <w:pStyle w:val="Heading3"/>
        <w:spacing w:line="240" w:lineRule="auto"/>
        <w:ind w:right="1133"/>
        <w:jc w:val="left"/>
        <w:rPr>
          <w:rFonts w:ascii="宋体" w:hAnsi="宋体" w:cs="宋体" w:eastAsia="宋体" w:hint="default"/>
          <w:b w:val="0"/>
          <w:bCs w:val="0"/>
        </w:rPr>
      </w:pPr>
      <w:r>
        <w:rPr>
          <w:rFonts w:ascii="宋体" w:hAnsi="宋体" w:cs="宋体" w:eastAsia="宋体" w:hint="default"/>
          <w:w w:val="99"/>
        </w:rPr>
        <w:t>    </w:t>
      </w:r>
      <w:r>
        <w:rPr/>
        <w:t>三、</w:t>
      </w:r>
      <w:r>
        <w:rPr>
          <w:rFonts w:ascii="宋体" w:hAnsi="宋体" w:cs="宋体" w:eastAsia="宋体" w:hint="default"/>
        </w:rPr>
        <w:t>2019</w:t>
      </w:r>
      <w:r>
        <w:rPr/>
        <w:t>年行业回顾及</w:t>
      </w:r>
      <w:r>
        <w:rPr>
          <w:rFonts w:ascii="宋体" w:hAnsi="宋体" w:cs="宋体" w:eastAsia="宋体" w:hint="default"/>
        </w:rPr>
        <w:t>2020</w:t>
      </w:r>
      <w:r>
        <w:rPr/>
        <w:t>年展望</w:t>
      </w:r>
      <w:r>
        <w:rPr>
          <w:rFonts w:ascii="宋体" w:hAnsi="宋体" w:cs="宋体" w:eastAsia="宋体" w:hint="default"/>
          <w:w w:val="99"/>
        </w:rPr>
        <w:t> </w:t>
      </w:r>
      <w:r>
        <w:rPr>
          <w:rFonts w:ascii="宋体" w:hAnsi="宋体" w:cs="宋体" w:eastAsia="宋体" w:hint="default"/>
          <w:b w:val="0"/>
          <w:bCs w:val="0"/>
        </w:rPr>
      </w:r>
    </w:p>
    <w:p>
      <w:pPr>
        <w:spacing w:line="348" w:lineRule="auto" w:before="123"/>
        <w:ind w:left="573" w:right="4490" w:firstLine="0"/>
        <w:jc w:val="left"/>
        <w:rPr>
          <w:rFonts w:ascii="宋体" w:hAnsi="宋体" w:cs="宋体" w:eastAsia="宋体" w:hint="default"/>
          <w:sz w:val="21"/>
          <w:szCs w:val="21"/>
        </w:rPr>
      </w:pPr>
      <w:r>
        <w:rPr>
          <w:rFonts w:ascii="宋体" w:hAnsi="宋体" w:cs="宋体" w:eastAsia="宋体" w:hint="default"/>
          <w:b/>
          <w:bCs/>
          <w:sz w:val="21"/>
          <w:szCs w:val="21"/>
        </w:rPr>
        <w:t>（一）企业短信行业</w:t>
      </w:r>
      <w:r>
        <w:rPr>
          <w:rFonts w:ascii="宋体" w:hAnsi="宋体" w:cs="宋体" w:eastAsia="宋体" w:hint="default"/>
          <w:b/>
          <w:bCs/>
          <w:w w:val="99"/>
          <w:sz w:val="21"/>
          <w:szCs w:val="21"/>
        </w:rPr>
        <w:t> </w:t>
      </w:r>
      <w:r>
        <w:rPr>
          <w:rFonts w:ascii="宋体" w:hAnsi="宋体" w:cs="宋体" w:eastAsia="宋体" w:hint="default"/>
          <w:sz w:val="21"/>
          <w:szCs w:val="21"/>
        </w:rPr>
        <w:t>企业短信的收入影响因素主要由发送量和价格所构成。</w:t>
      </w:r>
      <w:r>
        <w:rPr>
          <w:rFonts w:ascii="宋体" w:hAnsi="宋体" w:cs="宋体" w:eastAsia="宋体" w:hint="default"/>
          <w:w w:val="100"/>
          <w:sz w:val="21"/>
          <w:szCs w:val="21"/>
        </w:rPr>
        <w:t> </w:t>
      </w:r>
      <w:r>
        <w:rPr>
          <w:rFonts w:ascii="宋体" w:hAnsi="宋体" w:cs="宋体" w:eastAsia="宋体" w:hint="default"/>
          <w:b/>
          <w:bCs/>
          <w:sz w:val="21"/>
          <w:szCs w:val="21"/>
        </w:rPr>
        <w:t>1</w:t>
      </w:r>
      <w:r>
        <w:rPr>
          <w:rFonts w:ascii="宋体" w:hAnsi="宋体" w:cs="宋体" w:eastAsia="宋体" w:hint="default"/>
          <w:b/>
          <w:bCs/>
          <w:sz w:val="21"/>
          <w:szCs w:val="21"/>
        </w:rPr>
        <w:t>、发送量</w:t>
      </w:r>
      <w:r>
        <w:rPr>
          <w:rFonts w:ascii="宋体" w:hAnsi="宋体" w:cs="宋体" w:eastAsia="宋体" w:hint="default"/>
          <w:b/>
          <w:bCs/>
          <w:w w:val="99"/>
          <w:sz w:val="21"/>
          <w:szCs w:val="21"/>
        </w:rPr>
        <w:t> </w:t>
      </w:r>
      <w:r>
        <w:rPr>
          <w:rFonts w:ascii="宋体" w:hAnsi="宋体" w:cs="宋体" w:eastAsia="宋体" w:hint="default"/>
          <w:sz w:val="21"/>
          <w:szCs w:val="21"/>
        </w:rPr>
      </w:r>
    </w:p>
    <w:p>
      <w:pPr>
        <w:pStyle w:val="BodyText"/>
        <w:spacing w:line="324" w:lineRule="auto" w:before="50"/>
        <w:ind w:right="1133" w:firstLine="420"/>
        <w:jc w:val="left"/>
        <w:rPr>
          <w:rFonts w:ascii="宋体" w:hAnsi="宋体" w:cs="宋体" w:eastAsia="宋体" w:hint="default"/>
        </w:rPr>
      </w:pPr>
      <w:r>
        <w:rPr/>
        <w:pict>
          <v:group style="position:absolute;margin-left:57.600021pt;margin-top:74.423721pt;width:454.2pt;height:189.5pt;mso-position-horizontal-relative:page;mso-position-vertical-relative:paragraph;z-index:-1013608" coordorigin="1152,1488" coordsize="9084,3790">
            <v:group style="position:absolute;left:1162;top:1498;width:9065;height:2" coordorigin="1162,1498" coordsize="9065,2">
              <v:shape style="position:absolute;left:1162;top:1498;width:9065;height:2" coordorigin="1162,1498" coordsize="9065,0" path="m1162,1498l10226,1498e" filled="false" stroked="true" strokeweight=".95996pt" strokecolor="#336699">
                <v:path arrowok="t"/>
              </v:shape>
              <v:shape style="position:absolute;left:1187;top:1508;width:8041;height:3742" type="#_x0000_t75" stroked="false">
                <v:imagedata r:id="rId16" o:title=""/>
              </v:shape>
              <v:shape style="position:absolute;left:1162;top:5098;width:9065;height:180" type="#_x0000_t202" filled="false" stroked="false">
                <v:textbox inset="0,0,0,0">
                  <w:txbxContent>
                    <w:p>
                      <w:pPr>
                        <w:tabs>
                          <w:tab w:pos="8065" w:val="left" w:leader="none"/>
                          <w:tab w:pos="9064" w:val="left" w:leader="none"/>
                        </w:tabs>
                        <w:spacing w:line="180" w:lineRule="exact" w:before="0"/>
                        <w:ind w:left="0" w:right="0" w:firstLine="0"/>
                        <w:jc w:val="left"/>
                        <w:rPr>
                          <w:rFonts w:ascii="宋体" w:hAnsi="宋体" w:cs="宋体" w:eastAsia="宋体" w:hint="default"/>
                          <w:sz w:val="18"/>
                          <w:szCs w:val="18"/>
                        </w:rPr>
                      </w:pPr>
                      <w:r>
                        <w:rPr>
                          <w:rFonts w:ascii="宋体"/>
                          <w:sz w:val="18"/>
                        </w:rPr>
                      </w:r>
                      <w:r>
                        <w:rPr>
                          <w:rFonts w:ascii="宋体"/>
                          <w:sz w:val="18"/>
                          <w:u w:val="single" w:color="336699"/>
                        </w:rPr>
                        <w:t> </w:t>
                        <w:tab/>
                        <w:t> </w:t>
                        <w:tab/>
                      </w:r>
                      <w:r>
                        <w:rPr>
                          <w:rFonts w:ascii="宋体"/>
                          <w:sz w:val="18"/>
                        </w:rPr>
                      </w:r>
                    </w:p>
                  </w:txbxContent>
                </v:textbox>
                <w10:wrap type="none"/>
              </v:shape>
            </v:group>
            <w10:wrap type="none"/>
          </v:group>
        </w:pict>
      </w:r>
      <w:r>
        <w:rPr>
          <w:spacing w:val="-7"/>
        </w:rPr>
        <w:t>作为移动互联网工具服务提供商，跟随行业同步增长，根据工信部披露的数据，这一增长趋势在加速。</w:t>
      </w:r>
      <w:r>
        <w:rPr>
          <w:w w:val="100"/>
        </w:rPr>
        <w:t> </w:t>
      </w:r>
      <w:r>
        <w:rPr>
          <w:spacing w:val="-2"/>
        </w:rPr>
        <w:t>网络登录和用户身份认证等安全相关服务不断渗透，大幅提升移动短信业务量。</w:t>
      </w:r>
      <w:r>
        <w:rPr>
          <w:rFonts w:ascii="宋体" w:hAnsi="宋体" w:cs="宋体" w:eastAsia="宋体" w:hint="default"/>
          <w:spacing w:val="-2"/>
        </w:rPr>
        <w:t>2019</w:t>
      </w:r>
      <w:r>
        <w:rPr>
          <w:spacing w:val="-2"/>
        </w:rPr>
        <w:t>年，全国移动短信业</w:t>
      </w:r>
      <w:r>
        <w:rPr>
          <w:spacing w:val="-39"/>
        </w:rPr>
        <w:t> </w:t>
      </w:r>
      <w:r>
        <w:rPr>
          <w:spacing w:val="-39"/>
        </w:rPr>
      </w:r>
      <w:r>
        <w:rPr/>
        <w:t>务量比上年增长</w:t>
      </w:r>
      <w:r>
        <w:rPr>
          <w:rFonts w:ascii="宋体" w:hAnsi="宋体" w:cs="宋体" w:eastAsia="宋体" w:hint="default"/>
        </w:rPr>
        <w:t>37.5%</w:t>
      </w:r>
      <w:r>
        <w:rPr/>
        <w:t>，增速较上年提高</w:t>
      </w:r>
      <w:r>
        <w:rPr>
          <w:rFonts w:ascii="宋体" w:hAnsi="宋体" w:cs="宋体" w:eastAsia="宋体" w:hint="default"/>
        </w:rPr>
        <w:t>23.5</w:t>
      </w:r>
      <w:r>
        <w:rPr/>
        <w:t>个百分点；移动短信业务收入完成</w:t>
      </w:r>
      <w:r>
        <w:rPr>
          <w:rFonts w:ascii="宋体" w:hAnsi="宋体" w:cs="宋体" w:eastAsia="宋体" w:hint="default"/>
        </w:rPr>
        <w:t>392</w:t>
      </w:r>
      <w:r>
        <w:rPr/>
        <w:t>亿元，与上年持平。</w:t>
      </w:r>
      <w:r>
        <w:rPr>
          <w:rFonts w:ascii="宋体" w:hAnsi="宋体" w:cs="宋体" w:eastAsia="宋体" w:hint="default"/>
          <w:w w:val="100"/>
        </w:rPr>
        <w:t> </w:t>
      </w:r>
      <w:r>
        <w:rPr>
          <w:rFonts w:ascii="宋体" w:hAnsi="宋体" w:cs="宋体" w:eastAsia="宋体" w:hint="default"/>
          <w:b/>
          <w:bCs/>
        </w:rPr>
        <w:t>图表</w:t>
      </w:r>
      <w:r>
        <w:rPr>
          <w:rFonts w:ascii="宋体" w:hAnsi="宋体" w:cs="宋体" w:eastAsia="宋体" w:hint="default"/>
          <w:b/>
          <w:bCs/>
          <w:spacing w:val="-3"/>
        </w:rPr>
        <w:t> </w:t>
      </w:r>
      <w:r>
        <w:rPr>
          <w:rFonts w:ascii="宋体" w:hAnsi="宋体" w:cs="宋体" w:eastAsia="宋体" w:hint="default"/>
          <w:b/>
          <w:bCs/>
          <w:spacing w:val="-3"/>
        </w:rPr>
      </w:r>
      <w:r>
        <w:rPr>
          <w:rFonts w:ascii="宋体" w:hAnsi="宋体" w:cs="宋体" w:eastAsia="宋体" w:hint="default"/>
          <w:b/>
          <w:bCs/>
        </w:rPr>
        <w:t>工信部短信行业数据</w:t>
      </w:r>
      <w:r>
        <w:rPr>
          <w:rFonts w:ascii="宋体" w:hAnsi="宋体" w:cs="宋体" w:eastAsia="宋体" w:hint="default"/>
          <w:b/>
          <w:bCs/>
          <w:w w:val="99"/>
        </w:rPr>
        <w:t> </w:t>
      </w:r>
      <w:r>
        <w:rPr>
          <w:rFonts w:ascii="宋体" w:hAnsi="宋体" w:cs="宋体" w:eastAsia="宋体" w:hint="default"/>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4"/>
          <w:szCs w:val="24"/>
        </w:rPr>
      </w:pPr>
    </w:p>
    <w:p>
      <w:pPr>
        <w:spacing w:before="41"/>
        <w:ind w:left="289" w:right="1133" w:firstLine="0"/>
        <w:jc w:val="left"/>
        <w:rPr>
          <w:rFonts w:ascii="宋体" w:hAnsi="宋体" w:cs="宋体" w:eastAsia="宋体" w:hint="default"/>
          <w:sz w:val="19"/>
          <w:szCs w:val="19"/>
        </w:rPr>
      </w:pPr>
      <w:r>
        <w:rPr>
          <w:rFonts w:ascii="宋体" w:hAnsi="宋体" w:cs="宋体" w:eastAsia="宋体" w:hint="default"/>
          <w:i/>
          <w:w w:val="95"/>
          <w:sz w:val="19"/>
          <w:szCs w:val="19"/>
        </w:rPr>
        <w:t>资料来源：工信部官网</w:t>
      </w:r>
      <w:r>
        <w:rPr>
          <w:rFonts w:ascii="宋体" w:hAnsi="宋体" w:cs="宋体" w:eastAsia="宋体" w:hint="default"/>
          <w:i/>
          <w:spacing w:val="-45"/>
          <w:w w:val="95"/>
          <w:sz w:val="19"/>
          <w:szCs w:val="19"/>
        </w:rPr>
        <w:t> </w:t>
      </w:r>
      <w:r>
        <w:rPr>
          <w:rFonts w:ascii="宋体" w:hAnsi="宋体" w:cs="宋体" w:eastAsia="宋体" w:hint="default"/>
          <w:i/>
          <w:spacing w:val="-45"/>
          <w:w w:val="95"/>
          <w:sz w:val="19"/>
          <w:szCs w:val="19"/>
        </w:rPr>
      </w:r>
      <w:hyperlink r:id="rId17">
        <w:r>
          <w:rPr>
            <w:rFonts w:ascii="宋体" w:hAnsi="宋体" w:cs="宋体" w:eastAsia="宋体" w:hint="default"/>
            <w:i/>
            <w:w w:val="95"/>
            <w:sz w:val="19"/>
            <w:szCs w:val="19"/>
          </w:rPr>
          <w:t>http://www.miit.gov.cn/n1146312/n1146904/n1648372/c7696411/content.html</w:t>
        </w:r>
      </w:hyperlink>
      <w:r>
        <w:rPr>
          <w:rFonts w:ascii="宋体" w:hAnsi="宋体" w:cs="宋体" w:eastAsia="宋体" w:hint="default"/>
          <w:i/>
          <w:w w:val="95"/>
          <w:sz w:val="19"/>
          <w:szCs w:val="19"/>
        </w:rPr>
        <w:t> </w:t>
      </w:r>
      <w:r>
        <w:rPr>
          <w:rFonts w:ascii="宋体" w:hAnsi="宋体" w:cs="宋体" w:eastAsia="宋体" w:hint="default"/>
          <w:sz w:val="19"/>
          <w:szCs w:val="19"/>
        </w:rPr>
      </w:r>
    </w:p>
    <w:p>
      <w:pPr>
        <w:spacing w:line="240" w:lineRule="auto" w:before="12"/>
        <w:rPr>
          <w:rFonts w:ascii="宋体" w:hAnsi="宋体" w:cs="宋体" w:eastAsia="宋体" w:hint="default"/>
          <w:i/>
          <w:sz w:val="19"/>
          <w:szCs w:val="19"/>
        </w:rPr>
      </w:pPr>
    </w:p>
    <w:p>
      <w:pPr>
        <w:pStyle w:val="BodyText"/>
        <w:spacing w:line="240" w:lineRule="auto" w:before="36"/>
        <w:ind w:left="573" w:right="1133"/>
        <w:jc w:val="left"/>
        <w:rPr>
          <w:rFonts w:ascii="宋体" w:hAnsi="宋体" w:cs="宋体" w:eastAsia="宋体" w:hint="default"/>
        </w:rPr>
      </w:pPr>
      <w:r>
        <w:rPr/>
        <w:t>从收入规模体量来看，公司的业务在目前全国排名第一梯队，在行业地位一直保持相对稳定。</w:t>
      </w:r>
      <w:r>
        <w:rPr>
          <w:rFonts w:ascii="宋体" w:hAnsi="宋体" w:cs="宋体" w:eastAsia="宋体" w:hint="default"/>
        </w:rPr>
        <w:t> </w:t>
      </w:r>
    </w:p>
    <w:p>
      <w:pPr>
        <w:spacing w:after="0" w:line="240" w:lineRule="auto"/>
        <w:jc w:val="left"/>
        <w:rPr>
          <w:rFonts w:ascii="宋体" w:hAnsi="宋体" w:cs="宋体" w:eastAsia="宋体" w:hint="default"/>
        </w:rPr>
        <w:sectPr>
          <w:pgSz w:w="11910" w:h="16840"/>
          <w:pgMar w:header="880" w:footer="975" w:top="1100" w:bottom="1160" w:left="980" w:right="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pStyle w:val="Heading3"/>
        <w:spacing w:line="240" w:lineRule="auto"/>
        <w:ind w:left="289" w:right="1133"/>
        <w:jc w:val="left"/>
        <w:rPr>
          <w:rFonts w:ascii="宋体" w:hAnsi="宋体" w:cs="宋体" w:eastAsia="宋体" w:hint="default"/>
          <w:b w:val="0"/>
          <w:bCs w:val="0"/>
        </w:rPr>
      </w:pPr>
      <w:r>
        <w:rPr/>
        <w:t>图表</w:t>
      </w:r>
      <w:r>
        <w:rPr>
          <w:spacing w:val="-3"/>
        </w:rPr>
        <w:t> </w:t>
      </w:r>
      <w:r>
        <w:rPr>
          <w:rFonts w:ascii="宋体" w:hAnsi="宋体" w:cs="宋体" w:eastAsia="宋体" w:hint="default"/>
          <w:spacing w:val="-3"/>
        </w:rPr>
      </w:r>
      <w:r>
        <w:rPr/>
        <w:t>企业短信公司对比</w:t>
      </w:r>
      <w:r>
        <w:rPr>
          <w:rFonts w:ascii="宋体" w:hAnsi="宋体" w:cs="宋体" w:eastAsia="宋体" w:hint="default"/>
          <w:w w:val="99"/>
        </w:rPr>
        <w:t> </w:t>
      </w:r>
      <w:r>
        <w:rPr>
          <w:rFonts w:ascii="宋体" w:hAnsi="宋体" w:cs="宋体" w:eastAsia="宋体" w:hint="default"/>
          <w:b w:val="0"/>
          <w:bCs w:val="0"/>
        </w:rPr>
      </w:r>
    </w:p>
    <w:p>
      <w:pPr>
        <w:spacing w:line="240" w:lineRule="auto" w:before="9"/>
        <w:rPr>
          <w:rFonts w:ascii="宋体" w:hAnsi="宋体" w:cs="宋体" w:eastAsia="宋体" w:hint="default"/>
          <w:b/>
          <w:bCs/>
          <w:sz w:val="5"/>
          <w:szCs w:val="5"/>
        </w:rPr>
      </w:pPr>
    </w:p>
    <w:p>
      <w:pPr>
        <w:spacing w:line="20" w:lineRule="exact"/>
        <w:ind w:left="172" w:right="0" w:firstLine="0"/>
        <w:rPr>
          <w:rFonts w:ascii="宋体" w:hAnsi="宋体" w:cs="宋体" w:eastAsia="宋体" w:hint="default"/>
          <w:sz w:val="2"/>
          <w:szCs w:val="2"/>
        </w:rPr>
      </w:pPr>
      <w:r>
        <w:rPr>
          <w:rFonts w:ascii="宋体" w:hAnsi="宋体" w:cs="宋体" w:eastAsia="宋体" w:hint="default"/>
          <w:sz w:val="2"/>
          <w:szCs w:val="2"/>
        </w:rPr>
        <w:pict>
          <v:group style="width:482.15pt;height:1pt;mso-position-horizontal-relative:char;mso-position-vertical-relative:line" coordorigin="0,0" coordsize="9643,20">
            <v:group style="position:absolute;left:10;top:10;width:9624;height:2" coordorigin="10,10" coordsize="9624,2">
              <v:shape style="position:absolute;left:10;top:10;width:9624;height:2" coordorigin="10,10" coordsize="9624,0" path="m10,10l9633,10e" filled="false" stroked="true" strokeweight=".96pt" strokecolor="#336699">
                <v:path arrowok="t"/>
              </v:shape>
            </v:group>
          </v:group>
        </w:pict>
      </w:r>
      <w:r>
        <w:rPr>
          <w:rFonts w:ascii="宋体" w:hAnsi="宋体" w:cs="宋体" w:eastAsia="宋体" w:hint="default"/>
          <w:sz w:val="2"/>
          <w:szCs w:val="2"/>
        </w:rPr>
      </w:r>
    </w:p>
    <w:p>
      <w:pPr>
        <w:spacing w:line="240" w:lineRule="auto" w:before="4"/>
        <w:rPr>
          <w:rFonts w:ascii="宋体" w:hAnsi="宋体" w:cs="宋体" w:eastAsia="宋体" w:hint="default"/>
          <w:b/>
          <w:bCs/>
          <w:sz w:val="13"/>
          <w:szCs w:val="13"/>
        </w:rPr>
      </w:pPr>
    </w:p>
    <w:p>
      <w:pPr>
        <w:spacing w:line="3780" w:lineRule="exact"/>
        <w:ind w:left="207" w:right="0" w:firstLine="0"/>
        <w:rPr>
          <w:rFonts w:ascii="宋体" w:hAnsi="宋体" w:cs="宋体" w:eastAsia="宋体" w:hint="default"/>
          <w:sz w:val="20"/>
          <w:szCs w:val="20"/>
        </w:rPr>
      </w:pPr>
      <w:r>
        <w:rPr>
          <w:rFonts w:ascii="宋体" w:hAnsi="宋体" w:cs="宋体" w:eastAsia="宋体" w:hint="default"/>
          <w:position w:val="-75"/>
          <w:sz w:val="20"/>
          <w:szCs w:val="20"/>
        </w:rPr>
        <w:drawing>
          <wp:inline distT="0" distB="0" distL="0" distR="0">
            <wp:extent cx="6019438" cy="2400300"/>
            <wp:effectExtent l="0" t="0" r="0" b="0"/>
            <wp:docPr id="7" name="image6.png" descr=""/>
            <wp:cNvGraphicFramePr>
              <a:graphicFrameLocks noChangeAspect="1"/>
            </wp:cNvGraphicFramePr>
            <a:graphic>
              <a:graphicData uri="http://schemas.openxmlformats.org/drawingml/2006/picture">
                <pic:pic>
                  <pic:nvPicPr>
                    <pic:cNvPr id="8" name="image6.png"/>
                    <pic:cNvPicPr/>
                  </pic:nvPicPr>
                  <pic:blipFill>
                    <a:blip r:embed="rId18" cstate="print"/>
                    <a:stretch>
                      <a:fillRect/>
                    </a:stretch>
                  </pic:blipFill>
                  <pic:spPr>
                    <a:xfrm>
                      <a:off x="0" y="0"/>
                      <a:ext cx="6019438" cy="2400300"/>
                    </a:xfrm>
                    <a:prstGeom prst="rect">
                      <a:avLst/>
                    </a:prstGeom>
                  </pic:spPr>
                </pic:pic>
              </a:graphicData>
            </a:graphic>
          </wp:inline>
        </w:drawing>
      </w:r>
      <w:r>
        <w:rPr>
          <w:rFonts w:ascii="宋体" w:hAnsi="宋体" w:cs="宋体" w:eastAsia="宋体" w:hint="default"/>
          <w:position w:val="-75"/>
          <w:sz w:val="20"/>
          <w:szCs w:val="20"/>
        </w:rPr>
      </w:r>
    </w:p>
    <w:p>
      <w:pPr>
        <w:spacing w:line="240" w:lineRule="auto" w:before="13"/>
        <w:rPr>
          <w:rFonts w:ascii="宋体" w:hAnsi="宋体" w:cs="宋体" w:eastAsia="宋体" w:hint="default"/>
          <w:b/>
          <w:bCs/>
          <w:sz w:val="13"/>
          <w:szCs w:val="13"/>
        </w:rPr>
      </w:pPr>
    </w:p>
    <w:p>
      <w:pPr>
        <w:spacing w:line="20" w:lineRule="exact"/>
        <w:ind w:left="172" w:right="0" w:firstLine="0"/>
        <w:rPr>
          <w:rFonts w:ascii="宋体" w:hAnsi="宋体" w:cs="宋体" w:eastAsia="宋体" w:hint="default"/>
          <w:sz w:val="2"/>
          <w:szCs w:val="2"/>
        </w:rPr>
      </w:pPr>
      <w:r>
        <w:rPr>
          <w:rFonts w:ascii="宋体" w:hAnsi="宋体" w:cs="宋体" w:eastAsia="宋体" w:hint="default"/>
          <w:sz w:val="2"/>
          <w:szCs w:val="2"/>
        </w:rPr>
        <w:pict>
          <v:group style="width:482.15pt;height:1pt;mso-position-horizontal-relative:char;mso-position-vertical-relative:line" coordorigin="0,0" coordsize="9643,20">
            <v:group style="position:absolute;left:10;top:10;width:9624;height:2" coordorigin="10,10" coordsize="9624,2">
              <v:shape style="position:absolute;left:10;top:10;width:9624;height:2" coordorigin="10,10" coordsize="9624,0" path="m10,10l9633,10e" filled="false" stroked="true" strokeweight=".96002pt" strokecolor="#336699">
                <v:path arrowok="t"/>
              </v:shape>
            </v:group>
          </v:group>
        </w:pict>
      </w:r>
      <w:r>
        <w:rPr>
          <w:rFonts w:ascii="宋体" w:hAnsi="宋体" w:cs="宋体" w:eastAsia="宋体" w:hint="default"/>
          <w:sz w:val="2"/>
          <w:szCs w:val="2"/>
        </w:rPr>
      </w:r>
    </w:p>
    <w:p>
      <w:pPr>
        <w:spacing w:before="63"/>
        <w:ind w:left="289" w:right="1133" w:firstLine="0"/>
        <w:jc w:val="left"/>
        <w:rPr>
          <w:rFonts w:ascii="宋体" w:hAnsi="宋体" w:cs="宋体" w:eastAsia="宋体" w:hint="default"/>
          <w:sz w:val="19"/>
          <w:szCs w:val="19"/>
        </w:rPr>
      </w:pPr>
      <w:r>
        <w:rPr>
          <w:rFonts w:ascii="宋体" w:hAnsi="宋体" w:cs="宋体" w:eastAsia="宋体" w:hint="default"/>
          <w:i/>
          <w:w w:val="95"/>
          <w:sz w:val="19"/>
          <w:szCs w:val="19"/>
        </w:rPr>
        <w:t>资料来源：各上市公司年报 </w:t>
      </w:r>
      <w:r>
        <w:rPr>
          <w:rFonts w:ascii="宋体" w:hAnsi="宋体" w:cs="宋体" w:eastAsia="宋体" w:hint="default"/>
          <w:i/>
          <w:w w:val="95"/>
          <w:sz w:val="19"/>
          <w:szCs w:val="19"/>
        </w:rPr>
      </w:r>
      <w:r>
        <w:rPr>
          <w:rFonts w:ascii="宋体" w:hAnsi="宋体" w:cs="宋体" w:eastAsia="宋体" w:hint="default"/>
          <w:i/>
          <w:w w:val="95"/>
          <w:sz w:val="19"/>
          <w:szCs w:val="19"/>
        </w:rPr>
        <w:t>，</w:t>
      </w:r>
      <w:r>
        <w:rPr>
          <w:rFonts w:ascii="宋体" w:hAnsi="宋体" w:cs="宋体" w:eastAsia="宋体" w:hint="default"/>
          <w:i/>
          <w:w w:val="95"/>
          <w:sz w:val="19"/>
          <w:szCs w:val="19"/>
        </w:rPr>
        <w:t>2019</w:t>
      </w:r>
      <w:r>
        <w:rPr>
          <w:rFonts w:ascii="宋体" w:hAnsi="宋体" w:cs="宋体" w:eastAsia="宋体" w:hint="default"/>
          <w:i/>
          <w:spacing w:val="-63"/>
          <w:w w:val="95"/>
          <w:sz w:val="19"/>
          <w:szCs w:val="19"/>
        </w:rPr>
        <w:t> </w:t>
      </w:r>
      <w:r>
        <w:rPr>
          <w:rFonts w:ascii="宋体" w:hAnsi="宋体" w:cs="宋体" w:eastAsia="宋体" w:hint="default"/>
          <w:i/>
          <w:w w:val="95"/>
          <w:sz w:val="19"/>
          <w:szCs w:val="19"/>
        </w:rPr>
        <w:t>年由于其他数据没有披露，以中报数据供参考</w:t>
      </w:r>
      <w:r>
        <w:rPr>
          <w:rFonts w:ascii="宋体" w:hAnsi="宋体" w:cs="宋体" w:eastAsia="宋体" w:hint="default"/>
          <w:i/>
          <w:w w:val="95"/>
          <w:sz w:val="19"/>
          <w:szCs w:val="19"/>
        </w:rPr>
        <w:t> </w:t>
      </w:r>
      <w:r>
        <w:rPr>
          <w:rFonts w:ascii="宋体" w:hAnsi="宋体" w:cs="宋体" w:eastAsia="宋体" w:hint="default"/>
          <w:sz w:val="19"/>
          <w:szCs w:val="19"/>
        </w:rPr>
      </w:r>
    </w:p>
    <w:p>
      <w:pPr>
        <w:spacing w:line="240" w:lineRule="auto" w:before="6"/>
        <w:rPr>
          <w:rFonts w:ascii="宋体" w:hAnsi="宋体" w:cs="宋体" w:eastAsia="宋体" w:hint="default"/>
          <w:i/>
          <w:sz w:val="20"/>
          <w:szCs w:val="20"/>
        </w:rPr>
      </w:pPr>
    </w:p>
    <w:p>
      <w:pPr>
        <w:pStyle w:val="Heading3"/>
        <w:tabs>
          <w:tab w:pos="573" w:val="left" w:leader="none"/>
        </w:tabs>
        <w:spacing w:line="240" w:lineRule="auto"/>
        <w:ind w:right="1133"/>
        <w:jc w:val="left"/>
        <w:rPr>
          <w:rFonts w:ascii="宋体" w:hAnsi="宋体" w:cs="宋体" w:eastAsia="宋体" w:hint="default"/>
          <w:b w:val="0"/>
          <w:bCs w:val="0"/>
        </w:rPr>
      </w:pPr>
      <w:r>
        <w:rPr>
          <w:rFonts w:ascii="宋体" w:hAnsi="宋体" w:cs="宋体" w:eastAsia="宋体" w:hint="default"/>
          <w:w w:val="99"/>
        </w:rPr>
        <w:t>  </w:t>
      </w:r>
      <w:r>
        <w:rPr>
          <w:rFonts w:ascii="宋体" w:hAnsi="宋体" w:cs="宋体" w:eastAsia="宋体" w:hint="default"/>
        </w:rPr>
        <w:tab/>
        <w:t>2</w:t>
      </w:r>
      <w:r>
        <w:rPr/>
        <w:t>、价格的影响导致行业毛利率下降，有望企稳回升</w:t>
      </w:r>
      <w:r>
        <w:rPr>
          <w:rFonts w:ascii="宋体" w:hAnsi="宋体" w:cs="宋体" w:eastAsia="宋体" w:hint="default"/>
          <w:w w:val="99"/>
        </w:rPr>
        <w:t> </w:t>
      </w:r>
      <w:r>
        <w:rPr>
          <w:rFonts w:ascii="宋体" w:hAnsi="宋体" w:cs="宋体" w:eastAsia="宋体" w:hint="default"/>
          <w:b w:val="0"/>
          <w:bCs w:val="0"/>
        </w:rPr>
      </w:r>
    </w:p>
    <w:p>
      <w:pPr>
        <w:pStyle w:val="BodyText"/>
        <w:spacing w:line="273" w:lineRule="auto" w:before="97"/>
        <w:ind w:right="1126" w:firstLine="420"/>
        <w:jc w:val="both"/>
        <w:rPr>
          <w:rFonts w:ascii="宋体" w:hAnsi="宋体" w:cs="宋体" w:eastAsia="宋体" w:hint="default"/>
        </w:rPr>
      </w:pPr>
      <w:r>
        <w:rPr/>
        <w:t>从工信部披露的数据来看，虽然短信量增长了</w:t>
      </w:r>
      <w:r>
        <w:rPr>
          <w:rFonts w:ascii="宋体" w:hAnsi="宋体" w:cs="宋体" w:eastAsia="宋体" w:hint="default"/>
        </w:rPr>
        <w:t>37.5%,</w:t>
      </w:r>
      <w:r>
        <w:rPr/>
        <w:t>但收入只增长了</w:t>
      </w:r>
      <w:r>
        <w:rPr>
          <w:rFonts w:ascii="宋体" w:hAnsi="宋体" w:cs="宋体" w:eastAsia="宋体" w:hint="default"/>
        </w:rPr>
        <w:t>0.02%</w:t>
      </w:r>
      <w:r>
        <w:rPr/>
        <w:t>。也就意味着价格没有跟</w:t>
      </w:r>
      <w:r>
        <w:rPr>
          <w:w w:val="100"/>
        </w:rPr>
        <w:t> </w:t>
      </w:r>
      <w:r>
        <w:rPr>
          <w:spacing w:val="-2"/>
        </w:rPr>
        <w:t>随业务一起增长。售价方面：随着大客户的规模越来越大，市场竞争加剧，短信的价格在过去几年价格不</w:t>
      </w:r>
      <w:r>
        <w:rPr>
          <w:spacing w:val="-47"/>
        </w:rPr>
        <w:t> </w:t>
      </w:r>
      <w:r>
        <w:rPr>
          <w:spacing w:val="-47"/>
        </w:rPr>
      </w:r>
      <w:r>
        <w:rPr>
          <w:spacing w:val="-2"/>
        </w:rPr>
        <w:t>断下降。从今年目前的情况来看，价格开始企稳回升，客户也开始接受涨价。成本方面：由于运营商政策</w:t>
      </w:r>
      <w:r>
        <w:rPr>
          <w:spacing w:val="-43"/>
        </w:rPr>
        <w:t> </w:t>
      </w:r>
      <w:r>
        <w:rPr>
          <w:spacing w:val="-43"/>
        </w:rPr>
      </w:r>
      <w:r>
        <w:rPr>
          <w:spacing w:val="-2"/>
        </w:rPr>
        <w:t>调整的影响，短信的成本有所上升。不过该因素的影响正在慢慢减少。价格的影响导致行业毛利率逐步下</w:t>
      </w:r>
      <w:r>
        <w:rPr>
          <w:spacing w:val="-43"/>
        </w:rPr>
        <w:t> </w:t>
      </w:r>
      <w:r>
        <w:rPr>
          <w:spacing w:val="-43"/>
        </w:rPr>
      </w:r>
      <w:r>
        <w:rPr/>
        <w:t>降，所以从各企业短信公司毛利率来看，正在逐步调整的过程，未来有望企稳回升。</w:t>
      </w:r>
      <w:r>
        <w:rPr>
          <w:rFonts w:ascii="宋体" w:hAnsi="宋体" w:cs="宋体" w:eastAsia="宋体" w:hint="default"/>
        </w:rPr>
        <w:t> </w:t>
      </w:r>
    </w:p>
    <w:p>
      <w:pPr>
        <w:spacing w:line="240" w:lineRule="auto" w:before="10"/>
        <w:rPr>
          <w:rFonts w:ascii="宋体" w:hAnsi="宋体" w:cs="宋体" w:eastAsia="宋体" w:hint="default"/>
          <w:sz w:val="18"/>
          <w:szCs w:val="18"/>
        </w:rPr>
      </w:pPr>
    </w:p>
    <w:p>
      <w:pPr>
        <w:pStyle w:val="Heading3"/>
        <w:spacing w:line="240" w:lineRule="auto" w:before="0"/>
        <w:ind w:left="289" w:right="1133"/>
        <w:jc w:val="left"/>
        <w:rPr>
          <w:rFonts w:ascii="宋体" w:hAnsi="宋体" w:cs="宋体" w:eastAsia="宋体" w:hint="default"/>
          <w:b w:val="0"/>
          <w:bCs w:val="0"/>
        </w:rPr>
      </w:pPr>
      <w:r>
        <w:rPr/>
        <w:t>图表</w:t>
      </w:r>
      <w:r>
        <w:rPr>
          <w:spacing w:val="-3"/>
        </w:rPr>
        <w:t> </w:t>
      </w:r>
      <w:r>
        <w:rPr>
          <w:rFonts w:ascii="宋体" w:hAnsi="宋体" w:cs="宋体" w:eastAsia="宋体" w:hint="default"/>
          <w:spacing w:val="-3"/>
        </w:rPr>
      </w:r>
      <w:r>
        <w:rPr/>
        <w:t>企业短信公司对比</w:t>
      </w:r>
      <w:r>
        <w:rPr>
          <w:rFonts w:ascii="宋体" w:hAnsi="宋体" w:cs="宋体" w:eastAsia="宋体" w:hint="default"/>
          <w:w w:val="99"/>
        </w:rPr>
        <w:t> </w:t>
      </w:r>
      <w:r>
        <w:rPr>
          <w:rFonts w:ascii="宋体" w:hAnsi="宋体" w:cs="宋体" w:eastAsia="宋体" w:hint="default"/>
          <w:b w:val="0"/>
          <w:bCs w:val="0"/>
        </w:rPr>
      </w:r>
    </w:p>
    <w:p>
      <w:pPr>
        <w:spacing w:line="240" w:lineRule="auto" w:before="8"/>
        <w:rPr>
          <w:rFonts w:ascii="宋体" w:hAnsi="宋体" w:cs="宋体" w:eastAsia="宋体" w:hint="default"/>
          <w:b/>
          <w:bCs/>
          <w:sz w:val="5"/>
          <w:szCs w:val="5"/>
        </w:rPr>
      </w:pPr>
    </w:p>
    <w:p>
      <w:pPr>
        <w:spacing w:line="4489" w:lineRule="exact"/>
        <w:ind w:left="172" w:right="0" w:firstLine="0"/>
        <w:rPr>
          <w:rFonts w:ascii="宋体" w:hAnsi="宋体" w:cs="宋体" w:eastAsia="宋体" w:hint="default"/>
          <w:sz w:val="20"/>
          <w:szCs w:val="20"/>
        </w:rPr>
      </w:pPr>
      <w:r>
        <w:rPr>
          <w:rFonts w:ascii="宋体" w:hAnsi="宋体" w:cs="宋体" w:eastAsia="宋体" w:hint="default"/>
          <w:position w:val="-89"/>
          <w:sz w:val="20"/>
          <w:szCs w:val="20"/>
        </w:rPr>
        <w:pict>
          <v:group style="width:490.3pt;height:224.45pt;mso-position-horizontal-relative:char;mso-position-vertical-relative:line" coordorigin="0,0" coordsize="9806,4489">
            <v:group style="position:absolute;left:10;top:10;width:9787;height:2" coordorigin="10,10" coordsize="9787,2">
              <v:shape style="position:absolute;left:10;top:10;width:9787;height:2" coordorigin="10,10" coordsize="9787,0" path="m10,10l9796,10e" filled="false" stroked="true" strokeweight=".95999pt" strokecolor="#336699">
                <v:path arrowok="t"/>
              </v:shape>
            </v:group>
            <v:group style="position:absolute;left:10;top:4479;width:9787;height:2" coordorigin="10,4479" coordsize="9787,2">
              <v:shape style="position:absolute;left:10;top:4479;width:9787;height:2" coordorigin="10,4479" coordsize="9787,0" path="m10,4479l9796,4479e" filled="false" stroked="true" strokeweight=".95996pt" strokecolor="#336699">
                <v:path arrowok="t"/>
              </v:shape>
              <v:shape style="position:absolute;left:35;top:80;width:9208;height:4328" type="#_x0000_t75" stroked="false">
                <v:imagedata r:id="rId19" o:title=""/>
              </v:shape>
              <v:shape style="position:absolute;left:9242;top:4255;width: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 </w:t>
                      </w:r>
                    </w:p>
                  </w:txbxContent>
                </v:textbox>
                <w10:wrap type="none"/>
              </v:shape>
            </v:group>
          </v:group>
        </w:pict>
      </w:r>
      <w:r>
        <w:rPr>
          <w:rFonts w:ascii="宋体" w:hAnsi="宋体" w:cs="宋体" w:eastAsia="宋体" w:hint="default"/>
          <w:position w:val="-89"/>
          <w:sz w:val="20"/>
          <w:szCs w:val="20"/>
        </w:rPr>
      </w:r>
    </w:p>
    <w:p>
      <w:pPr>
        <w:spacing w:before="63"/>
        <w:ind w:left="289" w:right="1133" w:firstLine="0"/>
        <w:jc w:val="left"/>
        <w:rPr>
          <w:rFonts w:ascii="宋体" w:hAnsi="宋体" w:cs="宋体" w:eastAsia="宋体" w:hint="default"/>
          <w:sz w:val="19"/>
          <w:szCs w:val="19"/>
        </w:rPr>
      </w:pPr>
      <w:r>
        <w:rPr>
          <w:rFonts w:ascii="宋体" w:hAnsi="宋体" w:cs="宋体" w:eastAsia="宋体" w:hint="default"/>
          <w:i/>
          <w:w w:val="95"/>
          <w:sz w:val="19"/>
          <w:szCs w:val="19"/>
        </w:rPr>
        <w:t>资料来源：各上市公司年报 </w:t>
      </w:r>
      <w:r>
        <w:rPr>
          <w:rFonts w:ascii="宋体" w:hAnsi="宋体" w:cs="宋体" w:eastAsia="宋体" w:hint="default"/>
          <w:i/>
          <w:w w:val="95"/>
          <w:sz w:val="19"/>
          <w:szCs w:val="19"/>
        </w:rPr>
      </w:r>
      <w:r>
        <w:rPr>
          <w:rFonts w:ascii="宋体" w:hAnsi="宋体" w:cs="宋体" w:eastAsia="宋体" w:hint="default"/>
          <w:i/>
          <w:w w:val="95"/>
          <w:sz w:val="19"/>
          <w:szCs w:val="19"/>
        </w:rPr>
        <w:t>，</w:t>
      </w:r>
      <w:r>
        <w:rPr>
          <w:rFonts w:ascii="宋体" w:hAnsi="宋体" w:cs="宋体" w:eastAsia="宋体" w:hint="default"/>
          <w:i/>
          <w:w w:val="95"/>
          <w:sz w:val="19"/>
          <w:szCs w:val="19"/>
        </w:rPr>
        <w:t>2019</w:t>
      </w:r>
      <w:r>
        <w:rPr>
          <w:rFonts w:ascii="宋体" w:hAnsi="宋体" w:cs="宋体" w:eastAsia="宋体" w:hint="default"/>
          <w:i/>
          <w:spacing w:val="-63"/>
          <w:w w:val="95"/>
          <w:sz w:val="19"/>
          <w:szCs w:val="19"/>
        </w:rPr>
        <w:t> </w:t>
      </w:r>
      <w:r>
        <w:rPr>
          <w:rFonts w:ascii="宋体" w:hAnsi="宋体" w:cs="宋体" w:eastAsia="宋体" w:hint="default"/>
          <w:i/>
          <w:w w:val="95"/>
          <w:sz w:val="19"/>
          <w:szCs w:val="19"/>
        </w:rPr>
        <w:t>年由于其他数据没有披露，以中报数据供参考</w:t>
      </w:r>
      <w:r>
        <w:rPr>
          <w:rFonts w:ascii="宋体" w:hAnsi="宋体" w:cs="宋体" w:eastAsia="宋体" w:hint="default"/>
          <w:i/>
          <w:w w:val="95"/>
          <w:sz w:val="19"/>
          <w:szCs w:val="19"/>
        </w:rPr>
        <w:t> </w:t>
      </w:r>
      <w:r>
        <w:rPr>
          <w:rFonts w:ascii="宋体" w:hAnsi="宋体" w:cs="宋体" w:eastAsia="宋体" w:hint="default"/>
          <w:sz w:val="19"/>
          <w:szCs w:val="19"/>
        </w:rPr>
      </w:r>
    </w:p>
    <w:p>
      <w:pPr>
        <w:spacing w:line="240" w:lineRule="auto" w:before="5"/>
        <w:rPr>
          <w:rFonts w:ascii="宋体" w:hAnsi="宋体" w:cs="宋体" w:eastAsia="宋体" w:hint="default"/>
          <w:i/>
          <w:sz w:val="21"/>
          <w:szCs w:val="21"/>
        </w:rPr>
      </w:pPr>
    </w:p>
    <w:p>
      <w:pPr>
        <w:pStyle w:val="Heading3"/>
        <w:spacing w:line="240" w:lineRule="auto"/>
        <w:ind w:left="573" w:right="1133"/>
        <w:jc w:val="left"/>
        <w:rPr>
          <w:rFonts w:ascii="宋体" w:hAnsi="宋体" w:cs="宋体" w:eastAsia="宋体" w:hint="default"/>
          <w:b w:val="0"/>
          <w:bCs w:val="0"/>
        </w:rPr>
      </w:pPr>
      <w:r>
        <w:rPr>
          <w:rFonts w:ascii="宋体" w:hAnsi="宋体" w:cs="宋体" w:eastAsia="宋体" w:hint="default"/>
        </w:rPr>
        <w:t>4</w:t>
      </w:r>
      <w:r>
        <w:rPr/>
        <w:t>、展望</w:t>
      </w:r>
      <w:r>
        <w:rPr>
          <w:rFonts w:ascii="宋体" w:hAnsi="宋体" w:cs="宋体" w:eastAsia="宋体" w:hint="default"/>
        </w:rPr>
        <w:t>2020</w:t>
      </w:r>
      <w:r>
        <w:rPr/>
        <w:t>：</w:t>
      </w:r>
      <w:r>
        <w:rPr>
          <w:rFonts w:ascii="宋体" w:hAnsi="宋体" w:cs="宋体" w:eastAsia="宋体" w:hint="default"/>
        </w:rPr>
        <w:t>RCS</w:t>
      </w:r>
      <w:r>
        <w:rPr/>
        <w:t>技术成熟带来的</w:t>
      </w:r>
      <w:r>
        <w:rPr>
          <w:rFonts w:ascii="宋体" w:hAnsi="宋体" w:cs="宋体" w:eastAsia="宋体" w:hint="default"/>
        </w:rPr>
        <w:t>5G</w:t>
      </w:r>
      <w:r>
        <w:rPr>
          <w:rFonts w:ascii="宋体" w:hAnsi="宋体" w:cs="宋体" w:eastAsia="宋体" w:hint="default"/>
          <w:spacing w:val="-1"/>
        </w:rPr>
        <w:t> </w:t>
      </w:r>
      <w:r>
        <w:rPr/>
        <w:t>消息的机会</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37"/>
        <w:ind w:right="1133"/>
        <w:jc w:val="left"/>
        <w:rPr>
          <w:rFonts w:ascii="宋体" w:hAnsi="宋体" w:cs="宋体" w:eastAsia="宋体" w:hint="default"/>
        </w:rPr>
      </w:pPr>
      <w:r>
        <w:rPr>
          <w:rFonts w:ascii="宋体" w:hAnsi="宋体" w:cs="宋体" w:eastAsia="宋体" w:hint="default"/>
          <w:w w:val="100"/>
        </w:rPr>
        <w:t>   </w:t>
      </w:r>
      <w:r>
        <w:rPr/>
        <w:t>（</w:t>
      </w:r>
      <w:r>
        <w:rPr>
          <w:rFonts w:ascii="宋体" w:hAnsi="宋体" w:cs="宋体" w:eastAsia="宋体" w:hint="default"/>
        </w:rPr>
        <w:t>1</w:t>
      </w:r>
      <w:r>
        <w:rPr/>
        <w:t>）行业的理解</w:t>
      </w:r>
      <w:r>
        <w:rPr>
          <w:rFonts w:ascii="宋体" w:hAnsi="宋体" w:cs="宋体" w:eastAsia="宋体" w:hint="default"/>
        </w:rPr>
        <w:t> </w:t>
      </w:r>
    </w:p>
    <w:p>
      <w:pPr>
        <w:pStyle w:val="BodyText"/>
        <w:spacing w:line="240" w:lineRule="auto" w:before="37"/>
        <w:ind w:left="573" w:right="819"/>
        <w:jc w:val="left"/>
      </w:pPr>
      <w:r>
        <w:rPr/>
        <w:t>我们认为</w:t>
      </w:r>
      <w:r>
        <w:rPr>
          <w:spacing w:val="-55"/>
        </w:rPr>
        <w:t> </w:t>
      </w:r>
      <w:r>
        <w:rPr>
          <w:rFonts w:ascii="宋体" w:hAnsi="宋体" w:cs="宋体" w:eastAsia="宋体" w:hint="default"/>
        </w:rPr>
        <w:t>RCS(Rich</w:t>
      </w:r>
      <w:r>
        <w:rPr>
          <w:rFonts w:ascii="宋体" w:hAnsi="宋体" w:cs="宋体" w:eastAsia="宋体" w:hint="default"/>
          <w:spacing w:val="-16"/>
        </w:rPr>
        <w:t> </w:t>
      </w:r>
      <w:r>
        <w:rPr>
          <w:rFonts w:ascii="宋体" w:hAnsi="宋体" w:cs="宋体" w:eastAsia="宋体" w:hint="default"/>
        </w:rPr>
        <w:t>Communication</w:t>
      </w:r>
      <w:r>
        <w:rPr>
          <w:rFonts w:ascii="宋体" w:hAnsi="宋体" w:cs="宋体" w:eastAsia="宋体" w:hint="default"/>
          <w:spacing w:val="-16"/>
        </w:rPr>
        <w:t> </w:t>
      </w:r>
      <w:r>
        <w:rPr>
          <w:rFonts w:ascii="宋体" w:hAnsi="宋体" w:cs="宋体" w:eastAsia="宋体" w:hint="default"/>
        </w:rPr>
        <w:t>Suite)</w:t>
      </w:r>
      <w:r>
        <w:rPr/>
        <w:t>是一种技术标准，</w:t>
      </w:r>
      <w:r>
        <w:rPr>
          <w:rFonts w:ascii="宋体" w:hAnsi="宋体" w:cs="宋体" w:eastAsia="宋体" w:hint="default"/>
        </w:rPr>
        <w:t>5G</w:t>
      </w:r>
      <w:r>
        <w:rPr>
          <w:rFonts w:ascii="宋体" w:hAnsi="宋体" w:cs="宋体" w:eastAsia="宋体" w:hint="default"/>
          <w:spacing w:val="-55"/>
        </w:rPr>
        <w:t> </w:t>
      </w:r>
      <w:r>
        <w:rPr/>
        <w:t>消息是中国三大运营商刚刚发布新的</w:t>
      </w:r>
    </w:p>
    <w:p>
      <w:pPr>
        <w:spacing w:after="0" w:line="240" w:lineRule="auto"/>
        <w:jc w:val="left"/>
        <w:sectPr>
          <w:pgSz w:w="11910" w:h="16840"/>
          <w:pgMar w:header="880" w:footer="975" w:top="1100" w:bottom="1160" w:left="980" w:right="0"/>
        </w:sectPr>
      </w:pPr>
    </w:p>
    <w:p>
      <w:pPr>
        <w:spacing w:line="240" w:lineRule="auto" w:before="11"/>
        <w:rPr>
          <w:rFonts w:ascii="宋体" w:hAnsi="宋体" w:cs="宋体" w:eastAsia="宋体" w:hint="default"/>
          <w:sz w:val="20"/>
          <w:szCs w:val="20"/>
        </w:rPr>
      </w:pPr>
    </w:p>
    <w:p>
      <w:pPr>
        <w:pStyle w:val="BodyText"/>
        <w:spacing w:line="240" w:lineRule="auto" w:before="36"/>
        <w:ind w:right="1133"/>
        <w:jc w:val="left"/>
        <w:rPr>
          <w:rFonts w:ascii="宋体" w:hAnsi="宋体" w:cs="宋体" w:eastAsia="宋体" w:hint="default"/>
        </w:rPr>
      </w:pPr>
      <w:r>
        <w:rPr/>
        <w:t>产品。</w:t>
      </w:r>
      <w:r>
        <w:rPr>
          <w:rFonts w:ascii="宋体" w:hAnsi="宋体" w:cs="宋体" w:eastAsia="宋体" w:hint="default"/>
        </w:rPr>
        <w:t>RCS</w:t>
      </w:r>
      <w:r>
        <w:rPr>
          <w:rFonts w:ascii="宋体" w:hAnsi="宋体" w:cs="宋体" w:eastAsia="宋体" w:hint="default"/>
          <w:spacing w:val="-57"/>
        </w:rPr>
        <w:t> </w:t>
      </w:r>
      <w:r>
        <w:rPr/>
        <w:t>是一个提出很长时间的技术，而</w:t>
      </w:r>
      <w:r>
        <w:rPr>
          <w:spacing w:val="-55"/>
        </w:rPr>
        <w:t> </w:t>
      </w:r>
      <w:r>
        <w:rPr>
          <w:rFonts w:ascii="宋体" w:hAnsi="宋体" w:cs="宋体" w:eastAsia="宋体" w:hint="default"/>
        </w:rPr>
        <w:t>5G</w:t>
      </w:r>
      <w:r>
        <w:rPr>
          <w:rFonts w:ascii="宋体" w:hAnsi="宋体" w:cs="宋体" w:eastAsia="宋体" w:hint="default"/>
          <w:spacing w:val="-55"/>
        </w:rPr>
        <w:t> </w:t>
      </w:r>
      <w:r>
        <w:rPr/>
        <w:t>消息是一个新产品。</w:t>
      </w:r>
      <w:r>
        <w:rPr>
          <w:rFonts w:ascii="宋体" w:hAnsi="宋体" w:cs="宋体" w:eastAsia="宋体" w:hint="default"/>
        </w:rPr>
        <w:t> </w:t>
      </w:r>
    </w:p>
    <w:p>
      <w:pPr>
        <w:pStyle w:val="BodyText"/>
        <w:spacing w:line="273" w:lineRule="auto" w:before="37"/>
        <w:ind w:right="819" w:firstLine="420"/>
        <w:jc w:val="left"/>
        <w:rPr>
          <w:rFonts w:ascii="宋体" w:hAnsi="宋体" w:cs="宋体" w:eastAsia="宋体" w:hint="default"/>
        </w:rPr>
      </w:pPr>
      <w:r>
        <w:rPr/>
        <w:t>① </w:t>
      </w:r>
      <w:r>
        <w:rPr>
          <w:rFonts w:ascii="宋体" w:hAnsi="宋体" w:cs="宋体" w:eastAsia="宋体" w:hint="default"/>
        </w:rPr>
      </w:r>
      <w:r>
        <w:rPr/>
        <w:t>从技术上来讲，</w:t>
      </w:r>
      <w:r>
        <w:rPr>
          <w:rFonts w:ascii="宋体" w:hAnsi="宋体" w:cs="宋体" w:eastAsia="宋体" w:hint="default"/>
        </w:rPr>
        <w:t>RCS </w:t>
      </w:r>
      <w:r>
        <w:rPr/>
        <w:t>是由 </w:t>
      </w:r>
      <w:r>
        <w:rPr>
          <w:rFonts w:ascii="宋体" w:hAnsi="宋体" w:cs="宋体" w:eastAsia="宋体" w:hint="default"/>
        </w:rPr>
        <w:t>GSMA</w:t>
      </w:r>
      <w:r>
        <w:rPr/>
        <w:t>（全球移动通信系统协会）</w:t>
      </w:r>
      <w:r>
        <w:rPr>
          <w:rFonts w:ascii="宋体" w:hAnsi="宋体" w:cs="宋体" w:eastAsia="宋体" w:hint="default"/>
        </w:rPr>
        <w:t>2008 </w:t>
      </w:r>
      <w:r>
        <w:rPr/>
        <w:t>年提出的解决方案，基于</w:t>
      </w:r>
      <w:r>
        <w:rPr>
          <w:spacing w:val="-32"/>
        </w:rPr>
        <w:t> </w:t>
      </w:r>
      <w:r>
        <w:rPr>
          <w:rFonts w:ascii="宋体" w:hAnsi="宋体" w:cs="宋体" w:eastAsia="宋体" w:hint="default"/>
        </w:rPr>
        <w:t>IMS(IP</w:t>
      </w:r>
      <w:r>
        <w:rPr>
          <w:rFonts w:ascii="宋体" w:hAnsi="宋体" w:cs="宋体" w:eastAsia="宋体" w:hint="default"/>
          <w:w w:val="100"/>
        </w:rPr>
        <w:t> </w:t>
      </w:r>
      <w:r>
        <w:rPr>
          <w:rFonts w:ascii="宋体" w:hAnsi="宋体" w:cs="宋体" w:eastAsia="宋体" w:hint="default"/>
        </w:rPr>
        <w:t>Multimedia Subsystem)</w:t>
      </w:r>
      <w:r>
        <w:rPr/>
        <w:t>架构对基础通信业务的整合和增强，目标是实现全球统一标准的富媒体通信解决</w:t>
      </w:r>
      <w:r>
        <w:rPr>
          <w:spacing w:val="-31"/>
        </w:rPr>
        <w:t> </w:t>
      </w:r>
      <w:r>
        <w:rPr>
          <w:spacing w:val="-31"/>
        </w:rPr>
      </w:r>
      <w:r>
        <w:rPr/>
        <w:t>方案，保证运营商之间的业务互联互通。美国四大运营商</w:t>
      </w:r>
      <w:r>
        <w:rPr>
          <w:spacing w:val="-33"/>
        </w:rPr>
        <w:t> </w:t>
      </w:r>
      <w:r>
        <w:rPr>
          <w:rFonts w:ascii="宋体" w:hAnsi="宋体" w:cs="宋体" w:eastAsia="宋体" w:hint="default"/>
        </w:rPr>
        <w:t>Verizon</w:t>
      </w:r>
      <w:r>
        <w:rPr/>
        <w:t>、</w:t>
      </w:r>
      <w:r>
        <w:rPr>
          <w:rFonts w:ascii="宋体" w:hAnsi="宋体" w:cs="宋体" w:eastAsia="宋体" w:hint="default"/>
        </w:rPr>
        <w:t>AT&amp;T</w:t>
      </w:r>
      <w:r>
        <w:rPr/>
        <w:t>、</w:t>
      </w:r>
      <w:r>
        <w:rPr>
          <w:rFonts w:ascii="宋体" w:hAnsi="宋体" w:cs="宋体" w:eastAsia="宋体" w:hint="default"/>
        </w:rPr>
        <w:t>Sprint</w:t>
      </w:r>
      <w:r>
        <w:rPr>
          <w:rFonts w:ascii="宋体" w:hAnsi="宋体" w:cs="宋体" w:eastAsia="宋体" w:hint="default"/>
          <w:spacing w:val="-36"/>
        </w:rPr>
        <w:t> </w:t>
      </w:r>
      <w:r>
        <w:rPr/>
        <w:t>和</w:t>
      </w:r>
      <w:r>
        <w:rPr>
          <w:spacing w:val="-33"/>
        </w:rPr>
        <w:t> </w:t>
      </w:r>
      <w:r>
        <w:rPr>
          <w:rFonts w:ascii="宋体" w:hAnsi="宋体" w:cs="宋体" w:eastAsia="宋体" w:hint="default"/>
        </w:rPr>
        <w:t>T-Mobile</w:t>
      </w:r>
      <w:r>
        <w:rPr>
          <w:rFonts w:ascii="宋体" w:hAnsi="宋体" w:cs="宋体" w:eastAsia="宋体" w:hint="default"/>
          <w:spacing w:val="-35"/>
        </w:rPr>
        <w:t> </w:t>
      </w:r>
      <w:r>
        <w:rPr/>
        <w:t>宣布将联</w:t>
      </w:r>
      <w:r>
        <w:rPr>
          <w:w w:val="100"/>
        </w:rPr>
        <w:t> </w:t>
      </w:r>
      <w:r>
        <w:rPr/>
        <w:t>合起来为安卓智能手机在美国提供</w:t>
      </w:r>
      <w:r>
        <w:rPr>
          <w:spacing w:val="-41"/>
        </w:rPr>
        <w:t> </w:t>
      </w:r>
      <w:r>
        <w:rPr>
          <w:rFonts w:ascii="宋体" w:hAnsi="宋体" w:cs="宋体" w:eastAsia="宋体" w:hint="default"/>
        </w:rPr>
        <w:t>RCS</w:t>
      </w:r>
      <w:r>
        <w:rPr>
          <w:rFonts w:ascii="宋体" w:hAnsi="宋体" w:cs="宋体" w:eastAsia="宋体" w:hint="default"/>
          <w:spacing w:val="-42"/>
        </w:rPr>
        <w:t> </w:t>
      </w:r>
      <w:r>
        <w:rPr/>
        <w:t>消息。中国的三大运营商近期也联合发布了基于</w:t>
      </w:r>
      <w:r>
        <w:rPr>
          <w:spacing w:val="-40"/>
        </w:rPr>
        <w:t> </w:t>
      </w:r>
      <w:r>
        <w:rPr>
          <w:rFonts w:ascii="宋体" w:hAnsi="宋体" w:cs="宋体" w:eastAsia="宋体" w:hint="default"/>
        </w:rPr>
        <w:t>RCS</w:t>
      </w:r>
      <w:r>
        <w:rPr>
          <w:rFonts w:ascii="宋体" w:hAnsi="宋体" w:cs="宋体" w:eastAsia="宋体" w:hint="default"/>
          <w:spacing w:val="-39"/>
        </w:rPr>
        <w:t> </w:t>
      </w:r>
      <w:r>
        <w:rPr/>
        <w:t>技术的</w:t>
      </w:r>
      <w:r>
        <w:rPr>
          <w:spacing w:val="-39"/>
        </w:rPr>
        <w:t> </w:t>
      </w:r>
      <w:r>
        <w:rPr>
          <w:rFonts w:ascii="宋体" w:hAnsi="宋体" w:cs="宋体" w:eastAsia="宋体" w:hint="default"/>
        </w:rPr>
        <w:t>5G</w:t>
      </w:r>
      <w:r>
        <w:rPr>
          <w:rFonts w:ascii="宋体" w:hAnsi="宋体" w:cs="宋体" w:eastAsia="宋体" w:hint="default"/>
          <w:spacing w:val="-39"/>
        </w:rPr>
        <w:t> </w:t>
      </w:r>
      <w:r>
        <w:rPr/>
        <w:t>消</w:t>
      </w:r>
      <w:r>
        <w:rPr>
          <w:w w:val="100"/>
        </w:rPr>
        <w:t> </w:t>
      </w:r>
      <w:r>
        <w:rPr/>
        <w:t>息。</w:t>
      </w:r>
      <w:r>
        <w:rPr>
          <w:rFonts w:ascii="宋体" w:hAnsi="宋体" w:cs="宋体" w:eastAsia="宋体" w:hint="default"/>
        </w:rPr>
        <w:t> </w:t>
      </w:r>
    </w:p>
    <w:p>
      <w:pPr>
        <w:pStyle w:val="BodyText"/>
        <w:spacing w:line="273" w:lineRule="auto" w:before="7"/>
        <w:ind w:right="1025" w:firstLine="420"/>
        <w:jc w:val="both"/>
        <w:rPr>
          <w:rFonts w:ascii="宋体" w:hAnsi="宋体" w:cs="宋体" w:eastAsia="宋体" w:hint="default"/>
        </w:rPr>
      </w:pPr>
      <w:r>
        <w:rPr>
          <w:rFonts w:ascii="宋体" w:hAnsi="宋体" w:cs="宋体" w:eastAsia="宋体" w:hint="default"/>
          <w:w w:val="100"/>
        </w:rPr>
        <w:t>RCS</w:t>
      </w:r>
      <w:r>
        <w:rPr>
          <w:rFonts w:ascii="宋体" w:hAnsi="宋体" w:cs="宋体" w:eastAsia="宋体" w:hint="default"/>
          <w:spacing w:val="-49"/>
          <w:w w:val="100"/>
        </w:rPr>
        <w:t> </w:t>
      </w:r>
      <w:r>
        <w:rPr>
          <w:spacing w:val="-6"/>
          <w:w w:val="100"/>
        </w:rPr>
        <w:t>技术消息作为传统短信的升级替代，突破了文本和容量的限制，通信双方有了更丰富的通信形式，</w:t>
      </w:r>
      <w:r>
        <w:rPr>
          <w:w w:val="100"/>
        </w:rPr>
        <w:t> </w:t>
      </w:r>
      <w:r>
        <w:rPr/>
        <w:t>将为客户带来体验和服务的革新，在企业服务领域，也能催生出更多的创新应用场景，</w:t>
      </w:r>
      <w:r>
        <w:rPr>
          <w:rFonts w:ascii="宋体" w:hAnsi="宋体" w:cs="宋体" w:eastAsia="宋体" w:hint="default"/>
        </w:rPr>
        <w:t>RCS</w:t>
      </w:r>
      <w:r>
        <w:rPr>
          <w:rFonts w:ascii="宋体" w:hAnsi="宋体" w:cs="宋体" w:eastAsia="宋体" w:hint="default"/>
          <w:spacing w:val="-25"/>
        </w:rPr>
        <w:t> </w:t>
      </w:r>
      <w:r>
        <w:rPr/>
        <w:t>业务会为运营</w:t>
      </w:r>
      <w:r>
        <w:rPr>
          <w:w w:val="100"/>
        </w:rPr>
        <w:t> </w:t>
      </w:r>
      <w:r>
        <w:rPr>
          <w:spacing w:val="-2"/>
          <w:w w:val="100"/>
        </w:rPr>
        <w:t>商带来新的市场增长。</w:t>
      </w:r>
      <w:r>
        <w:rPr>
          <w:rFonts w:ascii="宋体" w:hAnsi="宋体" w:cs="宋体" w:eastAsia="宋体" w:hint="default"/>
          <w:spacing w:val="-2"/>
          <w:w w:val="100"/>
        </w:rPr>
        <w:t>RCS</w:t>
      </w:r>
      <w:r>
        <w:rPr>
          <w:rFonts w:ascii="宋体" w:hAnsi="宋体" w:cs="宋体" w:eastAsia="宋体" w:hint="default"/>
          <w:spacing w:val="-46"/>
          <w:w w:val="100"/>
        </w:rPr>
        <w:t> </w:t>
      </w:r>
      <w:r>
        <w:rPr>
          <w:spacing w:val="-2"/>
          <w:w w:val="100"/>
        </w:rPr>
        <w:t>仍然要面对微信等</w:t>
      </w:r>
      <w:r>
        <w:rPr>
          <w:spacing w:val="-48"/>
          <w:w w:val="100"/>
        </w:rPr>
        <w:t> </w:t>
      </w:r>
      <w:r>
        <w:rPr>
          <w:rFonts w:ascii="宋体" w:hAnsi="宋体" w:cs="宋体" w:eastAsia="宋体" w:hint="default"/>
          <w:w w:val="100"/>
        </w:rPr>
        <w:t>OTT</w:t>
      </w:r>
      <w:r>
        <w:rPr>
          <w:rFonts w:ascii="宋体" w:hAnsi="宋体" w:cs="宋体" w:eastAsia="宋体" w:hint="default"/>
          <w:spacing w:val="-48"/>
          <w:w w:val="100"/>
        </w:rPr>
        <w:t> </w:t>
      </w:r>
      <w:r>
        <w:rPr>
          <w:spacing w:val="-2"/>
          <w:w w:val="100"/>
        </w:rPr>
        <w:t>应用的竞争，微信有着</w:t>
      </w:r>
      <w:r>
        <w:rPr>
          <w:spacing w:val="-46"/>
          <w:w w:val="100"/>
        </w:rPr>
        <w:t> </w:t>
      </w:r>
      <w:r>
        <w:rPr>
          <w:rFonts w:ascii="宋体" w:hAnsi="宋体" w:cs="宋体" w:eastAsia="宋体" w:hint="default"/>
          <w:spacing w:val="-2"/>
          <w:w w:val="100"/>
        </w:rPr>
        <w:t>10</w:t>
      </w:r>
      <w:r>
        <w:rPr>
          <w:rFonts w:ascii="宋体" w:hAnsi="宋体" w:cs="宋体" w:eastAsia="宋体" w:hint="default"/>
          <w:spacing w:val="-48"/>
          <w:w w:val="100"/>
        </w:rPr>
        <w:t> </w:t>
      </w:r>
      <w:r>
        <w:rPr>
          <w:spacing w:val="-8"/>
          <w:w w:val="100"/>
        </w:rPr>
        <w:t>亿级用户和强大的内容属性。</w:t>
      </w:r>
      <w:r>
        <w:rPr>
          <w:rFonts w:ascii="宋体" w:hAnsi="宋体" w:cs="宋体" w:eastAsia="宋体" w:hint="default"/>
          <w:w w:val="100"/>
        </w:rPr>
        <w:t> </w:t>
      </w:r>
    </w:p>
    <w:p>
      <w:pPr>
        <w:pStyle w:val="BodyText"/>
        <w:spacing w:line="273" w:lineRule="auto" w:before="7"/>
        <w:ind w:right="1126" w:firstLine="420"/>
        <w:jc w:val="both"/>
        <w:rPr>
          <w:rFonts w:ascii="宋体" w:hAnsi="宋体" w:cs="宋体" w:eastAsia="宋体" w:hint="default"/>
        </w:rPr>
      </w:pPr>
      <w:r>
        <w:rPr>
          <w:rFonts w:ascii="宋体" w:hAnsi="宋体" w:cs="宋体" w:eastAsia="宋体" w:hint="default"/>
        </w:rPr>
        <w:t>RCS</w:t>
      </w:r>
      <w:r>
        <w:rPr>
          <w:rFonts w:ascii="宋体" w:hAnsi="宋体" w:cs="宋体" w:eastAsia="宋体" w:hint="default"/>
          <w:spacing w:val="-28"/>
        </w:rPr>
        <w:t> </w:t>
      </w:r>
      <w:r>
        <w:rPr/>
        <w:t>主要面向企业级服务，使得企业用户可以以实名的形式，跟自己的用户建立一种无门槛，无中断</w:t>
      </w:r>
      <w:r>
        <w:rPr>
          <w:w w:val="100"/>
        </w:rPr>
        <w:t> </w:t>
      </w:r>
      <w:r>
        <w:rPr>
          <w:spacing w:val="-2"/>
        </w:rPr>
        <w:t>的便捷互动工具。不同于社交软件，由于它与号码及用户身份的实名绑定关系，使得公司的客户可以非常</w:t>
      </w:r>
      <w:r>
        <w:rPr>
          <w:spacing w:val="-44"/>
        </w:rPr>
        <w:t> </w:t>
      </w:r>
      <w:r>
        <w:rPr>
          <w:spacing w:val="-44"/>
        </w:rPr>
      </w:r>
      <w:r>
        <w:rPr/>
        <w:t>便捷的实现基于实名的线上业务和流程，在很大程度上简化了线上服务流程，替代了很多重复化的</w:t>
      </w:r>
      <w:r>
        <w:rPr>
          <w:spacing w:val="-28"/>
        </w:rPr>
        <w:t> </w:t>
      </w:r>
      <w:r>
        <w:rPr>
          <w:rFonts w:ascii="宋体" w:hAnsi="宋体" w:cs="宋体" w:eastAsia="宋体" w:hint="default"/>
        </w:rPr>
        <w:t>APP</w:t>
      </w:r>
      <w:r>
        <w:rPr/>
        <w:t>，</w:t>
      </w:r>
      <w:r>
        <w:rPr>
          <w:w w:val="100"/>
        </w:rPr>
        <w:t> </w:t>
      </w:r>
      <w:r>
        <w:rPr/>
        <w:t>有望成为实名业务的入口。</w:t>
      </w:r>
      <w:r>
        <w:rPr>
          <w:rFonts w:ascii="宋体" w:hAnsi="宋体" w:cs="宋体" w:eastAsia="宋体" w:hint="default"/>
        </w:rPr>
        <w:t> </w:t>
      </w:r>
    </w:p>
    <w:p>
      <w:pPr>
        <w:pStyle w:val="BodyText"/>
        <w:spacing w:line="273" w:lineRule="auto" w:before="8"/>
        <w:ind w:right="1126" w:firstLine="420"/>
        <w:jc w:val="both"/>
        <w:rPr>
          <w:rFonts w:ascii="宋体" w:hAnsi="宋体" w:cs="宋体" w:eastAsia="宋体" w:hint="default"/>
        </w:rPr>
      </w:pPr>
      <w:r>
        <w:rPr/>
        <w:t>② </w:t>
      </w:r>
      <w:r>
        <w:rPr>
          <w:rFonts w:ascii="宋体" w:hAnsi="宋体" w:cs="宋体" w:eastAsia="宋体" w:hint="default"/>
        </w:rPr>
      </w:r>
      <w:r>
        <w:rPr/>
        <w:t>从产品来讲，</w:t>
      </w:r>
      <w:r>
        <w:rPr>
          <w:rFonts w:ascii="宋体" w:hAnsi="宋体" w:cs="宋体" w:eastAsia="宋体" w:hint="default"/>
        </w:rPr>
        <w:t>5G</w:t>
      </w:r>
      <w:r>
        <w:rPr>
          <w:rFonts w:ascii="宋体" w:hAnsi="宋体" w:cs="宋体" w:eastAsia="宋体" w:hint="default"/>
          <w:spacing w:val="-50"/>
        </w:rPr>
        <w:t> </w:t>
      </w:r>
      <w:r>
        <w:rPr/>
        <w:t>消息是中国三大运营商基于</w:t>
      </w:r>
      <w:r>
        <w:rPr>
          <w:spacing w:val="-48"/>
        </w:rPr>
        <w:t> </w:t>
      </w:r>
      <w:r>
        <w:rPr>
          <w:rFonts w:ascii="宋体" w:hAnsi="宋体" w:cs="宋体" w:eastAsia="宋体" w:hint="default"/>
        </w:rPr>
        <w:t>RCS</w:t>
      </w:r>
      <w:r>
        <w:rPr>
          <w:rFonts w:ascii="宋体" w:hAnsi="宋体" w:cs="宋体" w:eastAsia="宋体" w:hint="default"/>
          <w:spacing w:val="-48"/>
        </w:rPr>
        <w:t> </w:t>
      </w:r>
      <w:r>
        <w:rPr/>
        <w:t>技术刚刚发布新的产品。根据运营商</w:t>
      </w:r>
      <w:r>
        <w:rPr>
          <w:spacing w:val="-47"/>
        </w:rPr>
        <w:t> </w:t>
      </w:r>
      <w:r>
        <w:rPr>
          <w:rFonts w:ascii="宋体" w:hAnsi="宋体" w:cs="宋体" w:eastAsia="宋体" w:hint="default"/>
        </w:rPr>
        <w:t>5G</w:t>
      </w:r>
      <w:r>
        <w:rPr>
          <w:rFonts w:ascii="宋体" w:hAnsi="宋体" w:cs="宋体" w:eastAsia="宋体" w:hint="default"/>
          <w:spacing w:val="-48"/>
        </w:rPr>
        <w:t> </w:t>
      </w:r>
      <w:r>
        <w:rPr/>
        <w:t>消息白</w:t>
      </w:r>
      <w:r>
        <w:rPr>
          <w:w w:val="100"/>
        </w:rPr>
        <w:t> </w:t>
      </w:r>
      <w:r>
        <w:rPr/>
        <w:t>皮书的定义：</w:t>
      </w:r>
      <w:r>
        <w:rPr>
          <w:rFonts w:ascii="宋体" w:hAnsi="宋体" w:cs="宋体" w:eastAsia="宋体" w:hint="default"/>
        </w:rPr>
        <w:t> </w:t>
      </w:r>
    </w:p>
    <w:p>
      <w:pPr>
        <w:pStyle w:val="BodyText"/>
        <w:tabs>
          <w:tab w:pos="573" w:val="left" w:leader="none"/>
        </w:tabs>
        <w:spacing w:line="240" w:lineRule="auto" w:before="7"/>
        <w:ind w:right="1133"/>
        <w:jc w:val="left"/>
        <w:rPr>
          <w:rFonts w:ascii="宋体" w:hAnsi="宋体" w:cs="宋体" w:eastAsia="宋体" w:hint="default"/>
        </w:rPr>
      </w:pPr>
      <w:r>
        <w:rPr>
          <w:rFonts w:ascii="Wingdings" w:hAnsi="Wingdings" w:cs="Wingdings" w:eastAsia="Wingdings" w:hint="default"/>
          <w:w w:val="75"/>
        </w:rPr>
        <w:t>⚫</w:t>
      </w:r>
      <w:r>
        <w:rPr>
          <w:rFonts w:ascii="Times New Roman" w:hAnsi="Times New Roman" w:cs="Times New Roman" w:eastAsia="Times New Roman" w:hint="default"/>
          <w:w w:val="75"/>
        </w:rPr>
        <w:tab/>
      </w:r>
      <w:r>
        <w:rPr/>
        <w:t>传统短信业务需要升级到富媒体消息业务——我们称之为</w:t>
      </w:r>
      <w:r>
        <w:rPr>
          <w:spacing w:val="-54"/>
        </w:rPr>
        <w:t> </w:t>
      </w:r>
      <w:r>
        <w:rPr>
          <w:rFonts w:ascii="宋体" w:hAnsi="宋体" w:cs="宋体" w:eastAsia="宋体" w:hint="default"/>
        </w:rPr>
        <w:t>5G</w:t>
      </w:r>
      <w:r>
        <w:rPr>
          <w:rFonts w:ascii="宋体" w:hAnsi="宋体" w:cs="宋体" w:eastAsia="宋体" w:hint="default"/>
          <w:spacing w:val="-57"/>
        </w:rPr>
        <w:t> </w:t>
      </w:r>
      <w:r>
        <w:rPr/>
        <w:t>消息业务</w:t>
      </w:r>
      <w:r>
        <w:rPr>
          <w:rFonts w:ascii="宋体" w:hAnsi="宋体" w:cs="宋体" w:eastAsia="宋体" w:hint="default"/>
        </w:rPr>
        <w:t> </w:t>
      </w:r>
    </w:p>
    <w:p>
      <w:pPr>
        <w:pStyle w:val="BodyText"/>
        <w:tabs>
          <w:tab w:pos="573" w:val="left" w:leader="none"/>
        </w:tabs>
        <w:spacing w:line="259" w:lineRule="auto" w:before="22"/>
        <w:ind w:left="573" w:right="1130" w:hanging="421"/>
        <w:jc w:val="left"/>
        <w:rPr>
          <w:rFonts w:ascii="宋体" w:hAnsi="宋体" w:cs="宋体" w:eastAsia="宋体" w:hint="default"/>
        </w:rPr>
      </w:pPr>
      <w:r>
        <w:rPr>
          <w:rFonts w:ascii="Wingdings" w:hAnsi="Wingdings" w:cs="Wingdings" w:eastAsia="Wingdings" w:hint="default"/>
          <w:w w:val="75"/>
        </w:rPr>
        <w:t>⚫</w:t>
      </w:r>
      <w:r>
        <w:rPr>
          <w:rFonts w:ascii="Times New Roman" w:hAnsi="Times New Roman" w:cs="Times New Roman" w:eastAsia="Times New Roman" w:hint="default"/>
          <w:w w:val="75"/>
        </w:rPr>
        <w:tab/>
      </w:r>
      <w:r>
        <w:rPr>
          <w:rFonts w:ascii="宋体" w:hAnsi="宋体" w:cs="宋体" w:eastAsia="宋体" w:hint="default"/>
        </w:rPr>
        <w:t>5G</w:t>
      </w:r>
      <w:r>
        <w:rPr>
          <w:rFonts w:ascii="宋体" w:hAnsi="宋体" w:cs="宋体" w:eastAsia="宋体" w:hint="default"/>
          <w:spacing w:val="-33"/>
        </w:rPr>
        <w:t> </w:t>
      </w:r>
      <w:r>
        <w:rPr/>
        <w:t>消息基于</w:t>
      </w:r>
      <w:r>
        <w:rPr>
          <w:spacing w:val="-36"/>
        </w:rPr>
        <w:t> </w:t>
      </w:r>
      <w:r>
        <w:rPr>
          <w:rFonts w:ascii="宋体" w:hAnsi="宋体" w:cs="宋体" w:eastAsia="宋体" w:hint="default"/>
        </w:rPr>
        <w:t>GSMA</w:t>
      </w:r>
      <w:r>
        <w:rPr>
          <w:rFonts w:ascii="宋体" w:hAnsi="宋体" w:cs="宋体" w:eastAsia="宋体" w:hint="default"/>
          <w:spacing w:val="-2"/>
        </w:rPr>
        <w:t> </w:t>
      </w:r>
      <w:r>
        <w:rPr>
          <w:rFonts w:ascii="宋体" w:hAnsi="宋体" w:cs="宋体" w:eastAsia="宋体" w:hint="default"/>
        </w:rPr>
        <w:t>RCS</w:t>
      </w:r>
      <w:r>
        <w:rPr>
          <w:rFonts w:ascii="宋体" w:hAnsi="宋体" w:cs="宋体" w:eastAsia="宋体" w:hint="default"/>
          <w:spacing w:val="-2"/>
        </w:rPr>
        <w:t> </w:t>
      </w:r>
      <w:r>
        <w:rPr>
          <w:rFonts w:ascii="宋体" w:hAnsi="宋体" w:cs="宋体" w:eastAsia="宋体" w:hint="default"/>
        </w:rPr>
        <w:t>UP</w:t>
      </w:r>
      <w:r>
        <w:rPr>
          <w:rFonts w:ascii="宋体" w:hAnsi="宋体" w:cs="宋体" w:eastAsia="宋体" w:hint="default"/>
          <w:spacing w:val="-36"/>
        </w:rPr>
        <w:t> </w:t>
      </w:r>
      <w:r>
        <w:rPr/>
        <w:t>标准构建，</w:t>
      </w:r>
      <w:r>
        <w:rPr>
          <w:rFonts w:ascii="宋体" w:hAnsi="宋体" w:cs="宋体" w:eastAsia="宋体" w:hint="default"/>
        </w:rPr>
        <w:t>5G</w:t>
      </w:r>
      <w:r>
        <w:rPr>
          <w:rFonts w:ascii="宋体" w:hAnsi="宋体" w:cs="宋体" w:eastAsia="宋体" w:hint="default"/>
          <w:spacing w:val="-35"/>
        </w:rPr>
        <w:t> </w:t>
      </w:r>
      <w:r>
        <w:rPr/>
        <w:t>消息带来全新的人机交互模式</w:t>
      </w:r>
      <w:r>
        <w:rPr>
          <w:rFonts w:ascii="宋体" w:hAnsi="宋体" w:cs="宋体" w:eastAsia="宋体" w:hint="default"/>
        </w:rPr>
        <w:t>,</w:t>
      </w:r>
      <w:r>
        <w:rPr/>
        <w:t>用户在消息窗</w:t>
      </w:r>
      <w:r>
        <w:rPr>
          <w:spacing w:val="-2"/>
        </w:rPr>
        <w:t> </w:t>
      </w:r>
      <w:r>
        <w:rPr>
          <w:rFonts w:ascii="宋体" w:hAnsi="宋体" w:cs="宋体" w:eastAsia="宋体" w:hint="default"/>
          <w:spacing w:val="-2"/>
        </w:rPr>
      </w:r>
      <w:r>
        <w:rPr/>
        <w:t>口内就能完成</w:t>
      </w:r>
      <w:r>
        <w:rPr>
          <w:w w:val="100"/>
        </w:rPr>
        <w:t> </w:t>
      </w:r>
      <w:r>
        <w:rPr/>
        <w:t>服务搜索、发现、交互、支付等一站式的业务体验，构建了全新的信息服务入口。</w:t>
      </w:r>
      <w:r>
        <w:rPr>
          <w:rFonts w:ascii="宋体" w:hAnsi="宋体" w:cs="宋体" w:eastAsia="宋体" w:hint="default"/>
        </w:rPr>
        <w:t> </w:t>
      </w:r>
    </w:p>
    <w:p>
      <w:pPr>
        <w:pStyle w:val="BodyText"/>
        <w:tabs>
          <w:tab w:pos="573" w:val="left" w:leader="none"/>
        </w:tabs>
        <w:spacing w:line="240" w:lineRule="auto" w:before="20"/>
        <w:ind w:right="1133"/>
        <w:jc w:val="left"/>
        <w:rPr>
          <w:rFonts w:ascii="宋体" w:hAnsi="宋体" w:cs="宋体" w:eastAsia="宋体" w:hint="default"/>
        </w:rPr>
      </w:pPr>
      <w:r>
        <w:rPr>
          <w:rFonts w:ascii="Wingdings" w:hAnsi="Wingdings" w:cs="Wingdings" w:eastAsia="Wingdings" w:hint="default"/>
          <w:w w:val="75"/>
        </w:rPr>
        <w:t>⚫</w:t>
      </w:r>
      <w:r>
        <w:rPr>
          <w:rFonts w:ascii="Times New Roman" w:hAnsi="Times New Roman" w:cs="Times New Roman" w:eastAsia="Times New Roman" w:hint="default"/>
          <w:w w:val="75"/>
        </w:rPr>
        <w:tab/>
      </w:r>
      <w:r>
        <w:rPr/>
        <w:t>行业客户以 </w:t>
      </w:r>
      <w:r>
        <w:rPr>
          <w:rFonts w:ascii="宋体" w:hAnsi="宋体" w:cs="宋体" w:eastAsia="宋体" w:hint="default"/>
        </w:rPr>
        <w:t>Chat</w:t>
      </w:r>
      <w:r>
        <w:rPr>
          <w:rFonts w:ascii="宋体" w:hAnsi="宋体" w:cs="宋体" w:eastAsia="宋体" w:hint="default"/>
          <w:spacing w:val="-63"/>
        </w:rPr>
        <w:t> </w:t>
      </w:r>
      <w:r>
        <w:rPr>
          <w:rFonts w:ascii="宋体" w:hAnsi="宋体" w:cs="宋体" w:eastAsia="宋体" w:hint="default"/>
        </w:rPr>
        <w:t>bot</w:t>
      </w:r>
      <w:r>
        <w:rPr/>
        <w:t>（智能客服）的形式与个人用户通过运营商网络进行消息交互。</w:t>
      </w:r>
      <w:r>
        <w:rPr>
          <w:rFonts w:ascii="宋体" w:hAnsi="宋体" w:cs="宋体" w:eastAsia="宋体" w:hint="default"/>
        </w:rPr>
        <w:t> </w:t>
      </w:r>
    </w:p>
    <w:p>
      <w:pPr>
        <w:pStyle w:val="BodyText"/>
        <w:spacing w:line="266" w:lineRule="auto" w:before="22"/>
        <w:ind w:left="573" w:right="1126" w:hanging="421"/>
        <w:jc w:val="both"/>
        <w:rPr>
          <w:rFonts w:ascii="宋体" w:hAnsi="宋体" w:cs="宋体" w:eastAsia="宋体" w:hint="default"/>
        </w:rPr>
      </w:pPr>
      <w:r>
        <w:rPr>
          <w:rFonts w:ascii="Wingdings" w:hAnsi="Wingdings" w:cs="Wingdings" w:eastAsia="Wingdings" w:hint="default"/>
        </w:rPr>
        <w:t>⚫</w:t>
      </w:r>
      <w:r>
        <w:rPr>
          <w:rFonts w:ascii="Times New Roman" w:hAnsi="Times New Roman" w:cs="Times New Roman" w:eastAsia="Times New Roman" w:hint="default"/>
        </w:rPr>
      </w:r>
      <w:r>
        <w:rPr/>
        <w:t>全球运营商与行业合作伙伴共同建立的 </w:t>
      </w:r>
      <w:r>
        <w:rPr>
          <w:rFonts w:ascii="宋体" w:hAnsi="宋体" w:cs="宋体" w:eastAsia="宋体" w:hint="default"/>
        </w:rPr>
        <w:t>5G</w:t>
      </w:r>
      <w:r>
        <w:rPr>
          <w:rFonts w:ascii="宋体" w:hAnsi="宋体" w:cs="宋体" w:eastAsia="宋体" w:hint="default"/>
          <w:spacing w:val="-26"/>
        </w:rPr>
        <w:t> </w:t>
      </w:r>
      <w:r>
        <w:rPr/>
        <w:t>消息业务生态将是一个标准、开放、共赢的生态体系。中</w:t>
      </w:r>
      <w:r>
        <w:rPr>
          <w:w w:val="100"/>
        </w:rPr>
        <w:t> </w:t>
      </w:r>
      <w:r>
        <w:rPr/>
        <w:t>国三家运营商率先推出的 </w:t>
      </w:r>
      <w:r>
        <w:rPr>
          <w:rFonts w:ascii="宋体" w:hAnsi="宋体" w:cs="宋体" w:eastAsia="宋体" w:hint="default"/>
        </w:rPr>
        <w:t>5G</w:t>
      </w:r>
      <w:r>
        <w:rPr>
          <w:rFonts w:ascii="宋体" w:hAnsi="宋体" w:cs="宋体" w:eastAsia="宋体" w:hint="default"/>
          <w:spacing w:val="-54"/>
        </w:rPr>
        <w:t> </w:t>
      </w:r>
      <w:r>
        <w:rPr>
          <w:spacing w:val="-3"/>
        </w:rPr>
        <w:t>消息业务</w:t>
      </w:r>
      <w:r>
        <w:rPr>
          <w:rFonts w:ascii="宋体" w:hAnsi="宋体" w:cs="宋体" w:eastAsia="宋体" w:hint="default"/>
          <w:spacing w:val="-3"/>
        </w:rPr>
        <w:t>,</w:t>
      </w:r>
      <w:r>
        <w:rPr>
          <w:spacing w:val="-3"/>
        </w:rPr>
        <w:t>可覆盖中国全部移动用户，并实现与全球其他运营商用户的互</w:t>
      </w:r>
      <w:r>
        <w:rPr>
          <w:w w:val="100"/>
        </w:rPr>
        <w:t> </w:t>
      </w:r>
      <w:r>
        <w:rPr/>
        <w:t>联互通。</w:t>
      </w:r>
      <w:r>
        <w:rPr>
          <w:rFonts w:ascii="宋体" w:hAnsi="宋体" w:cs="宋体" w:eastAsia="宋体" w:hint="default"/>
        </w:rPr>
        <w:t> </w:t>
      </w:r>
    </w:p>
    <w:p>
      <w:pPr>
        <w:pStyle w:val="BodyText"/>
        <w:spacing w:line="273" w:lineRule="auto" w:before="14"/>
        <w:ind w:right="1126" w:firstLine="420"/>
        <w:jc w:val="both"/>
        <w:rPr>
          <w:rFonts w:ascii="宋体" w:hAnsi="宋体" w:cs="宋体" w:eastAsia="宋体" w:hint="default"/>
        </w:rPr>
      </w:pPr>
      <w:r>
        <w:rPr/>
        <w:t>所以总结来说基于</w:t>
      </w:r>
      <w:r>
        <w:rPr>
          <w:spacing w:val="-35"/>
        </w:rPr>
        <w:t> </w:t>
      </w:r>
      <w:r>
        <w:rPr>
          <w:rFonts w:ascii="宋体" w:hAnsi="宋体" w:cs="宋体" w:eastAsia="宋体" w:hint="default"/>
        </w:rPr>
        <w:t>RCS</w:t>
      </w:r>
      <w:r>
        <w:rPr>
          <w:rFonts w:ascii="宋体" w:hAnsi="宋体" w:cs="宋体" w:eastAsia="宋体" w:hint="default"/>
          <w:spacing w:val="-32"/>
        </w:rPr>
        <w:t> </w:t>
      </w:r>
      <w:r>
        <w:rPr/>
        <w:t>技术的</w:t>
      </w:r>
      <w:r>
        <w:rPr>
          <w:spacing w:val="-34"/>
        </w:rPr>
        <w:t> </w:t>
      </w:r>
      <w:r>
        <w:rPr>
          <w:rFonts w:ascii="宋体" w:hAnsi="宋体" w:cs="宋体" w:eastAsia="宋体" w:hint="default"/>
        </w:rPr>
        <w:t>5G</w:t>
      </w:r>
      <w:r>
        <w:rPr>
          <w:rFonts w:ascii="宋体" w:hAnsi="宋体" w:cs="宋体" w:eastAsia="宋体" w:hint="default"/>
          <w:spacing w:val="-34"/>
        </w:rPr>
        <w:t> </w:t>
      </w:r>
      <w:r>
        <w:rPr/>
        <w:t>消息是中国三大运营商计划抢占的一个移动互联网级入口级产品，</w:t>
      </w:r>
      <w:r>
        <w:rPr>
          <w:w w:val="100"/>
        </w:rPr>
        <w:t> </w:t>
      </w:r>
      <w:r>
        <w:rPr/>
        <w:t>潜力空间很大。但是未来能否成功，有着不确定性，需要观察运营商的投入和生态系统的成熟。</w:t>
      </w:r>
      <w:r>
        <w:rPr>
          <w:rFonts w:ascii="宋体" w:hAnsi="宋体" w:cs="宋体" w:eastAsia="宋体" w:hint="default"/>
        </w:rPr>
        <w:t> </w:t>
      </w:r>
    </w:p>
    <w:p>
      <w:pPr>
        <w:pStyle w:val="BodyText"/>
        <w:spacing w:line="273" w:lineRule="auto" w:before="7"/>
        <w:ind w:right="1126" w:firstLine="420"/>
        <w:jc w:val="both"/>
        <w:rPr>
          <w:rFonts w:ascii="宋体" w:hAnsi="宋体" w:cs="宋体" w:eastAsia="宋体" w:hint="default"/>
        </w:rPr>
      </w:pPr>
      <w:r>
        <w:rPr>
          <w:spacing w:val="-2"/>
        </w:rPr>
        <w:t>行业的风险提示：作为一个覆盖全国移动用户的技术、新产品，给行业监管机构带来了新的挑战，是</w:t>
      </w:r>
      <w:r>
        <w:rPr>
          <w:w w:val="100"/>
        </w:rPr>
        <w:t> </w:t>
      </w:r>
      <w:r>
        <w:rPr/>
        <w:t>否会出具对应的政策具有一定的不确定性；</w:t>
      </w:r>
      <w:r>
        <w:rPr>
          <w:rFonts w:ascii="宋体" w:hAnsi="宋体" w:cs="宋体" w:eastAsia="宋体" w:hint="default"/>
        </w:rPr>
        <w:t>RCS</w:t>
      </w:r>
      <w:r>
        <w:rPr>
          <w:rFonts w:ascii="宋体" w:hAnsi="宋体" w:cs="宋体" w:eastAsia="宋体" w:hint="default"/>
          <w:spacing w:val="-29"/>
        </w:rPr>
        <w:t> </w:t>
      </w:r>
      <w:r>
        <w:rPr/>
        <w:t>技术是否被全产业链接受，需要运营商大力的推广，存在</w:t>
      </w:r>
      <w:r>
        <w:rPr>
          <w:w w:val="100"/>
        </w:rPr>
        <w:t> </w:t>
      </w:r>
      <w:r>
        <w:rPr/>
        <w:t>一定的不确定性；未来运营商的</w:t>
      </w:r>
      <w:r>
        <w:rPr>
          <w:spacing w:val="-55"/>
        </w:rPr>
        <w:t> </w:t>
      </w:r>
      <w:r>
        <w:rPr>
          <w:rFonts w:ascii="宋体" w:hAnsi="宋体" w:cs="宋体" w:eastAsia="宋体" w:hint="default"/>
        </w:rPr>
        <w:t>5G</w:t>
      </w:r>
      <w:r>
        <w:rPr>
          <w:rFonts w:ascii="宋体" w:hAnsi="宋体" w:cs="宋体" w:eastAsia="宋体" w:hint="default"/>
          <w:spacing w:val="-58"/>
        </w:rPr>
        <w:t> </w:t>
      </w:r>
      <w:r>
        <w:rPr/>
        <w:t>消息生态的建设，能否得到客户的认可存在不确定性</w:t>
      </w:r>
      <w:r>
        <w:rPr>
          <w:rFonts w:ascii="宋体" w:hAnsi="宋体" w:cs="宋体" w:eastAsia="宋体" w:hint="default"/>
        </w:rPr>
        <w:t> </w:t>
      </w:r>
    </w:p>
    <w:p>
      <w:pPr>
        <w:pStyle w:val="BodyText"/>
        <w:spacing w:line="240" w:lineRule="auto" w:before="7"/>
        <w:ind w:left="467" w:right="1133"/>
        <w:jc w:val="left"/>
        <w:rPr>
          <w:rFonts w:ascii="宋体" w:hAnsi="宋体" w:cs="宋体" w:eastAsia="宋体" w:hint="default"/>
        </w:rPr>
      </w:pPr>
      <w:r>
        <w:rPr/>
        <w:t>（</w:t>
      </w:r>
      <w:r>
        <w:rPr>
          <w:rFonts w:ascii="宋体" w:hAnsi="宋体" w:cs="宋体" w:eastAsia="宋体" w:hint="default"/>
        </w:rPr>
        <w:t>2</w:t>
      </w:r>
      <w:r>
        <w:rPr/>
        <w:t>）公司对</w:t>
      </w:r>
      <w:r>
        <w:rPr>
          <w:spacing w:val="-53"/>
        </w:rPr>
        <w:t> </w:t>
      </w:r>
      <w:r>
        <w:rPr>
          <w:rFonts w:ascii="宋体" w:hAnsi="宋体" w:cs="宋体" w:eastAsia="宋体" w:hint="default"/>
        </w:rPr>
        <w:t>RCS</w:t>
      </w:r>
      <w:r>
        <w:rPr>
          <w:rFonts w:ascii="宋体" w:hAnsi="宋体" w:cs="宋体" w:eastAsia="宋体" w:hint="default"/>
          <w:spacing w:val="-55"/>
        </w:rPr>
        <w:t> </w:t>
      </w:r>
      <w:r>
        <w:rPr/>
        <w:t>的储备和展望</w:t>
      </w:r>
      <w:r>
        <w:rPr>
          <w:rFonts w:ascii="宋体" w:hAnsi="宋体" w:cs="宋体" w:eastAsia="宋体" w:hint="default"/>
        </w:rPr>
        <w:t> </w:t>
      </w:r>
    </w:p>
    <w:p>
      <w:pPr>
        <w:pStyle w:val="BodyText"/>
        <w:spacing w:line="273" w:lineRule="auto" w:before="37"/>
        <w:ind w:right="1126" w:firstLine="420"/>
        <w:jc w:val="both"/>
        <w:rPr>
          <w:rFonts w:ascii="宋体" w:hAnsi="宋体" w:cs="宋体" w:eastAsia="宋体" w:hint="default"/>
        </w:rPr>
      </w:pPr>
      <w:r>
        <w:rPr/>
        <w:t>公司一直在积极跟踪</w:t>
      </w:r>
      <w:r>
        <w:rPr>
          <w:spacing w:val="-49"/>
        </w:rPr>
        <w:t> </w:t>
      </w:r>
      <w:r>
        <w:rPr>
          <w:rFonts w:ascii="宋体" w:hAnsi="宋体" w:cs="宋体" w:eastAsia="宋体" w:hint="default"/>
        </w:rPr>
        <w:t>RCS</w:t>
      </w:r>
      <w:r>
        <w:rPr>
          <w:rFonts w:ascii="宋体" w:hAnsi="宋体" w:cs="宋体" w:eastAsia="宋体" w:hint="default"/>
          <w:spacing w:val="-51"/>
        </w:rPr>
        <w:t> </w:t>
      </w:r>
      <w:r>
        <w:rPr>
          <w:spacing w:val="-3"/>
        </w:rPr>
        <w:t>技术和产品的行业变化，并基于</w:t>
      </w:r>
      <w:r>
        <w:rPr>
          <w:spacing w:val="-48"/>
        </w:rPr>
        <w:t> </w:t>
      </w:r>
      <w:r>
        <w:rPr>
          <w:rFonts w:ascii="宋体" w:hAnsi="宋体" w:cs="宋体" w:eastAsia="宋体" w:hint="default"/>
        </w:rPr>
        <w:t>RCS</w:t>
      </w:r>
      <w:r>
        <w:rPr>
          <w:rFonts w:ascii="宋体" w:hAnsi="宋体" w:cs="宋体" w:eastAsia="宋体" w:hint="default"/>
          <w:spacing w:val="-51"/>
        </w:rPr>
        <w:t> </w:t>
      </w:r>
      <w:r>
        <w:rPr/>
        <w:t>技术将产品应用到金融行业领域。公司</w:t>
      </w:r>
      <w:r>
        <w:rPr>
          <w:w w:val="100"/>
        </w:rPr>
        <w:t> </w:t>
      </w:r>
      <w:r>
        <w:rPr/>
        <w:t>于</w:t>
      </w:r>
      <w:r>
        <w:rPr>
          <w:spacing w:val="-39"/>
        </w:rPr>
        <w:t> </w:t>
      </w:r>
      <w:r>
        <w:rPr>
          <w:rFonts w:ascii="宋体" w:hAnsi="宋体" w:cs="宋体" w:eastAsia="宋体" w:hint="default"/>
          <w:spacing w:val="-6"/>
        </w:rPr>
        <w:t>2018</w:t>
      </w:r>
      <w:r>
        <w:rPr>
          <w:spacing w:val="-6"/>
        </w:rPr>
        <w:t>、</w:t>
      </w:r>
      <w:r>
        <w:rPr>
          <w:rFonts w:ascii="宋体" w:hAnsi="宋体" w:cs="宋体" w:eastAsia="宋体" w:hint="default"/>
          <w:spacing w:val="-6"/>
        </w:rPr>
        <w:t>2019</w:t>
      </w:r>
      <w:r>
        <w:rPr>
          <w:rFonts w:ascii="宋体" w:hAnsi="宋体" w:cs="宋体" w:eastAsia="宋体" w:hint="default"/>
          <w:spacing w:val="-40"/>
        </w:rPr>
        <w:t> </w:t>
      </w:r>
      <w:r>
        <w:rPr>
          <w:spacing w:val="-5"/>
        </w:rPr>
        <w:t>年先后与新华人寿、太平洋保险集团等保险集团合作，推出基于</w:t>
      </w:r>
      <w:r>
        <w:rPr>
          <w:spacing w:val="-39"/>
        </w:rPr>
        <w:t> </w:t>
      </w:r>
      <w:r>
        <w:rPr>
          <w:rFonts w:ascii="宋体" w:hAnsi="宋体" w:cs="宋体" w:eastAsia="宋体" w:hint="default"/>
        </w:rPr>
        <w:t>RCS</w:t>
      </w:r>
      <w:r>
        <w:rPr>
          <w:rFonts w:ascii="宋体" w:hAnsi="宋体" w:cs="宋体" w:eastAsia="宋体" w:hint="default"/>
          <w:spacing w:val="-43"/>
        </w:rPr>
        <w:t> </w:t>
      </w:r>
      <w:r>
        <w:rPr/>
        <w:t>技术的保险分红报告，</w:t>
      </w:r>
      <w:r>
        <w:rPr>
          <w:spacing w:val="-99"/>
        </w:rPr>
        <w:t> </w:t>
      </w:r>
      <w:r>
        <w:rPr>
          <w:spacing w:val="-99"/>
        </w:rPr>
      </w:r>
      <w:r>
        <w:rPr/>
        <w:t>帮助保险公司实现分红报告通过</w:t>
      </w:r>
      <w:r>
        <w:rPr>
          <w:spacing w:val="-26"/>
        </w:rPr>
        <w:t> </w:t>
      </w:r>
      <w:r>
        <w:rPr>
          <w:rFonts w:ascii="宋体" w:hAnsi="宋体" w:cs="宋体" w:eastAsia="宋体" w:hint="default"/>
        </w:rPr>
        <w:t>RCS</w:t>
      </w:r>
      <w:r>
        <w:rPr>
          <w:rFonts w:ascii="宋体" w:hAnsi="宋体" w:cs="宋体" w:eastAsia="宋体" w:hint="default"/>
          <w:spacing w:val="-30"/>
        </w:rPr>
        <w:t> </w:t>
      </w:r>
      <w:r>
        <w:rPr>
          <w:spacing w:val="-3"/>
        </w:rPr>
        <w:t>的方式推送给客户，为保险公司解决了纸质文本寄送的麻烦，为保险</w:t>
      </w:r>
      <w:r>
        <w:rPr>
          <w:spacing w:val="-95"/>
        </w:rPr>
        <w:t> </w:t>
      </w:r>
      <w:r>
        <w:rPr>
          <w:spacing w:val="-95"/>
        </w:rPr>
      </w:r>
      <w:r>
        <w:rPr>
          <w:spacing w:val="-2"/>
        </w:rPr>
        <w:t>公司减省了快递寄送的成本，同时将短信的文本转换成多媒体的形式，更加方便客户去理解保险公司分红</w:t>
      </w:r>
      <w:r>
        <w:rPr>
          <w:spacing w:val="-43"/>
        </w:rPr>
        <w:t> </w:t>
      </w:r>
      <w:r>
        <w:rPr>
          <w:spacing w:val="-43"/>
        </w:rPr>
      </w:r>
      <w:r>
        <w:rPr/>
        <w:t>的相关信息。</w:t>
      </w:r>
      <w:r>
        <w:rPr>
          <w:rFonts w:ascii="宋体" w:hAnsi="宋体" w:cs="宋体" w:eastAsia="宋体" w:hint="default"/>
        </w:rPr>
        <w:t> </w:t>
      </w:r>
    </w:p>
    <w:p>
      <w:pPr>
        <w:pStyle w:val="BodyText"/>
        <w:spacing w:line="273" w:lineRule="auto" w:before="7"/>
        <w:ind w:right="1126" w:firstLine="420"/>
        <w:jc w:val="both"/>
        <w:rPr>
          <w:rFonts w:ascii="宋体" w:hAnsi="宋体" w:cs="宋体" w:eastAsia="宋体" w:hint="default"/>
        </w:rPr>
      </w:pPr>
      <w:r>
        <w:rPr>
          <w:spacing w:val="-2"/>
        </w:rPr>
        <w:t>从目前阶段来看由于是新技术探索，虽然实现了销售业务收入，但业务体量很小，对上市公司业绩影</w:t>
      </w:r>
      <w:r>
        <w:rPr>
          <w:w w:val="100"/>
        </w:rPr>
        <w:t> </w:t>
      </w:r>
      <w:r>
        <w:rPr>
          <w:spacing w:val="-2"/>
        </w:rPr>
        <w:t>响不大。与之前预期的情况来看，整个</w:t>
      </w:r>
      <w:r>
        <w:rPr>
          <w:spacing w:val="-33"/>
        </w:rPr>
        <w:t> </w:t>
      </w:r>
      <w:r>
        <w:rPr>
          <w:rFonts w:ascii="宋体" w:hAnsi="宋体" w:cs="宋体" w:eastAsia="宋体" w:hint="default"/>
        </w:rPr>
        <w:t>RCS</w:t>
      </w:r>
      <w:r>
        <w:rPr>
          <w:rFonts w:ascii="宋体" w:hAnsi="宋体" w:cs="宋体" w:eastAsia="宋体" w:hint="default"/>
          <w:spacing w:val="-33"/>
        </w:rPr>
        <w:t> </w:t>
      </w:r>
      <w:r>
        <w:rPr>
          <w:spacing w:val="-2"/>
        </w:rPr>
        <w:t>技术生态还未完全形成，技术产品都处于探索阶段，没有之前</w:t>
      </w:r>
      <w:r>
        <w:rPr>
          <w:spacing w:val="-93"/>
        </w:rPr>
        <w:t> </w:t>
      </w:r>
      <w:r>
        <w:rPr>
          <w:spacing w:val="-93"/>
        </w:rPr>
      </w:r>
      <w:r>
        <w:rPr/>
        <w:t>预期的高速发展。本次三大运营商共同推动</w:t>
      </w:r>
      <w:r>
        <w:rPr>
          <w:spacing w:val="-56"/>
        </w:rPr>
        <w:t> </w:t>
      </w:r>
      <w:r>
        <w:rPr>
          <w:rFonts w:ascii="宋体" w:hAnsi="宋体" w:cs="宋体" w:eastAsia="宋体" w:hint="default"/>
        </w:rPr>
        <w:t>RCS</w:t>
      </w:r>
      <w:r>
        <w:rPr>
          <w:rFonts w:ascii="宋体" w:hAnsi="宋体" w:cs="宋体" w:eastAsia="宋体" w:hint="default"/>
          <w:spacing w:val="-57"/>
        </w:rPr>
        <w:t> </w:t>
      </w:r>
      <w:r>
        <w:rPr/>
        <w:t>技术生态的成熟将有助行业的发展。</w:t>
      </w:r>
      <w:r>
        <w:rPr>
          <w:rFonts w:ascii="宋体" w:hAnsi="宋体" w:cs="宋体" w:eastAsia="宋体" w:hint="default"/>
        </w:rPr>
        <w:t> </w:t>
      </w:r>
    </w:p>
    <w:p>
      <w:pPr>
        <w:pStyle w:val="BodyText"/>
        <w:spacing w:line="273" w:lineRule="auto" w:before="7"/>
        <w:ind w:right="819" w:firstLine="420"/>
        <w:jc w:val="left"/>
        <w:rPr>
          <w:rFonts w:ascii="宋体" w:hAnsi="宋体" w:cs="宋体" w:eastAsia="宋体" w:hint="default"/>
        </w:rPr>
      </w:pPr>
      <w:r>
        <w:rPr/>
        <w:t>未来</w:t>
      </w:r>
      <w:r>
        <w:rPr>
          <w:spacing w:val="-36"/>
        </w:rPr>
        <w:t> </w:t>
      </w:r>
      <w:r>
        <w:rPr>
          <w:rFonts w:ascii="宋体" w:hAnsi="宋体" w:cs="宋体" w:eastAsia="宋体" w:hint="default"/>
        </w:rPr>
        <w:t>RCS</w:t>
      </w:r>
      <w:r>
        <w:rPr>
          <w:rFonts w:ascii="宋体" w:hAnsi="宋体" w:cs="宋体" w:eastAsia="宋体" w:hint="default"/>
          <w:spacing w:val="-33"/>
        </w:rPr>
        <w:t> </w:t>
      </w:r>
      <w:r>
        <w:rPr/>
        <w:t>技术和</w:t>
      </w:r>
      <w:r>
        <w:rPr>
          <w:spacing w:val="-33"/>
        </w:rPr>
        <w:t> </w:t>
      </w:r>
      <w:r>
        <w:rPr>
          <w:rFonts w:ascii="宋体" w:hAnsi="宋体" w:cs="宋体" w:eastAsia="宋体" w:hint="default"/>
        </w:rPr>
        <w:t>5G</w:t>
      </w:r>
      <w:r>
        <w:rPr>
          <w:rFonts w:ascii="宋体" w:hAnsi="宋体" w:cs="宋体" w:eastAsia="宋体" w:hint="default"/>
          <w:spacing w:val="-33"/>
        </w:rPr>
        <w:t> </w:t>
      </w:r>
      <w:r>
        <w:rPr/>
        <w:t>消息能否蓬勃发展，需要全产业链一起积极推动，也存在着的不确定性，但作为</w:t>
      </w:r>
      <w:r>
        <w:rPr>
          <w:w w:val="100"/>
        </w:rPr>
        <w:t> </w:t>
      </w:r>
      <w:r>
        <w:rPr>
          <w:spacing w:val="-2"/>
          <w:w w:val="100"/>
        </w:rPr>
        <w:t>产业链的一个重要环节，上市公司已经做了准备，</w:t>
      </w:r>
      <w:r>
        <w:rPr>
          <w:rFonts w:ascii="宋体" w:hAnsi="宋体" w:cs="宋体" w:eastAsia="宋体" w:hint="default"/>
          <w:spacing w:val="-2"/>
          <w:w w:val="100"/>
        </w:rPr>
        <w:t>5G</w:t>
      </w:r>
      <w:r>
        <w:rPr>
          <w:rFonts w:ascii="宋体" w:hAnsi="宋体" w:cs="宋体" w:eastAsia="宋体" w:hint="default"/>
          <w:spacing w:val="-31"/>
          <w:w w:val="100"/>
        </w:rPr>
        <w:t> </w:t>
      </w:r>
      <w:r>
        <w:rPr>
          <w:spacing w:val="-5"/>
          <w:w w:val="100"/>
        </w:rPr>
        <w:t>消息生态系统的完善将有助于公司相关业务的落地。</w:t>
      </w:r>
      <w:r>
        <w:rPr>
          <w:rFonts w:ascii="宋体" w:hAnsi="宋体" w:cs="宋体" w:eastAsia="宋体" w:hint="default"/>
          <w:w w:val="100"/>
        </w:rPr>
        <w:t> </w:t>
      </w:r>
    </w:p>
    <w:p>
      <w:pPr>
        <w:pStyle w:val="BodyText"/>
        <w:spacing w:line="273" w:lineRule="auto" w:before="7"/>
        <w:ind w:right="1126" w:firstLine="420"/>
        <w:jc w:val="both"/>
        <w:rPr>
          <w:rFonts w:ascii="宋体" w:hAnsi="宋体" w:cs="宋体" w:eastAsia="宋体" w:hint="default"/>
        </w:rPr>
      </w:pPr>
      <w:r>
        <w:rPr/>
        <w:t>长期来看</w:t>
      </w:r>
      <w:r>
        <w:rPr>
          <w:spacing w:val="-46"/>
        </w:rPr>
        <w:t> </w:t>
      </w:r>
      <w:r>
        <w:rPr>
          <w:rFonts w:ascii="宋体" w:hAnsi="宋体" w:cs="宋体" w:eastAsia="宋体" w:hint="default"/>
        </w:rPr>
        <w:t>RCS</w:t>
      </w:r>
      <w:r>
        <w:rPr>
          <w:rFonts w:ascii="宋体" w:hAnsi="宋体" w:cs="宋体" w:eastAsia="宋体" w:hint="default"/>
          <w:spacing w:val="-46"/>
        </w:rPr>
        <w:t> </w:t>
      </w:r>
      <w:r>
        <w:rPr/>
        <w:t>技术和</w:t>
      </w:r>
      <w:r>
        <w:rPr>
          <w:spacing w:val="-46"/>
        </w:rPr>
        <w:t> </w:t>
      </w:r>
      <w:r>
        <w:rPr>
          <w:rFonts w:ascii="宋体" w:hAnsi="宋体" w:cs="宋体" w:eastAsia="宋体" w:hint="default"/>
        </w:rPr>
        <w:t>5G</w:t>
      </w:r>
      <w:r>
        <w:rPr>
          <w:rFonts w:ascii="宋体" w:hAnsi="宋体" w:cs="宋体" w:eastAsia="宋体" w:hint="default"/>
          <w:spacing w:val="-49"/>
        </w:rPr>
        <w:t> </w:t>
      </w:r>
      <w:r>
        <w:rPr/>
        <w:t>消息有望成为我们</w:t>
      </w:r>
      <w:r>
        <w:rPr>
          <w:spacing w:val="-45"/>
        </w:rPr>
        <w:t> </w:t>
      </w:r>
      <w:r>
        <w:rPr>
          <w:rFonts w:ascii="宋体" w:hAnsi="宋体" w:cs="宋体" w:eastAsia="宋体" w:hint="default"/>
          <w:spacing w:val="-7"/>
        </w:rPr>
        <w:t>PASS</w:t>
      </w:r>
      <w:r>
        <w:rPr>
          <w:spacing w:val="-7"/>
        </w:rPr>
        <w:t>（平台即服务）平台中的一个能力组成部分，未来</w:t>
      </w:r>
      <w:r>
        <w:rPr>
          <w:spacing w:val="-45"/>
        </w:rPr>
        <w:t> </w:t>
      </w:r>
      <w:r>
        <w:rPr>
          <w:rFonts w:ascii="宋体" w:hAnsi="宋体" w:cs="宋体" w:eastAsia="宋体" w:hint="default"/>
        </w:rPr>
        <w:t>RCS</w:t>
      </w:r>
      <w:r>
        <w:rPr>
          <w:rFonts w:ascii="宋体" w:hAnsi="宋体" w:cs="宋体" w:eastAsia="宋体" w:hint="default"/>
          <w:w w:val="100"/>
        </w:rPr>
        <w:t> </w:t>
      </w:r>
      <w:r>
        <w:rPr/>
        <w:t>技术和</w:t>
      </w:r>
      <w:r>
        <w:rPr>
          <w:spacing w:val="-34"/>
        </w:rPr>
        <w:t> </w:t>
      </w:r>
      <w:r>
        <w:rPr>
          <w:rFonts w:ascii="宋体" w:hAnsi="宋体" w:cs="宋体" w:eastAsia="宋体" w:hint="default"/>
        </w:rPr>
        <w:t>5G</w:t>
      </w:r>
      <w:r>
        <w:rPr>
          <w:rFonts w:ascii="宋体" w:hAnsi="宋体" w:cs="宋体" w:eastAsia="宋体" w:hint="default"/>
          <w:spacing w:val="-34"/>
        </w:rPr>
        <w:t> </w:t>
      </w:r>
      <w:r>
        <w:rPr/>
        <w:t>消息的进步将带来更加丰富的产品形式，从而更好的满足我们下游客户的需求。</w:t>
      </w:r>
      <w:r>
        <w:rPr>
          <w:rFonts w:ascii="宋体" w:hAnsi="宋体" w:cs="宋体" w:eastAsia="宋体" w:hint="default"/>
        </w:rPr>
        <w:t>RCS</w:t>
      </w:r>
      <w:r>
        <w:rPr>
          <w:rFonts w:ascii="宋体" w:hAnsi="宋体" w:cs="宋体" w:eastAsia="宋体" w:hint="default"/>
          <w:spacing w:val="-34"/>
        </w:rPr>
        <w:t> </w:t>
      </w:r>
      <w:r>
        <w:rPr/>
        <w:t>技术和</w:t>
      </w:r>
      <w:r>
        <w:rPr>
          <w:spacing w:val="-34"/>
        </w:rPr>
        <w:t> </w:t>
      </w:r>
      <w:r>
        <w:rPr>
          <w:rFonts w:ascii="宋体" w:hAnsi="宋体" w:cs="宋体" w:eastAsia="宋体" w:hint="default"/>
        </w:rPr>
        <w:t>5G</w:t>
      </w:r>
      <w:r>
        <w:rPr>
          <w:rFonts w:ascii="宋体" w:hAnsi="宋体" w:cs="宋体" w:eastAsia="宋体" w:hint="default"/>
          <w:w w:val="100"/>
        </w:rPr>
        <w:t> </w:t>
      </w:r>
      <w:r>
        <w:rPr/>
        <w:t>消息对公司业务影响：</w:t>
      </w:r>
      <w:r>
        <w:rPr>
          <w:rFonts w:ascii="宋体" w:hAnsi="宋体" w:cs="宋体" w:eastAsia="宋体" w:hint="default"/>
        </w:rPr>
        <w:t> </w:t>
      </w:r>
    </w:p>
    <w:p>
      <w:pPr>
        <w:pStyle w:val="BodyText"/>
        <w:spacing w:line="273" w:lineRule="auto" w:before="7"/>
        <w:ind w:left="573" w:right="1133" w:firstLine="4"/>
        <w:jc w:val="left"/>
      </w:pPr>
      <w:r>
        <w:rPr/>
        <w:t>①</w:t>
      </w:r>
      <w:r>
        <w:rPr>
          <w:spacing w:val="103"/>
        </w:rPr>
        <w:t> </w:t>
      </w:r>
      <w:r>
        <w:rPr>
          <w:rFonts w:ascii="宋体" w:hAnsi="宋体" w:cs="宋体" w:eastAsia="宋体" w:hint="default"/>
          <w:spacing w:val="103"/>
        </w:rPr>
      </w:r>
      <w:r>
        <w:rPr/>
        <w:t>对融合通信业务影响</w:t>
      </w:r>
      <w:r>
        <w:rPr>
          <w:rFonts w:ascii="宋体" w:hAnsi="宋体" w:cs="宋体" w:eastAsia="宋体" w:hint="default"/>
          <w:w w:val="100"/>
        </w:rPr>
        <w:t> </w:t>
      </w:r>
      <w:r>
        <w:rPr>
          <w:spacing w:val="-2"/>
        </w:rPr>
        <w:t>公司业务也从传统的企业短信平台向统一消息平台去演进，支持短信、彩信、邮件、视频短信、等多</w:t>
      </w:r>
    </w:p>
    <w:p>
      <w:pPr>
        <w:pStyle w:val="BodyText"/>
        <w:spacing w:line="240" w:lineRule="auto" w:before="7"/>
        <w:ind w:right="819"/>
        <w:jc w:val="left"/>
      </w:pPr>
      <w:r>
        <w:rPr/>
        <w:t>种消息形式，研发团队拥有丰富的通信产品开发经验，统一消息平台采用可扩展的系统架构，随着 </w:t>
      </w:r>
      <w:r>
        <w:rPr>
          <w:rFonts w:ascii="宋体" w:hAnsi="宋体" w:cs="宋体" w:eastAsia="宋体" w:hint="default"/>
        </w:rPr>
        <w:t>5G</w:t>
      </w:r>
      <w:r>
        <w:rPr>
          <w:rFonts w:ascii="宋体" w:hAnsi="宋体" w:cs="宋体" w:eastAsia="宋体" w:hint="default"/>
          <w:spacing w:val="-29"/>
        </w:rPr>
        <w:t> </w:t>
      </w:r>
      <w:r>
        <w:rPr/>
        <w:t>消</w:t>
      </w:r>
    </w:p>
    <w:p>
      <w:pPr>
        <w:spacing w:after="0" w:line="240" w:lineRule="auto"/>
        <w:jc w:val="left"/>
        <w:sectPr>
          <w:pgSz w:w="11910" w:h="16840"/>
          <w:pgMar w:header="880" w:footer="975" w:top="1100" w:bottom="1160" w:left="980" w:right="0"/>
        </w:sectPr>
      </w:pPr>
    </w:p>
    <w:p>
      <w:pPr>
        <w:spacing w:line="240" w:lineRule="auto" w:before="11"/>
        <w:rPr>
          <w:rFonts w:ascii="宋体" w:hAnsi="宋体" w:cs="宋体" w:eastAsia="宋体" w:hint="default"/>
          <w:sz w:val="20"/>
          <w:szCs w:val="20"/>
        </w:rPr>
      </w:pPr>
    </w:p>
    <w:p>
      <w:pPr>
        <w:pStyle w:val="BodyText"/>
        <w:spacing w:line="240" w:lineRule="auto" w:before="36"/>
        <w:ind w:right="0"/>
        <w:jc w:val="both"/>
        <w:rPr>
          <w:rFonts w:ascii="宋体" w:hAnsi="宋体" w:cs="宋体" w:eastAsia="宋体" w:hint="default"/>
        </w:rPr>
      </w:pPr>
      <w:r>
        <w:rPr/>
        <w:t>息的成熟，可以丰富公司的服务产品线，也为公司客户带来了丰富的应用场景。</w:t>
      </w:r>
      <w:r>
        <w:rPr>
          <w:rFonts w:ascii="宋体" w:hAnsi="宋体" w:cs="宋体" w:eastAsia="宋体" w:hint="default"/>
        </w:rPr>
        <w:t> </w:t>
      </w:r>
    </w:p>
    <w:p>
      <w:pPr>
        <w:pStyle w:val="BodyText"/>
        <w:spacing w:line="273" w:lineRule="auto" w:before="37"/>
        <w:ind w:left="573" w:right="1123"/>
        <w:jc w:val="left"/>
      </w:pPr>
      <w:r>
        <w:rPr/>
        <w:t>② </w:t>
      </w:r>
      <w:r>
        <w:rPr>
          <w:spacing w:val="93"/>
        </w:rPr>
        <w:t> </w:t>
      </w:r>
      <w:r>
        <w:rPr>
          <w:rFonts w:ascii="宋体" w:hAnsi="宋体" w:cs="宋体" w:eastAsia="宋体" w:hint="default"/>
          <w:spacing w:val="93"/>
        </w:rPr>
      </w:r>
      <w:r>
        <w:rPr/>
        <w:t>对智能客服的影响</w:t>
      </w:r>
      <w:r>
        <w:rPr>
          <w:rFonts w:ascii="宋体" w:hAnsi="宋体" w:cs="宋体" w:eastAsia="宋体" w:hint="default"/>
          <w:w w:val="100"/>
        </w:rPr>
        <w:t> </w:t>
      </w:r>
      <w:r>
        <w:rPr>
          <w:spacing w:val="-3"/>
        </w:rPr>
        <w:t>中嘉博创的银行信用卡与保险场景运营业务中，包含大规模呼叫中心座席，将 </w:t>
      </w:r>
      <w:r>
        <w:rPr>
          <w:rFonts w:ascii="宋体" w:hAnsi="宋体" w:cs="宋体" w:eastAsia="宋体" w:hint="default"/>
        </w:rPr>
        <w:t>RCS</w:t>
      </w:r>
      <w:r>
        <w:rPr>
          <w:rFonts w:ascii="宋体" w:hAnsi="宋体" w:cs="宋体" w:eastAsia="宋体" w:hint="default"/>
          <w:spacing w:val="-30"/>
        </w:rPr>
        <w:t> </w:t>
      </w:r>
      <w:r>
        <w:rPr/>
        <w:t>技术融入到呼叫中</w:t>
      </w:r>
    </w:p>
    <w:p>
      <w:pPr>
        <w:pStyle w:val="BodyText"/>
        <w:spacing w:line="273" w:lineRule="auto" w:before="7"/>
        <w:ind w:right="1017"/>
        <w:jc w:val="left"/>
        <w:rPr>
          <w:rFonts w:ascii="宋体" w:hAnsi="宋体" w:cs="宋体" w:eastAsia="宋体" w:hint="default"/>
        </w:rPr>
      </w:pPr>
      <w:r>
        <w:rPr>
          <w:spacing w:val="-9"/>
        </w:rPr>
        <w:t>心服务中，</w:t>
      </w:r>
      <w:r>
        <w:rPr>
          <w:rFonts w:ascii="宋体" w:hAnsi="宋体" w:cs="宋体" w:eastAsia="宋体" w:hint="default"/>
          <w:spacing w:val="-9"/>
        </w:rPr>
        <w:t>RCS </w:t>
      </w:r>
      <w:r>
        <w:rPr>
          <w:spacing w:val="-5"/>
        </w:rPr>
        <w:t>消息和语音服务的结合可实现行业客户、个人用户在呼叫前、呼叫中和呼叫后进行更丰富、</w:t>
      </w:r>
      <w:r>
        <w:rPr>
          <w:spacing w:val="-67"/>
        </w:rPr>
        <w:t> </w:t>
      </w:r>
      <w:r>
        <w:rPr>
          <w:spacing w:val="-67"/>
        </w:rPr>
      </w:r>
      <w:r>
        <w:rPr>
          <w:spacing w:val="-2"/>
        </w:rPr>
        <w:t>多元的信息分享和互动，为行业客户、个人用户提供差异化、更加丰富的业务体验，将提升客户体验与呼</w:t>
      </w:r>
      <w:r>
        <w:rPr>
          <w:spacing w:val="-50"/>
        </w:rPr>
        <w:t> </w:t>
      </w:r>
      <w:r>
        <w:rPr>
          <w:spacing w:val="-50"/>
        </w:rPr>
      </w:r>
      <w:r>
        <w:rPr>
          <w:spacing w:val="-4"/>
        </w:rPr>
        <w:t>叫中心客户营销与服务效率。中嘉博创应用</w:t>
      </w:r>
      <w:r>
        <w:rPr>
          <w:spacing w:val="-36"/>
        </w:rPr>
        <w:t> </w:t>
      </w:r>
      <w:r>
        <w:rPr>
          <w:rFonts w:ascii="宋体" w:hAnsi="宋体" w:cs="宋体" w:eastAsia="宋体" w:hint="default"/>
        </w:rPr>
        <w:t>AI</w:t>
      </w:r>
      <w:r>
        <w:rPr>
          <w:rFonts w:ascii="宋体" w:hAnsi="宋体" w:cs="宋体" w:eastAsia="宋体" w:hint="default"/>
          <w:spacing w:val="-40"/>
        </w:rPr>
        <w:t> </w:t>
      </w:r>
      <w:r>
        <w:rPr>
          <w:spacing w:val="-5"/>
        </w:rPr>
        <w:t>技术开发了信用卡分期机器人、客探机器人、客服机器人、</w:t>
      </w:r>
      <w:r>
        <w:rPr>
          <w:spacing w:val="-66"/>
        </w:rPr>
        <w:t> </w:t>
      </w:r>
      <w:r>
        <w:rPr>
          <w:spacing w:val="-66"/>
        </w:rPr>
      </w:r>
      <w:r>
        <w:rPr/>
        <w:t>质检机器人等产品，通过机器人替代人工的方式来提升呼叫中心生产力。随着 </w:t>
      </w:r>
      <w:r>
        <w:rPr>
          <w:rFonts w:ascii="宋体" w:hAnsi="宋体" w:cs="宋体" w:eastAsia="宋体" w:hint="default"/>
        </w:rPr>
        <w:t>RCS Chatbot</w:t>
      </w:r>
      <w:r>
        <w:rPr>
          <w:rFonts w:ascii="宋体" w:hAnsi="宋体" w:cs="宋体" w:eastAsia="宋体" w:hint="default"/>
          <w:spacing w:val="-28"/>
        </w:rPr>
        <w:t> </w:t>
      </w:r>
      <w:r>
        <w:rPr/>
        <w:t>的应用落地，</w:t>
      </w:r>
      <w:r>
        <w:rPr>
          <w:w w:val="100"/>
        </w:rPr>
        <w:t> </w:t>
      </w:r>
      <w:r>
        <w:rPr/>
        <w:t>中嘉博创多年来积累的</w:t>
      </w:r>
      <w:r>
        <w:rPr>
          <w:spacing w:val="-35"/>
        </w:rPr>
        <w:t> </w:t>
      </w:r>
      <w:r>
        <w:rPr>
          <w:rFonts w:ascii="宋体" w:hAnsi="宋体" w:cs="宋体" w:eastAsia="宋体" w:hint="default"/>
        </w:rPr>
        <w:t>AI</w:t>
      </w:r>
      <w:r>
        <w:rPr>
          <w:rFonts w:ascii="宋体" w:hAnsi="宋体" w:cs="宋体" w:eastAsia="宋体" w:hint="default"/>
          <w:spacing w:val="-33"/>
        </w:rPr>
        <w:t> </w:t>
      </w:r>
      <w:r>
        <w:rPr/>
        <w:t>场景与产品解决方案过去这些方案通过电话接入，未来将可以通过</w:t>
      </w:r>
      <w:r>
        <w:rPr>
          <w:spacing w:val="-35"/>
        </w:rPr>
        <w:t> </w:t>
      </w:r>
      <w:r>
        <w:rPr>
          <w:rFonts w:ascii="宋体" w:hAnsi="宋体" w:cs="宋体" w:eastAsia="宋体" w:hint="default"/>
        </w:rPr>
        <w:t>RCS</w:t>
      </w:r>
      <w:r>
        <w:rPr>
          <w:rFonts w:ascii="宋体" w:hAnsi="宋体" w:cs="宋体" w:eastAsia="宋体" w:hint="default"/>
          <w:spacing w:val="-33"/>
        </w:rPr>
        <w:t> </w:t>
      </w:r>
      <w:r>
        <w:rPr/>
        <w:t>技术做</w:t>
      </w:r>
      <w:r>
        <w:rPr>
          <w:w w:val="100"/>
        </w:rPr>
        <w:t> </w:t>
      </w:r>
      <w:r>
        <w:rPr/>
        <w:t>相应的延伸。</w:t>
      </w:r>
      <w:r>
        <w:rPr>
          <w:rFonts w:ascii="宋体" w:hAnsi="宋体" w:cs="宋体" w:eastAsia="宋体" w:hint="default"/>
        </w:rPr>
        <w:t> </w:t>
      </w:r>
    </w:p>
    <w:p>
      <w:pPr>
        <w:pStyle w:val="BodyText"/>
        <w:spacing w:line="273" w:lineRule="auto" w:before="7"/>
        <w:ind w:left="573" w:right="1133" w:hanging="20"/>
        <w:jc w:val="left"/>
      </w:pPr>
      <w:r>
        <w:rPr/>
        <w:t>③</w:t>
      </w:r>
      <w:r>
        <w:rPr>
          <w:spacing w:val="103"/>
        </w:rPr>
        <w:t> </w:t>
      </w:r>
      <w:r>
        <w:rPr>
          <w:rFonts w:ascii="宋体" w:hAnsi="宋体" w:cs="宋体" w:eastAsia="宋体" w:hint="default"/>
          <w:spacing w:val="103"/>
        </w:rPr>
      </w:r>
      <w:r>
        <w:rPr/>
        <w:t>对公司场景运营能力有进一步提升</w:t>
      </w:r>
      <w:r>
        <w:rPr>
          <w:rFonts w:ascii="宋体" w:hAnsi="宋体" w:cs="宋体" w:eastAsia="宋体" w:hint="default"/>
          <w:w w:val="100"/>
        </w:rPr>
        <w:t> </w:t>
      </w:r>
      <w:r>
        <w:rPr>
          <w:spacing w:val="-2"/>
        </w:rPr>
        <w:t>公司坚持融合发展战略，基于融合通信服务网络，公司一直重点发展金融行业线上场景运营业务，利</w:t>
      </w:r>
    </w:p>
    <w:p>
      <w:pPr>
        <w:pStyle w:val="BodyText"/>
        <w:spacing w:line="273" w:lineRule="auto" w:before="7"/>
        <w:ind w:right="1126"/>
        <w:jc w:val="both"/>
        <w:rPr>
          <w:rFonts w:ascii="宋体" w:hAnsi="宋体" w:cs="宋体" w:eastAsia="宋体" w:hint="default"/>
        </w:rPr>
      </w:pPr>
      <w:r>
        <w:rPr/>
        <w:t>用丰富的通信手段，软件能力和数据处理能力。随着</w:t>
      </w:r>
      <w:r>
        <w:rPr>
          <w:spacing w:val="-64"/>
        </w:rPr>
        <w:t> </w:t>
      </w:r>
      <w:r>
        <w:rPr>
          <w:rFonts w:ascii="宋体" w:hAnsi="宋体" w:cs="宋体" w:eastAsia="宋体" w:hint="default"/>
        </w:rPr>
        <w:t>RCS</w:t>
      </w:r>
      <w:r>
        <w:rPr>
          <w:rFonts w:ascii="宋体" w:hAnsi="宋体" w:cs="宋体" w:eastAsia="宋体" w:hint="default"/>
          <w:spacing w:val="-67"/>
        </w:rPr>
        <w:t> </w:t>
      </w:r>
      <w:r>
        <w:rPr/>
        <w:t>技术的普及的到来，将丰富公司的场景运营的方</w:t>
      </w:r>
      <w:r>
        <w:rPr>
          <w:w w:val="100"/>
        </w:rPr>
        <w:t> </w:t>
      </w:r>
      <w:r>
        <w:rPr>
          <w:spacing w:val="-2"/>
        </w:rPr>
        <w:t>式，提高公司的竞争能力。公司场景运营可以帮助金融机构更好的去实现和客户沟通，帮助其实现销售收</w:t>
      </w:r>
      <w:r>
        <w:rPr>
          <w:spacing w:val="-44"/>
        </w:rPr>
        <w:t> </w:t>
      </w:r>
      <w:r>
        <w:rPr>
          <w:spacing w:val="-44"/>
        </w:rPr>
      </w:r>
      <w:r>
        <w:rPr/>
        <w:t>入的增长，我们作为技术服务提供厂商从中获取业务的分成。</w:t>
      </w:r>
      <w:r>
        <w:rPr>
          <w:rFonts w:ascii="宋体" w:hAnsi="宋体" w:cs="宋体" w:eastAsia="宋体" w:hint="default"/>
        </w:rPr>
        <w:t> </w:t>
      </w:r>
    </w:p>
    <w:p>
      <w:pPr>
        <w:spacing w:line="273" w:lineRule="auto" w:before="7"/>
        <w:ind w:left="573" w:right="1133" w:firstLine="0"/>
        <w:jc w:val="left"/>
        <w:rPr>
          <w:rFonts w:ascii="宋体" w:hAnsi="宋体" w:cs="宋体" w:eastAsia="宋体" w:hint="default"/>
          <w:sz w:val="21"/>
          <w:szCs w:val="21"/>
        </w:rPr>
      </w:pPr>
      <w:r>
        <w:rPr>
          <w:rFonts w:ascii="宋体" w:hAnsi="宋体" w:cs="宋体" w:eastAsia="宋体" w:hint="default"/>
          <w:b/>
          <w:bCs/>
          <w:sz w:val="21"/>
          <w:szCs w:val="21"/>
        </w:rPr>
        <w:t>（二）金融服务外包下的场景运营</w:t>
      </w:r>
      <w:r>
        <w:rPr>
          <w:rFonts w:ascii="宋体" w:hAnsi="宋体" w:cs="宋体" w:eastAsia="宋体" w:hint="default"/>
          <w:b/>
          <w:bCs/>
          <w:w w:val="99"/>
          <w:sz w:val="21"/>
          <w:szCs w:val="21"/>
        </w:rPr>
        <w:t> </w:t>
      </w:r>
      <w:r>
        <w:rPr>
          <w:rFonts w:ascii="宋体" w:hAnsi="宋体" w:cs="宋体" w:eastAsia="宋体" w:hint="default"/>
          <w:sz w:val="21"/>
          <w:szCs w:val="21"/>
        </w:rPr>
        <w:t>公司子公司嘉华信息主要从事的金融业务流程外包（</w:t>
      </w:r>
      <w:r>
        <w:rPr>
          <w:rFonts w:ascii="宋体" w:hAnsi="宋体" w:cs="宋体" w:eastAsia="宋体" w:hint="default"/>
          <w:sz w:val="21"/>
          <w:szCs w:val="21"/>
        </w:rPr>
        <w:t>BPO</w:t>
      </w:r>
      <w:r>
        <w:rPr>
          <w:rFonts w:ascii="宋体" w:hAnsi="宋体" w:cs="宋体" w:eastAsia="宋体" w:hint="default"/>
          <w:sz w:val="21"/>
          <w:szCs w:val="21"/>
        </w:rPr>
        <w:t>）是指金融机构将部分业务流程或职能委托</w:t>
      </w:r>
    </w:p>
    <w:p>
      <w:pPr>
        <w:pStyle w:val="BodyText"/>
        <w:spacing w:line="273" w:lineRule="auto" w:before="7"/>
        <w:ind w:right="1126"/>
        <w:jc w:val="both"/>
        <w:rPr>
          <w:rFonts w:ascii="宋体" w:hAnsi="宋体" w:cs="宋体" w:eastAsia="宋体" w:hint="default"/>
        </w:rPr>
      </w:pPr>
      <w:r>
        <w:rPr>
          <w:spacing w:val="-2"/>
        </w:rPr>
        <w:t>给专业服务商，由专业服务商为其提供相应的服务。金融业务流程外包帮助金融机构实现对辅助业务的有</w:t>
      </w:r>
      <w:r>
        <w:rPr>
          <w:spacing w:val="-43"/>
        </w:rPr>
        <w:t> </w:t>
      </w:r>
      <w:r>
        <w:rPr>
          <w:spacing w:val="-43"/>
        </w:rPr>
      </w:r>
      <w:r>
        <w:rPr>
          <w:spacing w:val="-2"/>
        </w:rPr>
        <w:t>效控制，改善辅助业务对核心业务的支撑作用，有利于金融机构降低成本、优化产业、提升企业核心竞争</w:t>
      </w:r>
      <w:r>
        <w:rPr>
          <w:spacing w:val="-50"/>
        </w:rPr>
        <w:t> </w:t>
      </w:r>
      <w:r>
        <w:rPr>
          <w:spacing w:val="-50"/>
        </w:rPr>
      </w:r>
      <w:r>
        <w:rPr>
          <w:spacing w:val="-2"/>
        </w:rPr>
        <w:t>力。目前的金融服务外包业务主要是嘉华信息在银行信用审核、账单和交易分期、现金分期以及还款及催</w:t>
      </w:r>
      <w:r>
        <w:rPr>
          <w:spacing w:val="-43"/>
        </w:rPr>
        <w:t> </w:t>
      </w:r>
      <w:r>
        <w:rPr>
          <w:spacing w:val="-43"/>
        </w:rPr>
      </w:r>
      <w:r>
        <w:rPr/>
        <w:t>收等环节提供全流程的金融外包服务。</w:t>
      </w:r>
      <w:r>
        <w:rPr>
          <w:rFonts w:ascii="宋体" w:hAnsi="宋体" w:cs="宋体" w:eastAsia="宋体" w:hint="default"/>
        </w:rPr>
        <w:t> </w:t>
      </w:r>
    </w:p>
    <w:p>
      <w:pPr>
        <w:spacing w:line="240" w:lineRule="auto" w:before="2"/>
        <w:rPr>
          <w:rFonts w:ascii="宋体" w:hAnsi="宋体" w:cs="宋体" w:eastAsia="宋体" w:hint="default"/>
          <w:sz w:val="14"/>
          <w:szCs w:val="14"/>
        </w:rPr>
      </w:pPr>
    </w:p>
    <w:p>
      <w:pPr>
        <w:pStyle w:val="Heading3"/>
        <w:spacing w:line="240" w:lineRule="auto" w:before="0"/>
        <w:ind w:left="289" w:right="1133"/>
        <w:jc w:val="left"/>
        <w:rPr>
          <w:rFonts w:ascii="宋体" w:hAnsi="宋体" w:cs="宋体" w:eastAsia="宋体" w:hint="default"/>
          <w:b w:val="0"/>
          <w:bCs w:val="0"/>
        </w:rPr>
      </w:pPr>
      <w:r>
        <w:rPr/>
        <w:t>图表 </w:t>
      </w:r>
      <w:r>
        <w:rPr>
          <w:rFonts w:ascii="宋体" w:hAnsi="宋体" w:cs="宋体" w:eastAsia="宋体" w:hint="default"/>
        </w:rPr>
      </w:r>
      <w:r>
        <w:rPr/>
        <w:t>嘉华的业务模式</w:t>
      </w:r>
      <w:r>
        <w:rPr>
          <w:rFonts w:ascii="宋体" w:hAnsi="宋体" w:cs="宋体" w:eastAsia="宋体" w:hint="default"/>
          <w:w w:val="99"/>
        </w:rPr>
        <w:t> </w:t>
      </w:r>
      <w:r>
        <w:rPr>
          <w:rFonts w:ascii="宋体" w:hAnsi="宋体" w:cs="宋体" w:eastAsia="宋体" w:hint="default"/>
          <w:b w:val="0"/>
          <w:bCs w:val="0"/>
        </w:rPr>
      </w:r>
    </w:p>
    <w:p>
      <w:pPr>
        <w:spacing w:line="240" w:lineRule="auto" w:before="8"/>
        <w:rPr>
          <w:rFonts w:ascii="宋体" w:hAnsi="宋体" w:cs="宋体" w:eastAsia="宋体" w:hint="default"/>
          <w:b/>
          <w:bCs/>
          <w:sz w:val="5"/>
          <w:szCs w:val="5"/>
        </w:rPr>
      </w:pPr>
    </w:p>
    <w:p>
      <w:pPr>
        <w:spacing w:line="4488" w:lineRule="exact"/>
        <w:ind w:left="172" w:right="0" w:firstLine="0"/>
        <w:rPr>
          <w:rFonts w:ascii="宋体" w:hAnsi="宋体" w:cs="宋体" w:eastAsia="宋体" w:hint="default"/>
          <w:sz w:val="20"/>
          <w:szCs w:val="20"/>
        </w:rPr>
      </w:pPr>
      <w:r>
        <w:rPr>
          <w:rFonts w:ascii="宋体" w:hAnsi="宋体" w:cs="宋体" w:eastAsia="宋体" w:hint="default"/>
          <w:position w:val="-89"/>
          <w:sz w:val="20"/>
          <w:szCs w:val="20"/>
        </w:rPr>
        <w:pict>
          <v:group style="width:408.45pt;height:224.45pt;mso-position-horizontal-relative:char;mso-position-vertical-relative:line" coordorigin="0,0" coordsize="8169,4489">
            <v:group style="position:absolute;left:10;top:10;width:8150;height:2" coordorigin="10,10" coordsize="8150,2">
              <v:shape style="position:absolute;left:10;top:10;width:8150;height:2" coordorigin="10,10" coordsize="8150,0" path="m10,10l8159,10e" filled="false" stroked="true" strokeweight=".96002pt" strokecolor="#336699">
                <v:path arrowok="t"/>
              </v:shape>
            </v:group>
            <v:group style="position:absolute;left:10;top:4479;width:8150;height:2" coordorigin="10,4479" coordsize="8150,2">
              <v:shape style="position:absolute;left:10;top:4479;width:8150;height:2" coordorigin="10,4479" coordsize="8150,0" path="m10,4479l8159,4479e" filled="false" stroked="true" strokeweight=".95996pt" strokecolor="#336699">
                <v:path arrowok="t"/>
              </v:shape>
              <v:shape style="position:absolute;left:35;top:70;width:7670;height:4348" type="#_x0000_t75" stroked="false">
                <v:imagedata r:id="rId20" o:title=""/>
              </v:shape>
              <v:shape style="position:absolute;left:7703;top:4267;width: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 </w:t>
                      </w:r>
                    </w:p>
                  </w:txbxContent>
                </v:textbox>
                <w10:wrap type="none"/>
              </v:shape>
            </v:group>
          </v:group>
        </w:pict>
      </w:r>
      <w:r>
        <w:rPr>
          <w:rFonts w:ascii="宋体" w:hAnsi="宋体" w:cs="宋体" w:eastAsia="宋体" w:hint="default"/>
          <w:position w:val="-89"/>
          <w:sz w:val="20"/>
          <w:szCs w:val="20"/>
        </w:rPr>
      </w:r>
    </w:p>
    <w:p>
      <w:pPr>
        <w:spacing w:before="64"/>
        <w:ind w:left="289" w:right="1133" w:firstLine="0"/>
        <w:jc w:val="left"/>
        <w:rPr>
          <w:rFonts w:ascii="宋体" w:hAnsi="宋体" w:cs="宋体" w:eastAsia="宋体" w:hint="default"/>
          <w:sz w:val="19"/>
          <w:szCs w:val="19"/>
        </w:rPr>
      </w:pPr>
      <w:r>
        <w:rPr>
          <w:rFonts w:ascii="宋体" w:hAnsi="宋体" w:cs="宋体" w:eastAsia="宋体" w:hint="default"/>
          <w:i/>
          <w:sz w:val="19"/>
          <w:szCs w:val="19"/>
        </w:rPr>
        <w:t>资料来源：中嘉博创</w:t>
      </w:r>
      <w:r>
        <w:rPr>
          <w:rFonts w:ascii="宋体" w:hAnsi="宋体" w:cs="宋体" w:eastAsia="宋体" w:hint="default"/>
          <w:i/>
          <w:sz w:val="19"/>
          <w:szCs w:val="19"/>
        </w:rPr>
        <w:t> </w:t>
      </w:r>
      <w:r>
        <w:rPr>
          <w:rFonts w:ascii="宋体" w:hAnsi="宋体" w:cs="宋体" w:eastAsia="宋体" w:hint="default"/>
          <w:sz w:val="19"/>
          <w:szCs w:val="19"/>
        </w:rPr>
      </w:r>
    </w:p>
    <w:p>
      <w:pPr>
        <w:spacing w:line="240" w:lineRule="auto" w:before="0"/>
        <w:rPr>
          <w:rFonts w:ascii="宋体" w:hAnsi="宋体" w:cs="宋体" w:eastAsia="宋体" w:hint="default"/>
          <w:i/>
          <w:sz w:val="15"/>
          <w:szCs w:val="15"/>
        </w:rPr>
      </w:pPr>
    </w:p>
    <w:p>
      <w:pPr>
        <w:pStyle w:val="BodyText"/>
        <w:spacing w:line="240" w:lineRule="auto" w:before="36"/>
        <w:ind w:left="573" w:right="1133"/>
        <w:jc w:val="left"/>
        <w:rPr>
          <w:rFonts w:ascii="宋体" w:hAnsi="宋体" w:cs="宋体" w:eastAsia="宋体" w:hint="default"/>
        </w:rPr>
      </w:pPr>
      <w:r>
        <w:rPr>
          <w:rFonts w:ascii="宋体" w:hAnsi="宋体" w:cs="宋体" w:eastAsia="宋体" w:hint="default"/>
        </w:rPr>
        <w:t>1</w:t>
      </w:r>
      <w:r>
        <w:rPr/>
        <w:t>、中国金融服务市场的快速增长，特别是信用卡市场</w:t>
      </w:r>
      <w:r>
        <w:rPr>
          <w:rFonts w:ascii="宋体" w:hAnsi="宋体" w:cs="宋体" w:eastAsia="宋体" w:hint="default"/>
        </w:rPr>
        <w:t> </w:t>
      </w:r>
    </w:p>
    <w:p>
      <w:pPr>
        <w:pStyle w:val="BodyText"/>
        <w:spacing w:line="273" w:lineRule="auto" w:before="37"/>
        <w:ind w:right="1126" w:firstLine="420"/>
        <w:jc w:val="left"/>
        <w:rPr>
          <w:rFonts w:ascii="宋体" w:hAnsi="宋体" w:cs="宋体" w:eastAsia="宋体" w:hint="default"/>
        </w:rPr>
      </w:pPr>
      <w:r>
        <w:rPr>
          <w:spacing w:val="-2"/>
        </w:rPr>
        <w:t>中国信用卡行业每年发卡量与授信额度都在飞快发展，对于银行而言，信用卡既是撬动消费和实体经</w:t>
      </w:r>
      <w:r>
        <w:rPr>
          <w:w w:val="100"/>
        </w:rPr>
        <w:t> </w:t>
      </w:r>
      <w:r>
        <w:rPr>
          <w:spacing w:val="-2"/>
        </w:rPr>
        <w:t>济巨大商机的支点，又是银行收入的主要来源。中国信用卡总发卡量在</w:t>
      </w:r>
      <w:r>
        <w:rPr>
          <w:rFonts w:ascii="宋体" w:hAnsi="宋体" w:cs="宋体" w:eastAsia="宋体" w:hint="default"/>
          <w:spacing w:val="-2"/>
        </w:rPr>
        <w:t>2011-2020</w:t>
      </w:r>
      <w:r>
        <w:rPr>
          <w:spacing w:val="-2"/>
        </w:rPr>
        <w:t>年期间以</w:t>
      </w:r>
      <w:r>
        <w:rPr>
          <w:rFonts w:ascii="宋体" w:hAnsi="宋体" w:cs="宋体" w:eastAsia="宋体" w:hint="default"/>
          <w:spacing w:val="-2"/>
        </w:rPr>
        <w:t>12%</w:t>
      </w:r>
      <w:r>
        <w:rPr>
          <w:spacing w:val="-2"/>
        </w:rPr>
        <w:t>的年增长率</w:t>
      </w:r>
      <w:r>
        <w:rPr>
          <w:spacing w:val="-37"/>
        </w:rPr>
        <w:t> </w:t>
      </w:r>
      <w:r>
        <w:rPr>
          <w:spacing w:val="-37"/>
        </w:rPr>
      </w:r>
      <w:r>
        <w:rPr/>
        <w:t>增长，到</w:t>
      </w:r>
      <w:r>
        <w:rPr>
          <w:rFonts w:ascii="宋体" w:hAnsi="宋体" w:cs="宋体" w:eastAsia="宋体" w:hint="default"/>
        </w:rPr>
        <w:t>2020</w:t>
      </w:r>
      <w:r>
        <w:rPr/>
        <w:t>年，信用卡发卡数量预计将达到</w:t>
      </w:r>
      <w:r>
        <w:rPr>
          <w:rFonts w:ascii="宋体" w:hAnsi="宋体" w:cs="宋体" w:eastAsia="宋体" w:hint="default"/>
        </w:rPr>
        <w:t>11.35</w:t>
      </w:r>
      <w:r>
        <w:rPr/>
        <w:t>亿张，届时中国城市里近</w:t>
      </w:r>
      <w:r>
        <w:rPr>
          <w:rFonts w:ascii="宋体" w:hAnsi="宋体" w:cs="宋体" w:eastAsia="宋体" w:hint="default"/>
        </w:rPr>
        <w:t>10</w:t>
      </w:r>
      <w:r>
        <w:rPr/>
        <w:t>亿的消费人口将催生出世</w:t>
      </w:r>
      <w:r>
        <w:rPr>
          <w:w w:val="100"/>
        </w:rPr>
        <w:t> </w:t>
      </w:r>
      <w:r>
        <w:rPr/>
        <w:t>界上最大的信用卡需求市场。</w:t>
      </w:r>
      <w:r>
        <w:rPr>
          <w:rFonts w:ascii="宋体" w:hAnsi="宋体" w:cs="宋体" w:eastAsia="宋体" w:hint="default"/>
        </w:rPr>
        <w:t> </w:t>
      </w:r>
    </w:p>
    <w:p>
      <w:pPr>
        <w:pStyle w:val="BodyText"/>
        <w:spacing w:line="240" w:lineRule="auto" w:before="7"/>
        <w:ind w:left="573" w:right="1133"/>
        <w:jc w:val="left"/>
      </w:pPr>
      <w:r>
        <w:rPr/>
        <w:t>通过</w:t>
      </w:r>
      <w:r>
        <w:rPr>
          <w:rFonts w:ascii="宋体" w:hAnsi="宋体" w:cs="宋体" w:eastAsia="宋体" w:hint="default"/>
        </w:rPr>
        <w:t>AI</w:t>
      </w:r>
      <w:r>
        <w:rPr/>
        <w:t>和大数据能力向</w:t>
      </w:r>
      <w:r>
        <w:rPr>
          <w:rFonts w:ascii="宋体" w:hAnsi="宋体" w:cs="宋体" w:eastAsia="宋体" w:hint="default"/>
        </w:rPr>
        <w:t>BPO</w:t>
      </w:r>
      <w:r>
        <w:rPr/>
        <w:t>赋能，公司全方位建设高质量精细化运营体系，以技术驱动运营，打造品</w:t>
      </w:r>
    </w:p>
    <w:p>
      <w:pPr>
        <w:spacing w:after="0" w:line="240" w:lineRule="auto"/>
        <w:jc w:val="left"/>
        <w:sectPr>
          <w:pgSz w:w="11910" w:h="16840"/>
          <w:pgMar w:header="880" w:footer="975" w:top="1100" w:bottom="1160" w:left="980" w:right="0"/>
        </w:sectPr>
      </w:pPr>
    </w:p>
    <w:p>
      <w:pPr>
        <w:spacing w:line="240" w:lineRule="auto" w:before="11"/>
        <w:rPr>
          <w:rFonts w:ascii="宋体" w:hAnsi="宋体" w:cs="宋体" w:eastAsia="宋体" w:hint="default"/>
          <w:sz w:val="20"/>
          <w:szCs w:val="20"/>
        </w:rPr>
      </w:pPr>
    </w:p>
    <w:p>
      <w:pPr>
        <w:pStyle w:val="BodyText"/>
        <w:spacing w:line="273" w:lineRule="auto" w:before="36"/>
        <w:ind w:right="1133"/>
        <w:jc w:val="left"/>
        <w:rPr>
          <w:rFonts w:ascii="宋体" w:hAnsi="宋体" w:cs="宋体" w:eastAsia="宋体" w:hint="default"/>
        </w:rPr>
      </w:pPr>
      <w:r>
        <w:rPr>
          <w:spacing w:val="-2"/>
        </w:rPr>
        <w:t>牌优势与运营优势，保持向客户提供高质量的交付水准，降低运营成本，提升服务产能，提高市场议价能</w:t>
      </w:r>
      <w:r>
        <w:rPr>
          <w:spacing w:val="-47"/>
        </w:rPr>
        <w:t> </w:t>
      </w:r>
      <w:r>
        <w:rPr>
          <w:spacing w:val="-47"/>
        </w:rPr>
      </w:r>
      <w:r>
        <w:rPr/>
        <w:t>力，在万亿市场规模中保持领先优势，继续扩大市场规模。</w:t>
      </w:r>
      <w:r>
        <w:rPr>
          <w:rFonts w:ascii="宋体" w:hAnsi="宋体" w:cs="宋体" w:eastAsia="宋体" w:hint="default"/>
        </w:rPr>
        <w:t> </w:t>
      </w:r>
    </w:p>
    <w:p>
      <w:pPr>
        <w:pStyle w:val="Heading3"/>
        <w:spacing w:line="240" w:lineRule="auto" w:before="70"/>
        <w:ind w:left="289" w:right="1133"/>
        <w:jc w:val="left"/>
        <w:rPr>
          <w:rFonts w:ascii="宋体" w:hAnsi="宋体" w:cs="宋体" w:eastAsia="宋体" w:hint="default"/>
          <w:b w:val="0"/>
          <w:bCs w:val="0"/>
        </w:rPr>
      </w:pPr>
      <w:r>
        <w:rPr/>
        <w:t>图表 </w:t>
      </w:r>
      <w:r>
        <w:rPr>
          <w:rFonts w:ascii="宋体" w:hAnsi="宋体" w:cs="宋体" w:eastAsia="宋体" w:hint="default"/>
        </w:rPr>
      </w:r>
      <w:r>
        <w:rPr/>
        <w:t>信用卡行业情况</w:t>
      </w:r>
      <w:r>
        <w:rPr>
          <w:rFonts w:ascii="宋体" w:hAnsi="宋体" w:cs="宋体" w:eastAsia="宋体" w:hint="default"/>
          <w:w w:val="99"/>
        </w:rPr>
        <w:t> </w:t>
      </w:r>
      <w:r>
        <w:rPr>
          <w:rFonts w:ascii="宋体" w:hAnsi="宋体" w:cs="宋体" w:eastAsia="宋体" w:hint="default"/>
          <w:b w:val="0"/>
          <w:bCs w:val="0"/>
        </w:rPr>
      </w:r>
    </w:p>
    <w:p>
      <w:pPr>
        <w:spacing w:line="240" w:lineRule="auto" w:before="10"/>
        <w:rPr>
          <w:rFonts w:ascii="宋体" w:hAnsi="宋体" w:cs="宋体" w:eastAsia="宋体" w:hint="default"/>
          <w:b/>
          <w:bCs/>
          <w:sz w:val="3"/>
          <w:szCs w:val="3"/>
        </w:rPr>
      </w:pPr>
    </w:p>
    <w:p>
      <w:pPr>
        <w:spacing w:line="20" w:lineRule="exact"/>
        <w:ind w:left="172" w:right="0" w:firstLine="0"/>
        <w:rPr>
          <w:rFonts w:ascii="宋体" w:hAnsi="宋体" w:cs="宋体" w:eastAsia="宋体" w:hint="default"/>
          <w:sz w:val="2"/>
          <w:szCs w:val="2"/>
        </w:rPr>
      </w:pPr>
      <w:r>
        <w:rPr>
          <w:rFonts w:ascii="宋体" w:hAnsi="宋体" w:cs="宋体" w:eastAsia="宋体" w:hint="default"/>
          <w:sz w:val="2"/>
          <w:szCs w:val="2"/>
        </w:rPr>
        <w:pict>
          <v:group style="width:511.7pt;height:1pt;mso-position-horizontal-relative:char;mso-position-vertical-relative:line" coordorigin="0,0" coordsize="10234,20">
            <v:group style="position:absolute;left:10;top:10;width:10214;height:2" coordorigin="10,10" coordsize="10214,2">
              <v:shape style="position:absolute;left:10;top:10;width:10214;height:2" coordorigin="10,10" coordsize="10214,0" path="m10,10l10224,10e" filled="false" stroked="true" strokeweight=".96pt" strokecolor="#336699">
                <v:path arrowok="t"/>
              </v:shape>
            </v:group>
          </v:group>
        </w:pict>
      </w:r>
      <w:r>
        <w:rPr>
          <w:rFonts w:ascii="宋体" w:hAnsi="宋体" w:cs="宋体" w:eastAsia="宋体" w:hint="default"/>
          <w:sz w:val="2"/>
          <w:szCs w:val="2"/>
        </w:rPr>
      </w:r>
    </w:p>
    <w:p>
      <w:pPr>
        <w:spacing w:line="240" w:lineRule="auto" w:before="7"/>
        <w:rPr>
          <w:rFonts w:ascii="宋体" w:hAnsi="宋体" w:cs="宋体" w:eastAsia="宋体" w:hint="default"/>
          <w:b/>
          <w:bCs/>
          <w:sz w:val="13"/>
          <w:szCs w:val="13"/>
        </w:rPr>
      </w:pPr>
    </w:p>
    <w:p>
      <w:pPr>
        <w:spacing w:line="3765" w:lineRule="exact"/>
        <w:ind w:left="207" w:right="0" w:firstLine="0"/>
        <w:rPr>
          <w:rFonts w:ascii="宋体" w:hAnsi="宋体" w:cs="宋体" w:eastAsia="宋体" w:hint="default"/>
          <w:sz w:val="20"/>
          <w:szCs w:val="20"/>
        </w:rPr>
      </w:pPr>
      <w:r>
        <w:rPr>
          <w:rFonts w:ascii="宋体" w:hAnsi="宋体" w:cs="宋体" w:eastAsia="宋体" w:hint="default"/>
          <w:position w:val="-74"/>
          <w:sz w:val="20"/>
          <w:szCs w:val="20"/>
        </w:rPr>
        <w:drawing>
          <wp:inline distT="0" distB="0" distL="0" distR="0">
            <wp:extent cx="5934143" cy="2390775"/>
            <wp:effectExtent l="0" t="0" r="0" b="0"/>
            <wp:docPr id="9" name="image9.jpeg" descr=""/>
            <wp:cNvGraphicFramePr>
              <a:graphicFrameLocks noChangeAspect="1"/>
            </wp:cNvGraphicFramePr>
            <a:graphic>
              <a:graphicData uri="http://schemas.openxmlformats.org/drawingml/2006/picture">
                <pic:pic>
                  <pic:nvPicPr>
                    <pic:cNvPr id="10" name="image9.jpeg"/>
                    <pic:cNvPicPr/>
                  </pic:nvPicPr>
                  <pic:blipFill>
                    <a:blip r:embed="rId21" cstate="print"/>
                    <a:stretch>
                      <a:fillRect/>
                    </a:stretch>
                  </pic:blipFill>
                  <pic:spPr>
                    <a:xfrm>
                      <a:off x="0" y="0"/>
                      <a:ext cx="5934143" cy="2390775"/>
                    </a:xfrm>
                    <a:prstGeom prst="rect">
                      <a:avLst/>
                    </a:prstGeom>
                  </pic:spPr>
                </pic:pic>
              </a:graphicData>
            </a:graphic>
          </wp:inline>
        </w:drawing>
      </w:r>
      <w:r>
        <w:rPr>
          <w:rFonts w:ascii="宋体" w:hAnsi="宋体" w:cs="宋体" w:eastAsia="宋体" w:hint="default"/>
          <w:position w:val="-74"/>
          <w:sz w:val="20"/>
          <w:szCs w:val="20"/>
        </w:rPr>
      </w:r>
    </w:p>
    <w:p>
      <w:pPr>
        <w:spacing w:line="240" w:lineRule="auto" w:before="10"/>
        <w:rPr>
          <w:rFonts w:ascii="宋体" w:hAnsi="宋体" w:cs="宋体" w:eastAsia="宋体" w:hint="default"/>
          <w:b/>
          <w:bCs/>
          <w:sz w:val="14"/>
          <w:szCs w:val="14"/>
        </w:rPr>
      </w:pPr>
    </w:p>
    <w:p>
      <w:pPr>
        <w:spacing w:line="20" w:lineRule="exact"/>
        <w:ind w:left="172" w:right="0" w:firstLine="0"/>
        <w:rPr>
          <w:rFonts w:ascii="宋体" w:hAnsi="宋体" w:cs="宋体" w:eastAsia="宋体" w:hint="default"/>
          <w:sz w:val="2"/>
          <w:szCs w:val="2"/>
        </w:rPr>
      </w:pPr>
      <w:r>
        <w:rPr>
          <w:rFonts w:ascii="宋体" w:hAnsi="宋体" w:cs="宋体" w:eastAsia="宋体" w:hint="default"/>
          <w:sz w:val="2"/>
          <w:szCs w:val="2"/>
        </w:rPr>
        <w:pict>
          <v:group style="width:511.7pt;height:1pt;mso-position-horizontal-relative:char;mso-position-vertical-relative:line" coordorigin="0,0" coordsize="10234,20">
            <v:group style="position:absolute;left:10;top:10;width:10214;height:2" coordorigin="10,10" coordsize="10214,2">
              <v:shape style="position:absolute;left:10;top:10;width:10214;height:2" coordorigin="10,10" coordsize="10214,0" path="m10,10l10224,10e" filled="false" stroked="true" strokeweight=".96002pt" strokecolor="#336699">
                <v:path arrowok="t"/>
              </v:shape>
            </v:group>
          </v:group>
        </w:pict>
      </w:r>
      <w:r>
        <w:rPr>
          <w:rFonts w:ascii="宋体" w:hAnsi="宋体" w:cs="宋体" w:eastAsia="宋体" w:hint="default"/>
          <w:sz w:val="2"/>
          <w:szCs w:val="2"/>
        </w:rPr>
      </w:r>
    </w:p>
    <w:p>
      <w:pPr>
        <w:spacing w:before="65"/>
        <w:ind w:left="289" w:right="1133" w:firstLine="0"/>
        <w:jc w:val="left"/>
        <w:rPr>
          <w:rFonts w:ascii="宋体" w:hAnsi="宋体" w:cs="宋体" w:eastAsia="宋体" w:hint="default"/>
          <w:sz w:val="19"/>
          <w:szCs w:val="19"/>
        </w:rPr>
      </w:pPr>
      <w:r>
        <w:rPr>
          <w:rFonts w:ascii="宋体" w:hAnsi="宋体" w:cs="宋体" w:eastAsia="宋体" w:hint="default"/>
          <w:i/>
          <w:w w:val="95"/>
          <w:sz w:val="19"/>
          <w:szCs w:val="19"/>
        </w:rPr>
        <w:t>资料来源：</w:t>
      </w:r>
      <w:r>
        <w:rPr>
          <w:rFonts w:ascii="宋体" w:hAnsi="宋体" w:cs="宋体" w:eastAsia="宋体" w:hint="default"/>
          <w:i/>
          <w:w w:val="95"/>
          <w:sz w:val="19"/>
          <w:szCs w:val="19"/>
        </w:rPr>
        <w:t>wind </w:t>
      </w:r>
      <w:r>
        <w:rPr>
          <w:rFonts w:ascii="宋体" w:hAnsi="宋体" w:cs="宋体" w:eastAsia="宋体" w:hint="default"/>
          <w:i/>
          <w:w w:val="95"/>
          <w:sz w:val="19"/>
          <w:szCs w:val="19"/>
        </w:rPr>
        <w:t>天风证券报告《这次不一样：你知道我们刷了多少信用卡吗？</w:t>
      </w:r>
      <w:r>
        <w:rPr>
          <w:rFonts w:ascii="宋体" w:hAnsi="宋体" w:cs="宋体" w:eastAsia="宋体" w:hint="default"/>
          <w:i/>
          <w:spacing w:val="-19"/>
          <w:w w:val="95"/>
          <w:sz w:val="19"/>
          <w:szCs w:val="19"/>
        </w:rPr>
        <w:t> </w:t>
      </w:r>
      <w:r>
        <w:rPr>
          <w:rFonts w:ascii="宋体" w:hAnsi="宋体" w:cs="宋体" w:eastAsia="宋体" w:hint="default"/>
          <w:i/>
          <w:spacing w:val="-19"/>
          <w:w w:val="95"/>
          <w:sz w:val="19"/>
          <w:szCs w:val="19"/>
        </w:rPr>
      </w:r>
      <w:r>
        <w:rPr>
          <w:rFonts w:ascii="宋体" w:hAnsi="宋体" w:cs="宋体" w:eastAsia="宋体" w:hint="default"/>
          <w:i/>
          <w:w w:val="95"/>
          <w:sz w:val="19"/>
          <w:szCs w:val="19"/>
        </w:rPr>
        <w:t>》</w:t>
      </w:r>
      <w:r>
        <w:rPr>
          <w:rFonts w:ascii="宋体" w:hAnsi="宋体" w:cs="宋体" w:eastAsia="宋体" w:hint="default"/>
          <w:i/>
          <w:w w:val="95"/>
          <w:sz w:val="19"/>
          <w:szCs w:val="19"/>
        </w:rPr>
        <w:t> </w:t>
      </w:r>
      <w:r>
        <w:rPr>
          <w:rFonts w:ascii="宋体" w:hAnsi="宋体" w:cs="宋体" w:eastAsia="宋体" w:hint="default"/>
          <w:sz w:val="19"/>
          <w:szCs w:val="19"/>
        </w:rPr>
      </w:r>
    </w:p>
    <w:p>
      <w:pPr>
        <w:spacing w:line="240" w:lineRule="auto" w:before="10"/>
        <w:rPr>
          <w:rFonts w:ascii="宋体" w:hAnsi="宋体" w:cs="宋体" w:eastAsia="宋体" w:hint="default"/>
          <w:i/>
          <w:sz w:val="14"/>
          <w:szCs w:val="14"/>
        </w:rPr>
      </w:pPr>
    </w:p>
    <w:p>
      <w:pPr>
        <w:pStyle w:val="Heading3"/>
        <w:spacing w:line="240" w:lineRule="auto"/>
        <w:ind w:left="575" w:right="1133"/>
        <w:jc w:val="left"/>
        <w:rPr>
          <w:rFonts w:ascii="宋体" w:hAnsi="宋体" w:cs="宋体" w:eastAsia="宋体" w:hint="default"/>
          <w:b w:val="0"/>
          <w:bCs w:val="0"/>
        </w:rPr>
      </w:pPr>
      <w:r>
        <w:rPr>
          <w:rFonts w:ascii="宋体" w:hAnsi="宋体" w:cs="宋体" w:eastAsia="宋体" w:hint="default"/>
        </w:rPr>
        <w:t>2</w:t>
      </w:r>
      <w:r>
        <w:rPr/>
        <w:t>、展望</w:t>
      </w:r>
      <w:r>
        <w:rPr>
          <w:rFonts w:ascii="宋体" w:hAnsi="宋体" w:cs="宋体" w:eastAsia="宋体" w:hint="default"/>
        </w:rPr>
        <w:t>2020</w:t>
      </w:r>
      <w:r>
        <w:rPr/>
        <w:t>：从场景运营向金融</w:t>
      </w:r>
      <w:r>
        <w:rPr>
          <w:rFonts w:ascii="宋体" w:hAnsi="宋体" w:cs="宋体" w:eastAsia="宋体" w:hint="default"/>
        </w:rPr>
        <w:t>AI</w:t>
      </w:r>
      <w:r>
        <w:rPr/>
        <w:t>拓展。</w:t>
      </w:r>
      <w:r>
        <w:rPr>
          <w:rFonts w:ascii="宋体" w:hAnsi="宋体" w:cs="宋体" w:eastAsia="宋体" w:hint="default"/>
          <w:b w:val="0"/>
          <w:bCs w:val="0"/>
          <w:w w:val="100"/>
        </w:rPr>
        <w:t> </w:t>
      </w:r>
    </w:p>
    <w:p>
      <w:pPr>
        <w:pStyle w:val="BodyText"/>
        <w:spacing w:line="273" w:lineRule="auto" w:before="37"/>
        <w:ind w:right="1126" w:firstLine="420"/>
        <w:jc w:val="both"/>
        <w:rPr>
          <w:rFonts w:ascii="宋体" w:hAnsi="宋体" w:cs="宋体" w:eastAsia="宋体" w:hint="default"/>
        </w:rPr>
      </w:pPr>
      <w:r>
        <w:rPr>
          <w:rFonts w:ascii="宋体" w:hAnsi="宋体" w:cs="宋体" w:eastAsia="宋体" w:hint="default"/>
          <w:spacing w:val="-2"/>
        </w:rPr>
        <w:t>2019</w:t>
      </w:r>
      <w:r>
        <w:rPr>
          <w:spacing w:val="-2"/>
        </w:rPr>
        <w:t>年公司的金融服务外包的场景运营业务发展迅速，收入和利润水平都创出历史新高。展望</w:t>
      </w:r>
      <w:r>
        <w:rPr>
          <w:rFonts w:ascii="宋体" w:hAnsi="宋体" w:cs="宋体" w:eastAsia="宋体" w:hint="default"/>
          <w:spacing w:val="-2"/>
        </w:rPr>
        <w:t>2020</w:t>
      </w:r>
      <w:r>
        <w:rPr>
          <w:spacing w:val="-2"/>
        </w:rPr>
        <w:t>年</w:t>
      </w:r>
      <w:r>
        <w:rPr>
          <w:w w:val="100"/>
        </w:rPr>
        <w:t> </w:t>
      </w:r>
      <w:r>
        <w:rPr>
          <w:spacing w:val="-2"/>
        </w:rPr>
        <w:t>金融服务外包仍将是我们高速增长的重点，同时业务也将从场景运营向金融</w:t>
      </w:r>
      <w:r>
        <w:rPr>
          <w:rFonts w:ascii="宋体" w:hAnsi="宋体" w:cs="宋体" w:eastAsia="宋体" w:hint="default"/>
          <w:spacing w:val="-2"/>
        </w:rPr>
        <w:t>AI</w:t>
      </w:r>
      <w:r>
        <w:rPr>
          <w:spacing w:val="-2"/>
        </w:rPr>
        <w:t>拓展，不断提高我们的毛利</w:t>
      </w:r>
      <w:r>
        <w:rPr>
          <w:spacing w:val="-44"/>
        </w:rPr>
        <w:t> </w:t>
      </w:r>
      <w:r>
        <w:rPr>
          <w:spacing w:val="-44"/>
        </w:rPr>
      </w:r>
      <w:r>
        <w:rPr/>
        <w:t>率水平。</w:t>
      </w:r>
      <w:r>
        <w:rPr>
          <w:rFonts w:ascii="宋体" w:hAnsi="宋体" w:cs="宋体" w:eastAsia="宋体" w:hint="default"/>
        </w:rPr>
        <w:t> </w:t>
      </w:r>
    </w:p>
    <w:p>
      <w:pPr>
        <w:pStyle w:val="BodyText"/>
        <w:spacing w:line="273" w:lineRule="auto" w:before="7"/>
        <w:ind w:right="1126" w:firstLine="420"/>
        <w:jc w:val="both"/>
        <w:rPr>
          <w:rFonts w:ascii="宋体" w:hAnsi="宋体" w:cs="宋体" w:eastAsia="宋体" w:hint="default"/>
        </w:rPr>
      </w:pPr>
      <w:r>
        <w:rPr>
          <w:spacing w:val="-3"/>
        </w:rPr>
        <w:t>一方面，要提高我们的运营能力，要扩大我们的坐席数，进行新的投资建设，进而进入更多银行的供</w:t>
      </w:r>
      <w:r>
        <w:rPr>
          <w:w w:val="100"/>
        </w:rPr>
        <w:t> </w:t>
      </w:r>
      <w:r>
        <w:rPr>
          <w:spacing w:val="-2"/>
        </w:rPr>
        <w:t>应商名单以及提高在单个银行的市场份额。</w:t>
      </w:r>
      <w:r>
        <w:rPr>
          <w:rFonts w:ascii="宋体" w:hAnsi="宋体" w:cs="宋体" w:eastAsia="宋体" w:hint="default"/>
          <w:spacing w:val="-2"/>
        </w:rPr>
        <w:t>2020</w:t>
      </w:r>
      <w:r>
        <w:rPr>
          <w:spacing w:val="-2"/>
        </w:rPr>
        <w:t>年初我们已经陆续中标了招商银行信用卡中心、兴业银行</w:t>
      </w:r>
      <w:r>
        <w:rPr>
          <w:spacing w:val="-39"/>
        </w:rPr>
        <w:t> </w:t>
      </w:r>
      <w:r>
        <w:rPr>
          <w:spacing w:val="-39"/>
        </w:rPr>
      </w:r>
      <w:r>
        <w:rPr/>
        <w:t>等项目，有力保障了我们金融服务外包业务持续的增长。</w:t>
      </w:r>
      <w:r>
        <w:rPr>
          <w:rFonts w:ascii="宋体" w:hAnsi="宋体" w:cs="宋体" w:eastAsia="宋体" w:hint="default"/>
        </w:rPr>
        <w:t> </w:t>
      </w:r>
    </w:p>
    <w:p>
      <w:pPr>
        <w:pStyle w:val="BodyText"/>
        <w:spacing w:line="273" w:lineRule="auto" w:before="8"/>
        <w:ind w:right="1126" w:firstLine="420"/>
        <w:jc w:val="both"/>
        <w:rPr>
          <w:rFonts w:ascii="宋体" w:hAnsi="宋体" w:cs="宋体" w:eastAsia="宋体" w:hint="default"/>
        </w:rPr>
      </w:pPr>
      <w:r>
        <w:rPr>
          <w:spacing w:val="-2"/>
        </w:rPr>
        <w:t>另一方面要提高效率，加大人工智能技术下的新一代呼叫中心的研发。智能机器人的推广应用可以让</w:t>
      </w:r>
      <w:r>
        <w:rPr>
          <w:w w:val="100"/>
        </w:rPr>
        <w:t> </w:t>
      </w:r>
      <w:r>
        <w:rPr>
          <w:spacing w:val="-2"/>
        </w:rPr>
        <w:t>很多人工客服从繁复的问答中解脱出来，比如，在线客服等业务，企业也可以节省大量的人力成本和时间</w:t>
      </w:r>
      <w:r>
        <w:rPr>
          <w:spacing w:val="-44"/>
        </w:rPr>
        <w:t> </w:t>
      </w:r>
      <w:r>
        <w:rPr>
          <w:spacing w:val="-44"/>
        </w:rPr>
      </w:r>
      <w:r>
        <w:rPr>
          <w:spacing w:val="-2"/>
        </w:rPr>
        <w:t>成本。智能语音质检，座席代表与客户交流过程中，通过语音识别系统将语音转化成为文字。通过企业前</w:t>
      </w:r>
      <w:r>
        <w:rPr>
          <w:spacing w:val="-47"/>
        </w:rPr>
        <w:t> </w:t>
      </w:r>
      <w:r>
        <w:rPr>
          <w:spacing w:val="-47"/>
        </w:rPr>
      </w:r>
      <w:r>
        <w:rPr>
          <w:spacing w:val="-2"/>
        </w:rPr>
        <w:t>期录入系统中间的关键词、业务关键点、流程备注、话语重复次数要求等业务模型和服务模型要求对座席</w:t>
      </w:r>
      <w:r>
        <w:rPr>
          <w:spacing w:val="-45"/>
        </w:rPr>
        <w:t> </w:t>
      </w:r>
      <w:r>
        <w:rPr>
          <w:spacing w:val="-45"/>
        </w:rPr>
      </w:r>
      <w:r>
        <w:rPr/>
        <w:t>进行业务质检。</w:t>
      </w:r>
      <w:r>
        <w:rPr>
          <w:rFonts w:ascii="宋体" w:hAnsi="宋体" w:cs="宋体" w:eastAsia="宋体" w:hint="default"/>
        </w:rPr>
        <w:t> </w:t>
      </w:r>
    </w:p>
    <w:p>
      <w:pPr>
        <w:pStyle w:val="Heading3"/>
        <w:spacing w:line="240" w:lineRule="auto" w:before="7"/>
        <w:ind w:left="289" w:right="1133"/>
        <w:jc w:val="left"/>
        <w:rPr>
          <w:rFonts w:ascii="宋体" w:hAnsi="宋体" w:cs="宋体" w:eastAsia="宋体" w:hint="default"/>
          <w:b w:val="0"/>
          <w:bCs w:val="0"/>
        </w:rPr>
      </w:pPr>
      <w:r>
        <w:rPr/>
        <w:t>图表</w:t>
      </w:r>
      <w:r>
        <w:rPr>
          <w:spacing w:val="-1"/>
        </w:rPr>
        <w:t> </w:t>
      </w:r>
      <w:r>
        <w:rPr>
          <w:rFonts w:ascii="宋体" w:hAnsi="宋体" w:cs="宋体" w:eastAsia="宋体" w:hint="default"/>
          <w:spacing w:val="-1"/>
        </w:rPr>
      </w:r>
      <w:r>
        <w:rPr/>
        <w:t>公司金融</w:t>
      </w:r>
      <w:r>
        <w:rPr>
          <w:spacing w:val="-54"/>
        </w:rPr>
        <w:t> </w:t>
      </w:r>
      <w:r>
        <w:rPr>
          <w:rFonts w:ascii="宋体" w:hAnsi="宋体" w:cs="宋体" w:eastAsia="宋体" w:hint="default"/>
        </w:rPr>
        <w:t>AI</w:t>
      </w:r>
      <w:r>
        <w:rPr>
          <w:rFonts w:ascii="宋体" w:hAnsi="宋体" w:cs="宋体" w:eastAsia="宋体" w:hint="default"/>
          <w:spacing w:val="-54"/>
        </w:rPr>
        <w:t> </w:t>
      </w:r>
      <w:r>
        <w:rPr/>
        <w:t>在产业链中的环节</w:t>
      </w:r>
      <w:r>
        <w:rPr>
          <w:rFonts w:ascii="宋体" w:hAnsi="宋体" w:cs="宋体" w:eastAsia="宋体" w:hint="default"/>
          <w:w w:val="99"/>
        </w:rPr>
        <w:t> </w:t>
      </w:r>
      <w:r>
        <w:rPr>
          <w:rFonts w:ascii="宋体" w:hAnsi="宋体" w:cs="宋体" w:eastAsia="宋体" w:hint="default"/>
          <w:b w:val="0"/>
          <w:bCs w:val="0"/>
        </w:rPr>
      </w:r>
    </w:p>
    <w:p>
      <w:pPr>
        <w:spacing w:line="240" w:lineRule="auto" w:before="10"/>
        <w:rPr>
          <w:rFonts w:ascii="宋体" w:hAnsi="宋体" w:cs="宋体" w:eastAsia="宋体" w:hint="default"/>
          <w:b/>
          <w:bCs/>
          <w:sz w:val="3"/>
          <w:szCs w:val="3"/>
        </w:rPr>
      </w:pPr>
    </w:p>
    <w:p>
      <w:pPr>
        <w:spacing w:line="20" w:lineRule="exact"/>
        <w:ind w:left="172" w:right="0" w:firstLine="0"/>
        <w:rPr>
          <w:rFonts w:ascii="宋体" w:hAnsi="宋体" w:cs="宋体" w:eastAsia="宋体" w:hint="default"/>
          <w:sz w:val="2"/>
          <w:szCs w:val="2"/>
        </w:rPr>
      </w:pPr>
      <w:r>
        <w:rPr>
          <w:rFonts w:ascii="宋体" w:hAnsi="宋体" w:cs="宋体" w:eastAsia="宋体" w:hint="default"/>
          <w:sz w:val="2"/>
          <w:szCs w:val="2"/>
        </w:rPr>
        <w:pict>
          <v:group style="width:462pt;height:1pt;mso-position-horizontal-relative:char;mso-position-vertical-relative:line" coordorigin="0,0" coordsize="9240,20">
            <v:group style="position:absolute;left:10;top:10;width:9221;height:2" coordorigin="10,10" coordsize="9221,2">
              <v:shape style="position:absolute;left:10;top:10;width:9221;height:2" coordorigin="10,10" coordsize="9221,0" path="m10,10l9230,10e" filled="false" stroked="true" strokeweight=".96002pt" strokecolor="#336699">
                <v:path arrowok="t"/>
              </v:shape>
            </v:group>
          </v:group>
        </w:pict>
      </w:r>
      <w:r>
        <w:rPr>
          <w:rFonts w:ascii="宋体" w:hAnsi="宋体" w:cs="宋体" w:eastAsia="宋体" w:hint="default"/>
          <w:sz w:val="2"/>
          <w:szCs w:val="2"/>
        </w:rPr>
      </w:r>
    </w:p>
    <w:p>
      <w:pPr>
        <w:spacing w:line="240" w:lineRule="auto" w:before="10"/>
        <w:rPr>
          <w:rFonts w:ascii="宋体" w:hAnsi="宋体" w:cs="宋体" w:eastAsia="宋体" w:hint="default"/>
          <w:b/>
          <w:bCs/>
          <w:sz w:val="9"/>
          <w:szCs w:val="9"/>
        </w:rPr>
      </w:pPr>
    </w:p>
    <w:p>
      <w:pPr>
        <w:spacing w:line="3480" w:lineRule="exact"/>
        <w:ind w:left="290" w:right="0" w:firstLine="0"/>
        <w:rPr>
          <w:rFonts w:ascii="宋体" w:hAnsi="宋体" w:cs="宋体" w:eastAsia="宋体" w:hint="default"/>
          <w:sz w:val="20"/>
          <w:szCs w:val="20"/>
        </w:rPr>
      </w:pPr>
      <w:r>
        <w:rPr>
          <w:rFonts w:ascii="宋体" w:hAnsi="宋体" w:cs="宋体" w:eastAsia="宋体" w:hint="default"/>
          <w:position w:val="-69"/>
          <w:sz w:val="20"/>
          <w:szCs w:val="20"/>
        </w:rPr>
        <w:drawing>
          <wp:inline distT="0" distB="0" distL="0" distR="0">
            <wp:extent cx="5319874" cy="2209800"/>
            <wp:effectExtent l="0" t="0" r="0" b="0"/>
            <wp:docPr id="11" name="image10.jpeg" descr=""/>
            <wp:cNvGraphicFramePr>
              <a:graphicFrameLocks noChangeAspect="1"/>
            </wp:cNvGraphicFramePr>
            <a:graphic>
              <a:graphicData uri="http://schemas.openxmlformats.org/drawingml/2006/picture">
                <pic:pic>
                  <pic:nvPicPr>
                    <pic:cNvPr id="12" name="image10.jpeg"/>
                    <pic:cNvPicPr/>
                  </pic:nvPicPr>
                  <pic:blipFill>
                    <a:blip r:embed="rId22" cstate="print"/>
                    <a:stretch>
                      <a:fillRect/>
                    </a:stretch>
                  </pic:blipFill>
                  <pic:spPr>
                    <a:xfrm>
                      <a:off x="0" y="0"/>
                      <a:ext cx="5319874" cy="2209800"/>
                    </a:xfrm>
                    <a:prstGeom prst="rect">
                      <a:avLst/>
                    </a:prstGeom>
                  </pic:spPr>
                </pic:pic>
              </a:graphicData>
            </a:graphic>
          </wp:inline>
        </w:drawing>
      </w:r>
      <w:r>
        <w:rPr>
          <w:rFonts w:ascii="宋体" w:hAnsi="宋体" w:cs="宋体" w:eastAsia="宋体" w:hint="default"/>
          <w:position w:val="-69"/>
          <w:sz w:val="20"/>
          <w:szCs w:val="20"/>
        </w:rPr>
      </w:r>
    </w:p>
    <w:p>
      <w:pPr>
        <w:spacing w:line="240" w:lineRule="auto" w:before="5"/>
        <w:rPr>
          <w:rFonts w:ascii="宋体" w:hAnsi="宋体" w:cs="宋体" w:eastAsia="宋体" w:hint="default"/>
          <w:b/>
          <w:bCs/>
          <w:sz w:val="10"/>
          <w:szCs w:val="10"/>
        </w:rPr>
      </w:pPr>
    </w:p>
    <w:p>
      <w:pPr>
        <w:spacing w:line="20" w:lineRule="exact"/>
        <w:ind w:left="172" w:right="0" w:firstLine="0"/>
        <w:rPr>
          <w:rFonts w:ascii="宋体" w:hAnsi="宋体" w:cs="宋体" w:eastAsia="宋体" w:hint="default"/>
          <w:sz w:val="2"/>
          <w:szCs w:val="2"/>
        </w:rPr>
      </w:pPr>
      <w:r>
        <w:rPr>
          <w:rFonts w:ascii="宋体" w:hAnsi="宋体" w:cs="宋体" w:eastAsia="宋体" w:hint="default"/>
          <w:sz w:val="2"/>
          <w:szCs w:val="2"/>
        </w:rPr>
        <w:pict>
          <v:group style="width:462pt;height:1pt;mso-position-horizontal-relative:char;mso-position-vertical-relative:line" coordorigin="0,0" coordsize="9240,20">
            <v:group style="position:absolute;left:10;top:10;width:9221;height:2" coordorigin="10,10" coordsize="9221,2">
              <v:shape style="position:absolute;left:10;top:10;width:9221;height:2" coordorigin="10,10" coordsize="9221,0" path="m10,10l9230,10e" filled="false" stroked="true" strokeweight=".95996pt" strokecolor="#336699">
                <v:path arrowok="t"/>
              </v:shape>
            </v:group>
          </v:group>
        </w:pict>
      </w:r>
      <w:r>
        <w:rPr>
          <w:rFonts w:ascii="宋体" w:hAnsi="宋体" w:cs="宋体" w:eastAsia="宋体" w:hint="default"/>
          <w:sz w:val="2"/>
          <w:szCs w:val="2"/>
        </w:rPr>
      </w:r>
    </w:p>
    <w:p>
      <w:pPr>
        <w:spacing w:before="0"/>
        <w:ind w:left="289" w:right="1133" w:firstLine="0"/>
        <w:jc w:val="left"/>
        <w:rPr>
          <w:rFonts w:ascii="宋体" w:hAnsi="宋体" w:cs="宋体" w:eastAsia="宋体" w:hint="default"/>
          <w:sz w:val="19"/>
          <w:szCs w:val="19"/>
        </w:rPr>
      </w:pPr>
      <w:r>
        <w:rPr>
          <w:rFonts w:ascii="宋体" w:hAnsi="宋体" w:cs="宋体" w:eastAsia="宋体" w:hint="default"/>
          <w:i/>
          <w:sz w:val="19"/>
          <w:szCs w:val="19"/>
        </w:rPr>
        <w:t>资料来源：中嘉博创</w:t>
      </w:r>
      <w:r>
        <w:rPr>
          <w:rFonts w:ascii="宋体" w:hAnsi="宋体" w:cs="宋体" w:eastAsia="宋体" w:hint="default"/>
          <w:i/>
          <w:sz w:val="19"/>
          <w:szCs w:val="19"/>
        </w:rPr>
        <w:t> </w:t>
      </w:r>
      <w:r>
        <w:rPr>
          <w:rFonts w:ascii="宋体" w:hAnsi="宋体" w:cs="宋体" w:eastAsia="宋体" w:hint="default"/>
          <w:sz w:val="19"/>
          <w:szCs w:val="19"/>
        </w:rPr>
      </w:r>
    </w:p>
    <w:p>
      <w:pPr>
        <w:spacing w:after="0"/>
        <w:jc w:val="left"/>
        <w:rPr>
          <w:rFonts w:ascii="宋体" w:hAnsi="宋体" w:cs="宋体" w:eastAsia="宋体" w:hint="default"/>
          <w:sz w:val="19"/>
          <w:szCs w:val="19"/>
        </w:rPr>
        <w:sectPr>
          <w:pgSz w:w="11910" w:h="16840"/>
          <w:pgMar w:header="880" w:footer="975" w:top="1100" w:bottom="1160" w:left="980" w:right="0"/>
        </w:sectPr>
      </w:pPr>
    </w:p>
    <w:p>
      <w:pPr>
        <w:spacing w:line="240" w:lineRule="auto" w:before="11"/>
        <w:rPr>
          <w:rFonts w:ascii="宋体" w:hAnsi="宋体" w:cs="宋体" w:eastAsia="宋体" w:hint="default"/>
          <w:i/>
          <w:sz w:val="20"/>
          <w:szCs w:val="20"/>
        </w:rPr>
      </w:pPr>
    </w:p>
    <w:p>
      <w:pPr>
        <w:spacing w:before="36"/>
        <w:ind w:left="152" w:right="0" w:firstLine="0"/>
        <w:jc w:val="both"/>
        <w:rPr>
          <w:rFonts w:ascii="宋体" w:hAnsi="宋体" w:cs="宋体" w:eastAsia="宋体" w:hint="default"/>
          <w:sz w:val="21"/>
          <w:szCs w:val="21"/>
        </w:rPr>
      </w:pPr>
      <w:r>
        <w:rPr>
          <w:rFonts w:ascii="宋体" w:hAnsi="宋体" w:cs="宋体" w:eastAsia="宋体" w:hint="default"/>
          <w:w w:val="100"/>
          <w:sz w:val="21"/>
          <w:szCs w:val="21"/>
        </w:rPr>
        <w:t>    </w:t>
      </w:r>
      <w:r>
        <w:rPr>
          <w:rFonts w:ascii="宋体" w:hAnsi="宋体" w:cs="宋体" w:eastAsia="宋体" w:hint="default"/>
          <w:sz w:val="21"/>
          <w:szCs w:val="21"/>
        </w:rPr>
        <w:t>（三）</w:t>
      </w:r>
      <w:r>
        <w:rPr>
          <w:rFonts w:ascii="宋体" w:hAnsi="宋体" w:cs="宋体" w:eastAsia="宋体" w:hint="default"/>
          <w:b/>
          <w:bCs/>
          <w:sz w:val="21"/>
          <w:szCs w:val="21"/>
        </w:rPr>
        <w:t>网络维护业务</w:t>
      </w:r>
      <w:r>
        <w:rPr>
          <w:rFonts w:ascii="宋体" w:hAnsi="宋体" w:cs="宋体" w:eastAsia="宋体" w:hint="default"/>
          <w:b/>
          <w:bCs/>
          <w:w w:val="99"/>
          <w:sz w:val="21"/>
          <w:szCs w:val="21"/>
        </w:rPr>
        <w:t> </w:t>
      </w:r>
      <w:r>
        <w:rPr>
          <w:rFonts w:ascii="宋体" w:hAnsi="宋体" w:cs="宋体" w:eastAsia="宋体" w:hint="default"/>
          <w:sz w:val="21"/>
          <w:szCs w:val="21"/>
        </w:rPr>
      </w:r>
    </w:p>
    <w:p>
      <w:pPr>
        <w:pStyle w:val="BodyText"/>
        <w:spacing w:line="273" w:lineRule="auto" w:before="37"/>
        <w:ind w:right="1126"/>
        <w:jc w:val="both"/>
        <w:rPr>
          <w:rFonts w:ascii="宋体" w:hAnsi="宋体" w:cs="宋体" w:eastAsia="宋体" w:hint="default"/>
        </w:rPr>
      </w:pPr>
      <w:r>
        <w:rPr>
          <w:rFonts w:ascii="宋体" w:hAnsi="宋体" w:cs="宋体" w:eastAsia="宋体" w:hint="default"/>
          <w:w w:val="100"/>
        </w:rPr>
        <w:t>    </w:t>
      </w:r>
      <w:r>
        <w:rPr>
          <w:spacing w:val="-2"/>
        </w:rPr>
        <w:t>长实通信科技有限公司专注于通信网络优化、通信设备及通信线路维护、施工，致力于在全国范围内</w:t>
      </w:r>
      <w:r>
        <w:rPr>
          <w:w w:val="100"/>
        </w:rPr>
        <w:t> </w:t>
      </w:r>
      <w:r>
        <w:rPr>
          <w:spacing w:val="-2"/>
        </w:rPr>
        <w:t>为通信运营商、设备制造商、专用通信网及社会公众客户提供各种通信运营服务，同时兼顾计算机系统集</w:t>
      </w:r>
      <w:r>
        <w:rPr>
          <w:spacing w:val="-44"/>
        </w:rPr>
        <w:t> </w:t>
      </w:r>
      <w:r>
        <w:rPr>
          <w:spacing w:val="-44"/>
        </w:rPr>
      </w:r>
      <w:r>
        <w:rPr>
          <w:spacing w:val="-2"/>
        </w:rPr>
        <w:t>成、计算机系统信息安全服务等业务，是一家通过自主研发、引进吸收通信技术等方式不断创新、不断提</w:t>
      </w:r>
      <w:r>
        <w:rPr>
          <w:spacing w:val="-50"/>
        </w:rPr>
        <w:t> </w:t>
      </w:r>
      <w:r>
        <w:rPr>
          <w:spacing w:val="-50"/>
        </w:rPr>
      </w:r>
      <w:r>
        <w:rPr/>
        <w:t>供高技术服务的综合型企业。</w:t>
      </w:r>
      <w:r>
        <w:rPr>
          <w:rFonts w:ascii="宋体" w:hAnsi="宋体" w:cs="宋体" w:eastAsia="宋体" w:hint="default"/>
        </w:rPr>
        <w:t>2015</w:t>
      </w:r>
      <w:r>
        <w:rPr/>
        <w:t>年并入中嘉博创，成为中嘉博创全资子公司。</w:t>
      </w:r>
      <w:r>
        <w:rPr>
          <w:rFonts w:ascii="宋体" w:hAnsi="宋体" w:cs="宋体" w:eastAsia="宋体" w:hint="default"/>
        </w:rPr>
        <w:t> </w:t>
      </w:r>
    </w:p>
    <w:p>
      <w:pPr>
        <w:spacing w:line="240" w:lineRule="auto" w:before="2"/>
        <w:rPr>
          <w:rFonts w:ascii="宋体" w:hAnsi="宋体" w:cs="宋体" w:eastAsia="宋体" w:hint="default"/>
          <w:sz w:val="14"/>
          <w:szCs w:val="14"/>
        </w:rPr>
      </w:pPr>
    </w:p>
    <w:p>
      <w:pPr>
        <w:pStyle w:val="Heading3"/>
        <w:spacing w:line="240" w:lineRule="auto" w:before="0"/>
        <w:ind w:left="289" w:right="1133"/>
        <w:jc w:val="left"/>
        <w:rPr>
          <w:rFonts w:ascii="宋体" w:hAnsi="宋体" w:cs="宋体" w:eastAsia="宋体" w:hint="default"/>
          <w:b w:val="0"/>
          <w:bCs w:val="0"/>
        </w:rPr>
      </w:pPr>
      <w:r>
        <w:rPr/>
        <w:t>图表</w:t>
      </w:r>
      <w:r>
        <w:rPr>
          <w:spacing w:val="-3"/>
        </w:rPr>
        <w:t> </w:t>
      </w:r>
      <w:r>
        <w:rPr>
          <w:rFonts w:ascii="宋体" w:hAnsi="宋体" w:cs="宋体" w:eastAsia="宋体" w:hint="default"/>
          <w:spacing w:val="-3"/>
        </w:rPr>
      </w:r>
      <w:r>
        <w:rPr/>
        <w:t>长实通信业务介绍</w:t>
      </w:r>
      <w:r>
        <w:rPr>
          <w:rFonts w:ascii="宋体" w:hAnsi="宋体" w:cs="宋体" w:eastAsia="宋体" w:hint="default"/>
          <w:w w:val="99"/>
        </w:rPr>
        <w:t> </w:t>
      </w:r>
      <w:r>
        <w:rPr>
          <w:rFonts w:ascii="宋体" w:hAnsi="宋体" w:cs="宋体" w:eastAsia="宋体" w:hint="default"/>
          <w:b w:val="0"/>
          <w:bCs w:val="0"/>
        </w:rPr>
      </w:r>
    </w:p>
    <w:p>
      <w:pPr>
        <w:spacing w:line="240" w:lineRule="auto" w:before="8"/>
        <w:rPr>
          <w:rFonts w:ascii="宋体" w:hAnsi="宋体" w:cs="宋体" w:eastAsia="宋体" w:hint="default"/>
          <w:b/>
          <w:bCs/>
          <w:sz w:val="5"/>
          <w:szCs w:val="5"/>
        </w:rPr>
      </w:pPr>
    </w:p>
    <w:p>
      <w:pPr>
        <w:spacing w:line="20" w:lineRule="exact"/>
        <w:ind w:left="172" w:right="0" w:firstLine="0"/>
        <w:rPr>
          <w:rFonts w:ascii="宋体" w:hAnsi="宋体" w:cs="宋体" w:eastAsia="宋体" w:hint="default"/>
          <w:sz w:val="2"/>
          <w:szCs w:val="2"/>
        </w:rPr>
      </w:pPr>
      <w:r>
        <w:rPr>
          <w:rFonts w:ascii="宋体" w:hAnsi="宋体" w:cs="宋体" w:eastAsia="宋体" w:hint="default"/>
          <w:sz w:val="2"/>
          <w:szCs w:val="2"/>
        </w:rPr>
        <w:pict>
          <v:group style="width:492.25pt;height:1pt;mso-position-horizontal-relative:char;mso-position-vertical-relative:line" coordorigin="0,0" coordsize="9845,20">
            <v:group style="position:absolute;left:10;top:10;width:9826;height:2" coordorigin="10,10" coordsize="9826,2">
              <v:shape style="position:absolute;left:10;top:10;width:9826;height:2" coordorigin="10,10" coordsize="9826,0" path="m10,10l9835,10e" filled="false" stroked="true" strokeweight=".96001pt" strokecolor="#336699">
                <v:path arrowok="t"/>
              </v:shape>
            </v:group>
          </v:group>
        </w:pict>
      </w:r>
      <w:r>
        <w:rPr>
          <w:rFonts w:ascii="宋体" w:hAnsi="宋体" w:cs="宋体" w:eastAsia="宋体" w:hint="default"/>
          <w:sz w:val="2"/>
          <w:szCs w:val="2"/>
        </w:rPr>
      </w:r>
    </w:p>
    <w:p>
      <w:pPr>
        <w:spacing w:line="240" w:lineRule="auto" w:before="4"/>
        <w:rPr>
          <w:rFonts w:ascii="宋体" w:hAnsi="宋体" w:cs="宋体" w:eastAsia="宋体" w:hint="default"/>
          <w:b/>
          <w:bCs/>
          <w:sz w:val="8"/>
          <w:szCs w:val="8"/>
        </w:rPr>
      </w:pPr>
    </w:p>
    <w:p>
      <w:pPr>
        <w:spacing w:line="3599" w:lineRule="exact"/>
        <w:ind w:left="207" w:right="0" w:firstLine="0"/>
        <w:rPr>
          <w:rFonts w:ascii="宋体" w:hAnsi="宋体" w:cs="宋体" w:eastAsia="宋体" w:hint="default"/>
          <w:sz w:val="20"/>
          <w:szCs w:val="20"/>
        </w:rPr>
      </w:pPr>
      <w:r>
        <w:rPr>
          <w:rFonts w:ascii="宋体" w:hAnsi="宋体" w:cs="宋体" w:eastAsia="宋体" w:hint="default"/>
          <w:position w:val="-71"/>
          <w:sz w:val="20"/>
          <w:szCs w:val="20"/>
        </w:rPr>
        <w:drawing>
          <wp:inline distT="0" distB="0" distL="0" distR="0">
            <wp:extent cx="6047481" cy="2285904"/>
            <wp:effectExtent l="0" t="0" r="0" b="0"/>
            <wp:docPr id="13" name="image11.jpeg" descr=""/>
            <wp:cNvGraphicFramePr>
              <a:graphicFrameLocks noChangeAspect="1"/>
            </wp:cNvGraphicFramePr>
            <a:graphic>
              <a:graphicData uri="http://schemas.openxmlformats.org/drawingml/2006/picture">
                <pic:pic>
                  <pic:nvPicPr>
                    <pic:cNvPr id="14" name="image11.jpeg"/>
                    <pic:cNvPicPr/>
                  </pic:nvPicPr>
                  <pic:blipFill>
                    <a:blip r:embed="rId23" cstate="print"/>
                    <a:stretch>
                      <a:fillRect/>
                    </a:stretch>
                  </pic:blipFill>
                  <pic:spPr>
                    <a:xfrm>
                      <a:off x="0" y="0"/>
                      <a:ext cx="6047481" cy="2285904"/>
                    </a:xfrm>
                    <a:prstGeom prst="rect">
                      <a:avLst/>
                    </a:prstGeom>
                  </pic:spPr>
                </pic:pic>
              </a:graphicData>
            </a:graphic>
          </wp:inline>
        </w:drawing>
      </w:r>
      <w:r>
        <w:rPr>
          <w:rFonts w:ascii="宋体" w:hAnsi="宋体" w:cs="宋体" w:eastAsia="宋体" w:hint="default"/>
          <w:position w:val="-71"/>
          <w:sz w:val="20"/>
          <w:szCs w:val="20"/>
        </w:rPr>
      </w:r>
    </w:p>
    <w:p>
      <w:pPr>
        <w:spacing w:line="240" w:lineRule="auto" w:before="3"/>
        <w:rPr>
          <w:rFonts w:ascii="宋体" w:hAnsi="宋体" w:cs="宋体" w:eastAsia="宋体" w:hint="default"/>
          <w:b/>
          <w:bCs/>
          <w:sz w:val="18"/>
          <w:szCs w:val="18"/>
        </w:rPr>
      </w:pPr>
    </w:p>
    <w:p>
      <w:pPr>
        <w:spacing w:line="20" w:lineRule="exact"/>
        <w:ind w:left="172" w:right="0" w:firstLine="0"/>
        <w:rPr>
          <w:rFonts w:ascii="宋体" w:hAnsi="宋体" w:cs="宋体" w:eastAsia="宋体" w:hint="default"/>
          <w:sz w:val="2"/>
          <w:szCs w:val="2"/>
        </w:rPr>
      </w:pPr>
      <w:r>
        <w:rPr>
          <w:rFonts w:ascii="宋体" w:hAnsi="宋体" w:cs="宋体" w:eastAsia="宋体" w:hint="default"/>
          <w:sz w:val="2"/>
          <w:szCs w:val="2"/>
        </w:rPr>
        <w:pict>
          <v:group style="width:492.25pt;height:1pt;mso-position-horizontal-relative:char;mso-position-vertical-relative:line" coordorigin="0,0" coordsize="9845,20">
            <v:group style="position:absolute;left:10;top:10;width:9826;height:2" coordorigin="10,10" coordsize="9826,2">
              <v:shape style="position:absolute;left:10;top:10;width:9826;height:2" coordorigin="10,10" coordsize="9826,0" path="m10,10l9835,10e" filled="false" stroked="true" strokeweight=".95999pt" strokecolor="#336699">
                <v:path arrowok="t"/>
              </v:shape>
            </v:group>
          </v:group>
        </w:pict>
      </w:r>
      <w:r>
        <w:rPr>
          <w:rFonts w:ascii="宋体" w:hAnsi="宋体" w:cs="宋体" w:eastAsia="宋体" w:hint="default"/>
          <w:sz w:val="2"/>
          <w:szCs w:val="2"/>
        </w:rPr>
      </w:r>
    </w:p>
    <w:p>
      <w:pPr>
        <w:spacing w:before="63"/>
        <w:ind w:left="289" w:right="1133" w:firstLine="0"/>
        <w:jc w:val="left"/>
        <w:rPr>
          <w:rFonts w:ascii="宋体" w:hAnsi="宋体" w:cs="宋体" w:eastAsia="宋体" w:hint="default"/>
          <w:sz w:val="19"/>
          <w:szCs w:val="19"/>
        </w:rPr>
      </w:pPr>
      <w:r>
        <w:rPr>
          <w:rFonts w:ascii="宋体" w:hAnsi="宋体" w:cs="宋体" w:eastAsia="宋体" w:hint="default"/>
          <w:i/>
          <w:sz w:val="19"/>
          <w:szCs w:val="19"/>
        </w:rPr>
        <w:t>资料来源：中嘉博创</w:t>
      </w:r>
      <w:r>
        <w:rPr>
          <w:rFonts w:ascii="宋体" w:hAnsi="宋体" w:cs="宋体" w:eastAsia="宋体" w:hint="default"/>
          <w:i/>
          <w:sz w:val="19"/>
          <w:szCs w:val="19"/>
        </w:rPr>
        <w:t> </w:t>
      </w:r>
      <w:r>
        <w:rPr>
          <w:rFonts w:ascii="宋体" w:hAnsi="宋体" w:cs="宋体" w:eastAsia="宋体" w:hint="default"/>
          <w:sz w:val="19"/>
          <w:szCs w:val="19"/>
        </w:rPr>
      </w:r>
    </w:p>
    <w:p>
      <w:pPr>
        <w:spacing w:line="240" w:lineRule="auto" w:before="10"/>
        <w:rPr>
          <w:rFonts w:ascii="宋体" w:hAnsi="宋体" w:cs="宋体" w:eastAsia="宋体" w:hint="default"/>
          <w:i/>
          <w:sz w:val="14"/>
          <w:szCs w:val="14"/>
        </w:rPr>
      </w:pPr>
    </w:p>
    <w:p>
      <w:pPr>
        <w:pStyle w:val="BodyText"/>
        <w:spacing w:line="273" w:lineRule="auto" w:before="36"/>
        <w:ind w:right="1126" w:firstLine="420"/>
        <w:jc w:val="both"/>
        <w:rPr>
          <w:rFonts w:ascii="宋体" w:hAnsi="宋体" w:cs="宋体" w:eastAsia="宋体" w:hint="default"/>
        </w:rPr>
      </w:pPr>
      <w:r>
        <w:rPr>
          <w:spacing w:val="-2"/>
        </w:rPr>
        <w:t>通信网络维护业务主要是由长实通信对通信运营商所拥有的网络资源实行运行管理、故障维修及日常</w:t>
      </w:r>
      <w:r>
        <w:rPr>
          <w:w w:val="100"/>
        </w:rPr>
        <w:t> </w:t>
      </w:r>
      <w:r>
        <w:rPr>
          <w:spacing w:val="-2"/>
        </w:rPr>
        <w:t>维护等全方位的专业技术服务，保障网络正常运行，提高通信网络质量安全和运行效率。维护服务的内容</w:t>
      </w:r>
      <w:r>
        <w:rPr>
          <w:spacing w:val="-44"/>
        </w:rPr>
        <w:t> </w:t>
      </w:r>
      <w:r>
        <w:rPr>
          <w:spacing w:val="-44"/>
        </w:rPr>
      </w:r>
      <w:r>
        <w:rPr/>
        <w:t>包括基站、线路、宽带接入、数据中心建设等的运行管理和维护保障。</w:t>
      </w:r>
      <w:r>
        <w:rPr>
          <w:rFonts w:ascii="宋体" w:hAnsi="宋体" w:cs="宋体" w:eastAsia="宋体" w:hint="default"/>
        </w:rPr>
        <w:t> </w:t>
      </w:r>
    </w:p>
    <w:p>
      <w:pPr>
        <w:pStyle w:val="Heading3"/>
        <w:spacing w:line="240" w:lineRule="auto" w:before="163"/>
        <w:ind w:left="575" w:right="1133"/>
        <w:jc w:val="left"/>
        <w:rPr>
          <w:rFonts w:ascii="宋体" w:hAnsi="宋体" w:cs="宋体" w:eastAsia="宋体" w:hint="default"/>
          <w:b w:val="0"/>
          <w:bCs w:val="0"/>
        </w:rPr>
      </w:pPr>
      <w:r>
        <w:rPr>
          <w:rFonts w:ascii="宋体" w:hAnsi="宋体" w:cs="宋体" w:eastAsia="宋体" w:hint="default"/>
        </w:rPr>
        <w:t>1</w:t>
      </w:r>
      <w:r>
        <w:rPr/>
        <w:t>、通信网络技术服务产业：跟随运营商的资本投入，螺旋式上升</w:t>
      </w:r>
      <w:r>
        <w:rPr>
          <w:rFonts w:ascii="宋体" w:hAnsi="宋体" w:cs="宋体" w:eastAsia="宋体" w:hint="default"/>
          <w:w w:val="99"/>
        </w:rPr>
        <w:t> </w:t>
      </w:r>
      <w:r>
        <w:rPr>
          <w:rFonts w:ascii="宋体" w:hAnsi="宋体" w:cs="宋体" w:eastAsia="宋体" w:hint="default"/>
          <w:b w:val="0"/>
          <w:bCs w:val="0"/>
        </w:rPr>
      </w:r>
    </w:p>
    <w:p>
      <w:pPr>
        <w:pStyle w:val="BodyText"/>
        <w:spacing w:line="273" w:lineRule="auto" w:before="37"/>
        <w:ind w:right="1126" w:firstLine="420"/>
        <w:jc w:val="both"/>
        <w:rPr>
          <w:rFonts w:ascii="宋体" w:hAnsi="宋体" w:cs="宋体" w:eastAsia="宋体" w:hint="default"/>
        </w:rPr>
      </w:pPr>
      <w:r>
        <w:rPr>
          <w:spacing w:val="-2"/>
        </w:rPr>
        <w:t>通信服务市场由传统服务商、设备厂商和第三方通信服务商组成。通信网络的建设与维护最早由运营</w:t>
      </w:r>
      <w:r>
        <w:rPr>
          <w:w w:val="100"/>
        </w:rPr>
        <w:t> </w:t>
      </w:r>
      <w:r>
        <w:rPr>
          <w:spacing w:val="-2"/>
        </w:rPr>
        <w:t>商自行承担，不存在市场竞争。随着通信网络技术的不断升级、网络规模增大以及通信运营商对服务重视</w:t>
      </w:r>
      <w:r>
        <w:rPr>
          <w:spacing w:val="-43"/>
        </w:rPr>
        <w:t> </w:t>
      </w:r>
      <w:r>
        <w:rPr>
          <w:spacing w:val="-43"/>
        </w:rPr>
      </w:r>
      <w:r>
        <w:rPr/>
        <w:t>程度的提高，从事通信网络建设与维护的专业服务商不断涌现。</w:t>
      </w:r>
      <w:r>
        <w:rPr>
          <w:rFonts w:ascii="宋体" w:hAnsi="宋体" w:cs="宋体" w:eastAsia="宋体" w:hint="default"/>
        </w:rPr>
        <w:t> </w:t>
      </w:r>
    </w:p>
    <w:p>
      <w:pPr>
        <w:pStyle w:val="Heading3"/>
        <w:spacing w:line="240" w:lineRule="auto" w:before="29"/>
        <w:ind w:left="289" w:right="1133"/>
        <w:jc w:val="left"/>
        <w:rPr>
          <w:rFonts w:ascii="宋体" w:hAnsi="宋体" w:cs="宋体" w:eastAsia="宋体" w:hint="default"/>
          <w:b w:val="0"/>
          <w:bCs w:val="0"/>
        </w:rPr>
      </w:pPr>
      <w:r>
        <w:rPr/>
        <w:t>图表</w:t>
      </w:r>
      <w:r>
        <w:rPr>
          <w:spacing w:val="-3"/>
        </w:rPr>
        <w:t> </w:t>
      </w:r>
      <w:r>
        <w:rPr>
          <w:rFonts w:ascii="宋体" w:hAnsi="宋体" w:cs="宋体" w:eastAsia="宋体" w:hint="default"/>
          <w:spacing w:val="-3"/>
        </w:rPr>
      </w:r>
      <w:r>
        <w:rPr/>
        <w:t>通信技术服务产业链</w:t>
      </w:r>
      <w:r>
        <w:rPr>
          <w:rFonts w:ascii="宋体" w:hAnsi="宋体" w:cs="宋体" w:eastAsia="宋体" w:hint="default"/>
          <w:w w:val="99"/>
        </w:rPr>
        <w:t> </w:t>
      </w:r>
      <w:r>
        <w:rPr>
          <w:rFonts w:ascii="宋体" w:hAnsi="宋体" w:cs="宋体" w:eastAsia="宋体" w:hint="default"/>
          <w:b w:val="0"/>
          <w:bCs w:val="0"/>
        </w:rPr>
      </w:r>
    </w:p>
    <w:p>
      <w:pPr>
        <w:spacing w:line="240" w:lineRule="auto" w:before="11"/>
        <w:rPr>
          <w:rFonts w:ascii="宋体" w:hAnsi="宋体" w:cs="宋体" w:eastAsia="宋体" w:hint="default"/>
          <w:b/>
          <w:bCs/>
          <w:sz w:val="5"/>
          <w:szCs w:val="5"/>
        </w:rPr>
      </w:pPr>
    </w:p>
    <w:p>
      <w:pPr>
        <w:spacing w:line="20" w:lineRule="exact"/>
        <w:ind w:left="172" w:right="0" w:firstLine="0"/>
        <w:rPr>
          <w:rFonts w:ascii="宋体" w:hAnsi="宋体" w:cs="宋体" w:eastAsia="宋体" w:hint="default"/>
          <w:sz w:val="2"/>
          <w:szCs w:val="2"/>
        </w:rPr>
      </w:pPr>
      <w:r>
        <w:rPr>
          <w:rFonts w:ascii="宋体" w:hAnsi="宋体" w:cs="宋体" w:eastAsia="宋体" w:hint="default"/>
          <w:sz w:val="2"/>
          <w:szCs w:val="2"/>
        </w:rPr>
        <w:pict>
          <v:group style="width:442.1pt;height:1pt;mso-position-horizontal-relative:char;mso-position-vertical-relative:line" coordorigin="0,0" coordsize="8842,20">
            <v:group style="position:absolute;left:10;top:10;width:8822;height:2" coordorigin="10,10" coordsize="8822,2">
              <v:shape style="position:absolute;left:10;top:10;width:8822;height:2" coordorigin="10,10" coordsize="8822,0" path="m10,10l8832,10e" filled="false" stroked="true" strokeweight=".96002pt" strokecolor="#336699">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12"/>
          <w:szCs w:val="12"/>
        </w:rPr>
      </w:pPr>
    </w:p>
    <w:p>
      <w:pPr>
        <w:spacing w:line="3188" w:lineRule="exact"/>
        <w:ind w:left="207" w:right="0" w:firstLine="0"/>
        <w:rPr>
          <w:rFonts w:ascii="宋体" w:hAnsi="宋体" w:cs="宋体" w:eastAsia="宋体" w:hint="default"/>
          <w:sz w:val="20"/>
          <w:szCs w:val="20"/>
        </w:rPr>
      </w:pPr>
      <w:r>
        <w:rPr>
          <w:rFonts w:ascii="宋体" w:hAnsi="宋体" w:cs="宋体" w:eastAsia="宋体" w:hint="default"/>
          <w:position w:val="-63"/>
          <w:sz w:val="20"/>
          <w:szCs w:val="20"/>
        </w:rPr>
        <w:drawing>
          <wp:inline distT="0" distB="0" distL="0" distR="0">
            <wp:extent cx="5244271" cy="2024538"/>
            <wp:effectExtent l="0" t="0" r="0" b="0"/>
            <wp:docPr id="15" name="image12.jpeg" descr=""/>
            <wp:cNvGraphicFramePr>
              <a:graphicFrameLocks noChangeAspect="1"/>
            </wp:cNvGraphicFramePr>
            <a:graphic>
              <a:graphicData uri="http://schemas.openxmlformats.org/drawingml/2006/picture">
                <pic:pic>
                  <pic:nvPicPr>
                    <pic:cNvPr id="16" name="image12.jpeg"/>
                    <pic:cNvPicPr/>
                  </pic:nvPicPr>
                  <pic:blipFill>
                    <a:blip r:embed="rId24" cstate="print"/>
                    <a:stretch>
                      <a:fillRect/>
                    </a:stretch>
                  </pic:blipFill>
                  <pic:spPr>
                    <a:xfrm>
                      <a:off x="0" y="0"/>
                      <a:ext cx="5244271" cy="2024538"/>
                    </a:xfrm>
                    <a:prstGeom prst="rect">
                      <a:avLst/>
                    </a:prstGeom>
                  </pic:spPr>
                </pic:pic>
              </a:graphicData>
            </a:graphic>
          </wp:inline>
        </w:drawing>
      </w:r>
      <w:r>
        <w:rPr>
          <w:rFonts w:ascii="宋体" w:hAnsi="宋体" w:cs="宋体" w:eastAsia="宋体" w:hint="default"/>
          <w:position w:val="-63"/>
          <w:sz w:val="20"/>
          <w:szCs w:val="20"/>
        </w:rPr>
      </w:r>
    </w:p>
    <w:p>
      <w:pPr>
        <w:spacing w:line="240" w:lineRule="auto" w:before="6"/>
        <w:rPr>
          <w:rFonts w:ascii="宋体" w:hAnsi="宋体" w:cs="宋体" w:eastAsia="宋体" w:hint="default"/>
          <w:b/>
          <w:bCs/>
          <w:sz w:val="23"/>
          <w:szCs w:val="23"/>
        </w:rPr>
      </w:pPr>
    </w:p>
    <w:p>
      <w:pPr>
        <w:spacing w:line="20" w:lineRule="exact"/>
        <w:ind w:left="172" w:right="0" w:firstLine="0"/>
        <w:rPr>
          <w:rFonts w:ascii="宋体" w:hAnsi="宋体" w:cs="宋体" w:eastAsia="宋体" w:hint="default"/>
          <w:sz w:val="2"/>
          <w:szCs w:val="2"/>
        </w:rPr>
      </w:pPr>
      <w:r>
        <w:rPr>
          <w:rFonts w:ascii="宋体" w:hAnsi="宋体" w:cs="宋体" w:eastAsia="宋体" w:hint="default"/>
          <w:sz w:val="2"/>
          <w:szCs w:val="2"/>
        </w:rPr>
        <w:pict>
          <v:group style="width:442.1pt;height:1pt;mso-position-horizontal-relative:char;mso-position-vertical-relative:line" coordorigin="0,0" coordsize="8842,20">
            <v:group style="position:absolute;left:10;top:10;width:8822;height:2" coordorigin="10,10" coordsize="8822,2">
              <v:shape style="position:absolute;left:10;top:10;width:8822;height:2" coordorigin="10,10" coordsize="8822,0" path="m10,10l8832,10e" filled="false" stroked="true" strokeweight=".95996pt" strokecolor="#336699">
                <v:path arrowok="t"/>
              </v:shape>
            </v:group>
          </v:group>
        </w:pict>
      </w:r>
      <w:r>
        <w:rPr>
          <w:rFonts w:ascii="宋体" w:hAnsi="宋体" w:cs="宋体" w:eastAsia="宋体" w:hint="default"/>
          <w:sz w:val="2"/>
          <w:szCs w:val="2"/>
        </w:rPr>
      </w:r>
    </w:p>
    <w:p>
      <w:pPr>
        <w:spacing w:before="63"/>
        <w:ind w:left="289" w:right="1133" w:firstLine="0"/>
        <w:jc w:val="left"/>
        <w:rPr>
          <w:rFonts w:ascii="宋体" w:hAnsi="宋体" w:cs="宋体" w:eastAsia="宋体" w:hint="default"/>
          <w:sz w:val="19"/>
          <w:szCs w:val="19"/>
        </w:rPr>
      </w:pPr>
      <w:r>
        <w:rPr>
          <w:rFonts w:ascii="宋体" w:hAnsi="宋体" w:cs="宋体" w:eastAsia="宋体" w:hint="default"/>
          <w:i/>
          <w:sz w:val="19"/>
          <w:szCs w:val="19"/>
        </w:rPr>
        <w:t>资料来源：中嘉博创</w:t>
      </w:r>
      <w:r>
        <w:rPr>
          <w:rFonts w:ascii="宋体" w:hAnsi="宋体" w:cs="宋体" w:eastAsia="宋体" w:hint="default"/>
          <w:i/>
          <w:sz w:val="19"/>
          <w:szCs w:val="19"/>
        </w:rPr>
        <w:t> </w:t>
      </w:r>
      <w:r>
        <w:rPr>
          <w:rFonts w:ascii="宋体" w:hAnsi="宋体" w:cs="宋体" w:eastAsia="宋体" w:hint="default"/>
          <w:sz w:val="19"/>
          <w:szCs w:val="19"/>
        </w:rPr>
      </w:r>
    </w:p>
    <w:p>
      <w:pPr>
        <w:spacing w:line="240" w:lineRule="auto" w:before="10"/>
        <w:rPr>
          <w:rFonts w:ascii="宋体" w:hAnsi="宋体" w:cs="宋体" w:eastAsia="宋体" w:hint="default"/>
          <w:i/>
          <w:sz w:val="14"/>
          <w:szCs w:val="14"/>
        </w:rPr>
      </w:pPr>
    </w:p>
    <w:p>
      <w:pPr>
        <w:pStyle w:val="Heading3"/>
        <w:spacing w:line="240" w:lineRule="auto"/>
        <w:ind w:left="573" w:right="1133"/>
        <w:jc w:val="left"/>
        <w:rPr>
          <w:rFonts w:ascii="宋体" w:hAnsi="宋体" w:cs="宋体" w:eastAsia="宋体" w:hint="default"/>
          <w:b w:val="0"/>
          <w:bCs w:val="0"/>
        </w:rPr>
      </w:pPr>
      <w:r>
        <w:rPr>
          <w:rFonts w:ascii="宋体" w:hAnsi="宋体" w:cs="宋体" w:eastAsia="宋体" w:hint="default"/>
        </w:rPr>
        <w:t>2</w:t>
      </w:r>
      <w:r>
        <w:rPr/>
        <w:t>、长实通信：在网络维护行业位于行业第一梯队，布局站址运营，卡位</w:t>
      </w:r>
      <w:r>
        <w:rPr>
          <w:rFonts w:ascii="宋体" w:hAnsi="宋体" w:cs="宋体" w:eastAsia="宋体" w:hint="default"/>
        </w:rPr>
        <w:t>5G</w:t>
      </w:r>
      <w:r>
        <w:rPr/>
        <w:t>时代</w:t>
      </w:r>
      <w:r>
        <w:rPr>
          <w:rFonts w:ascii="宋体" w:hAnsi="宋体" w:cs="宋体" w:eastAsia="宋体" w:hint="default"/>
          <w:w w:val="99"/>
        </w:rPr>
        <w:t> </w:t>
      </w:r>
      <w:r>
        <w:rPr>
          <w:rFonts w:ascii="宋体" w:hAnsi="宋体" w:cs="宋体" w:eastAsia="宋体" w:hint="default"/>
          <w:b w:val="0"/>
          <w:bCs w:val="0"/>
        </w:rPr>
      </w:r>
    </w:p>
    <w:p>
      <w:pPr>
        <w:spacing w:after="0" w:line="240" w:lineRule="auto"/>
        <w:jc w:val="left"/>
        <w:rPr>
          <w:rFonts w:ascii="宋体" w:hAnsi="宋体" w:cs="宋体" w:eastAsia="宋体" w:hint="default"/>
        </w:rPr>
        <w:sectPr>
          <w:pgSz w:w="11910" w:h="16840"/>
          <w:pgMar w:header="880" w:footer="975" w:top="1100" w:bottom="1160" w:left="980" w:right="0"/>
        </w:sectPr>
      </w:pPr>
    </w:p>
    <w:p>
      <w:pPr>
        <w:spacing w:line="240" w:lineRule="auto" w:before="11"/>
        <w:rPr>
          <w:rFonts w:ascii="宋体" w:hAnsi="宋体" w:cs="宋体" w:eastAsia="宋体" w:hint="default"/>
          <w:b/>
          <w:bCs/>
          <w:sz w:val="20"/>
          <w:szCs w:val="20"/>
        </w:rPr>
      </w:pPr>
    </w:p>
    <w:p>
      <w:pPr>
        <w:pStyle w:val="BodyText"/>
        <w:spacing w:line="273" w:lineRule="auto" w:before="36"/>
        <w:ind w:right="1126" w:firstLine="420"/>
        <w:jc w:val="both"/>
        <w:rPr>
          <w:rFonts w:ascii="宋体" w:hAnsi="宋体" w:cs="宋体" w:eastAsia="宋体" w:hint="default"/>
        </w:rPr>
      </w:pPr>
      <w:r>
        <w:rPr>
          <w:spacing w:val="-7"/>
        </w:rPr>
        <w:t>随着通信服务外包规模加大，运营商在近些年推行通信服务集采并加码，行业向集中化、规范化演进，</w:t>
      </w:r>
      <w:r>
        <w:rPr>
          <w:w w:val="100"/>
        </w:rPr>
        <w:t> </w:t>
      </w:r>
      <w:r>
        <w:rPr/>
        <w:t>市场份额向优秀的头部公司集中。从</w:t>
      </w:r>
      <w:r>
        <w:rPr>
          <w:rFonts w:ascii="宋体" w:hAnsi="宋体" w:cs="宋体" w:eastAsia="宋体" w:hint="default"/>
        </w:rPr>
        <w:t>2017-2018</w:t>
      </w:r>
      <w:r>
        <w:rPr/>
        <w:t>年上市公司已经公布的数据来看，第三方民营通信服务商</w:t>
      </w:r>
      <w:r>
        <w:rPr>
          <w:spacing w:val="-26"/>
        </w:rPr>
        <w:t> </w:t>
      </w:r>
      <w:r>
        <w:rPr>
          <w:spacing w:val="-26"/>
        </w:rPr>
      </w:r>
      <w:r>
        <w:rPr/>
        <w:t>相关业务收入统计中，中嘉博创的全资子公司长实通信在行业排第一梯度。</w:t>
      </w:r>
      <w:r>
        <w:rPr>
          <w:rFonts w:ascii="宋体" w:hAnsi="宋体" w:cs="宋体" w:eastAsia="宋体" w:hint="default"/>
        </w:rPr>
        <w:t> </w:t>
      </w:r>
    </w:p>
    <w:p>
      <w:pPr>
        <w:pStyle w:val="Heading3"/>
        <w:spacing w:line="240" w:lineRule="auto" w:before="163"/>
        <w:ind w:left="289" w:right="1133"/>
        <w:jc w:val="left"/>
        <w:rPr>
          <w:rFonts w:ascii="宋体" w:hAnsi="宋体" w:cs="宋体" w:eastAsia="宋体" w:hint="default"/>
          <w:b w:val="0"/>
          <w:bCs w:val="0"/>
        </w:rPr>
      </w:pPr>
      <w:r>
        <w:rPr/>
        <w:t>图表 </w:t>
      </w:r>
      <w:r>
        <w:rPr>
          <w:rFonts w:ascii="宋体" w:hAnsi="宋体" w:cs="宋体" w:eastAsia="宋体" w:hint="default"/>
        </w:rPr>
        <w:t>2017-2018</w:t>
      </w:r>
      <w:r>
        <w:rPr>
          <w:rFonts w:ascii="宋体" w:hAnsi="宋体" w:cs="宋体" w:eastAsia="宋体" w:hint="default"/>
          <w:spacing w:val="-56"/>
        </w:rPr>
        <w:t> </w:t>
      </w:r>
      <w:r>
        <w:rPr/>
        <w:t>年上市的第三方通信服务商相关业务收入统计（亿元）</w:t>
      </w:r>
      <w:r>
        <w:rPr>
          <w:rFonts w:ascii="宋体" w:hAnsi="宋体" w:cs="宋体" w:eastAsia="宋体" w:hint="default"/>
          <w:w w:val="99"/>
        </w:rPr>
        <w:t> </w:t>
      </w:r>
      <w:r>
        <w:rPr>
          <w:rFonts w:ascii="宋体" w:hAnsi="宋体" w:cs="宋体" w:eastAsia="宋体" w:hint="default"/>
          <w:b w:val="0"/>
          <w:bCs w:val="0"/>
        </w:rPr>
      </w:r>
    </w:p>
    <w:p>
      <w:pPr>
        <w:spacing w:line="240" w:lineRule="auto" w:before="10"/>
        <w:rPr>
          <w:rFonts w:ascii="宋体" w:hAnsi="宋体" w:cs="宋体" w:eastAsia="宋体" w:hint="default"/>
          <w:b/>
          <w:bCs/>
          <w:sz w:val="3"/>
          <w:szCs w:val="3"/>
        </w:rPr>
      </w:pPr>
    </w:p>
    <w:p>
      <w:pPr>
        <w:spacing w:line="3505" w:lineRule="exact"/>
        <w:ind w:left="172" w:right="0" w:firstLine="0"/>
        <w:rPr>
          <w:rFonts w:ascii="宋体" w:hAnsi="宋体" w:cs="宋体" w:eastAsia="宋体" w:hint="default"/>
          <w:sz w:val="20"/>
          <w:szCs w:val="20"/>
        </w:rPr>
      </w:pPr>
      <w:r>
        <w:rPr>
          <w:rFonts w:ascii="宋体" w:hAnsi="宋体" w:cs="宋体" w:eastAsia="宋体" w:hint="default"/>
          <w:position w:val="-69"/>
          <w:sz w:val="20"/>
          <w:szCs w:val="20"/>
        </w:rPr>
        <w:pict>
          <v:group style="width:508.25pt;height:175.3pt;mso-position-horizontal-relative:char;mso-position-vertical-relative:line" coordorigin="0,0" coordsize="10165,3506">
            <v:shape style="position:absolute;left:0;top:0;width:10128;height:3481" type="#_x0000_t75" stroked="false">
              <v:imagedata r:id="rId25" o:title=""/>
            </v:shape>
            <v:shape style="position:absolute;left:10075;top:3326;width:9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sz w:val="18"/>
                      </w:rPr>
                      <w:t> </w:t>
                    </w:r>
                  </w:p>
                </w:txbxContent>
              </v:textbox>
              <w10:wrap type="none"/>
            </v:shape>
          </v:group>
        </w:pict>
      </w:r>
      <w:r>
        <w:rPr>
          <w:rFonts w:ascii="宋体" w:hAnsi="宋体" w:cs="宋体" w:eastAsia="宋体" w:hint="default"/>
          <w:position w:val="-69"/>
          <w:sz w:val="20"/>
          <w:szCs w:val="20"/>
        </w:rPr>
      </w:r>
    </w:p>
    <w:p>
      <w:pPr>
        <w:spacing w:line="240" w:lineRule="auto" w:before="5"/>
        <w:rPr>
          <w:rFonts w:ascii="宋体" w:hAnsi="宋体" w:cs="宋体" w:eastAsia="宋体" w:hint="default"/>
          <w:b/>
          <w:bCs/>
          <w:sz w:val="15"/>
          <w:szCs w:val="15"/>
        </w:rPr>
      </w:pPr>
    </w:p>
    <w:p>
      <w:pPr>
        <w:spacing w:line="20" w:lineRule="exact"/>
        <w:ind w:left="172" w:right="0" w:firstLine="0"/>
        <w:rPr>
          <w:rFonts w:ascii="宋体" w:hAnsi="宋体" w:cs="宋体" w:eastAsia="宋体" w:hint="default"/>
          <w:sz w:val="2"/>
          <w:szCs w:val="2"/>
        </w:rPr>
      </w:pPr>
      <w:r>
        <w:rPr>
          <w:rFonts w:ascii="宋体" w:hAnsi="宋体" w:cs="宋体" w:eastAsia="宋体" w:hint="default"/>
          <w:sz w:val="2"/>
          <w:szCs w:val="2"/>
        </w:rPr>
        <w:pict>
          <v:group style="width:506.4pt;height:1pt;mso-position-horizontal-relative:char;mso-position-vertical-relative:line" coordorigin="0,0" coordsize="10128,20">
            <v:group style="position:absolute;left:10;top:10;width:10109;height:2" coordorigin="10,10" coordsize="10109,2">
              <v:shape style="position:absolute;left:10;top:10;width:10109;height:2" coordorigin="10,10" coordsize="10109,0" path="m10,10l10118,10e" filled="false" stroked="true" strokeweight=".95999pt" strokecolor="#336699">
                <v:path arrowok="t"/>
              </v:shape>
            </v:group>
          </v:group>
        </w:pict>
      </w:r>
      <w:r>
        <w:rPr>
          <w:rFonts w:ascii="宋体" w:hAnsi="宋体" w:cs="宋体" w:eastAsia="宋体" w:hint="default"/>
          <w:sz w:val="2"/>
          <w:szCs w:val="2"/>
        </w:rPr>
      </w:r>
    </w:p>
    <w:p>
      <w:pPr>
        <w:spacing w:before="63"/>
        <w:ind w:left="289" w:right="1133" w:firstLine="0"/>
        <w:jc w:val="left"/>
        <w:rPr>
          <w:rFonts w:ascii="宋体" w:hAnsi="宋体" w:cs="宋体" w:eastAsia="宋体" w:hint="default"/>
          <w:sz w:val="19"/>
          <w:szCs w:val="19"/>
        </w:rPr>
      </w:pPr>
      <w:r>
        <w:rPr>
          <w:rFonts w:ascii="宋体" w:hAnsi="宋体" w:cs="宋体" w:eastAsia="宋体" w:hint="default"/>
          <w:i/>
          <w:w w:val="95"/>
          <w:sz w:val="19"/>
          <w:szCs w:val="19"/>
        </w:rPr>
        <w:t>资料来源：各上市公司年报 </w:t>
      </w:r>
      <w:r>
        <w:rPr>
          <w:rFonts w:ascii="宋体" w:hAnsi="宋体" w:cs="宋体" w:eastAsia="宋体" w:hint="default"/>
          <w:i/>
          <w:w w:val="95"/>
          <w:sz w:val="19"/>
          <w:szCs w:val="19"/>
        </w:rPr>
      </w:r>
      <w:r>
        <w:rPr>
          <w:rFonts w:ascii="宋体" w:hAnsi="宋体" w:cs="宋体" w:eastAsia="宋体" w:hint="default"/>
          <w:i/>
          <w:w w:val="95"/>
          <w:sz w:val="19"/>
          <w:szCs w:val="19"/>
        </w:rPr>
        <w:t>，</w:t>
      </w:r>
      <w:r>
        <w:rPr>
          <w:rFonts w:ascii="宋体" w:hAnsi="宋体" w:cs="宋体" w:eastAsia="宋体" w:hint="default"/>
          <w:i/>
          <w:w w:val="95"/>
          <w:sz w:val="19"/>
          <w:szCs w:val="19"/>
        </w:rPr>
        <w:t>2019</w:t>
      </w:r>
      <w:r>
        <w:rPr>
          <w:rFonts w:ascii="宋体" w:hAnsi="宋体" w:cs="宋体" w:eastAsia="宋体" w:hint="default"/>
          <w:i/>
          <w:spacing w:val="-61"/>
          <w:w w:val="95"/>
          <w:sz w:val="19"/>
          <w:szCs w:val="19"/>
        </w:rPr>
        <w:t> </w:t>
      </w:r>
      <w:r>
        <w:rPr>
          <w:rFonts w:ascii="宋体" w:hAnsi="宋体" w:cs="宋体" w:eastAsia="宋体" w:hint="default"/>
          <w:i/>
          <w:w w:val="95"/>
          <w:sz w:val="19"/>
          <w:szCs w:val="19"/>
        </w:rPr>
        <w:t>年由于其他上市公司数据没有披露</w:t>
      </w:r>
      <w:r>
        <w:rPr>
          <w:rFonts w:ascii="宋体" w:hAnsi="宋体" w:cs="宋体" w:eastAsia="宋体" w:hint="default"/>
          <w:i/>
          <w:w w:val="95"/>
          <w:sz w:val="19"/>
          <w:szCs w:val="19"/>
        </w:rPr>
        <w:t> </w:t>
      </w:r>
      <w:r>
        <w:rPr>
          <w:rFonts w:ascii="宋体" w:hAnsi="宋体" w:cs="宋体" w:eastAsia="宋体" w:hint="default"/>
          <w:sz w:val="19"/>
          <w:szCs w:val="19"/>
        </w:rPr>
      </w:r>
    </w:p>
    <w:p>
      <w:pPr>
        <w:spacing w:line="240" w:lineRule="auto" w:before="12"/>
        <w:rPr>
          <w:rFonts w:ascii="宋体" w:hAnsi="宋体" w:cs="宋体" w:eastAsia="宋体" w:hint="default"/>
          <w:i/>
          <w:sz w:val="26"/>
          <w:szCs w:val="26"/>
        </w:rPr>
      </w:pPr>
    </w:p>
    <w:p>
      <w:pPr>
        <w:pStyle w:val="BodyText"/>
        <w:spacing w:line="273" w:lineRule="auto" w:before="36"/>
        <w:ind w:right="1133" w:firstLine="420"/>
        <w:jc w:val="left"/>
        <w:rPr>
          <w:rFonts w:ascii="宋体" w:hAnsi="宋体" w:cs="宋体" w:eastAsia="宋体" w:hint="default"/>
        </w:rPr>
      </w:pPr>
      <w:r>
        <w:rPr>
          <w:spacing w:val="-2"/>
        </w:rPr>
        <w:t>由于运营商政策的调整，行业竞争的影响，这两年该项业务毛利率有所下降。我们认为毛利率的下降</w:t>
      </w:r>
      <w:r>
        <w:rPr>
          <w:w w:val="100"/>
        </w:rPr>
        <w:t> </w:t>
      </w:r>
      <w:r>
        <w:rPr/>
        <w:t>趋势基本触底，未来随着</w:t>
      </w:r>
      <w:r>
        <w:rPr>
          <w:rFonts w:ascii="宋体" w:hAnsi="宋体" w:cs="宋体" w:eastAsia="宋体" w:hint="default"/>
        </w:rPr>
        <w:t>5G</w:t>
      </w:r>
      <w:r>
        <w:rPr/>
        <w:t>建设到来将会逐步恢复。</w:t>
      </w:r>
      <w:r>
        <w:rPr>
          <w:rFonts w:ascii="宋体" w:hAnsi="宋体" w:cs="宋体" w:eastAsia="宋体" w:hint="default"/>
        </w:rPr>
        <w:t> </w:t>
      </w:r>
    </w:p>
    <w:p>
      <w:pPr>
        <w:spacing w:line="240" w:lineRule="auto" w:before="1"/>
        <w:rPr>
          <w:rFonts w:ascii="宋体" w:hAnsi="宋体" w:cs="宋体" w:eastAsia="宋体" w:hint="default"/>
          <w:sz w:val="26"/>
          <w:szCs w:val="26"/>
        </w:rPr>
      </w:pPr>
    </w:p>
    <w:p>
      <w:pPr>
        <w:pStyle w:val="Heading3"/>
        <w:spacing w:line="240" w:lineRule="auto" w:before="0"/>
        <w:ind w:left="289" w:right="1133"/>
        <w:jc w:val="left"/>
        <w:rPr>
          <w:rFonts w:ascii="宋体" w:hAnsi="宋体" w:cs="宋体" w:eastAsia="宋体" w:hint="default"/>
          <w:b w:val="0"/>
          <w:bCs w:val="0"/>
        </w:rPr>
      </w:pPr>
      <w:r>
        <w:rPr/>
        <w:t>图表</w:t>
      </w:r>
      <w:r>
        <w:rPr>
          <w:spacing w:val="-2"/>
        </w:rPr>
        <w:t> </w:t>
      </w:r>
      <w:r>
        <w:rPr>
          <w:rFonts w:ascii="宋体" w:hAnsi="宋体" w:cs="宋体" w:eastAsia="宋体" w:hint="default"/>
          <w:spacing w:val="-2"/>
        </w:rPr>
      </w:r>
      <w:r>
        <w:rPr/>
        <w:t>网络维护公司毛利率变化</w:t>
      </w:r>
      <w:r>
        <w:rPr>
          <w:rFonts w:ascii="宋体" w:hAnsi="宋体" w:cs="宋体" w:eastAsia="宋体" w:hint="default"/>
          <w:w w:val="99"/>
        </w:rPr>
        <w:t> </w:t>
      </w:r>
      <w:r>
        <w:rPr>
          <w:rFonts w:ascii="宋体" w:hAnsi="宋体" w:cs="宋体" w:eastAsia="宋体" w:hint="default"/>
          <w:b w:val="0"/>
          <w:bCs w:val="0"/>
        </w:rPr>
      </w:r>
    </w:p>
    <w:p>
      <w:pPr>
        <w:spacing w:line="240" w:lineRule="auto" w:before="8"/>
        <w:rPr>
          <w:rFonts w:ascii="宋体" w:hAnsi="宋体" w:cs="宋体" w:eastAsia="宋体" w:hint="default"/>
          <w:b/>
          <w:bCs/>
          <w:sz w:val="5"/>
          <w:szCs w:val="5"/>
        </w:rPr>
      </w:pPr>
    </w:p>
    <w:p>
      <w:pPr>
        <w:spacing w:line="20" w:lineRule="exact"/>
        <w:ind w:left="172" w:right="0" w:firstLine="0"/>
        <w:rPr>
          <w:rFonts w:ascii="宋体" w:hAnsi="宋体" w:cs="宋体" w:eastAsia="宋体" w:hint="default"/>
          <w:sz w:val="2"/>
          <w:szCs w:val="2"/>
        </w:rPr>
      </w:pPr>
      <w:r>
        <w:rPr>
          <w:rFonts w:ascii="宋体" w:hAnsi="宋体" w:cs="宋体" w:eastAsia="宋体" w:hint="default"/>
          <w:sz w:val="2"/>
          <w:szCs w:val="2"/>
        </w:rPr>
        <w:pict>
          <v:group style="width:486.95pt;height:1pt;mso-position-horizontal-relative:char;mso-position-vertical-relative:line" coordorigin="0,0" coordsize="9739,20">
            <v:group style="position:absolute;left:10;top:10;width:9720;height:2" coordorigin="10,10" coordsize="9720,2">
              <v:shape style="position:absolute;left:10;top:10;width:9720;height:2" coordorigin="10,10" coordsize="9720,0" path="m10,10l9729,10e" filled="false" stroked="true" strokeweight=".95999pt" strokecolor="#336699">
                <v:path arrowok="t"/>
              </v:shape>
            </v:group>
          </v:group>
        </w:pict>
      </w:r>
      <w:r>
        <w:rPr>
          <w:rFonts w:ascii="宋体" w:hAnsi="宋体" w:cs="宋体" w:eastAsia="宋体" w:hint="default"/>
          <w:sz w:val="2"/>
          <w:szCs w:val="2"/>
        </w:rPr>
      </w:r>
    </w:p>
    <w:p>
      <w:pPr>
        <w:spacing w:line="240" w:lineRule="auto" w:before="1"/>
        <w:rPr>
          <w:rFonts w:ascii="宋体" w:hAnsi="宋体" w:cs="宋体" w:eastAsia="宋体" w:hint="default"/>
          <w:b/>
          <w:bCs/>
          <w:sz w:val="7"/>
          <w:szCs w:val="7"/>
        </w:rPr>
      </w:pPr>
    </w:p>
    <w:p>
      <w:pPr>
        <w:spacing w:line="3630" w:lineRule="exact"/>
        <w:ind w:left="207" w:right="0" w:firstLine="0"/>
        <w:rPr>
          <w:rFonts w:ascii="宋体" w:hAnsi="宋体" w:cs="宋体" w:eastAsia="宋体" w:hint="default"/>
          <w:sz w:val="20"/>
          <w:szCs w:val="20"/>
        </w:rPr>
      </w:pPr>
      <w:r>
        <w:rPr>
          <w:rFonts w:ascii="宋体" w:hAnsi="宋体" w:cs="宋体" w:eastAsia="宋体" w:hint="default"/>
          <w:position w:val="-72"/>
          <w:sz w:val="20"/>
          <w:szCs w:val="20"/>
        </w:rPr>
        <w:drawing>
          <wp:inline distT="0" distB="0" distL="0" distR="0">
            <wp:extent cx="6142701" cy="2305050"/>
            <wp:effectExtent l="0" t="0" r="0" b="0"/>
            <wp:docPr id="17" name="image14.png" descr=""/>
            <wp:cNvGraphicFramePr>
              <a:graphicFrameLocks noChangeAspect="1"/>
            </wp:cNvGraphicFramePr>
            <a:graphic>
              <a:graphicData uri="http://schemas.openxmlformats.org/drawingml/2006/picture">
                <pic:pic>
                  <pic:nvPicPr>
                    <pic:cNvPr id="18" name="image14.png"/>
                    <pic:cNvPicPr/>
                  </pic:nvPicPr>
                  <pic:blipFill>
                    <a:blip r:embed="rId26" cstate="print"/>
                    <a:stretch>
                      <a:fillRect/>
                    </a:stretch>
                  </pic:blipFill>
                  <pic:spPr>
                    <a:xfrm>
                      <a:off x="0" y="0"/>
                      <a:ext cx="6142701" cy="2305050"/>
                    </a:xfrm>
                    <a:prstGeom prst="rect">
                      <a:avLst/>
                    </a:prstGeom>
                  </pic:spPr>
                </pic:pic>
              </a:graphicData>
            </a:graphic>
          </wp:inline>
        </w:drawing>
      </w:r>
      <w:r>
        <w:rPr>
          <w:rFonts w:ascii="宋体" w:hAnsi="宋体" w:cs="宋体" w:eastAsia="宋体" w:hint="default"/>
          <w:position w:val="-72"/>
          <w:sz w:val="20"/>
          <w:szCs w:val="20"/>
        </w:rPr>
      </w:r>
    </w:p>
    <w:p>
      <w:pPr>
        <w:spacing w:line="240" w:lineRule="auto" w:before="11"/>
        <w:rPr>
          <w:rFonts w:ascii="宋体" w:hAnsi="宋体" w:cs="宋体" w:eastAsia="宋体" w:hint="default"/>
          <w:b/>
          <w:bCs/>
          <w:sz w:val="7"/>
          <w:szCs w:val="7"/>
        </w:rPr>
      </w:pPr>
    </w:p>
    <w:p>
      <w:pPr>
        <w:spacing w:line="20" w:lineRule="exact"/>
        <w:ind w:left="172" w:right="0" w:firstLine="0"/>
        <w:rPr>
          <w:rFonts w:ascii="宋体" w:hAnsi="宋体" w:cs="宋体" w:eastAsia="宋体" w:hint="default"/>
          <w:sz w:val="2"/>
          <w:szCs w:val="2"/>
        </w:rPr>
      </w:pPr>
      <w:r>
        <w:rPr>
          <w:rFonts w:ascii="宋体" w:hAnsi="宋体" w:cs="宋体" w:eastAsia="宋体" w:hint="default"/>
          <w:sz w:val="2"/>
          <w:szCs w:val="2"/>
        </w:rPr>
        <w:pict>
          <v:group style="width:486.95pt;height:1pt;mso-position-horizontal-relative:char;mso-position-vertical-relative:line" coordorigin="0,0" coordsize="9739,20">
            <v:group style="position:absolute;left:10;top:10;width:9720;height:2" coordorigin="10,10" coordsize="9720,2">
              <v:shape style="position:absolute;left:10;top:10;width:9720;height:2" coordorigin="10,10" coordsize="9720,0" path="m10,10l9729,10e" filled="false" stroked="true" strokeweight=".95996pt" strokecolor="#336699">
                <v:path arrowok="t"/>
              </v:shape>
            </v:group>
          </v:group>
        </w:pict>
      </w:r>
      <w:r>
        <w:rPr>
          <w:rFonts w:ascii="宋体" w:hAnsi="宋体" w:cs="宋体" w:eastAsia="宋体" w:hint="default"/>
          <w:sz w:val="2"/>
          <w:szCs w:val="2"/>
        </w:rPr>
      </w:r>
    </w:p>
    <w:p>
      <w:pPr>
        <w:spacing w:before="63"/>
        <w:ind w:left="289" w:right="1133" w:firstLine="0"/>
        <w:jc w:val="left"/>
        <w:rPr>
          <w:rFonts w:ascii="宋体" w:hAnsi="宋体" w:cs="宋体" w:eastAsia="宋体" w:hint="default"/>
          <w:sz w:val="19"/>
          <w:szCs w:val="19"/>
        </w:rPr>
      </w:pPr>
      <w:r>
        <w:rPr>
          <w:rFonts w:ascii="宋体" w:hAnsi="宋体" w:cs="宋体" w:eastAsia="宋体" w:hint="default"/>
          <w:i/>
          <w:w w:val="95"/>
          <w:sz w:val="19"/>
          <w:szCs w:val="19"/>
        </w:rPr>
        <w:t>资料来源：各上市公司年报 </w:t>
      </w:r>
      <w:r>
        <w:rPr>
          <w:rFonts w:ascii="宋体" w:hAnsi="宋体" w:cs="宋体" w:eastAsia="宋体" w:hint="default"/>
          <w:i/>
          <w:w w:val="95"/>
          <w:sz w:val="19"/>
          <w:szCs w:val="19"/>
        </w:rPr>
      </w:r>
      <w:r>
        <w:rPr>
          <w:rFonts w:ascii="宋体" w:hAnsi="宋体" w:cs="宋体" w:eastAsia="宋体" w:hint="default"/>
          <w:i/>
          <w:w w:val="95"/>
          <w:sz w:val="19"/>
          <w:szCs w:val="19"/>
        </w:rPr>
        <w:t>，</w:t>
      </w:r>
      <w:r>
        <w:rPr>
          <w:rFonts w:ascii="宋体" w:hAnsi="宋体" w:cs="宋体" w:eastAsia="宋体" w:hint="default"/>
          <w:i/>
          <w:w w:val="95"/>
          <w:sz w:val="19"/>
          <w:szCs w:val="19"/>
        </w:rPr>
        <w:t>2019</w:t>
      </w:r>
      <w:r>
        <w:rPr>
          <w:rFonts w:ascii="宋体" w:hAnsi="宋体" w:cs="宋体" w:eastAsia="宋体" w:hint="default"/>
          <w:i/>
          <w:spacing w:val="-61"/>
          <w:w w:val="95"/>
          <w:sz w:val="19"/>
          <w:szCs w:val="19"/>
        </w:rPr>
        <w:t> </w:t>
      </w:r>
      <w:r>
        <w:rPr>
          <w:rFonts w:ascii="宋体" w:hAnsi="宋体" w:cs="宋体" w:eastAsia="宋体" w:hint="default"/>
          <w:i/>
          <w:w w:val="95"/>
          <w:sz w:val="19"/>
          <w:szCs w:val="19"/>
        </w:rPr>
        <w:t>年由于其他上市公司数据没有披露</w:t>
      </w:r>
      <w:r>
        <w:rPr>
          <w:rFonts w:ascii="宋体" w:hAnsi="宋体" w:cs="宋体" w:eastAsia="宋体" w:hint="default"/>
          <w:i/>
          <w:w w:val="95"/>
          <w:sz w:val="19"/>
          <w:szCs w:val="19"/>
        </w:rPr>
        <w:t> </w:t>
      </w:r>
      <w:r>
        <w:rPr>
          <w:rFonts w:ascii="宋体" w:hAnsi="宋体" w:cs="宋体" w:eastAsia="宋体" w:hint="default"/>
          <w:sz w:val="19"/>
          <w:szCs w:val="19"/>
        </w:rPr>
      </w:r>
    </w:p>
    <w:p>
      <w:pPr>
        <w:spacing w:line="240" w:lineRule="auto" w:before="1"/>
        <w:rPr>
          <w:rFonts w:ascii="宋体" w:hAnsi="宋体" w:cs="宋体" w:eastAsia="宋体" w:hint="default"/>
          <w:i/>
          <w:sz w:val="25"/>
          <w:szCs w:val="25"/>
        </w:rPr>
      </w:pPr>
    </w:p>
    <w:p>
      <w:pPr>
        <w:pStyle w:val="Heading3"/>
        <w:spacing w:line="240" w:lineRule="auto"/>
        <w:ind w:left="573" w:right="1133"/>
        <w:jc w:val="left"/>
        <w:rPr>
          <w:rFonts w:ascii="宋体" w:hAnsi="宋体" w:cs="宋体" w:eastAsia="宋体" w:hint="default"/>
          <w:b w:val="0"/>
          <w:bCs w:val="0"/>
        </w:rPr>
      </w:pPr>
      <w:r>
        <w:rPr>
          <w:rFonts w:ascii="宋体" w:hAnsi="宋体" w:cs="宋体" w:eastAsia="宋体" w:hint="default"/>
          <w:b w:val="0"/>
          <w:bCs w:val="0"/>
        </w:rPr>
        <w:t>3</w:t>
      </w:r>
      <w:r>
        <w:rPr>
          <w:rFonts w:ascii="宋体" w:hAnsi="宋体" w:cs="宋体" w:eastAsia="宋体" w:hint="default"/>
          <w:b w:val="0"/>
          <w:bCs w:val="0"/>
        </w:rPr>
        <w:t>、</w:t>
      </w:r>
      <w:r>
        <w:rPr/>
        <w:t>展望</w:t>
      </w:r>
      <w:r>
        <w:rPr>
          <w:spacing w:val="-54"/>
        </w:rPr>
        <w:t> </w:t>
      </w:r>
      <w:r>
        <w:rPr>
          <w:rFonts w:ascii="宋体" w:hAnsi="宋体" w:cs="宋体" w:eastAsia="宋体" w:hint="default"/>
        </w:rPr>
        <w:t>2020</w:t>
      </w:r>
      <w:r>
        <w:rPr/>
        <w:t>：从网络维护到</w:t>
      </w:r>
      <w:r>
        <w:rPr>
          <w:spacing w:val="-53"/>
        </w:rPr>
        <w:t> </w:t>
      </w:r>
      <w:r>
        <w:rPr>
          <w:rFonts w:ascii="宋体" w:hAnsi="宋体" w:cs="宋体" w:eastAsia="宋体" w:hint="default"/>
        </w:rPr>
        <w:t>5G</w:t>
      </w:r>
      <w:r>
        <w:rPr>
          <w:rFonts w:ascii="宋体" w:hAnsi="宋体" w:cs="宋体" w:eastAsia="宋体" w:hint="default"/>
          <w:spacing w:val="-54"/>
        </w:rPr>
        <w:t> </w:t>
      </w:r>
      <w:r>
        <w:rPr/>
        <w:t>站址运营，向产业链的纵向拓展</w:t>
      </w:r>
      <w:r>
        <w:rPr>
          <w:rFonts w:ascii="宋体" w:hAnsi="宋体" w:cs="宋体" w:eastAsia="宋体" w:hint="default"/>
          <w:b w:val="0"/>
          <w:bCs w:val="0"/>
          <w:w w:val="100"/>
        </w:rPr>
        <w:t> </w:t>
      </w:r>
    </w:p>
    <w:p>
      <w:pPr>
        <w:spacing w:line="240" w:lineRule="auto" w:before="12"/>
        <w:rPr>
          <w:rFonts w:ascii="宋体" w:hAnsi="宋体" w:cs="宋体" w:eastAsia="宋体" w:hint="default"/>
          <w:sz w:val="14"/>
          <w:szCs w:val="14"/>
        </w:rPr>
      </w:pPr>
    </w:p>
    <w:p>
      <w:pPr>
        <w:pStyle w:val="BodyText"/>
        <w:spacing w:line="273" w:lineRule="auto"/>
        <w:ind w:right="819" w:firstLine="420"/>
        <w:jc w:val="left"/>
      </w:pPr>
      <w:r>
        <w:rPr>
          <w:rFonts w:ascii="宋体" w:hAnsi="宋体" w:cs="宋体" w:eastAsia="宋体" w:hint="default"/>
        </w:rPr>
        <w:t>5G </w:t>
      </w:r>
      <w:r>
        <w:rPr>
          <w:spacing w:val="-4"/>
        </w:rPr>
        <w:t>时代到来，运营商网络服务建设维护需求将快速增长，公司在近期中国移动 </w:t>
      </w:r>
      <w:r>
        <w:rPr>
          <w:rFonts w:ascii="宋体" w:hAnsi="宋体" w:cs="宋体" w:eastAsia="宋体" w:hint="default"/>
        </w:rPr>
        <w:t>9</w:t>
      </w:r>
      <w:r>
        <w:rPr>
          <w:rFonts w:ascii="宋体" w:hAnsi="宋体" w:cs="宋体" w:eastAsia="宋体" w:hint="default"/>
          <w:spacing w:val="-79"/>
        </w:rPr>
        <w:t> </w:t>
      </w:r>
      <w:r>
        <w:rPr>
          <w:spacing w:val="-5"/>
        </w:rPr>
        <w:t>省项目招标，长实通</w:t>
      </w:r>
      <w:r>
        <w:rPr>
          <w:w w:val="100"/>
        </w:rPr>
        <w:t> </w:t>
      </w:r>
      <w:r>
        <w:rPr/>
        <w:t>信中标省份总计 </w:t>
      </w:r>
      <w:r>
        <w:rPr>
          <w:rFonts w:ascii="宋体" w:hAnsi="宋体" w:cs="宋体" w:eastAsia="宋体" w:hint="default"/>
        </w:rPr>
        <w:t>6</w:t>
      </w:r>
      <w:r>
        <w:rPr>
          <w:rFonts w:ascii="宋体" w:hAnsi="宋体" w:cs="宋体" w:eastAsia="宋体" w:hint="default"/>
          <w:spacing w:val="-24"/>
        </w:rPr>
        <w:t> </w:t>
      </w:r>
      <w:r>
        <w:rPr>
          <w:spacing w:val="-3"/>
        </w:rPr>
        <w:t>个，是所有中标单位中，中标省份数量最多以及中标整体合同采购金额排名第一。预算</w:t>
      </w:r>
    </w:p>
    <w:p>
      <w:pPr>
        <w:pStyle w:val="BodyText"/>
        <w:spacing w:line="240" w:lineRule="auto" w:before="10"/>
        <w:ind w:right="819"/>
        <w:jc w:val="left"/>
        <w:rPr>
          <w:rFonts w:ascii="宋体" w:hAnsi="宋体" w:cs="宋体" w:eastAsia="宋体" w:hint="default"/>
        </w:rPr>
      </w:pPr>
      <w:r>
        <w:rPr/>
        <w:t>采购金额约</w:t>
      </w:r>
      <w:r>
        <w:rPr>
          <w:spacing w:val="-31"/>
        </w:rPr>
        <w:t> </w:t>
      </w:r>
      <w:r>
        <w:rPr>
          <w:rFonts w:ascii="宋体" w:hAnsi="宋体" w:cs="宋体" w:eastAsia="宋体" w:hint="default"/>
        </w:rPr>
        <w:t>34.44</w:t>
      </w:r>
      <w:r>
        <w:rPr>
          <w:rFonts w:ascii="宋体" w:hAnsi="宋体" w:cs="宋体" w:eastAsia="宋体" w:hint="default"/>
          <w:spacing w:val="-33"/>
        </w:rPr>
        <w:t> </w:t>
      </w:r>
      <w:r>
        <w:rPr>
          <w:spacing w:val="-4"/>
        </w:rPr>
        <w:t>亿元，每个项目存在不同的折扣，预计考虑折扣因素上述项目可贡献营业收入约为</w:t>
      </w:r>
      <w:r>
        <w:rPr>
          <w:spacing w:val="-36"/>
        </w:rPr>
        <w:t> </w:t>
      </w:r>
      <w:r>
        <w:rPr>
          <w:rFonts w:ascii="宋体" w:hAnsi="宋体" w:cs="宋体" w:eastAsia="宋体" w:hint="default"/>
        </w:rPr>
        <w:t>9.23</w:t>
      </w:r>
    </w:p>
    <w:p>
      <w:pPr>
        <w:pStyle w:val="BodyText"/>
        <w:spacing w:line="240" w:lineRule="auto" w:before="37"/>
        <w:ind w:right="1133"/>
        <w:jc w:val="left"/>
        <w:rPr>
          <w:rFonts w:ascii="宋体" w:hAnsi="宋体" w:cs="宋体" w:eastAsia="宋体" w:hint="default"/>
        </w:rPr>
      </w:pPr>
      <w:r>
        <w:rPr/>
        <w:t>亿元，有利于带动公司</w:t>
      </w:r>
      <w:r>
        <w:rPr>
          <w:spacing w:val="-56"/>
        </w:rPr>
        <w:t> </w:t>
      </w:r>
      <w:r>
        <w:rPr>
          <w:rFonts w:ascii="宋体" w:hAnsi="宋体" w:cs="宋体" w:eastAsia="宋体" w:hint="default"/>
        </w:rPr>
        <w:t>2020</w:t>
      </w:r>
      <w:r>
        <w:rPr>
          <w:rFonts w:ascii="宋体" w:hAnsi="宋体" w:cs="宋体" w:eastAsia="宋体" w:hint="default"/>
          <w:spacing w:val="-56"/>
        </w:rPr>
        <w:t> </w:t>
      </w:r>
      <w:r>
        <w:rPr/>
        <w:t>年—</w:t>
      </w:r>
      <w:r>
        <w:rPr>
          <w:rFonts w:ascii="宋体" w:hAnsi="宋体" w:cs="宋体" w:eastAsia="宋体" w:hint="default"/>
        </w:rPr>
        <w:t>2022</w:t>
      </w:r>
      <w:r>
        <w:rPr>
          <w:rFonts w:ascii="宋体" w:hAnsi="宋体" w:cs="宋体" w:eastAsia="宋体" w:hint="default"/>
          <w:spacing w:val="-56"/>
        </w:rPr>
        <w:t> </w:t>
      </w:r>
      <w:r>
        <w:rPr/>
        <w:t>年的营业收入增长。</w:t>
      </w:r>
      <w:r>
        <w:rPr>
          <w:rFonts w:ascii="宋体" w:hAnsi="宋体" w:cs="宋体" w:eastAsia="宋体" w:hint="default"/>
        </w:rPr>
        <w:t> </w:t>
      </w:r>
    </w:p>
    <w:p>
      <w:pPr>
        <w:spacing w:line="240" w:lineRule="auto" w:before="12"/>
        <w:rPr>
          <w:rFonts w:ascii="宋体" w:hAnsi="宋体" w:cs="宋体" w:eastAsia="宋体" w:hint="default"/>
          <w:sz w:val="14"/>
          <w:szCs w:val="14"/>
        </w:rPr>
      </w:pPr>
    </w:p>
    <w:p>
      <w:pPr>
        <w:pStyle w:val="BodyText"/>
        <w:spacing w:line="240" w:lineRule="auto"/>
        <w:ind w:left="573" w:right="819"/>
        <w:jc w:val="left"/>
      </w:pPr>
      <w:r>
        <w:rPr/>
        <w:t>同时面临即将到来的</w:t>
      </w:r>
      <w:r>
        <w:rPr>
          <w:spacing w:val="-46"/>
        </w:rPr>
        <w:t> </w:t>
      </w:r>
      <w:r>
        <w:rPr>
          <w:rFonts w:ascii="宋体" w:hAnsi="宋体" w:cs="宋体" w:eastAsia="宋体" w:hint="default"/>
        </w:rPr>
        <w:t>5G</w:t>
      </w:r>
      <w:r>
        <w:rPr/>
        <w:t>，公司也降将积极迎接时代的变化和机遇，从网络维护到</w:t>
      </w:r>
      <w:r>
        <w:rPr>
          <w:spacing w:val="-43"/>
        </w:rPr>
        <w:t> </w:t>
      </w:r>
      <w:r>
        <w:rPr>
          <w:rFonts w:ascii="宋体" w:hAnsi="宋体" w:cs="宋体" w:eastAsia="宋体" w:hint="default"/>
        </w:rPr>
        <w:t>5G</w:t>
      </w:r>
      <w:r>
        <w:rPr>
          <w:rFonts w:ascii="宋体" w:hAnsi="宋体" w:cs="宋体" w:eastAsia="宋体" w:hint="default"/>
          <w:spacing w:val="-45"/>
        </w:rPr>
        <w:t> </w:t>
      </w:r>
      <w:r>
        <w:rPr/>
        <w:t>站址运营，向产</w:t>
      </w:r>
    </w:p>
    <w:p>
      <w:pPr>
        <w:spacing w:after="0" w:line="240" w:lineRule="auto"/>
        <w:jc w:val="left"/>
        <w:sectPr>
          <w:pgSz w:w="11910" w:h="16840"/>
          <w:pgMar w:header="880" w:footer="975" w:top="1100" w:bottom="1160" w:left="980" w:right="0"/>
        </w:sectPr>
      </w:pPr>
    </w:p>
    <w:p>
      <w:pPr>
        <w:spacing w:line="240" w:lineRule="auto" w:before="3"/>
        <w:rPr>
          <w:rFonts w:ascii="宋体" w:hAnsi="宋体" w:cs="宋体" w:eastAsia="宋体" w:hint="default"/>
          <w:sz w:val="19"/>
          <w:szCs w:val="19"/>
        </w:rPr>
      </w:pPr>
    </w:p>
    <w:p>
      <w:pPr>
        <w:pStyle w:val="BodyText"/>
        <w:spacing w:line="273" w:lineRule="auto" w:before="36"/>
        <w:ind w:right="1126"/>
        <w:jc w:val="both"/>
        <w:rPr>
          <w:rFonts w:ascii="宋体" w:hAnsi="宋体" w:cs="宋体" w:eastAsia="宋体" w:hint="default"/>
        </w:rPr>
      </w:pPr>
      <w:r>
        <w:rPr/>
        <w:t>业链的纵向拓展。建设布局。</w:t>
      </w:r>
      <w:r>
        <w:rPr>
          <w:rFonts w:ascii="宋体" w:hAnsi="宋体" w:cs="宋体" w:eastAsia="宋体" w:hint="default"/>
        </w:rPr>
        <w:t>1</w:t>
      </w:r>
      <w:r>
        <w:rPr/>
        <w:t>）长实通信通过对成建制、成片区的站址资源整合构建站址资源为运营商</w:t>
      </w:r>
      <w:r>
        <w:rPr>
          <w:spacing w:val="-21"/>
        </w:rPr>
        <w:t> </w:t>
      </w:r>
      <w:r>
        <w:rPr>
          <w:spacing w:val="-21"/>
        </w:rPr>
      </w:r>
      <w:r>
        <w:rPr/>
        <w:t>网络规划、建设站址所需的站址资源提供大数据支撑服务；</w:t>
      </w:r>
      <w:r>
        <w:rPr>
          <w:rFonts w:ascii="宋体" w:hAnsi="宋体" w:cs="宋体" w:eastAsia="宋体" w:hint="default"/>
        </w:rPr>
        <w:t>2</w:t>
      </w:r>
      <w:r>
        <w:rPr/>
        <w:t>）长实通信通过向运营商和铁塔公司获取微</w:t>
      </w:r>
      <w:r>
        <w:rPr>
          <w:spacing w:val="-22"/>
        </w:rPr>
        <w:t> </w:t>
      </w:r>
      <w:r>
        <w:rPr>
          <w:spacing w:val="-22"/>
        </w:rPr>
      </w:r>
      <w:r>
        <w:rPr/>
        <w:t>小基站站址或杆塔建设及服务需求，由运营商按照网络规划和基站设备选型负责采购基站设备；</w:t>
      </w:r>
      <w:r>
        <w:rPr>
          <w:rFonts w:ascii="宋体" w:hAnsi="宋体" w:cs="宋体" w:eastAsia="宋体" w:hint="default"/>
        </w:rPr>
        <w:t>3</w:t>
      </w:r>
      <w:r>
        <w:rPr/>
        <w:t>）由长</w:t>
      </w:r>
      <w:r>
        <w:rPr>
          <w:spacing w:val="-20"/>
        </w:rPr>
        <w:t> </w:t>
      </w:r>
      <w:r>
        <w:rPr>
          <w:spacing w:val="-20"/>
        </w:rPr>
      </w:r>
      <w:r>
        <w:rPr>
          <w:spacing w:val="-2"/>
        </w:rPr>
        <w:t>实通信负责站址协调、电源接入、传输接入以及通过利旧、改造或新建的方式为运营商提供满足运营商微</w:t>
      </w:r>
      <w:r>
        <w:rPr>
          <w:spacing w:val="-43"/>
        </w:rPr>
        <w:t> </w:t>
      </w:r>
      <w:r>
        <w:rPr>
          <w:spacing w:val="-43"/>
        </w:rPr>
      </w:r>
      <w:r>
        <w:rPr/>
        <w:t>小基站通信设施安装需求的站址或杆塔，完成基站杆塔投资建设；</w:t>
      </w:r>
      <w:r>
        <w:rPr>
          <w:rFonts w:ascii="宋体" w:hAnsi="宋体" w:cs="宋体" w:eastAsia="宋体" w:hint="default"/>
        </w:rPr>
        <w:t>4</w:t>
      </w:r>
      <w:r>
        <w:rPr/>
        <w:t>）由长实通信负责杆塔及基站维护工</w:t>
      </w:r>
      <w:r>
        <w:rPr>
          <w:spacing w:val="-22"/>
        </w:rPr>
        <w:t> </w:t>
      </w:r>
      <w:r>
        <w:rPr>
          <w:spacing w:val="-22"/>
        </w:rPr>
      </w:r>
      <w:r>
        <w:rPr/>
        <w:t>作，具体的商业模式如下：</w:t>
      </w:r>
      <w:r>
        <w:rPr>
          <w:rFonts w:ascii="宋体" w:hAnsi="宋体" w:cs="宋体" w:eastAsia="宋体" w:hint="default"/>
        </w:rPr>
        <w:t> </w:t>
      </w:r>
    </w:p>
    <w:p>
      <w:pPr>
        <w:spacing w:line="240" w:lineRule="auto" w:before="0"/>
        <w:rPr>
          <w:rFonts w:ascii="宋体" w:hAnsi="宋体" w:cs="宋体" w:eastAsia="宋体" w:hint="default"/>
          <w:sz w:val="16"/>
          <w:szCs w:val="16"/>
        </w:rPr>
      </w:pPr>
    </w:p>
    <w:p>
      <w:pPr>
        <w:pStyle w:val="Heading3"/>
        <w:spacing w:line="240" w:lineRule="auto" w:before="0"/>
        <w:ind w:left="289" w:right="1133"/>
        <w:jc w:val="left"/>
        <w:rPr>
          <w:rFonts w:ascii="宋体" w:hAnsi="宋体" w:cs="宋体" w:eastAsia="宋体" w:hint="default"/>
          <w:b w:val="0"/>
          <w:bCs w:val="0"/>
        </w:rPr>
      </w:pPr>
      <w:r>
        <w:rPr/>
        <w:t>图表</w:t>
      </w:r>
      <w:r>
        <w:rPr>
          <w:spacing w:val="-3"/>
        </w:rPr>
        <w:t> </w:t>
      </w:r>
      <w:r>
        <w:rPr>
          <w:rFonts w:ascii="宋体" w:hAnsi="宋体" w:cs="宋体" w:eastAsia="宋体" w:hint="default"/>
          <w:spacing w:val="-3"/>
        </w:rPr>
      </w:r>
      <w:r>
        <w:rPr/>
        <w:t>长实通信的商业模式</w:t>
      </w:r>
      <w:r>
        <w:rPr>
          <w:rFonts w:ascii="宋体" w:hAnsi="宋体" w:cs="宋体" w:eastAsia="宋体" w:hint="default"/>
          <w:w w:val="99"/>
        </w:rPr>
        <w:t> </w:t>
      </w:r>
      <w:r>
        <w:rPr>
          <w:rFonts w:ascii="宋体" w:hAnsi="宋体" w:cs="宋体" w:eastAsia="宋体" w:hint="default"/>
          <w:b w:val="0"/>
          <w:bCs w:val="0"/>
        </w:rPr>
      </w:r>
    </w:p>
    <w:p>
      <w:pPr>
        <w:spacing w:line="240" w:lineRule="auto" w:before="8"/>
        <w:rPr>
          <w:rFonts w:ascii="宋体" w:hAnsi="宋体" w:cs="宋体" w:eastAsia="宋体" w:hint="default"/>
          <w:b/>
          <w:bCs/>
          <w:sz w:val="5"/>
          <w:szCs w:val="5"/>
        </w:rPr>
      </w:pPr>
    </w:p>
    <w:p>
      <w:pPr>
        <w:spacing w:line="4177" w:lineRule="exact"/>
        <w:ind w:left="172" w:right="0" w:firstLine="0"/>
        <w:rPr>
          <w:rFonts w:ascii="宋体" w:hAnsi="宋体" w:cs="宋体" w:eastAsia="宋体" w:hint="default"/>
          <w:sz w:val="20"/>
          <w:szCs w:val="20"/>
        </w:rPr>
      </w:pPr>
      <w:r>
        <w:rPr>
          <w:rFonts w:ascii="宋体" w:hAnsi="宋体" w:cs="宋体" w:eastAsia="宋体" w:hint="default"/>
          <w:position w:val="-83"/>
          <w:sz w:val="20"/>
          <w:szCs w:val="20"/>
        </w:rPr>
        <w:drawing>
          <wp:inline distT="0" distB="0" distL="0" distR="0">
            <wp:extent cx="5923285" cy="2652712"/>
            <wp:effectExtent l="0" t="0" r="0" b="0"/>
            <wp:docPr id="19" name="image15.png" descr=""/>
            <wp:cNvGraphicFramePr>
              <a:graphicFrameLocks noChangeAspect="1"/>
            </wp:cNvGraphicFramePr>
            <a:graphic>
              <a:graphicData uri="http://schemas.openxmlformats.org/drawingml/2006/picture">
                <pic:pic>
                  <pic:nvPicPr>
                    <pic:cNvPr id="20" name="image15.png"/>
                    <pic:cNvPicPr/>
                  </pic:nvPicPr>
                  <pic:blipFill>
                    <a:blip r:embed="rId27" cstate="print"/>
                    <a:stretch>
                      <a:fillRect/>
                    </a:stretch>
                  </pic:blipFill>
                  <pic:spPr>
                    <a:xfrm>
                      <a:off x="0" y="0"/>
                      <a:ext cx="5923285" cy="2652712"/>
                    </a:xfrm>
                    <a:prstGeom prst="rect">
                      <a:avLst/>
                    </a:prstGeom>
                  </pic:spPr>
                </pic:pic>
              </a:graphicData>
            </a:graphic>
          </wp:inline>
        </w:drawing>
      </w:r>
      <w:r>
        <w:rPr>
          <w:rFonts w:ascii="宋体" w:hAnsi="宋体" w:cs="宋体" w:eastAsia="宋体" w:hint="default"/>
          <w:position w:val="-83"/>
          <w:sz w:val="20"/>
          <w:szCs w:val="20"/>
        </w:rPr>
      </w:r>
    </w:p>
    <w:p>
      <w:pPr>
        <w:spacing w:before="63"/>
        <w:ind w:left="289" w:right="1133" w:firstLine="0"/>
        <w:jc w:val="left"/>
        <w:rPr>
          <w:rFonts w:ascii="宋体" w:hAnsi="宋体" w:cs="宋体" w:eastAsia="宋体" w:hint="default"/>
          <w:sz w:val="19"/>
          <w:szCs w:val="19"/>
        </w:rPr>
      </w:pPr>
      <w:r>
        <w:rPr>
          <w:rFonts w:ascii="宋体" w:hAnsi="宋体" w:cs="宋体" w:eastAsia="宋体" w:hint="default"/>
          <w:i/>
          <w:sz w:val="19"/>
          <w:szCs w:val="19"/>
        </w:rPr>
        <w:t>资料来源：中嘉博创</w:t>
      </w:r>
      <w:r>
        <w:rPr>
          <w:rFonts w:ascii="宋体" w:hAnsi="宋体" w:cs="宋体" w:eastAsia="宋体" w:hint="default"/>
          <w:i/>
          <w:sz w:val="19"/>
          <w:szCs w:val="19"/>
        </w:rPr>
        <w:t> </w:t>
      </w:r>
      <w:r>
        <w:rPr>
          <w:rFonts w:ascii="宋体" w:hAnsi="宋体" w:cs="宋体" w:eastAsia="宋体" w:hint="default"/>
          <w:sz w:val="19"/>
          <w:szCs w:val="19"/>
        </w:rPr>
      </w:r>
    </w:p>
    <w:p>
      <w:pPr>
        <w:spacing w:line="240" w:lineRule="auto" w:before="0"/>
        <w:rPr>
          <w:rFonts w:ascii="宋体" w:hAnsi="宋体" w:cs="宋体" w:eastAsia="宋体" w:hint="default"/>
          <w:i/>
          <w:sz w:val="20"/>
          <w:szCs w:val="20"/>
        </w:rPr>
      </w:pPr>
    </w:p>
    <w:p>
      <w:pPr>
        <w:spacing w:line="240" w:lineRule="auto" w:before="10"/>
        <w:rPr>
          <w:rFonts w:ascii="宋体" w:hAnsi="宋体" w:cs="宋体" w:eastAsia="宋体" w:hint="default"/>
          <w:i/>
          <w:sz w:val="16"/>
          <w:szCs w:val="16"/>
        </w:rPr>
      </w:pPr>
    </w:p>
    <w:p>
      <w:pPr>
        <w:tabs>
          <w:tab w:pos="964" w:val="left" w:leader="none"/>
        </w:tabs>
        <w:spacing w:before="26"/>
        <w:ind w:left="0" w:right="978" w:firstLine="0"/>
        <w:jc w:val="center"/>
        <w:rPr>
          <w:rFonts w:ascii="宋体" w:hAnsi="宋体" w:cs="宋体" w:eastAsia="宋体" w:hint="default"/>
          <w:sz w:val="24"/>
          <w:szCs w:val="24"/>
        </w:rPr>
      </w:pPr>
      <w:r>
        <w:rPr>
          <w:rFonts w:ascii="宋体" w:hAnsi="宋体" w:cs="宋体" w:eastAsia="宋体" w:hint="default"/>
          <w:b/>
          <w:bCs/>
          <w:w w:val="95"/>
          <w:sz w:val="24"/>
          <w:szCs w:val="24"/>
        </w:rPr>
        <w:t>第二节</w:t>
        <w:tab/>
      </w:r>
      <w:r>
        <w:rPr>
          <w:rFonts w:ascii="宋体" w:hAnsi="宋体" w:cs="宋体" w:eastAsia="宋体" w:hint="default"/>
          <w:b/>
          <w:bCs/>
          <w:sz w:val="24"/>
          <w:szCs w:val="24"/>
        </w:rPr>
        <w:t>主营业务分析</w:t>
      </w:r>
      <w:r>
        <w:rPr>
          <w:rFonts w:ascii="宋体" w:hAnsi="宋体" w:cs="宋体" w:eastAsia="宋体" w:hint="default"/>
          <w:sz w:val="24"/>
          <w:szCs w:val="24"/>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4"/>
          <w:szCs w:val="24"/>
        </w:rPr>
      </w:pPr>
    </w:p>
    <w:p>
      <w:pPr>
        <w:pStyle w:val="Heading3"/>
        <w:spacing w:line="240" w:lineRule="auto"/>
        <w:ind w:left="0" w:right="7874"/>
        <w:jc w:val="center"/>
        <w:rPr>
          <w:rFonts w:ascii="宋体" w:hAnsi="宋体" w:cs="宋体" w:eastAsia="宋体" w:hint="default"/>
          <w:b w:val="0"/>
          <w:bCs w:val="0"/>
        </w:rPr>
      </w:pPr>
      <w:r>
        <w:rPr/>
        <w:t>一、主要经营情况</w:t>
      </w:r>
      <w:r>
        <w:rPr>
          <w:rFonts w:ascii="宋体" w:hAnsi="宋体" w:cs="宋体" w:eastAsia="宋体" w:hint="default"/>
          <w:spacing w:val="-3"/>
          <w:w w:val="99"/>
        </w:rPr>
        <w:t> </w:t>
      </w:r>
      <w:r>
        <w:rPr>
          <w:rFonts w:ascii="宋体" w:hAnsi="宋体" w:cs="宋体" w:eastAsia="宋体" w:hint="default"/>
          <w:w w:val="99"/>
        </w:rPr>
        <w:t> </w:t>
      </w:r>
      <w:r>
        <w:rPr>
          <w:rFonts w:ascii="宋体" w:hAnsi="宋体" w:cs="宋体" w:eastAsia="宋体" w:hint="default"/>
          <w:b w:val="0"/>
          <w:bCs w:val="0"/>
        </w:rPr>
      </w:r>
    </w:p>
    <w:p>
      <w:pPr>
        <w:pStyle w:val="BodyText"/>
        <w:spacing w:line="307" w:lineRule="auto" w:before="157"/>
        <w:ind w:left="573" w:right="4490" w:hanging="104"/>
        <w:jc w:val="left"/>
      </w:pPr>
      <w:r>
        <w:rPr>
          <w:rFonts w:ascii="宋体" w:hAnsi="宋体" w:cs="宋体" w:eastAsia="宋体" w:hint="default"/>
          <w:b/>
          <w:bCs/>
        </w:rPr>
        <w:t>（一）概述</w:t>
      </w:r>
      <w:r>
        <w:rPr>
          <w:rFonts w:ascii="宋体" w:hAnsi="宋体" w:cs="宋体" w:eastAsia="宋体" w:hint="default"/>
          <w:b/>
          <w:bCs/>
          <w:w w:val="99"/>
        </w:rPr>
        <w:t> </w:t>
      </w:r>
      <w:r>
        <w:rPr>
          <w:spacing w:val="-2"/>
        </w:rPr>
        <w:t>参见“经营情况讨论与分析”中的“一、概述”相关内容。</w:t>
      </w:r>
    </w:p>
    <w:p>
      <w:pPr>
        <w:pStyle w:val="Heading3"/>
        <w:spacing w:line="240" w:lineRule="auto" w:before="100"/>
        <w:ind w:left="470" w:right="1133"/>
        <w:jc w:val="left"/>
        <w:rPr>
          <w:rFonts w:ascii="宋体" w:hAnsi="宋体" w:cs="宋体" w:eastAsia="宋体" w:hint="default"/>
          <w:b w:val="0"/>
          <w:bCs w:val="0"/>
        </w:rPr>
      </w:pPr>
      <w:r>
        <w:rPr/>
        <w:t>（二）收入与成本</w:t>
      </w:r>
      <w:r>
        <w:rPr>
          <w:rFonts w:ascii="宋体" w:hAnsi="宋体" w:cs="宋体" w:eastAsia="宋体" w:hint="default"/>
          <w:w w:val="99"/>
        </w:rPr>
        <w:t> </w:t>
      </w:r>
      <w:r>
        <w:rPr>
          <w:rFonts w:ascii="宋体" w:hAnsi="宋体" w:cs="宋体" w:eastAsia="宋体" w:hint="default"/>
          <w:b w:val="0"/>
          <w:bCs w:val="0"/>
        </w:rPr>
      </w:r>
    </w:p>
    <w:p>
      <w:pPr>
        <w:spacing w:before="37"/>
        <w:ind w:left="0" w:right="7774" w:firstLine="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、营业收入构成（</w:t>
      </w:r>
      <w:r>
        <w:rPr>
          <w:rFonts w:ascii="宋体" w:hAnsi="宋体" w:cs="宋体" w:eastAsia="宋体" w:hint="default"/>
          <w:sz w:val="21"/>
          <w:szCs w:val="21"/>
        </w:rPr>
        <w:t>单位：元）</w:t>
      </w:r>
    </w:p>
    <w:p>
      <w:pPr>
        <w:spacing w:line="240" w:lineRule="auto" w:before="8"/>
        <w:rPr>
          <w:rFonts w:ascii="宋体" w:hAnsi="宋体" w:cs="宋体" w:eastAsia="宋体" w:hint="default"/>
          <w:sz w:val="2"/>
          <w:szCs w:val="2"/>
        </w:rPr>
      </w:pPr>
    </w:p>
    <w:tbl>
      <w:tblPr>
        <w:tblW w:w="0" w:type="auto"/>
        <w:jc w:val="left"/>
        <w:tblInd w:w="148" w:type="dxa"/>
        <w:tblLayout w:type="fixed"/>
        <w:tblCellMar>
          <w:top w:w="0" w:type="dxa"/>
          <w:left w:w="0" w:type="dxa"/>
          <w:bottom w:w="0" w:type="dxa"/>
          <w:right w:w="0" w:type="dxa"/>
        </w:tblCellMar>
        <w:tblLook w:val="01E0"/>
      </w:tblPr>
      <w:tblGrid>
        <w:gridCol w:w="1596"/>
        <w:gridCol w:w="1594"/>
        <w:gridCol w:w="1594"/>
        <w:gridCol w:w="1596"/>
        <w:gridCol w:w="1594"/>
        <w:gridCol w:w="1594"/>
      </w:tblGrid>
      <w:tr>
        <w:trPr>
          <w:trHeight w:val="402" w:hRule="exact"/>
        </w:trPr>
        <w:tc>
          <w:tcPr>
            <w:tcW w:w="1596" w:type="dxa"/>
            <w:vMerge w:val="restart"/>
            <w:tcBorders>
              <w:top w:val="single" w:sz="4" w:space="0" w:color="000000"/>
              <w:left w:val="single" w:sz="4" w:space="0" w:color="000000"/>
              <w:right w:val="single" w:sz="4" w:space="0" w:color="000000"/>
            </w:tcBorders>
            <w:shd w:val="clear" w:color="auto" w:fill="D2D2D2"/>
          </w:tcPr>
          <w:p>
            <w:pPr/>
          </w:p>
        </w:tc>
        <w:tc>
          <w:tcPr>
            <w:tcW w:w="318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319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同比增减</w:t>
            </w:r>
            <w:r>
              <w:rPr>
                <w:rFonts w:ascii="宋体" w:hAnsi="宋体" w:cs="宋体" w:eastAsia="宋体" w:hint="default"/>
                <w:sz w:val="18"/>
                <w:szCs w:val="18"/>
              </w:rPr>
              <w:t> </w:t>
            </w:r>
          </w:p>
        </w:tc>
      </w:tr>
      <w:tr>
        <w:trPr>
          <w:trHeight w:val="402" w:hRule="exact"/>
        </w:trPr>
        <w:tc>
          <w:tcPr>
            <w:tcW w:w="1596" w:type="dxa"/>
            <w:vMerge/>
            <w:tcBorders>
              <w:left w:val="single" w:sz="4" w:space="0" w:color="000000"/>
              <w:bottom w:val="single" w:sz="4" w:space="0" w:color="000000"/>
              <w:right w:val="single" w:sz="4" w:space="0" w:color="000000"/>
            </w:tcBorders>
            <w:shd w:val="clear" w:color="auto" w:fill="D2D2D2"/>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63"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63"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c>
          <w:tcPr>
            <w:tcW w:w="1594" w:type="dxa"/>
            <w:vMerge/>
            <w:tcBorders>
              <w:left w:val="single" w:sz="4" w:space="0" w:color="000000"/>
              <w:bottom w:val="single" w:sz="4" w:space="0" w:color="000000"/>
              <w:right w:val="single" w:sz="4" w:space="0" w:color="000000"/>
            </w:tcBorders>
            <w:shd w:val="clear" w:color="auto" w:fill="D2D2D2"/>
          </w:tcPr>
          <w:p>
            <w:pPr/>
          </w:p>
        </w:tc>
      </w:tr>
      <w:tr>
        <w:trPr>
          <w:trHeight w:val="408"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营业收入合计</w:t>
            </w:r>
            <w:r>
              <w:rPr>
                <w:rFonts w:ascii="宋体" w:hAnsi="宋体" w:cs="宋体" w:eastAsia="宋体" w:hint="default"/>
                <w:sz w:val="18"/>
                <w:szCs w:val="18"/>
              </w:rPr>
              <w:t> </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pacing w:val="-1"/>
                <w:sz w:val="18"/>
              </w:rPr>
              <w:t>3,162,631,426.91</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8"/>
              <w:jc w:val="right"/>
              <w:rPr>
                <w:rFonts w:ascii="宋体" w:hAnsi="宋体" w:cs="宋体" w:eastAsia="宋体" w:hint="default"/>
                <w:sz w:val="18"/>
                <w:szCs w:val="18"/>
              </w:rPr>
            </w:pPr>
            <w:r>
              <w:rPr>
                <w:rFonts w:ascii="宋体"/>
                <w:sz w:val="18"/>
              </w:rPr>
              <w:t>100%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pacing w:val="-1"/>
                <w:sz w:val="18"/>
              </w:rPr>
              <w:t>3,030,758,905.79</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8"/>
              <w:jc w:val="right"/>
              <w:rPr>
                <w:rFonts w:ascii="宋体" w:hAnsi="宋体" w:cs="宋体" w:eastAsia="宋体" w:hint="default"/>
                <w:sz w:val="18"/>
                <w:szCs w:val="18"/>
              </w:rPr>
            </w:pPr>
            <w:r>
              <w:rPr>
                <w:rFonts w:ascii="宋体"/>
                <w:sz w:val="18"/>
              </w:rPr>
              <w:t>100%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z w:val="18"/>
              </w:rPr>
              <w:t>4.35%</w:t>
            </w:r>
          </w:p>
        </w:tc>
      </w:tr>
      <w:tr>
        <w:trPr>
          <w:trHeight w:val="396"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24" w:right="0"/>
              <w:jc w:val="left"/>
              <w:rPr>
                <w:rFonts w:ascii="宋体" w:hAnsi="宋体" w:cs="宋体" w:eastAsia="宋体" w:hint="default"/>
                <w:sz w:val="18"/>
                <w:szCs w:val="18"/>
              </w:rPr>
            </w:pPr>
            <w:r>
              <w:rPr>
                <w:rFonts w:ascii="宋体" w:hAnsi="宋体" w:cs="宋体" w:eastAsia="宋体" w:hint="default"/>
                <w:sz w:val="18"/>
                <w:szCs w:val="18"/>
              </w:rPr>
              <w:t>分行业</w:t>
            </w:r>
            <w:r>
              <w:rPr>
                <w:rFonts w:ascii="宋体" w:hAnsi="宋体" w:cs="宋体" w:eastAsia="宋体" w:hint="default"/>
                <w:sz w:val="18"/>
                <w:szCs w:val="18"/>
              </w:rPr>
              <w:t> </w:t>
            </w:r>
          </w:p>
        </w:tc>
      </w:tr>
      <w:tr>
        <w:trPr>
          <w:trHeight w:val="401"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、通信网络维护</w:t>
            </w:r>
            <w:r>
              <w:rPr>
                <w:rFonts w:ascii="宋体" w:hAnsi="宋体" w:cs="宋体" w:eastAsia="宋体" w:hint="default"/>
                <w:sz w:val="18"/>
                <w:szCs w:val="18"/>
              </w:rPr>
              <w:t> </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pacing w:val="-1"/>
                <w:sz w:val="18"/>
              </w:rPr>
              <w:t>1,518,239,973.07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8"/>
              <w:jc w:val="right"/>
              <w:rPr>
                <w:rFonts w:ascii="宋体" w:hAnsi="宋体" w:cs="宋体" w:eastAsia="宋体" w:hint="default"/>
                <w:sz w:val="18"/>
                <w:szCs w:val="18"/>
              </w:rPr>
            </w:pPr>
            <w:r>
              <w:rPr>
                <w:rFonts w:ascii="宋体"/>
                <w:spacing w:val="-1"/>
                <w:sz w:val="18"/>
              </w:rPr>
              <w:t>48.01%</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pacing w:val="-1"/>
                <w:sz w:val="18"/>
              </w:rPr>
              <w:t>1,787,901,045.30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pacing w:val="-1"/>
                <w:sz w:val="18"/>
              </w:rPr>
              <w:t>58.99%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8"/>
              <w:jc w:val="right"/>
              <w:rPr>
                <w:rFonts w:ascii="宋体" w:hAnsi="宋体" w:cs="宋体" w:eastAsia="宋体" w:hint="default"/>
                <w:sz w:val="18"/>
                <w:szCs w:val="18"/>
              </w:rPr>
            </w:pPr>
            <w:r>
              <w:rPr>
                <w:rFonts w:ascii="宋体"/>
                <w:sz w:val="18"/>
              </w:rPr>
              <w:t>-15.08%</w:t>
            </w:r>
          </w:p>
        </w:tc>
      </w:tr>
      <w:tr>
        <w:trPr>
          <w:trHeight w:val="40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24"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、信息智能传输</w:t>
            </w:r>
            <w:r>
              <w:rPr>
                <w:rFonts w:ascii="宋体" w:hAnsi="宋体" w:cs="宋体" w:eastAsia="宋体" w:hint="default"/>
                <w:sz w:val="18"/>
                <w:szCs w:val="18"/>
              </w:rPr>
              <w:t> </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宋体" w:hAnsi="宋体" w:cs="宋体" w:eastAsia="宋体" w:hint="default"/>
                <w:sz w:val="18"/>
                <w:szCs w:val="18"/>
              </w:rPr>
            </w:pPr>
            <w:r>
              <w:rPr>
                <w:rFonts w:ascii="宋体"/>
                <w:spacing w:val="-1"/>
                <w:sz w:val="18"/>
              </w:rPr>
              <w:t>1,027,182,091.18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宋体" w:hAnsi="宋体" w:cs="宋体" w:eastAsia="宋体" w:hint="default"/>
                <w:sz w:val="18"/>
                <w:szCs w:val="18"/>
              </w:rPr>
            </w:pPr>
            <w:r>
              <w:rPr>
                <w:rFonts w:ascii="宋体"/>
                <w:spacing w:val="-1"/>
                <w:sz w:val="18"/>
              </w:rPr>
              <w:t>32.48%</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pacing w:val="-1"/>
                <w:sz w:val="18"/>
              </w:rPr>
              <w:t>972,814,482.41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pacing w:val="-1"/>
                <w:sz w:val="18"/>
              </w:rPr>
              <w:t>32.10%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宋体" w:hAnsi="宋体" w:cs="宋体" w:eastAsia="宋体" w:hint="default"/>
                <w:sz w:val="18"/>
                <w:szCs w:val="18"/>
              </w:rPr>
            </w:pPr>
            <w:r>
              <w:rPr>
                <w:rFonts w:ascii="宋体"/>
                <w:sz w:val="18"/>
              </w:rPr>
              <w:t>5.59%</w:t>
            </w:r>
          </w:p>
        </w:tc>
      </w:tr>
      <w:tr>
        <w:trPr>
          <w:trHeight w:val="32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其中：短信发送</w:t>
            </w:r>
            <w:r>
              <w:rPr>
                <w:rFonts w:ascii="宋体" w:hAnsi="宋体" w:cs="宋体" w:eastAsia="宋体" w:hint="default"/>
                <w:sz w:val="18"/>
                <w:szCs w:val="18"/>
              </w:rPr>
              <w:t> </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868,592,605.76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8"/>
              <w:jc w:val="right"/>
              <w:rPr>
                <w:rFonts w:ascii="宋体" w:hAnsi="宋体" w:cs="宋体" w:eastAsia="宋体" w:hint="default"/>
                <w:sz w:val="18"/>
                <w:szCs w:val="18"/>
              </w:rPr>
            </w:pPr>
            <w:r>
              <w:rPr>
                <w:rFonts w:ascii="宋体"/>
                <w:spacing w:val="-1"/>
                <w:sz w:val="18"/>
              </w:rPr>
              <w:t>27.46%</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2"/>
              <w:jc w:val="right"/>
              <w:rPr>
                <w:rFonts w:ascii="宋体" w:hAnsi="宋体" w:cs="宋体" w:eastAsia="宋体" w:hint="default"/>
                <w:sz w:val="18"/>
                <w:szCs w:val="18"/>
              </w:rPr>
            </w:pPr>
            <w:r>
              <w:rPr>
                <w:rFonts w:ascii="宋体"/>
                <w:spacing w:val="-1"/>
                <w:sz w:val="18"/>
              </w:rPr>
              <w:t>836,183,587.56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8"/>
              <w:jc w:val="right"/>
              <w:rPr>
                <w:rFonts w:ascii="宋体" w:hAnsi="宋体" w:cs="宋体" w:eastAsia="宋体" w:hint="default"/>
                <w:sz w:val="18"/>
                <w:szCs w:val="18"/>
              </w:rPr>
            </w:pPr>
            <w:r>
              <w:rPr>
                <w:rFonts w:ascii="宋体"/>
                <w:spacing w:val="-1"/>
                <w:sz w:val="18"/>
              </w:rPr>
              <w:t>27.59%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8"/>
              <w:jc w:val="right"/>
              <w:rPr>
                <w:rFonts w:ascii="宋体" w:hAnsi="宋体" w:cs="宋体" w:eastAsia="宋体" w:hint="default"/>
                <w:sz w:val="18"/>
                <w:szCs w:val="18"/>
              </w:rPr>
            </w:pPr>
            <w:r>
              <w:rPr>
                <w:rFonts w:ascii="宋体"/>
                <w:sz w:val="18"/>
              </w:rPr>
              <w:t>3.88%</w:t>
            </w:r>
          </w:p>
        </w:tc>
      </w:tr>
      <w:tr>
        <w:trPr>
          <w:trHeight w:val="32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、金融服务外包</w:t>
            </w:r>
            <w:r>
              <w:rPr>
                <w:rFonts w:ascii="宋体" w:hAnsi="宋体" w:cs="宋体" w:eastAsia="宋体" w:hint="default"/>
                <w:sz w:val="18"/>
                <w:szCs w:val="18"/>
              </w:rPr>
              <w:t> </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338,446,523.81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8"/>
              <w:jc w:val="right"/>
              <w:rPr>
                <w:rFonts w:ascii="宋体" w:hAnsi="宋体" w:cs="宋体" w:eastAsia="宋体" w:hint="default"/>
                <w:sz w:val="18"/>
                <w:szCs w:val="18"/>
              </w:rPr>
            </w:pPr>
            <w:r>
              <w:rPr>
                <w:rFonts w:ascii="宋体"/>
                <w:spacing w:val="-1"/>
                <w:sz w:val="18"/>
              </w:rPr>
              <w:t>10.70%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2"/>
              <w:jc w:val="right"/>
              <w:rPr>
                <w:rFonts w:ascii="宋体" w:hAnsi="宋体" w:cs="宋体" w:eastAsia="宋体" w:hint="default"/>
                <w:sz w:val="18"/>
                <w:szCs w:val="18"/>
              </w:rPr>
            </w:pPr>
            <w:r>
              <w:rPr>
                <w:rFonts w:ascii="宋体"/>
                <w:spacing w:val="-1"/>
                <w:sz w:val="18"/>
              </w:rPr>
              <w:t>161,874,740.01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8"/>
              <w:jc w:val="right"/>
              <w:rPr>
                <w:rFonts w:ascii="宋体" w:hAnsi="宋体" w:cs="宋体" w:eastAsia="宋体" w:hint="default"/>
                <w:sz w:val="18"/>
                <w:szCs w:val="18"/>
              </w:rPr>
            </w:pPr>
            <w:r>
              <w:rPr>
                <w:rFonts w:ascii="宋体"/>
                <w:sz w:val="18"/>
              </w:rPr>
              <w:t>5.34%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109.08%</w:t>
            </w:r>
          </w:p>
        </w:tc>
      </w:tr>
      <w:tr>
        <w:trPr>
          <w:trHeight w:val="32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、软件开发及应用</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pacing w:val="-1"/>
                <w:sz w:val="18"/>
              </w:rPr>
              <w:t>34,294,833.91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8"/>
              <w:jc w:val="right"/>
              <w:rPr>
                <w:rFonts w:ascii="宋体" w:hAnsi="宋体" w:cs="宋体" w:eastAsia="宋体" w:hint="default"/>
                <w:sz w:val="18"/>
                <w:szCs w:val="18"/>
              </w:rPr>
            </w:pPr>
            <w:r>
              <w:rPr>
                <w:rFonts w:ascii="宋体"/>
                <w:sz w:val="18"/>
              </w:rPr>
              <w:t>1.08%</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2"/>
              <w:jc w:val="right"/>
              <w:rPr>
                <w:rFonts w:ascii="宋体" w:hAnsi="宋体" w:cs="宋体" w:eastAsia="宋体" w:hint="default"/>
                <w:sz w:val="18"/>
                <w:szCs w:val="18"/>
              </w:rPr>
            </w:pPr>
            <w:r>
              <w:rPr>
                <w:rFonts w:ascii="宋体"/>
                <w:spacing w:val="-1"/>
                <w:sz w:val="18"/>
              </w:rPr>
              <w:t>63,736,075.08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8"/>
              <w:jc w:val="right"/>
              <w:rPr>
                <w:rFonts w:ascii="宋体" w:hAnsi="宋体" w:cs="宋体" w:eastAsia="宋体" w:hint="default"/>
                <w:sz w:val="18"/>
                <w:szCs w:val="18"/>
              </w:rPr>
            </w:pPr>
            <w:r>
              <w:rPr>
                <w:rFonts w:ascii="宋体"/>
                <w:sz w:val="18"/>
              </w:rPr>
              <w:t>2.10%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8"/>
              <w:jc w:val="right"/>
              <w:rPr>
                <w:rFonts w:ascii="宋体" w:hAnsi="宋体" w:cs="宋体" w:eastAsia="宋体" w:hint="default"/>
                <w:sz w:val="18"/>
                <w:szCs w:val="18"/>
              </w:rPr>
            </w:pPr>
            <w:r>
              <w:rPr>
                <w:rFonts w:ascii="宋体"/>
                <w:sz w:val="18"/>
              </w:rPr>
              <w:t>-46.19%</w:t>
            </w:r>
          </w:p>
        </w:tc>
      </w:tr>
      <w:tr>
        <w:trPr>
          <w:trHeight w:val="324"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24" w:right="0"/>
              <w:jc w:val="left"/>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z w:val="18"/>
                <w:szCs w:val="18"/>
              </w:rPr>
              <w:t>、其他</w:t>
            </w:r>
            <w:r>
              <w:rPr>
                <w:rFonts w:ascii="宋体" w:hAnsi="宋体" w:cs="宋体" w:eastAsia="宋体" w:hint="default"/>
                <w:sz w:val="18"/>
                <w:szCs w:val="18"/>
              </w:rPr>
              <w:t> </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20"/>
              <w:jc w:val="right"/>
              <w:rPr>
                <w:rFonts w:ascii="宋体" w:hAnsi="宋体" w:cs="宋体" w:eastAsia="宋体" w:hint="default"/>
                <w:sz w:val="18"/>
                <w:szCs w:val="18"/>
              </w:rPr>
            </w:pPr>
            <w:r>
              <w:rPr>
                <w:rFonts w:ascii="宋体"/>
                <w:spacing w:val="-1"/>
                <w:sz w:val="18"/>
              </w:rPr>
              <w:t>244,468,004.94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8"/>
              <w:jc w:val="right"/>
              <w:rPr>
                <w:rFonts w:ascii="宋体" w:hAnsi="宋体" w:cs="宋体" w:eastAsia="宋体" w:hint="default"/>
                <w:sz w:val="18"/>
                <w:szCs w:val="18"/>
              </w:rPr>
            </w:pPr>
            <w:r>
              <w:rPr>
                <w:rFonts w:ascii="宋体"/>
                <w:sz w:val="18"/>
              </w:rPr>
              <w:t>7.73%</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22"/>
              <w:jc w:val="right"/>
              <w:rPr>
                <w:rFonts w:ascii="宋体" w:hAnsi="宋体" w:cs="宋体" w:eastAsia="宋体" w:hint="default"/>
                <w:sz w:val="18"/>
                <w:szCs w:val="18"/>
              </w:rPr>
            </w:pPr>
            <w:r>
              <w:rPr>
                <w:rFonts w:ascii="宋体"/>
                <w:spacing w:val="-1"/>
                <w:sz w:val="18"/>
              </w:rPr>
              <w:t>44,432,562.99</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8"/>
              <w:jc w:val="right"/>
              <w:rPr>
                <w:rFonts w:ascii="宋体" w:hAnsi="宋体" w:cs="宋体" w:eastAsia="宋体" w:hint="default"/>
                <w:sz w:val="18"/>
                <w:szCs w:val="18"/>
              </w:rPr>
            </w:pPr>
            <w:r>
              <w:rPr>
                <w:rFonts w:ascii="宋体"/>
                <w:sz w:val="18"/>
              </w:rPr>
              <w:t>1.47%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20"/>
              <w:jc w:val="right"/>
              <w:rPr>
                <w:rFonts w:ascii="宋体" w:hAnsi="宋体" w:cs="宋体" w:eastAsia="宋体" w:hint="default"/>
                <w:sz w:val="18"/>
                <w:szCs w:val="18"/>
              </w:rPr>
            </w:pPr>
            <w:r>
              <w:rPr>
                <w:rFonts w:ascii="宋体"/>
                <w:sz w:val="18"/>
              </w:rPr>
              <w:t>450.20%</w:t>
            </w:r>
          </w:p>
        </w:tc>
      </w:tr>
    </w:tbl>
    <w:p>
      <w:pPr>
        <w:spacing w:after="0" w:line="240" w:lineRule="auto"/>
        <w:jc w:val="right"/>
        <w:rPr>
          <w:rFonts w:ascii="宋体" w:hAnsi="宋体" w:cs="宋体" w:eastAsia="宋体" w:hint="default"/>
          <w:sz w:val="18"/>
          <w:szCs w:val="18"/>
        </w:rPr>
        <w:sectPr>
          <w:pgSz w:w="11910" w:h="16840"/>
          <w:pgMar w:header="880" w:footer="975" w:top="1100" w:bottom="1160" w:left="980" w:right="0"/>
        </w:sectPr>
      </w:pPr>
    </w:p>
    <w:p>
      <w:pPr>
        <w:spacing w:line="240" w:lineRule="auto" w:before="8"/>
        <w:rPr>
          <w:rFonts w:ascii="宋体" w:hAnsi="宋体" w:cs="宋体" w:eastAsia="宋体" w:hint="default"/>
          <w:sz w:val="24"/>
          <w:szCs w:val="24"/>
        </w:rPr>
      </w:pPr>
    </w:p>
    <w:tbl>
      <w:tblPr>
        <w:tblW w:w="0" w:type="auto"/>
        <w:jc w:val="left"/>
        <w:tblInd w:w="148" w:type="dxa"/>
        <w:tblLayout w:type="fixed"/>
        <w:tblCellMar>
          <w:top w:w="0" w:type="dxa"/>
          <w:left w:w="0" w:type="dxa"/>
          <w:bottom w:w="0" w:type="dxa"/>
          <w:right w:w="0" w:type="dxa"/>
        </w:tblCellMar>
        <w:tblLook w:val="01E0"/>
      </w:tblPr>
      <w:tblGrid>
        <w:gridCol w:w="1596"/>
        <w:gridCol w:w="1594"/>
        <w:gridCol w:w="1594"/>
        <w:gridCol w:w="1596"/>
        <w:gridCol w:w="1594"/>
        <w:gridCol w:w="1594"/>
      </w:tblGrid>
      <w:tr>
        <w:trPr>
          <w:trHeight w:val="402"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分产品（不适用）</w:t>
            </w:r>
          </w:p>
        </w:tc>
      </w:tr>
      <w:tr>
        <w:trPr>
          <w:trHeight w:val="402"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分地区（信息智能传输及金融服务外包业务不受地域限制，通信网络维护划分为长江以南、长江以北两个地区）</w:t>
            </w:r>
          </w:p>
        </w:tc>
      </w:tr>
      <w:tr>
        <w:trPr>
          <w:trHeight w:val="401"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长江以南</w:t>
            </w:r>
            <w:r>
              <w:rPr>
                <w:rFonts w:ascii="宋体" w:hAnsi="宋体" w:cs="宋体" w:eastAsia="宋体" w:hint="default"/>
                <w:sz w:val="18"/>
                <w:szCs w:val="18"/>
              </w:rPr>
              <w:t> </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20"/>
              <w:jc w:val="right"/>
              <w:rPr>
                <w:rFonts w:ascii="宋体" w:hAnsi="宋体" w:cs="宋体" w:eastAsia="宋体" w:hint="default"/>
                <w:sz w:val="18"/>
                <w:szCs w:val="18"/>
              </w:rPr>
            </w:pPr>
            <w:r>
              <w:rPr>
                <w:rFonts w:ascii="宋体"/>
                <w:spacing w:val="1"/>
                <w:sz w:val="18"/>
              </w:rPr>
              <w:t> </w:t>
            </w:r>
            <w:r>
              <w:rPr>
                <w:rFonts w:ascii="宋体"/>
                <w:spacing w:val="-1"/>
                <w:sz w:val="18"/>
              </w:rPr>
              <w:t>1,031,983,971.51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8"/>
              <w:jc w:val="right"/>
              <w:rPr>
                <w:rFonts w:ascii="宋体" w:hAnsi="宋体" w:cs="宋体" w:eastAsia="宋体" w:hint="default"/>
                <w:sz w:val="18"/>
                <w:szCs w:val="18"/>
              </w:rPr>
            </w:pPr>
            <w:r>
              <w:rPr>
                <w:rFonts w:ascii="宋体"/>
                <w:spacing w:val="-1"/>
                <w:sz w:val="18"/>
              </w:rPr>
              <w:t>32.63%</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pacing w:val="-1"/>
                <w:sz w:val="18"/>
              </w:rPr>
              <w:t>1,174,149,521.23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pacing w:val="-1"/>
                <w:sz w:val="18"/>
              </w:rPr>
              <w:t>33.12%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8"/>
              <w:jc w:val="right"/>
              <w:rPr>
                <w:rFonts w:ascii="宋体" w:hAnsi="宋体" w:cs="宋体" w:eastAsia="宋体" w:hint="default"/>
                <w:sz w:val="18"/>
                <w:szCs w:val="18"/>
              </w:rPr>
            </w:pPr>
            <w:r>
              <w:rPr>
                <w:rFonts w:ascii="宋体"/>
                <w:sz w:val="18"/>
              </w:rPr>
              <w:t>-12.11%</w:t>
            </w:r>
          </w:p>
        </w:tc>
      </w:tr>
      <w:tr>
        <w:trPr>
          <w:trHeight w:val="40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长江以北</w:t>
            </w:r>
            <w:r>
              <w:rPr>
                <w:rFonts w:ascii="宋体" w:hAnsi="宋体" w:cs="宋体" w:eastAsia="宋体" w:hint="default"/>
                <w:sz w:val="18"/>
                <w:szCs w:val="18"/>
              </w:rPr>
              <w:t> </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20"/>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490,252,345.41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宋体" w:hAnsi="宋体" w:cs="宋体" w:eastAsia="宋体" w:hint="default"/>
                <w:sz w:val="18"/>
                <w:szCs w:val="18"/>
              </w:rPr>
            </w:pPr>
            <w:r>
              <w:rPr>
                <w:rFonts w:ascii="宋体"/>
                <w:spacing w:val="-1"/>
                <w:sz w:val="18"/>
              </w:rPr>
              <w:t>15.50%</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pacing w:val="-1"/>
                <w:sz w:val="18"/>
              </w:rPr>
              <w:t>613,751,524.07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pacing w:val="-1"/>
                <w:sz w:val="18"/>
              </w:rPr>
              <w:t>11.66%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8"/>
              <w:jc w:val="right"/>
              <w:rPr>
                <w:rFonts w:ascii="宋体" w:hAnsi="宋体" w:cs="宋体" w:eastAsia="宋体" w:hint="default"/>
                <w:sz w:val="18"/>
                <w:szCs w:val="18"/>
              </w:rPr>
            </w:pPr>
            <w:r>
              <w:rPr>
                <w:rFonts w:ascii="宋体"/>
                <w:sz w:val="18"/>
              </w:rPr>
              <w:t>-20.12%</w:t>
            </w:r>
          </w:p>
        </w:tc>
      </w:tr>
    </w:tbl>
    <w:p>
      <w:pPr>
        <w:spacing w:line="240" w:lineRule="auto" w:before="8"/>
        <w:rPr>
          <w:rFonts w:ascii="宋体" w:hAnsi="宋体" w:cs="宋体" w:eastAsia="宋体" w:hint="default"/>
          <w:sz w:val="14"/>
          <w:szCs w:val="14"/>
        </w:rPr>
      </w:pPr>
    </w:p>
    <w:p>
      <w:pPr>
        <w:spacing w:after="0" w:line="240" w:lineRule="auto"/>
        <w:rPr>
          <w:rFonts w:ascii="宋体" w:hAnsi="宋体" w:cs="宋体" w:eastAsia="宋体" w:hint="default"/>
          <w:sz w:val="14"/>
          <w:szCs w:val="14"/>
        </w:rPr>
        <w:sectPr>
          <w:pgSz w:w="11910" w:h="16840"/>
          <w:pgMar w:header="880" w:footer="975" w:top="1100" w:bottom="1160" w:left="980" w:right="0"/>
        </w:sectPr>
      </w:pPr>
    </w:p>
    <w:p>
      <w:pPr>
        <w:pStyle w:val="Heading3"/>
        <w:spacing w:line="240" w:lineRule="auto"/>
        <w:ind w:right="-15"/>
        <w:jc w:val="left"/>
        <w:rPr>
          <w:b w:val="0"/>
          <w:bCs w:val="0"/>
        </w:rPr>
      </w:pPr>
      <w:r>
        <w:rPr>
          <w:rFonts w:ascii="Times New Roman" w:hAnsi="Times New Roman" w:cs="Times New Roman" w:eastAsia="Times New Roman" w:hint="default"/>
        </w:rPr>
        <w:t>2</w:t>
      </w:r>
      <w:r>
        <w:rPr/>
        <w:t>、占公司营业收入或营业利润</w:t>
      </w:r>
      <w:r>
        <w:rPr>
          <w:spacing w:val="-53"/>
        </w:rPr>
        <w:t> </w:t>
      </w:r>
      <w:r>
        <w:rPr>
          <w:rFonts w:ascii="Times New Roman" w:hAnsi="Times New Roman" w:cs="Times New Roman" w:eastAsia="Times New Roman" w:hint="default"/>
        </w:rPr>
        <w:t>10%</w:t>
      </w:r>
      <w:r>
        <w:rPr/>
        <w:t>以上的行业、产品或地区情况</w:t>
      </w:r>
      <w:r>
        <w:rPr>
          <w:b w:val="0"/>
          <w:bCs w:val="0"/>
        </w:rPr>
      </w:r>
    </w:p>
    <w:p>
      <w:pPr>
        <w:pStyle w:val="BodyText"/>
        <w:spacing w:line="240" w:lineRule="auto" w:before="21"/>
        <w:ind w:right="-15"/>
        <w:jc w:val="left"/>
        <w:rPr>
          <w:rFonts w:ascii="宋体" w:hAnsi="宋体" w:cs="宋体" w:eastAsia="宋体" w:hint="default"/>
        </w:rPr>
      </w:pPr>
      <w:r>
        <w:rPr/>
        <w:t>√ 适用 </w:t>
      </w:r>
      <w:r>
        <w:rPr>
          <w:rFonts w:ascii="宋体" w:hAnsi="宋体" w:cs="宋体" w:eastAsia="宋体" w:hint="default"/>
        </w:rPr>
      </w:r>
      <w:r>
        <w:rPr>
          <w:spacing w:val="-3"/>
        </w:rPr>
        <w:t>□</w:t>
      </w:r>
      <w:r>
        <w:rPr/>
        <w:t> 不适用</w:t>
      </w:r>
      <w:r>
        <w:rPr>
          <w:rFonts w:ascii="宋体" w:hAnsi="宋体" w:cs="宋体" w:eastAsia="宋体" w:hint="default"/>
        </w:rPr>
        <w:t> </w:t>
      </w:r>
    </w:p>
    <w:p>
      <w:pPr>
        <w:spacing w:line="240" w:lineRule="auto" w:before="0"/>
        <w:rPr>
          <w:rFonts w:ascii="宋体" w:hAnsi="宋体" w:cs="宋体" w:eastAsia="宋体" w:hint="default"/>
          <w:sz w:val="20"/>
          <w:szCs w:val="20"/>
        </w:rPr>
      </w:pPr>
      <w:r>
        <w:rPr/>
        <w:br w:type="column"/>
      </w:r>
      <w:r>
        <w:rPr>
          <w:rFonts w:ascii="宋体"/>
          <w:sz w:val="20"/>
        </w:rPr>
      </w:r>
    </w:p>
    <w:p>
      <w:pPr>
        <w:spacing w:line="240" w:lineRule="auto" w:before="0"/>
        <w:rPr>
          <w:rFonts w:ascii="宋体" w:hAnsi="宋体" w:cs="宋体" w:eastAsia="宋体" w:hint="default"/>
          <w:sz w:val="20"/>
          <w:szCs w:val="20"/>
        </w:rPr>
      </w:pPr>
    </w:p>
    <w:p>
      <w:pPr>
        <w:pStyle w:val="BodyText"/>
        <w:spacing w:line="240" w:lineRule="auto" w:before="136"/>
        <w:ind w:right="0"/>
        <w:jc w:val="left"/>
      </w:pPr>
      <w:r>
        <w:rPr/>
        <w:t>单位：元</w:t>
      </w:r>
    </w:p>
    <w:p>
      <w:pPr>
        <w:spacing w:after="0" w:line="240" w:lineRule="auto"/>
        <w:jc w:val="left"/>
        <w:sectPr>
          <w:type w:val="continuous"/>
          <w:pgSz w:w="11910" w:h="16840"/>
          <w:pgMar w:top="1580" w:bottom="700" w:left="980" w:right="0"/>
          <w:cols w:num="2" w:equalWidth="0">
            <w:col w:w="6217" w:space="2264"/>
            <w:col w:w="2449"/>
          </w:cols>
        </w:sectPr>
      </w:pPr>
    </w:p>
    <w:p>
      <w:pPr>
        <w:spacing w:line="240" w:lineRule="auto" w:before="10"/>
        <w:rPr>
          <w:rFonts w:ascii="宋体" w:hAnsi="宋体" w:cs="宋体" w:eastAsia="宋体" w:hint="default"/>
          <w:sz w:val="3"/>
          <w:szCs w:val="3"/>
        </w:rPr>
      </w:pPr>
    </w:p>
    <w:tbl>
      <w:tblPr>
        <w:tblW w:w="0" w:type="auto"/>
        <w:jc w:val="left"/>
        <w:tblInd w:w="148" w:type="dxa"/>
        <w:tblLayout w:type="fixed"/>
        <w:tblCellMar>
          <w:top w:w="0" w:type="dxa"/>
          <w:left w:w="0" w:type="dxa"/>
          <w:bottom w:w="0" w:type="dxa"/>
          <w:right w:w="0" w:type="dxa"/>
        </w:tblCellMar>
        <w:tblLook w:val="01E0"/>
      </w:tblPr>
      <w:tblGrid>
        <w:gridCol w:w="1368"/>
        <w:gridCol w:w="1609"/>
        <w:gridCol w:w="1560"/>
        <w:gridCol w:w="931"/>
        <w:gridCol w:w="1366"/>
        <w:gridCol w:w="1368"/>
        <w:gridCol w:w="1371"/>
      </w:tblGrid>
      <w:tr>
        <w:trPr>
          <w:trHeight w:val="715"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6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39"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17"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9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89" w:right="0"/>
              <w:jc w:val="left"/>
              <w:rPr>
                <w:rFonts w:ascii="宋体" w:hAnsi="宋体" w:cs="宋体" w:eastAsia="宋体" w:hint="default"/>
                <w:sz w:val="18"/>
                <w:szCs w:val="18"/>
              </w:rPr>
            </w:pPr>
            <w:r>
              <w:rPr>
                <w:rFonts w:ascii="宋体" w:hAnsi="宋体" w:cs="宋体" w:eastAsia="宋体" w:hint="default"/>
                <w:sz w:val="18"/>
                <w:szCs w:val="18"/>
              </w:rPr>
              <w:t>毛利率</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19" w:right="46" w:hanging="272"/>
              <w:jc w:val="left"/>
              <w:rPr>
                <w:rFonts w:ascii="宋体" w:hAnsi="宋体" w:cs="宋体" w:eastAsia="宋体" w:hint="default"/>
                <w:sz w:val="18"/>
                <w:szCs w:val="18"/>
              </w:rPr>
            </w:pPr>
            <w:r>
              <w:rPr>
                <w:rFonts w:ascii="宋体" w:hAnsi="宋体" w:cs="宋体" w:eastAsia="宋体" w:hint="default"/>
                <w:sz w:val="18"/>
                <w:szCs w:val="18"/>
              </w:rPr>
              <w:t>营业收入比上年 同期增减</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19" w:right="48" w:hanging="272"/>
              <w:jc w:val="left"/>
              <w:rPr>
                <w:rFonts w:ascii="宋体" w:hAnsi="宋体" w:cs="宋体" w:eastAsia="宋体" w:hint="default"/>
                <w:sz w:val="18"/>
                <w:szCs w:val="18"/>
              </w:rPr>
            </w:pPr>
            <w:r>
              <w:rPr>
                <w:rFonts w:ascii="宋体" w:hAnsi="宋体" w:cs="宋体" w:eastAsia="宋体" w:hint="default"/>
                <w:sz w:val="18"/>
                <w:szCs w:val="18"/>
              </w:rPr>
              <w:t>营业成本比上年 同期增减</w:t>
            </w:r>
          </w:p>
        </w:tc>
        <w:tc>
          <w:tcPr>
            <w:tcW w:w="137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410" w:right="48" w:hanging="360"/>
              <w:jc w:val="left"/>
              <w:rPr>
                <w:rFonts w:ascii="宋体" w:hAnsi="宋体" w:cs="宋体" w:eastAsia="宋体" w:hint="default"/>
                <w:sz w:val="18"/>
                <w:szCs w:val="18"/>
              </w:rPr>
            </w:pPr>
            <w:r>
              <w:rPr>
                <w:rFonts w:ascii="宋体" w:hAnsi="宋体" w:cs="宋体" w:eastAsia="宋体" w:hint="default"/>
                <w:sz w:val="18"/>
                <w:szCs w:val="18"/>
              </w:rPr>
              <w:t>毛利率比上年同 期增减</w:t>
            </w:r>
          </w:p>
        </w:tc>
      </w:tr>
      <w:tr>
        <w:trPr>
          <w:trHeight w:val="401" w:hRule="exact"/>
        </w:trPr>
        <w:tc>
          <w:tcPr>
            <w:tcW w:w="9573"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404"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5"/>
                <w:sz w:val="18"/>
                <w:szCs w:val="18"/>
              </w:rPr>
              <w:t>1</w:t>
            </w:r>
            <w:r>
              <w:rPr>
                <w:rFonts w:ascii="宋体" w:hAnsi="宋体" w:cs="宋体" w:eastAsia="宋体" w:hint="default"/>
                <w:spacing w:val="-5"/>
                <w:sz w:val="18"/>
                <w:szCs w:val="18"/>
              </w:rPr>
              <w:t>、通信网络维护</w:t>
            </w: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pacing w:val="-1"/>
                <w:sz w:val="18"/>
              </w:rPr>
              <w:t>1,518,239,973.07</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pacing w:val="-1"/>
                <w:sz w:val="18"/>
              </w:rPr>
              <w:t>1,381,477,419.85</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9.01%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z w:val="18"/>
              </w:rPr>
              <w:t>-15.08%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pacing w:val="-1"/>
                <w:sz w:val="18"/>
              </w:rPr>
              <w:t>-9.49%</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pacing w:val="-1"/>
                <w:sz w:val="18"/>
              </w:rPr>
              <w:t>-5.62%</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5"/>
                <w:sz w:val="18"/>
                <w:szCs w:val="18"/>
              </w:rPr>
              <w:t>2</w:t>
            </w:r>
            <w:r>
              <w:rPr>
                <w:rFonts w:ascii="宋体" w:hAnsi="宋体" w:cs="宋体" w:eastAsia="宋体" w:hint="default"/>
                <w:spacing w:val="-5"/>
                <w:sz w:val="18"/>
                <w:szCs w:val="18"/>
              </w:rPr>
              <w:t>、信息智能传输</w:t>
            </w: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pacing w:val="-1"/>
                <w:sz w:val="18"/>
              </w:rPr>
              <w:t>1,027,182,091.18</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pacing w:val="1"/>
                <w:sz w:val="18"/>
              </w:rPr>
              <w:t>  </w:t>
            </w:r>
            <w:r>
              <w:rPr>
                <w:rFonts w:ascii="宋体"/>
                <w:spacing w:val="-1"/>
                <w:sz w:val="18"/>
              </w:rPr>
              <w:t>823,984,718.61</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pacing w:val="-1"/>
                <w:sz w:val="18"/>
              </w:rPr>
              <w:t>19.78%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z w:val="18"/>
              </w:rPr>
              <w:t>5.59%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pacing w:val="-1"/>
                <w:sz w:val="18"/>
              </w:rPr>
              <w:t>13.25%</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pacing w:val="-1"/>
                <w:sz w:val="18"/>
              </w:rPr>
              <w:t>-5.43%</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16"/>
              <w:jc w:val="left"/>
              <w:rPr>
                <w:rFonts w:ascii="宋体" w:hAnsi="宋体" w:cs="宋体" w:eastAsia="宋体" w:hint="default"/>
                <w:sz w:val="18"/>
                <w:szCs w:val="18"/>
              </w:rPr>
            </w:pPr>
            <w:r>
              <w:rPr>
                <w:rFonts w:ascii="宋体" w:hAnsi="宋体" w:cs="宋体" w:eastAsia="宋体" w:hint="default"/>
                <w:sz w:val="18"/>
                <w:szCs w:val="18"/>
              </w:rPr>
              <w:t>其中：短</w:t>
            </w:r>
            <w:r>
              <w:rPr>
                <w:rFonts w:ascii="宋体" w:hAnsi="宋体" w:cs="宋体" w:eastAsia="宋体" w:hint="default"/>
                <w:sz w:val="18"/>
                <w:szCs w:val="18"/>
              </w:rPr>
              <w:t>(</w:t>
            </w:r>
            <w:r>
              <w:rPr>
                <w:rFonts w:ascii="宋体" w:hAnsi="宋体" w:cs="宋体" w:eastAsia="宋体" w:hint="default"/>
                <w:sz w:val="18"/>
                <w:szCs w:val="18"/>
              </w:rPr>
              <w:t>彩</w:t>
            </w:r>
            <w:r>
              <w:rPr>
                <w:rFonts w:ascii="宋体" w:hAnsi="宋体" w:cs="宋体" w:eastAsia="宋体" w:hint="default"/>
                <w:sz w:val="18"/>
                <w:szCs w:val="18"/>
              </w:rPr>
              <w:t>)</w:t>
            </w:r>
            <w:r>
              <w:rPr>
                <w:rFonts w:ascii="宋体" w:hAnsi="宋体" w:cs="宋体" w:eastAsia="宋体" w:hint="default"/>
                <w:sz w:val="18"/>
                <w:szCs w:val="18"/>
              </w:rPr>
              <w:t>信</w:t>
            </w:r>
            <w:r>
              <w:rPr>
                <w:rFonts w:ascii="宋体" w:hAnsi="宋体" w:cs="宋体" w:eastAsia="宋体" w:hint="default"/>
                <w:sz w:val="18"/>
                <w:szCs w:val="18"/>
              </w:rPr>
              <w:t> </w:t>
            </w: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pacing w:val="1"/>
                <w:sz w:val="18"/>
              </w:rPr>
              <w:t> </w:t>
            </w:r>
            <w:r>
              <w:rPr>
                <w:rFonts w:ascii="宋体"/>
                <w:spacing w:val="-1"/>
                <w:sz w:val="18"/>
              </w:rPr>
              <w:t>868,592,605.76</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pacing w:val="1"/>
                <w:sz w:val="18"/>
              </w:rPr>
              <w:t>  </w:t>
            </w:r>
            <w:r>
              <w:rPr>
                <w:rFonts w:ascii="宋体"/>
                <w:spacing w:val="-1"/>
                <w:sz w:val="18"/>
              </w:rPr>
              <w:t>823,984,718.61</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5.14%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z w:val="18"/>
              </w:rPr>
              <w:t>3.88%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pacing w:val="-1"/>
                <w:sz w:val="18"/>
              </w:rPr>
              <w:t>13.25%</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pacing w:val="-1"/>
                <w:sz w:val="18"/>
              </w:rPr>
              <w:t>-7.84%</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pacing w:val="-5"/>
                <w:sz w:val="18"/>
                <w:szCs w:val="18"/>
              </w:rPr>
              <w:t>3</w:t>
            </w:r>
            <w:r>
              <w:rPr>
                <w:rFonts w:ascii="宋体" w:hAnsi="宋体" w:cs="宋体" w:eastAsia="宋体" w:hint="default"/>
                <w:spacing w:val="-5"/>
                <w:sz w:val="18"/>
                <w:szCs w:val="18"/>
              </w:rPr>
              <w:t>、金融服务外包</w:t>
            </w: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pacing w:val="-1"/>
                <w:sz w:val="18"/>
              </w:rPr>
              <w:t>338,446,523.81</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宋体" w:hAnsi="宋体" w:cs="宋体" w:eastAsia="宋体" w:hint="default"/>
                <w:sz w:val="18"/>
                <w:szCs w:val="18"/>
              </w:rPr>
            </w:pPr>
            <w:r>
              <w:rPr>
                <w:rFonts w:ascii="宋体"/>
                <w:spacing w:val="-1"/>
                <w:sz w:val="18"/>
              </w:rPr>
              <w:t>242,114,652.18</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28.46%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109.08%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109.54%</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宋体" w:hAnsi="宋体" w:cs="宋体" w:eastAsia="宋体" w:hint="default"/>
                <w:sz w:val="18"/>
                <w:szCs w:val="18"/>
              </w:rPr>
            </w:pPr>
            <w:r>
              <w:rPr>
                <w:rFonts w:ascii="宋体"/>
                <w:sz w:val="18"/>
              </w:rPr>
              <w:t>-0.16%</w:t>
            </w:r>
          </w:p>
        </w:tc>
      </w:tr>
      <w:tr>
        <w:trPr>
          <w:trHeight w:val="403" w:hRule="exact"/>
        </w:trPr>
        <w:tc>
          <w:tcPr>
            <w:tcW w:w="9573"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tabs>
                <w:tab w:pos="838" w:val="left" w:leader="none"/>
              </w:tabs>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分产品</w:t>
              <w:tab/>
            </w:r>
            <w:r>
              <w:rPr>
                <w:rFonts w:ascii="Times New Roman" w:hAnsi="Times New Roman" w:cs="Times New Roman" w:eastAsia="Times New Roman" w:hint="default"/>
                <w:sz w:val="18"/>
                <w:szCs w:val="18"/>
              </w:rPr>
              <w:t>(</w:t>
            </w:r>
            <w:r>
              <w:rPr>
                <w:rFonts w:ascii="宋体" w:hAnsi="宋体" w:cs="宋体" w:eastAsia="宋体" w:hint="default"/>
                <w:sz w:val="18"/>
                <w:szCs w:val="18"/>
              </w:rPr>
              <w:t>不适用）</w:t>
            </w:r>
          </w:p>
        </w:tc>
      </w:tr>
      <w:tr>
        <w:trPr>
          <w:trHeight w:val="401" w:hRule="exact"/>
        </w:trPr>
        <w:tc>
          <w:tcPr>
            <w:tcW w:w="9573"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分地区</w:t>
            </w:r>
            <w:r>
              <w:rPr>
                <w:rFonts w:ascii="Times New Roman" w:hAnsi="Times New Roman" w:cs="Times New Roman" w:eastAsia="Times New Roman" w:hint="default"/>
                <w:sz w:val="18"/>
                <w:szCs w:val="18"/>
              </w:rPr>
              <w:t>(</w:t>
            </w:r>
            <w:r>
              <w:rPr>
                <w:rFonts w:ascii="宋体" w:hAnsi="宋体" w:cs="宋体" w:eastAsia="宋体" w:hint="default"/>
                <w:sz w:val="18"/>
                <w:szCs w:val="18"/>
              </w:rPr>
              <w:t>通信网络维护）</w:t>
            </w:r>
          </w:p>
        </w:tc>
      </w:tr>
      <w:tr>
        <w:trPr>
          <w:trHeight w:val="403"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、长江以南</w:t>
            </w: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pacing w:val="-1"/>
                <w:sz w:val="18"/>
              </w:rPr>
              <w:t>1,031,983,971.51</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宋体" w:hAnsi="宋体" w:cs="宋体" w:eastAsia="宋体" w:hint="default"/>
                <w:sz w:val="18"/>
                <w:szCs w:val="18"/>
              </w:rPr>
            </w:pPr>
            <w:r>
              <w:rPr>
                <w:rFonts w:ascii="宋体"/>
                <w:spacing w:val="-1"/>
                <w:sz w:val="18"/>
              </w:rPr>
              <w:t>939,631,913.52</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8.95%</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z w:val="18"/>
              </w:rPr>
              <w:t>-12.11%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pacing w:val="-1"/>
                <w:sz w:val="18"/>
              </w:rPr>
              <w:t>-6.35%</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pacing w:val="-1"/>
                <w:sz w:val="18"/>
              </w:rPr>
              <w:t>-5.60%</w:t>
            </w:r>
          </w:p>
        </w:tc>
      </w:tr>
      <w:tr>
        <w:trPr>
          <w:trHeight w:val="401"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、长江以北</w:t>
            </w: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pacing w:val="-1"/>
                <w:sz w:val="18"/>
              </w:rPr>
              <w:t>490,252,345.41</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宋体" w:hAnsi="宋体" w:cs="宋体" w:eastAsia="宋体" w:hint="default"/>
                <w:sz w:val="18"/>
                <w:szCs w:val="18"/>
              </w:rPr>
            </w:pPr>
            <w:r>
              <w:rPr>
                <w:rFonts w:ascii="宋体"/>
                <w:spacing w:val="-1"/>
                <w:sz w:val="18"/>
              </w:rPr>
              <w:t>442,274,963.69</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9.79%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z w:val="18"/>
              </w:rPr>
              <w:t>-20.12%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-15.45%</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pacing w:val="-1"/>
                <w:sz w:val="18"/>
              </w:rPr>
              <w:t>-4.99%</w:t>
            </w:r>
          </w:p>
        </w:tc>
      </w:tr>
    </w:tbl>
    <w:p>
      <w:pPr>
        <w:pStyle w:val="BodyText"/>
        <w:spacing w:line="273" w:lineRule="auto" w:before="81"/>
        <w:ind w:right="1133" w:firstLine="420"/>
        <w:jc w:val="left"/>
        <w:rPr>
          <w:rFonts w:ascii="宋体" w:hAnsi="宋体" w:cs="宋体" w:eastAsia="宋体" w:hint="default"/>
        </w:rPr>
      </w:pPr>
      <w:r>
        <w:rPr>
          <w:spacing w:val="-2"/>
        </w:rPr>
        <w:t>上表中信息传输、短信收入业务的毛利率下降是因部分客户单价下降及部分采购单价有所上升；通信</w:t>
      </w:r>
      <w:r>
        <w:rPr>
          <w:w w:val="100"/>
        </w:rPr>
        <w:t> </w:t>
      </w:r>
      <w:r>
        <w:rPr/>
        <w:t>网络维护业务毛利下降是因客户结算单价有所下降及成本中劳务成本有所上升。</w:t>
      </w:r>
      <w:r>
        <w:rPr>
          <w:rFonts w:ascii="宋体" w:hAnsi="宋体" w:cs="宋体" w:eastAsia="宋体" w:hint="default"/>
        </w:rPr>
        <w:t> </w:t>
      </w:r>
    </w:p>
    <w:p>
      <w:pPr>
        <w:pStyle w:val="BodyText"/>
        <w:spacing w:line="273" w:lineRule="auto" w:before="128"/>
        <w:ind w:right="819"/>
        <w:jc w:val="left"/>
        <w:rPr>
          <w:rFonts w:ascii="宋体" w:hAnsi="宋体" w:cs="宋体" w:eastAsia="宋体" w:hint="default"/>
        </w:rPr>
      </w:pPr>
      <w:r>
        <w:rPr>
          <w:rFonts w:ascii="宋体" w:hAnsi="宋体" w:cs="宋体" w:eastAsia="宋体" w:hint="default"/>
          <w:w w:val="100"/>
        </w:rPr>
        <w:t>    </w:t>
      </w:r>
      <w:r>
        <w:rPr>
          <w:spacing w:val="-3"/>
        </w:rPr>
        <w:t>公司主营业务数据统计口径在报告期发生调整的情况下，公司最近 </w:t>
      </w:r>
      <w:r>
        <w:rPr>
          <w:rFonts w:ascii="宋体" w:hAnsi="宋体" w:cs="宋体" w:eastAsia="宋体" w:hint="default"/>
        </w:rPr>
        <w:t>1</w:t>
      </w:r>
      <w:r>
        <w:rPr>
          <w:rFonts w:ascii="宋体" w:hAnsi="宋体" w:cs="宋体" w:eastAsia="宋体" w:hint="default"/>
          <w:spacing w:val="-58"/>
        </w:rPr>
        <w:t> </w:t>
      </w:r>
      <w:r>
        <w:rPr/>
        <w:t>年按报告期末口径调整后的主营</w:t>
      </w:r>
      <w:r>
        <w:rPr>
          <w:w w:val="100"/>
        </w:rPr>
        <w:t> </w:t>
      </w:r>
      <w:r>
        <w:rPr/>
        <w:t>业务数据</w:t>
      </w:r>
      <w:r>
        <w:rPr>
          <w:rFonts w:ascii="宋体" w:hAnsi="宋体" w:cs="宋体" w:eastAsia="宋体" w:hint="default"/>
        </w:rPr>
        <w:t> </w:t>
      </w:r>
    </w:p>
    <w:p>
      <w:pPr>
        <w:pStyle w:val="BodyText"/>
        <w:spacing w:line="240" w:lineRule="auto" w:before="48"/>
        <w:ind w:left="364" w:right="1133"/>
        <w:jc w:val="left"/>
        <w:rPr>
          <w:rFonts w:ascii="宋体" w:hAnsi="宋体" w:cs="宋体" w:eastAsia="宋体" w:hint="default"/>
        </w:rPr>
      </w:pPr>
      <w:r>
        <w:rPr/>
        <w:t>□ 适用 </w:t>
      </w:r>
      <w:r>
        <w:rPr>
          <w:rFonts w:ascii="宋体" w:hAnsi="宋体" w:cs="宋体" w:eastAsia="宋体" w:hint="default"/>
        </w:rPr>
      </w:r>
      <w:r>
        <w:rPr>
          <w:spacing w:val="-3"/>
        </w:rPr>
        <w:t>√</w:t>
      </w:r>
      <w:r>
        <w:rPr/>
        <w:t> 不适用</w:t>
      </w:r>
      <w:r>
        <w:rPr>
          <w:rFonts w:ascii="宋体" w:hAnsi="宋体" w:cs="宋体" w:eastAsia="宋体" w:hint="default"/>
        </w:rPr>
        <w:t> </w:t>
      </w:r>
    </w:p>
    <w:p>
      <w:pPr>
        <w:pStyle w:val="Heading3"/>
        <w:tabs>
          <w:tab w:pos="4372" w:val="left" w:leader="none"/>
        </w:tabs>
        <w:spacing w:line="240" w:lineRule="auto" w:before="75"/>
        <w:ind w:left="364" w:right="1133"/>
        <w:jc w:val="left"/>
        <w:rPr>
          <w:rFonts w:ascii="宋体" w:hAnsi="宋体" w:cs="宋体" w:eastAsia="宋体" w:hint="default"/>
          <w:b w:val="0"/>
          <w:bCs w:val="0"/>
        </w:rPr>
      </w:pPr>
      <w:r>
        <w:rPr>
          <w:rFonts w:ascii="Times New Roman" w:hAnsi="Times New Roman" w:cs="Times New Roman" w:eastAsia="Times New Roman" w:hint="default"/>
        </w:rPr>
        <w:t>3</w:t>
      </w:r>
      <w:r>
        <w:rPr/>
        <w:t>、公司实物销售收入是否大于劳务收入</w:t>
        <w:tab/>
      </w:r>
      <w:r>
        <w:rPr>
          <w:rFonts w:ascii="宋体" w:hAnsi="宋体" w:cs="宋体" w:eastAsia="宋体" w:hint="default"/>
          <w:b w:val="0"/>
          <w:bCs w:val="0"/>
          <w:spacing w:val="-3"/>
          <w:w w:val="100"/>
        </w:rPr>
        <w:t> </w:t>
      </w:r>
      <w:r>
        <w:rPr>
          <w:rFonts w:ascii="宋体" w:hAnsi="宋体" w:cs="宋体" w:eastAsia="宋体" w:hint="default"/>
          <w:b w:val="0"/>
          <w:bCs w:val="0"/>
          <w:w w:val="100"/>
        </w:rPr>
        <w:t> </w:t>
      </w:r>
    </w:p>
    <w:p>
      <w:pPr>
        <w:pStyle w:val="BodyText"/>
        <w:spacing w:line="240" w:lineRule="auto" w:before="62"/>
        <w:ind w:left="364" w:right="1133"/>
        <w:jc w:val="left"/>
        <w:rPr>
          <w:rFonts w:ascii="宋体" w:hAnsi="宋体" w:cs="宋体" w:eastAsia="宋体" w:hint="default"/>
        </w:rPr>
      </w:pPr>
      <w:r>
        <w:rPr/>
        <w:t>□ 是 </w:t>
      </w:r>
      <w:r>
        <w:rPr>
          <w:rFonts w:ascii="宋体" w:hAnsi="宋体" w:cs="宋体" w:eastAsia="宋体" w:hint="default"/>
        </w:rPr>
      </w:r>
      <w:r>
        <w:rPr/>
        <w:t>√ </w:t>
      </w:r>
      <w:r>
        <w:rPr>
          <w:spacing w:val="-3"/>
        </w:rPr>
        <w:t>否</w:t>
      </w:r>
      <w:r>
        <w:rPr>
          <w:rFonts w:ascii="宋体" w:hAnsi="宋体" w:cs="宋体" w:eastAsia="宋体" w:hint="default"/>
        </w:rPr>
        <w:t> </w:t>
      </w:r>
    </w:p>
    <w:p>
      <w:pPr>
        <w:pStyle w:val="Heading3"/>
        <w:spacing w:line="240" w:lineRule="auto" w:before="78"/>
        <w:ind w:left="364" w:right="1133"/>
        <w:jc w:val="left"/>
        <w:rPr>
          <w:b w:val="0"/>
          <w:bCs w:val="0"/>
        </w:rPr>
      </w:pPr>
      <w:r>
        <w:rPr>
          <w:rFonts w:ascii="Times New Roman" w:hAnsi="Times New Roman" w:cs="Times New Roman" w:eastAsia="Times New Roman" w:hint="default"/>
        </w:rPr>
        <w:t>4</w:t>
      </w:r>
      <w:r>
        <w:rPr/>
        <w:t>、公司已签订的重大销售合同截至本报告期的履行情况</w:t>
      </w:r>
      <w:r>
        <w:rPr>
          <w:b w:val="0"/>
          <w:bCs w:val="0"/>
        </w:rPr>
      </w:r>
    </w:p>
    <w:p>
      <w:pPr>
        <w:pStyle w:val="BodyText"/>
        <w:spacing w:line="240" w:lineRule="auto" w:before="59"/>
        <w:ind w:right="1133"/>
        <w:jc w:val="left"/>
        <w:rPr>
          <w:rFonts w:ascii="宋体" w:hAnsi="宋体" w:cs="宋体" w:eastAsia="宋体" w:hint="default"/>
        </w:rPr>
      </w:pPr>
      <w:r>
        <w:rPr>
          <w:rFonts w:ascii="宋体" w:hAnsi="宋体" w:cs="宋体" w:eastAsia="宋体" w:hint="default"/>
          <w:w w:val="100"/>
        </w:rPr>
        <w:t>  </w:t>
      </w:r>
      <w:r>
        <w:rPr/>
        <w:t>√ 适用 </w:t>
      </w:r>
      <w:r>
        <w:rPr>
          <w:rFonts w:ascii="宋体" w:hAnsi="宋体" w:cs="宋体" w:eastAsia="宋体" w:hint="default"/>
        </w:rPr>
      </w:r>
      <w:r>
        <w:rPr/>
        <w:t>□</w:t>
      </w:r>
      <w:r>
        <w:rPr>
          <w:spacing w:val="-6"/>
        </w:rPr>
        <w:t> </w:t>
      </w:r>
      <w:r>
        <w:rPr/>
        <w:t>不适用</w:t>
      </w:r>
      <w:r>
        <w:rPr>
          <w:rFonts w:ascii="宋体" w:hAnsi="宋体" w:cs="宋体" w:eastAsia="宋体" w:hint="default"/>
        </w:rPr>
        <w:t> </w:t>
      </w:r>
    </w:p>
    <w:p>
      <w:pPr>
        <w:pStyle w:val="BodyText"/>
        <w:spacing w:line="240" w:lineRule="auto" w:before="78"/>
        <w:ind w:right="1133"/>
        <w:jc w:val="left"/>
        <w:rPr>
          <w:rFonts w:ascii="宋体" w:hAnsi="宋体" w:cs="宋体" w:eastAsia="宋体" w:hint="default"/>
        </w:rPr>
      </w:pPr>
      <w:r>
        <w:rPr/>
        <w:t>全资子公司长实通信中标后签订的较大销售合同见下表：</w:t>
      </w:r>
      <w:r>
        <w:rPr>
          <w:rFonts w:ascii="宋体" w:hAnsi="宋体" w:cs="宋体" w:eastAsia="宋体" w:hint="default"/>
        </w:rPr>
        <w:t> </w:t>
      </w:r>
    </w:p>
    <w:p>
      <w:pPr>
        <w:spacing w:line="240" w:lineRule="auto" w:before="2"/>
        <w:rPr>
          <w:rFonts w:ascii="宋体" w:hAnsi="宋体" w:cs="宋体" w:eastAsia="宋体" w:hint="default"/>
          <w:sz w:val="6"/>
          <w:szCs w:val="6"/>
        </w:rPr>
      </w:pPr>
    </w:p>
    <w:tbl>
      <w:tblPr>
        <w:tblW w:w="0" w:type="auto"/>
        <w:jc w:val="left"/>
        <w:tblInd w:w="145" w:type="dxa"/>
        <w:tblLayout w:type="fixed"/>
        <w:tblCellMar>
          <w:top w:w="0" w:type="dxa"/>
          <w:left w:w="0" w:type="dxa"/>
          <w:bottom w:w="0" w:type="dxa"/>
          <w:right w:w="0" w:type="dxa"/>
        </w:tblCellMar>
        <w:tblLook w:val="01E0"/>
      </w:tblPr>
      <w:tblGrid>
        <w:gridCol w:w="1885"/>
        <w:gridCol w:w="3509"/>
        <w:gridCol w:w="1270"/>
        <w:gridCol w:w="2984"/>
      </w:tblGrid>
      <w:tr>
        <w:trPr>
          <w:trHeight w:val="348" w:hRule="exact"/>
        </w:trPr>
        <w:tc>
          <w:tcPr>
            <w:tcW w:w="1885"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、合同订立双方名称</w:t>
            </w:r>
            <w:r>
              <w:rPr>
                <w:rFonts w:ascii="宋体" w:hAnsi="宋体" w:cs="宋体" w:eastAsia="宋体" w:hint="default"/>
                <w:sz w:val="18"/>
                <w:szCs w:val="18"/>
              </w:rPr>
              <w:t> </w:t>
            </w:r>
          </w:p>
        </w:tc>
        <w:tc>
          <w:tcPr>
            <w:tcW w:w="7762" w:type="dxa"/>
            <w:gridSpan w:val="3"/>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0"/>
              <w:ind w:left="23" w:right="0"/>
              <w:jc w:val="left"/>
              <w:rPr>
                <w:rFonts w:ascii="宋体" w:hAnsi="宋体" w:cs="宋体" w:eastAsia="宋体" w:hint="default"/>
                <w:sz w:val="18"/>
                <w:szCs w:val="18"/>
              </w:rPr>
            </w:pPr>
            <w:r>
              <w:rPr>
                <w:rFonts w:ascii="宋体" w:hAnsi="宋体" w:cs="宋体" w:eastAsia="宋体" w:hint="default"/>
                <w:sz w:val="18"/>
                <w:szCs w:val="18"/>
              </w:rPr>
              <w:t>甲方：中国联合网络通信有限公司广东省分公司；乙方：长实通信</w:t>
            </w:r>
            <w:r>
              <w:rPr>
                <w:rFonts w:ascii="宋体" w:hAnsi="宋体" w:cs="宋体" w:eastAsia="宋体" w:hint="default"/>
                <w:sz w:val="18"/>
                <w:szCs w:val="18"/>
              </w:rPr>
              <w:t> </w:t>
            </w:r>
          </w:p>
        </w:tc>
      </w:tr>
      <w:tr>
        <w:trPr>
          <w:trHeight w:val="346" w:hRule="exact"/>
        </w:trPr>
        <w:tc>
          <w:tcPr>
            <w:tcW w:w="18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合同名称</w:t>
            </w:r>
            <w:r>
              <w:rPr>
                <w:rFonts w:ascii="宋体" w:hAnsi="宋体" w:cs="宋体" w:eastAsia="宋体" w:hint="default"/>
                <w:sz w:val="18"/>
                <w:szCs w:val="18"/>
              </w:rPr>
              <w:t> </w:t>
            </w:r>
          </w:p>
        </w:tc>
        <w:tc>
          <w:tcPr>
            <w:tcW w:w="7762"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3" w:right="0"/>
              <w:jc w:val="left"/>
              <w:rPr>
                <w:rFonts w:ascii="宋体" w:hAnsi="宋体" w:cs="宋体" w:eastAsia="宋体" w:hint="default"/>
                <w:sz w:val="18"/>
                <w:szCs w:val="18"/>
              </w:rPr>
            </w:pPr>
            <w:r>
              <w:rPr>
                <w:rFonts w:ascii="宋体" w:hAnsi="宋体" w:cs="宋体" w:eastAsia="宋体" w:hint="default"/>
                <w:sz w:val="18"/>
                <w:szCs w:val="18"/>
              </w:rPr>
              <w:t>广东联通</w:t>
            </w:r>
            <w:r>
              <w:rPr>
                <w:rFonts w:ascii="宋体" w:hAnsi="宋体" w:cs="宋体" w:eastAsia="宋体" w:hint="default"/>
                <w:sz w:val="18"/>
                <w:szCs w:val="18"/>
              </w:rPr>
              <w:t>2017-2018</w:t>
            </w:r>
            <w:r>
              <w:rPr>
                <w:rFonts w:ascii="宋体" w:hAnsi="宋体" w:cs="宋体" w:eastAsia="宋体" w:hint="default"/>
                <w:sz w:val="18"/>
                <w:szCs w:val="18"/>
              </w:rPr>
              <w:t>年本地网综合代维采购框架协议</w:t>
            </w:r>
            <w:r>
              <w:rPr>
                <w:rFonts w:ascii="宋体" w:hAnsi="宋体" w:cs="宋体" w:eastAsia="宋体" w:hint="default"/>
                <w:sz w:val="18"/>
                <w:szCs w:val="18"/>
              </w:rPr>
              <w:t>(</w:t>
            </w:r>
            <w:r>
              <w:rPr>
                <w:rFonts w:ascii="宋体" w:hAnsi="宋体" w:cs="宋体" w:eastAsia="宋体" w:hint="default"/>
                <w:sz w:val="18"/>
                <w:szCs w:val="18"/>
              </w:rPr>
              <w:t>简称综合代维一</w:t>
            </w:r>
            <w:r>
              <w:rPr>
                <w:rFonts w:ascii="宋体" w:hAnsi="宋体" w:cs="宋体" w:eastAsia="宋体" w:hint="default"/>
                <w:sz w:val="18"/>
                <w:szCs w:val="18"/>
              </w:rPr>
              <w:t>)</w:t>
            </w:r>
            <w:r>
              <w:rPr>
                <w:rFonts w:ascii="宋体" w:hAnsi="宋体" w:cs="宋体" w:eastAsia="宋体" w:hint="default"/>
                <w:spacing w:val="-2"/>
                <w:sz w:val="18"/>
                <w:szCs w:val="18"/>
              </w:rPr>
              <w:t> </w:t>
            </w:r>
            <w:r>
              <w:rPr>
                <w:rFonts w:ascii="宋体" w:hAnsi="宋体" w:cs="宋体" w:eastAsia="宋体" w:hint="default"/>
                <w:sz w:val="18"/>
                <w:szCs w:val="18"/>
              </w:rPr>
              <w:t> </w:t>
            </w:r>
          </w:p>
        </w:tc>
      </w:tr>
      <w:tr>
        <w:trPr>
          <w:trHeight w:val="349" w:hRule="exact"/>
        </w:trPr>
        <w:tc>
          <w:tcPr>
            <w:tcW w:w="18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4" w:right="0"/>
              <w:jc w:val="left"/>
              <w:rPr>
                <w:rFonts w:ascii="宋体" w:hAnsi="宋体" w:cs="宋体" w:eastAsia="宋体" w:hint="default"/>
                <w:sz w:val="18"/>
                <w:szCs w:val="18"/>
              </w:rPr>
            </w:pPr>
            <w:r>
              <w:rPr>
                <w:rFonts w:ascii="宋体" w:hAnsi="宋体" w:cs="宋体" w:eastAsia="宋体" w:hint="default"/>
                <w:sz w:val="18"/>
                <w:szCs w:val="18"/>
              </w:rPr>
              <w:t>合同执行期限</w:t>
            </w:r>
            <w:r>
              <w:rPr>
                <w:rFonts w:ascii="宋体" w:hAnsi="宋体" w:cs="宋体" w:eastAsia="宋体" w:hint="default"/>
                <w:sz w:val="18"/>
                <w:szCs w:val="18"/>
              </w:rPr>
              <w:t> </w:t>
            </w:r>
          </w:p>
        </w:tc>
        <w:tc>
          <w:tcPr>
            <w:tcW w:w="35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23" w:right="0"/>
              <w:jc w:val="lef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z w:val="18"/>
                <w:szCs w:val="18"/>
              </w:rPr>
              <w:t>年</w:t>
            </w:r>
            <w:r>
              <w:rPr>
                <w:rFonts w:ascii="宋体" w:hAnsi="宋体" w:cs="宋体" w:eastAsia="宋体" w:hint="default"/>
                <w:sz w:val="18"/>
                <w:szCs w:val="18"/>
              </w:rPr>
              <w:t>2</w:t>
            </w:r>
            <w:r>
              <w:rPr>
                <w:rFonts w:ascii="宋体" w:hAnsi="宋体" w:cs="宋体" w:eastAsia="宋体" w:hint="default"/>
                <w:sz w:val="18"/>
                <w:szCs w:val="18"/>
              </w:rPr>
              <w:t>月</w:t>
            </w:r>
            <w:r>
              <w:rPr>
                <w:rFonts w:ascii="宋体" w:hAnsi="宋体" w:cs="宋体" w:eastAsia="宋体" w:hint="default"/>
                <w:sz w:val="18"/>
                <w:szCs w:val="18"/>
              </w:rPr>
              <w:t>1</w:t>
            </w:r>
            <w:r>
              <w:rPr>
                <w:rFonts w:ascii="宋体" w:hAnsi="宋体" w:cs="宋体" w:eastAsia="宋体" w:hint="default"/>
                <w:sz w:val="18"/>
                <w:szCs w:val="18"/>
              </w:rPr>
              <w:t>日</w:t>
            </w:r>
            <w:r>
              <w:rPr>
                <w:rFonts w:ascii="宋体" w:hAnsi="宋体" w:cs="宋体" w:eastAsia="宋体" w:hint="default"/>
                <w:sz w:val="18"/>
                <w:szCs w:val="18"/>
              </w:rPr>
              <w:t>-2019</w:t>
            </w:r>
            <w:r>
              <w:rPr>
                <w:rFonts w:ascii="宋体" w:hAnsi="宋体" w:cs="宋体" w:eastAsia="宋体" w:hint="default"/>
                <w:sz w:val="18"/>
                <w:szCs w:val="18"/>
              </w:rPr>
              <w:t>年</w:t>
            </w:r>
            <w:r>
              <w:rPr>
                <w:rFonts w:ascii="宋体" w:hAnsi="宋体" w:cs="宋体" w:eastAsia="宋体" w:hint="default"/>
                <w:sz w:val="18"/>
                <w:szCs w:val="18"/>
              </w:rPr>
              <w:t>1</w:t>
            </w:r>
            <w:r>
              <w:rPr>
                <w:rFonts w:ascii="宋体" w:hAnsi="宋体" w:cs="宋体" w:eastAsia="宋体" w:hint="default"/>
                <w:sz w:val="18"/>
                <w:szCs w:val="18"/>
              </w:rPr>
              <w:t>月</w:t>
            </w:r>
            <w:r>
              <w:rPr>
                <w:rFonts w:ascii="宋体" w:hAnsi="宋体" w:cs="宋体" w:eastAsia="宋体" w:hint="default"/>
                <w:sz w:val="18"/>
                <w:szCs w:val="18"/>
              </w:rPr>
              <w:t>31</w:t>
            </w:r>
            <w:r>
              <w:rPr>
                <w:rFonts w:ascii="宋体" w:hAnsi="宋体" w:cs="宋体" w:eastAsia="宋体" w:hint="default"/>
                <w:sz w:val="18"/>
                <w:szCs w:val="18"/>
              </w:rPr>
              <w:t>日</w:t>
            </w:r>
            <w:r>
              <w:rPr>
                <w:rFonts w:ascii="宋体" w:hAnsi="宋体" w:cs="宋体" w:eastAsia="宋体" w:hint="default"/>
                <w:sz w:val="18"/>
                <w:szCs w:val="18"/>
              </w:rPr>
              <w:t> </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2" w:right="0"/>
              <w:jc w:val="left"/>
              <w:rPr>
                <w:rFonts w:ascii="宋体" w:hAnsi="宋体" w:cs="宋体" w:eastAsia="宋体" w:hint="default"/>
                <w:sz w:val="18"/>
                <w:szCs w:val="18"/>
              </w:rPr>
            </w:pPr>
            <w:r>
              <w:rPr>
                <w:rFonts w:ascii="宋体" w:hAnsi="宋体" w:cs="宋体" w:eastAsia="宋体" w:hint="default"/>
                <w:sz w:val="18"/>
                <w:szCs w:val="18"/>
              </w:rPr>
              <w:t>预计金额上限</w:t>
            </w:r>
            <w:r>
              <w:rPr>
                <w:rFonts w:ascii="宋体" w:hAnsi="宋体" w:cs="宋体" w:eastAsia="宋体" w:hint="default"/>
                <w:sz w:val="18"/>
                <w:szCs w:val="18"/>
              </w:rPr>
              <w:t> </w:t>
            </w:r>
          </w:p>
        </w:tc>
        <w:tc>
          <w:tcPr>
            <w:tcW w:w="29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4" w:right="0"/>
              <w:jc w:val="left"/>
              <w:rPr>
                <w:rFonts w:ascii="宋体" w:hAnsi="宋体" w:cs="宋体" w:eastAsia="宋体" w:hint="default"/>
                <w:sz w:val="18"/>
                <w:szCs w:val="18"/>
              </w:rPr>
            </w:pPr>
            <w:r>
              <w:rPr>
                <w:rFonts w:ascii="宋体" w:hAnsi="宋体" w:cs="宋体" w:eastAsia="宋体" w:hint="default"/>
                <w:sz w:val="18"/>
                <w:szCs w:val="18"/>
              </w:rPr>
              <w:t>228,140,000.00</w:t>
            </w:r>
            <w:r>
              <w:rPr>
                <w:rFonts w:ascii="宋体" w:hAnsi="宋体" w:cs="宋体" w:eastAsia="宋体" w:hint="default"/>
                <w:sz w:val="18"/>
                <w:szCs w:val="18"/>
              </w:rPr>
              <w:t>元</w:t>
            </w:r>
            <w:r>
              <w:rPr>
                <w:rFonts w:ascii="宋体" w:hAnsi="宋体" w:cs="宋体" w:eastAsia="宋体" w:hint="default"/>
                <w:sz w:val="18"/>
                <w:szCs w:val="18"/>
              </w:rPr>
              <w:t> </w:t>
            </w:r>
          </w:p>
        </w:tc>
      </w:tr>
      <w:tr>
        <w:trPr>
          <w:trHeight w:val="346" w:hRule="exact"/>
        </w:trPr>
        <w:tc>
          <w:tcPr>
            <w:tcW w:w="9648" w:type="dxa"/>
            <w:gridSpan w:val="4"/>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sz w:val="18"/>
              </w:rPr>
              <w:t> </w:t>
            </w:r>
          </w:p>
        </w:tc>
      </w:tr>
      <w:tr>
        <w:trPr>
          <w:trHeight w:val="348" w:hRule="exact"/>
        </w:trPr>
        <w:tc>
          <w:tcPr>
            <w:tcW w:w="1885"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2"/>
              <w:ind w:left="4"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、合同订立双方名称</w:t>
            </w:r>
            <w:r>
              <w:rPr>
                <w:rFonts w:ascii="宋体" w:hAnsi="宋体" w:cs="宋体" w:eastAsia="宋体" w:hint="default"/>
                <w:sz w:val="18"/>
                <w:szCs w:val="18"/>
              </w:rPr>
              <w:t> </w:t>
            </w:r>
          </w:p>
        </w:tc>
        <w:tc>
          <w:tcPr>
            <w:tcW w:w="7762" w:type="dxa"/>
            <w:gridSpan w:val="3"/>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2"/>
              <w:ind w:left="23" w:right="0"/>
              <w:jc w:val="left"/>
              <w:rPr>
                <w:rFonts w:ascii="宋体" w:hAnsi="宋体" w:cs="宋体" w:eastAsia="宋体" w:hint="default"/>
                <w:sz w:val="18"/>
                <w:szCs w:val="18"/>
              </w:rPr>
            </w:pPr>
            <w:r>
              <w:rPr>
                <w:rFonts w:ascii="宋体" w:hAnsi="宋体" w:cs="宋体" w:eastAsia="宋体" w:hint="default"/>
                <w:sz w:val="18"/>
                <w:szCs w:val="18"/>
              </w:rPr>
              <w:t>甲方：中国移动通信集团广东有限公司；乙方：长实通信</w:t>
            </w:r>
            <w:r>
              <w:rPr>
                <w:rFonts w:ascii="宋体" w:hAnsi="宋体" w:cs="宋体" w:eastAsia="宋体" w:hint="default"/>
                <w:sz w:val="18"/>
                <w:szCs w:val="18"/>
              </w:rPr>
              <w:t> </w:t>
            </w:r>
          </w:p>
        </w:tc>
      </w:tr>
      <w:tr>
        <w:trPr>
          <w:trHeight w:val="346" w:hRule="exact"/>
        </w:trPr>
        <w:tc>
          <w:tcPr>
            <w:tcW w:w="18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合同名称</w:t>
            </w:r>
            <w:r>
              <w:rPr>
                <w:rFonts w:ascii="宋体" w:hAnsi="宋体" w:cs="宋体" w:eastAsia="宋体" w:hint="default"/>
                <w:sz w:val="18"/>
                <w:szCs w:val="18"/>
              </w:rPr>
              <w:t> </w:t>
            </w:r>
          </w:p>
        </w:tc>
        <w:tc>
          <w:tcPr>
            <w:tcW w:w="7762"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3" w:right="0"/>
              <w:jc w:val="left"/>
              <w:rPr>
                <w:rFonts w:ascii="宋体" w:hAnsi="宋体" w:cs="宋体" w:eastAsia="宋体" w:hint="default"/>
                <w:sz w:val="18"/>
                <w:szCs w:val="18"/>
              </w:rPr>
            </w:pPr>
            <w:r>
              <w:rPr>
                <w:rFonts w:ascii="宋体" w:hAnsi="宋体" w:cs="宋体" w:eastAsia="宋体" w:hint="default"/>
                <w:sz w:val="18"/>
                <w:szCs w:val="18"/>
              </w:rPr>
              <w:t>中国移动通信集团广东有限公司</w:t>
            </w:r>
            <w:r>
              <w:rPr>
                <w:rFonts w:ascii="宋体" w:hAnsi="宋体" w:cs="宋体" w:eastAsia="宋体" w:hint="default"/>
                <w:sz w:val="18"/>
                <w:szCs w:val="18"/>
              </w:rPr>
              <w:t>2017-2019</w:t>
            </w:r>
            <w:r>
              <w:rPr>
                <w:rFonts w:ascii="宋体" w:hAnsi="宋体" w:cs="宋体" w:eastAsia="宋体" w:hint="default"/>
                <w:sz w:val="18"/>
                <w:szCs w:val="18"/>
              </w:rPr>
              <w:t>年网络综合代维服务采购</w:t>
            </w:r>
            <w:r>
              <w:rPr>
                <w:rFonts w:ascii="宋体" w:hAnsi="宋体" w:cs="宋体" w:eastAsia="宋体" w:hint="default"/>
                <w:sz w:val="18"/>
                <w:szCs w:val="18"/>
              </w:rPr>
              <w:t>(</w:t>
            </w:r>
            <w:r>
              <w:rPr>
                <w:rFonts w:ascii="宋体" w:hAnsi="宋体" w:cs="宋体" w:eastAsia="宋体" w:hint="default"/>
                <w:sz w:val="18"/>
                <w:szCs w:val="18"/>
              </w:rPr>
              <w:t>简称综合代维二</w:t>
            </w:r>
            <w:r>
              <w:rPr>
                <w:rFonts w:ascii="宋体" w:hAnsi="宋体" w:cs="宋体" w:eastAsia="宋体" w:hint="default"/>
                <w:sz w:val="18"/>
                <w:szCs w:val="18"/>
              </w:rPr>
              <w:t>) </w:t>
            </w:r>
          </w:p>
        </w:tc>
      </w:tr>
      <w:tr>
        <w:trPr>
          <w:trHeight w:val="348" w:hRule="exact"/>
        </w:trPr>
        <w:tc>
          <w:tcPr>
            <w:tcW w:w="188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4" w:right="0"/>
              <w:jc w:val="left"/>
              <w:rPr>
                <w:rFonts w:ascii="宋体" w:hAnsi="宋体" w:cs="宋体" w:eastAsia="宋体" w:hint="default"/>
                <w:sz w:val="18"/>
                <w:szCs w:val="18"/>
              </w:rPr>
            </w:pPr>
            <w:r>
              <w:rPr>
                <w:rFonts w:ascii="宋体" w:hAnsi="宋体" w:cs="宋体" w:eastAsia="宋体" w:hint="default"/>
                <w:sz w:val="18"/>
                <w:szCs w:val="18"/>
              </w:rPr>
              <w:t>合同执行期限</w:t>
            </w:r>
            <w:r>
              <w:rPr>
                <w:rFonts w:ascii="宋体" w:hAnsi="宋体" w:cs="宋体" w:eastAsia="宋体" w:hint="default"/>
                <w:sz w:val="18"/>
                <w:szCs w:val="18"/>
              </w:rPr>
              <w:t> </w:t>
            </w:r>
          </w:p>
        </w:tc>
        <w:tc>
          <w:tcPr>
            <w:tcW w:w="3509"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23" w:right="0"/>
              <w:jc w:val="lef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z w:val="18"/>
                <w:szCs w:val="18"/>
              </w:rPr>
              <w:t>年</w:t>
            </w:r>
            <w:r>
              <w:rPr>
                <w:rFonts w:ascii="宋体" w:hAnsi="宋体" w:cs="宋体" w:eastAsia="宋体" w:hint="default"/>
                <w:sz w:val="18"/>
                <w:szCs w:val="18"/>
              </w:rPr>
              <w:t>6</w:t>
            </w:r>
            <w:r>
              <w:rPr>
                <w:rFonts w:ascii="宋体" w:hAnsi="宋体" w:cs="宋体" w:eastAsia="宋体" w:hint="default"/>
                <w:sz w:val="18"/>
                <w:szCs w:val="18"/>
              </w:rPr>
              <w:t>月</w:t>
            </w:r>
            <w:r>
              <w:rPr>
                <w:rFonts w:ascii="宋体" w:hAnsi="宋体" w:cs="宋体" w:eastAsia="宋体" w:hint="default"/>
                <w:sz w:val="18"/>
                <w:szCs w:val="18"/>
              </w:rPr>
              <w:t>1</w:t>
            </w:r>
            <w:r>
              <w:rPr>
                <w:rFonts w:ascii="宋体" w:hAnsi="宋体" w:cs="宋体" w:eastAsia="宋体" w:hint="default"/>
                <w:sz w:val="18"/>
                <w:szCs w:val="18"/>
              </w:rPr>
              <w:t>日</w:t>
            </w:r>
            <w:r>
              <w:rPr>
                <w:rFonts w:ascii="宋体" w:hAnsi="宋体" w:cs="宋体" w:eastAsia="宋体" w:hint="default"/>
                <w:sz w:val="18"/>
                <w:szCs w:val="18"/>
              </w:rPr>
              <w:t>-2020</w:t>
            </w:r>
            <w:r>
              <w:rPr>
                <w:rFonts w:ascii="宋体" w:hAnsi="宋体" w:cs="宋体" w:eastAsia="宋体" w:hint="default"/>
                <w:sz w:val="18"/>
                <w:szCs w:val="18"/>
              </w:rPr>
              <w:t>年</w:t>
            </w:r>
            <w:r>
              <w:rPr>
                <w:rFonts w:ascii="宋体" w:hAnsi="宋体" w:cs="宋体" w:eastAsia="宋体" w:hint="default"/>
                <w:sz w:val="18"/>
                <w:szCs w:val="18"/>
              </w:rPr>
              <w:t>3</w:t>
            </w:r>
            <w:r>
              <w:rPr>
                <w:rFonts w:ascii="宋体" w:hAnsi="宋体" w:cs="宋体" w:eastAsia="宋体" w:hint="default"/>
                <w:sz w:val="18"/>
                <w:szCs w:val="18"/>
              </w:rPr>
              <w:t>月</w:t>
            </w:r>
            <w:r>
              <w:rPr>
                <w:rFonts w:ascii="宋体" w:hAnsi="宋体" w:cs="宋体" w:eastAsia="宋体" w:hint="default"/>
                <w:sz w:val="18"/>
                <w:szCs w:val="18"/>
              </w:rPr>
              <w:t>31</w:t>
            </w:r>
            <w:r>
              <w:rPr>
                <w:rFonts w:ascii="宋体" w:hAnsi="宋体" w:cs="宋体" w:eastAsia="宋体" w:hint="default"/>
                <w:sz w:val="18"/>
                <w:szCs w:val="18"/>
              </w:rPr>
              <w:t>日</w:t>
            </w:r>
            <w:r>
              <w:rPr>
                <w:rFonts w:ascii="宋体" w:hAnsi="宋体" w:cs="宋体" w:eastAsia="宋体" w:hint="default"/>
                <w:sz w:val="18"/>
                <w:szCs w:val="18"/>
              </w:rPr>
              <w:t> </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2" w:right="0"/>
              <w:jc w:val="left"/>
              <w:rPr>
                <w:rFonts w:ascii="宋体" w:hAnsi="宋体" w:cs="宋体" w:eastAsia="宋体" w:hint="default"/>
                <w:sz w:val="18"/>
                <w:szCs w:val="18"/>
              </w:rPr>
            </w:pPr>
            <w:r>
              <w:rPr>
                <w:rFonts w:ascii="宋体" w:hAnsi="宋体" w:cs="宋体" w:eastAsia="宋体" w:hint="default"/>
                <w:sz w:val="18"/>
                <w:szCs w:val="18"/>
              </w:rPr>
              <w:t>预计金额上限</w:t>
            </w:r>
            <w:r>
              <w:rPr>
                <w:rFonts w:ascii="宋体" w:hAnsi="宋体" w:cs="宋体" w:eastAsia="宋体" w:hint="default"/>
                <w:sz w:val="18"/>
                <w:szCs w:val="18"/>
              </w:rPr>
              <w:t> </w:t>
            </w:r>
          </w:p>
        </w:tc>
        <w:tc>
          <w:tcPr>
            <w:tcW w:w="29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4" w:right="0"/>
              <w:jc w:val="left"/>
              <w:rPr>
                <w:rFonts w:ascii="宋体" w:hAnsi="宋体" w:cs="宋体" w:eastAsia="宋体" w:hint="default"/>
                <w:sz w:val="18"/>
                <w:szCs w:val="18"/>
              </w:rPr>
            </w:pPr>
            <w:r>
              <w:rPr>
                <w:rFonts w:ascii="宋体" w:hAnsi="宋体" w:cs="宋体" w:eastAsia="宋体" w:hint="default"/>
                <w:sz w:val="18"/>
                <w:szCs w:val="18"/>
              </w:rPr>
              <w:t>323,808,100.00</w:t>
            </w:r>
            <w:r>
              <w:rPr>
                <w:rFonts w:ascii="宋体" w:hAnsi="宋体" w:cs="宋体" w:eastAsia="宋体" w:hint="default"/>
                <w:sz w:val="18"/>
                <w:szCs w:val="18"/>
              </w:rPr>
              <w:t>元</w:t>
            </w:r>
            <w:r>
              <w:rPr>
                <w:rFonts w:ascii="宋体" w:hAnsi="宋体" w:cs="宋体" w:eastAsia="宋体" w:hint="default"/>
                <w:sz w:val="18"/>
                <w:szCs w:val="18"/>
              </w:rPr>
              <w:t> </w:t>
            </w:r>
          </w:p>
        </w:tc>
      </w:tr>
      <w:tr>
        <w:trPr>
          <w:trHeight w:val="348" w:hRule="exact"/>
        </w:trPr>
        <w:tc>
          <w:tcPr>
            <w:tcW w:w="9648" w:type="dxa"/>
            <w:gridSpan w:val="4"/>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sz w:val="18"/>
              </w:rPr>
              <w:t> </w:t>
            </w:r>
          </w:p>
        </w:tc>
      </w:tr>
      <w:tr>
        <w:trPr>
          <w:trHeight w:val="341" w:hRule="exact"/>
        </w:trPr>
        <w:tc>
          <w:tcPr>
            <w:tcW w:w="1885"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、合同订立双方名称</w:t>
            </w:r>
            <w:r>
              <w:rPr>
                <w:rFonts w:ascii="宋体" w:hAnsi="宋体" w:cs="宋体" w:eastAsia="宋体" w:hint="default"/>
                <w:sz w:val="18"/>
                <w:szCs w:val="18"/>
              </w:rPr>
              <w:t> </w:t>
            </w:r>
          </w:p>
        </w:tc>
        <w:tc>
          <w:tcPr>
            <w:tcW w:w="7762" w:type="dxa"/>
            <w:gridSpan w:val="3"/>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0"/>
              <w:ind w:left="-33" w:right="0"/>
              <w:jc w:val="left"/>
              <w:rPr>
                <w:rFonts w:ascii="宋体" w:hAnsi="宋体" w:cs="宋体" w:eastAsia="宋体" w:hint="default"/>
                <w:sz w:val="18"/>
                <w:szCs w:val="18"/>
              </w:rPr>
            </w:pPr>
            <w:r>
              <w:rPr>
                <w:rFonts w:ascii="宋体" w:hAnsi="宋体" w:cs="宋体" w:eastAsia="宋体" w:hint="default"/>
                <w:sz w:val="18"/>
                <w:szCs w:val="18"/>
              </w:rPr>
              <w:t>甲方：中移铁通广东省分公司；乙方：长实通信</w:t>
            </w:r>
            <w:r>
              <w:rPr>
                <w:rFonts w:ascii="宋体" w:hAnsi="宋体" w:cs="宋体" w:eastAsia="宋体" w:hint="default"/>
                <w:sz w:val="18"/>
                <w:szCs w:val="18"/>
              </w:rPr>
              <w:t> </w:t>
            </w:r>
          </w:p>
        </w:tc>
      </w:tr>
    </w:tbl>
    <w:p>
      <w:pPr>
        <w:spacing w:after="0" w:line="240" w:lineRule="auto"/>
        <w:jc w:val="left"/>
        <w:rPr>
          <w:rFonts w:ascii="宋体" w:hAnsi="宋体" w:cs="宋体" w:eastAsia="宋体" w:hint="default"/>
          <w:sz w:val="18"/>
          <w:szCs w:val="18"/>
        </w:rPr>
        <w:sectPr>
          <w:type w:val="continuous"/>
          <w:pgSz w:w="11910" w:h="16840"/>
          <w:pgMar w:top="1580" w:bottom="700" w:left="980" w:right="0"/>
        </w:sectPr>
      </w:pPr>
    </w:p>
    <w:p>
      <w:pPr>
        <w:spacing w:line="240" w:lineRule="auto" w:before="8"/>
        <w:rPr>
          <w:rFonts w:ascii="宋体" w:hAnsi="宋体" w:cs="宋体" w:eastAsia="宋体" w:hint="default"/>
          <w:sz w:val="24"/>
          <w:szCs w:val="24"/>
        </w:rPr>
      </w:pPr>
    </w:p>
    <w:tbl>
      <w:tblPr>
        <w:tblW w:w="0" w:type="auto"/>
        <w:jc w:val="left"/>
        <w:tblInd w:w="145" w:type="dxa"/>
        <w:tblLayout w:type="fixed"/>
        <w:tblCellMar>
          <w:top w:w="0" w:type="dxa"/>
          <w:left w:w="0" w:type="dxa"/>
          <w:bottom w:w="0" w:type="dxa"/>
          <w:right w:w="0" w:type="dxa"/>
        </w:tblCellMar>
        <w:tblLook w:val="01E0"/>
      </w:tblPr>
      <w:tblGrid>
        <w:gridCol w:w="1848"/>
        <w:gridCol w:w="3545"/>
        <w:gridCol w:w="1270"/>
        <w:gridCol w:w="2984"/>
      </w:tblGrid>
      <w:tr>
        <w:trPr>
          <w:trHeight w:val="660" w:hRule="exact"/>
        </w:trPr>
        <w:tc>
          <w:tcPr>
            <w:tcW w:w="1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合同名称</w:t>
            </w:r>
            <w:r>
              <w:rPr>
                <w:rFonts w:ascii="宋体" w:hAnsi="宋体" w:cs="宋体" w:eastAsia="宋体" w:hint="default"/>
                <w:sz w:val="18"/>
                <w:szCs w:val="18"/>
              </w:rPr>
              <w:t> </w:t>
            </w:r>
          </w:p>
        </w:tc>
        <w:tc>
          <w:tcPr>
            <w:tcW w:w="7799"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中移铁通广东分公司</w:t>
            </w:r>
            <w:r>
              <w:rPr>
                <w:rFonts w:ascii="宋体" w:hAnsi="宋体" w:cs="宋体" w:eastAsia="宋体" w:hint="default"/>
                <w:sz w:val="18"/>
                <w:szCs w:val="18"/>
              </w:rPr>
              <w:t>2017</w:t>
            </w:r>
            <w:r>
              <w:rPr>
                <w:rFonts w:ascii="宋体" w:hAnsi="宋体" w:cs="宋体" w:eastAsia="宋体" w:hint="default"/>
                <w:sz w:val="18"/>
                <w:szCs w:val="18"/>
              </w:rPr>
              <w:t>年下半年至</w:t>
            </w:r>
            <w:r>
              <w:rPr>
                <w:rFonts w:ascii="宋体" w:hAnsi="宋体" w:cs="宋体" w:eastAsia="宋体" w:hint="default"/>
                <w:sz w:val="18"/>
                <w:szCs w:val="18"/>
              </w:rPr>
              <w:t>2019</w:t>
            </w:r>
            <w:r>
              <w:rPr>
                <w:rFonts w:ascii="宋体" w:hAnsi="宋体" w:cs="宋体" w:eastAsia="宋体" w:hint="default"/>
                <w:sz w:val="18"/>
                <w:szCs w:val="18"/>
              </w:rPr>
              <w:t>年上半年营装维服续综合业务劳务分包项目采购框架合同</w:t>
            </w:r>
          </w:p>
          <w:p>
            <w:pPr>
              <w:pStyle w:val="TableParagraph"/>
              <w:spacing w:line="240" w:lineRule="auto" w:before="77"/>
              <w:ind w:left="4"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简称综合代维三</w:t>
            </w:r>
            <w:r>
              <w:rPr>
                <w:rFonts w:ascii="宋体" w:hAnsi="宋体" w:cs="宋体" w:eastAsia="宋体" w:hint="default"/>
                <w:sz w:val="18"/>
                <w:szCs w:val="18"/>
              </w:rPr>
              <w:t>) </w:t>
            </w:r>
          </w:p>
        </w:tc>
      </w:tr>
      <w:tr>
        <w:trPr>
          <w:trHeight w:val="346" w:hRule="exact"/>
        </w:trPr>
        <w:tc>
          <w:tcPr>
            <w:tcW w:w="1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合同执行期限</w:t>
            </w:r>
            <w:r>
              <w:rPr>
                <w:rFonts w:ascii="宋体" w:hAnsi="宋体" w:cs="宋体" w:eastAsia="宋体" w:hint="default"/>
                <w:sz w:val="18"/>
                <w:szCs w:val="18"/>
              </w:rPr>
              <w:t> </w:t>
            </w:r>
          </w:p>
        </w:tc>
        <w:tc>
          <w:tcPr>
            <w:tcW w:w="35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z w:val="18"/>
                <w:szCs w:val="18"/>
              </w:rPr>
              <w:t>年</w:t>
            </w:r>
            <w:r>
              <w:rPr>
                <w:rFonts w:ascii="宋体" w:hAnsi="宋体" w:cs="宋体" w:eastAsia="宋体" w:hint="default"/>
                <w:sz w:val="18"/>
                <w:szCs w:val="18"/>
              </w:rPr>
              <w:t>8</w:t>
            </w:r>
            <w:r>
              <w:rPr>
                <w:rFonts w:ascii="宋体" w:hAnsi="宋体" w:cs="宋体" w:eastAsia="宋体" w:hint="default"/>
                <w:sz w:val="18"/>
                <w:szCs w:val="18"/>
              </w:rPr>
              <w:t>月</w:t>
            </w:r>
            <w:r>
              <w:rPr>
                <w:rFonts w:ascii="宋体" w:hAnsi="宋体" w:cs="宋体" w:eastAsia="宋体" w:hint="default"/>
                <w:sz w:val="18"/>
                <w:szCs w:val="18"/>
              </w:rPr>
              <w:t>1</w:t>
            </w:r>
            <w:r>
              <w:rPr>
                <w:rFonts w:ascii="宋体" w:hAnsi="宋体" w:cs="宋体" w:eastAsia="宋体" w:hint="default"/>
                <w:sz w:val="18"/>
                <w:szCs w:val="18"/>
              </w:rPr>
              <w:t>日至</w:t>
            </w:r>
            <w:r>
              <w:rPr>
                <w:rFonts w:ascii="宋体" w:hAnsi="宋体" w:cs="宋体" w:eastAsia="宋体" w:hint="default"/>
                <w:sz w:val="18"/>
                <w:szCs w:val="18"/>
              </w:rPr>
              <w:t>2019</w:t>
            </w:r>
            <w:r>
              <w:rPr>
                <w:rFonts w:ascii="宋体" w:hAnsi="宋体" w:cs="宋体" w:eastAsia="宋体" w:hint="default"/>
                <w:sz w:val="18"/>
                <w:szCs w:val="18"/>
              </w:rPr>
              <w:t>年</w:t>
            </w:r>
            <w:r>
              <w:rPr>
                <w:rFonts w:ascii="宋体" w:hAnsi="宋体" w:cs="宋体" w:eastAsia="宋体" w:hint="default"/>
                <w:sz w:val="18"/>
                <w:szCs w:val="18"/>
              </w:rPr>
              <w:t>6</w:t>
            </w:r>
            <w:r>
              <w:rPr>
                <w:rFonts w:ascii="宋体" w:hAnsi="宋体" w:cs="宋体" w:eastAsia="宋体" w:hint="default"/>
                <w:sz w:val="18"/>
                <w:szCs w:val="18"/>
              </w:rPr>
              <w:t>月</w:t>
            </w:r>
            <w:r>
              <w:rPr>
                <w:rFonts w:ascii="宋体" w:hAnsi="宋体" w:cs="宋体" w:eastAsia="宋体" w:hint="default"/>
                <w:sz w:val="18"/>
                <w:szCs w:val="18"/>
              </w:rPr>
              <w:t>30</w:t>
            </w:r>
            <w:r>
              <w:rPr>
                <w:rFonts w:ascii="宋体" w:hAnsi="宋体" w:cs="宋体" w:eastAsia="宋体" w:hint="default"/>
                <w:sz w:val="18"/>
                <w:szCs w:val="18"/>
              </w:rPr>
              <w:t>日</w:t>
            </w:r>
            <w:r>
              <w:rPr>
                <w:rFonts w:ascii="宋体" w:hAnsi="宋体" w:cs="宋体" w:eastAsia="宋体" w:hint="default"/>
                <w:sz w:val="18"/>
                <w:szCs w:val="18"/>
              </w:rPr>
              <w:t> </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预计金额上限</w:t>
            </w:r>
            <w:r>
              <w:rPr>
                <w:rFonts w:ascii="宋体" w:hAnsi="宋体" w:cs="宋体" w:eastAsia="宋体" w:hint="default"/>
                <w:sz w:val="18"/>
                <w:szCs w:val="18"/>
              </w:rPr>
              <w:t> </w:t>
            </w:r>
          </w:p>
        </w:tc>
        <w:tc>
          <w:tcPr>
            <w:tcW w:w="29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554,940,000.00</w:t>
            </w:r>
            <w:r>
              <w:rPr>
                <w:rFonts w:ascii="宋体" w:hAnsi="宋体" w:cs="宋体" w:eastAsia="宋体" w:hint="default"/>
                <w:sz w:val="18"/>
                <w:szCs w:val="18"/>
              </w:rPr>
              <w:t>元</w:t>
            </w:r>
            <w:r>
              <w:rPr>
                <w:rFonts w:ascii="宋体" w:hAnsi="宋体" w:cs="宋体" w:eastAsia="宋体" w:hint="default"/>
                <w:sz w:val="18"/>
                <w:szCs w:val="18"/>
              </w:rPr>
              <w:t> </w:t>
            </w:r>
          </w:p>
        </w:tc>
      </w:tr>
      <w:tr>
        <w:trPr>
          <w:trHeight w:val="348" w:hRule="exact"/>
        </w:trPr>
        <w:tc>
          <w:tcPr>
            <w:tcW w:w="9648" w:type="dxa"/>
            <w:gridSpan w:val="4"/>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4" w:right="0"/>
              <w:jc w:val="left"/>
              <w:rPr>
                <w:rFonts w:ascii="宋体" w:hAnsi="宋体" w:cs="宋体" w:eastAsia="宋体" w:hint="default"/>
                <w:sz w:val="18"/>
                <w:szCs w:val="18"/>
              </w:rPr>
            </w:pPr>
            <w:r>
              <w:rPr>
                <w:rFonts w:ascii="宋体"/>
                <w:sz w:val="18"/>
              </w:rPr>
              <w:t> </w:t>
            </w:r>
          </w:p>
        </w:tc>
      </w:tr>
      <w:tr>
        <w:trPr>
          <w:trHeight w:val="346" w:hRule="exact"/>
        </w:trPr>
        <w:tc>
          <w:tcPr>
            <w:tcW w:w="1848"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、合同订立双方名称</w:t>
            </w:r>
            <w:r>
              <w:rPr>
                <w:rFonts w:ascii="宋体" w:hAnsi="宋体" w:cs="宋体" w:eastAsia="宋体" w:hint="default"/>
                <w:sz w:val="18"/>
                <w:szCs w:val="18"/>
              </w:rPr>
              <w:t> </w:t>
            </w:r>
          </w:p>
        </w:tc>
        <w:tc>
          <w:tcPr>
            <w:tcW w:w="7799" w:type="dxa"/>
            <w:gridSpan w:val="3"/>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甲方：中国移动通信集团四川有限公司；乙方：长实通信</w:t>
            </w:r>
            <w:r>
              <w:rPr>
                <w:rFonts w:ascii="宋体" w:hAnsi="宋体" w:cs="宋体" w:eastAsia="宋体" w:hint="default"/>
                <w:sz w:val="18"/>
                <w:szCs w:val="18"/>
              </w:rPr>
              <w:t> </w:t>
            </w:r>
          </w:p>
        </w:tc>
      </w:tr>
      <w:tr>
        <w:trPr>
          <w:trHeight w:val="348" w:hRule="exact"/>
        </w:trPr>
        <w:tc>
          <w:tcPr>
            <w:tcW w:w="1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4" w:right="0"/>
              <w:jc w:val="left"/>
              <w:rPr>
                <w:rFonts w:ascii="宋体" w:hAnsi="宋体" w:cs="宋体" w:eastAsia="宋体" w:hint="default"/>
                <w:sz w:val="18"/>
                <w:szCs w:val="18"/>
              </w:rPr>
            </w:pPr>
            <w:r>
              <w:rPr>
                <w:rFonts w:ascii="宋体" w:hAnsi="宋体" w:cs="宋体" w:eastAsia="宋体" w:hint="default"/>
                <w:sz w:val="18"/>
                <w:szCs w:val="18"/>
              </w:rPr>
              <w:t>合同名称</w:t>
            </w:r>
            <w:r>
              <w:rPr>
                <w:rFonts w:ascii="宋体" w:hAnsi="宋体" w:cs="宋体" w:eastAsia="宋体" w:hint="default"/>
                <w:sz w:val="18"/>
                <w:szCs w:val="18"/>
              </w:rPr>
              <w:t> </w:t>
            </w:r>
          </w:p>
        </w:tc>
        <w:tc>
          <w:tcPr>
            <w:tcW w:w="7799" w:type="dxa"/>
            <w:gridSpan w:val="3"/>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4" w:right="0"/>
              <w:jc w:val="left"/>
              <w:rPr>
                <w:rFonts w:ascii="宋体" w:hAnsi="宋体" w:cs="宋体" w:eastAsia="宋体" w:hint="default"/>
                <w:sz w:val="18"/>
                <w:szCs w:val="18"/>
              </w:rPr>
            </w:pPr>
            <w:r>
              <w:rPr>
                <w:rFonts w:ascii="宋体" w:hAnsi="宋体" w:cs="宋体" w:eastAsia="宋体" w:hint="default"/>
                <w:sz w:val="18"/>
                <w:szCs w:val="18"/>
              </w:rPr>
              <w:t>中国移动四川公司</w:t>
            </w:r>
            <w:r>
              <w:rPr>
                <w:rFonts w:ascii="宋体" w:hAnsi="宋体" w:cs="宋体" w:eastAsia="宋体" w:hint="default"/>
                <w:sz w:val="18"/>
                <w:szCs w:val="18"/>
              </w:rPr>
              <w:t>2019</w:t>
            </w:r>
            <w:r>
              <w:rPr>
                <w:rFonts w:ascii="宋体" w:hAnsi="宋体" w:cs="宋体" w:eastAsia="宋体" w:hint="default"/>
                <w:sz w:val="18"/>
                <w:szCs w:val="18"/>
              </w:rPr>
              <w:t>年至</w:t>
            </w:r>
            <w:r>
              <w:rPr>
                <w:rFonts w:ascii="宋体" w:hAnsi="宋体" w:cs="宋体" w:eastAsia="宋体" w:hint="default"/>
                <w:sz w:val="18"/>
                <w:szCs w:val="18"/>
              </w:rPr>
              <w:t>2021</w:t>
            </w:r>
            <w:r>
              <w:rPr>
                <w:rFonts w:ascii="宋体" w:hAnsi="宋体" w:cs="宋体" w:eastAsia="宋体" w:hint="default"/>
                <w:sz w:val="18"/>
                <w:szCs w:val="18"/>
              </w:rPr>
              <w:t>年网络综合代维服务集中采购框架协议</w:t>
            </w:r>
            <w:r>
              <w:rPr>
                <w:rFonts w:ascii="宋体" w:hAnsi="宋体" w:cs="宋体" w:eastAsia="宋体" w:hint="default"/>
                <w:sz w:val="18"/>
                <w:szCs w:val="18"/>
              </w:rPr>
              <w:t>(</w:t>
            </w:r>
            <w:r>
              <w:rPr>
                <w:rFonts w:ascii="宋体" w:hAnsi="宋体" w:cs="宋体" w:eastAsia="宋体" w:hint="default"/>
                <w:sz w:val="18"/>
                <w:szCs w:val="18"/>
              </w:rPr>
              <w:t>简称综合代维四</w:t>
            </w:r>
            <w:r>
              <w:rPr>
                <w:rFonts w:ascii="宋体" w:hAnsi="宋体" w:cs="宋体" w:eastAsia="宋体" w:hint="default"/>
                <w:sz w:val="18"/>
                <w:szCs w:val="18"/>
              </w:rPr>
              <w:t>) </w:t>
            </w:r>
          </w:p>
        </w:tc>
      </w:tr>
      <w:tr>
        <w:trPr>
          <w:trHeight w:val="346" w:hRule="exact"/>
        </w:trPr>
        <w:tc>
          <w:tcPr>
            <w:tcW w:w="1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合同执行期限</w:t>
            </w:r>
            <w:r>
              <w:rPr>
                <w:rFonts w:ascii="宋体" w:hAnsi="宋体" w:cs="宋体" w:eastAsia="宋体" w:hint="default"/>
                <w:sz w:val="18"/>
                <w:szCs w:val="18"/>
              </w:rPr>
              <w:t> </w:t>
            </w:r>
          </w:p>
        </w:tc>
        <w:tc>
          <w:tcPr>
            <w:tcW w:w="35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z w:val="18"/>
                <w:szCs w:val="18"/>
              </w:rPr>
              <w:t>年</w:t>
            </w:r>
            <w:r>
              <w:rPr>
                <w:rFonts w:ascii="宋体" w:hAnsi="宋体" w:cs="宋体" w:eastAsia="宋体" w:hint="default"/>
                <w:sz w:val="18"/>
                <w:szCs w:val="18"/>
              </w:rPr>
              <w:t>4</w:t>
            </w:r>
            <w:r>
              <w:rPr>
                <w:rFonts w:ascii="宋体" w:hAnsi="宋体" w:cs="宋体" w:eastAsia="宋体" w:hint="default"/>
                <w:sz w:val="18"/>
                <w:szCs w:val="18"/>
              </w:rPr>
              <w:t>月</w:t>
            </w:r>
            <w:r>
              <w:rPr>
                <w:rFonts w:ascii="宋体" w:hAnsi="宋体" w:cs="宋体" w:eastAsia="宋体" w:hint="default"/>
                <w:sz w:val="18"/>
                <w:szCs w:val="18"/>
              </w:rPr>
              <w:t>1</w:t>
            </w:r>
            <w:r>
              <w:rPr>
                <w:rFonts w:ascii="宋体" w:hAnsi="宋体" w:cs="宋体" w:eastAsia="宋体" w:hint="default"/>
                <w:sz w:val="18"/>
                <w:szCs w:val="18"/>
              </w:rPr>
              <w:t>日</w:t>
            </w:r>
            <w:r>
              <w:rPr>
                <w:rFonts w:ascii="宋体" w:hAnsi="宋体" w:cs="宋体" w:eastAsia="宋体" w:hint="default"/>
                <w:sz w:val="18"/>
                <w:szCs w:val="18"/>
              </w:rPr>
              <w:t>-2021</w:t>
            </w:r>
            <w:r>
              <w:rPr>
                <w:rFonts w:ascii="宋体" w:hAnsi="宋体" w:cs="宋体" w:eastAsia="宋体" w:hint="default"/>
                <w:sz w:val="18"/>
                <w:szCs w:val="18"/>
              </w:rPr>
              <w:t>年</w:t>
            </w:r>
            <w:r>
              <w:rPr>
                <w:rFonts w:ascii="宋体" w:hAnsi="宋体" w:cs="宋体" w:eastAsia="宋体" w:hint="default"/>
                <w:sz w:val="18"/>
                <w:szCs w:val="18"/>
              </w:rPr>
              <w:t>3</w:t>
            </w:r>
            <w:r>
              <w:rPr>
                <w:rFonts w:ascii="宋体" w:hAnsi="宋体" w:cs="宋体" w:eastAsia="宋体" w:hint="default"/>
                <w:sz w:val="18"/>
                <w:szCs w:val="18"/>
              </w:rPr>
              <w:t>月</w:t>
            </w:r>
            <w:r>
              <w:rPr>
                <w:rFonts w:ascii="宋体" w:hAnsi="宋体" w:cs="宋体" w:eastAsia="宋体" w:hint="default"/>
                <w:sz w:val="18"/>
                <w:szCs w:val="18"/>
              </w:rPr>
              <w:t>31</w:t>
            </w:r>
            <w:r>
              <w:rPr>
                <w:rFonts w:ascii="宋体" w:hAnsi="宋体" w:cs="宋体" w:eastAsia="宋体" w:hint="default"/>
                <w:sz w:val="18"/>
                <w:szCs w:val="18"/>
              </w:rPr>
              <w:t>日</w:t>
            </w:r>
            <w:r>
              <w:rPr>
                <w:rFonts w:ascii="宋体" w:hAnsi="宋体" w:cs="宋体" w:eastAsia="宋体" w:hint="default"/>
                <w:sz w:val="18"/>
                <w:szCs w:val="18"/>
              </w:rPr>
              <w:t> </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2" w:right="0"/>
              <w:jc w:val="left"/>
              <w:rPr>
                <w:rFonts w:ascii="宋体" w:hAnsi="宋体" w:cs="宋体" w:eastAsia="宋体" w:hint="default"/>
                <w:sz w:val="18"/>
                <w:szCs w:val="18"/>
              </w:rPr>
            </w:pPr>
            <w:r>
              <w:rPr>
                <w:rFonts w:ascii="宋体" w:hAnsi="宋体" w:cs="宋体" w:eastAsia="宋体" w:hint="default"/>
                <w:sz w:val="18"/>
                <w:szCs w:val="18"/>
              </w:rPr>
              <w:t>预计金额上限</w:t>
            </w:r>
            <w:r>
              <w:rPr>
                <w:rFonts w:ascii="宋体" w:hAnsi="宋体" w:cs="宋体" w:eastAsia="宋体" w:hint="default"/>
                <w:sz w:val="18"/>
                <w:szCs w:val="18"/>
              </w:rPr>
              <w:t> </w:t>
            </w:r>
          </w:p>
        </w:tc>
        <w:tc>
          <w:tcPr>
            <w:tcW w:w="29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292,301,596.85</w:t>
            </w:r>
            <w:r>
              <w:rPr>
                <w:rFonts w:ascii="宋体" w:hAnsi="宋体" w:cs="宋体" w:eastAsia="宋体" w:hint="default"/>
                <w:sz w:val="18"/>
                <w:szCs w:val="18"/>
              </w:rPr>
              <w:t>元</w:t>
            </w:r>
            <w:r>
              <w:rPr>
                <w:rFonts w:ascii="宋体" w:hAnsi="宋体" w:cs="宋体" w:eastAsia="宋体" w:hint="default"/>
                <w:sz w:val="18"/>
                <w:szCs w:val="18"/>
              </w:rPr>
              <w:t> </w:t>
            </w:r>
          </w:p>
        </w:tc>
      </w:tr>
      <w:tr>
        <w:trPr>
          <w:trHeight w:val="353" w:hRule="exact"/>
        </w:trPr>
        <w:tc>
          <w:tcPr>
            <w:tcW w:w="9648" w:type="dxa"/>
            <w:gridSpan w:val="4"/>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4" w:right="0"/>
              <w:jc w:val="left"/>
              <w:rPr>
                <w:rFonts w:ascii="宋体" w:hAnsi="宋体" w:cs="宋体" w:eastAsia="宋体" w:hint="default"/>
                <w:sz w:val="18"/>
                <w:szCs w:val="18"/>
              </w:rPr>
            </w:pPr>
            <w:r>
              <w:rPr>
                <w:rFonts w:ascii="宋体"/>
                <w:sz w:val="18"/>
              </w:rPr>
              <w:t> </w:t>
            </w:r>
          </w:p>
        </w:tc>
      </w:tr>
      <w:tr>
        <w:trPr>
          <w:trHeight w:val="337" w:hRule="exact"/>
        </w:trPr>
        <w:tc>
          <w:tcPr>
            <w:tcW w:w="1848"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5"/>
              <w:ind w:left="4" w:right="0"/>
              <w:jc w:val="left"/>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z w:val="18"/>
                <w:szCs w:val="18"/>
              </w:rPr>
              <w:t>、合同订立双方名称</w:t>
            </w:r>
            <w:r>
              <w:rPr>
                <w:rFonts w:ascii="宋体" w:hAnsi="宋体" w:cs="宋体" w:eastAsia="宋体" w:hint="default"/>
                <w:sz w:val="18"/>
                <w:szCs w:val="18"/>
              </w:rPr>
              <w:t> </w:t>
            </w:r>
          </w:p>
        </w:tc>
        <w:tc>
          <w:tcPr>
            <w:tcW w:w="7799" w:type="dxa"/>
            <w:gridSpan w:val="3"/>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15"/>
              <w:ind w:left="4" w:right="0"/>
              <w:jc w:val="left"/>
              <w:rPr>
                <w:rFonts w:ascii="宋体" w:hAnsi="宋体" w:cs="宋体" w:eastAsia="宋体" w:hint="default"/>
                <w:sz w:val="18"/>
                <w:szCs w:val="18"/>
              </w:rPr>
            </w:pPr>
            <w:r>
              <w:rPr>
                <w:rFonts w:ascii="宋体" w:hAnsi="宋体" w:cs="宋体" w:eastAsia="宋体" w:hint="default"/>
                <w:sz w:val="18"/>
                <w:szCs w:val="18"/>
              </w:rPr>
              <w:t>甲方：中国移动通信集团云南有限公司；乙方：长实通信</w:t>
            </w:r>
            <w:r>
              <w:rPr>
                <w:rFonts w:ascii="宋体" w:hAnsi="宋体" w:cs="宋体" w:eastAsia="宋体" w:hint="default"/>
                <w:sz w:val="18"/>
                <w:szCs w:val="18"/>
              </w:rPr>
              <w:t> </w:t>
            </w:r>
          </w:p>
        </w:tc>
      </w:tr>
      <w:tr>
        <w:trPr>
          <w:trHeight w:val="352" w:hRule="exact"/>
        </w:trPr>
        <w:tc>
          <w:tcPr>
            <w:tcW w:w="1848" w:type="dxa"/>
            <w:tcBorders>
              <w:top w:val="single" w:sz="11" w:space="0" w:color="000000"/>
              <w:left w:val="single" w:sz="6" w:space="0" w:color="000000"/>
              <w:bottom w:val="single" w:sz="6" w:space="0" w:color="000000"/>
              <w:right w:val="single" w:sz="6"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合同名称</w:t>
            </w:r>
            <w:r>
              <w:rPr>
                <w:rFonts w:ascii="宋体" w:hAnsi="宋体" w:cs="宋体" w:eastAsia="宋体" w:hint="default"/>
                <w:sz w:val="18"/>
                <w:szCs w:val="18"/>
              </w:rPr>
              <w:t> </w:t>
            </w:r>
          </w:p>
        </w:tc>
        <w:tc>
          <w:tcPr>
            <w:tcW w:w="7799" w:type="dxa"/>
            <w:gridSpan w:val="3"/>
            <w:tcBorders>
              <w:top w:val="single" w:sz="11" w:space="0" w:color="000000"/>
              <w:left w:val="single" w:sz="6" w:space="0" w:color="000000"/>
              <w:bottom w:val="single" w:sz="6" w:space="0" w:color="000000"/>
              <w:right w:val="single" w:sz="6" w:space="0" w:color="000000"/>
            </w:tcBorders>
          </w:tcPr>
          <w:p>
            <w:pPr>
              <w:pStyle w:val="TableParagraph"/>
              <w:spacing w:line="240" w:lineRule="auto" w:before="20"/>
              <w:ind w:left="4" w:right="0"/>
              <w:jc w:val="left"/>
              <w:rPr>
                <w:rFonts w:ascii="宋体" w:hAnsi="宋体" w:cs="宋体" w:eastAsia="宋体" w:hint="default"/>
                <w:sz w:val="18"/>
                <w:szCs w:val="18"/>
              </w:rPr>
            </w:pPr>
            <w:r>
              <w:rPr>
                <w:rFonts w:ascii="宋体" w:hAnsi="宋体" w:cs="宋体" w:eastAsia="宋体" w:hint="default"/>
                <w:sz w:val="18"/>
                <w:szCs w:val="18"/>
              </w:rPr>
              <w:t>中国移动云南公司</w:t>
            </w:r>
            <w:r>
              <w:rPr>
                <w:rFonts w:ascii="宋体" w:hAnsi="宋体" w:cs="宋体" w:eastAsia="宋体" w:hint="default"/>
                <w:sz w:val="18"/>
                <w:szCs w:val="18"/>
              </w:rPr>
              <w:t>2019</w:t>
            </w:r>
            <w:r>
              <w:rPr>
                <w:rFonts w:ascii="宋体" w:hAnsi="宋体" w:cs="宋体" w:eastAsia="宋体" w:hint="default"/>
                <w:sz w:val="18"/>
                <w:szCs w:val="18"/>
              </w:rPr>
              <w:t>年至</w:t>
            </w:r>
            <w:r>
              <w:rPr>
                <w:rFonts w:ascii="宋体" w:hAnsi="宋体" w:cs="宋体" w:eastAsia="宋体" w:hint="default"/>
                <w:sz w:val="18"/>
                <w:szCs w:val="18"/>
              </w:rPr>
              <w:t>2021</w:t>
            </w:r>
            <w:r>
              <w:rPr>
                <w:rFonts w:ascii="宋体" w:hAnsi="宋体" w:cs="宋体" w:eastAsia="宋体" w:hint="default"/>
                <w:sz w:val="18"/>
                <w:szCs w:val="18"/>
              </w:rPr>
              <w:t>年网络综合代维服务框架协议</w:t>
            </w:r>
            <w:r>
              <w:rPr>
                <w:rFonts w:ascii="宋体" w:hAnsi="宋体" w:cs="宋体" w:eastAsia="宋体" w:hint="default"/>
                <w:sz w:val="18"/>
                <w:szCs w:val="18"/>
              </w:rPr>
              <w:t>(</w:t>
            </w:r>
            <w:r>
              <w:rPr>
                <w:rFonts w:ascii="宋体" w:hAnsi="宋体" w:cs="宋体" w:eastAsia="宋体" w:hint="default"/>
                <w:sz w:val="18"/>
                <w:szCs w:val="18"/>
              </w:rPr>
              <w:t>广东长实</w:t>
            </w:r>
            <w:r>
              <w:rPr>
                <w:rFonts w:ascii="宋体" w:hAnsi="宋体" w:cs="宋体" w:eastAsia="宋体" w:hint="default"/>
                <w:sz w:val="18"/>
                <w:szCs w:val="18"/>
              </w:rPr>
              <w:t>)(</w:t>
            </w:r>
            <w:r>
              <w:rPr>
                <w:rFonts w:ascii="宋体" w:hAnsi="宋体" w:cs="宋体" w:eastAsia="宋体" w:hint="default"/>
                <w:sz w:val="18"/>
                <w:szCs w:val="18"/>
              </w:rPr>
              <w:t>简称综合代维五</w:t>
            </w:r>
            <w:r>
              <w:rPr>
                <w:rFonts w:ascii="宋体" w:hAnsi="宋体" w:cs="宋体" w:eastAsia="宋体" w:hint="default"/>
                <w:sz w:val="18"/>
                <w:szCs w:val="18"/>
              </w:rPr>
              <w:t>) </w:t>
            </w:r>
          </w:p>
        </w:tc>
      </w:tr>
      <w:tr>
        <w:trPr>
          <w:trHeight w:val="348" w:hRule="exact"/>
        </w:trPr>
        <w:tc>
          <w:tcPr>
            <w:tcW w:w="1848"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4" w:right="0"/>
              <w:jc w:val="left"/>
              <w:rPr>
                <w:rFonts w:ascii="宋体" w:hAnsi="宋体" w:cs="宋体" w:eastAsia="宋体" w:hint="default"/>
                <w:sz w:val="18"/>
                <w:szCs w:val="18"/>
              </w:rPr>
            </w:pPr>
            <w:r>
              <w:rPr>
                <w:rFonts w:ascii="宋体" w:hAnsi="宋体" w:cs="宋体" w:eastAsia="宋体" w:hint="default"/>
                <w:sz w:val="18"/>
                <w:szCs w:val="18"/>
              </w:rPr>
              <w:t>合同执行期限</w:t>
            </w:r>
            <w:r>
              <w:rPr>
                <w:rFonts w:ascii="宋体" w:hAnsi="宋体" w:cs="宋体" w:eastAsia="宋体" w:hint="default"/>
                <w:sz w:val="18"/>
                <w:szCs w:val="18"/>
              </w:rPr>
              <w:t> </w:t>
            </w:r>
          </w:p>
        </w:tc>
        <w:tc>
          <w:tcPr>
            <w:tcW w:w="354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4"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z w:val="18"/>
                <w:szCs w:val="18"/>
              </w:rPr>
              <w:t>年</w:t>
            </w:r>
            <w:r>
              <w:rPr>
                <w:rFonts w:ascii="宋体" w:hAnsi="宋体" w:cs="宋体" w:eastAsia="宋体" w:hint="default"/>
                <w:sz w:val="18"/>
                <w:szCs w:val="18"/>
              </w:rPr>
              <w:t>3</w:t>
            </w:r>
            <w:r>
              <w:rPr>
                <w:rFonts w:ascii="宋体" w:hAnsi="宋体" w:cs="宋体" w:eastAsia="宋体" w:hint="default"/>
                <w:sz w:val="18"/>
                <w:szCs w:val="18"/>
              </w:rPr>
              <w:t>月</w:t>
            </w:r>
            <w:r>
              <w:rPr>
                <w:rFonts w:ascii="宋体" w:hAnsi="宋体" w:cs="宋体" w:eastAsia="宋体" w:hint="default"/>
                <w:sz w:val="18"/>
                <w:szCs w:val="18"/>
              </w:rPr>
              <w:t>1</w:t>
            </w:r>
            <w:r>
              <w:rPr>
                <w:rFonts w:ascii="宋体" w:hAnsi="宋体" w:cs="宋体" w:eastAsia="宋体" w:hint="default"/>
                <w:sz w:val="18"/>
                <w:szCs w:val="18"/>
              </w:rPr>
              <w:t>日</w:t>
            </w:r>
            <w:r>
              <w:rPr>
                <w:rFonts w:ascii="宋体" w:hAnsi="宋体" w:cs="宋体" w:eastAsia="宋体" w:hint="default"/>
                <w:sz w:val="18"/>
                <w:szCs w:val="18"/>
              </w:rPr>
              <w:t>-2021</w:t>
            </w:r>
            <w:r>
              <w:rPr>
                <w:rFonts w:ascii="宋体" w:hAnsi="宋体" w:cs="宋体" w:eastAsia="宋体" w:hint="default"/>
                <w:sz w:val="18"/>
                <w:szCs w:val="18"/>
              </w:rPr>
              <w:t>年</w:t>
            </w:r>
            <w:r>
              <w:rPr>
                <w:rFonts w:ascii="宋体" w:hAnsi="宋体" w:cs="宋体" w:eastAsia="宋体" w:hint="default"/>
                <w:sz w:val="18"/>
                <w:szCs w:val="18"/>
              </w:rPr>
              <w:t>3</w:t>
            </w:r>
            <w:r>
              <w:rPr>
                <w:rFonts w:ascii="宋体" w:hAnsi="宋体" w:cs="宋体" w:eastAsia="宋体" w:hint="default"/>
                <w:sz w:val="18"/>
                <w:szCs w:val="18"/>
              </w:rPr>
              <w:t>月</w:t>
            </w:r>
            <w:r>
              <w:rPr>
                <w:rFonts w:ascii="宋体" w:hAnsi="宋体" w:cs="宋体" w:eastAsia="宋体" w:hint="default"/>
                <w:sz w:val="18"/>
                <w:szCs w:val="18"/>
              </w:rPr>
              <w:t>31</w:t>
            </w:r>
            <w:r>
              <w:rPr>
                <w:rFonts w:ascii="宋体" w:hAnsi="宋体" w:cs="宋体" w:eastAsia="宋体" w:hint="default"/>
                <w:sz w:val="18"/>
                <w:szCs w:val="18"/>
              </w:rPr>
              <w:t>日</w:t>
            </w:r>
            <w:r>
              <w:rPr>
                <w:rFonts w:ascii="宋体" w:hAnsi="宋体" w:cs="宋体" w:eastAsia="宋体" w:hint="default"/>
                <w:sz w:val="18"/>
                <w:szCs w:val="18"/>
              </w:rPr>
              <w:t> </w:t>
            </w:r>
          </w:p>
        </w:tc>
        <w:tc>
          <w:tcPr>
            <w:tcW w:w="127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2" w:right="0"/>
              <w:jc w:val="left"/>
              <w:rPr>
                <w:rFonts w:ascii="宋体" w:hAnsi="宋体" w:cs="宋体" w:eastAsia="宋体" w:hint="default"/>
                <w:sz w:val="18"/>
                <w:szCs w:val="18"/>
              </w:rPr>
            </w:pPr>
            <w:r>
              <w:rPr>
                <w:rFonts w:ascii="宋体" w:hAnsi="宋体" w:cs="宋体" w:eastAsia="宋体" w:hint="default"/>
                <w:sz w:val="18"/>
                <w:szCs w:val="18"/>
              </w:rPr>
              <w:t>预计金额上限</w:t>
            </w:r>
            <w:r>
              <w:rPr>
                <w:rFonts w:ascii="宋体" w:hAnsi="宋体" w:cs="宋体" w:eastAsia="宋体" w:hint="default"/>
                <w:sz w:val="18"/>
                <w:szCs w:val="18"/>
              </w:rPr>
              <w:t> </w:t>
            </w:r>
          </w:p>
        </w:tc>
        <w:tc>
          <w:tcPr>
            <w:tcW w:w="2984"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2"/>
              <w:ind w:left="4" w:right="0"/>
              <w:jc w:val="left"/>
              <w:rPr>
                <w:rFonts w:ascii="宋体" w:hAnsi="宋体" w:cs="宋体" w:eastAsia="宋体" w:hint="default"/>
                <w:sz w:val="18"/>
                <w:szCs w:val="18"/>
              </w:rPr>
            </w:pPr>
            <w:r>
              <w:rPr>
                <w:rFonts w:ascii="宋体" w:hAnsi="宋体" w:cs="宋体" w:eastAsia="宋体" w:hint="default"/>
                <w:sz w:val="18"/>
                <w:szCs w:val="18"/>
              </w:rPr>
              <w:t>419,498,900.96</w:t>
            </w:r>
            <w:r>
              <w:rPr>
                <w:rFonts w:ascii="宋体" w:hAnsi="宋体" w:cs="宋体" w:eastAsia="宋体" w:hint="default"/>
                <w:sz w:val="18"/>
                <w:szCs w:val="18"/>
              </w:rPr>
              <w:t>元</w:t>
            </w:r>
            <w:r>
              <w:rPr>
                <w:rFonts w:ascii="宋体" w:hAnsi="宋体" w:cs="宋体" w:eastAsia="宋体" w:hint="default"/>
                <w:sz w:val="18"/>
                <w:szCs w:val="18"/>
              </w:rPr>
              <w:t> </w:t>
            </w:r>
          </w:p>
        </w:tc>
      </w:tr>
    </w:tbl>
    <w:p>
      <w:pPr>
        <w:spacing w:line="240" w:lineRule="auto" w:before="9"/>
        <w:rPr>
          <w:rFonts w:ascii="宋体" w:hAnsi="宋体" w:cs="宋体" w:eastAsia="宋体" w:hint="default"/>
          <w:sz w:val="14"/>
          <w:szCs w:val="14"/>
        </w:rPr>
      </w:pPr>
    </w:p>
    <w:p>
      <w:pPr>
        <w:pStyle w:val="BodyText"/>
        <w:spacing w:line="240" w:lineRule="auto" w:before="36"/>
        <w:ind w:right="1133"/>
        <w:jc w:val="left"/>
        <w:rPr>
          <w:rFonts w:ascii="宋体" w:hAnsi="宋体" w:cs="宋体" w:eastAsia="宋体" w:hint="default"/>
        </w:rPr>
      </w:pPr>
      <w:r>
        <w:rPr/>
        <w:t>报告期内上述未完工合同项目情况</w:t>
      </w:r>
      <w:r>
        <w:rPr>
          <w:spacing w:val="-6"/>
        </w:rPr>
        <w:t> </w:t>
      </w:r>
      <w:r>
        <w:rPr>
          <w:rFonts w:ascii="宋体" w:hAnsi="宋体" w:cs="宋体" w:eastAsia="宋体" w:hint="default"/>
          <w:spacing w:val="-6"/>
        </w:rPr>
      </w:r>
      <w:r>
        <w:rPr>
          <w:rFonts w:ascii="宋体" w:hAnsi="宋体" w:cs="宋体" w:eastAsia="宋体" w:hint="default"/>
        </w:rPr>
        <w:t>(</w:t>
      </w:r>
      <w:r>
        <w:rPr/>
        <w:t>金额单位：万元</w:t>
      </w:r>
      <w:r>
        <w:rPr>
          <w:rFonts w:ascii="宋体" w:hAnsi="宋体" w:cs="宋体" w:eastAsia="宋体" w:hint="default"/>
        </w:rPr>
        <w:t>) </w:t>
      </w:r>
    </w:p>
    <w:p>
      <w:pPr>
        <w:spacing w:line="240" w:lineRule="auto" w:before="10"/>
        <w:rPr>
          <w:rFonts w:ascii="宋体" w:hAnsi="宋体" w:cs="宋体" w:eastAsia="宋体" w:hint="default"/>
          <w:sz w:val="3"/>
          <w:szCs w:val="3"/>
        </w:rPr>
      </w:pPr>
    </w:p>
    <w:tbl>
      <w:tblPr>
        <w:tblW w:w="0" w:type="auto"/>
        <w:jc w:val="left"/>
        <w:tblInd w:w="148" w:type="dxa"/>
        <w:tblLayout w:type="fixed"/>
        <w:tblCellMar>
          <w:top w:w="0" w:type="dxa"/>
          <w:left w:w="0" w:type="dxa"/>
          <w:bottom w:w="0" w:type="dxa"/>
          <w:right w:w="0" w:type="dxa"/>
        </w:tblCellMar>
        <w:tblLook w:val="01E0"/>
      </w:tblPr>
      <w:tblGrid>
        <w:gridCol w:w="1277"/>
        <w:gridCol w:w="1133"/>
        <w:gridCol w:w="853"/>
        <w:gridCol w:w="1205"/>
        <w:gridCol w:w="1371"/>
        <w:gridCol w:w="1394"/>
        <w:gridCol w:w="991"/>
        <w:gridCol w:w="1416"/>
      </w:tblGrid>
      <w:tr>
        <w:trPr>
          <w:trHeight w:val="322" w:hRule="exact"/>
        </w:trPr>
        <w:tc>
          <w:tcPr>
            <w:tcW w:w="2410"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90" w:right="0"/>
              <w:jc w:val="center"/>
              <w:rPr>
                <w:rFonts w:ascii="宋体" w:hAnsi="宋体" w:cs="宋体" w:eastAsia="宋体" w:hint="default"/>
                <w:sz w:val="18"/>
                <w:szCs w:val="18"/>
              </w:rPr>
            </w:pPr>
            <w:r>
              <w:rPr>
                <w:rFonts w:ascii="宋体"/>
                <w:sz w:val="18"/>
              </w:rPr>
              <w:t> </w:t>
            </w:r>
          </w:p>
        </w:tc>
        <w:tc>
          <w:tcPr>
            <w:tcW w:w="2057"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396" w:right="0"/>
              <w:jc w:val="left"/>
              <w:rPr>
                <w:rFonts w:ascii="宋体" w:hAnsi="宋体" w:cs="宋体" w:eastAsia="宋体" w:hint="default"/>
                <w:sz w:val="18"/>
                <w:szCs w:val="18"/>
              </w:rPr>
            </w:pPr>
            <w:r>
              <w:rPr>
                <w:rFonts w:ascii="宋体" w:hAnsi="宋体" w:cs="宋体" w:eastAsia="宋体" w:hint="default"/>
                <w:sz w:val="18"/>
                <w:szCs w:val="18"/>
              </w:rPr>
              <w:t>项目金额</w:t>
            </w:r>
            <w:r>
              <w:rPr>
                <w:rFonts w:ascii="宋体" w:hAnsi="宋体" w:cs="宋体" w:eastAsia="宋体" w:hint="default"/>
                <w:sz w:val="18"/>
                <w:szCs w:val="18"/>
              </w:rPr>
              <w:t>(</w:t>
            </w:r>
            <w:r>
              <w:rPr>
                <w:rFonts w:ascii="宋体" w:hAnsi="宋体" w:cs="宋体" w:eastAsia="宋体" w:hint="default"/>
                <w:sz w:val="18"/>
                <w:szCs w:val="18"/>
              </w:rPr>
              <w:t>预估</w:t>
            </w:r>
            <w:r>
              <w:rPr>
                <w:rFonts w:ascii="宋体" w:hAnsi="宋体" w:cs="宋体" w:eastAsia="宋体" w:hint="default"/>
                <w:sz w:val="18"/>
                <w:szCs w:val="18"/>
              </w:rPr>
              <w:t>) </w:t>
            </w:r>
          </w:p>
        </w:tc>
        <w:tc>
          <w:tcPr>
            <w:tcW w:w="2765"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837" w:right="0"/>
              <w:jc w:val="left"/>
              <w:rPr>
                <w:rFonts w:ascii="宋体" w:hAnsi="宋体" w:cs="宋体" w:eastAsia="宋体" w:hint="default"/>
                <w:sz w:val="18"/>
                <w:szCs w:val="18"/>
              </w:rPr>
            </w:pPr>
            <w:r>
              <w:rPr>
                <w:rFonts w:ascii="宋体" w:hAnsi="宋体" w:cs="宋体" w:eastAsia="宋体" w:hint="default"/>
                <w:sz w:val="18"/>
                <w:szCs w:val="18"/>
              </w:rPr>
              <w:t>累计确认收入</w:t>
            </w:r>
            <w:r>
              <w:rPr>
                <w:rFonts w:ascii="宋体" w:hAnsi="宋体" w:cs="宋体" w:eastAsia="宋体" w:hint="default"/>
                <w:sz w:val="18"/>
                <w:szCs w:val="18"/>
              </w:rPr>
              <w:t> </w:t>
            </w:r>
          </w:p>
        </w:tc>
        <w:tc>
          <w:tcPr>
            <w:tcW w:w="240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568" w:right="0"/>
              <w:jc w:val="left"/>
              <w:rPr>
                <w:rFonts w:ascii="宋体" w:hAnsi="宋体" w:cs="宋体" w:eastAsia="宋体" w:hint="default"/>
                <w:sz w:val="18"/>
                <w:szCs w:val="18"/>
              </w:rPr>
            </w:pPr>
            <w:r>
              <w:rPr>
                <w:rFonts w:ascii="宋体" w:hAnsi="宋体" w:cs="宋体" w:eastAsia="宋体" w:hint="default"/>
                <w:sz w:val="18"/>
                <w:szCs w:val="18"/>
              </w:rPr>
              <w:t>未完工部分金额</w:t>
            </w:r>
            <w:r>
              <w:rPr>
                <w:rFonts w:ascii="宋体" w:hAnsi="宋体" w:cs="宋体" w:eastAsia="宋体" w:hint="default"/>
                <w:sz w:val="18"/>
                <w:szCs w:val="18"/>
              </w:rPr>
              <w:t> </w:t>
            </w:r>
          </w:p>
        </w:tc>
      </w:tr>
      <w:tr>
        <w:trPr>
          <w:trHeight w:val="634" w:hRule="exact"/>
        </w:trPr>
        <w:tc>
          <w:tcPr>
            <w:tcW w:w="127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项目名称</w:t>
            </w:r>
            <w:r>
              <w:rPr>
                <w:rFonts w:ascii="宋体" w:hAnsi="宋体" w:cs="宋体" w:eastAsia="宋体" w:hint="default"/>
                <w:sz w:val="18"/>
                <w:szCs w:val="18"/>
              </w:rPr>
              <w:t> </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01" w:right="0"/>
              <w:jc w:val="left"/>
              <w:rPr>
                <w:rFonts w:ascii="宋体" w:hAnsi="宋体" w:cs="宋体" w:eastAsia="宋体" w:hint="default"/>
                <w:sz w:val="18"/>
                <w:szCs w:val="18"/>
              </w:rPr>
            </w:pPr>
            <w:r>
              <w:rPr>
                <w:rFonts w:ascii="宋体" w:hAnsi="宋体" w:cs="宋体" w:eastAsia="宋体" w:hint="default"/>
                <w:sz w:val="18"/>
                <w:szCs w:val="18"/>
              </w:rPr>
              <w:t>项目金额</w:t>
            </w:r>
          </w:p>
          <w:p>
            <w:pPr>
              <w:pStyle w:val="TableParagraph"/>
              <w:spacing w:line="240" w:lineRule="auto" w:before="76"/>
              <w:ind w:left="290"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预估</w:t>
            </w:r>
            <w:r>
              <w:rPr>
                <w:rFonts w:ascii="宋体" w:hAnsi="宋体" w:cs="宋体" w:eastAsia="宋体" w:hint="default"/>
                <w:sz w:val="18"/>
                <w:szCs w:val="18"/>
              </w:rPr>
              <w:t>) </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2" w:right="0"/>
              <w:jc w:val="left"/>
              <w:rPr>
                <w:rFonts w:ascii="宋体" w:hAnsi="宋体" w:cs="宋体" w:eastAsia="宋体" w:hint="default"/>
                <w:sz w:val="18"/>
                <w:szCs w:val="18"/>
              </w:rPr>
            </w:pPr>
            <w:r>
              <w:rPr>
                <w:rFonts w:ascii="宋体" w:hAnsi="宋体" w:cs="宋体" w:eastAsia="宋体" w:hint="default"/>
                <w:sz w:val="18"/>
                <w:szCs w:val="18"/>
              </w:rPr>
              <w:t>工期</w:t>
            </w:r>
          </w:p>
          <w:p>
            <w:pPr>
              <w:pStyle w:val="TableParagraph"/>
              <w:spacing w:line="240" w:lineRule="auto" w:before="76"/>
              <w:ind w:left="242"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月</w:t>
            </w:r>
            <w:r>
              <w:rPr>
                <w:rFonts w:ascii="宋体" w:hAnsi="宋体" w:cs="宋体" w:eastAsia="宋体" w:hint="default"/>
                <w:sz w:val="18"/>
                <w:szCs w:val="18"/>
              </w:rPr>
              <w:t>) </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完成百分比</w:t>
            </w:r>
            <w:r>
              <w:rPr>
                <w:rFonts w:ascii="宋体" w:hAnsi="宋体" w:cs="宋体" w:eastAsia="宋体" w:hint="default"/>
                <w:sz w:val="18"/>
                <w:szCs w:val="18"/>
              </w:rPr>
              <w:t> </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本期确认收入</w:t>
            </w:r>
            <w:r>
              <w:rPr>
                <w:rFonts w:ascii="宋体" w:hAnsi="宋体" w:cs="宋体" w:eastAsia="宋体" w:hint="default"/>
                <w:sz w:val="18"/>
                <w:szCs w:val="18"/>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累计确认收入</w:t>
            </w:r>
            <w:r>
              <w:rPr>
                <w:rFonts w:ascii="宋体" w:hAnsi="宋体" w:cs="宋体" w:eastAsia="宋体" w:hint="default"/>
                <w:sz w:val="18"/>
                <w:szCs w:val="18"/>
              </w:rPr>
              <w:t> </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66"/>
              <w:jc w:val="right"/>
              <w:rPr>
                <w:rFonts w:ascii="宋体" w:hAnsi="宋体" w:cs="宋体" w:eastAsia="宋体" w:hint="default"/>
                <w:sz w:val="18"/>
                <w:szCs w:val="18"/>
              </w:rPr>
            </w:pPr>
            <w:r>
              <w:rPr>
                <w:rFonts w:ascii="宋体" w:hAnsi="宋体" w:cs="宋体" w:eastAsia="宋体" w:hint="default"/>
                <w:sz w:val="18"/>
                <w:szCs w:val="18"/>
              </w:rPr>
              <w:t>回款情况</w:t>
            </w:r>
            <w:r>
              <w:rPr>
                <w:rFonts w:ascii="宋体" w:hAnsi="宋体" w:cs="宋体" w:eastAsia="宋体" w:hint="default"/>
                <w:sz w:val="18"/>
                <w:szCs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应收账款余额</w:t>
            </w:r>
            <w:r>
              <w:rPr>
                <w:rFonts w:ascii="宋体" w:hAnsi="宋体" w:cs="宋体" w:eastAsia="宋体" w:hint="default"/>
                <w:sz w:val="18"/>
                <w:szCs w:val="18"/>
              </w:rPr>
              <w:t> </w:t>
            </w:r>
          </w:p>
        </w:tc>
      </w:tr>
      <w:tr>
        <w:trPr>
          <w:trHeight w:val="324" w:hRule="exact"/>
        </w:trPr>
        <w:tc>
          <w:tcPr>
            <w:tcW w:w="127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综合代维一</w:t>
            </w:r>
            <w:r>
              <w:rPr>
                <w:rFonts w:ascii="宋体" w:hAnsi="宋体" w:cs="宋体" w:eastAsia="宋体" w:hint="default"/>
                <w:sz w:val="18"/>
                <w:szCs w:val="18"/>
              </w:rPr>
              <w:t> </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1"/>
              <w:jc w:val="right"/>
              <w:rPr>
                <w:rFonts w:ascii="宋体" w:hAnsi="宋体" w:cs="宋体" w:eastAsia="宋体" w:hint="default"/>
                <w:sz w:val="18"/>
                <w:szCs w:val="18"/>
              </w:rPr>
            </w:pPr>
            <w:r>
              <w:rPr>
                <w:rFonts w:ascii="宋体"/>
                <w:spacing w:val="-1"/>
                <w:sz w:val="18"/>
              </w:rPr>
              <w:t>22,814</w:t>
            </w:r>
            <w:r>
              <w:rPr>
                <w:rFonts w:ascii="宋体"/>
                <w:sz w:val="18"/>
              </w:rPr>
              <w:t> </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8"/>
              <w:jc w:val="right"/>
              <w:rPr>
                <w:rFonts w:ascii="宋体" w:hAnsi="宋体" w:cs="宋体" w:eastAsia="宋体" w:hint="default"/>
                <w:sz w:val="18"/>
                <w:szCs w:val="18"/>
              </w:rPr>
            </w:pPr>
            <w:r>
              <w:rPr>
                <w:rFonts w:ascii="宋体"/>
                <w:spacing w:val="-1"/>
                <w:sz w:val="18"/>
              </w:rPr>
              <w:t>24</w:t>
            </w:r>
            <w:r>
              <w:rPr>
                <w:rFonts w:ascii="宋体"/>
                <w:sz w:val="18"/>
              </w:rPr>
              <w:t> </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1"/>
              <w:jc w:val="right"/>
              <w:rPr>
                <w:rFonts w:ascii="宋体" w:hAnsi="宋体" w:cs="宋体" w:eastAsia="宋体" w:hint="default"/>
                <w:sz w:val="18"/>
                <w:szCs w:val="18"/>
              </w:rPr>
            </w:pPr>
            <w:r>
              <w:rPr>
                <w:rFonts w:ascii="宋体"/>
                <w:spacing w:val="-1"/>
                <w:sz w:val="18"/>
              </w:rPr>
              <w:t>103.59%</w:t>
            </w:r>
            <w:r>
              <w:rPr>
                <w:rFonts w:ascii="宋体"/>
                <w:sz w:val="18"/>
              </w:rPr>
              <w:t> </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1"/>
              <w:jc w:val="right"/>
              <w:rPr>
                <w:rFonts w:ascii="宋体" w:hAnsi="宋体" w:cs="宋体" w:eastAsia="宋体" w:hint="default"/>
                <w:sz w:val="18"/>
                <w:szCs w:val="18"/>
              </w:rPr>
            </w:pPr>
            <w:r>
              <w:rPr>
                <w:rFonts w:ascii="宋体"/>
                <w:sz w:val="18"/>
              </w:rPr>
              <w:t>779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1"/>
              <w:jc w:val="right"/>
              <w:rPr>
                <w:rFonts w:ascii="宋体" w:hAnsi="宋体" w:cs="宋体" w:eastAsia="宋体" w:hint="default"/>
                <w:sz w:val="18"/>
                <w:szCs w:val="18"/>
              </w:rPr>
            </w:pPr>
            <w:r>
              <w:rPr>
                <w:rFonts w:ascii="宋体"/>
                <w:spacing w:val="-1"/>
                <w:sz w:val="18"/>
              </w:rPr>
              <w:t>23,633</w:t>
            </w:r>
            <w:r>
              <w:rPr>
                <w:rFonts w:ascii="宋体"/>
                <w:sz w:val="18"/>
              </w:rPr>
              <w:t> </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1"/>
              <w:jc w:val="right"/>
              <w:rPr>
                <w:rFonts w:ascii="宋体" w:hAnsi="宋体" w:cs="宋体" w:eastAsia="宋体" w:hint="default"/>
                <w:sz w:val="18"/>
                <w:szCs w:val="18"/>
              </w:rPr>
            </w:pPr>
            <w:r>
              <w:rPr>
                <w:rFonts w:ascii="宋体"/>
                <w:sz w:val="18"/>
              </w:rPr>
              <w:t>2,212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1"/>
              <w:jc w:val="right"/>
              <w:rPr>
                <w:rFonts w:ascii="宋体" w:hAnsi="宋体" w:cs="宋体" w:eastAsia="宋体" w:hint="default"/>
                <w:sz w:val="18"/>
                <w:szCs w:val="18"/>
              </w:rPr>
            </w:pPr>
            <w:r>
              <w:rPr>
                <w:rFonts w:ascii="宋体"/>
                <w:spacing w:val="-1"/>
                <w:sz w:val="18"/>
              </w:rPr>
              <w:t>0.00</w:t>
            </w:r>
            <w:r>
              <w:rPr>
                <w:rFonts w:ascii="宋体"/>
                <w:sz w:val="18"/>
              </w:rPr>
              <w:t> </w:t>
            </w:r>
          </w:p>
        </w:tc>
      </w:tr>
      <w:tr>
        <w:trPr>
          <w:trHeight w:val="322" w:hRule="exact"/>
        </w:trPr>
        <w:tc>
          <w:tcPr>
            <w:tcW w:w="127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综合代维二</w:t>
            </w:r>
            <w:r>
              <w:rPr>
                <w:rFonts w:ascii="宋体" w:hAnsi="宋体" w:cs="宋体" w:eastAsia="宋体" w:hint="default"/>
                <w:sz w:val="18"/>
                <w:szCs w:val="18"/>
              </w:rPr>
              <w:t> </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pacing w:val="-1"/>
                <w:sz w:val="18"/>
              </w:rPr>
              <w:t>32,380</w:t>
            </w:r>
            <w:r>
              <w:rPr>
                <w:rFonts w:ascii="宋体"/>
                <w:sz w:val="18"/>
              </w:rPr>
              <w:t> </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
              <w:jc w:val="right"/>
              <w:rPr>
                <w:rFonts w:ascii="宋体" w:hAnsi="宋体" w:cs="宋体" w:eastAsia="宋体" w:hint="default"/>
                <w:sz w:val="18"/>
                <w:szCs w:val="18"/>
              </w:rPr>
            </w:pPr>
            <w:r>
              <w:rPr>
                <w:rFonts w:ascii="宋体"/>
                <w:spacing w:val="-1"/>
                <w:sz w:val="18"/>
              </w:rPr>
              <w:t>34</w:t>
            </w:r>
            <w:r>
              <w:rPr>
                <w:rFonts w:ascii="宋体"/>
                <w:sz w:val="18"/>
              </w:rPr>
              <w:t> </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pacing w:val="-1"/>
                <w:sz w:val="18"/>
              </w:rPr>
              <w:t>101.90%</w:t>
            </w:r>
            <w:r>
              <w:rPr>
                <w:rFonts w:ascii="宋体"/>
                <w:sz w:val="18"/>
              </w:rPr>
              <w:t> </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pacing w:val="-1"/>
                <w:sz w:val="18"/>
              </w:rPr>
              <w:t>10,499</w:t>
            </w:r>
            <w:r>
              <w:rPr>
                <w:rFonts w:ascii="宋体"/>
                <w:sz w:val="18"/>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pacing w:val="-1"/>
                <w:sz w:val="18"/>
              </w:rPr>
              <w:t>32,994</w:t>
            </w:r>
            <w:r>
              <w:rPr>
                <w:rFonts w:ascii="宋体"/>
                <w:sz w:val="18"/>
              </w:rPr>
              <w:t> </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pacing w:val="-1"/>
                <w:sz w:val="18"/>
              </w:rPr>
              <w:t>12,775</w:t>
            </w: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z w:val="18"/>
              </w:rPr>
              <w:t>3,706 </w:t>
            </w:r>
          </w:p>
        </w:tc>
      </w:tr>
      <w:tr>
        <w:trPr>
          <w:trHeight w:val="322" w:hRule="exact"/>
        </w:trPr>
        <w:tc>
          <w:tcPr>
            <w:tcW w:w="127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综合代维三</w:t>
            </w:r>
            <w:r>
              <w:rPr>
                <w:rFonts w:ascii="宋体" w:hAnsi="宋体" w:cs="宋体" w:eastAsia="宋体" w:hint="default"/>
                <w:sz w:val="18"/>
                <w:szCs w:val="18"/>
              </w:rPr>
              <w:t> </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pacing w:val="-1"/>
                <w:sz w:val="18"/>
              </w:rPr>
              <w:t>55,494</w:t>
            </w:r>
            <w:r>
              <w:rPr>
                <w:rFonts w:ascii="宋体"/>
                <w:sz w:val="18"/>
              </w:rPr>
              <w:t> </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
              <w:jc w:val="right"/>
              <w:rPr>
                <w:rFonts w:ascii="宋体" w:hAnsi="宋体" w:cs="宋体" w:eastAsia="宋体" w:hint="default"/>
                <w:sz w:val="18"/>
                <w:szCs w:val="18"/>
              </w:rPr>
            </w:pPr>
            <w:r>
              <w:rPr>
                <w:rFonts w:ascii="宋体"/>
                <w:spacing w:val="-1"/>
                <w:sz w:val="18"/>
              </w:rPr>
              <w:t>23</w:t>
            </w:r>
            <w:r>
              <w:rPr>
                <w:rFonts w:ascii="宋体"/>
                <w:sz w:val="18"/>
              </w:rPr>
              <w:t> </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pacing w:val="-1"/>
                <w:sz w:val="18"/>
              </w:rPr>
              <w:t>98.66%</w:t>
            </w:r>
            <w:r>
              <w:rPr>
                <w:rFonts w:ascii="宋体"/>
                <w:sz w:val="18"/>
              </w:rPr>
              <w:t> </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pacing w:val="-1"/>
                <w:sz w:val="18"/>
              </w:rPr>
              <w:t>13,963</w:t>
            </w:r>
            <w:r>
              <w:rPr>
                <w:rFonts w:ascii="宋体"/>
                <w:sz w:val="18"/>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pacing w:val="-1"/>
                <w:sz w:val="18"/>
              </w:rPr>
              <w:t>54,746</w:t>
            </w:r>
            <w:r>
              <w:rPr>
                <w:rFonts w:ascii="宋体"/>
                <w:sz w:val="18"/>
              </w:rPr>
              <w:t> </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pacing w:val="-1"/>
                <w:sz w:val="18"/>
              </w:rPr>
              <w:t>18,062</w:t>
            </w: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pacing w:val="-1"/>
                <w:sz w:val="18"/>
              </w:rPr>
              <w:t>0.00</w:t>
            </w:r>
            <w:r>
              <w:rPr>
                <w:rFonts w:ascii="宋体"/>
                <w:sz w:val="18"/>
              </w:rPr>
              <w:t> </w:t>
            </w:r>
          </w:p>
        </w:tc>
      </w:tr>
      <w:tr>
        <w:trPr>
          <w:trHeight w:val="322" w:hRule="exact"/>
        </w:trPr>
        <w:tc>
          <w:tcPr>
            <w:tcW w:w="127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综合代维四</w:t>
            </w:r>
            <w:r>
              <w:rPr>
                <w:rFonts w:ascii="宋体" w:hAnsi="宋体" w:cs="宋体" w:eastAsia="宋体" w:hint="default"/>
                <w:sz w:val="18"/>
                <w:szCs w:val="18"/>
              </w:rPr>
              <w:t> </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pacing w:val="-1"/>
                <w:sz w:val="18"/>
              </w:rPr>
              <w:t>29,230</w:t>
            </w:r>
            <w:r>
              <w:rPr>
                <w:rFonts w:ascii="宋体"/>
                <w:sz w:val="18"/>
              </w:rPr>
              <w:t> </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
              <w:jc w:val="right"/>
              <w:rPr>
                <w:rFonts w:ascii="宋体" w:hAnsi="宋体" w:cs="宋体" w:eastAsia="宋体" w:hint="default"/>
                <w:sz w:val="18"/>
                <w:szCs w:val="18"/>
              </w:rPr>
            </w:pPr>
            <w:r>
              <w:rPr>
                <w:rFonts w:ascii="宋体"/>
                <w:spacing w:val="-1"/>
                <w:sz w:val="18"/>
              </w:rPr>
              <w:t>24</w:t>
            </w:r>
            <w:r>
              <w:rPr>
                <w:rFonts w:ascii="宋体"/>
                <w:sz w:val="18"/>
              </w:rPr>
              <w:t> </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pacing w:val="-1"/>
                <w:sz w:val="18"/>
              </w:rPr>
              <w:t>19.38%</w:t>
            </w:r>
            <w:r>
              <w:rPr>
                <w:rFonts w:ascii="宋体"/>
                <w:sz w:val="18"/>
              </w:rPr>
              <w:t> </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z w:val="18"/>
              </w:rPr>
              <w:t>5,664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z w:val="18"/>
              </w:rPr>
              <w:t>5,664 </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z w:val="18"/>
              </w:rPr>
              <w:t>3,979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z w:val="18"/>
              </w:rPr>
              <w:t>2,027 </w:t>
            </w:r>
          </w:p>
        </w:tc>
      </w:tr>
      <w:tr>
        <w:trPr>
          <w:trHeight w:val="322" w:hRule="exact"/>
        </w:trPr>
        <w:tc>
          <w:tcPr>
            <w:tcW w:w="127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综合代维五</w:t>
            </w:r>
            <w:r>
              <w:rPr>
                <w:rFonts w:ascii="宋体" w:hAnsi="宋体" w:cs="宋体" w:eastAsia="宋体" w:hint="default"/>
                <w:sz w:val="18"/>
                <w:szCs w:val="18"/>
              </w:rPr>
              <w:t> </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pacing w:val="-1"/>
                <w:sz w:val="18"/>
              </w:rPr>
              <w:t>41,949</w:t>
            </w:r>
            <w:r>
              <w:rPr>
                <w:rFonts w:ascii="宋体"/>
                <w:sz w:val="18"/>
              </w:rPr>
              <w:t> </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
              <w:jc w:val="right"/>
              <w:rPr>
                <w:rFonts w:ascii="宋体" w:hAnsi="宋体" w:cs="宋体" w:eastAsia="宋体" w:hint="default"/>
                <w:sz w:val="18"/>
                <w:szCs w:val="18"/>
              </w:rPr>
            </w:pPr>
            <w:r>
              <w:rPr>
                <w:rFonts w:ascii="宋体"/>
                <w:spacing w:val="-1"/>
                <w:sz w:val="18"/>
              </w:rPr>
              <w:t>25</w:t>
            </w:r>
            <w:r>
              <w:rPr>
                <w:rFonts w:ascii="宋体"/>
                <w:sz w:val="18"/>
              </w:rPr>
              <w:t> </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pacing w:val="-1"/>
                <w:sz w:val="18"/>
              </w:rPr>
              <w:t>17.52%</w:t>
            </w:r>
            <w:r>
              <w:rPr>
                <w:rFonts w:ascii="宋体"/>
                <w:sz w:val="18"/>
              </w:rPr>
              <w:t> </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z w:val="18"/>
              </w:rPr>
              <w:t>7,348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z w:val="18"/>
              </w:rPr>
              <w:t>7,348 </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z w:val="18"/>
              </w:rPr>
              <w:t>4,896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z w:val="18"/>
              </w:rPr>
              <w:t>2,892 </w:t>
            </w:r>
          </w:p>
        </w:tc>
      </w:tr>
      <w:tr>
        <w:trPr>
          <w:trHeight w:val="324" w:hRule="exact"/>
        </w:trPr>
        <w:tc>
          <w:tcPr>
            <w:tcW w:w="127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pacing w:val="-1"/>
                <w:sz w:val="18"/>
              </w:rPr>
              <w:t>181,867</w:t>
            </w:r>
            <w:r>
              <w:rPr>
                <w:rFonts w:ascii="宋体"/>
                <w:sz w:val="18"/>
              </w:rPr>
              <w:t> </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
              <w:jc w:val="right"/>
              <w:rPr>
                <w:rFonts w:ascii="宋体" w:hAnsi="宋体" w:cs="宋体" w:eastAsia="宋体" w:hint="default"/>
                <w:sz w:val="18"/>
                <w:szCs w:val="18"/>
              </w:rPr>
            </w:pPr>
            <w:r>
              <w:rPr>
                <w:rFonts w:ascii="宋体"/>
                <w:sz w:val="18"/>
              </w:rPr>
              <w:t>--- </w:t>
            </w:r>
          </w:p>
        </w:tc>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z w:val="18"/>
              </w:rPr>
              <w:t>--- </w:t>
            </w:r>
          </w:p>
        </w:tc>
        <w:tc>
          <w:tcPr>
            <w:tcW w:w="13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pacing w:val="-1"/>
                <w:sz w:val="18"/>
              </w:rPr>
              <w:t>38,253</w:t>
            </w:r>
            <w:r>
              <w:rPr>
                <w:rFonts w:ascii="宋体"/>
                <w:sz w:val="18"/>
              </w:rPr>
              <w:t> </w:t>
            </w:r>
          </w:p>
        </w:tc>
        <w:tc>
          <w:tcPr>
            <w:tcW w:w="13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pacing w:val="-1"/>
                <w:sz w:val="18"/>
              </w:rPr>
              <w:t>124,385</w:t>
            </w:r>
            <w:r>
              <w:rPr>
                <w:rFonts w:ascii="宋体"/>
                <w:sz w:val="18"/>
              </w:rPr>
              <w:t> </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pacing w:val="-1"/>
                <w:sz w:val="18"/>
              </w:rPr>
              <w:t>41,924</w:t>
            </w: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z w:val="18"/>
              </w:rPr>
              <w:t>8,625 </w:t>
            </w:r>
          </w:p>
        </w:tc>
      </w:tr>
    </w:tbl>
    <w:p>
      <w:pPr>
        <w:pStyle w:val="BodyText"/>
        <w:spacing w:line="240" w:lineRule="auto" w:before="47"/>
        <w:ind w:left="573" w:right="1133"/>
        <w:jc w:val="left"/>
      </w:pPr>
      <w:r>
        <w:rPr/>
        <w:t>注：上表中项目金额</w:t>
      </w:r>
      <w:r>
        <w:rPr>
          <w:rFonts w:ascii="宋体" w:hAnsi="宋体" w:cs="宋体" w:eastAsia="宋体" w:hint="default"/>
        </w:rPr>
        <w:t>(</w:t>
      </w:r>
      <w:r>
        <w:rPr/>
        <w:t>预估</w:t>
      </w:r>
      <w:r>
        <w:rPr>
          <w:rFonts w:ascii="宋体" w:hAnsi="宋体" w:cs="宋体" w:eastAsia="宋体" w:hint="default"/>
        </w:rPr>
        <w:t>)</w:t>
      </w:r>
      <w:r>
        <w:rPr/>
        <w:t>是按照合同到期的预估金额列示。</w:t>
      </w:r>
    </w:p>
    <w:p>
      <w:pPr>
        <w:spacing w:line="240" w:lineRule="auto" w:before="10"/>
        <w:rPr>
          <w:rFonts w:ascii="宋体" w:hAnsi="宋体" w:cs="宋体" w:eastAsia="宋体" w:hint="default"/>
          <w:sz w:val="14"/>
          <w:szCs w:val="14"/>
        </w:rPr>
      </w:pPr>
    </w:p>
    <w:p>
      <w:pPr>
        <w:spacing w:before="0"/>
        <w:ind w:left="152" w:right="1133" w:firstLine="0"/>
        <w:jc w:val="left"/>
        <w:rPr>
          <w:rFonts w:ascii="宋体" w:hAnsi="宋体" w:cs="宋体" w:eastAsia="宋体" w:hint="default"/>
          <w:sz w:val="21"/>
          <w:szCs w:val="21"/>
        </w:rPr>
      </w:pPr>
      <w:r>
        <w:rPr>
          <w:rFonts w:ascii="宋体" w:hAnsi="宋体" w:cs="宋体" w:eastAsia="宋体" w:hint="default"/>
          <w:b/>
          <w:bCs/>
          <w:sz w:val="21"/>
          <w:szCs w:val="21"/>
        </w:rPr>
        <w:t>5</w:t>
      </w:r>
      <w:r>
        <w:rPr>
          <w:rFonts w:ascii="宋体" w:hAnsi="宋体" w:cs="宋体" w:eastAsia="宋体" w:hint="default"/>
          <w:b/>
          <w:bCs/>
          <w:sz w:val="21"/>
          <w:szCs w:val="21"/>
        </w:rPr>
        <w:t>、营业成本构成</w:t>
      </w:r>
      <w:r>
        <w:rPr>
          <w:rFonts w:ascii="宋体" w:hAnsi="宋体" w:cs="宋体" w:eastAsia="宋体" w:hint="default"/>
          <w:sz w:val="21"/>
          <w:szCs w:val="21"/>
        </w:rPr>
        <w:t>(</w:t>
      </w:r>
      <w:r>
        <w:rPr>
          <w:rFonts w:ascii="宋体" w:hAnsi="宋体" w:cs="宋体" w:eastAsia="宋体" w:hint="default"/>
          <w:sz w:val="21"/>
          <w:szCs w:val="21"/>
        </w:rPr>
        <w:t>按行业分类、不适用产品分类</w:t>
      </w:r>
      <w:r>
        <w:rPr>
          <w:rFonts w:ascii="宋体" w:hAnsi="宋体" w:cs="宋体" w:eastAsia="宋体" w:hint="default"/>
          <w:sz w:val="21"/>
          <w:szCs w:val="21"/>
        </w:rPr>
        <w:t>) </w:t>
      </w:r>
    </w:p>
    <w:p>
      <w:pPr>
        <w:spacing w:line="240" w:lineRule="auto" w:before="2"/>
        <w:rPr>
          <w:rFonts w:ascii="宋体" w:hAnsi="宋体" w:cs="宋体" w:eastAsia="宋体" w:hint="default"/>
          <w:sz w:val="6"/>
          <w:szCs w:val="6"/>
        </w:rPr>
      </w:pPr>
    </w:p>
    <w:tbl>
      <w:tblPr>
        <w:tblW w:w="0" w:type="auto"/>
        <w:jc w:val="left"/>
        <w:tblInd w:w="148" w:type="dxa"/>
        <w:tblLayout w:type="fixed"/>
        <w:tblCellMar>
          <w:top w:w="0" w:type="dxa"/>
          <w:left w:w="0" w:type="dxa"/>
          <w:bottom w:w="0" w:type="dxa"/>
          <w:right w:w="0" w:type="dxa"/>
        </w:tblCellMar>
        <w:tblLook w:val="01E0"/>
      </w:tblPr>
      <w:tblGrid>
        <w:gridCol w:w="1419"/>
        <w:gridCol w:w="1844"/>
        <w:gridCol w:w="1558"/>
        <w:gridCol w:w="852"/>
        <w:gridCol w:w="1416"/>
        <w:gridCol w:w="1419"/>
        <w:gridCol w:w="1133"/>
      </w:tblGrid>
      <w:tr>
        <w:trPr>
          <w:trHeight w:val="403" w:hRule="exact"/>
        </w:trPr>
        <w:tc>
          <w:tcPr>
            <w:tcW w:w="1419"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行业分类</w:t>
            </w:r>
            <w:r>
              <w:rPr>
                <w:rFonts w:ascii="宋体" w:hAnsi="宋体" w:cs="宋体" w:eastAsia="宋体" w:hint="default"/>
                <w:sz w:val="18"/>
                <w:szCs w:val="18"/>
              </w:rPr>
              <w:t> </w:t>
            </w:r>
          </w:p>
        </w:tc>
        <w:tc>
          <w:tcPr>
            <w:tcW w:w="1844"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89"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2410"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89"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3"/>
                <w:sz w:val="18"/>
                <w:szCs w:val="18"/>
              </w:rPr>
              <w:t> </w:t>
            </w:r>
            <w:r>
              <w:rPr>
                <w:rFonts w:ascii="宋体" w:hAnsi="宋体" w:cs="宋体" w:eastAsia="宋体" w:hint="default"/>
                <w:spacing w:val="-3"/>
                <w:sz w:val="18"/>
                <w:szCs w:val="18"/>
              </w:rPr>
              <w:t>年</w:t>
            </w:r>
            <w:r>
              <w:rPr>
                <w:rFonts w:ascii="宋体" w:hAnsi="宋体" w:cs="宋体" w:eastAsia="宋体" w:hint="default"/>
                <w:sz w:val="18"/>
                <w:szCs w:val="18"/>
              </w:rPr>
              <w:t> </w:t>
            </w:r>
          </w:p>
        </w:tc>
        <w:tc>
          <w:tcPr>
            <w:tcW w:w="2835"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87" w:right="0"/>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3"/>
                <w:sz w:val="18"/>
                <w:szCs w:val="18"/>
              </w:rPr>
              <w:t> </w:t>
            </w:r>
            <w:r>
              <w:rPr>
                <w:rFonts w:ascii="宋体" w:hAnsi="宋体" w:cs="宋体" w:eastAsia="宋体" w:hint="default"/>
                <w:spacing w:val="-3"/>
                <w:sz w:val="18"/>
                <w:szCs w:val="18"/>
              </w:rPr>
              <w:t>年</w:t>
            </w:r>
            <w:r>
              <w:rPr>
                <w:rFonts w:ascii="宋体" w:hAnsi="宋体" w:cs="宋体" w:eastAsia="宋体" w:hint="default"/>
                <w:sz w:val="18"/>
                <w:szCs w:val="18"/>
              </w:rPr>
              <w:t> </w:t>
            </w:r>
          </w:p>
        </w:tc>
        <w:tc>
          <w:tcPr>
            <w:tcW w:w="1133"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201" w:right="0"/>
              <w:jc w:val="left"/>
              <w:rPr>
                <w:rFonts w:ascii="宋体" w:hAnsi="宋体" w:cs="宋体" w:eastAsia="宋体" w:hint="default"/>
                <w:sz w:val="18"/>
                <w:szCs w:val="18"/>
              </w:rPr>
            </w:pPr>
            <w:r>
              <w:rPr>
                <w:rFonts w:ascii="宋体" w:hAnsi="宋体" w:cs="宋体" w:eastAsia="宋体" w:hint="default"/>
                <w:sz w:val="18"/>
                <w:szCs w:val="18"/>
              </w:rPr>
              <w:t>同比增减</w:t>
            </w:r>
            <w:r>
              <w:rPr>
                <w:rFonts w:ascii="宋体" w:hAnsi="宋体" w:cs="宋体" w:eastAsia="宋体" w:hint="default"/>
                <w:sz w:val="18"/>
                <w:szCs w:val="18"/>
              </w:rPr>
              <w:t> </w:t>
            </w:r>
          </w:p>
        </w:tc>
      </w:tr>
      <w:tr>
        <w:trPr>
          <w:trHeight w:val="790" w:hRule="exact"/>
        </w:trPr>
        <w:tc>
          <w:tcPr>
            <w:tcW w:w="1419" w:type="dxa"/>
            <w:vMerge/>
            <w:tcBorders>
              <w:left w:val="single" w:sz="4" w:space="0" w:color="000000"/>
              <w:bottom w:val="single" w:sz="4" w:space="0" w:color="000000"/>
              <w:right w:val="single" w:sz="4" w:space="0" w:color="000000"/>
            </w:tcBorders>
            <w:shd w:val="clear" w:color="auto" w:fill="D9D9D9"/>
          </w:tcPr>
          <w:p>
            <w:pPr/>
          </w:p>
        </w:tc>
        <w:tc>
          <w:tcPr>
            <w:tcW w:w="1844" w:type="dxa"/>
            <w:vMerge/>
            <w:tcBorders>
              <w:left w:val="single" w:sz="4" w:space="0" w:color="000000"/>
              <w:bottom w:val="single" w:sz="4" w:space="0" w:color="000000"/>
              <w:right w:val="single" w:sz="4" w:space="0" w:color="000000"/>
            </w:tcBorders>
            <w:shd w:val="clear" w:color="auto" w:fill="D9D9D9"/>
          </w:tcPr>
          <w:p>
            <w:pPr/>
          </w:p>
        </w:tc>
        <w:tc>
          <w:tcPr>
            <w:tcW w:w="15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415" w:right="0"/>
              <w:jc w:val="left"/>
              <w:rPr>
                <w:rFonts w:ascii="宋体" w:hAnsi="宋体" w:cs="宋体" w:eastAsia="宋体" w:hint="default"/>
                <w:sz w:val="18"/>
                <w:szCs w:val="18"/>
              </w:rPr>
            </w:pPr>
            <w:r>
              <w:rPr>
                <w:rFonts w:ascii="宋体" w:hAnsi="宋体" w:cs="宋体" w:eastAsia="宋体" w:hint="default"/>
                <w:sz w:val="18"/>
                <w:szCs w:val="18"/>
              </w:rPr>
              <w:t>金额</w:t>
            </w:r>
            <w:r>
              <w:rPr>
                <w:rFonts w:ascii="宋体" w:hAnsi="宋体" w:cs="宋体" w:eastAsia="宋体" w:hint="default"/>
                <w:sz w:val="18"/>
                <w:szCs w:val="18"/>
              </w:rPr>
              <w:t>(</w:t>
            </w:r>
            <w:r>
              <w:rPr>
                <w:rFonts w:ascii="宋体" w:hAnsi="宋体" w:cs="宋体" w:eastAsia="宋体" w:hint="default"/>
                <w:sz w:val="18"/>
                <w:szCs w:val="18"/>
              </w:rPr>
              <w:t>元</w:t>
            </w:r>
            <w:r>
              <w:rPr>
                <w:rFonts w:ascii="宋体" w:hAnsi="宋体" w:cs="宋体" w:eastAsia="宋体" w:hint="default"/>
                <w:sz w:val="18"/>
                <w:szCs w:val="18"/>
              </w:rPr>
              <w:t>) </w:t>
            </w:r>
          </w:p>
        </w:tc>
        <w:tc>
          <w:tcPr>
            <w:tcW w:w="8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7" w:lineRule="auto" w:before="12"/>
              <w:ind w:left="151" w:right="149"/>
              <w:jc w:val="center"/>
              <w:rPr>
                <w:rFonts w:ascii="宋体" w:hAnsi="宋体" w:cs="宋体" w:eastAsia="宋体" w:hint="default"/>
                <w:sz w:val="18"/>
                <w:szCs w:val="18"/>
              </w:rPr>
            </w:pPr>
            <w:r>
              <w:rPr>
                <w:rFonts w:ascii="宋体" w:hAnsi="宋体" w:cs="宋体" w:eastAsia="宋体" w:hint="default"/>
                <w:sz w:val="18"/>
                <w:szCs w:val="18"/>
              </w:rPr>
              <w:t>占营业 成本比 重</w:t>
            </w:r>
            <w:r>
              <w:rPr>
                <w:rFonts w:ascii="宋体" w:hAnsi="宋体" w:cs="宋体" w:eastAsia="宋体" w:hint="default"/>
                <w:sz w:val="18"/>
                <w:szCs w:val="18"/>
              </w:rPr>
              <w:t> </w:t>
            </w:r>
          </w:p>
        </w:tc>
        <w:tc>
          <w:tcPr>
            <w:tcW w:w="14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金额</w:t>
            </w:r>
            <w:r>
              <w:rPr>
                <w:rFonts w:ascii="宋体" w:hAnsi="宋体" w:cs="宋体" w:eastAsia="宋体" w:hint="default"/>
                <w:sz w:val="18"/>
                <w:szCs w:val="18"/>
              </w:rPr>
              <w:t>(</w:t>
            </w:r>
            <w:r>
              <w:rPr>
                <w:rFonts w:ascii="宋体" w:hAnsi="宋体" w:cs="宋体" w:eastAsia="宋体" w:hint="default"/>
                <w:sz w:val="18"/>
                <w:szCs w:val="18"/>
              </w:rPr>
              <w:t>元</w:t>
            </w:r>
            <w:r>
              <w:rPr>
                <w:rFonts w:ascii="宋体" w:hAnsi="宋体" w:cs="宋体" w:eastAsia="宋体" w:hint="default"/>
                <w:sz w:val="18"/>
                <w:szCs w:val="18"/>
              </w:rPr>
              <w:t>) </w:t>
            </w:r>
          </w:p>
        </w:tc>
        <w:tc>
          <w:tcPr>
            <w:tcW w:w="14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8"/>
              <w:ind w:left="614" w:right="161" w:hanging="449"/>
              <w:jc w:val="left"/>
              <w:rPr>
                <w:rFonts w:ascii="宋体" w:hAnsi="宋体" w:cs="宋体" w:eastAsia="宋体" w:hint="default"/>
                <w:sz w:val="18"/>
                <w:szCs w:val="18"/>
              </w:rPr>
            </w:pPr>
            <w:r>
              <w:rPr>
                <w:rFonts w:ascii="宋体" w:hAnsi="宋体" w:cs="宋体" w:eastAsia="宋体" w:hint="default"/>
                <w:sz w:val="18"/>
                <w:szCs w:val="18"/>
              </w:rPr>
              <w:t>占营业成本比 重</w:t>
            </w:r>
            <w:r>
              <w:rPr>
                <w:rFonts w:ascii="宋体" w:hAnsi="宋体" w:cs="宋体" w:eastAsia="宋体" w:hint="default"/>
                <w:sz w:val="18"/>
                <w:szCs w:val="18"/>
              </w:rPr>
              <w:t> </w:t>
            </w:r>
          </w:p>
        </w:tc>
        <w:tc>
          <w:tcPr>
            <w:tcW w:w="1133" w:type="dxa"/>
            <w:vMerge/>
            <w:tcBorders>
              <w:left w:val="single" w:sz="4" w:space="0" w:color="000000"/>
              <w:bottom w:val="single" w:sz="4" w:space="0" w:color="000000"/>
              <w:right w:val="single" w:sz="4" w:space="0" w:color="000000"/>
            </w:tcBorders>
            <w:shd w:val="clear" w:color="auto" w:fill="D9D9D9"/>
          </w:tcPr>
          <w:p>
            <w:pPr/>
          </w:p>
        </w:tc>
      </w:tr>
      <w:tr>
        <w:trPr>
          <w:trHeight w:val="403" w:hRule="exact"/>
        </w:trPr>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信息智能传输</w:t>
            </w:r>
            <w:r>
              <w:rPr>
                <w:rFonts w:ascii="宋体" w:hAnsi="宋体" w:cs="宋体" w:eastAsia="宋体" w:hint="default"/>
                <w:sz w:val="18"/>
                <w:szCs w:val="18"/>
              </w:rPr>
              <w:t> </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采购成本</w:t>
            </w:r>
            <w:r>
              <w:rPr>
                <w:rFonts w:ascii="宋体" w:hAnsi="宋体" w:cs="宋体" w:eastAsia="宋体" w:hint="default"/>
                <w:sz w:val="18"/>
                <w:szCs w:val="18"/>
              </w:rPr>
              <w:t> </w:t>
            </w:r>
          </w:p>
        </w:tc>
        <w:tc>
          <w:tcPr>
            <w:tcW w:w="1558" w:type="dxa"/>
            <w:tcBorders>
              <w:top w:val="single" w:sz="4" w:space="0" w:color="000000"/>
              <w:left w:val="single" w:sz="4" w:space="0" w:color="000000"/>
              <w:bottom w:val="single" w:sz="2" w:space="0" w:color="000000"/>
              <w:right w:val="single" w:sz="2" w:space="0" w:color="000000"/>
            </w:tcBorders>
          </w:tcPr>
          <w:p>
            <w:pPr>
              <w:pStyle w:val="TableParagraph"/>
              <w:spacing w:line="240" w:lineRule="auto" w:before="93"/>
              <w:ind w:left="321" w:right="0"/>
              <w:jc w:val="left"/>
              <w:rPr>
                <w:rFonts w:ascii="Times New Roman" w:hAnsi="Times New Roman" w:cs="Times New Roman" w:eastAsia="Times New Roman" w:hint="default"/>
                <w:sz w:val="18"/>
                <w:szCs w:val="18"/>
              </w:rPr>
            </w:pPr>
            <w:r>
              <w:rPr>
                <w:rFonts w:ascii="Times New Roman"/>
                <w:sz w:val="18"/>
              </w:rPr>
              <w:t>823,984,718.61</w:t>
            </w:r>
          </w:p>
        </w:tc>
        <w:tc>
          <w:tcPr>
            <w:tcW w:w="852" w:type="dxa"/>
            <w:tcBorders>
              <w:top w:val="single" w:sz="4" w:space="0" w:color="000000"/>
              <w:left w:val="single" w:sz="2" w:space="0" w:color="000000"/>
              <w:bottom w:val="single" w:sz="2" w:space="0" w:color="000000"/>
              <w:right w:val="single" w:sz="2" w:space="0" w:color="000000"/>
            </w:tcBorders>
          </w:tcPr>
          <w:p>
            <w:pPr>
              <w:pStyle w:val="TableParagraph"/>
              <w:spacing w:line="240" w:lineRule="auto" w:before="93"/>
              <w:ind w:right="13"/>
              <w:jc w:val="right"/>
              <w:rPr>
                <w:rFonts w:ascii="宋体" w:hAnsi="宋体" w:cs="宋体" w:eastAsia="宋体" w:hint="default"/>
                <w:sz w:val="18"/>
                <w:szCs w:val="18"/>
              </w:rPr>
            </w:pPr>
            <w:r>
              <w:rPr>
                <w:rFonts w:ascii="Times New Roman"/>
                <w:spacing w:val="-1"/>
                <w:sz w:val="18"/>
              </w:rPr>
              <w:t>27.34%</w:t>
            </w:r>
            <w:r>
              <w:rPr>
                <w:rFonts w:ascii="宋体"/>
                <w:sz w:val="18"/>
              </w:rPr>
              <w:t> </w:t>
            </w:r>
          </w:p>
        </w:tc>
        <w:tc>
          <w:tcPr>
            <w:tcW w:w="1416" w:type="dxa"/>
            <w:tcBorders>
              <w:top w:val="single" w:sz="4" w:space="0" w:color="000000"/>
              <w:left w:val="single" w:sz="2" w:space="0" w:color="000000"/>
              <w:bottom w:val="single" w:sz="2" w:space="0" w:color="000000"/>
              <w:right w:val="single" w:sz="2" w:space="0" w:color="000000"/>
            </w:tcBorders>
          </w:tcPr>
          <w:p>
            <w:pPr>
              <w:pStyle w:val="TableParagraph"/>
              <w:spacing w:line="240" w:lineRule="auto" w:before="93"/>
              <w:ind w:right="11"/>
              <w:jc w:val="right"/>
              <w:rPr>
                <w:rFonts w:ascii="宋体" w:hAnsi="宋体" w:cs="宋体" w:eastAsia="宋体" w:hint="default"/>
                <w:sz w:val="18"/>
                <w:szCs w:val="18"/>
              </w:rPr>
            </w:pPr>
            <w:r>
              <w:rPr>
                <w:rFonts w:ascii="Times New Roman"/>
                <w:spacing w:val="-1"/>
                <w:sz w:val="18"/>
              </w:rPr>
              <w:t>727,606,341.91</w:t>
            </w:r>
            <w:r>
              <w:rPr>
                <w:rFonts w:ascii="宋体"/>
                <w:spacing w:val="-1"/>
                <w:sz w:val="18"/>
              </w:rPr>
              <w:t> </w:t>
            </w:r>
          </w:p>
        </w:tc>
        <w:tc>
          <w:tcPr>
            <w:tcW w:w="1419" w:type="dxa"/>
            <w:tcBorders>
              <w:top w:val="single" w:sz="4" w:space="0" w:color="000000"/>
              <w:left w:val="single" w:sz="2" w:space="0" w:color="000000"/>
              <w:bottom w:val="single" w:sz="2" w:space="0" w:color="000000"/>
              <w:right w:val="single" w:sz="2" w:space="0" w:color="000000"/>
            </w:tcBorders>
          </w:tcPr>
          <w:p>
            <w:pPr>
              <w:pStyle w:val="TableParagraph"/>
              <w:spacing w:line="240" w:lineRule="auto" w:before="93"/>
              <w:ind w:right="13"/>
              <w:jc w:val="right"/>
              <w:rPr>
                <w:rFonts w:ascii="宋体" w:hAnsi="宋体" w:cs="宋体" w:eastAsia="宋体" w:hint="default"/>
                <w:sz w:val="18"/>
                <w:szCs w:val="18"/>
              </w:rPr>
            </w:pPr>
            <w:r>
              <w:rPr>
                <w:rFonts w:ascii="Times New Roman"/>
                <w:spacing w:val="-1"/>
                <w:sz w:val="18"/>
              </w:rPr>
              <w:t>26.68%</w:t>
            </w:r>
            <w:r>
              <w:rPr>
                <w:rFonts w:ascii="宋体"/>
                <w:sz w:val="18"/>
              </w:rPr>
              <w:t> </w:t>
            </w:r>
          </w:p>
        </w:tc>
        <w:tc>
          <w:tcPr>
            <w:tcW w:w="1133" w:type="dxa"/>
            <w:tcBorders>
              <w:top w:val="single" w:sz="4" w:space="0" w:color="000000"/>
              <w:left w:val="single" w:sz="2" w:space="0" w:color="000000"/>
              <w:bottom w:val="single" w:sz="2" w:space="0" w:color="000000"/>
              <w:right w:val="single" w:sz="2" w:space="0" w:color="000000"/>
            </w:tcBorders>
          </w:tcPr>
          <w:p>
            <w:pPr>
              <w:pStyle w:val="TableParagraph"/>
              <w:spacing w:line="240" w:lineRule="auto" w:before="93"/>
              <w:ind w:right="13"/>
              <w:jc w:val="right"/>
              <w:rPr>
                <w:rFonts w:ascii="宋体" w:hAnsi="宋体" w:cs="宋体" w:eastAsia="宋体" w:hint="default"/>
                <w:sz w:val="18"/>
                <w:szCs w:val="18"/>
              </w:rPr>
            </w:pPr>
            <w:r>
              <w:rPr>
                <w:rFonts w:ascii="Times New Roman"/>
                <w:spacing w:val="-1"/>
                <w:sz w:val="18"/>
              </w:rPr>
              <w:t>0.66%</w:t>
            </w:r>
            <w:r>
              <w:rPr>
                <w:rFonts w:ascii="宋体"/>
                <w:sz w:val="18"/>
              </w:rPr>
              <w:t> </w:t>
            </w:r>
          </w:p>
        </w:tc>
      </w:tr>
      <w:tr>
        <w:trPr>
          <w:trHeight w:val="401" w:hRule="exact"/>
        </w:trPr>
        <w:tc>
          <w:tcPr>
            <w:tcW w:w="141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6"/>
                <w:szCs w:val="2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通信网络维护</w:t>
            </w:r>
            <w:r>
              <w:rPr>
                <w:rFonts w:ascii="宋体" w:hAnsi="宋体" w:cs="宋体" w:eastAsia="宋体" w:hint="default"/>
                <w:sz w:val="18"/>
                <w:szCs w:val="18"/>
              </w:rPr>
              <w:t> </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原材料</w:t>
            </w:r>
            <w:r>
              <w:rPr>
                <w:rFonts w:ascii="Times New Roman" w:hAnsi="Times New Roman" w:cs="Times New Roman" w:eastAsia="Times New Roman" w:hint="default"/>
                <w:sz w:val="18"/>
                <w:szCs w:val="18"/>
              </w:rPr>
              <w:t>(</w:t>
            </w:r>
            <w:r>
              <w:rPr>
                <w:rFonts w:ascii="宋体" w:hAnsi="宋体" w:cs="宋体" w:eastAsia="宋体" w:hint="default"/>
                <w:sz w:val="18"/>
                <w:szCs w:val="18"/>
              </w:rPr>
              <w:t>含油费</w:t>
            </w:r>
            <w:r>
              <w:rPr>
                <w:rFonts w:ascii="Times New Roman" w:hAnsi="Times New Roman" w:cs="Times New Roman" w:eastAsia="Times New Roman" w:hint="default"/>
                <w:sz w:val="18"/>
                <w:szCs w:val="18"/>
              </w:rPr>
              <w:t>)</w:t>
            </w:r>
            <w:r>
              <w:rPr>
                <w:rFonts w:ascii="宋体" w:hAnsi="宋体" w:cs="宋体" w:eastAsia="宋体" w:hint="default"/>
                <w:sz w:val="18"/>
                <w:szCs w:val="18"/>
              </w:rPr>
              <w:t> </w:t>
            </w:r>
          </w:p>
        </w:tc>
        <w:tc>
          <w:tcPr>
            <w:tcW w:w="1558" w:type="dxa"/>
            <w:tcBorders>
              <w:top w:val="single" w:sz="2" w:space="0" w:color="000000"/>
              <w:left w:val="single" w:sz="4" w:space="0" w:color="000000"/>
              <w:bottom w:val="single" w:sz="2" w:space="0" w:color="000000"/>
              <w:right w:val="single" w:sz="2" w:space="0" w:color="000000"/>
            </w:tcBorders>
          </w:tcPr>
          <w:p>
            <w:pPr>
              <w:pStyle w:val="TableParagraph"/>
              <w:spacing w:line="240" w:lineRule="auto" w:before="96"/>
              <w:ind w:right="11"/>
              <w:jc w:val="right"/>
              <w:rPr>
                <w:rFonts w:ascii="宋体" w:hAnsi="宋体" w:cs="宋体" w:eastAsia="宋体" w:hint="default"/>
                <w:sz w:val="18"/>
                <w:szCs w:val="18"/>
              </w:rPr>
            </w:pPr>
            <w:r>
              <w:rPr>
                <w:rFonts w:ascii="Times New Roman"/>
                <w:spacing w:val="-1"/>
                <w:sz w:val="18"/>
              </w:rPr>
              <w:t>24,920,777.02</w:t>
            </w:r>
            <w:r>
              <w:rPr>
                <w:rFonts w:ascii="宋体"/>
                <w:spacing w:val="-1"/>
                <w:sz w:val="18"/>
              </w:rPr>
              <w:t> </w:t>
            </w:r>
          </w:p>
        </w:tc>
        <w:tc>
          <w:tcPr>
            <w:tcW w:w="8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6"/>
              <w:ind w:right="13"/>
              <w:jc w:val="right"/>
              <w:rPr>
                <w:rFonts w:ascii="宋体" w:hAnsi="宋体" w:cs="宋体" w:eastAsia="宋体" w:hint="default"/>
                <w:sz w:val="18"/>
                <w:szCs w:val="18"/>
              </w:rPr>
            </w:pPr>
            <w:r>
              <w:rPr>
                <w:rFonts w:ascii="Times New Roman"/>
                <w:spacing w:val="-1"/>
                <w:sz w:val="18"/>
              </w:rPr>
              <w:t>0.83%</w:t>
            </w:r>
            <w:r>
              <w:rPr>
                <w:rFonts w:ascii="宋体"/>
                <w:sz w:val="18"/>
              </w:rPr>
              <w:t> </w:t>
            </w:r>
          </w:p>
        </w:tc>
        <w:tc>
          <w:tcPr>
            <w:tcW w:w="141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6"/>
              <w:ind w:right="11"/>
              <w:jc w:val="right"/>
              <w:rPr>
                <w:rFonts w:ascii="宋体" w:hAnsi="宋体" w:cs="宋体" w:eastAsia="宋体" w:hint="default"/>
                <w:sz w:val="18"/>
                <w:szCs w:val="18"/>
              </w:rPr>
            </w:pPr>
            <w:r>
              <w:rPr>
                <w:rFonts w:ascii="Times New Roman"/>
                <w:spacing w:val="-1"/>
                <w:sz w:val="18"/>
              </w:rPr>
              <w:t>44,357,447.22</w:t>
            </w:r>
            <w:r>
              <w:rPr>
                <w:rFonts w:ascii="宋体"/>
                <w:spacing w:val="-1"/>
                <w:sz w:val="18"/>
              </w:rPr>
              <w:t> </w:t>
            </w:r>
          </w:p>
        </w:tc>
        <w:tc>
          <w:tcPr>
            <w:tcW w:w="141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6"/>
              <w:ind w:right="13"/>
              <w:jc w:val="right"/>
              <w:rPr>
                <w:rFonts w:ascii="宋体" w:hAnsi="宋体" w:cs="宋体" w:eastAsia="宋体" w:hint="default"/>
                <w:sz w:val="18"/>
                <w:szCs w:val="18"/>
              </w:rPr>
            </w:pPr>
            <w:r>
              <w:rPr>
                <w:rFonts w:ascii="Times New Roman"/>
                <w:sz w:val="18"/>
              </w:rPr>
              <w:t>1.63%</w:t>
            </w:r>
            <w:r>
              <w:rPr>
                <w:rFonts w:ascii="宋体"/>
                <w:sz w:val="18"/>
              </w:rPr>
              <w:t> </w:t>
            </w:r>
          </w:p>
        </w:tc>
        <w:tc>
          <w:tcPr>
            <w:tcW w:w="113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6"/>
              <w:ind w:right="13"/>
              <w:jc w:val="right"/>
              <w:rPr>
                <w:rFonts w:ascii="宋体" w:hAnsi="宋体" w:cs="宋体" w:eastAsia="宋体" w:hint="default"/>
                <w:sz w:val="18"/>
                <w:szCs w:val="18"/>
              </w:rPr>
            </w:pPr>
            <w:r>
              <w:rPr>
                <w:rFonts w:ascii="Times New Roman"/>
                <w:spacing w:val="-1"/>
                <w:sz w:val="18"/>
              </w:rPr>
              <w:t>-0.80%</w:t>
            </w:r>
            <w:r>
              <w:rPr>
                <w:rFonts w:ascii="宋体"/>
                <w:sz w:val="18"/>
              </w:rPr>
              <w:t> </w:t>
            </w:r>
          </w:p>
        </w:tc>
      </w:tr>
      <w:tr>
        <w:trPr>
          <w:trHeight w:val="403" w:hRule="exact"/>
        </w:trPr>
        <w:tc>
          <w:tcPr>
            <w:tcW w:w="1419" w:type="dxa"/>
            <w:vMerge/>
            <w:tcBorders>
              <w:left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劳务采购</w:t>
            </w:r>
            <w:r>
              <w:rPr>
                <w:rFonts w:ascii="宋体" w:hAnsi="宋体" w:cs="宋体" w:eastAsia="宋体" w:hint="default"/>
                <w:sz w:val="18"/>
                <w:szCs w:val="18"/>
              </w:rPr>
              <w:t> </w:t>
            </w:r>
          </w:p>
        </w:tc>
        <w:tc>
          <w:tcPr>
            <w:tcW w:w="1558" w:type="dxa"/>
            <w:tcBorders>
              <w:top w:val="single" w:sz="2" w:space="0" w:color="000000"/>
              <w:left w:val="single" w:sz="4" w:space="0" w:color="000000"/>
              <w:bottom w:val="single" w:sz="2" w:space="0" w:color="000000"/>
              <w:right w:val="single" w:sz="2" w:space="0" w:color="000000"/>
            </w:tcBorders>
          </w:tcPr>
          <w:p>
            <w:pPr>
              <w:pStyle w:val="TableParagraph"/>
              <w:spacing w:line="240" w:lineRule="auto" w:before="96"/>
              <w:ind w:right="11"/>
              <w:jc w:val="right"/>
              <w:rPr>
                <w:rFonts w:ascii="宋体" w:hAnsi="宋体" w:cs="宋体" w:eastAsia="宋体" w:hint="default"/>
                <w:sz w:val="18"/>
                <w:szCs w:val="18"/>
              </w:rPr>
            </w:pPr>
            <w:r>
              <w:rPr>
                <w:rFonts w:ascii="Times New Roman"/>
                <w:spacing w:val="-1"/>
                <w:sz w:val="18"/>
              </w:rPr>
              <w:t>905,624,142.06</w:t>
            </w:r>
            <w:r>
              <w:rPr>
                <w:rFonts w:ascii="宋体"/>
                <w:spacing w:val="-1"/>
                <w:sz w:val="18"/>
              </w:rPr>
              <w:t> </w:t>
            </w:r>
          </w:p>
        </w:tc>
        <w:tc>
          <w:tcPr>
            <w:tcW w:w="8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6"/>
              <w:ind w:right="13"/>
              <w:jc w:val="right"/>
              <w:rPr>
                <w:rFonts w:ascii="宋体" w:hAnsi="宋体" w:cs="宋体" w:eastAsia="宋体" w:hint="default"/>
                <w:sz w:val="18"/>
                <w:szCs w:val="18"/>
              </w:rPr>
            </w:pPr>
            <w:r>
              <w:rPr>
                <w:rFonts w:ascii="Times New Roman"/>
                <w:spacing w:val="-1"/>
                <w:sz w:val="18"/>
              </w:rPr>
              <w:t>30.05%</w:t>
            </w:r>
            <w:r>
              <w:rPr>
                <w:rFonts w:ascii="宋体"/>
                <w:sz w:val="18"/>
              </w:rPr>
              <w:t> </w:t>
            </w:r>
          </w:p>
        </w:tc>
        <w:tc>
          <w:tcPr>
            <w:tcW w:w="141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6"/>
              <w:ind w:right="11"/>
              <w:jc w:val="right"/>
              <w:rPr>
                <w:rFonts w:ascii="宋体" w:hAnsi="宋体" w:cs="宋体" w:eastAsia="宋体" w:hint="default"/>
                <w:sz w:val="18"/>
                <w:szCs w:val="18"/>
              </w:rPr>
            </w:pPr>
            <w:r>
              <w:rPr>
                <w:rFonts w:ascii="Times New Roman"/>
                <w:spacing w:val="-1"/>
                <w:sz w:val="18"/>
              </w:rPr>
              <w:t>856,971,575.32</w:t>
            </w:r>
            <w:r>
              <w:rPr>
                <w:rFonts w:ascii="宋体"/>
                <w:spacing w:val="-1"/>
                <w:sz w:val="18"/>
              </w:rPr>
              <w:t> </w:t>
            </w:r>
          </w:p>
        </w:tc>
        <w:tc>
          <w:tcPr>
            <w:tcW w:w="141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6"/>
              <w:ind w:right="13"/>
              <w:jc w:val="right"/>
              <w:rPr>
                <w:rFonts w:ascii="宋体" w:hAnsi="宋体" w:cs="宋体" w:eastAsia="宋体" w:hint="default"/>
                <w:sz w:val="18"/>
                <w:szCs w:val="18"/>
              </w:rPr>
            </w:pPr>
            <w:r>
              <w:rPr>
                <w:rFonts w:ascii="Times New Roman"/>
                <w:spacing w:val="-1"/>
                <w:sz w:val="18"/>
              </w:rPr>
              <w:t>31.43%</w:t>
            </w:r>
            <w:r>
              <w:rPr>
                <w:rFonts w:ascii="宋体"/>
                <w:sz w:val="18"/>
              </w:rPr>
              <w:t> </w:t>
            </w:r>
          </w:p>
        </w:tc>
        <w:tc>
          <w:tcPr>
            <w:tcW w:w="113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6"/>
              <w:ind w:right="13"/>
              <w:jc w:val="right"/>
              <w:rPr>
                <w:rFonts w:ascii="宋体" w:hAnsi="宋体" w:cs="宋体" w:eastAsia="宋体" w:hint="default"/>
                <w:sz w:val="18"/>
                <w:szCs w:val="18"/>
              </w:rPr>
            </w:pPr>
            <w:r>
              <w:rPr>
                <w:rFonts w:ascii="Times New Roman"/>
                <w:spacing w:val="-1"/>
                <w:sz w:val="18"/>
              </w:rPr>
              <w:t>-1.38%</w:t>
            </w:r>
            <w:r>
              <w:rPr>
                <w:rFonts w:ascii="宋体"/>
                <w:sz w:val="18"/>
              </w:rPr>
              <w:t> </w:t>
            </w:r>
          </w:p>
        </w:tc>
      </w:tr>
      <w:tr>
        <w:trPr>
          <w:trHeight w:val="401" w:hRule="exact"/>
        </w:trPr>
        <w:tc>
          <w:tcPr>
            <w:tcW w:w="1419" w:type="dxa"/>
            <w:vMerge/>
            <w:tcBorders>
              <w:left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直接人工</w:t>
            </w:r>
            <w:r>
              <w:rPr>
                <w:rFonts w:ascii="宋体" w:hAnsi="宋体" w:cs="宋体" w:eastAsia="宋体" w:hint="default"/>
                <w:sz w:val="18"/>
                <w:szCs w:val="18"/>
              </w:rPr>
              <w:t> </w:t>
            </w:r>
          </w:p>
        </w:tc>
        <w:tc>
          <w:tcPr>
            <w:tcW w:w="1558" w:type="dxa"/>
            <w:tcBorders>
              <w:top w:val="single" w:sz="2" w:space="0" w:color="000000"/>
              <w:left w:val="single" w:sz="4" w:space="0" w:color="000000"/>
              <w:bottom w:val="single" w:sz="2" w:space="0" w:color="000000"/>
              <w:right w:val="single" w:sz="2" w:space="0" w:color="000000"/>
            </w:tcBorders>
          </w:tcPr>
          <w:p>
            <w:pPr>
              <w:pStyle w:val="TableParagraph"/>
              <w:spacing w:line="240" w:lineRule="auto" w:before="96"/>
              <w:ind w:right="11"/>
              <w:jc w:val="right"/>
              <w:rPr>
                <w:rFonts w:ascii="宋体" w:hAnsi="宋体" w:cs="宋体" w:eastAsia="宋体" w:hint="default"/>
                <w:sz w:val="18"/>
                <w:szCs w:val="18"/>
              </w:rPr>
            </w:pPr>
            <w:r>
              <w:rPr>
                <w:rFonts w:ascii="Times New Roman"/>
                <w:spacing w:val="-1"/>
                <w:sz w:val="18"/>
              </w:rPr>
              <w:t>282,044,113.77</w:t>
            </w:r>
            <w:r>
              <w:rPr>
                <w:rFonts w:ascii="宋体"/>
                <w:spacing w:val="-1"/>
                <w:sz w:val="18"/>
              </w:rPr>
              <w:t> </w:t>
            </w:r>
          </w:p>
        </w:tc>
        <w:tc>
          <w:tcPr>
            <w:tcW w:w="8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6"/>
              <w:ind w:right="13"/>
              <w:jc w:val="right"/>
              <w:rPr>
                <w:rFonts w:ascii="宋体" w:hAnsi="宋体" w:cs="宋体" w:eastAsia="宋体" w:hint="default"/>
                <w:sz w:val="18"/>
                <w:szCs w:val="18"/>
              </w:rPr>
            </w:pPr>
            <w:r>
              <w:rPr>
                <w:rFonts w:ascii="Times New Roman"/>
                <w:spacing w:val="-1"/>
                <w:sz w:val="18"/>
              </w:rPr>
              <w:t>9.36%</w:t>
            </w:r>
            <w:r>
              <w:rPr>
                <w:rFonts w:ascii="宋体"/>
                <w:sz w:val="18"/>
              </w:rPr>
              <w:t> </w:t>
            </w:r>
          </w:p>
        </w:tc>
        <w:tc>
          <w:tcPr>
            <w:tcW w:w="141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6"/>
              <w:ind w:right="11"/>
              <w:jc w:val="right"/>
              <w:rPr>
                <w:rFonts w:ascii="宋体" w:hAnsi="宋体" w:cs="宋体" w:eastAsia="宋体" w:hint="default"/>
                <w:sz w:val="18"/>
                <w:szCs w:val="18"/>
              </w:rPr>
            </w:pPr>
            <w:r>
              <w:rPr>
                <w:rFonts w:ascii="Times New Roman"/>
                <w:spacing w:val="-1"/>
                <w:sz w:val="18"/>
              </w:rPr>
              <w:t>458,041,659.82</w:t>
            </w:r>
            <w:r>
              <w:rPr>
                <w:rFonts w:ascii="宋体"/>
                <w:spacing w:val="-1"/>
                <w:sz w:val="18"/>
              </w:rPr>
              <w:t> </w:t>
            </w:r>
          </w:p>
        </w:tc>
        <w:tc>
          <w:tcPr>
            <w:tcW w:w="141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6"/>
              <w:ind w:right="13"/>
              <w:jc w:val="right"/>
              <w:rPr>
                <w:rFonts w:ascii="宋体" w:hAnsi="宋体" w:cs="宋体" w:eastAsia="宋体" w:hint="default"/>
                <w:sz w:val="18"/>
                <w:szCs w:val="18"/>
              </w:rPr>
            </w:pPr>
            <w:r>
              <w:rPr>
                <w:rFonts w:ascii="Times New Roman"/>
                <w:spacing w:val="-1"/>
                <w:sz w:val="18"/>
              </w:rPr>
              <w:t>16.80%</w:t>
            </w:r>
            <w:r>
              <w:rPr>
                <w:rFonts w:ascii="宋体"/>
                <w:sz w:val="18"/>
              </w:rPr>
              <w:t> </w:t>
            </w:r>
          </w:p>
        </w:tc>
        <w:tc>
          <w:tcPr>
            <w:tcW w:w="113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6"/>
              <w:ind w:right="13"/>
              <w:jc w:val="right"/>
              <w:rPr>
                <w:rFonts w:ascii="宋体" w:hAnsi="宋体" w:cs="宋体" w:eastAsia="宋体" w:hint="default"/>
                <w:sz w:val="18"/>
                <w:szCs w:val="18"/>
              </w:rPr>
            </w:pPr>
            <w:r>
              <w:rPr>
                <w:rFonts w:ascii="Times New Roman"/>
                <w:spacing w:val="-1"/>
                <w:sz w:val="18"/>
              </w:rPr>
              <w:t>-7.44%</w:t>
            </w:r>
            <w:r>
              <w:rPr>
                <w:rFonts w:ascii="宋体"/>
                <w:sz w:val="18"/>
              </w:rPr>
              <w:t> </w:t>
            </w:r>
          </w:p>
        </w:tc>
      </w:tr>
      <w:tr>
        <w:trPr>
          <w:trHeight w:val="403" w:hRule="exact"/>
        </w:trPr>
        <w:tc>
          <w:tcPr>
            <w:tcW w:w="1419" w:type="dxa"/>
            <w:vMerge/>
            <w:tcBorders>
              <w:left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资产折旧</w:t>
            </w:r>
            <w:r>
              <w:rPr>
                <w:rFonts w:ascii="宋体" w:hAnsi="宋体" w:cs="宋体" w:eastAsia="宋体" w:hint="default"/>
                <w:sz w:val="18"/>
                <w:szCs w:val="18"/>
              </w:rPr>
              <w:t> </w:t>
            </w:r>
          </w:p>
        </w:tc>
        <w:tc>
          <w:tcPr>
            <w:tcW w:w="1558" w:type="dxa"/>
            <w:tcBorders>
              <w:top w:val="single" w:sz="2" w:space="0" w:color="000000"/>
              <w:left w:val="single" w:sz="4" w:space="0" w:color="000000"/>
              <w:bottom w:val="single" w:sz="2" w:space="0" w:color="000000"/>
              <w:right w:val="single" w:sz="2" w:space="0" w:color="000000"/>
            </w:tcBorders>
          </w:tcPr>
          <w:p>
            <w:pPr>
              <w:pStyle w:val="TableParagraph"/>
              <w:spacing w:line="240" w:lineRule="auto" w:before="96"/>
              <w:ind w:right="11"/>
              <w:jc w:val="right"/>
              <w:rPr>
                <w:rFonts w:ascii="宋体" w:hAnsi="宋体" w:cs="宋体" w:eastAsia="宋体" w:hint="default"/>
                <w:sz w:val="18"/>
                <w:szCs w:val="18"/>
              </w:rPr>
            </w:pPr>
            <w:r>
              <w:rPr>
                <w:rFonts w:ascii="Times New Roman"/>
                <w:spacing w:val="-1"/>
                <w:sz w:val="18"/>
              </w:rPr>
              <w:t>16,410,045.80</w:t>
            </w:r>
            <w:r>
              <w:rPr>
                <w:rFonts w:ascii="宋体"/>
                <w:spacing w:val="-1"/>
                <w:sz w:val="18"/>
              </w:rPr>
              <w:t> </w:t>
            </w:r>
          </w:p>
        </w:tc>
        <w:tc>
          <w:tcPr>
            <w:tcW w:w="8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6"/>
              <w:ind w:right="13"/>
              <w:jc w:val="right"/>
              <w:rPr>
                <w:rFonts w:ascii="宋体" w:hAnsi="宋体" w:cs="宋体" w:eastAsia="宋体" w:hint="default"/>
                <w:sz w:val="18"/>
                <w:szCs w:val="18"/>
              </w:rPr>
            </w:pPr>
            <w:r>
              <w:rPr>
                <w:rFonts w:ascii="Times New Roman"/>
                <w:spacing w:val="-1"/>
                <w:sz w:val="18"/>
              </w:rPr>
              <w:t>0.54%</w:t>
            </w:r>
            <w:r>
              <w:rPr>
                <w:rFonts w:ascii="宋体"/>
                <w:sz w:val="18"/>
              </w:rPr>
              <w:t> </w:t>
            </w:r>
          </w:p>
        </w:tc>
        <w:tc>
          <w:tcPr>
            <w:tcW w:w="141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6"/>
              <w:ind w:right="11"/>
              <w:jc w:val="right"/>
              <w:rPr>
                <w:rFonts w:ascii="宋体" w:hAnsi="宋体" w:cs="宋体" w:eastAsia="宋体" w:hint="default"/>
                <w:sz w:val="18"/>
                <w:szCs w:val="18"/>
              </w:rPr>
            </w:pPr>
            <w:r>
              <w:rPr>
                <w:rFonts w:ascii="Times New Roman"/>
                <w:spacing w:val="-1"/>
                <w:sz w:val="18"/>
              </w:rPr>
              <w:t>15,798,835.69</w:t>
            </w:r>
            <w:r>
              <w:rPr>
                <w:rFonts w:ascii="宋体"/>
                <w:spacing w:val="-1"/>
                <w:sz w:val="18"/>
              </w:rPr>
              <w:t> </w:t>
            </w:r>
          </w:p>
        </w:tc>
        <w:tc>
          <w:tcPr>
            <w:tcW w:w="141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6"/>
              <w:ind w:right="13"/>
              <w:jc w:val="right"/>
              <w:rPr>
                <w:rFonts w:ascii="宋体" w:hAnsi="宋体" w:cs="宋体" w:eastAsia="宋体" w:hint="default"/>
                <w:sz w:val="18"/>
                <w:szCs w:val="18"/>
              </w:rPr>
            </w:pPr>
            <w:r>
              <w:rPr>
                <w:rFonts w:ascii="Times New Roman"/>
                <w:sz w:val="18"/>
              </w:rPr>
              <w:t>0.58%</w:t>
            </w:r>
            <w:r>
              <w:rPr>
                <w:rFonts w:ascii="宋体"/>
                <w:sz w:val="18"/>
              </w:rPr>
              <w:t> </w:t>
            </w:r>
          </w:p>
        </w:tc>
        <w:tc>
          <w:tcPr>
            <w:tcW w:w="113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6"/>
              <w:ind w:right="13"/>
              <w:jc w:val="right"/>
              <w:rPr>
                <w:rFonts w:ascii="宋体" w:hAnsi="宋体" w:cs="宋体" w:eastAsia="宋体" w:hint="default"/>
                <w:sz w:val="18"/>
                <w:szCs w:val="18"/>
              </w:rPr>
            </w:pPr>
            <w:r>
              <w:rPr>
                <w:rFonts w:ascii="Times New Roman"/>
                <w:spacing w:val="-1"/>
                <w:sz w:val="18"/>
              </w:rPr>
              <w:t>-0.03%</w:t>
            </w:r>
            <w:r>
              <w:rPr>
                <w:rFonts w:ascii="宋体"/>
                <w:sz w:val="18"/>
              </w:rPr>
              <w:t> </w:t>
            </w:r>
          </w:p>
        </w:tc>
      </w:tr>
      <w:tr>
        <w:trPr>
          <w:trHeight w:val="401" w:hRule="exact"/>
        </w:trPr>
        <w:tc>
          <w:tcPr>
            <w:tcW w:w="1419" w:type="dxa"/>
            <w:vMerge/>
            <w:tcBorders>
              <w:left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18"/>
                <w:szCs w:val="18"/>
              </w:rPr>
            </w:pPr>
            <w:r>
              <w:rPr>
                <w:rFonts w:ascii="宋体" w:hAnsi="宋体" w:cs="宋体" w:eastAsia="宋体" w:hint="default"/>
                <w:sz w:val="18"/>
                <w:szCs w:val="18"/>
              </w:rPr>
              <w:t>车辆租赁及维修费用</w:t>
            </w:r>
            <w:r>
              <w:rPr>
                <w:rFonts w:ascii="宋体" w:hAnsi="宋体" w:cs="宋体" w:eastAsia="宋体" w:hint="default"/>
                <w:sz w:val="18"/>
                <w:szCs w:val="18"/>
              </w:rPr>
              <w:t> </w:t>
            </w:r>
          </w:p>
        </w:tc>
        <w:tc>
          <w:tcPr>
            <w:tcW w:w="1558" w:type="dxa"/>
            <w:tcBorders>
              <w:top w:val="single" w:sz="2" w:space="0" w:color="000000"/>
              <w:left w:val="single" w:sz="4" w:space="0" w:color="000000"/>
              <w:bottom w:val="single" w:sz="2" w:space="0" w:color="000000"/>
              <w:right w:val="single" w:sz="2" w:space="0" w:color="000000"/>
            </w:tcBorders>
          </w:tcPr>
          <w:p>
            <w:pPr>
              <w:pStyle w:val="TableParagraph"/>
              <w:spacing w:line="240" w:lineRule="auto" w:before="96"/>
              <w:ind w:right="11"/>
              <w:jc w:val="right"/>
              <w:rPr>
                <w:rFonts w:ascii="宋体" w:hAnsi="宋体" w:cs="宋体" w:eastAsia="宋体" w:hint="default"/>
                <w:sz w:val="18"/>
                <w:szCs w:val="18"/>
              </w:rPr>
            </w:pPr>
            <w:r>
              <w:rPr>
                <w:rFonts w:ascii="Times New Roman"/>
                <w:spacing w:val="-1"/>
                <w:sz w:val="18"/>
              </w:rPr>
              <w:t>114,390,726.86</w:t>
            </w:r>
            <w:r>
              <w:rPr>
                <w:rFonts w:ascii="宋体"/>
                <w:spacing w:val="-1"/>
                <w:sz w:val="18"/>
              </w:rPr>
              <w:t> </w:t>
            </w:r>
          </w:p>
        </w:tc>
        <w:tc>
          <w:tcPr>
            <w:tcW w:w="8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6"/>
              <w:ind w:right="13"/>
              <w:jc w:val="right"/>
              <w:rPr>
                <w:rFonts w:ascii="宋体" w:hAnsi="宋体" w:cs="宋体" w:eastAsia="宋体" w:hint="default"/>
                <w:sz w:val="18"/>
                <w:szCs w:val="18"/>
              </w:rPr>
            </w:pPr>
            <w:r>
              <w:rPr>
                <w:rFonts w:ascii="Times New Roman"/>
                <w:spacing w:val="-1"/>
                <w:sz w:val="18"/>
              </w:rPr>
              <w:t>3.80%</w:t>
            </w:r>
            <w:r>
              <w:rPr>
                <w:rFonts w:ascii="宋体"/>
                <w:sz w:val="18"/>
              </w:rPr>
              <w:t> </w:t>
            </w:r>
          </w:p>
        </w:tc>
        <w:tc>
          <w:tcPr>
            <w:tcW w:w="141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6"/>
              <w:ind w:right="11"/>
              <w:jc w:val="right"/>
              <w:rPr>
                <w:rFonts w:ascii="宋体" w:hAnsi="宋体" w:cs="宋体" w:eastAsia="宋体" w:hint="default"/>
                <w:sz w:val="18"/>
                <w:szCs w:val="18"/>
              </w:rPr>
            </w:pPr>
            <w:r>
              <w:rPr>
                <w:rFonts w:ascii="Times New Roman"/>
                <w:spacing w:val="-1"/>
                <w:sz w:val="18"/>
              </w:rPr>
              <w:t>111,535,364.70</w:t>
            </w:r>
            <w:r>
              <w:rPr>
                <w:rFonts w:ascii="宋体"/>
                <w:spacing w:val="-1"/>
                <w:sz w:val="18"/>
              </w:rPr>
              <w:t> </w:t>
            </w:r>
          </w:p>
        </w:tc>
        <w:tc>
          <w:tcPr>
            <w:tcW w:w="141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6"/>
              <w:ind w:right="13"/>
              <w:jc w:val="right"/>
              <w:rPr>
                <w:rFonts w:ascii="宋体" w:hAnsi="宋体" w:cs="宋体" w:eastAsia="宋体" w:hint="default"/>
                <w:sz w:val="18"/>
                <w:szCs w:val="18"/>
              </w:rPr>
            </w:pPr>
            <w:r>
              <w:rPr>
                <w:rFonts w:ascii="Times New Roman"/>
                <w:sz w:val="18"/>
              </w:rPr>
              <w:t>4.09%</w:t>
            </w:r>
            <w:r>
              <w:rPr>
                <w:rFonts w:ascii="宋体"/>
                <w:sz w:val="18"/>
              </w:rPr>
              <w:t> </w:t>
            </w:r>
          </w:p>
        </w:tc>
        <w:tc>
          <w:tcPr>
            <w:tcW w:w="113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6"/>
              <w:ind w:right="13"/>
              <w:jc w:val="right"/>
              <w:rPr>
                <w:rFonts w:ascii="宋体" w:hAnsi="宋体" w:cs="宋体" w:eastAsia="宋体" w:hint="default"/>
                <w:sz w:val="18"/>
                <w:szCs w:val="18"/>
              </w:rPr>
            </w:pPr>
            <w:r>
              <w:rPr>
                <w:rFonts w:ascii="Times New Roman"/>
                <w:spacing w:val="-1"/>
                <w:sz w:val="18"/>
              </w:rPr>
              <w:t>-0.29%</w:t>
            </w:r>
            <w:r>
              <w:rPr>
                <w:rFonts w:ascii="宋体"/>
                <w:sz w:val="18"/>
              </w:rPr>
              <w:t> </w:t>
            </w:r>
          </w:p>
        </w:tc>
      </w:tr>
      <w:tr>
        <w:trPr>
          <w:trHeight w:val="404" w:hRule="exact"/>
        </w:trPr>
        <w:tc>
          <w:tcPr>
            <w:tcW w:w="1419" w:type="dxa"/>
            <w:vMerge/>
            <w:tcBorders>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其他费用</w:t>
            </w:r>
            <w:r>
              <w:rPr>
                <w:rFonts w:ascii="宋体" w:hAnsi="宋体" w:cs="宋体" w:eastAsia="宋体" w:hint="default"/>
                <w:sz w:val="18"/>
                <w:szCs w:val="18"/>
              </w:rPr>
              <w:t> </w:t>
            </w:r>
          </w:p>
        </w:tc>
        <w:tc>
          <w:tcPr>
            <w:tcW w:w="1558" w:type="dxa"/>
            <w:tcBorders>
              <w:top w:val="single" w:sz="2" w:space="0" w:color="000000"/>
              <w:left w:val="single" w:sz="4" w:space="0" w:color="000000"/>
              <w:bottom w:val="single" w:sz="2" w:space="0" w:color="000000"/>
              <w:right w:val="single" w:sz="2" w:space="0" w:color="000000"/>
            </w:tcBorders>
          </w:tcPr>
          <w:p>
            <w:pPr>
              <w:pStyle w:val="TableParagraph"/>
              <w:spacing w:line="240" w:lineRule="auto" w:before="96"/>
              <w:ind w:right="11"/>
              <w:jc w:val="right"/>
              <w:rPr>
                <w:rFonts w:ascii="宋体" w:hAnsi="宋体" w:cs="宋体" w:eastAsia="宋体" w:hint="default"/>
                <w:sz w:val="18"/>
                <w:szCs w:val="18"/>
              </w:rPr>
            </w:pPr>
            <w:r>
              <w:rPr>
                <w:rFonts w:ascii="Times New Roman"/>
                <w:spacing w:val="-1"/>
                <w:sz w:val="18"/>
              </w:rPr>
              <w:t>38,087,614.34</w:t>
            </w:r>
            <w:r>
              <w:rPr>
                <w:rFonts w:ascii="宋体"/>
                <w:spacing w:val="-1"/>
                <w:sz w:val="18"/>
              </w:rPr>
              <w:t> </w:t>
            </w:r>
          </w:p>
        </w:tc>
        <w:tc>
          <w:tcPr>
            <w:tcW w:w="8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6"/>
              <w:ind w:right="13"/>
              <w:jc w:val="right"/>
              <w:rPr>
                <w:rFonts w:ascii="宋体" w:hAnsi="宋体" w:cs="宋体" w:eastAsia="宋体" w:hint="default"/>
                <w:sz w:val="18"/>
                <w:szCs w:val="18"/>
              </w:rPr>
            </w:pPr>
            <w:r>
              <w:rPr>
                <w:rFonts w:ascii="Times New Roman"/>
                <w:spacing w:val="-1"/>
                <w:sz w:val="18"/>
              </w:rPr>
              <w:t>1.28%</w:t>
            </w:r>
            <w:r>
              <w:rPr>
                <w:rFonts w:ascii="宋体"/>
                <w:sz w:val="18"/>
              </w:rPr>
              <w:t> </w:t>
            </w:r>
          </w:p>
        </w:tc>
        <w:tc>
          <w:tcPr>
            <w:tcW w:w="141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6"/>
              <w:ind w:right="11"/>
              <w:jc w:val="right"/>
              <w:rPr>
                <w:rFonts w:ascii="宋体" w:hAnsi="宋体" w:cs="宋体" w:eastAsia="宋体" w:hint="default"/>
                <w:sz w:val="18"/>
                <w:szCs w:val="18"/>
              </w:rPr>
            </w:pPr>
            <w:r>
              <w:rPr>
                <w:rFonts w:ascii="Times New Roman"/>
                <w:spacing w:val="-1"/>
                <w:sz w:val="18"/>
              </w:rPr>
              <w:t>39,684,789.12</w:t>
            </w:r>
            <w:r>
              <w:rPr>
                <w:rFonts w:ascii="宋体"/>
                <w:spacing w:val="-1"/>
                <w:sz w:val="18"/>
              </w:rPr>
              <w:t> </w:t>
            </w:r>
          </w:p>
        </w:tc>
        <w:tc>
          <w:tcPr>
            <w:tcW w:w="141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6"/>
              <w:ind w:right="13"/>
              <w:jc w:val="right"/>
              <w:rPr>
                <w:rFonts w:ascii="宋体" w:hAnsi="宋体" w:cs="宋体" w:eastAsia="宋体" w:hint="default"/>
                <w:sz w:val="18"/>
                <w:szCs w:val="18"/>
              </w:rPr>
            </w:pPr>
            <w:r>
              <w:rPr>
                <w:rFonts w:ascii="Times New Roman"/>
                <w:sz w:val="18"/>
              </w:rPr>
              <w:t>1.46%</w:t>
            </w:r>
            <w:r>
              <w:rPr>
                <w:rFonts w:ascii="宋体"/>
                <w:sz w:val="18"/>
              </w:rPr>
              <w:t> </w:t>
            </w:r>
          </w:p>
        </w:tc>
        <w:tc>
          <w:tcPr>
            <w:tcW w:w="113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6"/>
              <w:ind w:right="13"/>
              <w:jc w:val="right"/>
              <w:rPr>
                <w:rFonts w:ascii="宋体" w:hAnsi="宋体" w:cs="宋体" w:eastAsia="宋体" w:hint="default"/>
                <w:sz w:val="18"/>
                <w:szCs w:val="18"/>
              </w:rPr>
            </w:pPr>
            <w:r>
              <w:rPr>
                <w:rFonts w:ascii="Times New Roman"/>
                <w:spacing w:val="-1"/>
                <w:sz w:val="18"/>
              </w:rPr>
              <w:t>-0.18%</w:t>
            </w:r>
            <w:r>
              <w:rPr>
                <w:rFonts w:ascii="宋体"/>
                <w:sz w:val="18"/>
              </w:rPr>
              <w:t> </w:t>
            </w:r>
          </w:p>
        </w:tc>
      </w:tr>
      <w:tr>
        <w:trPr>
          <w:trHeight w:val="401" w:hRule="exact"/>
        </w:trPr>
        <w:tc>
          <w:tcPr>
            <w:tcW w:w="141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20"/>
                <w:szCs w:val="20"/>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pacing w:val="20"/>
                <w:sz w:val="18"/>
                <w:szCs w:val="18"/>
              </w:rPr>
              <w:t>金融服务外包</w:t>
            </w:r>
            <w:r>
              <w:rPr>
                <w:rFonts w:ascii="宋体" w:hAnsi="宋体" w:cs="宋体" w:eastAsia="宋体" w:hint="default"/>
                <w:spacing w:val="-66"/>
                <w:sz w:val="18"/>
                <w:szCs w:val="18"/>
              </w:rPr>
              <w:t> </w:t>
            </w:r>
            <w:r>
              <w:rPr>
                <w:rFonts w:ascii="宋体" w:hAnsi="宋体" w:cs="宋体" w:eastAsia="宋体" w:hint="default"/>
                <w:sz w:val="18"/>
                <w:szCs w:val="18"/>
              </w:rPr>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BPO</w:t>
            </w:r>
            <w:r>
              <w:rPr>
                <w:rFonts w:ascii="宋体" w:hAnsi="宋体" w:cs="宋体" w:eastAsia="宋体" w:hint="default"/>
                <w:sz w:val="18"/>
                <w:szCs w:val="18"/>
              </w:rPr>
              <w:t>）</w:t>
            </w:r>
            <w:r>
              <w:rPr>
                <w:rFonts w:ascii="宋体" w:hAnsi="宋体" w:cs="宋体" w:eastAsia="宋体" w:hint="default"/>
                <w:sz w:val="18"/>
                <w:szCs w:val="18"/>
              </w:rPr>
              <w:t> </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人工费用</w:t>
            </w:r>
            <w:r>
              <w:rPr>
                <w:rFonts w:ascii="宋体" w:hAnsi="宋体" w:cs="宋体" w:eastAsia="宋体" w:hint="default"/>
                <w:sz w:val="18"/>
                <w:szCs w:val="18"/>
              </w:rPr>
              <w:t> </w:t>
            </w:r>
          </w:p>
        </w:tc>
        <w:tc>
          <w:tcPr>
            <w:tcW w:w="1558" w:type="dxa"/>
            <w:tcBorders>
              <w:top w:val="single" w:sz="2" w:space="0" w:color="000000"/>
              <w:left w:val="single" w:sz="4" w:space="0" w:color="000000"/>
              <w:bottom w:val="single" w:sz="2" w:space="0" w:color="000000"/>
              <w:right w:val="single" w:sz="2" w:space="0" w:color="000000"/>
            </w:tcBorders>
          </w:tcPr>
          <w:p>
            <w:pPr>
              <w:pStyle w:val="TableParagraph"/>
              <w:spacing w:line="240" w:lineRule="auto" w:before="96"/>
              <w:ind w:right="11"/>
              <w:jc w:val="right"/>
              <w:rPr>
                <w:rFonts w:ascii="宋体" w:hAnsi="宋体" w:cs="宋体" w:eastAsia="宋体" w:hint="default"/>
                <w:sz w:val="18"/>
                <w:szCs w:val="18"/>
              </w:rPr>
            </w:pPr>
            <w:r>
              <w:rPr>
                <w:rFonts w:ascii="Times New Roman"/>
                <w:spacing w:val="-1"/>
                <w:sz w:val="18"/>
              </w:rPr>
              <w:t>205,437,167.90</w:t>
            </w:r>
            <w:r>
              <w:rPr>
                <w:rFonts w:ascii="宋体"/>
                <w:spacing w:val="-1"/>
                <w:sz w:val="18"/>
              </w:rPr>
              <w:t> </w:t>
            </w:r>
          </w:p>
        </w:tc>
        <w:tc>
          <w:tcPr>
            <w:tcW w:w="8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6"/>
              <w:ind w:right="13"/>
              <w:jc w:val="right"/>
              <w:rPr>
                <w:rFonts w:ascii="宋体" w:hAnsi="宋体" w:cs="宋体" w:eastAsia="宋体" w:hint="default"/>
                <w:sz w:val="18"/>
                <w:szCs w:val="18"/>
              </w:rPr>
            </w:pPr>
            <w:r>
              <w:rPr>
                <w:rFonts w:ascii="Times New Roman"/>
                <w:spacing w:val="-1"/>
                <w:sz w:val="18"/>
              </w:rPr>
              <w:t>6.82%</w:t>
            </w:r>
            <w:r>
              <w:rPr>
                <w:rFonts w:ascii="宋体"/>
                <w:sz w:val="18"/>
              </w:rPr>
              <w:t> </w:t>
            </w:r>
          </w:p>
        </w:tc>
        <w:tc>
          <w:tcPr>
            <w:tcW w:w="141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6"/>
              <w:ind w:right="11"/>
              <w:jc w:val="right"/>
              <w:rPr>
                <w:rFonts w:ascii="宋体" w:hAnsi="宋体" w:cs="宋体" w:eastAsia="宋体" w:hint="default"/>
                <w:sz w:val="18"/>
                <w:szCs w:val="18"/>
              </w:rPr>
            </w:pPr>
            <w:r>
              <w:rPr>
                <w:rFonts w:ascii="Times New Roman"/>
                <w:spacing w:val="-1"/>
                <w:sz w:val="18"/>
              </w:rPr>
              <w:t>99,153,667.67</w:t>
            </w:r>
            <w:r>
              <w:rPr>
                <w:rFonts w:ascii="宋体"/>
                <w:spacing w:val="-1"/>
                <w:sz w:val="18"/>
              </w:rPr>
              <w:t> </w:t>
            </w:r>
          </w:p>
        </w:tc>
        <w:tc>
          <w:tcPr>
            <w:tcW w:w="141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6"/>
              <w:ind w:right="13"/>
              <w:jc w:val="right"/>
              <w:rPr>
                <w:rFonts w:ascii="宋体" w:hAnsi="宋体" w:cs="宋体" w:eastAsia="宋体" w:hint="default"/>
                <w:sz w:val="18"/>
                <w:szCs w:val="18"/>
              </w:rPr>
            </w:pPr>
            <w:r>
              <w:rPr>
                <w:rFonts w:ascii="Times New Roman"/>
                <w:sz w:val="18"/>
              </w:rPr>
              <w:t>3.64%</w:t>
            </w:r>
            <w:r>
              <w:rPr>
                <w:rFonts w:ascii="宋体"/>
                <w:sz w:val="18"/>
              </w:rPr>
              <w:t> </w:t>
            </w:r>
          </w:p>
        </w:tc>
        <w:tc>
          <w:tcPr>
            <w:tcW w:w="113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6"/>
              <w:ind w:right="13"/>
              <w:jc w:val="right"/>
              <w:rPr>
                <w:rFonts w:ascii="宋体" w:hAnsi="宋体" w:cs="宋体" w:eastAsia="宋体" w:hint="default"/>
                <w:sz w:val="18"/>
                <w:szCs w:val="18"/>
              </w:rPr>
            </w:pPr>
            <w:r>
              <w:rPr>
                <w:rFonts w:ascii="Times New Roman"/>
                <w:spacing w:val="-1"/>
                <w:sz w:val="18"/>
              </w:rPr>
              <w:t>3.18%</w:t>
            </w:r>
            <w:r>
              <w:rPr>
                <w:rFonts w:ascii="宋体"/>
                <w:sz w:val="18"/>
              </w:rPr>
              <w:t> </w:t>
            </w:r>
          </w:p>
        </w:tc>
      </w:tr>
      <w:tr>
        <w:trPr>
          <w:trHeight w:val="403" w:hRule="exact"/>
        </w:trPr>
        <w:tc>
          <w:tcPr>
            <w:tcW w:w="1419" w:type="dxa"/>
            <w:vMerge/>
            <w:tcBorders>
              <w:left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房租及物业</w:t>
            </w:r>
            <w:r>
              <w:rPr>
                <w:rFonts w:ascii="宋体" w:hAnsi="宋体" w:cs="宋体" w:eastAsia="宋体" w:hint="default"/>
                <w:sz w:val="18"/>
                <w:szCs w:val="18"/>
              </w:rPr>
              <w:t> </w:t>
            </w:r>
          </w:p>
        </w:tc>
        <w:tc>
          <w:tcPr>
            <w:tcW w:w="1558" w:type="dxa"/>
            <w:tcBorders>
              <w:top w:val="single" w:sz="2" w:space="0" w:color="000000"/>
              <w:left w:val="single" w:sz="4" w:space="0" w:color="000000"/>
              <w:bottom w:val="single" w:sz="2" w:space="0" w:color="000000"/>
              <w:right w:val="single" w:sz="2" w:space="0" w:color="000000"/>
            </w:tcBorders>
          </w:tcPr>
          <w:p>
            <w:pPr>
              <w:pStyle w:val="TableParagraph"/>
              <w:spacing w:line="240" w:lineRule="auto" w:before="96"/>
              <w:ind w:right="11"/>
              <w:jc w:val="right"/>
              <w:rPr>
                <w:rFonts w:ascii="宋体" w:hAnsi="宋体" w:cs="宋体" w:eastAsia="宋体" w:hint="default"/>
                <w:sz w:val="18"/>
                <w:szCs w:val="18"/>
              </w:rPr>
            </w:pPr>
            <w:r>
              <w:rPr>
                <w:rFonts w:ascii="Times New Roman"/>
                <w:spacing w:val="-1"/>
                <w:sz w:val="18"/>
              </w:rPr>
              <w:t>22,810,260.66</w:t>
            </w:r>
            <w:r>
              <w:rPr>
                <w:rFonts w:ascii="宋体"/>
                <w:spacing w:val="-1"/>
                <w:sz w:val="18"/>
              </w:rPr>
              <w:t> </w:t>
            </w:r>
          </w:p>
        </w:tc>
        <w:tc>
          <w:tcPr>
            <w:tcW w:w="8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6"/>
              <w:ind w:right="13"/>
              <w:jc w:val="right"/>
              <w:rPr>
                <w:rFonts w:ascii="宋体" w:hAnsi="宋体" w:cs="宋体" w:eastAsia="宋体" w:hint="default"/>
                <w:sz w:val="18"/>
                <w:szCs w:val="18"/>
              </w:rPr>
            </w:pPr>
            <w:r>
              <w:rPr>
                <w:rFonts w:ascii="Times New Roman"/>
                <w:spacing w:val="-1"/>
                <w:sz w:val="18"/>
              </w:rPr>
              <w:t>0.76%</w:t>
            </w:r>
            <w:r>
              <w:rPr>
                <w:rFonts w:ascii="宋体"/>
                <w:sz w:val="18"/>
              </w:rPr>
              <w:t> </w:t>
            </w:r>
          </w:p>
        </w:tc>
        <w:tc>
          <w:tcPr>
            <w:tcW w:w="141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6"/>
              <w:ind w:right="11"/>
              <w:jc w:val="right"/>
              <w:rPr>
                <w:rFonts w:ascii="宋体" w:hAnsi="宋体" w:cs="宋体" w:eastAsia="宋体" w:hint="default"/>
                <w:sz w:val="18"/>
                <w:szCs w:val="18"/>
              </w:rPr>
            </w:pPr>
            <w:r>
              <w:rPr>
                <w:rFonts w:ascii="Times New Roman"/>
                <w:spacing w:val="-1"/>
                <w:sz w:val="18"/>
              </w:rPr>
              <w:t>11,760,466.63</w:t>
            </w:r>
            <w:r>
              <w:rPr>
                <w:rFonts w:ascii="宋体"/>
                <w:spacing w:val="-1"/>
                <w:sz w:val="18"/>
              </w:rPr>
              <w:t> </w:t>
            </w:r>
          </w:p>
        </w:tc>
        <w:tc>
          <w:tcPr>
            <w:tcW w:w="141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6"/>
              <w:ind w:right="13"/>
              <w:jc w:val="right"/>
              <w:rPr>
                <w:rFonts w:ascii="宋体" w:hAnsi="宋体" w:cs="宋体" w:eastAsia="宋体" w:hint="default"/>
                <w:sz w:val="18"/>
                <w:szCs w:val="18"/>
              </w:rPr>
            </w:pPr>
            <w:r>
              <w:rPr>
                <w:rFonts w:ascii="Times New Roman"/>
                <w:sz w:val="18"/>
              </w:rPr>
              <w:t>0.43%</w:t>
            </w:r>
            <w:r>
              <w:rPr>
                <w:rFonts w:ascii="宋体"/>
                <w:sz w:val="18"/>
              </w:rPr>
              <w:t> </w:t>
            </w:r>
          </w:p>
        </w:tc>
        <w:tc>
          <w:tcPr>
            <w:tcW w:w="113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6"/>
              <w:ind w:right="13"/>
              <w:jc w:val="right"/>
              <w:rPr>
                <w:rFonts w:ascii="宋体" w:hAnsi="宋体" w:cs="宋体" w:eastAsia="宋体" w:hint="default"/>
                <w:sz w:val="18"/>
                <w:szCs w:val="18"/>
              </w:rPr>
            </w:pPr>
            <w:r>
              <w:rPr>
                <w:rFonts w:ascii="Times New Roman"/>
                <w:spacing w:val="-1"/>
                <w:sz w:val="18"/>
              </w:rPr>
              <w:t>0.33%</w:t>
            </w:r>
            <w:r>
              <w:rPr>
                <w:rFonts w:ascii="宋体"/>
                <w:sz w:val="18"/>
              </w:rPr>
              <w:t> </w:t>
            </w:r>
          </w:p>
        </w:tc>
      </w:tr>
      <w:tr>
        <w:trPr>
          <w:trHeight w:val="401" w:hRule="exact"/>
        </w:trPr>
        <w:tc>
          <w:tcPr>
            <w:tcW w:w="1419" w:type="dxa"/>
            <w:vMerge/>
            <w:tcBorders>
              <w:left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折旧及摊销</w:t>
            </w:r>
            <w:r>
              <w:rPr>
                <w:rFonts w:ascii="宋体" w:hAnsi="宋体" w:cs="宋体" w:eastAsia="宋体" w:hint="default"/>
                <w:sz w:val="18"/>
                <w:szCs w:val="18"/>
              </w:rPr>
              <w:t> </w:t>
            </w:r>
          </w:p>
        </w:tc>
        <w:tc>
          <w:tcPr>
            <w:tcW w:w="1558" w:type="dxa"/>
            <w:tcBorders>
              <w:top w:val="single" w:sz="2" w:space="0" w:color="000000"/>
              <w:left w:val="single" w:sz="4" w:space="0" w:color="000000"/>
              <w:bottom w:val="single" w:sz="2" w:space="0" w:color="000000"/>
              <w:right w:val="single" w:sz="2" w:space="0" w:color="000000"/>
            </w:tcBorders>
          </w:tcPr>
          <w:p>
            <w:pPr>
              <w:pStyle w:val="TableParagraph"/>
              <w:spacing w:line="240" w:lineRule="auto" w:before="96"/>
              <w:ind w:right="11"/>
              <w:jc w:val="right"/>
              <w:rPr>
                <w:rFonts w:ascii="宋体" w:hAnsi="宋体" w:cs="宋体" w:eastAsia="宋体" w:hint="default"/>
                <w:sz w:val="18"/>
                <w:szCs w:val="18"/>
              </w:rPr>
            </w:pPr>
            <w:r>
              <w:rPr>
                <w:rFonts w:ascii="Times New Roman"/>
                <w:spacing w:val="-1"/>
                <w:sz w:val="18"/>
              </w:rPr>
              <w:t>7,239,332.17</w:t>
            </w:r>
            <w:r>
              <w:rPr>
                <w:rFonts w:ascii="宋体"/>
                <w:sz w:val="18"/>
              </w:rPr>
              <w:t> </w:t>
            </w:r>
          </w:p>
        </w:tc>
        <w:tc>
          <w:tcPr>
            <w:tcW w:w="8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6"/>
              <w:ind w:right="13"/>
              <w:jc w:val="right"/>
              <w:rPr>
                <w:rFonts w:ascii="宋体" w:hAnsi="宋体" w:cs="宋体" w:eastAsia="宋体" w:hint="default"/>
                <w:sz w:val="18"/>
                <w:szCs w:val="18"/>
              </w:rPr>
            </w:pPr>
            <w:r>
              <w:rPr>
                <w:rFonts w:ascii="Times New Roman"/>
                <w:spacing w:val="-1"/>
                <w:sz w:val="18"/>
              </w:rPr>
              <w:t>0.24%</w:t>
            </w:r>
            <w:r>
              <w:rPr>
                <w:rFonts w:ascii="宋体"/>
                <w:sz w:val="18"/>
              </w:rPr>
              <w:t> </w:t>
            </w:r>
          </w:p>
        </w:tc>
        <w:tc>
          <w:tcPr>
            <w:tcW w:w="141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6"/>
              <w:ind w:right="11"/>
              <w:jc w:val="right"/>
              <w:rPr>
                <w:rFonts w:ascii="宋体" w:hAnsi="宋体" w:cs="宋体" w:eastAsia="宋体" w:hint="default"/>
                <w:sz w:val="18"/>
                <w:szCs w:val="18"/>
              </w:rPr>
            </w:pPr>
            <w:r>
              <w:rPr>
                <w:rFonts w:ascii="Times New Roman"/>
                <w:spacing w:val="-1"/>
                <w:sz w:val="18"/>
              </w:rPr>
              <w:t>2,211,553.95</w:t>
            </w:r>
            <w:r>
              <w:rPr>
                <w:rFonts w:ascii="宋体"/>
                <w:sz w:val="18"/>
              </w:rPr>
              <w:t> </w:t>
            </w:r>
          </w:p>
        </w:tc>
        <w:tc>
          <w:tcPr>
            <w:tcW w:w="141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6"/>
              <w:ind w:right="13"/>
              <w:jc w:val="right"/>
              <w:rPr>
                <w:rFonts w:ascii="宋体" w:hAnsi="宋体" w:cs="宋体" w:eastAsia="宋体" w:hint="default"/>
                <w:sz w:val="18"/>
                <w:szCs w:val="18"/>
              </w:rPr>
            </w:pPr>
            <w:r>
              <w:rPr>
                <w:rFonts w:ascii="Times New Roman"/>
                <w:sz w:val="18"/>
              </w:rPr>
              <w:t>0.08%</w:t>
            </w:r>
            <w:r>
              <w:rPr>
                <w:rFonts w:ascii="宋体"/>
                <w:sz w:val="18"/>
              </w:rPr>
              <w:t> </w:t>
            </w:r>
          </w:p>
        </w:tc>
        <w:tc>
          <w:tcPr>
            <w:tcW w:w="113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6"/>
              <w:ind w:right="13"/>
              <w:jc w:val="right"/>
              <w:rPr>
                <w:rFonts w:ascii="宋体" w:hAnsi="宋体" w:cs="宋体" w:eastAsia="宋体" w:hint="default"/>
                <w:sz w:val="18"/>
                <w:szCs w:val="18"/>
              </w:rPr>
            </w:pPr>
            <w:r>
              <w:rPr>
                <w:rFonts w:ascii="Times New Roman"/>
                <w:spacing w:val="-1"/>
                <w:sz w:val="18"/>
              </w:rPr>
              <w:t>0.16%</w:t>
            </w:r>
            <w:r>
              <w:rPr>
                <w:rFonts w:ascii="宋体"/>
                <w:sz w:val="18"/>
              </w:rPr>
              <w:t> </w:t>
            </w:r>
          </w:p>
        </w:tc>
      </w:tr>
      <w:tr>
        <w:trPr>
          <w:trHeight w:val="403" w:hRule="exact"/>
        </w:trPr>
        <w:tc>
          <w:tcPr>
            <w:tcW w:w="1419" w:type="dxa"/>
            <w:vMerge/>
            <w:tcBorders>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办公费用</w:t>
            </w:r>
            <w:r>
              <w:rPr>
                <w:rFonts w:ascii="宋体" w:hAnsi="宋体" w:cs="宋体" w:eastAsia="宋体" w:hint="default"/>
                <w:sz w:val="18"/>
                <w:szCs w:val="18"/>
              </w:rPr>
              <w:t> </w:t>
            </w:r>
          </w:p>
        </w:tc>
        <w:tc>
          <w:tcPr>
            <w:tcW w:w="1558" w:type="dxa"/>
            <w:tcBorders>
              <w:top w:val="single" w:sz="2" w:space="0" w:color="000000"/>
              <w:left w:val="single" w:sz="4" w:space="0" w:color="000000"/>
              <w:bottom w:val="single" w:sz="2" w:space="0" w:color="000000"/>
              <w:right w:val="single" w:sz="2" w:space="0" w:color="000000"/>
            </w:tcBorders>
          </w:tcPr>
          <w:p>
            <w:pPr>
              <w:pStyle w:val="TableParagraph"/>
              <w:spacing w:line="240" w:lineRule="auto" w:before="96"/>
              <w:ind w:right="11"/>
              <w:jc w:val="right"/>
              <w:rPr>
                <w:rFonts w:ascii="宋体" w:hAnsi="宋体" w:cs="宋体" w:eastAsia="宋体" w:hint="default"/>
                <w:sz w:val="18"/>
                <w:szCs w:val="18"/>
              </w:rPr>
            </w:pPr>
            <w:r>
              <w:rPr>
                <w:rFonts w:ascii="Times New Roman"/>
                <w:spacing w:val="-1"/>
                <w:sz w:val="18"/>
              </w:rPr>
              <w:t>6,627,891.45</w:t>
            </w:r>
            <w:r>
              <w:rPr>
                <w:rFonts w:ascii="宋体"/>
                <w:sz w:val="18"/>
              </w:rPr>
              <w:t> </w:t>
            </w:r>
          </w:p>
        </w:tc>
        <w:tc>
          <w:tcPr>
            <w:tcW w:w="852"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6"/>
              <w:ind w:right="13"/>
              <w:jc w:val="right"/>
              <w:rPr>
                <w:rFonts w:ascii="宋体" w:hAnsi="宋体" w:cs="宋体" w:eastAsia="宋体" w:hint="default"/>
                <w:sz w:val="18"/>
                <w:szCs w:val="18"/>
              </w:rPr>
            </w:pPr>
            <w:r>
              <w:rPr>
                <w:rFonts w:ascii="Times New Roman"/>
                <w:spacing w:val="-1"/>
                <w:sz w:val="18"/>
              </w:rPr>
              <w:t>0.22%</w:t>
            </w:r>
            <w:r>
              <w:rPr>
                <w:rFonts w:ascii="宋体"/>
                <w:sz w:val="18"/>
              </w:rPr>
              <w:t> </w:t>
            </w:r>
          </w:p>
        </w:tc>
        <w:tc>
          <w:tcPr>
            <w:tcW w:w="1416"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6"/>
              <w:ind w:right="11"/>
              <w:jc w:val="right"/>
              <w:rPr>
                <w:rFonts w:ascii="宋体" w:hAnsi="宋体" w:cs="宋体" w:eastAsia="宋体" w:hint="default"/>
                <w:sz w:val="18"/>
                <w:szCs w:val="18"/>
              </w:rPr>
            </w:pPr>
            <w:r>
              <w:rPr>
                <w:rFonts w:ascii="Times New Roman"/>
                <w:spacing w:val="-1"/>
                <w:sz w:val="18"/>
              </w:rPr>
              <w:t>2,421,981.71</w:t>
            </w:r>
            <w:r>
              <w:rPr>
                <w:rFonts w:ascii="宋体"/>
                <w:sz w:val="18"/>
              </w:rPr>
              <w:t> </w:t>
            </w:r>
          </w:p>
        </w:tc>
        <w:tc>
          <w:tcPr>
            <w:tcW w:w="1419"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6"/>
              <w:ind w:right="13"/>
              <w:jc w:val="right"/>
              <w:rPr>
                <w:rFonts w:ascii="宋体" w:hAnsi="宋体" w:cs="宋体" w:eastAsia="宋体" w:hint="default"/>
                <w:sz w:val="18"/>
                <w:szCs w:val="18"/>
              </w:rPr>
            </w:pPr>
            <w:r>
              <w:rPr>
                <w:rFonts w:ascii="Times New Roman"/>
                <w:sz w:val="18"/>
              </w:rPr>
              <w:t>0.09%</w:t>
            </w:r>
            <w:r>
              <w:rPr>
                <w:rFonts w:ascii="宋体"/>
                <w:sz w:val="18"/>
              </w:rPr>
              <w:t> </w:t>
            </w:r>
          </w:p>
        </w:tc>
        <w:tc>
          <w:tcPr>
            <w:tcW w:w="1133" w:type="dxa"/>
            <w:tcBorders>
              <w:top w:val="single" w:sz="2" w:space="0" w:color="000000"/>
              <w:left w:val="single" w:sz="2" w:space="0" w:color="000000"/>
              <w:bottom w:val="single" w:sz="2" w:space="0" w:color="000000"/>
              <w:right w:val="single" w:sz="2" w:space="0" w:color="000000"/>
            </w:tcBorders>
          </w:tcPr>
          <w:p>
            <w:pPr>
              <w:pStyle w:val="TableParagraph"/>
              <w:spacing w:line="240" w:lineRule="auto" w:before="96"/>
              <w:ind w:right="13"/>
              <w:jc w:val="right"/>
              <w:rPr>
                <w:rFonts w:ascii="宋体" w:hAnsi="宋体" w:cs="宋体" w:eastAsia="宋体" w:hint="default"/>
                <w:sz w:val="18"/>
                <w:szCs w:val="18"/>
              </w:rPr>
            </w:pPr>
            <w:r>
              <w:rPr>
                <w:rFonts w:ascii="Times New Roman"/>
                <w:spacing w:val="-1"/>
                <w:sz w:val="18"/>
              </w:rPr>
              <w:t>0.13%</w:t>
            </w:r>
            <w:r>
              <w:rPr>
                <w:rFonts w:ascii="宋体"/>
                <w:sz w:val="18"/>
              </w:rPr>
              <w:t> </w:t>
            </w:r>
          </w:p>
        </w:tc>
      </w:tr>
    </w:tbl>
    <w:p>
      <w:pPr>
        <w:spacing w:after="0" w:line="240" w:lineRule="auto"/>
        <w:jc w:val="right"/>
        <w:rPr>
          <w:rFonts w:ascii="宋体" w:hAnsi="宋体" w:cs="宋体" w:eastAsia="宋体" w:hint="default"/>
          <w:sz w:val="18"/>
          <w:szCs w:val="18"/>
        </w:rPr>
        <w:sectPr>
          <w:pgSz w:w="11910" w:h="16840"/>
          <w:pgMar w:header="880" w:footer="975" w:top="1100" w:bottom="1160" w:left="980" w:right="0"/>
        </w:sectPr>
      </w:pPr>
    </w:p>
    <w:p>
      <w:pPr>
        <w:spacing w:line="240" w:lineRule="auto" w:before="11"/>
        <w:rPr>
          <w:rFonts w:ascii="宋体" w:hAnsi="宋体" w:cs="宋体" w:eastAsia="宋体" w:hint="default"/>
          <w:sz w:val="20"/>
          <w:szCs w:val="20"/>
        </w:rPr>
      </w:pPr>
    </w:p>
    <w:p>
      <w:pPr>
        <w:pStyle w:val="Heading3"/>
        <w:spacing w:line="240" w:lineRule="auto"/>
        <w:ind w:left="258" w:right="1133"/>
        <w:jc w:val="left"/>
        <w:rPr>
          <w:b w:val="0"/>
          <w:bCs w:val="0"/>
        </w:rPr>
      </w:pPr>
      <w:r>
        <w:rPr>
          <w:rFonts w:ascii="Times New Roman" w:hAnsi="Times New Roman" w:cs="Times New Roman" w:eastAsia="Times New Roman" w:hint="default"/>
        </w:rPr>
        <w:t>6</w:t>
      </w:r>
      <w:r>
        <w:rPr/>
        <w:t>、报告期内合并范围是否发生变动</w:t>
      </w:r>
      <w:r>
        <w:rPr>
          <w:b w:val="0"/>
          <w:bCs w:val="0"/>
        </w:rPr>
      </w:r>
    </w:p>
    <w:p>
      <w:pPr>
        <w:pStyle w:val="BodyText"/>
        <w:spacing w:line="240" w:lineRule="auto" w:before="21"/>
        <w:ind w:left="573" w:right="1133"/>
        <w:jc w:val="left"/>
        <w:rPr>
          <w:rFonts w:ascii="宋体" w:hAnsi="宋体" w:cs="宋体" w:eastAsia="宋体" w:hint="default"/>
        </w:rPr>
      </w:pPr>
      <w:r>
        <w:rPr/>
        <w:t>√ 是 </w:t>
      </w:r>
      <w:r>
        <w:rPr>
          <w:rFonts w:ascii="宋体" w:hAnsi="宋体" w:cs="宋体" w:eastAsia="宋体" w:hint="default"/>
        </w:rPr>
      </w:r>
      <w:r>
        <w:rPr/>
        <w:t>□</w:t>
      </w:r>
      <w:r>
        <w:rPr>
          <w:spacing w:val="-1"/>
        </w:rPr>
        <w:t> </w:t>
      </w:r>
      <w:r>
        <w:rPr>
          <w:spacing w:val="-3"/>
        </w:rPr>
        <w:t>否</w:t>
      </w:r>
      <w:r>
        <w:rPr>
          <w:rFonts w:ascii="宋体" w:hAnsi="宋体" w:cs="宋体" w:eastAsia="宋体" w:hint="default"/>
        </w:rPr>
        <w:t> </w:t>
      </w:r>
    </w:p>
    <w:p>
      <w:pPr>
        <w:pStyle w:val="BodyText"/>
        <w:spacing w:line="240" w:lineRule="auto" w:before="37"/>
        <w:ind w:left="573" w:right="819"/>
        <w:jc w:val="left"/>
      </w:pPr>
      <w:r>
        <w:rPr>
          <w:rFonts w:ascii="宋体" w:hAnsi="宋体" w:cs="宋体" w:eastAsia="宋体" w:hint="default"/>
        </w:rPr>
        <w:t>2019</w:t>
      </w:r>
      <w:r>
        <w:rPr>
          <w:rFonts w:ascii="宋体" w:hAnsi="宋体" w:cs="宋体" w:eastAsia="宋体" w:hint="default"/>
          <w:spacing w:val="-34"/>
        </w:rPr>
        <w:t> </w:t>
      </w:r>
      <w:r>
        <w:rPr>
          <w:spacing w:val="-3"/>
        </w:rPr>
        <w:t>年度，公司通过新设的方式新纳入合并范围子公司</w:t>
      </w:r>
      <w:r>
        <w:rPr>
          <w:spacing w:val="-31"/>
        </w:rPr>
        <w:t> </w:t>
      </w:r>
      <w:r>
        <w:rPr>
          <w:rFonts w:ascii="宋体" w:hAnsi="宋体" w:cs="宋体" w:eastAsia="宋体" w:hint="default"/>
        </w:rPr>
        <w:t>1</w:t>
      </w:r>
      <w:r>
        <w:rPr>
          <w:rFonts w:ascii="宋体" w:hAnsi="宋体" w:cs="宋体" w:eastAsia="宋体" w:hint="default"/>
          <w:spacing w:val="-34"/>
        </w:rPr>
        <w:t> </w:t>
      </w:r>
      <w:r>
        <w:rPr>
          <w:spacing w:val="-4"/>
        </w:rPr>
        <w:t>家，通过非同一控制下企业合并的方式新纳</w:t>
      </w:r>
    </w:p>
    <w:p>
      <w:pPr>
        <w:pStyle w:val="BodyText"/>
        <w:spacing w:line="240" w:lineRule="auto" w:before="37"/>
        <w:ind w:right="1133"/>
        <w:jc w:val="left"/>
        <w:rPr>
          <w:rFonts w:ascii="宋体" w:hAnsi="宋体" w:cs="宋体" w:eastAsia="宋体" w:hint="default"/>
        </w:rPr>
      </w:pPr>
      <w:r>
        <w:rPr/>
        <w:t>入合并范围子公司</w:t>
      </w:r>
      <w:r>
        <w:rPr>
          <w:spacing w:val="-54"/>
        </w:rPr>
        <w:t> </w:t>
      </w:r>
      <w:r>
        <w:rPr>
          <w:rFonts w:ascii="宋体" w:hAnsi="宋体" w:cs="宋体" w:eastAsia="宋体" w:hint="default"/>
        </w:rPr>
        <w:t>1</w:t>
      </w:r>
      <w:r>
        <w:rPr>
          <w:rFonts w:ascii="宋体" w:hAnsi="宋体" w:cs="宋体" w:eastAsia="宋体" w:hint="default"/>
          <w:spacing w:val="-56"/>
        </w:rPr>
        <w:t> </w:t>
      </w:r>
      <w:r>
        <w:rPr/>
        <w:t>家，注销子公司</w:t>
      </w:r>
      <w:r>
        <w:rPr>
          <w:spacing w:val="-53"/>
        </w:rPr>
        <w:t> </w:t>
      </w:r>
      <w:r>
        <w:rPr>
          <w:rFonts w:ascii="宋体" w:hAnsi="宋体" w:cs="宋体" w:eastAsia="宋体" w:hint="default"/>
        </w:rPr>
        <w:t>2</w:t>
      </w:r>
      <w:r>
        <w:rPr>
          <w:rFonts w:ascii="宋体" w:hAnsi="宋体" w:cs="宋体" w:eastAsia="宋体" w:hint="default"/>
          <w:spacing w:val="-54"/>
        </w:rPr>
        <w:t> </w:t>
      </w:r>
      <w:r>
        <w:rPr/>
        <w:t>家，具体情况如下：</w:t>
      </w:r>
      <w:r>
        <w:rPr>
          <w:rFonts w:ascii="宋体" w:hAnsi="宋体" w:cs="宋体" w:eastAsia="宋体" w:hint="default"/>
        </w:rPr>
        <w:t> </w:t>
      </w:r>
    </w:p>
    <w:p>
      <w:pPr>
        <w:spacing w:line="240" w:lineRule="auto" w:before="10"/>
        <w:rPr>
          <w:rFonts w:ascii="宋体" w:hAnsi="宋体" w:cs="宋体" w:eastAsia="宋体" w:hint="default"/>
          <w:sz w:val="3"/>
          <w:szCs w:val="3"/>
        </w:rPr>
      </w:pPr>
    </w:p>
    <w:tbl>
      <w:tblPr>
        <w:tblW w:w="0" w:type="auto"/>
        <w:jc w:val="left"/>
        <w:tblInd w:w="152" w:type="dxa"/>
        <w:tblLayout w:type="fixed"/>
        <w:tblCellMar>
          <w:top w:w="0" w:type="dxa"/>
          <w:left w:w="0" w:type="dxa"/>
          <w:bottom w:w="0" w:type="dxa"/>
          <w:right w:w="0" w:type="dxa"/>
        </w:tblCellMar>
        <w:tblLook w:val="01E0"/>
      </w:tblPr>
      <w:tblGrid>
        <w:gridCol w:w="704"/>
        <w:gridCol w:w="3409"/>
        <w:gridCol w:w="1416"/>
        <w:gridCol w:w="1277"/>
        <w:gridCol w:w="2825"/>
      </w:tblGrid>
      <w:tr>
        <w:trPr>
          <w:trHeight w:val="402" w:hRule="exact"/>
        </w:trPr>
        <w:tc>
          <w:tcPr>
            <w:tcW w:w="704"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165" w:right="0"/>
              <w:jc w:val="left"/>
              <w:rPr>
                <w:rFonts w:ascii="宋体" w:hAnsi="宋体" w:cs="宋体" w:eastAsia="宋体" w:hint="default"/>
                <w:sz w:val="18"/>
                <w:szCs w:val="18"/>
              </w:rPr>
            </w:pPr>
            <w:r>
              <w:rPr>
                <w:rFonts w:ascii="宋体" w:hAnsi="宋体" w:cs="宋体" w:eastAsia="宋体" w:hint="default"/>
                <w:b/>
                <w:bCs/>
                <w:sz w:val="18"/>
                <w:szCs w:val="18"/>
              </w:rPr>
              <w:t>序号</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3409"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86" w:right="0"/>
              <w:jc w:val="center"/>
              <w:rPr>
                <w:rFonts w:ascii="宋体" w:hAnsi="宋体" w:cs="宋体" w:eastAsia="宋体" w:hint="default"/>
                <w:sz w:val="18"/>
                <w:szCs w:val="18"/>
              </w:rPr>
            </w:pPr>
            <w:r>
              <w:rPr>
                <w:rFonts w:ascii="宋体" w:hAnsi="宋体" w:cs="宋体" w:eastAsia="宋体" w:hint="default"/>
                <w:b/>
                <w:bCs/>
                <w:sz w:val="18"/>
                <w:szCs w:val="18"/>
              </w:rPr>
              <w:t>公司名称</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2693"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708" w:right="0"/>
              <w:jc w:val="left"/>
              <w:rPr>
                <w:rFonts w:ascii="宋体" w:hAnsi="宋体" w:cs="宋体" w:eastAsia="宋体" w:hint="default"/>
                <w:sz w:val="18"/>
                <w:szCs w:val="18"/>
              </w:rPr>
            </w:pPr>
            <w:r>
              <w:rPr>
                <w:rFonts w:ascii="宋体" w:hAnsi="宋体" w:cs="宋体" w:eastAsia="宋体" w:hint="default"/>
                <w:b/>
                <w:bCs/>
                <w:sz w:val="18"/>
                <w:szCs w:val="18"/>
              </w:rPr>
              <w:t>当期末持股比例</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2825"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684" w:right="0"/>
              <w:jc w:val="left"/>
              <w:rPr>
                <w:rFonts w:ascii="宋体" w:hAnsi="宋体" w:cs="宋体" w:eastAsia="宋体" w:hint="default"/>
                <w:sz w:val="18"/>
                <w:szCs w:val="18"/>
              </w:rPr>
            </w:pPr>
            <w:r>
              <w:rPr>
                <w:rFonts w:ascii="宋体" w:hAnsi="宋体" w:cs="宋体" w:eastAsia="宋体" w:hint="default"/>
                <w:b/>
                <w:bCs/>
                <w:sz w:val="18"/>
                <w:szCs w:val="18"/>
              </w:rPr>
              <w:t>合并范围变化原因</w:t>
            </w:r>
            <w:r>
              <w:rPr>
                <w:rFonts w:ascii="宋体" w:hAnsi="宋体" w:cs="宋体" w:eastAsia="宋体" w:hint="default"/>
                <w:b/>
                <w:bCs/>
                <w:w w:val="99"/>
                <w:sz w:val="18"/>
                <w:szCs w:val="18"/>
              </w:rPr>
              <w:t> </w:t>
            </w:r>
            <w:r>
              <w:rPr>
                <w:rFonts w:ascii="宋体" w:hAnsi="宋体" w:cs="宋体" w:eastAsia="宋体" w:hint="default"/>
                <w:sz w:val="18"/>
                <w:szCs w:val="18"/>
              </w:rPr>
            </w:r>
          </w:p>
        </w:tc>
      </w:tr>
      <w:tr>
        <w:trPr>
          <w:trHeight w:val="402" w:hRule="exact"/>
        </w:trPr>
        <w:tc>
          <w:tcPr>
            <w:tcW w:w="704" w:type="dxa"/>
            <w:vMerge/>
            <w:tcBorders>
              <w:left w:val="single" w:sz="4" w:space="0" w:color="000000"/>
              <w:bottom w:val="single" w:sz="4" w:space="0" w:color="000000"/>
              <w:right w:val="single" w:sz="4" w:space="0" w:color="000000"/>
            </w:tcBorders>
            <w:shd w:val="clear" w:color="auto" w:fill="D9D9D9"/>
          </w:tcPr>
          <w:p>
            <w:pPr/>
          </w:p>
        </w:tc>
        <w:tc>
          <w:tcPr>
            <w:tcW w:w="3409" w:type="dxa"/>
            <w:vMerge/>
            <w:tcBorders>
              <w:left w:val="single" w:sz="4" w:space="0" w:color="000000"/>
              <w:bottom w:val="single" w:sz="4" w:space="0" w:color="000000"/>
              <w:right w:val="single" w:sz="4" w:space="0" w:color="000000"/>
            </w:tcBorders>
            <w:shd w:val="clear" w:color="auto" w:fill="D9D9D9"/>
          </w:tcPr>
          <w:p>
            <w:pPr/>
          </w:p>
        </w:tc>
        <w:tc>
          <w:tcPr>
            <w:tcW w:w="14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92" w:right="0"/>
              <w:jc w:val="center"/>
              <w:rPr>
                <w:rFonts w:ascii="宋体" w:hAnsi="宋体" w:cs="宋体" w:eastAsia="宋体" w:hint="default"/>
                <w:sz w:val="18"/>
                <w:szCs w:val="18"/>
              </w:rPr>
            </w:pPr>
            <w:r>
              <w:rPr>
                <w:rFonts w:ascii="宋体" w:hAnsi="宋体" w:cs="宋体" w:eastAsia="宋体" w:hint="default"/>
                <w:b/>
                <w:bCs/>
                <w:sz w:val="18"/>
                <w:szCs w:val="18"/>
              </w:rPr>
              <w:t>直接</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92" w:right="0"/>
              <w:jc w:val="center"/>
              <w:rPr>
                <w:rFonts w:ascii="宋体" w:hAnsi="宋体" w:cs="宋体" w:eastAsia="宋体" w:hint="default"/>
                <w:sz w:val="18"/>
                <w:szCs w:val="18"/>
              </w:rPr>
            </w:pPr>
            <w:r>
              <w:rPr>
                <w:rFonts w:ascii="宋体" w:hAnsi="宋体" w:cs="宋体" w:eastAsia="宋体" w:hint="default"/>
                <w:b/>
                <w:bCs/>
                <w:sz w:val="18"/>
                <w:szCs w:val="18"/>
              </w:rPr>
              <w:t>间接</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2825" w:type="dxa"/>
            <w:vMerge/>
            <w:tcBorders>
              <w:left w:val="single" w:sz="4" w:space="0" w:color="000000"/>
              <w:bottom w:val="single" w:sz="4" w:space="0" w:color="000000"/>
              <w:right w:val="single" w:sz="4" w:space="0" w:color="000000"/>
            </w:tcBorders>
            <w:shd w:val="clear" w:color="auto" w:fill="D9D9D9"/>
          </w:tcPr>
          <w:p>
            <w:pPr/>
          </w:p>
        </w:tc>
      </w:tr>
      <w:tr>
        <w:trPr>
          <w:trHeight w:val="401" w:hRule="exact"/>
        </w:trPr>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0"/>
              <w:jc w:val="right"/>
              <w:rPr>
                <w:rFonts w:ascii="宋体" w:hAnsi="宋体" w:cs="宋体" w:eastAsia="宋体" w:hint="default"/>
                <w:sz w:val="18"/>
                <w:szCs w:val="18"/>
              </w:rPr>
            </w:pPr>
            <w:r>
              <w:rPr>
                <w:rFonts w:ascii="宋体"/>
                <w:sz w:val="18"/>
              </w:rPr>
              <w:t>1 </w:t>
            </w:r>
          </w:p>
        </w:tc>
        <w:tc>
          <w:tcPr>
            <w:tcW w:w="3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赣江新区嘉盈信息技术服务有限公司</w:t>
            </w:r>
            <w:r>
              <w:rPr>
                <w:rFonts w:ascii="宋体" w:hAnsi="宋体" w:cs="宋体" w:eastAsia="宋体" w:hint="default"/>
                <w:sz w:val="18"/>
                <w:szCs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90" w:right="0"/>
              <w:jc w:val="center"/>
              <w:rPr>
                <w:rFonts w:ascii="宋体" w:hAnsi="宋体" w:cs="宋体" w:eastAsia="宋体" w:hint="default"/>
                <w:sz w:val="18"/>
                <w:szCs w:val="18"/>
              </w:rPr>
            </w:pPr>
            <w:r>
              <w:rPr>
                <w:rFonts w:ascii="宋体"/>
                <w:sz w:val="18"/>
              </w:rPr>
              <w:t>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92" w:right="0"/>
              <w:jc w:val="center"/>
              <w:rPr>
                <w:rFonts w:ascii="宋体" w:hAnsi="宋体" w:cs="宋体" w:eastAsia="宋体" w:hint="default"/>
                <w:sz w:val="18"/>
                <w:szCs w:val="18"/>
              </w:rPr>
            </w:pPr>
            <w:r>
              <w:rPr>
                <w:rFonts w:ascii="宋体"/>
                <w:sz w:val="18"/>
              </w:rPr>
              <w:t>100.00% </w:t>
            </w:r>
          </w:p>
        </w:tc>
        <w:tc>
          <w:tcPr>
            <w:tcW w:w="2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90" w:right="0"/>
              <w:jc w:val="center"/>
              <w:rPr>
                <w:rFonts w:ascii="宋体" w:hAnsi="宋体" w:cs="宋体" w:eastAsia="宋体" w:hint="default"/>
                <w:sz w:val="18"/>
                <w:szCs w:val="18"/>
              </w:rPr>
            </w:pPr>
            <w:r>
              <w:rPr>
                <w:rFonts w:ascii="宋体" w:hAnsi="宋体" w:cs="宋体" w:eastAsia="宋体" w:hint="default"/>
                <w:sz w:val="18"/>
                <w:szCs w:val="18"/>
              </w:rPr>
              <w:t>新设子公司</w:t>
            </w:r>
            <w:r>
              <w:rPr>
                <w:rFonts w:ascii="宋体" w:hAnsi="宋体" w:cs="宋体" w:eastAsia="宋体" w:hint="default"/>
                <w:sz w:val="18"/>
                <w:szCs w:val="18"/>
              </w:rPr>
              <w:t> </w:t>
            </w:r>
          </w:p>
        </w:tc>
      </w:tr>
      <w:tr>
        <w:trPr>
          <w:trHeight w:val="403" w:hRule="exact"/>
        </w:trPr>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0"/>
              <w:jc w:val="right"/>
              <w:rPr>
                <w:rFonts w:ascii="宋体" w:hAnsi="宋体" w:cs="宋体" w:eastAsia="宋体" w:hint="default"/>
                <w:sz w:val="18"/>
                <w:szCs w:val="18"/>
              </w:rPr>
            </w:pPr>
            <w:r>
              <w:rPr>
                <w:rFonts w:ascii="宋体"/>
                <w:sz w:val="18"/>
              </w:rPr>
              <w:t>2 </w:t>
            </w:r>
          </w:p>
        </w:tc>
        <w:tc>
          <w:tcPr>
            <w:tcW w:w="34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南京石鼓文信息技术有限公司</w:t>
            </w:r>
            <w:r>
              <w:rPr>
                <w:rFonts w:ascii="宋体" w:hAnsi="宋体" w:cs="宋体" w:eastAsia="宋体" w:hint="default"/>
                <w:sz w:val="18"/>
                <w:szCs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90" w:right="0"/>
              <w:jc w:val="center"/>
              <w:rPr>
                <w:rFonts w:ascii="宋体" w:hAnsi="宋体" w:cs="宋体" w:eastAsia="宋体" w:hint="default"/>
                <w:sz w:val="18"/>
                <w:szCs w:val="18"/>
              </w:rPr>
            </w:pPr>
            <w:r>
              <w:rPr>
                <w:rFonts w:ascii="宋体"/>
                <w:sz w:val="18"/>
              </w:rPr>
              <w:t>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92" w:right="0"/>
              <w:jc w:val="center"/>
              <w:rPr>
                <w:rFonts w:ascii="宋体" w:hAnsi="宋体" w:cs="宋体" w:eastAsia="宋体" w:hint="default"/>
                <w:sz w:val="18"/>
                <w:szCs w:val="18"/>
              </w:rPr>
            </w:pPr>
            <w:r>
              <w:rPr>
                <w:rFonts w:ascii="宋体"/>
                <w:sz w:val="18"/>
              </w:rPr>
              <w:t>100.00% </w:t>
            </w:r>
          </w:p>
        </w:tc>
        <w:tc>
          <w:tcPr>
            <w:tcW w:w="2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87" w:right="0"/>
              <w:jc w:val="center"/>
              <w:rPr>
                <w:rFonts w:ascii="宋体" w:hAnsi="宋体" w:cs="宋体" w:eastAsia="宋体" w:hint="default"/>
                <w:sz w:val="18"/>
                <w:szCs w:val="18"/>
              </w:rPr>
            </w:pPr>
            <w:r>
              <w:rPr>
                <w:rFonts w:ascii="宋体" w:hAnsi="宋体" w:cs="宋体" w:eastAsia="宋体" w:hint="default"/>
                <w:sz w:val="18"/>
                <w:szCs w:val="18"/>
              </w:rPr>
              <w:t>非同一控制下企业合并</w:t>
            </w:r>
            <w:r>
              <w:rPr>
                <w:rFonts w:ascii="宋体" w:hAnsi="宋体" w:cs="宋体" w:eastAsia="宋体" w:hint="default"/>
                <w:sz w:val="18"/>
                <w:szCs w:val="18"/>
              </w:rPr>
              <w:t> </w:t>
            </w:r>
          </w:p>
        </w:tc>
      </w:tr>
    </w:tbl>
    <w:p>
      <w:pPr>
        <w:pStyle w:val="BodyText"/>
        <w:spacing w:line="262" w:lineRule="exact"/>
        <w:ind w:left="573" w:right="819"/>
        <w:jc w:val="left"/>
      </w:pPr>
      <w:r>
        <w:rPr/>
        <w:t>此外，霍尔果斯长实云谷信息科技有限公司于</w:t>
      </w:r>
      <w:r>
        <w:rPr>
          <w:spacing w:val="-58"/>
        </w:rPr>
        <w:t> </w:t>
      </w:r>
      <w:r>
        <w:rPr>
          <w:rFonts w:ascii="宋体" w:hAnsi="宋体" w:cs="宋体" w:eastAsia="宋体" w:hint="default"/>
        </w:rPr>
        <w:t>2019</w:t>
      </w:r>
      <w:r>
        <w:rPr>
          <w:rFonts w:ascii="宋体" w:hAnsi="宋体" w:cs="宋体" w:eastAsia="宋体" w:hint="default"/>
          <w:spacing w:val="-60"/>
        </w:rPr>
        <w:t> </w:t>
      </w:r>
      <w:r>
        <w:rPr/>
        <w:t>年</w:t>
      </w:r>
      <w:r>
        <w:rPr>
          <w:spacing w:val="-58"/>
        </w:rPr>
        <w:t> </w:t>
      </w:r>
      <w:r>
        <w:rPr>
          <w:rFonts w:ascii="宋体" w:hAnsi="宋体" w:cs="宋体" w:eastAsia="宋体" w:hint="default"/>
        </w:rPr>
        <w:t>2</w:t>
      </w:r>
      <w:r>
        <w:rPr>
          <w:rFonts w:ascii="宋体" w:hAnsi="宋体" w:cs="宋体" w:eastAsia="宋体" w:hint="default"/>
          <w:spacing w:val="-60"/>
        </w:rPr>
        <w:t> </w:t>
      </w:r>
      <w:r>
        <w:rPr/>
        <w:t>月</w:t>
      </w:r>
      <w:r>
        <w:rPr>
          <w:spacing w:val="-58"/>
        </w:rPr>
        <w:t> </w:t>
      </w:r>
      <w:r>
        <w:rPr>
          <w:rFonts w:ascii="宋体" w:hAnsi="宋体" w:cs="宋体" w:eastAsia="宋体" w:hint="default"/>
        </w:rPr>
        <w:t>15</w:t>
      </w:r>
      <w:r>
        <w:rPr>
          <w:rFonts w:ascii="宋体" w:hAnsi="宋体" w:cs="宋体" w:eastAsia="宋体" w:hint="default"/>
          <w:spacing w:val="-60"/>
        </w:rPr>
        <w:t> </w:t>
      </w:r>
      <w:r>
        <w:rPr/>
        <w:t>日注销，工商登记注销手续已经办理完</w:t>
      </w:r>
    </w:p>
    <w:p>
      <w:pPr>
        <w:pStyle w:val="BodyText"/>
        <w:spacing w:line="240" w:lineRule="auto" w:before="37"/>
        <w:ind w:right="0"/>
        <w:jc w:val="both"/>
      </w:pPr>
      <w:r>
        <w:rPr>
          <w:spacing w:val="-3"/>
        </w:rPr>
        <w:t>毕；合肥御聚信息技术有限公司于</w:t>
      </w:r>
      <w:r>
        <w:rPr>
          <w:spacing w:val="-45"/>
        </w:rPr>
        <w:t> </w:t>
      </w:r>
      <w:r>
        <w:rPr>
          <w:rFonts w:ascii="宋体" w:hAnsi="宋体" w:cs="宋体" w:eastAsia="宋体" w:hint="default"/>
        </w:rPr>
        <w:t>2019</w:t>
      </w:r>
      <w:r>
        <w:rPr>
          <w:rFonts w:ascii="宋体" w:hAnsi="宋体" w:cs="宋体" w:eastAsia="宋体" w:hint="default"/>
          <w:spacing w:val="-48"/>
        </w:rPr>
        <w:t> </w:t>
      </w:r>
      <w:r>
        <w:rPr/>
        <w:t>年</w:t>
      </w:r>
      <w:r>
        <w:rPr>
          <w:spacing w:val="-46"/>
        </w:rPr>
        <w:t> </w:t>
      </w:r>
      <w:r>
        <w:rPr>
          <w:rFonts w:ascii="宋体" w:hAnsi="宋体" w:cs="宋体" w:eastAsia="宋体" w:hint="default"/>
        </w:rPr>
        <w:t>3</w:t>
      </w:r>
      <w:r>
        <w:rPr>
          <w:rFonts w:ascii="宋体" w:hAnsi="宋体" w:cs="宋体" w:eastAsia="宋体" w:hint="default"/>
          <w:spacing w:val="-48"/>
        </w:rPr>
        <w:t> </w:t>
      </w:r>
      <w:r>
        <w:rPr/>
        <w:t>月</w:t>
      </w:r>
      <w:r>
        <w:rPr>
          <w:spacing w:val="-46"/>
        </w:rPr>
        <w:t> </w:t>
      </w:r>
      <w:r>
        <w:rPr>
          <w:rFonts w:ascii="宋体" w:hAnsi="宋体" w:cs="宋体" w:eastAsia="宋体" w:hint="default"/>
        </w:rPr>
        <w:t>25</w:t>
      </w:r>
      <w:r>
        <w:rPr>
          <w:rFonts w:ascii="宋体" w:hAnsi="宋体" w:cs="宋体" w:eastAsia="宋体" w:hint="default"/>
          <w:spacing w:val="-48"/>
        </w:rPr>
        <w:t> </w:t>
      </w:r>
      <w:r>
        <w:rPr>
          <w:spacing w:val="-4"/>
        </w:rPr>
        <w:t>日注销，工商登记注销手续已经办理完毕。</w:t>
      </w:r>
      <w:r>
        <w:rPr>
          <w:rFonts w:ascii="宋体" w:hAnsi="宋体" w:cs="宋体" w:eastAsia="宋体" w:hint="default"/>
          <w:spacing w:val="-4"/>
        </w:rPr>
        <w:t>2019</w:t>
      </w:r>
      <w:r>
        <w:rPr>
          <w:rFonts w:ascii="宋体" w:hAnsi="宋体" w:cs="宋体" w:eastAsia="宋体" w:hint="default"/>
          <w:spacing w:val="-48"/>
        </w:rPr>
        <w:t> </w:t>
      </w:r>
      <w:r>
        <w:rPr/>
        <w:t>年</w:t>
      </w:r>
      <w:r>
        <w:rPr>
          <w:spacing w:val="-48"/>
        </w:rPr>
        <w:t> </w:t>
      </w:r>
      <w:r>
        <w:rPr>
          <w:rFonts w:ascii="宋体" w:hAnsi="宋体" w:cs="宋体" w:eastAsia="宋体" w:hint="default"/>
        </w:rPr>
        <w:t>5</w:t>
      </w:r>
      <w:r>
        <w:rPr>
          <w:rFonts w:ascii="宋体" w:hAnsi="宋体" w:cs="宋体" w:eastAsia="宋体" w:hint="default"/>
          <w:spacing w:val="-46"/>
        </w:rPr>
        <w:t> </w:t>
      </w:r>
      <w:r>
        <w:rPr/>
        <w:t>月</w:t>
      </w:r>
    </w:p>
    <w:p>
      <w:pPr>
        <w:pStyle w:val="BodyText"/>
        <w:spacing w:line="273" w:lineRule="auto" w:before="37"/>
        <w:ind w:right="1127"/>
        <w:jc w:val="both"/>
        <w:rPr>
          <w:rFonts w:ascii="宋体" w:hAnsi="宋体" w:cs="宋体" w:eastAsia="宋体" w:hint="default"/>
        </w:rPr>
      </w:pPr>
      <w:r>
        <w:rPr>
          <w:rFonts w:ascii="宋体" w:hAnsi="宋体" w:cs="宋体" w:eastAsia="宋体" w:hint="default"/>
        </w:rPr>
        <w:t>22 </w:t>
      </w:r>
      <w:r>
        <w:rPr>
          <w:spacing w:val="-4"/>
        </w:rPr>
        <w:t>日霍尔果斯煊嘉信息技术有限公司从新疆伊利迁址到宁波，公司更名为宁波煊嘉信息技术有限公司，工</w:t>
      </w:r>
      <w:r>
        <w:rPr>
          <w:spacing w:val="-63"/>
        </w:rPr>
        <w:t> </w:t>
      </w:r>
      <w:r>
        <w:rPr>
          <w:spacing w:val="-63"/>
        </w:rPr>
      </w:r>
      <w:r>
        <w:rPr>
          <w:spacing w:val="-2"/>
        </w:rPr>
        <w:t>商执照已经办理完毕。具体参见本报告第十二章财务报告附注“七、合并范围的变更”及“八、在其他主</w:t>
      </w:r>
      <w:r>
        <w:rPr>
          <w:spacing w:val="-42"/>
        </w:rPr>
        <w:t> </w:t>
      </w:r>
      <w:r>
        <w:rPr>
          <w:spacing w:val="-42"/>
        </w:rPr>
      </w:r>
      <w:r>
        <w:rPr/>
        <w:t>体中的权益”相关内容。</w:t>
      </w:r>
      <w:r>
        <w:rPr>
          <w:rFonts w:ascii="宋体" w:hAnsi="宋体" w:cs="宋体" w:eastAsia="宋体" w:hint="default"/>
        </w:rPr>
        <w:t> </w:t>
      </w:r>
    </w:p>
    <w:p>
      <w:pPr>
        <w:pStyle w:val="Heading3"/>
        <w:spacing w:line="240" w:lineRule="auto" w:before="127"/>
        <w:ind w:right="0"/>
        <w:jc w:val="both"/>
        <w:rPr>
          <w:b w:val="0"/>
          <w:bCs w:val="0"/>
        </w:rPr>
      </w:pPr>
      <w:r>
        <w:rPr>
          <w:rFonts w:ascii="Times New Roman" w:hAnsi="Times New Roman" w:cs="Times New Roman" w:eastAsia="Times New Roman" w:hint="default"/>
        </w:rPr>
        <w:t>7</w:t>
      </w:r>
      <w:r>
        <w:rPr/>
        <w:t>、公司报告期内业务、产品或服务发生重大变化或调整有关情况</w:t>
      </w:r>
      <w:r>
        <w:rPr>
          <w:b w:val="0"/>
          <w:bCs w:val="0"/>
        </w:rPr>
      </w:r>
    </w:p>
    <w:p>
      <w:pPr>
        <w:pStyle w:val="BodyText"/>
        <w:spacing w:line="240" w:lineRule="auto" w:before="141"/>
        <w:ind w:left="573" w:right="1133"/>
        <w:jc w:val="left"/>
        <w:rPr>
          <w:rFonts w:ascii="宋体" w:hAnsi="宋体" w:cs="宋体" w:eastAsia="宋体" w:hint="default"/>
        </w:rPr>
      </w:pPr>
      <w:r>
        <w:rPr/>
        <w:t>□适用 </w:t>
      </w:r>
      <w:r>
        <w:rPr>
          <w:rFonts w:ascii="宋体" w:hAnsi="宋体" w:cs="宋体" w:eastAsia="宋体" w:hint="default"/>
        </w:rPr>
      </w:r>
      <w:r>
        <w:rPr/>
        <w:t>√</w:t>
      </w:r>
      <w:r>
        <w:rPr>
          <w:spacing w:val="-3"/>
        </w:rPr>
        <w:t> </w:t>
      </w:r>
      <w:r>
        <w:rPr/>
        <w:t>不适用</w:t>
      </w:r>
      <w:r>
        <w:rPr>
          <w:rFonts w:ascii="宋体" w:hAnsi="宋体" w:cs="宋体" w:eastAsia="宋体" w:hint="default"/>
        </w:rPr>
        <w:t> </w:t>
      </w:r>
    </w:p>
    <w:p>
      <w:pPr>
        <w:spacing w:line="290" w:lineRule="auto" w:before="157"/>
        <w:ind w:left="152" w:right="5542" w:firstLine="0"/>
        <w:jc w:val="left"/>
        <w:rPr>
          <w:rFonts w:ascii="宋体" w:hAnsi="宋体" w:cs="宋体" w:eastAsia="宋体" w:hint="default"/>
          <w:sz w:val="21"/>
          <w:szCs w:val="21"/>
        </w:rPr>
      </w:pPr>
      <w:r>
        <w:rPr>
          <w:rFonts w:ascii="Times New Roman" w:hAnsi="Times New Roman" w:cs="Times New Roman" w:eastAsia="Times New Roman" w:hint="default"/>
          <w:b/>
          <w:bCs/>
          <w:spacing w:val="-1"/>
          <w:sz w:val="21"/>
          <w:szCs w:val="21"/>
        </w:rPr>
        <w:t>8</w:t>
      </w:r>
      <w:r>
        <w:rPr>
          <w:rFonts w:ascii="宋体" w:hAnsi="宋体" w:cs="宋体" w:eastAsia="宋体" w:hint="default"/>
          <w:b/>
          <w:bCs/>
          <w:spacing w:val="-1"/>
          <w:sz w:val="21"/>
          <w:szCs w:val="21"/>
        </w:rPr>
        <w:t>、主要销售客户和主要供应商情况</w:t>
      </w:r>
      <w:r>
        <w:rPr>
          <w:rFonts w:ascii="宋体" w:hAnsi="宋体" w:cs="宋体" w:eastAsia="宋体" w:hint="default"/>
          <w:b/>
          <w:bCs/>
          <w:spacing w:val="-90"/>
          <w:sz w:val="21"/>
          <w:szCs w:val="21"/>
        </w:rPr>
        <w:t> </w:t>
      </w:r>
      <w:r>
        <w:rPr>
          <w:rFonts w:ascii="宋体" w:hAnsi="宋体" w:cs="宋体" w:eastAsia="宋体" w:hint="default"/>
          <w:b/>
          <w:bCs/>
          <w:spacing w:val="-90"/>
          <w:sz w:val="21"/>
          <w:szCs w:val="21"/>
        </w:rPr>
      </w:r>
      <w:r>
        <w:rPr>
          <w:rFonts w:ascii="宋体" w:hAnsi="宋体" w:cs="宋体" w:eastAsia="宋体" w:hint="default"/>
          <w:sz w:val="21"/>
          <w:szCs w:val="21"/>
        </w:rPr>
        <w:t>公司主要销售客户情况</w:t>
      </w:r>
    </w:p>
    <w:p>
      <w:pPr>
        <w:spacing w:line="240" w:lineRule="auto" w:before="7"/>
        <w:rPr>
          <w:rFonts w:ascii="宋体" w:hAnsi="宋体" w:cs="宋体" w:eastAsia="宋体" w:hint="default"/>
          <w:sz w:val="3"/>
          <w:szCs w:val="3"/>
        </w:rPr>
      </w:pPr>
    </w:p>
    <w:tbl>
      <w:tblPr>
        <w:tblW w:w="0" w:type="auto"/>
        <w:jc w:val="left"/>
        <w:tblInd w:w="149" w:type="dxa"/>
        <w:tblLayout w:type="fixed"/>
        <w:tblCellMar>
          <w:top w:w="0" w:type="dxa"/>
          <w:left w:w="0" w:type="dxa"/>
          <w:bottom w:w="0" w:type="dxa"/>
          <w:right w:w="0" w:type="dxa"/>
        </w:tblCellMar>
        <w:tblLook w:val="01E0"/>
      </w:tblPr>
      <w:tblGrid>
        <w:gridCol w:w="4963"/>
        <w:gridCol w:w="4607"/>
      </w:tblGrid>
      <w:tr>
        <w:trPr>
          <w:trHeight w:val="403" w:hRule="exact"/>
        </w:trPr>
        <w:tc>
          <w:tcPr>
            <w:tcW w:w="49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前五名客户合计销售金额（元）</w:t>
            </w:r>
          </w:p>
        </w:tc>
        <w:tc>
          <w:tcPr>
            <w:tcW w:w="4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9"/>
              <w:jc w:val="right"/>
              <w:rPr>
                <w:rFonts w:ascii="宋体" w:hAnsi="宋体" w:cs="宋体" w:eastAsia="宋体" w:hint="default"/>
                <w:sz w:val="18"/>
                <w:szCs w:val="18"/>
              </w:rPr>
            </w:pPr>
            <w:r>
              <w:rPr>
                <w:rFonts w:ascii="宋体"/>
                <w:spacing w:val="-1"/>
                <w:sz w:val="18"/>
              </w:rPr>
              <w:t>697,285,757.51</w:t>
            </w:r>
          </w:p>
        </w:tc>
      </w:tr>
      <w:tr>
        <w:trPr>
          <w:trHeight w:val="402" w:hRule="exact"/>
        </w:trPr>
        <w:tc>
          <w:tcPr>
            <w:tcW w:w="49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前五名客户合计销售金额占年度销售总额比例（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4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z w:val="18"/>
              </w:rPr>
              <w:t>22.05</w:t>
            </w:r>
          </w:p>
        </w:tc>
      </w:tr>
      <w:tr>
        <w:trPr>
          <w:trHeight w:val="402" w:hRule="exact"/>
        </w:trPr>
        <w:tc>
          <w:tcPr>
            <w:tcW w:w="49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前五名客户销售额中关联方销售额占年度销售总额比例</w:t>
            </w:r>
          </w:p>
        </w:tc>
        <w:tc>
          <w:tcPr>
            <w:tcW w:w="4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8"/>
              <w:jc w:val="right"/>
              <w:rPr>
                <w:rFonts w:ascii="宋体" w:hAnsi="宋体" w:cs="宋体" w:eastAsia="宋体" w:hint="default"/>
                <w:sz w:val="18"/>
                <w:szCs w:val="18"/>
              </w:rPr>
            </w:pPr>
            <w:r>
              <w:rPr>
                <w:rFonts w:ascii="宋体"/>
                <w:sz w:val="18"/>
              </w:rPr>
              <w:t>--</w:t>
            </w:r>
          </w:p>
        </w:tc>
      </w:tr>
    </w:tbl>
    <w:p>
      <w:pPr>
        <w:spacing w:line="240" w:lineRule="auto" w:before="8"/>
        <w:rPr>
          <w:rFonts w:ascii="宋体" w:hAnsi="宋体" w:cs="宋体" w:eastAsia="宋体" w:hint="default"/>
          <w:sz w:val="14"/>
          <w:szCs w:val="14"/>
        </w:rPr>
      </w:pPr>
    </w:p>
    <w:p>
      <w:pPr>
        <w:pStyle w:val="BodyText"/>
        <w:spacing w:line="240" w:lineRule="auto" w:before="36"/>
        <w:ind w:right="1133"/>
        <w:jc w:val="left"/>
        <w:rPr>
          <w:rFonts w:ascii="宋体" w:hAnsi="宋体" w:cs="宋体" w:eastAsia="宋体" w:hint="default"/>
        </w:rPr>
      </w:pPr>
      <w:r>
        <w:rPr/>
        <w:t>公司前</w:t>
      </w:r>
      <w:r>
        <w:rPr>
          <w:spacing w:val="-53"/>
        </w:rPr>
        <w:t> </w:t>
      </w:r>
      <w:r>
        <w:rPr>
          <w:rFonts w:ascii="宋体" w:hAnsi="宋体" w:cs="宋体" w:eastAsia="宋体" w:hint="default"/>
        </w:rPr>
        <w:t>5</w:t>
      </w:r>
      <w:r>
        <w:rPr>
          <w:rFonts w:ascii="宋体" w:hAnsi="宋体" w:cs="宋体" w:eastAsia="宋体" w:hint="default"/>
          <w:spacing w:val="-54"/>
        </w:rPr>
        <w:t> </w:t>
      </w:r>
      <w:r>
        <w:rPr/>
        <w:t>大客户 </w:t>
      </w:r>
      <w:r>
        <w:rPr>
          <w:rFonts w:ascii="宋体" w:hAnsi="宋体" w:cs="宋体" w:eastAsia="宋体" w:hint="default"/>
        </w:rPr>
        <w:t>(</w:t>
      </w:r>
      <w:r>
        <w:rPr/>
        <w:t>不存在同一实际控制人控制的客户</w:t>
      </w:r>
      <w:r>
        <w:rPr>
          <w:rFonts w:ascii="宋体" w:hAnsi="宋体" w:cs="宋体" w:eastAsia="宋体" w:hint="default"/>
        </w:rPr>
        <w:t>) </w:t>
      </w:r>
      <w:r>
        <w:rPr>
          <w:spacing w:val="-3"/>
        </w:rPr>
        <w:t>资料</w:t>
      </w:r>
      <w:r>
        <w:rPr>
          <w:rFonts w:ascii="宋体" w:hAnsi="宋体" w:cs="宋体" w:eastAsia="宋体" w:hint="default"/>
        </w:rPr>
        <w:t> </w:t>
      </w:r>
    </w:p>
    <w:p>
      <w:pPr>
        <w:spacing w:line="240" w:lineRule="auto" w:before="12"/>
        <w:rPr>
          <w:rFonts w:ascii="宋体" w:hAnsi="宋体" w:cs="宋体" w:eastAsia="宋体" w:hint="default"/>
          <w:sz w:val="6"/>
          <w:szCs w:val="6"/>
        </w:rPr>
      </w:pPr>
    </w:p>
    <w:tbl>
      <w:tblPr>
        <w:tblW w:w="0" w:type="auto"/>
        <w:jc w:val="left"/>
        <w:tblInd w:w="114" w:type="dxa"/>
        <w:tblLayout w:type="fixed"/>
        <w:tblCellMar>
          <w:top w:w="0" w:type="dxa"/>
          <w:left w:w="0" w:type="dxa"/>
          <w:bottom w:w="0" w:type="dxa"/>
          <w:right w:w="0" w:type="dxa"/>
        </w:tblCellMar>
        <w:tblLook w:val="01E0"/>
      </w:tblPr>
      <w:tblGrid>
        <w:gridCol w:w="802"/>
        <w:gridCol w:w="3303"/>
        <w:gridCol w:w="2321"/>
        <w:gridCol w:w="3145"/>
      </w:tblGrid>
      <w:tr>
        <w:trPr>
          <w:trHeight w:val="322"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center"/>
              <w:rPr>
                <w:rFonts w:ascii="宋体" w:hAnsi="宋体" w:cs="宋体" w:eastAsia="宋体" w:hint="default"/>
                <w:sz w:val="18"/>
                <w:szCs w:val="18"/>
              </w:rPr>
            </w:pPr>
            <w:r>
              <w:rPr>
                <w:rFonts w:ascii="宋体" w:hAnsi="宋体" w:cs="宋体" w:eastAsia="宋体" w:hint="default"/>
                <w:sz w:val="18"/>
                <w:szCs w:val="18"/>
              </w:rPr>
              <w:t>序号</w:t>
            </w: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4" w:right="0"/>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23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616" w:right="0"/>
              <w:jc w:val="left"/>
              <w:rPr>
                <w:rFonts w:ascii="宋体" w:hAnsi="宋体" w:cs="宋体" w:eastAsia="宋体" w:hint="default"/>
                <w:sz w:val="18"/>
                <w:szCs w:val="18"/>
              </w:rPr>
            </w:pPr>
            <w:r>
              <w:rPr>
                <w:rFonts w:ascii="宋体" w:hAnsi="宋体" w:cs="宋体" w:eastAsia="宋体" w:hint="default"/>
                <w:sz w:val="18"/>
                <w:szCs w:val="18"/>
              </w:rPr>
              <w:t>销售额（元）</w:t>
            </w:r>
          </w:p>
        </w:tc>
        <w:tc>
          <w:tcPr>
            <w:tcW w:w="31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501" w:right="0"/>
              <w:jc w:val="left"/>
              <w:rPr>
                <w:rFonts w:ascii="宋体" w:hAnsi="宋体" w:cs="宋体" w:eastAsia="宋体" w:hint="default"/>
                <w:sz w:val="18"/>
                <w:szCs w:val="18"/>
              </w:rPr>
            </w:pPr>
            <w:r>
              <w:rPr>
                <w:rFonts w:ascii="宋体" w:hAnsi="宋体" w:cs="宋体" w:eastAsia="宋体" w:hint="default"/>
                <w:sz w:val="18"/>
                <w:szCs w:val="18"/>
              </w:rPr>
              <w:t>占年度销售总额比例（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322"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sz w:val="18"/>
              </w:rPr>
              <w:t>1</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宋体" w:hAnsi="宋体" w:cs="宋体" w:eastAsia="宋体" w:hint="default"/>
                <w:sz w:val="18"/>
                <w:szCs w:val="18"/>
              </w:rPr>
            </w:pPr>
            <w:r>
              <w:rPr>
                <w:rFonts w:ascii="宋体"/>
                <w:spacing w:val="-1"/>
                <w:sz w:val="18"/>
              </w:rPr>
              <w:t>239,517,258.66</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宋体" w:hAnsi="宋体" w:cs="宋体" w:eastAsia="宋体" w:hint="default"/>
                <w:sz w:val="18"/>
                <w:szCs w:val="18"/>
              </w:rPr>
            </w:pPr>
            <w:r>
              <w:rPr>
                <w:rFonts w:ascii="宋体"/>
                <w:sz w:val="18"/>
              </w:rPr>
              <w:t>7.57</w:t>
            </w:r>
          </w:p>
        </w:tc>
      </w:tr>
      <w:tr>
        <w:trPr>
          <w:trHeight w:val="322"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sz w:val="18"/>
              </w:rPr>
              <w:t>2</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宋体" w:hAnsi="宋体" w:cs="宋体" w:eastAsia="宋体" w:hint="default"/>
                <w:sz w:val="18"/>
                <w:szCs w:val="18"/>
              </w:rPr>
            </w:pPr>
            <w:r>
              <w:rPr>
                <w:rFonts w:ascii="宋体"/>
                <w:spacing w:val="-1"/>
                <w:sz w:val="18"/>
              </w:rPr>
              <w:t>139,842,957.05</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宋体" w:hAnsi="宋体" w:cs="宋体" w:eastAsia="宋体" w:hint="default"/>
                <w:sz w:val="18"/>
                <w:szCs w:val="18"/>
              </w:rPr>
            </w:pPr>
            <w:r>
              <w:rPr>
                <w:rFonts w:ascii="宋体"/>
                <w:sz w:val="18"/>
              </w:rPr>
              <w:t>4.42</w:t>
            </w:r>
          </w:p>
        </w:tc>
      </w:tr>
      <w:tr>
        <w:trPr>
          <w:trHeight w:val="322"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sz w:val="18"/>
              </w:rPr>
              <w:t>3</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宋体" w:hAnsi="宋体" w:cs="宋体" w:eastAsia="宋体" w:hint="default"/>
                <w:sz w:val="18"/>
                <w:szCs w:val="18"/>
              </w:rPr>
            </w:pPr>
            <w:r>
              <w:rPr>
                <w:rFonts w:ascii="宋体"/>
                <w:spacing w:val="-1"/>
                <w:sz w:val="18"/>
              </w:rPr>
              <w:t>110,423,798.37</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宋体" w:hAnsi="宋体" w:cs="宋体" w:eastAsia="宋体" w:hint="default"/>
                <w:sz w:val="18"/>
                <w:szCs w:val="18"/>
              </w:rPr>
            </w:pPr>
            <w:r>
              <w:rPr>
                <w:rFonts w:ascii="宋体"/>
                <w:sz w:val="18"/>
              </w:rPr>
              <w:t>3.49</w:t>
            </w:r>
          </w:p>
        </w:tc>
      </w:tr>
      <w:tr>
        <w:trPr>
          <w:trHeight w:val="324"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5"/>
              <w:ind w:right="0"/>
              <w:jc w:val="center"/>
              <w:rPr>
                <w:rFonts w:ascii="Times New Roman" w:hAnsi="Times New Roman" w:cs="Times New Roman" w:eastAsia="Times New Roman" w:hint="default"/>
                <w:sz w:val="18"/>
                <w:szCs w:val="18"/>
              </w:rPr>
            </w:pPr>
            <w:r>
              <w:rPr>
                <w:rFonts w:ascii="Times New Roman"/>
                <w:sz w:val="18"/>
              </w:rPr>
              <w:t>4</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5"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21"/>
              <w:jc w:val="right"/>
              <w:rPr>
                <w:rFonts w:ascii="宋体" w:hAnsi="宋体" w:cs="宋体" w:eastAsia="宋体" w:hint="default"/>
                <w:sz w:val="18"/>
                <w:szCs w:val="18"/>
              </w:rPr>
            </w:pPr>
            <w:r>
              <w:rPr>
                <w:rFonts w:ascii="宋体"/>
                <w:spacing w:val="-1"/>
                <w:sz w:val="18"/>
              </w:rPr>
              <w:t>107,400,090.30</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21"/>
              <w:jc w:val="right"/>
              <w:rPr>
                <w:rFonts w:ascii="宋体" w:hAnsi="宋体" w:cs="宋体" w:eastAsia="宋体" w:hint="default"/>
                <w:sz w:val="18"/>
                <w:szCs w:val="18"/>
              </w:rPr>
            </w:pPr>
            <w:r>
              <w:rPr>
                <w:rFonts w:ascii="宋体"/>
                <w:sz w:val="18"/>
              </w:rPr>
              <w:t>3.40</w:t>
            </w:r>
          </w:p>
        </w:tc>
      </w:tr>
      <w:tr>
        <w:trPr>
          <w:trHeight w:val="322"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Times New Roman" w:hAnsi="Times New Roman" w:cs="Times New Roman" w:eastAsia="Times New Roman" w:hint="default"/>
                <w:sz w:val="18"/>
                <w:szCs w:val="18"/>
              </w:rPr>
            </w:pPr>
            <w:r>
              <w:rPr>
                <w:rFonts w:ascii="Times New Roman"/>
                <w:sz w:val="18"/>
              </w:rPr>
              <w:t>5</w:t>
            </w:r>
          </w:p>
        </w:tc>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客户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宋体" w:hAnsi="宋体" w:cs="宋体" w:eastAsia="宋体" w:hint="default"/>
                <w:sz w:val="18"/>
                <w:szCs w:val="18"/>
              </w:rPr>
            </w:pPr>
            <w:r>
              <w:rPr>
                <w:rFonts w:ascii="宋体"/>
                <w:spacing w:val="-1"/>
                <w:sz w:val="18"/>
              </w:rPr>
              <w:t>100,101,653.13</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宋体" w:hAnsi="宋体" w:cs="宋体" w:eastAsia="宋体" w:hint="default"/>
                <w:sz w:val="18"/>
                <w:szCs w:val="18"/>
              </w:rPr>
            </w:pPr>
            <w:r>
              <w:rPr>
                <w:rFonts w:ascii="宋体"/>
                <w:sz w:val="18"/>
              </w:rPr>
              <w:t>3.17</w:t>
            </w:r>
          </w:p>
        </w:tc>
      </w:tr>
      <w:tr>
        <w:trPr>
          <w:trHeight w:val="322"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33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 w:right="0"/>
              <w:jc w:val="center"/>
              <w:rPr>
                <w:rFonts w:ascii="Times New Roman" w:hAnsi="Times New Roman" w:cs="Times New Roman" w:eastAsia="Times New Roman" w:hint="default"/>
                <w:sz w:val="18"/>
                <w:szCs w:val="18"/>
              </w:rPr>
            </w:pPr>
            <w:r>
              <w:rPr>
                <w:rFonts w:ascii="Times New Roman"/>
                <w:sz w:val="18"/>
              </w:rPr>
              <w:t>--</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宋体" w:hAnsi="宋体" w:cs="宋体" w:eastAsia="宋体" w:hint="default"/>
                <w:sz w:val="18"/>
                <w:szCs w:val="18"/>
              </w:rPr>
            </w:pPr>
            <w:r>
              <w:rPr>
                <w:rFonts w:ascii="宋体"/>
                <w:spacing w:val="-1"/>
                <w:sz w:val="18"/>
              </w:rPr>
              <w:t>697,285,757.51</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宋体" w:hAnsi="宋体" w:cs="宋体" w:eastAsia="宋体" w:hint="default"/>
                <w:sz w:val="18"/>
                <w:szCs w:val="18"/>
              </w:rPr>
            </w:pPr>
            <w:r>
              <w:rPr>
                <w:rFonts w:ascii="宋体"/>
                <w:sz w:val="18"/>
              </w:rPr>
              <w:t>22.05</w:t>
            </w:r>
          </w:p>
        </w:tc>
      </w:tr>
      <w:tr>
        <w:trPr>
          <w:trHeight w:val="946"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说明</w:t>
            </w:r>
          </w:p>
        </w:tc>
        <w:tc>
          <w:tcPr>
            <w:tcW w:w="8769" w:type="dxa"/>
            <w:gridSpan w:val="3"/>
            <w:tcBorders>
              <w:top w:val="single" w:sz="4" w:space="0" w:color="000000"/>
              <w:left w:val="single" w:sz="4" w:space="0" w:color="000000"/>
              <w:bottom w:val="single" w:sz="4" w:space="0" w:color="000000"/>
              <w:right w:val="single" w:sz="4" w:space="0" w:color="000000"/>
            </w:tcBorders>
          </w:tcPr>
          <w:p>
            <w:pPr>
              <w:pStyle w:val="TableParagraph"/>
              <w:spacing w:line="273" w:lineRule="auto"/>
              <w:ind w:left="26" w:right="113"/>
              <w:jc w:val="both"/>
              <w:rPr>
                <w:rFonts w:ascii="宋体" w:hAnsi="宋体" w:cs="宋体" w:eastAsia="宋体" w:hint="default"/>
                <w:sz w:val="21"/>
                <w:szCs w:val="21"/>
              </w:rPr>
            </w:pPr>
            <w:r>
              <w:rPr>
                <w:rFonts w:ascii="宋体" w:hAnsi="宋体" w:cs="宋体" w:eastAsia="宋体" w:hint="default"/>
                <w:spacing w:val="-2"/>
                <w:sz w:val="21"/>
                <w:szCs w:val="21"/>
              </w:rPr>
              <w:t>前五名客户与公司不存在关联关系，公司董事、监事、高级管理人员、核心技术人员、持股</w:t>
            </w:r>
            <w:r>
              <w:rPr>
                <w:rFonts w:ascii="宋体" w:hAnsi="宋体" w:cs="宋体" w:eastAsia="宋体" w:hint="default"/>
                <w:spacing w:val="-2"/>
                <w:sz w:val="21"/>
                <w:szCs w:val="21"/>
              </w:rPr>
              <w:t>5%</w:t>
            </w:r>
            <w:r>
              <w:rPr>
                <w:rFonts w:ascii="宋体" w:hAnsi="宋体" w:cs="宋体" w:eastAsia="宋体" w:hint="default"/>
                <w:spacing w:val="-26"/>
                <w:sz w:val="21"/>
                <w:szCs w:val="21"/>
              </w:rPr>
              <w:t> </w:t>
            </w:r>
            <w:r>
              <w:rPr>
                <w:rFonts w:ascii="宋体" w:hAnsi="宋体" w:cs="宋体" w:eastAsia="宋体" w:hint="default"/>
                <w:spacing w:val="-2"/>
                <w:sz w:val="21"/>
                <w:szCs w:val="21"/>
              </w:rPr>
              <w:t>以上股东、实际控制人和其他关联方在主要客户中未直接或者间接拥有权益等。前五客户因商</w:t>
            </w:r>
            <w:r>
              <w:rPr>
                <w:rFonts w:ascii="宋体" w:hAnsi="宋体" w:cs="宋体" w:eastAsia="宋体" w:hint="default"/>
                <w:spacing w:val="-28"/>
                <w:sz w:val="21"/>
                <w:szCs w:val="21"/>
              </w:rPr>
              <w:t> </w:t>
            </w:r>
            <w:r>
              <w:rPr>
                <w:rFonts w:ascii="宋体" w:hAnsi="宋体" w:cs="宋体" w:eastAsia="宋体" w:hint="default"/>
                <w:spacing w:val="-28"/>
                <w:sz w:val="21"/>
                <w:szCs w:val="21"/>
              </w:rPr>
            </w:r>
            <w:r>
              <w:rPr>
                <w:rFonts w:ascii="宋体" w:hAnsi="宋体" w:cs="宋体" w:eastAsia="宋体" w:hint="default"/>
                <w:sz w:val="21"/>
                <w:szCs w:val="21"/>
              </w:rPr>
              <w:t>业机密等因素，用数字代替客户名称。</w:t>
            </w:r>
          </w:p>
        </w:tc>
      </w:tr>
    </w:tbl>
    <w:p>
      <w:pPr>
        <w:spacing w:line="240" w:lineRule="auto" w:before="5"/>
        <w:rPr>
          <w:rFonts w:ascii="宋体" w:hAnsi="宋体" w:cs="宋体" w:eastAsia="宋体" w:hint="default"/>
          <w:sz w:val="26"/>
          <w:szCs w:val="26"/>
        </w:rPr>
      </w:pPr>
    </w:p>
    <w:p>
      <w:pPr>
        <w:pStyle w:val="BodyText"/>
        <w:spacing w:line="240" w:lineRule="auto" w:before="36"/>
        <w:ind w:right="1133"/>
        <w:jc w:val="left"/>
        <w:rPr>
          <w:rFonts w:ascii="宋体" w:hAnsi="宋体" w:cs="宋体" w:eastAsia="宋体" w:hint="default"/>
        </w:rPr>
      </w:pPr>
      <w:r>
        <w:rPr/>
        <w:t>公司主要供应商情况</w:t>
      </w:r>
      <w:r>
        <w:rPr>
          <w:rFonts w:ascii="宋体" w:hAnsi="宋体" w:cs="宋体" w:eastAsia="宋体" w:hint="default"/>
        </w:rPr>
        <w:t>(</w:t>
      </w:r>
      <w:r>
        <w:rPr/>
        <w:t>不存在同一实际控制人控制的供应商</w:t>
      </w:r>
      <w:r>
        <w:rPr>
          <w:rFonts w:ascii="宋体" w:hAnsi="宋体" w:cs="宋体" w:eastAsia="宋体" w:hint="default"/>
        </w:rPr>
        <w:t>) </w:t>
      </w:r>
    </w:p>
    <w:p>
      <w:pPr>
        <w:spacing w:line="240" w:lineRule="auto" w:before="3"/>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5671"/>
        <w:gridCol w:w="3905"/>
      </w:tblGrid>
      <w:tr>
        <w:trPr>
          <w:trHeight w:val="463" w:hRule="exact"/>
        </w:trPr>
        <w:tc>
          <w:tcPr>
            <w:tcW w:w="56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2"/>
              <w:ind w:left="22"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w:t>
            </w:r>
            <w:r>
              <w:rPr>
                <w:rFonts w:ascii="宋体" w:hAnsi="宋体" w:cs="宋体" w:eastAsia="宋体" w:hint="default"/>
                <w:sz w:val="18"/>
                <w:szCs w:val="18"/>
              </w:rPr>
              <w:t>(</w:t>
            </w:r>
            <w:r>
              <w:rPr>
                <w:rFonts w:ascii="宋体" w:hAnsi="宋体" w:cs="宋体" w:eastAsia="宋体" w:hint="default"/>
                <w:sz w:val="18"/>
                <w:szCs w:val="18"/>
              </w:rPr>
              <w:t>元</w:t>
            </w:r>
            <w:r>
              <w:rPr>
                <w:rFonts w:ascii="宋体" w:hAnsi="宋体" w:cs="宋体" w:eastAsia="宋体" w:hint="default"/>
                <w:sz w:val="18"/>
                <w:szCs w:val="18"/>
              </w:rPr>
              <w:t>) </w:t>
            </w:r>
          </w:p>
        </w:tc>
        <w:tc>
          <w:tcPr>
            <w:tcW w:w="3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3"/>
              <w:ind w:right="19"/>
              <w:jc w:val="right"/>
              <w:rPr>
                <w:rFonts w:ascii="宋体" w:hAnsi="宋体" w:cs="宋体" w:eastAsia="宋体" w:hint="default"/>
                <w:sz w:val="18"/>
                <w:szCs w:val="18"/>
              </w:rPr>
            </w:pPr>
            <w:r>
              <w:rPr>
                <w:rFonts w:ascii="宋体"/>
                <w:spacing w:val="-1"/>
                <w:sz w:val="18"/>
              </w:rPr>
              <w:t>852,021,306.77</w:t>
            </w:r>
          </w:p>
        </w:tc>
      </w:tr>
      <w:tr>
        <w:trPr>
          <w:trHeight w:val="402" w:hRule="exact"/>
        </w:trPr>
        <w:tc>
          <w:tcPr>
            <w:tcW w:w="56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前五名供应商合计采购金额占年度采购总额比例</w:t>
            </w:r>
            <w:r>
              <w:rPr>
                <w:rFonts w:ascii="宋体" w:hAnsi="宋体" w:cs="宋体" w:eastAsia="宋体" w:hint="default"/>
                <w:sz w:val="18"/>
                <w:szCs w:val="18"/>
              </w:rPr>
              <w:t>(%) </w:t>
            </w:r>
          </w:p>
        </w:tc>
        <w:tc>
          <w:tcPr>
            <w:tcW w:w="3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z w:val="18"/>
              </w:rPr>
              <w:t>31.53</w:t>
            </w:r>
          </w:p>
        </w:tc>
      </w:tr>
      <w:tr>
        <w:trPr>
          <w:trHeight w:val="402" w:hRule="exact"/>
        </w:trPr>
        <w:tc>
          <w:tcPr>
            <w:tcW w:w="567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前五名供应商采购额中关联方采购额占年度采购总额比例</w:t>
            </w:r>
            <w:r>
              <w:rPr>
                <w:rFonts w:ascii="宋体" w:hAnsi="宋体" w:cs="宋体" w:eastAsia="宋体" w:hint="default"/>
                <w:sz w:val="18"/>
                <w:szCs w:val="18"/>
              </w:rPr>
              <w:t>(%) </w:t>
            </w:r>
          </w:p>
        </w:tc>
        <w:tc>
          <w:tcPr>
            <w:tcW w:w="3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4"/>
              <w:jc w:val="right"/>
              <w:rPr>
                <w:rFonts w:ascii="宋体" w:hAnsi="宋体" w:cs="宋体" w:eastAsia="宋体" w:hint="default"/>
                <w:sz w:val="18"/>
                <w:szCs w:val="18"/>
              </w:rPr>
            </w:pPr>
            <w:r>
              <w:rPr>
                <w:rFonts w:ascii="宋体"/>
                <w:spacing w:val="-1"/>
                <w:sz w:val="18"/>
              </w:rPr>
              <w:t>--</w:t>
            </w:r>
            <w:r>
              <w:rPr>
                <w:rFonts w:ascii="宋体"/>
                <w:sz w:val="18"/>
              </w:rPr>
              <w:t> </w:t>
            </w:r>
          </w:p>
        </w:tc>
      </w:tr>
    </w:tbl>
    <w:p>
      <w:pPr>
        <w:spacing w:line="240" w:lineRule="auto" w:before="8"/>
        <w:rPr>
          <w:rFonts w:ascii="宋体" w:hAnsi="宋体" w:cs="宋体" w:eastAsia="宋体" w:hint="default"/>
          <w:sz w:val="14"/>
          <w:szCs w:val="14"/>
        </w:rPr>
      </w:pPr>
    </w:p>
    <w:p>
      <w:pPr>
        <w:pStyle w:val="BodyText"/>
        <w:spacing w:line="240" w:lineRule="auto" w:before="36"/>
        <w:ind w:right="1133"/>
        <w:jc w:val="left"/>
        <w:rPr>
          <w:rFonts w:ascii="宋体" w:hAnsi="宋体" w:cs="宋体" w:eastAsia="宋体" w:hint="default"/>
        </w:rPr>
      </w:pPr>
      <w:r>
        <w:rPr/>
        <w:t>公司前</w:t>
      </w:r>
      <w:r>
        <w:rPr>
          <w:spacing w:val="-57"/>
        </w:rPr>
        <w:t> </w:t>
      </w:r>
      <w:r>
        <w:rPr>
          <w:rFonts w:ascii="宋体" w:hAnsi="宋体" w:cs="宋体" w:eastAsia="宋体" w:hint="default"/>
        </w:rPr>
        <w:t>5</w:t>
      </w:r>
      <w:r>
        <w:rPr>
          <w:rFonts w:ascii="宋体" w:hAnsi="宋体" w:cs="宋体" w:eastAsia="宋体" w:hint="default"/>
          <w:spacing w:val="-57"/>
        </w:rPr>
        <w:t> </w:t>
      </w:r>
      <w:r>
        <w:rPr/>
        <w:t>名供应商</w:t>
      </w:r>
      <w:r>
        <w:rPr>
          <w:rFonts w:ascii="宋体" w:hAnsi="宋体" w:cs="宋体" w:eastAsia="宋体" w:hint="default"/>
        </w:rPr>
        <w:t>(</w:t>
      </w:r>
      <w:r>
        <w:rPr/>
        <w:t>不存在同一实际控制人控制的供应商</w:t>
      </w:r>
      <w:r>
        <w:rPr>
          <w:rFonts w:ascii="宋体" w:hAnsi="宋体" w:cs="宋体" w:eastAsia="宋体" w:hint="default"/>
        </w:rPr>
        <w:t>)</w:t>
      </w:r>
      <w:r>
        <w:rPr/>
        <w:t>资料</w:t>
      </w:r>
      <w:r>
        <w:rPr>
          <w:rFonts w:ascii="宋体" w:hAnsi="宋体" w:cs="宋体" w:eastAsia="宋体" w:hint="default"/>
        </w:rPr>
        <w:t> </w:t>
      </w:r>
    </w:p>
    <w:p>
      <w:pPr>
        <w:spacing w:after="0" w:line="240" w:lineRule="auto"/>
        <w:jc w:val="left"/>
        <w:rPr>
          <w:rFonts w:ascii="宋体" w:hAnsi="宋体" w:cs="宋体" w:eastAsia="宋体" w:hint="default"/>
        </w:rPr>
        <w:sectPr>
          <w:pgSz w:w="11910" w:h="16840"/>
          <w:pgMar w:header="880" w:footer="975" w:top="1100" w:bottom="1160" w:left="980" w:right="0"/>
        </w:sectPr>
      </w:pPr>
    </w:p>
    <w:p>
      <w:pPr>
        <w:spacing w:line="240" w:lineRule="auto" w:before="8"/>
        <w:rPr>
          <w:rFonts w:ascii="宋体" w:hAnsi="宋体" w:cs="宋体" w:eastAsia="宋体" w:hint="default"/>
          <w:sz w:val="24"/>
          <w:szCs w:val="24"/>
        </w:rPr>
      </w:pPr>
    </w:p>
    <w:tbl>
      <w:tblPr>
        <w:tblW w:w="0" w:type="auto"/>
        <w:jc w:val="left"/>
        <w:tblInd w:w="148" w:type="dxa"/>
        <w:tblLayout w:type="fixed"/>
        <w:tblCellMar>
          <w:top w:w="0" w:type="dxa"/>
          <w:left w:w="0" w:type="dxa"/>
          <w:bottom w:w="0" w:type="dxa"/>
          <w:right w:w="0" w:type="dxa"/>
        </w:tblCellMar>
        <w:tblLook w:val="01E0"/>
      </w:tblPr>
      <w:tblGrid>
        <w:gridCol w:w="936"/>
        <w:gridCol w:w="3169"/>
        <w:gridCol w:w="2321"/>
        <w:gridCol w:w="3145"/>
      </w:tblGrid>
      <w:tr>
        <w:trPr>
          <w:trHeight w:val="401" w:hRule="exact"/>
        </w:trPr>
        <w:tc>
          <w:tcPr>
            <w:tcW w:w="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序号</w:t>
            </w:r>
          </w:p>
        </w:tc>
        <w:tc>
          <w:tcPr>
            <w:tcW w:w="31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供应商名称</w:t>
            </w:r>
          </w:p>
        </w:tc>
        <w:tc>
          <w:tcPr>
            <w:tcW w:w="23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16" w:right="0"/>
              <w:jc w:val="left"/>
              <w:rPr>
                <w:rFonts w:ascii="宋体" w:hAnsi="宋体" w:cs="宋体" w:eastAsia="宋体" w:hint="default"/>
                <w:sz w:val="18"/>
                <w:szCs w:val="18"/>
              </w:rPr>
            </w:pPr>
            <w:r>
              <w:rPr>
                <w:rFonts w:ascii="宋体" w:hAnsi="宋体" w:cs="宋体" w:eastAsia="宋体" w:hint="default"/>
                <w:sz w:val="18"/>
                <w:szCs w:val="18"/>
              </w:rPr>
              <w:t>采购额（元）</w:t>
            </w:r>
          </w:p>
        </w:tc>
        <w:tc>
          <w:tcPr>
            <w:tcW w:w="31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55" w:right="0"/>
              <w:jc w:val="left"/>
              <w:rPr>
                <w:rFonts w:ascii="宋体" w:hAnsi="宋体" w:cs="宋体" w:eastAsia="宋体" w:hint="default"/>
                <w:sz w:val="18"/>
                <w:szCs w:val="18"/>
              </w:rPr>
            </w:pPr>
            <w:r>
              <w:rPr>
                <w:rFonts w:ascii="宋体" w:hAnsi="宋体" w:cs="宋体" w:eastAsia="宋体" w:hint="default"/>
                <w:sz w:val="18"/>
                <w:szCs w:val="18"/>
              </w:rPr>
              <w:t>占年度采购总额比例</w:t>
            </w:r>
          </w:p>
        </w:tc>
      </w:tr>
      <w:tr>
        <w:trPr>
          <w:trHeight w:val="404" w:hRule="exact"/>
        </w:trPr>
        <w:tc>
          <w:tcPr>
            <w:tcW w:w="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z w:val="18"/>
              </w:rPr>
              <w:t>1</w:t>
            </w:r>
          </w:p>
        </w:tc>
        <w:tc>
          <w:tcPr>
            <w:tcW w:w="3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3"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1"/>
              <w:jc w:val="right"/>
              <w:rPr>
                <w:rFonts w:ascii="宋体" w:hAnsi="宋体" w:cs="宋体" w:eastAsia="宋体" w:hint="default"/>
                <w:sz w:val="18"/>
                <w:szCs w:val="18"/>
              </w:rPr>
            </w:pPr>
            <w:r>
              <w:rPr>
                <w:rFonts w:ascii="宋体"/>
                <w:spacing w:val="-1"/>
                <w:sz w:val="18"/>
              </w:rPr>
              <w:t>259,689,130.55</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1"/>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z w:val="18"/>
              </w:rPr>
              <w:t>9.61</w:t>
            </w:r>
          </w:p>
        </w:tc>
      </w:tr>
      <w:tr>
        <w:trPr>
          <w:trHeight w:val="401" w:hRule="exact"/>
        </w:trPr>
        <w:tc>
          <w:tcPr>
            <w:tcW w:w="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2</w:t>
            </w:r>
          </w:p>
        </w:tc>
        <w:tc>
          <w:tcPr>
            <w:tcW w:w="3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pacing w:val="-1"/>
                <w:sz w:val="18"/>
              </w:rPr>
              <w:t>235,171,153.75</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z w:val="18"/>
              </w:rPr>
              <w:t>8.70</w:t>
            </w:r>
          </w:p>
        </w:tc>
      </w:tr>
      <w:tr>
        <w:trPr>
          <w:trHeight w:val="403" w:hRule="exact"/>
        </w:trPr>
        <w:tc>
          <w:tcPr>
            <w:tcW w:w="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z w:val="18"/>
              </w:rPr>
              <w:t>3</w:t>
            </w:r>
          </w:p>
        </w:tc>
        <w:tc>
          <w:tcPr>
            <w:tcW w:w="3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3"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宋体" w:hAnsi="宋体" w:cs="宋体" w:eastAsia="宋体" w:hint="default"/>
                <w:sz w:val="18"/>
                <w:szCs w:val="18"/>
              </w:rPr>
            </w:pPr>
            <w:r>
              <w:rPr>
                <w:rFonts w:ascii="宋体"/>
                <w:spacing w:val="-1"/>
                <w:sz w:val="18"/>
              </w:rPr>
              <w:t>221,888,745.25</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z w:val="18"/>
              </w:rPr>
              <w:t>8.21</w:t>
            </w:r>
          </w:p>
        </w:tc>
      </w:tr>
      <w:tr>
        <w:trPr>
          <w:trHeight w:val="401" w:hRule="exact"/>
        </w:trPr>
        <w:tc>
          <w:tcPr>
            <w:tcW w:w="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4</w:t>
            </w:r>
          </w:p>
        </w:tc>
        <w:tc>
          <w:tcPr>
            <w:tcW w:w="3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宋体" w:hAnsi="宋体" w:cs="宋体" w:eastAsia="宋体" w:hint="default"/>
                <w:sz w:val="18"/>
                <w:szCs w:val="18"/>
              </w:rPr>
            </w:pPr>
            <w:r>
              <w:rPr>
                <w:rFonts w:ascii="宋体"/>
                <w:spacing w:val="-1"/>
                <w:sz w:val="18"/>
              </w:rPr>
              <w:t>74,350,656.30</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z w:val="18"/>
              </w:rPr>
              <w:t>2.75</w:t>
            </w:r>
          </w:p>
        </w:tc>
      </w:tr>
      <w:tr>
        <w:trPr>
          <w:trHeight w:val="403" w:hRule="exact"/>
        </w:trPr>
        <w:tc>
          <w:tcPr>
            <w:tcW w:w="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6"/>
              <w:ind w:right="0"/>
              <w:jc w:val="center"/>
              <w:rPr>
                <w:rFonts w:ascii="Times New Roman" w:hAnsi="Times New Roman" w:cs="Times New Roman" w:eastAsia="Times New Roman" w:hint="default"/>
                <w:sz w:val="18"/>
                <w:szCs w:val="18"/>
              </w:rPr>
            </w:pPr>
            <w:r>
              <w:rPr>
                <w:rFonts w:ascii="Times New Roman"/>
                <w:sz w:val="18"/>
              </w:rPr>
              <w:t>5</w:t>
            </w:r>
          </w:p>
        </w:tc>
        <w:tc>
          <w:tcPr>
            <w:tcW w:w="3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3"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供应商</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9"/>
              <w:jc w:val="right"/>
              <w:rPr>
                <w:rFonts w:ascii="宋体" w:hAnsi="宋体" w:cs="宋体" w:eastAsia="宋体" w:hint="default"/>
                <w:sz w:val="18"/>
                <w:szCs w:val="18"/>
              </w:rPr>
            </w:pPr>
            <w:r>
              <w:rPr>
                <w:rFonts w:ascii="宋体"/>
                <w:spacing w:val="-1"/>
                <w:sz w:val="18"/>
              </w:rPr>
              <w:t>60,921,620.92</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z w:val="18"/>
              </w:rPr>
              <w:t>2.25</w:t>
            </w:r>
          </w:p>
        </w:tc>
      </w:tr>
      <w:tr>
        <w:trPr>
          <w:trHeight w:val="403" w:hRule="exact"/>
        </w:trPr>
        <w:tc>
          <w:tcPr>
            <w:tcW w:w="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31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w:t>
            </w:r>
          </w:p>
        </w:tc>
        <w:tc>
          <w:tcPr>
            <w:tcW w:w="2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pacing w:val="-1"/>
                <w:sz w:val="18"/>
              </w:rPr>
              <w:t>852,021,306.77</w:t>
            </w:r>
          </w:p>
        </w:tc>
        <w:tc>
          <w:tcPr>
            <w:tcW w:w="31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3"/>
                <w:sz w:val="18"/>
              </w:rPr>
              <w:t> </w:t>
            </w:r>
            <w:r>
              <w:rPr>
                <w:rFonts w:ascii="宋体"/>
                <w:spacing w:val="-1"/>
                <w:sz w:val="18"/>
              </w:rPr>
              <w:t>31.53</w:t>
            </w:r>
          </w:p>
        </w:tc>
      </w:tr>
    </w:tbl>
    <w:p>
      <w:pPr>
        <w:spacing w:line="240" w:lineRule="auto" w:before="8"/>
        <w:rPr>
          <w:rFonts w:ascii="宋体" w:hAnsi="宋体" w:cs="宋体" w:eastAsia="宋体" w:hint="default"/>
          <w:sz w:val="14"/>
          <w:szCs w:val="14"/>
        </w:rPr>
      </w:pPr>
    </w:p>
    <w:p>
      <w:pPr>
        <w:pStyle w:val="BodyText"/>
        <w:spacing w:line="240" w:lineRule="auto" w:before="36"/>
        <w:ind w:right="1133"/>
        <w:jc w:val="left"/>
        <w:rPr>
          <w:rFonts w:ascii="宋体" w:hAnsi="宋体" w:cs="宋体" w:eastAsia="宋体" w:hint="default"/>
        </w:rPr>
      </w:pPr>
      <w:r>
        <w:rPr/>
        <w:t>主要供应商其他情况说明</w:t>
      </w:r>
      <w:r>
        <w:rPr>
          <w:rFonts w:ascii="宋体" w:hAnsi="宋体" w:cs="宋体" w:eastAsia="宋体" w:hint="default"/>
        </w:rPr>
        <w:t> </w:t>
      </w:r>
    </w:p>
    <w:p>
      <w:pPr>
        <w:pStyle w:val="BodyText"/>
        <w:spacing w:line="307" w:lineRule="auto" w:before="75"/>
        <w:ind w:left="467" w:right="1133" w:hanging="315"/>
        <w:jc w:val="left"/>
      </w:pPr>
      <w:r>
        <w:rPr/>
        <w:t>√ 适用 </w:t>
      </w:r>
      <w:r>
        <w:rPr>
          <w:rFonts w:ascii="宋体" w:hAnsi="宋体" w:cs="宋体" w:eastAsia="宋体" w:hint="default"/>
        </w:rPr>
      </w:r>
      <w:r>
        <w:rPr>
          <w:spacing w:val="-3"/>
        </w:rPr>
        <w:t>□</w:t>
      </w:r>
      <w:r>
        <w:rPr/>
        <w:t> 不适用</w:t>
      </w:r>
      <w:r>
        <w:rPr>
          <w:rFonts w:ascii="宋体" w:hAnsi="宋体" w:cs="宋体" w:eastAsia="宋体" w:hint="default"/>
          <w:w w:val="100"/>
        </w:rPr>
        <w:t> </w:t>
      </w:r>
      <w:r>
        <w:rPr>
          <w:spacing w:val="-2"/>
        </w:rPr>
        <w:t>前五名供应商与公司不存在关联关系，公司董事、监事、高级管理人员、核心技术人员、持股</w:t>
      </w:r>
      <w:r>
        <w:rPr>
          <w:rFonts w:ascii="宋体" w:hAnsi="宋体" w:cs="宋体" w:eastAsia="宋体" w:hint="default"/>
          <w:spacing w:val="-2"/>
        </w:rPr>
        <w:t>5%</w:t>
      </w:r>
      <w:r>
        <w:rPr>
          <w:spacing w:val="-2"/>
        </w:rPr>
        <w:t>以上</w:t>
      </w:r>
    </w:p>
    <w:p>
      <w:pPr>
        <w:pStyle w:val="BodyText"/>
        <w:spacing w:line="254" w:lineRule="exact"/>
        <w:ind w:right="1133"/>
        <w:jc w:val="left"/>
        <w:rPr>
          <w:rFonts w:ascii="宋体" w:hAnsi="宋体" w:cs="宋体" w:eastAsia="宋体" w:hint="default"/>
        </w:rPr>
      </w:pPr>
      <w:r>
        <w:rPr/>
        <w:t>股东、实际控制人和其他关联方在主要供应商中未直接或者间接拥有权益等。</w:t>
      </w:r>
      <w:r>
        <w:rPr>
          <w:rFonts w:ascii="宋体" w:hAnsi="宋体" w:cs="宋体" w:eastAsia="宋体" w:hint="default"/>
        </w:rPr>
        <w:t> </w:t>
      </w:r>
    </w:p>
    <w:p>
      <w:pPr>
        <w:spacing w:line="240" w:lineRule="auto" w:before="3"/>
        <w:rPr>
          <w:rFonts w:ascii="宋体" w:hAnsi="宋体" w:cs="宋体" w:eastAsia="宋体" w:hint="default"/>
          <w:sz w:val="9"/>
          <w:szCs w:val="9"/>
        </w:rPr>
      </w:pPr>
    </w:p>
    <w:p>
      <w:pPr>
        <w:pStyle w:val="Heading3"/>
        <w:spacing w:line="240" w:lineRule="auto"/>
        <w:ind w:right="1133"/>
        <w:jc w:val="left"/>
        <w:rPr>
          <w:b w:val="0"/>
          <w:bCs w:val="0"/>
        </w:rPr>
      </w:pPr>
      <w:r>
        <w:rPr/>
        <w:t>（三）费用</w:t>
      </w:r>
      <w:r>
        <w:rPr>
          <w:b w:val="0"/>
          <w:bCs w:val="0"/>
        </w:rPr>
      </w:r>
    </w:p>
    <w:p>
      <w:pPr>
        <w:pStyle w:val="BodyText"/>
        <w:spacing w:line="240" w:lineRule="auto" w:before="78"/>
        <w:ind w:left="0" w:right="1234"/>
        <w:jc w:val="right"/>
      </w:pPr>
      <w:r>
        <w:rPr>
          <w:spacing w:val="-1"/>
        </w:rPr>
        <w:t>单位：元</w:t>
      </w:r>
    </w:p>
    <w:p>
      <w:pPr>
        <w:spacing w:line="240" w:lineRule="auto" w:before="10"/>
        <w:rPr>
          <w:rFonts w:ascii="宋体" w:hAnsi="宋体" w:cs="宋体" w:eastAsia="宋体" w:hint="default"/>
          <w:sz w:val="6"/>
          <w:szCs w:val="6"/>
        </w:rPr>
      </w:pPr>
    </w:p>
    <w:tbl>
      <w:tblPr>
        <w:tblW w:w="0" w:type="auto"/>
        <w:jc w:val="left"/>
        <w:tblInd w:w="148" w:type="dxa"/>
        <w:tblLayout w:type="fixed"/>
        <w:tblCellMar>
          <w:top w:w="0" w:type="dxa"/>
          <w:left w:w="0" w:type="dxa"/>
          <w:bottom w:w="0" w:type="dxa"/>
          <w:right w:w="0" w:type="dxa"/>
        </w:tblCellMar>
        <w:tblLook w:val="01E0"/>
      </w:tblPr>
      <w:tblGrid>
        <w:gridCol w:w="953"/>
        <w:gridCol w:w="1483"/>
        <w:gridCol w:w="1527"/>
        <w:gridCol w:w="1373"/>
        <w:gridCol w:w="4268"/>
      </w:tblGrid>
      <w:tr>
        <w:trPr>
          <w:trHeight w:val="322" w:hRule="exact"/>
        </w:trPr>
        <w:tc>
          <w:tcPr>
            <w:tcW w:w="95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0"/>
              <w:jc w:val="left"/>
              <w:rPr>
                <w:rFonts w:ascii="宋体" w:hAnsi="宋体" w:cs="宋体" w:eastAsia="宋体" w:hint="default"/>
                <w:sz w:val="18"/>
                <w:szCs w:val="18"/>
              </w:rPr>
            </w:pPr>
            <w:r>
              <w:rPr>
                <w:rFonts w:ascii="宋体"/>
                <w:sz w:val="18"/>
              </w:rPr>
              <w:t> </w:t>
            </w:r>
          </w:p>
        </w:tc>
        <w:tc>
          <w:tcPr>
            <w:tcW w:w="14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443"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3"/>
                <w:sz w:val="18"/>
                <w:szCs w:val="18"/>
              </w:rPr>
              <w:t> </w:t>
            </w:r>
            <w:r>
              <w:rPr>
                <w:rFonts w:ascii="宋体" w:hAnsi="宋体" w:cs="宋体" w:eastAsia="宋体" w:hint="default"/>
                <w:spacing w:val="-3"/>
                <w:sz w:val="18"/>
                <w:szCs w:val="18"/>
              </w:rPr>
              <w:t>年</w:t>
            </w:r>
            <w:r>
              <w:rPr>
                <w:rFonts w:ascii="宋体" w:hAnsi="宋体" w:cs="宋体" w:eastAsia="宋体" w:hint="default"/>
                <w:sz w:val="18"/>
                <w:szCs w:val="18"/>
              </w:rPr>
              <w:t> </w:t>
            </w:r>
          </w:p>
        </w:tc>
        <w:tc>
          <w:tcPr>
            <w:tcW w:w="152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466"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3"/>
                <w:sz w:val="18"/>
                <w:szCs w:val="18"/>
              </w:rPr>
              <w:t> </w:t>
            </w:r>
            <w:r>
              <w:rPr>
                <w:rFonts w:ascii="宋体" w:hAnsi="宋体" w:cs="宋体" w:eastAsia="宋体" w:hint="default"/>
                <w:spacing w:val="-3"/>
                <w:sz w:val="18"/>
                <w:szCs w:val="18"/>
              </w:rPr>
              <w:t>年</w:t>
            </w:r>
            <w:r>
              <w:rPr>
                <w:rFonts w:ascii="宋体" w:hAnsi="宋体" w:cs="宋体" w:eastAsia="宋体" w:hint="default"/>
                <w:sz w:val="18"/>
                <w:szCs w:val="18"/>
              </w:rPr>
              <w:t> </w:t>
            </w:r>
          </w:p>
        </w:tc>
        <w:tc>
          <w:tcPr>
            <w:tcW w:w="137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11"/>
              <w:jc w:val="right"/>
              <w:rPr>
                <w:rFonts w:ascii="宋体" w:hAnsi="宋体" w:cs="宋体" w:eastAsia="宋体" w:hint="default"/>
                <w:sz w:val="18"/>
                <w:szCs w:val="18"/>
              </w:rPr>
            </w:pPr>
            <w:r>
              <w:rPr>
                <w:rFonts w:ascii="宋体" w:hAnsi="宋体" w:cs="宋体" w:eastAsia="宋体" w:hint="default"/>
                <w:spacing w:val="-2"/>
                <w:sz w:val="18"/>
                <w:szCs w:val="18"/>
              </w:rPr>
              <w:t>同比增减（</w:t>
            </w:r>
            <w:r>
              <w:rPr>
                <w:rFonts w:ascii="宋体" w:hAnsi="宋体" w:cs="宋体" w:eastAsia="宋体" w:hint="default"/>
                <w:spacing w:val="-2"/>
                <w:sz w:val="18"/>
                <w:szCs w:val="18"/>
              </w:rPr>
              <w:t>%</w:t>
            </w:r>
            <w:r>
              <w:rPr>
                <w:rFonts w:ascii="宋体" w:hAnsi="宋体" w:cs="宋体" w:eastAsia="宋体" w:hint="default"/>
                <w:spacing w:val="-2"/>
                <w:sz w:val="18"/>
                <w:szCs w:val="18"/>
              </w:rPr>
              <w:t>）</w:t>
            </w:r>
            <w:r>
              <w:rPr>
                <w:rFonts w:ascii="宋体" w:hAnsi="宋体" w:cs="宋体" w:eastAsia="宋体" w:hint="default"/>
                <w:sz w:val="18"/>
                <w:szCs w:val="18"/>
              </w:rPr>
              <w:t> </w:t>
            </w:r>
          </w:p>
        </w:tc>
        <w:tc>
          <w:tcPr>
            <w:tcW w:w="426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89" w:right="0"/>
              <w:jc w:val="center"/>
              <w:rPr>
                <w:rFonts w:ascii="宋体" w:hAnsi="宋体" w:cs="宋体" w:eastAsia="宋体" w:hint="default"/>
                <w:sz w:val="18"/>
                <w:szCs w:val="18"/>
              </w:rPr>
            </w:pPr>
            <w:r>
              <w:rPr>
                <w:rFonts w:ascii="宋体" w:hAnsi="宋体" w:cs="宋体" w:eastAsia="宋体" w:hint="default"/>
                <w:sz w:val="18"/>
                <w:szCs w:val="18"/>
              </w:rPr>
              <w:t>重大变动说明</w:t>
            </w:r>
            <w:r>
              <w:rPr>
                <w:rFonts w:ascii="宋体" w:hAnsi="宋体" w:cs="宋体" w:eastAsia="宋体" w:hint="default"/>
                <w:sz w:val="18"/>
                <w:szCs w:val="18"/>
              </w:rPr>
              <w:t> </w:t>
            </w:r>
          </w:p>
        </w:tc>
      </w:tr>
      <w:tr>
        <w:trPr>
          <w:trHeight w:val="478" w:hRule="exact"/>
        </w:trPr>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18"/>
                <w:szCs w:val="18"/>
              </w:rPr>
            </w:pPr>
            <w:r>
              <w:rPr>
                <w:rFonts w:ascii="宋体" w:hAnsi="宋体" w:cs="宋体" w:eastAsia="宋体" w:hint="default"/>
                <w:sz w:val="18"/>
                <w:szCs w:val="18"/>
              </w:rPr>
              <w:t>销售费用</w:t>
            </w:r>
            <w:r>
              <w:rPr>
                <w:rFonts w:ascii="宋体" w:hAnsi="宋体" w:cs="宋体" w:eastAsia="宋体" w:hint="default"/>
                <w:sz w:val="18"/>
                <w:szCs w:val="18"/>
              </w:rPr>
              <w:t> </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2"/>
              <w:jc w:val="right"/>
              <w:rPr>
                <w:rFonts w:ascii="宋体" w:hAnsi="宋体" w:cs="宋体" w:eastAsia="宋体" w:hint="default"/>
                <w:sz w:val="18"/>
                <w:szCs w:val="18"/>
              </w:rPr>
            </w:pPr>
            <w:r>
              <w:rPr>
                <w:rFonts w:ascii="宋体"/>
                <w:spacing w:val="1"/>
                <w:sz w:val="18"/>
              </w:rPr>
              <w:t> </w:t>
            </w:r>
            <w:r>
              <w:rPr>
                <w:rFonts w:ascii="宋体"/>
                <w:spacing w:val="-1"/>
                <w:sz w:val="18"/>
              </w:rPr>
              <w:t>28,995,362.40</w:t>
            </w:r>
            <w:r>
              <w:rPr>
                <w:rFonts w:ascii="宋体"/>
                <w:sz w:val="18"/>
              </w:rPr>
              <w:t> </w:t>
            </w:r>
          </w:p>
        </w:tc>
        <w:tc>
          <w:tcPr>
            <w:tcW w:w="1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1"/>
              <w:jc w:val="right"/>
              <w:rPr>
                <w:rFonts w:ascii="宋体" w:hAnsi="宋体" w:cs="宋体" w:eastAsia="宋体" w:hint="default"/>
                <w:sz w:val="18"/>
                <w:szCs w:val="18"/>
              </w:rPr>
            </w:pPr>
            <w:r>
              <w:rPr>
                <w:rFonts w:ascii="宋体"/>
                <w:spacing w:val="-1"/>
                <w:sz w:val="18"/>
              </w:rPr>
              <w:t>38,323,812.21 </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1"/>
              <w:jc w:val="right"/>
              <w:rPr>
                <w:rFonts w:ascii="宋体" w:hAnsi="宋体" w:cs="宋体" w:eastAsia="宋体" w:hint="default"/>
                <w:sz w:val="18"/>
                <w:szCs w:val="18"/>
              </w:rPr>
            </w:pPr>
            <w:r>
              <w:rPr>
                <w:rFonts w:ascii="宋体"/>
                <w:sz w:val="18"/>
              </w:rPr>
              <w:t>-24.34 </w:t>
            </w:r>
          </w:p>
        </w:tc>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同比减少</w:t>
            </w:r>
            <w:r>
              <w:rPr>
                <w:rFonts w:ascii="宋体" w:hAnsi="宋体" w:cs="宋体" w:eastAsia="宋体" w:hint="default"/>
                <w:spacing w:val="-45"/>
                <w:sz w:val="18"/>
                <w:szCs w:val="18"/>
              </w:rPr>
              <w:t> </w:t>
            </w:r>
            <w:r>
              <w:rPr>
                <w:rFonts w:ascii="宋体" w:hAnsi="宋体" w:cs="宋体" w:eastAsia="宋体" w:hint="default"/>
                <w:sz w:val="18"/>
                <w:szCs w:val="18"/>
              </w:rPr>
              <w:t>932.84</w:t>
            </w:r>
            <w:r>
              <w:rPr>
                <w:rFonts w:ascii="宋体" w:hAnsi="宋体" w:cs="宋体" w:eastAsia="宋体" w:hint="default"/>
                <w:spacing w:val="-44"/>
                <w:sz w:val="18"/>
                <w:szCs w:val="18"/>
              </w:rPr>
              <w:t> </w:t>
            </w:r>
            <w:r>
              <w:rPr>
                <w:rFonts w:ascii="宋体" w:hAnsi="宋体" w:cs="宋体" w:eastAsia="宋体" w:hint="default"/>
                <w:sz w:val="18"/>
                <w:szCs w:val="18"/>
              </w:rPr>
              <w:t>万元，主要是工资及相关费用增加</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pacing w:val="1"/>
                <w:sz w:val="18"/>
                <w:szCs w:val="18"/>
              </w:rPr>
              <w:t>15</w:t>
            </w:r>
            <w:r>
              <w:rPr>
                <w:rFonts w:ascii="宋体" w:hAnsi="宋体" w:cs="宋体" w:eastAsia="宋体" w:hint="default"/>
                <w:spacing w:val="-2"/>
                <w:sz w:val="18"/>
                <w:szCs w:val="18"/>
              </w:rPr>
              <w:t>7</w:t>
            </w:r>
            <w:r>
              <w:rPr>
                <w:rFonts w:ascii="宋体" w:hAnsi="宋体" w:cs="宋体" w:eastAsia="宋体" w:hint="default"/>
                <w:spacing w:val="1"/>
                <w:sz w:val="18"/>
                <w:szCs w:val="18"/>
              </w:rPr>
              <w:t>.</w:t>
            </w:r>
            <w:r>
              <w:rPr>
                <w:rFonts w:ascii="宋体" w:hAnsi="宋体" w:cs="宋体" w:eastAsia="宋体" w:hint="default"/>
                <w:spacing w:val="-2"/>
                <w:sz w:val="18"/>
                <w:szCs w:val="18"/>
              </w:rPr>
              <w:t>4</w:t>
            </w:r>
            <w:r>
              <w:rPr>
                <w:rFonts w:ascii="宋体" w:hAnsi="宋体" w:cs="宋体" w:eastAsia="宋体" w:hint="default"/>
                <w:sz w:val="18"/>
                <w:szCs w:val="18"/>
              </w:rPr>
              <w:t>8</w:t>
            </w:r>
            <w:r>
              <w:rPr>
                <w:rFonts w:ascii="宋体" w:hAnsi="宋体" w:cs="宋体" w:eastAsia="宋体" w:hint="default"/>
                <w:spacing w:val="-57"/>
                <w:sz w:val="18"/>
                <w:szCs w:val="18"/>
              </w:rPr>
              <w:t> </w:t>
            </w:r>
            <w:r>
              <w:rPr>
                <w:rFonts w:ascii="宋体" w:hAnsi="宋体" w:cs="宋体" w:eastAsia="宋体" w:hint="default"/>
                <w:sz w:val="18"/>
                <w:szCs w:val="18"/>
              </w:rPr>
              <w:t>万元</w:t>
            </w:r>
            <w:r>
              <w:rPr>
                <w:rFonts w:ascii="宋体" w:hAnsi="宋体" w:cs="宋体" w:eastAsia="宋体" w:hint="default"/>
                <w:spacing w:val="-92"/>
                <w:sz w:val="18"/>
                <w:szCs w:val="18"/>
              </w:rPr>
              <w:t>，</w:t>
            </w:r>
            <w:r>
              <w:rPr>
                <w:rFonts w:ascii="宋体" w:hAnsi="宋体" w:cs="宋体" w:eastAsia="宋体" w:hint="default"/>
                <w:sz w:val="18"/>
                <w:szCs w:val="18"/>
              </w:rPr>
              <w:t>办公及客户拓</w:t>
            </w:r>
            <w:r>
              <w:rPr>
                <w:rFonts w:ascii="宋体" w:hAnsi="宋体" w:cs="宋体" w:eastAsia="宋体" w:hint="default"/>
                <w:spacing w:val="-3"/>
                <w:sz w:val="18"/>
                <w:szCs w:val="18"/>
              </w:rPr>
              <w:t>展</w:t>
            </w:r>
            <w:r>
              <w:rPr>
                <w:rFonts w:ascii="宋体" w:hAnsi="宋体" w:cs="宋体" w:eastAsia="宋体" w:hint="default"/>
                <w:sz w:val="18"/>
                <w:szCs w:val="18"/>
              </w:rPr>
              <w:t>费减少</w:t>
            </w:r>
            <w:r>
              <w:rPr>
                <w:rFonts w:ascii="宋体" w:hAnsi="宋体" w:cs="宋体" w:eastAsia="宋体" w:hint="default"/>
                <w:spacing w:val="-59"/>
                <w:sz w:val="18"/>
                <w:szCs w:val="18"/>
              </w:rPr>
              <w:t> </w:t>
            </w:r>
            <w:r>
              <w:rPr>
                <w:rFonts w:ascii="宋体" w:hAnsi="宋体" w:cs="宋体" w:eastAsia="宋体" w:hint="default"/>
                <w:spacing w:val="1"/>
                <w:sz w:val="18"/>
                <w:szCs w:val="18"/>
              </w:rPr>
              <w:t>1</w:t>
            </w:r>
            <w:r>
              <w:rPr>
                <w:rFonts w:ascii="宋体" w:hAnsi="宋体" w:cs="宋体" w:eastAsia="宋体" w:hint="default"/>
                <w:spacing w:val="-2"/>
                <w:sz w:val="18"/>
                <w:szCs w:val="18"/>
              </w:rPr>
              <w:t>,</w:t>
            </w:r>
            <w:r>
              <w:rPr>
                <w:rFonts w:ascii="宋体" w:hAnsi="宋体" w:cs="宋体" w:eastAsia="宋体" w:hint="default"/>
                <w:spacing w:val="1"/>
                <w:sz w:val="18"/>
                <w:szCs w:val="18"/>
              </w:rPr>
              <w:t>2</w:t>
            </w:r>
            <w:r>
              <w:rPr>
                <w:rFonts w:ascii="宋体" w:hAnsi="宋体" w:cs="宋体" w:eastAsia="宋体" w:hint="default"/>
                <w:spacing w:val="-2"/>
                <w:sz w:val="18"/>
                <w:szCs w:val="18"/>
              </w:rPr>
              <w:t>2</w:t>
            </w:r>
            <w:r>
              <w:rPr>
                <w:rFonts w:ascii="宋体" w:hAnsi="宋体" w:cs="宋体" w:eastAsia="宋体" w:hint="default"/>
                <w:spacing w:val="1"/>
                <w:sz w:val="18"/>
                <w:szCs w:val="18"/>
              </w:rPr>
              <w:t>0</w:t>
            </w:r>
            <w:r>
              <w:rPr>
                <w:rFonts w:ascii="宋体" w:hAnsi="宋体" w:cs="宋体" w:eastAsia="宋体" w:hint="default"/>
                <w:spacing w:val="-2"/>
                <w:sz w:val="18"/>
                <w:szCs w:val="18"/>
              </w:rPr>
              <w:t>.</w:t>
            </w:r>
            <w:r>
              <w:rPr>
                <w:rFonts w:ascii="宋体" w:hAnsi="宋体" w:cs="宋体" w:eastAsia="宋体" w:hint="default"/>
                <w:spacing w:val="1"/>
                <w:sz w:val="18"/>
                <w:szCs w:val="18"/>
              </w:rPr>
              <w:t>6</w:t>
            </w:r>
            <w:r>
              <w:rPr>
                <w:rFonts w:ascii="宋体" w:hAnsi="宋体" w:cs="宋体" w:eastAsia="宋体" w:hint="default"/>
                <w:sz w:val="18"/>
                <w:szCs w:val="18"/>
              </w:rPr>
              <w:t>9</w:t>
            </w:r>
            <w:r>
              <w:rPr>
                <w:rFonts w:ascii="宋体" w:hAnsi="宋体" w:cs="宋体" w:eastAsia="宋体" w:hint="default"/>
                <w:spacing w:val="-57"/>
                <w:sz w:val="18"/>
                <w:szCs w:val="18"/>
              </w:rPr>
              <w:t> </w:t>
            </w:r>
            <w:r>
              <w:rPr>
                <w:rFonts w:ascii="宋体" w:hAnsi="宋体" w:cs="宋体" w:eastAsia="宋体" w:hint="default"/>
                <w:sz w:val="18"/>
                <w:szCs w:val="18"/>
              </w:rPr>
              <w:t>万元</w:t>
            </w:r>
            <w:r>
              <w:rPr>
                <w:rFonts w:ascii="宋体" w:hAnsi="宋体" w:cs="宋体" w:eastAsia="宋体" w:hint="default"/>
                <w:spacing w:val="-92"/>
                <w:sz w:val="18"/>
                <w:szCs w:val="18"/>
              </w:rPr>
              <w:t>。</w:t>
            </w:r>
            <w:r>
              <w:rPr>
                <w:rFonts w:ascii="宋体" w:hAnsi="宋体" w:cs="宋体" w:eastAsia="宋体" w:hint="default"/>
                <w:sz w:val="18"/>
                <w:szCs w:val="18"/>
              </w:rPr>
              <w:t> </w:t>
            </w:r>
          </w:p>
        </w:tc>
      </w:tr>
      <w:tr>
        <w:trPr>
          <w:trHeight w:val="478" w:hRule="exact"/>
        </w:trPr>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0"/>
              <w:jc w:val="left"/>
              <w:rPr>
                <w:rFonts w:ascii="宋体" w:hAnsi="宋体" w:cs="宋体" w:eastAsia="宋体" w:hint="default"/>
                <w:sz w:val="18"/>
                <w:szCs w:val="18"/>
              </w:rPr>
            </w:pPr>
            <w:r>
              <w:rPr>
                <w:rFonts w:ascii="宋体" w:hAnsi="宋体" w:cs="宋体" w:eastAsia="宋体" w:hint="default"/>
                <w:sz w:val="18"/>
                <w:szCs w:val="18"/>
              </w:rPr>
              <w:t>管理费用</w:t>
            </w:r>
            <w:r>
              <w:rPr>
                <w:rFonts w:ascii="宋体" w:hAnsi="宋体" w:cs="宋体" w:eastAsia="宋体" w:hint="default"/>
                <w:sz w:val="18"/>
                <w:szCs w:val="18"/>
              </w:rPr>
              <w:t> </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1"/>
              <w:jc w:val="right"/>
              <w:rPr>
                <w:rFonts w:ascii="宋体" w:hAnsi="宋体" w:cs="宋体" w:eastAsia="宋体" w:hint="default"/>
                <w:sz w:val="18"/>
                <w:szCs w:val="18"/>
              </w:rPr>
            </w:pPr>
            <w:r>
              <w:rPr>
                <w:rFonts w:ascii="宋体"/>
                <w:spacing w:val="-1"/>
                <w:sz w:val="18"/>
              </w:rPr>
              <w:t>135,040,411.29</w:t>
            </w:r>
            <w:r>
              <w:rPr>
                <w:rFonts w:ascii="宋体"/>
                <w:sz w:val="18"/>
              </w:rPr>
              <w:t> </w:t>
            </w:r>
          </w:p>
        </w:tc>
        <w:tc>
          <w:tcPr>
            <w:tcW w:w="1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1"/>
              <w:jc w:val="right"/>
              <w:rPr>
                <w:rFonts w:ascii="宋体" w:hAnsi="宋体" w:cs="宋体" w:eastAsia="宋体" w:hint="default"/>
                <w:sz w:val="18"/>
                <w:szCs w:val="18"/>
              </w:rPr>
            </w:pPr>
            <w:r>
              <w:rPr>
                <w:rFonts w:ascii="宋体"/>
                <w:spacing w:val="-1"/>
                <w:sz w:val="18"/>
              </w:rPr>
              <w:t>129,127,412.31 </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11"/>
              <w:jc w:val="right"/>
              <w:rPr>
                <w:rFonts w:ascii="宋体" w:hAnsi="宋体" w:cs="宋体" w:eastAsia="宋体" w:hint="default"/>
                <w:sz w:val="18"/>
                <w:szCs w:val="18"/>
              </w:rPr>
            </w:pPr>
            <w:r>
              <w:rPr>
                <w:rFonts w:ascii="宋体"/>
                <w:sz w:val="18"/>
              </w:rPr>
              <w:t>4.58 </w:t>
            </w:r>
          </w:p>
        </w:tc>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同比增加</w:t>
            </w:r>
            <w:r>
              <w:rPr>
                <w:rFonts w:ascii="宋体" w:hAnsi="宋体" w:cs="宋体" w:eastAsia="宋体" w:hint="default"/>
                <w:spacing w:val="-45"/>
                <w:sz w:val="18"/>
                <w:szCs w:val="18"/>
              </w:rPr>
              <w:t> </w:t>
            </w:r>
            <w:r>
              <w:rPr>
                <w:rFonts w:ascii="宋体" w:hAnsi="宋体" w:cs="宋体" w:eastAsia="宋体" w:hint="default"/>
                <w:sz w:val="18"/>
                <w:szCs w:val="18"/>
              </w:rPr>
              <w:t>591.30</w:t>
            </w:r>
            <w:r>
              <w:rPr>
                <w:rFonts w:ascii="宋体" w:hAnsi="宋体" w:cs="宋体" w:eastAsia="宋体" w:hint="default"/>
                <w:spacing w:val="-44"/>
                <w:sz w:val="18"/>
                <w:szCs w:val="18"/>
              </w:rPr>
              <w:t> </w:t>
            </w:r>
            <w:r>
              <w:rPr>
                <w:rFonts w:ascii="宋体" w:hAnsi="宋体" w:cs="宋体" w:eastAsia="宋体" w:hint="default"/>
                <w:sz w:val="18"/>
                <w:szCs w:val="18"/>
              </w:rPr>
              <w:t>万元，主要是折旧和摊销费用增加</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571.23</w:t>
            </w:r>
            <w:r>
              <w:rPr>
                <w:rFonts w:ascii="宋体" w:hAnsi="宋体" w:cs="宋体" w:eastAsia="宋体" w:hint="default"/>
                <w:spacing w:val="-47"/>
                <w:sz w:val="18"/>
                <w:szCs w:val="18"/>
              </w:rPr>
              <w:t> </w:t>
            </w:r>
            <w:r>
              <w:rPr>
                <w:rFonts w:ascii="宋体" w:hAnsi="宋体" w:cs="宋体" w:eastAsia="宋体" w:hint="default"/>
                <w:sz w:val="18"/>
                <w:szCs w:val="18"/>
              </w:rPr>
              <w:t>万元。</w:t>
            </w:r>
            <w:r>
              <w:rPr>
                <w:rFonts w:ascii="宋体" w:hAnsi="宋体" w:cs="宋体" w:eastAsia="宋体" w:hint="default"/>
                <w:sz w:val="18"/>
                <w:szCs w:val="18"/>
              </w:rPr>
              <w:t> </w:t>
            </w:r>
          </w:p>
        </w:tc>
      </w:tr>
      <w:tr>
        <w:trPr>
          <w:trHeight w:val="478" w:hRule="exact"/>
        </w:trPr>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研发费用</w:t>
            </w:r>
            <w:r>
              <w:rPr>
                <w:rFonts w:ascii="宋体" w:hAnsi="宋体" w:cs="宋体" w:eastAsia="宋体" w:hint="default"/>
                <w:sz w:val="18"/>
                <w:szCs w:val="18"/>
              </w:rPr>
              <w:t> </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2"/>
              <w:jc w:val="right"/>
              <w:rPr>
                <w:rFonts w:ascii="宋体" w:hAnsi="宋体" w:cs="宋体" w:eastAsia="宋体" w:hint="default"/>
                <w:sz w:val="18"/>
                <w:szCs w:val="18"/>
              </w:rPr>
            </w:pPr>
            <w:r>
              <w:rPr>
                <w:rFonts w:ascii="宋体"/>
                <w:spacing w:val="1"/>
                <w:sz w:val="18"/>
              </w:rPr>
              <w:t> </w:t>
            </w:r>
            <w:r>
              <w:rPr>
                <w:rFonts w:ascii="宋体"/>
                <w:spacing w:val="-1"/>
                <w:sz w:val="18"/>
              </w:rPr>
              <w:t>89,034,352.41</w:t>
            </w:r>
            <w:r>
              <w:rPr>
                <w:rFonts w:ascii="宋体"/>
                <w:sz w:val="18"/>
              </w:rPr>
              <w:t> </w:t>
            </w:r>
          </w:p>
        </w:tc>
        <w:tc>
          <w:tcPr>
            <w:tcW w:w="1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1"/>
              <w:jc w:val="right"/>
              <w:rPr>
                <w:rFonts w:ascii="宋体" w:hAnsi="宋体" w:cs="宋体" w:eastAsia="宋体" w:hint="default"/>
                <w:sz w:val="18"/>
                <w:szCs w:val="18"/>
              </w:rPr>
            </w:pPr>
            <w:r>
              <w:rPr>
                <w:rFonts w:ascii="宋体"/>
                <w:spacing w:val="-1"/>
                <w:sz w:val="18"/>
              </w:rPr>
              <w:t>104,591,100.90 </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1"/>
              <w:jc w:val="right"/>
              <w:rPr>
                <w:rFonts w:ascii="宋体" w:hAnsi="宋体" w:cs="宋体" w:eastAsia="宋体" w:hint="default"/>
                <w:sz w:val="18"/>
                <w:szCs w:val="18"/>
              </w:rPr>
            </w:pPr>
            <w:r>
              <w:rPr>
                <w:rFonts w:ascii="宋体"/>
                <w:spacing w:val="-1"/>
                <w:sz w:val="18"/>
              </w:rPr>
              <w:t>-14.87</w:t>
            </w:r>
            <w:r>
              <w:rPr>
                <w:rFonts w:ascii="宋体"/>
                <w:sz w:val="18"/>
              </w:rPr>
              <w:t> </w:t>
            </w:r>
          </w:p>
        </w:tc>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03" w:right="0"/>
              <w:jc w:val="left"/>
              <w:rPr>
                <w:rFonts w:ascii="宋体" w:hAnsi="宋体" w:cs="宋体" w:eastAsia="宋体" w:hint="default"/>
                <w:sz w:val="18"/>
                <w:szCs w:val="18"/>
              </w:rPr>
            </w:pPr>
            <w:r>
              <w:rPr>
                <w:rFonts w:ascii="宋体" w:hAnsi="宋体" w:cs="宋体" w:eastAsia="宋体" w:hint="default"/>
                <w:sz w:val="18"/>
                <w:szCs w:val="18"/>
              </w:rPr>
              <w:t>同比减少</w:t>
            </w:r>
            <w:r>
              <w:rPr>
                <w:rFonts w:ascii="宋体" w:hAnsi="宋体" w:cs="宋体" w:eastAsia="宋体" w:hint="default"/>
                <w:spacing w:val="-45"/>
                <w:sz w:val="18"/>
                <w:szCs w:val="18"/>
              </w:rPr>
              <w:t> </w:t>
            </w:r>
            <w:r>
              <w:rPr>
                <w:rFonts w:ascii="宋体" w:hAnsi="宋体" w:cs="宋体" w:eastAsia="宋体" w:hint="default"/>
                <w:sz w:val="18"/>
                <w:szCs w:val="18"/>
              </w:rPr>
              <w:t>1,555.67</w:t>
            </w:r>
            <w:r>
              <w:rPr>
                <w:rFonts w:ascii="宋体" w:hAnsi="宋体" w:cs="宋体" w:eastAsia="宋体" w:hint="default"/>
                <w:spacing w:val="-44"/>
                <w:sz w:val="18"/>
                <w:szCs w:val="18"/>
              </w:rPr>
              <w:t> </w:t>
            </w:r>
            <w:r>
              <w:rPr>
                <w:rFonts w:ascii="宋体" w:hAnsi="宋体" w:cs="宋体" w:eastAsia="宋体" w:hint="default"/>
                <w:sz w:val="18"/>
                <w:szCs w:val="18"/>
              </w:rPr>
              <w:t>万元主要是工资及相关费用、费</w:t>
            </w:r>
          </w:p>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用性税金及相关支出减少。</w:t>
            </w:r>
            <w:r>
              <w:rPr>
                <w:rFonts w:ascii="宋体" w:hAnsi="宋体" w:cs="宋体" w:eastAsia="宋体" w:hint="default"/>
                <w:sz w:val="18"/>
                <w:szCs w:val="18"/>
              </w:rPr>
              <w:t> </w:t>
            </w:r>
          </w:p>
        </w:tc>
      </w:tr>
      <w:tr>
        <w:trPr>
          <w:trHeight w:val="322" w:hRule="exact"/>
        </w:trPr>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财务费用</w:t>
            </w:r>
            <w:r>
              <w:rPr>
                <w:rFonts w:ascii="宋体" w:hAnsi="宋体" w:cs="宋体" w:eastAsia="宋体" w:hint="default"/>
                <w:sz w:val="18"/>
                <w:szCs w:val="18"/>
              </w:rPr>
              <w:t> </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pacing w:val="-1"/>
                <w:sz w:val="18"/>
              </w:rPr>
              <w:t>48,399,804.06</w:t>
            </w:r>
            <w:r>
              <w:rPr>
                <w:rFonts w:ascii="宋体"/>
                <w:sz w:val="18"/>
              </w:rPr>
              <w:t> </w:t>
            </w:r>
          </w:p>
        </w:tc>
        <w:tc>
          <w:tcPr>
            <w:tcW w:w="1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pacing w:val="-1"/>
                <w:sz w:val="18"/>
              </w:rPr>
              <w:t>12,552,863.86 </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pacing w:val="-1"/>
                <w:sz w:val="18"/>
              </w:rPr>
              <w:t>285.57</w:t>
            </w:r>
            <w:r>
              <w:rPr>
                <w:rFonts w:ascii="宋体"/>
                <w:sz w:val="18"/>
              </w:rPr>
              <w:t> </w:t>
            </w:r>
          </w:p>
        </w:tc>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103" w:right="0"/>
              <w:jc w:val="left"/>
              <w:rPr>
                <w:rFonts w:ascii="宋体" w:hAnsi="宋体" w:cs="宋体" w:eastAsia="宋体" w:hint="default"/>
                <w:sz w:val="18"/>
                <w:szCs w:val="18"/>
              </w:rPr>
            </w:pPr>
            <w:r>
              <w:rPr>
                <w:rFonts w:ascii="宋体" w:hAnsi="宋体" w:cs="宋体" w:eastAsia="宋体" w:hint="default"/>
                <w:sz w:val="18"/>
                <w:szCs w:val="18"/>
              </w:rPr>
              <w:t>同比增加</w:t>
            </w:r>
            <w:r>
              <w:rPr>
                <w:rFonts w:ascii="宋体" w:hAnsi="宋体" w:cs="宋体" w:eastAsia="宋体" w:hint="default"/>
                <w:spacing w:val="-47"/>
                <w:sz w:val="18"/>
                <w:szCs w:val="18"/>
              </w:rPr>
              <w:t> </w:t>
            </w:r>
            <w:r>
              <w:rPr>
                <w:rFonts w:ascii="宋体" w:hAnsi="宋体" w:cs="宋体" w:eastAsia="宋体" w:hint="default"/>
                <w:sz w:val="18"/>
                <w:szCs w:val="18"/>
              </w:rPr>
              <w:t>3,584.69</w:t>
            </w:r>
            <w:r>
              <w:rPr>
                <w:rFonts w:ascii="宋体" w:hAnsi="宋体" w:cs="宋体" w:eastAsia="宋体" w:hint="default"/>
                <w:spacing w:val="-46"/>
                <w:sz w:val="18"/>
                <w:szCs w:val="18"/>
              </w:rPr>
              <w:t> </w:t>
            </w:r>
            <w:r>
              <w:rPr>
                <w:rFonts w:ascii="宋体" w:hAnsi="宋体" w:cs="宋体" w:eastAsia="宋体" w:hint="default"/>
                <w:sz w:val="18"/>
                <w:szCs w:val="18"/>
              </w:rPr>
              <w:t>万元，因同比期间贷款增加。</w:t>
            </w:r>
            <w:r>
              <w:rPr>
                <w:rFonts w:ascii="宋体" w:hAnsi="宋体" w:cs="宋体" w:eastAsia="宋体" w:hint="default"/>
                <w:sz w:val="18"/>
                <w:szCs w:val="18"/>
              </w:rPr>
              <w:t> </w:t>
            </w:r>
          </w:p>
        </w:tc>
      </w:tr>
    </w:tbl>
    <w:p>
      <w:pPr>
        <w:spacing w:line="240" w:lineRule="auto" w:before="8"/>
        <w:rPr>
          <w:rFonts w:ascii="宋体" w:hAnsi="宋体" w:cs="宋体" w:eastAsia="宋体" w:hint="default"/>
          <w:sz w:val="14"/>
          <w:szCs w:val="14"/>
        </w:rPr>
      </w:pPr>
    </w:p>
    <w:p>
      <w:pPr>
        <w:pStyle w:val="BodyText"/>
        <w:spacing w:line="273" w:lineRule="auto" w:before="36"/>
        <w:ind w:right="1133" w:firstLine="91"/>
        <w:jc w:val="left"/>
        <w:rPr>
          <w:rFonts w:ascii="宋体" w:hAnsi="宋体" w:cs="宋体" w:eastAsia="宋体" w:hint="default"/>
        </w:rPr>
      </w:pPr>
      <w:r>
        <w:rPr>
          <w:rFonts w:ascii="宋体" w:hAnsi="宋体" w:cs="宋体" w:eastAsia="宋体" w:hint="default"/>
          <w:b/>
          <w:bCs/>
        </w:rPr>
        <w:t>（四）研发投入</w:t>
      </w:r>
      <w:r>
        <w:rPr>
          <w:rFonts w:ascii="宋体" w:hAnsi="宋体" w:cs="宋体" w:eastAsia="宋体" w:hint="default"/>
          <w:b/>
          <w:bCs/>
          <w:w w:val="100"/>
        </w:rPr>
        <w:t> </w:t>
      </w:r>
      <w:r>
        <w:rPr/>
        <w:t>公司本年度进行研发项目的目的、项目进展和拟达到的目标及预计对公司未来发展影响的说明见下表：</w:t>
      </w:r>
      <w:r>
        <w:rPr>
          <w:rFonts w:ascii="宋体" w:hAnsi="宋体" w:cs="宋体" w:eastAsia="宋体" w:hint="default"/>
        </w:rPr>
        <w:t> </w:t>
      </w:r>
    </w:p>
    <w:tbl>
      <w:tblPr>
        <w:tblW w:w="0" w:type="auto"/>
        <w:jc w:val="left"/>
        <w:tblInd w:w="148" w:type="dxa"/>
        <w:tblLayout w:type="fixed"/>
        <w:tblCellMar>
          <w:top w:w="0" w:type="dxa"/>
          <w:left w:w="0" w:type="dxa"/>
          <w:bottom w:w="0" w:type="dxa"/>
          <w:right w:w="0" w:type="dxa"/>
        </w:tblCellMar>
        <w:tblLook w:val="01E0"/>
      </w:tblPr>
      <w:tblGrid>
        <w:gridCol w:w="881"/>
        <w:gridCol w:w="1181"/>
        <w:gridCol w:w="2475"/>
        <w:gridCol w:w="2552"/>
        <w:gridCol w:w="2552"/>
      </w:tblGrid>
      <w:tr>
        <w:trPr>
          <w:trHeight w:val="624" w:hRule="exact"/>
        </w:trPr>
        <w:tc>
          <w:tcPr>
            <w:tcW w:w="88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54" w:right="0"/>
              <w:jc w:val="left"/>
              <w:rPr>
                <w:rFonts w:ascii="宋体" w:hAnsi="宋体" w:cs="宋体" w:eastAsia="宋体" w:hint="default"/>
                <w:sz w:val="18"/>
                <w:szCs w:val="18"/>
              </w:rPr>
            </w:pPr>
            <w:r>
              <w:rPr>
                <w:rFonts w:ascii="宋体" w:hAnsi="宋体" w:cs="宋体" w:eastAsia="宋体" w:hint="default"/>
                <w:sz w:val="18"/>
                <w:szCs w:val="18"/>
              </w:rPr>
              <w:t>序号</w:t>
            </w:r>
            <w:r>
              <w:rPr>
                <w:rFonts w:ascii="宋体" w:hAnsi="宋体" w:cs="宋体" w:eastAsia="宋体" w:hint="default"/>
                <w:sz w:val="18"/>
                <w:szCs w:val="18"/>
              </w:rPr>
              <w:t> </w:t>
            </w:r>
          </w:p>
        </w:tc>
        <w:tc>
          <w:tcPr>
            <w:tcW w:w="118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25" w:right="0"/>
              <w:jc w:val="left"/>
              <w:rPr>
                <w:rFonts w:ascii="宋体" w:hAnsi="宋体" w:cs="宋体" w:eastAsia="宋体" w:hint="default"/>
                <w:sz w:val="18"/>
                <w:szCs w:val="18"/>
              </w:rPr>
            </w:pPr>
            <w:r>
              <w:rPr>
                <w:rFonts w:ascii="宋体" w:hAnsi="宋体" w:cs="宋体" w:eastAsia="宋体" w:hint="default"/>
                <w:sz w:val="18"/>
                <w:szCs w:val="18"/>
              </w:rPr>
              <w:t>项目名称</w:t>
            </w:r>
            <w:r>
              <w:rPr>
                <w:rFonts w:ascii="宋体" w:hAnsi="宋体" w:cs="宋体" w:eastAsia="宋体" w:hint="default"/>
                <w:sz w:val="18"/>
                <w:szCs w:val="18"/>
              </w:rPr>
              <w:t> </w:t>
            </w:r>
          </w:p>
        </w:tc>
        <w:tc>
          <w:tcPr>
            <w:tcW w:w="247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874" w:right="0"/>
              <w:jc w:val="left"/>
              <w:rPr>
                <w:rFonts w:ascii="宋体" w:hAnsi="宋体" w:cs="宋体" w:eastAsia="宋体" w:hint="default"/>
                <w:sz w:val="18"/>
                <w:szCs w:val="18"/>
              </w:rPr>
            </w:pPr>
            <w:r>
              <w:rPr>
                <w:rFonts w:ascii="宋体" w:hAnsi="宋体" w:cs="宋体" w:eastAsia="宋体" w:hint="default"/>
                <w:sz w:val="18"/>
                <w:szCs w:val="18"/>
              </w:rPr>
              <w:t>研发目的</w:t>
            </w:r>
            <w:r>
              <w:rPr>
                <w:rFonts w:ascii="宋体" w:hAnsi="宋体" w:cs="宋体" w:eastAsia="宋体" w:hint="default"/>
                <w:sz w:val="18"/>
                <w:szCs w:val="18"/>
              </w:rPr>
              <w:t> </w:t>
            </w:r>
          </w:p>
        </w:tc>
        <w:tc>
          <w:tcPr>
            <w:tcW w:w="25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80" w:right="0"/>
              <w:jc w:val="left"/>
              <w:rPr>
                <w:rFonts w:ascii="宋体" w:hAnsi="宋体" w:cs="宋体" w:eastAsia="宋体" w:hint="default"/>
                <w:sz w:val="18"/>
                <w:szCs w:val="18"/>
              </w:rPr>
            </w:pPr>
            <w:r>
              <w:rPr>
                <w:rFonts w:ascii="宋体" w:hAnsi="宋体" w:cs="宋体" w:eastAsia="宋体" w:hint="default"/>
                <w:sz w:val="18"/>
                <w:szCs w:val="18"/>
              </w:rPr>
              <w:t>项目进展和拟达到的目标</w:t>
            </w:r>
            <w:r>
              <w:rPr>
                <w:rFonts w:ascii="宋体" w:hAnsi="宋体" w:cs="宋体" w:eastAsia="宋体" w:hint="default"/>
                <w:sz w:val="18"/>
                <w:szCs w:val="18"/>
              </w:rPr>
              <w:t> </w:t>
            </w:r>
          </w:p>
        </w:tc>
        <w:tc>
          <w:tcPr>
            <w:tcW w:w="25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91" w:right="0"/>
              <w:jc w:val="left"/>
              <w:rPr>
                <w:rFonts w:ascii="宋体" w:hAnsi="宋体" w:cs="宋体" w:eastAsia="宋体" w:hint="default"/>
                <w:sz w:val="18"/>
                <w:szCs w:val="18"/>
              </w:rPr>
            </w:pPr>
            <w:r>
              <w:rPr>
                <w:rFonts w:ascii="宋体" w:hAnsi="宋体" w:cs="宋体" w:eastAsia="宋体" w:hint="default"/>
                <w:sz w:val="18"/>
                <w:szCs w:val="18"/>
              </w:rPr>
              <w:t>预计对公司未来发展的影响</w:t>
            </w:r>
            <w:r>
              <w:rPr>
                <w:rFonts w:ascii="宋体" w:hAnsi="宋体" w:cs="宋体" w:eastAsia="宋体" w:hint="default"/>
                <w:sz w:val="18"/>
                <w:szCs w:val="18"/>
              </w:rPr>
              <w:t> </w:t>
            </w:r>
          </w:p>
        </w:tc>
      </w:tr>
      <w:tr>
        <w:trPr>
          <w:trHeight w:val="252" w:hRule="exact"/>
        </w:trPr>
        <w:tc>
          <w:tcPr>
            <w:tcW w:w="881" w:type="dxa"/>
            <w:tcBorders>
              <w:top w:val="single" w:sz="4" w:space="0" w:color="000000"/>
              <w:left w:val="single" w:sz="4" w:space="0" w:color="000000"/>
              <w:bottom w:val="nil" w:sz="6" w:space="0" w:color="auto"/>
              <w:right w:val="single" w:sz="4" w:space="0" w:color="000000"/>
            </w:tcBorders>
          </w:tcPr>
          <w:p>
            <w:pPr/>
          </w:p>
        </w:tc>
        <w:tc>
          <w:tcPr>
            <w:tcW w:w="1181" w:type="dxa"/>
            <w:tcBorders>
              <w:top w:val="single" w:sz="4" w:space="0" w:color="000000"/>
              <w:left w:val="single" w:sz="4" w:space="0" w:color="000000"/>
              <w:bottom w:val="nil" w:sz="6" w:space="0" w:color="auto"/>
              <w:right w:val="single" w:sz="4" w:space="0" w:color="000000"/>
            </w:tcBorders>
          </w:tcPr>
          <w:p>
            <w:pPr/>
          </w:p>
        </w:tc>
        <w:tc>
          <w:tcPr>
            <w:tcW w:w="2475" w:type="dxa"/>
            <w:tcBorders>
              <w:top w:val="single" w:sz="4" w:space="0" w:color="000000"/>
              <w:left w:val="single" w:sz="4" w:space="0" w:color="000000"/>
              <w:bottom w:val="nil" w:sz="6" w:space="0" w:color="auto"/>
              <w:right w:val="single" w:sz="4" w:space="0" w:color="000000"/>
            </w:tcBorders>
          </w:tcPr>
          <w:p>
            <w:pPr/>
          </w:p>
        </w:tc>
        <w:tc>
          <w:tcPr>
            <w:tcW w:w="2552" w:type="dxa"/>
            <w:tcBorders>
              <w:top w:val="single" w:sz="4" w:space="0" w:color="000000"/>
              <w:left w:val="single" w:sz="4" w:space="0" w:color="000000"/>
              <w:bottom w:val="nil" w:sz="6" w:space="0" w:color="auto"/>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已经研发完成，发布了标准版</w:t>
            </w:r>
          </w:p>
        </w:tc>
        <w:tc>
          <w:tcPr>
            <w:tcW w:w="2552" w:type="dxa"/>
            <w:tcBorders>
              <w:top w:val="single" w:sz="4" w:space="0" w:color="000000"/>
              <w:left w:val="single" w:sz="4" w:space="0" w:color="000000"/>
              <w:bottom w:val="nil" w:sz="6" w:space="0" w:color="auto"/>
              <w:right w:val="single" w:sz="4" w:space="0" w:color="000000"/>
            </w:tcBorders>
          </w:tcPr>
          <w:p>
            <w:pPr/>
          </w:p>
        </w:tc>
      </w:tr>
      <w:tr>
        <w:trPr>
          <w:trHeight w:val="1440" w:hRule="exact"/>
        </w:trPr>
        <w:tc>
          <w:tcPr>
            <w:tcW w:w="88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5"/>
                <w:szCs w:val="25"/>
              </w:rPr>
            </w:pPr>
          </w:p>
          <w:p>
            <w:pPr>
              <w:pStyle w:val="TableParagraph"/>
              <w:spacing w:line="240" w:lineRule="auto"/>
              <w:ind w:left="300" w:right="0"/>
              <w:jc w:val="left"/>
              <w:rPr>
                <w:rFonts w:ascii="宋体" w:hAnsi="宋体" w:cs="宋体" w:eastAsia="宋体" w:hint="default"/>
                <w:sz w:val="18"/>
                <w:szCs w:val="18"/>
              </w:rPr>
            </w:pPr>
            <w:r>
              <w:rPr>
                <w:rFonts w:ascii="宋体"/>
                <w:sz w:val="18"/>
              </w:rPr>
              <w:t>(1) </w:t>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6"/>
                <w:szCs w:val="16"/>
              </w:rPr>
            </w:pPr>
          </w:p>
          <w:p>
            <w:pPr>
              <w:pStyle w:val="TableParagraph"/>
              <w:spacing w:line="244" w:lineRule="auto"/>
              <w:ind w:left="103" w:right="30"/>
              <w:jc w:val="left"/>
              <w:rPr>
                <w:rFonts w:ascii="宋体" w:hAnsi="宋体" w:cs="宋体" w:eastAsia="宋体" w:hint="default"/>
                <w:sz w:val="18"/>
                <w:szCs w:val="18"/>
              </w:rPr>
            </w:pPr>
            <w:r>
              <w:rPr>
                <w:rFonts w:ascii="宋体" w:hAnsi="宋体" w:cs="宋体" w:eastAsia="宋体" w:hint="default"/>
                <w:spacing w:val="28"/>
                <w:sz w:val="18"/>
                <w:szCs w:val="18"/>
              </w:rPr>
              <w:t>安信平台</w:t>
            </w:r>
            <w:r>
              <w:rPr>
                <w:rFonts w:ascii="宋体" w:hAnsi="宋体" w:cs="宋体" w:eastAsia="宋体" w:hint="default"/>
                <w:spacing w:val="-52"/>
                <w:sz w:val="18"/>
                <w:szCs w:val="18"/>
              </w:rPr>
              <w:t> </w:t>
            </w:r>
            <w:r>
              <w:rPr>
                <w:rFonts w:ascii="宋体" w:hAnsi="宋体" w:cs="宋体" w:eastAsia="宋体" w:hint="default"/>
                <w:sz w:val="18"/>
                <w:szCs w:val="18"/>
              </w:rPr>
              <w:t>- </w:t>
            </w:r>
            <w:r>
              <w:rPr>
                <w:rFonts w:ascii="宋体" w:hAnsi="宋体" w:cs="宋体" w:eastAsia="宋体" w:hint="default"/>
                <w:sz w:val="18"/>
                <w:szCs w:val="18"/>
              </w:rPr>
              <w:t>标准版</w:t>
            </w:r>
            <w:r>
              <w:rPr>
                <w:rFonts w:ascii="宋体" w:hAnsi="宋体" w:cs="宋体" w:eastAsia="宋体" w:hint="default"/>
                <w:spacing w:val="-46"/>
                <w:sz w:val="18"/>
                <w:szCs w:val="18"/>
              </w:rPr>
              <w:t> </w:t>
            </w:r>
            <w:r>
              <w:rPr>
                <w:rFonts w:ascii="宋体" w:hAnsi="宋体" w:cs="宋体" w:eastAsia="宋体" w:hint="default"/>
                <w:sz w:val="18"/>
                <w:szCs w:val="18"/>
              </w:rPr>
              <w:t>v2.1 </w:t>
            </w: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5"/>
                <w:szCs w:val="25"/>
              </w:rPr>
            </w:pPr>
          </w:p>
          <w:p>
            <w:pPr>
              <w:pStyle w:val="TableParagraph"/>
              <w:spacing w:line="244" w:lineRule="auto"/>
              <w:ind w:left="105" w:right="99"/>
              <w:jc w:val="both"/>
              <w:rPr>
                <w:rFonts w:ascii="宋体" w:hAnsi="宋体" w:cs="宋体" w:eastAsia="宋体" w:hint="default"/>
                <w:sz w:val="18"/>
                <w:szCs w:val="18"/>
              </w:rPr>
            </w:pPr>
            <w:r>
              <w:rPr>
                <w:rFonts w:ascii="宋体" w:hAnsi="宋体" w:cs="宋体" w:eastAsia="宋体" w:hint="default"/>
                <w:spacing w:val="7"/>
                <w:sz w:val="18"/>
                <w:szCs w:val="18"/>
              </w:rPr>
              <w:t>在安信平台国航标准版本基</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7"/>
                <w:sz w:val="18"/>
                <w:szCs w:val="18"/>
              </w:rPr>
              <w:t>础上做了升级，进一步完善了</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系统功能。</w:t>
            </w:r>
            <w:r>
              <w:rPr>
                <w:rFonts w:ascii="宋体" w:hAnsi="宋体" w:cs="宋体" w:eastAsia="宋体" w:hint="default"/>
                <w:sz w:val="18"/>
                <w:szCs w:val="18"/>
              </w:rPr>
              <w:t> </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both"/>
              <w:rPr>
                <w:rFonts w:ascii="宋体" w:hAnsi="宋体" w:cs="宋体" w:eastAsia="宋体" w:hint="default"/>
                <w:sz w:val="18"/>
                <w:szCs w:val="18"/>
              </w:rPr>
            </w:pPr>
            <w:r>
              <w:rPr>
                <w:rFonts w:ascii="宋体" w:hAnsi="宋体" w:cs="宋体" w:eastAsia="宋体" w:hint="default"/>
                <w:sz w:val="18"/>
                <w:szCs w:val="18"/>
              </w:rPr>
              <w:t>v2.1</w:t>
            </w:r>
            <w:r>
              <w:rPr>
                <w:rFonts w:ascii="宋体" w:hAnsi="宋体" w:cs="宋体" w:eastAsia="宋体" w:hint="default"/>
                <w:sz w:val="18"/>
                <w:szCs w:val="18"/>
              </w:rPr>
              <w:t>，平台功能更加完善，总</w:t>
            </w:r>
          </w:p>
          <w:p>
            <w:pPr>
              <w:pStyle w:val="TableParagraph"/>
              <w:spacing w:line="244" w:lineRule="auto" w:before="4"/>
              <w:ind w:left="103" w:right="101"/>
              <w:jc w:val="both"/>
              <w:rPr>
                <w:rFonts w:ascii="宋体" w:hAnsi="宋体" w:cs="宋体" w:eastAsia="宋体" w:hint="default"/>
                <w:sz w:val="18"/>
                <w:szCs w:val="18"/>
              </w:rPr>
            </w:pPr>
            <w:r>
              <w:rPr>
                <w:rFonts w:ascii="宋体" w:hAnsi="宋体" w:cs="宋体" w:eastAsia="宋体" w:hint="default"/>
                <w:sz w:val="18"/>
                <w:szCs w:val="18"/>
              </w:rPr>
              <w:t>结了大量客户实际需求，在报 </w:t>
            </w:r>
            <w:r>
              <w:rPr>
                <w:rFonts w:ascii="宋体" w:hAnsi="宋体" w:cs="宋体" w:eastAsia="宋体" w:hint="default"/>
                <w:spacing w:val="14"/>
                <w:sz w:val="18"/>
                <w:szCs w:val="18"/>
              </w:rPr>
              <w:t>表系统和上行模块根据实际</w:t>
            </w:r>
            <w:r>
              <w:rPr>
                <w:rFonts w:ascii="宋体" w:hAnsi="宋体" w:cs="宋体" w:eastAsia="宋体" w:hint="default"/>
                <w:sz w:val="18"/>
                <w:szCs w:val="18"/>
              </w:rPr>
              <w:t> 需求做出了调整，达到了业内 较高水准。已经取得了国家版 </w:t>
            </w:r>
            <w:r>
              <w:rPr>
                <w:rFonts w:ascii="宋体" w:hAnsi="宋体" w:cs="宋体" w:eastAsia="宋体" w:hint="default"/>
                <w:spacing w:val="13"/>
                <w:sz w:val="18"/>
                <w:szCs w:val="18"/>
              </w:rPr>
              <w:t>权局软件著作权，</w:t>
            </w:r>
            <w:r>
              <w:rPr>
                <w:rFonts w:ascii="宋体" w:hAnsi="宋体" w:cs="宋体" w:eastAsia="宋体" w:hint="default"/>
                <w:spacing w:val="-69"/>
                <w:sz w:val="18"/>
                <w:szCs w:val="18"/>
              </w:rPr>
              <w:t> </w:t>
            </w:r>
            <w:r>
              <w:rPr>
                <w:rFonts w:ascii="宋体" w:hAnsi="宋体" w:cs="宋体" w:eastAsia="宋体" w:hint="default"/>
                <w:spacing w:val="11"/>
                <w:sz w:val="18"/>
                <w:szCs w:val="18"/>
              </w:rPr>
              <w:t>版权号：</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4" w:lineRule="auto" w:before="94"/>
              <w:ind w:left="105" w:right="99"/>
              <w:jc w:val="both"/>
              <w:rPr>
                <w:rFonts w:ascii="宋体" w:hAnsi="宋体" w:cs="宋体" w:eastAsia="宋体" w:hint="default"/>
                <w:sz w:val="18"/>
                <w:szCs w:val="18"/>
              </w:rPr>
            </w:pPr>
            <w:r>
              <w:rPr>
                <w:rFonts w:ascii="宋体" w:hAnsi="宋体" w:cs="宋体" w:eastAsia="宋体" w:hint="default"/>
                <w:spacing w:val="14"/>
                <w:sz w:val="18"/>
                <w:szCs w:val="18"/>
              </w:rPr>
              <w:t>此项目为公司获取了可观的</w:t>
            </w:r>
            <w:r>
              <w:rPr>
                <w:rFonts w:ascii="宋体" w:hAnsi="宋体" w:cs="宋体" w:eastAsia="宋体" w:hint="default"/>
                <w:sz w:val="18"/>
                <w:szCs w:val="18"/>
              </w:rPr>
              <w:t> 收入，并且计划日后会再根据 </w:t>
            </w:r>
            <w:r>
              <w:rPr>
                <w:rFonts w:ascii="宋体" w:hAnsi="宋体" w:cs="宋体" w:eastAsia="宋体" w:hint="default"/>
                <w:spacing w:val="14"/>
                <w:sz w:val="18"/>
                <w:szCs w:val="18"/>
              </w:rPr>
              <w:t>客户的使用需求开发新的版</w:t>
            </w:r>
            <w:r>
              <w:rPr>
                <w:rFonts w:ascii="宋体" w:hAnsi="宋体" w:cs="宋体" w:eastAsia="宋体" w:hint="default"/>
                <w:sz w:val="18"/>
                <w:szCs w:val="18"/>
              </w:rPr>
              <w:t> 本，是对外部署平台的核心产 品。</w:t>
            </w:r>
            <w:r>
              <w:rPr>
                <w:rFonts w:ascii="宋体" w:hAnsi="宋体" w:cs="宋体" w:eastAsia="宋体" w:hint="default"/>
                <w:sz w:val="18"/>
                <w:szCs w:val="18"/>
              </w:rPr>
              <w:t> </w:t>
            </w:r>
          </w:p>
        </w:tc>
      </w:tr>
      <w:tr>
        <w:trPr>
          <w:trHeight w:val="237" w:hRule="exact"/>
        </w:trPr>
        <w:tc>
          <w:tcPr>
            <w:tcW w:w="881" w:type="dxa"/>
            <w:tcBorders>
              <w:top w:val="nil" w:sz="6" w:space="0" w:color="auto"/>
              <w:left w:val="single" w:sz="4" w:space="0" w:color="000000"/>
              <w:bottom w:val="single" w:sz="4" w:space="0" w:color="000000"/>
              <w:right w:val="single" w:sz="4" w:space="0" w:color="000000"/>
            </w:tcBorders>
          </w:tcPr>
          <w:p>
            <w:pPr/>
          </w:p>
        </w:tc>
        <w:tc>
          <w:tcPr>
            <w:tcW w:w="1181" w:type="dxa"/>
            <w:tcBorders>
              <w:top w:val="nil" w:sz="6" w:space="0" w:color="auto"/>
              <w:left w:val="single" w:sz="4" w:space="0" w:color="000000"/>
              <w:bottom w:val="single" w:sz="4" w:space="0" w:color="000000"/>
              <w:right w:val="single" w:sz="4" w:space="0" w:color="000000"/>
            </w:tcBorders>
          </w:tcPr>
          <w:p>
            <w:pPr/>
          </w:p>
        </w:tc>
        <w:tc>
          <w:tcPr>
            <w:tcW w:w="2475" w:type="dxa"/>
            <w:tcBorders>
              <w:top w:val="nil" w:sz="6" w:space="0" w:color="auto"/>
              <w:left w:val="single" w:sz="4" w:space="0" w:color="000000"/>
              <w:bottom w:val="single" w:sz="4" w:space="0" w:color="000000"/>
              <w:right w:val="single" w:sz="4" w:space="0" w:color="000000"/>
            </w:tcBorders>
          </w:tcPr>
          <w:p>
            <w:pPr/>
          </w:p>
        </w:tc>
        <w:tc>
          <w:tcPr>
            <w:tcW w:w="2552" w:type="dxa"/>
            <w:tcBorders>
              <w:top w:val="nil" w:sz="6" w:space="0" w:color="auto"/>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sz w:val="18"/>
              </w:rPr>
              <w:t>2018SR025826 </w:t>
            </w:r>
          </w:p>
        </w:tc>
        <w:tc>
          <w:tcPr>
            <w:tcW w:w="2552" w:type="dxa"/>
            <w:tcBorders>
              <w:top w:val="nil" w:sz="6" w:space="0" w:color="auto"/>
              <w:left w:val="single" w:sz="4" w:space="0" w:color="000000"/>
              <w:bottom w:val="single" w:sz="4" w:space="0" w:color="000000"/>
              <w:right w:val="single" w:sz="4" w:space="0" w:color="000000"/>
            </w:tcBorders>
          </w:tcPr>
          <w:p>
            <w:pPr/>
          </w:p>
        </w:tc>
      </w:tr>
      <w:tr>
        <w:trPr>
          <w:trHeight w:val="252" w:hRule="exact"/>
        </w:trPr>
        <w:tc>
          <w:tcPr>
            <w:tcW w:w="881" w:type="dxa"/>
            <w:tcBorders>
              <w:top w:val="single" w:sz="4" w:space="0" w:color="000000"/>
              <w:left w:val="single" w:sz="4" w:space="0" w:color="000000"/>
              <w:bottom w:val="nil" w:sz="6" w:space="0" w:color="auto"/>
              <w:right w:val="single" w:sz="4" w:space="0" w:color="000000"/>
            </w:tcBorders>
          </w:tcPr>
          <w:p>
            <w:pPr/>
          </w:p>
        </w:tc>
        <w:tc>
          <w:tcPr>
            <w:tcW w:w="1181" w:type="dxa"/>
            <w:tcBorders>
              <w:top w:val="single" w:sz="4" w:space="0" w:color="000000"/>
              <w:left w:val="single" w:sz="4" w:space="0" w:color="000000"/>
              <w:bottom w:val="nil" w:sz="6" w:space="0" w:color="auto"/>
              <w:right w:val="single" w:sz="4" w:space="0" w:color="000000"/>
            </w:tcBorders>
          </w:tcPr>
          <w:p>
            <w:pPr/>
          </w:p>
        </w:tc>
        <w:tc>
          <w:tcPr>
            <w:tcW w:w="2475" w:type="dxa"/>
            <w:tcBorders>
              <w:top w:val="single" w:sz="4" w:space="0" w:color="000000"/>
              <w:left w:val="single" w:sz="4" w:space="0" w:color="000000"/>
              <w:bottom w:val="nil" w:sz="6" w:space="0" w:color="auto"/>
              <w:right w:val="single" w:sz="4" w:space="0" w:color="000000"/>
            </w:tcBorders>
          </w:tcPr>
          <w:p>
            <w:pPr/>
          </w:p>
        </w:tc>
        <w:tc>
          <w:tcPr>
            <w:tcW w:w="2552" w:type="dxa"/>
            <w:tcBorders>
              <w:top w:val="single" w:sz="4" w:space="0" w:color="000000"/>
              <w:left w:val="single" w:sz="4" w:space="0" w:color="000000"/>
              <w:bottom w:val="nil" w:sz="6" w:space="0" w:color="auto"/>
              <w:right w:val="single" w:sz="4" w:space="0" w:color="000000"/>
            </w:tcBorders>
          </w:tcPr>
          <w:p>
            <w:pPr/>
          </w:p>
        </w:tc>
        <w:tc>
          <w:tcPr>
            <w:tcW w:w="2552" w:type="dxa"/>
            <w:tcBorders>
              <w:top w:val="single" w:sz="4" w:space="0" w:color="000000"/>
              <w:left w:val="single" w:sz="4" w:space="0" w:color="000000"/>
              <w:bottom w:val="nil" w:sz="6" w:space="0" w:color="auto"/>
              <w:right w:val="single" w:sz="4" w:space="0" w:color="000000"/>
            </w:tcBorders>
          </w:tcPr>
          <w:p>
            <w:pPr>
              <w:pStyle w:val="TableParagraph"/>
              <w:spacing w:line="217" w:lineRule="exact"/>
              <w:ind w:left="105" w:right="0"/>
              <w:jc w:val="left"/>
              <w:rPr>
                <w:rFonts w:ascii="宋体" w:hAnsi="宋体" w:cs="宋体" w:eastAsia="宋体" w:hint="default"/>
                <w:sz w:val="18"/>
                <w:szCs w:val="18"/>
              </w:rPr>
            </w:pPr>
            <w:r>
              <w:rPr>
                <w:rFonts w:ascii="宋体" w:hAnsi="宋体" w:cs="宋体" w:eastAsia="宋体" w:hint="default"/>
                <w:spacing w:val="14"/>
                <w:sz w:val="18"/>
                <w:szCs w:val="18"/>
              </w:rPr>
              <w:t>新版本不但提升了报表的统</w:t>
            </w:r>
          </w:p>
        </w:tc>
      </w:tr>
      <w:tr>
        <w:trPr>
          <w:trHeight w:val="1921" w:hRule="exact"/>
        </w:trPr>
        <w:tc>
          <w:tcPr>
            <w:tcW w:w="88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26"/>
                <w:szCs w:val="26"/>
              </w:rPr>
            </w:pPr>
          </w:p>
          <w:p>
            <w:pPr>
              <w:pStyle w:val="TableParagraph"/>
              <w:spacing w:line="240" w:lineRule="auto"/>
              <w:ind w:left="300" w:right="0"/>
              <w:jc w:val="left"/>
              <w:rPr>
                <w:rFonts w:ascii="宋体" w:hAnsi="宋体" w:cs="宋体" w:eastAsia="宋体" w:hint="default"/>
                <w:sz w:val="18"/>
                <w:szCs w:val="18"/>
              </w:rPr>
            </w:pPr>
            <w:r>
              <w:rPr>
                <w:rFonts w:ascii="宋体"/>
                <w:sz w:val="18"/>
              </w:rPr>
              <w:t>(2) </w:t>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6"/>
                <w:szCs w:val="16"/>
              </w:rPr>
            </w:pPr>
          </w:p>
          <w:p>
            <w:pPr>
              <w:pStyle w:val="TableParagraph"/>
              <w:spacing w:line="244" w:lineRule="auto"/>
              <w:ind w:left="103" w:right="19"/>
              <w:jc w:val="left"/>
              <w:rPr>
                <w:rFonts w:ascii="宋体" w:hAnsi="宋体" w:cs="宋体" w:eastAsia="宋体" w:hint="default"/>
                <w:sz w:val="18"/>
                <w:szCs w:val="18"/>
              </w:rPr>
            </w:pPr>
            <w:r>
              <w:rPr>
                <w:rFonts w:ascii="宋体" w:hAnsi="宋体" w:cs="宋体" w:eastAsia="宋体" w:hint="default"/>
                <w:spacing w:val="12"/>
                <w:sz w:val="18"/>
                <w:szCs w:val="18"/>
              </w:rPr>
              <w:t>客户月账单</w:t>
            </w:r>
            <w:r>
              <w:rPr>
                <w:rFonts w:ascii="宋体" w:hAnsi="宋体" w:cs="宋体" w:eastAsia="宋体" w:hint="default"/>
                <w:spacing w:val="-86"/>
                <w:sz w:val="18"/>
                <w:szCs w:val="18"/>
              </w:rPr>
              <w:t> </w:t>
            </w:r>
            <w:r>
              <w:rPr>
                <w:rFonts w:ascii="宋体" w:hAnsi="宋体" w:cs="宋体" w:eastAsia="宋体" w:hint="default"/>
                <w:spacing w:val="60"/>
                <w:sz w:val="18"/>
                <w:szCs w:val="18"/>
              </w:rPr>
              <w:t>管理系统</w:t>
            </w:r>
            <w:r>
              <w:rPr>
                <w:rFonts w:ascii="宋体" w:hAnsi="宋体" w:cs="宋体" w:eastAsia="宋体" w:hint="default"/>
                <w:spacing w:val="-87"/>
                <w:sz w:val="18"/>
                <w:szCs w:val="18"/>
              </w:rPr>
              <w:t> </w:t>
            </w:r>
            <w:r>
              <w:rPr>
                <w:rFonts w:ascii="宋体" w:hAnsi="宋体" w:cs="宋体" w:eastAsia="宋体" w:hint="default"/>
                <w:sz w:val="18"/>
                <w:szCs w:val="18"/>
              </w:rPr>
              <w:t>v1.0.1 </w:t>
            </w:r>
          </w:p>
          <w:p>
            <w:pPr>
              <w:pStyle w:val="TableParagraph"/>
              <w:spacing w:line="240" w:lineRule="auto" w:before="1"/>
              <w:ind w:left="103" w:right="0"/>
              <w:jc w:val="left"/>
              <w:rPr>
                <w:rFonts w:ascii="宋体" w:hAnsi="宋体" w:cs="宋体" w:eastAsia="宋体" w:hint="default"/>
                <w:sz w:val="18"/>
                <w:szCs w:val="18"/>
              </w:rPr>
            </w:pPr>
            <w:r>
              <w:rPr>
                <w:rFonts w:ascii="宋体"/>
                <w:sz w:val="18"/>
              </w:rPr>
              <w:t> </w:t>
            </w: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44" w:lineRule="auto" w:before="94"/>
              <w:ind w:left="105" w:right="17"/>
              <w:jc w:val="left"/>
              <w:rPr>
                <w:rFonts w:ascii="宋体" w:hAnsi="宋体" w:cs="宋体" w:eastAsia="宋体" w:hint="default"/>
                <w:sz w:val="18"/>
                <w:szCs w:val="18"/>
              </w:rPr>
            </w:pPr>
            <w:r>
              <w:rPr>
                <w:rFonts w:ascii="宋体" w:hAnsi="宋体" w:cs="宋体" w:eastAsia="宋体" w:hint="default"/>
                <w:spacing w:val="7"/>
                <w:sz w:val="18"/>
                <w:szCs w:val="18"/>
              </w:rPr>
              <w:t>能够根据客户每个月短信的</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发送情况，统计月账单信息， </w:t>
            </w:r>
            <w:r>
              <w:rPr>
                <w:rFonts w:ascii="宋体" w:hAnsi="宋体" w:cs="宋体" w:eastAsia="宋体" w:hint="default"/>
                <w:spacing w:val="-7"/>
                <w:sz w:val="18"/>
                <w:szCs w:val="18"/>
              </w:rPr>
              <w:t>包括提交情况、发送情况、发</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7"/>
                <w:sz w:val="18"/>
                <w:szCs w:val="18"/>
              </w:rPr>
              <w:t>送成功率、发送失败情况分析</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7"/>
                <w:sz w:val="18"/>
                <w:szCs w:val="18"/>
              </w:rPr>
              <w:t>等数据。新增了根据不同地</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7"/>
                <w:sz w:val="18"/>
                <w:szCs w:val="18"/>
              </w:rPr>
              <w:t>市、不同运营商统计短信发送</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情况的功能。</w:t>
            </w:r>
            <w:r>
              <w:rPr>
                <w:rFonts w:ascii="宋体" w:hAnsi="宋体" w:cs="宋体" w:eastAsia="宋体" w:hint="default"/>
                <w:sz w:val="18"/>
                <w:szCs w:val="18"/>
              </w:rPr>
              <w:t> </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both"/>
              <w:rPr>
                <w:rFonts w:ascii="宋体" w:hAnsi="宋体" w:cs="宋体" w:eastAsia="宋体" w:hint="default"/>
                <w:sz w:val="18"/>
                <w:szCs w:val="18"/>
              </w:rPr>
            </w:pPr>
            <w:r>
              <w:rPr>
                <w:rFonts w:ascii="宋体" w:hAnsi="宋体" w:cs="宋体" w:eastAsia="宋体" w:hint="default"/>
                <w:sz w:val="18"/>
                <w:szCs w:val="18"/>
              </w:rPr>
              <w:t>在原有 </w:t>
            </w:r>
            <w:r>
              <w:rPr>
                <w:rFonts w:ascii="宋体" w:hAnsi="宋体" w:cs="宋体" w:eastAsia="宋体" w:hint="default"/>
                <w:sz w:val="18"/>
                <w:szCs w:val="18"/>
              </w:rPr>
              <w:t>v1.0.0</w:t>
            </w:r>
            <w:r>
              <w:rPr>
                <w:rFonts w:ascii="宋体" w:hAnsi="宋体" w:cs="宋体" w:eastAsia="宋体" w:hint="default"/>
                <w:spacing w:val="-6"/>
                <w:sz w:val="18"/>
                <w:szCs w:val="18"/>
              </w:rPr>
              <w:t> </w:t>
            </w:r>
            <w:r>
              <w:rPr>
                <w:rFonts w:ascii="宋体" w:hAnsi="宋体" w:cs="宋体" w:eastAsia="宋体" w:hint="default"/>
                <w:sz w:val="18"/>
                <w:szCs w:val="18"/>
              </w:rPr>
              <w:t>版本上做了更</w:t>
            </w:r>
          </w:p>
          <w:p>
            <w:pPr>
              <w:pStyle w:val="TableParagraph"/>
              <w:spacing w:line="244" w:lineRule="auto" w:before="4"/>
              <w:ind w:left="103" w:right="96"/>
              <w:jc w:val="both"/>
              <w:rPr>
                <w:rFonts w:ascii="宋体" w:hAnsi="宋体" w:cs="宋体" w:eastAsia="宋体" w:hint="default"/>
                <w:sz w:val="18"/>
                <w:szCs w:val="18"/>
              </w:rPr>
            </w:pPr>
            <w:r>
              <w:rPr>
                <w:rFonts w:ascii="宋体" w:hAnsi="宋体" w:cs="宋体" w:eastAsia="宋体" w:hint="default"/>
                <w:sz w:val="18"/>
                <w:szCs w:val="18"/>
              </w:rPr>
              <w:t>新，已研发完成，新增了资费 统计功能，可对移动、联通、 电信三网短信分别统计费用， 功能更加完善，目前已经提供 给客户使用。账单报表自动生 成，减少了之前人工统计而造 成的大量工作量。</w:t>
            </w:r>
            <w:r>
              <w:rPr>
                <w:rFonts w:ascii="宋体" w:hAnsi="宋体" w:cs="宋体" w:eastAsia="宋体" w:hint="default"/>
                <w:sz w:val="18"/>
                <w:szCs w:val="18"/>
              </w:rPr>
              <w:t> </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both"/>
              <w:rPr>
                <w:rFonts w:ascii="宋体" w:hAnsi="宋体" w:cs="宋体" w:eastAsia="宋体" w:hint="default"/>
                <w:sz w:val="18"/>
                <w:szCs w:val="18"/>
              </w:rPr>
            </w:pPr>
            <w:r>
              <w:rPr>
                <w:rFonts w:ascii="宋体" w:hAnsi="宋体" w:cs="宋体" w:eastAsia="宋体" w:hint="default"/>
                <w:sz w:val="18"/>
                <w:szCs w:val="18"/>
              </w:rPr>
              <w:t>计速率和数据准确性，还实现</w:t>
            </w:r>
          </w:p>
          <w:p>
            <w:pPr>
              <w:pStyle w:val="TableParagraph"/>
              <w:spacing w:line="244" w:lineRule="auto" w:before="4"/>
              <w:ind w:left="105" w:right="97"/>
              <w:jc w:val="both"/>
              <w:rPr>
                <w:rFonts w:ascii="宋体" w:hAnsi="宋体" w:cs="宋体" w:eastAsia="宋体" w:hint="default"/>
                <w:sz w:val="18"/>
                <w:szCs w:val="18"/>
              </w:rPr>
            </w:pPr>
            <w:r>
              <w:rPr>
                <w:rFonts w:ascii="宋体" w:hAnsi="宋体" w:cs="宋体" w:eastAsia="宋体" w:hint="default"/>
                <w:spacing w:val="13"/>
                <w:sz w:val="18"/>
                <w:szCs w:val="18"/>
              </w:rPr>
              <w:t>了费用统计功能</w:t>
            </w:r>
            <w:r>
              <w:rPr>
                <w:rFonts w:ascii="宋体" w:hAnsi="宋体" w:cs="宋体" w:eastAsia="宋体" w:hint="default"/>
                <w:spacing w:val="-72"/>
                <w:sz w:val="18"/>
                <w:szCs w:val="18"/>
              </w:rPr>
              <w:t> </w:t>
            </w:r>
            <w:r>
              <w:rPr>
                <w:rFonts w:ascii="宋体" w:hAnsi="宋体" w:cs="宋体" w:eastAsia="宋体" w:hint="default"/>
                <w:sz w:val="18"/>
                <w:szCs w:val="18"/>
              </w:rPr>
              <w:t>,</w:t>
            </w:r>
            <w:r>
              <w:rPr>
                <w:rFonts w:ascii="宋体" w:hAnsi="宋体" w:cs="宋体" w:eastAsia="宋体" w:hint="default"/>
                <w:spacing w:val="18"/>
                <w:sz w:val="18"/>
                <w:szCs w:val="18"/>
              </w:rPr>
              <w:t> </w:t>
            </w:r>
            <w:r>
              <w:rPr>
                <w:rFonts w:ascii="宋体" w:hAnsi="宋体" w:cs="宋体" w:eastAsia="宋体" w:hint="default"/>
                <w:spacing w:val="11"/>
                <w:sz w:val="18"/>
                <w:szCs w:val="18"/>
              </w:rPr>
              <w:t>不再需要</w:t>
            </w:r>
            <w:r>
              <w:rPr>
                <w:rFonts w:ascii="宋体" w:hAnsi="宋体" w:cs="宋体" w:eastAsia="宋体" w:hint="default"/>
                <w:sz w:val="18"/>
                <w:szCs w:val="18"/>
              </w:rPr>
              <w:t> 人工统计计费，节约了人力资 源成本。提供给客户使用，可 提升用户体验，起到稳定客户 的目的。商务人员在谈新客户 </w:t>
            </w:r>
            <w:r>
              <w:rPr>
                <w:rFonts w:ascii="宋体" w:hAnsi="宋体" w:cs="宋体" w:eastAsia="宋体" w:hint="default"/>
                <w:spacing w:val="14"/>
                <w:sz w:val="18"/>
                <w:szCs w:val="18"/>
              </w:rPr>
              <w:t>时合作时也可作为重点服务</w:t>
            </w:r>
            <w:r>
              <w:rPr>
                <w:rFonts w:ascii="宋体" w:hAnsi="宋体" w:cs="宋体" w:eastAsia="宋体" w:hint="default"/>
                <w:sz w:val="18"/>
                <w:szCs w:val="18"/>
              </w:rPr>
              <w:t> 优势来介绍给客户，提高新客</w:t>
            </w:r>
          </w:p>
        </w:tc>
      </w:tr>
      <w:tr>
        <w:trPr>
          <w:trHeight w:val="237" w:hRule="exact"/>
        </w:trPr>
        <w:tc>
          <w:tcPr>
            <w:tcW w:w="881" w:type="dxa"/>
            <w:tcBorders>
              <w:top w:val="nil" w:sz="6" w:space="0" w:color="auto"/>
              <w:left w:val="single" w:sz="4" w:space="0" w:color="000000"/>
              <w:bottom w:val="single" w:sz="4" w:space="0" w:color="000000"/>
              <w:right w:val="single" w:sz="4" w:space="0" w:color="000000"/>
            </w:tcBorders>
          </w:tcPr>
          <w:p>
            <w:pPr/>
          </w:p>
        </w:tc>
        <w:tc>
          <w:tcPr>
            <w:tcW w:w="1181" w:type="dxa"/>
            <w:tcBorders>
              <w:top w:val="nil" w:sz="6" w:space="0" w:color="auto"/>
              <w:left w:val="single" w:sz="4" w:space="0" w:color="000000"/>
              <w:bottom w:val="single" w:sz="4" w:space="0" w:color="000000"/>
              <w:right w:val="single" w:sz="4" w:space="0" w:color="000000"/>
            </w:tcBorders>
          </w:tcPr>
          <w:p>
            <w:pPr/>
          </w:p>
        </w:tc>
        <w:tc>
          <w:tcPr>
            <w:tcW w:w="2475" w:type="dxa"/>
            <w:tcBorders>
              <w:top w:val="nil" w:sz="6" w:space="0" w:color="auto"/>
              <w:left w:val="single" w:sz="4" w:space="0" w:color="000000"/>
              <w:bottom w:val="single" w:sz="4" w:space="0" w:color="000000"/>
              <w:right w:val="single" w:sz="4" w:space="0" w:color="000000"/>
            </w:tcBorders>
          </w:tcPr>
          <w:p>
            <w:pPr/>
          </w:p>
        </w:tc>
        <w:tc>
          <w:tcPr>
            <w:tcW w:w="2552" w:type="dxa"/>
            <w:tcBorders>
              <w:top w:val="nil" w:sz="6" w:space="0" w:color="auto"/>
              <w:left w:val="single" w:sz="4" w:space="0" w:color="000000"/>
              <w:bottom w:val="single" w:sz="4" w:space="0" w:color="000000"/>
              <w:right w:val="single" w:sz="4" w:space="0" w:color="000000"/>
            </w:tcBorders>
          </w:tcPr>
          <w:p>
            <w:pPr/>
          </w:p>
        </w:tc>
        <w:tc>
          <w:tcPr>
            <w:tcW w:w="2552" w:type="dxa"/>
            <w:tcBorders>
              <w:top w:val="nil" w:sz="6" w:space="0" w:color="auto"/>
              <w:left w:val="single" w:sz="4" w:space="0" w:color="000000"/>
              <w:bottom w:val="single" w:sz="4" w:space="0" w:color="000000"/>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户的签约率。</w:t>
            </w:r>
            <w:r>
              <w:rPr>
                <w:rFonts w:ascii="宋体" w:hAnsi="宋体" w:cs="宋体" w:eastAsia="宋体" w:hint="default"/>
                <w:sz w:val="18"/>
                <w:szCs w:val="18"/>
              </w:rPr>
              <w:t> </w:t>
            </w:r>
          </w:p>
        </w:tc>
      </w:tr>
    </w:tbl>
    <w:p>
      <w:pPr>
        <w:spacing w:after="0" w:line="210" w:lineRule="exact"/>
        <w:jc w:val="left"/>
        <w:rPr>
          <w:rFonts w:ascii="宋体" w:hAnsi="宋体" w:cs="宋体" w:eastAsia="宋体" w:hint="default"/>
          <w:sz w:val="18"/>
          <w:szCs w:val="18"/>
        </w:rPr>
        <w:sectPr>
          <w:pgSz w:w="11910" w:h="16840"/>
          <w:pgMar w:header="880" w:footer="975" w:top="1100" w:bottom="1160" w:left="980" w:right="0"/>
        </w:sectPr>
      </w:pPr>
    </w:p>
    <w:p>
      <w:pPr>
        <w:spacing w:line="240" w:lineRule="auto" w:before="11"/>
        <w:rPr>
          <w:rFonts w:ascii="Times New Roman" w:hAnsi="Times New Roman" w:cs="Times New Roman" w:eastAsia="Times New Roman" w:hint="default"/>
          <w:sz w:val="27"/>
          <w:szCs w:val="27"/>
        </w:rPr>
      </w:pPr>
    </w:p>
    <w:tbl>
      <w:tblPr>
        <w:tblW w:w="0" w:type="auto"/>
        <w:jc w:val="left"/>
        <w:tblInd w:w="148" w:type="dxa"/>
        <w:tblLayout w:type="fixed"/>
        <w:tblCellMar>
          <w:top w:w="0" w:type="dxa"/>
          <w:left w:w="0" w:type="dxa"/>
          <w:bottom w:w="0" w:type="dxa"/>
          <w:right w:w="0" w:type="dxa"/>
        </w:tblCellMar>
        <w:tblLook w:val="01E0"/>
      </w:tblPr>
      <w:tblGrid>
        <w:gridCol w:w="881"/>
        <w:gridCol w:w="1181"/>
        <w:gridCol w:w="2475"/>
        <w:gridCol w:w="2552"/>
        <w:gridCol w:w="2552"/>
      </w:tblGrid>
      <w:tr>
        <w:trPr>
          <w:trHeight w:val="252" w:hRule="exact"/>
        </w:trPr>
        <w:tc>
          <w:tcPr>
            <w:tcW w:w="881" w:type="dxa"/>
            <w:tcBorders>
              <w:top w:val="single" w:sz="4" w:space="0" w:color="000000"/>
              <w:left w:val="single" w:sz="4" w:space="0" w:color="000000"/>
              <w:bottom w:val="nil" w:sz="6" w:space="0" w:color="auto"/>
              <w:right w:val="single" w:sz="4" w:space="0" w:color="000000"/>
            </w:tcBorders>
          </w:tcPr>
          <w:p>
            <w:pPr/>
          </w:p>
        </w:tc>
        <w:tc>
          <w:tcPr>
            <w:tcW w:w="1181" w:type="dxa"/>
            <w:tcBorders>
              <w:top w:val="single" w:sz="4" w:space="0" w:color="000000"/>
              <w:left w:val="single" w:sz="4" w:space="0" w:color="000000"/>
              <w:bottom w:val="nil" w:sz="6" w:space="0" w:color="auto"/>
              <w:right w:val="single" w:sz="4" w:space="0" w:color="000000"/>
            </w:tcBorders>
          </w:tcPr>
          <w:p>
            <w:pPr/>
          </w:p>
        </w:tc>
        <w:tc>
          <w:tcPr>
            <w:tcW w:w="2475" w:type="dxa"/>
            <w:tcBorders>
              <w:top w:val="single" w:sz="4" w:space="0" w:color="000000"/>
              <w:left w:val="single" w:sz="4" w:space="0" w:color="000000"/>
              <w:bottom w:val="nil" w:sz="6" w:space="0" w:color="auto"/>
              <w:right w:val="single" w:sz="4" w:space="0" w:color="000000"/>
            </w:tcBorders>
          </w:tcPr>
          <w:p>
            <w:pPr/>
          </w:p>
        </w:tc>
        <w:tc>
          <w:tcPr>
            <w:tcW w:w="2552" w:type="dxa"/>
            <w:tcBorders>
              <w:top w:val="single" w:sz="4" w:space="0" w:color="000000"/>
              <w:left w:val="single" w:sz="4" w:space="0" w:color="000000"/>
              <w:bottom w:val="nil" w:sz="6" w:space="0" w:color="auto"/>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在 </w:t>
            </w:r>
            <w:r>
              <w:rPr>
                <w:rFonts w:ascii="宋体" w:hAnsi="宋体" w:cs="宋体" w:eastAsia="宋体" w:hint="default"/>
                <w:sz w:val="18"/>
                <w:szCs w:val="18"/>
              </w:rPr>
              <w:t>v1.1</w:t>
            </w:r>
            <w:r>
              <w:rPr>
                <w:rFonts w:ascii="宋体" w:hAnsi="宋体" w:cs="宋体" w:eastAsia="宋体" w:hint="default"/>
                <w:spacing w:val="-5"/>
                <w:sz w:val="18"/>
                <w:szCs w:val="18"/>
              </w:rPr>
              <w:t> </w:t>
            </w:r>
            <w:r>
              <w:rPr>
                <w:rFonts w:ascii="宋体" w:hAnsi="宋体" w:cs="宋体" w:eastAsia="宋体" w:hint="default"/>
                <w:sz w:val="18"/>
                <w:szCs w:val="18"/>
              </w:rPr>
              <w:t>的基础上做了更新，</w:t>
            </w:r>
          </w:p>
        </w:tc>
        <w:tc>
          <w:tcPr>
            <w:tcW w:w="2552" w:type="dxa"/>
            <w:tcBorders>
              <w:top w:val="single" w:sz="4" w:space="0" w:color="000000"/>
              <w:left w:val="single" w:sz="4" w:space="0" w:color="000000"/>
              <w:bottom w:val="nil" w:sz="6" w:space="0" w:color="auto"/>
              <w:right w:val="single" w:sz="4" w:space="0" w:color="000000"/>
            </w:tcBorders>
          </w:tcPr>
          <w:p>
            <w:pPr/>
          </w:p>
        </w:tc>
      </w:tr>
      <w:tr>
        <w:trPr>
          <w:trHeight w:val="240"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pacing w:val="-7"/>
                <w:sz w:val="18"/>
                <w:szCs w:val="18"/>
              </w:rPr>
              <w:t>遵循移动、联通、电信等各运</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pacing w:val="13"/>
                <w:sz w:val="18"/>
                <w:szCs w:val="18"/>
              </w:rPr>
              <w:t>已研发完成，</w:t>
            </w:r>
            <w:r>
              <w:rPr>
                <w:rFonts w:ascii="宋体" w:hAnsi="宋体" w:cs="宋体" w:eastAsia="宋体" w:hint="default"/>
                <w:spacing w:val="-71"/>
                <w:sz w:val="18"/>
                <w:szCs w:val="18"/>
              </w:rPr>
              <w:t> </w:t>
            </w:r>
            <w:r>
              <w:rPr>
                <w:rFonts w:ascii="宋体" w:hAnsi="宋体" w:cs="宋体" w:eastAsia="宋体" w:hint="default"/>
                <w:spacing w:val="12"/>
                <w:sz w:val="18"/>
                <w:szCs w:val="18"/>
              </w:rPr>
              <w:t>更新了关键字</w:t>
            </w:r>
          </w:p>
        </w:tc>
        <w:tc>
          <w:tcPr>
            <w:tcW w:w="2552" w:type="dxa"/>
            <w:tcBorders>
              <w:top w:val="nil" w:sz="6" w:space="0" w:color="auto"/>
              <w:left w:val="single" w:sz="4" w:space="0" w:color="000000"/>
              <w:bottom w:val="nil" w:sz="6" w:space="0" w:color="auto"/>
              <w:right w:val="single" w:sz="4" w:space="0" w:color="000000"/>
            </w:tcBorders>
          </w:tcPr>
          <w:p>
            <w:pPr/>
          </w:p>
        </w:tc>
      </w:tr>
      <w:tr>
        <w:trPr>
          <w:trHeight w:val="720" w:hRule="exact"/>
        </w:trPr>
        <w:tc>
          <w:tcPr>
            <w:tcW w:w="881"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8"/>
                <w:szCs w:val="18"/>
              </w:rPr>
            </w:pPr>
          </w:p>
          <w:p>
            <w:pPr>
              <w:pStyle w:val="TableParagraph"/>
              <w:spacing w:line="240" w:lineRule="auto"/>
              <w:ind w:right="207"/>
              <w:jc w:val="right"/>
              <w:rPr>
                <w:rFonts w:ascii="宋体" w:hAnsi="宋体" w:cs="宋体" w:eastAsia="宋体" w:hint="default"/>
                <w:sz w:val="18"/>
                <w:szCs w:val="18"/>
              </w:rPr>
            </w:pPr>
            <w:r>
              <w:rPr>
                <w:rFonts w:ascii="宋体"/>
                <w:sz w:val="18"/>
              </w:rPr>
              <w:t>(3) </w:t>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pacing w:val="12"/>
                <w:sz w:val="18"/>
                <w:szCs w:val="18"/>
              </w:rPr>
              <w:t>漫道科技短</w:t>
            </w:r>
            <w:r>
              <w:rPr>
                <w:rFonts w:ascii="宋体" w:hAnsi="宋体" w:cs="宋体" w:eastAsia="宋体" w:hint="default"/>
                <w:spacing w:val="-74"/>
                <w:sz w:val="18"/>
                <w:szCs w:val="18"/>
              </w:rPr>
              <w:t> </w:t>
            </w:r>
            <w:r>
              <w:rPr>
                <w:rFonts w:ascii="宋体" w:hAnsi="宋体" w:cs="宋体" w:eastAsia="宋体" w:hint="default"/>
                <w:sz w:val="18"/>
                <w:szCs w:val="18"/>
              </w:rPr>
            </w:r>
          </w:p>
          <w:p>
            <w:pPr>
              <w:pStyle w:val="TableParagraph"/>
              <w:spacing w:line="244" w:lineRule="auto" w:before="4"/>
              <w:ind w:left="103" w:right="30"/>
              <w:jc w:val="left"/>
              <w:rPr>
                <w:rFonts w:ascii="宋体" w:hAnsi="宋体" w:cs="宋体" w:eastAsia="宋体" w:hint="default"/>
                <w:sz w:val="18"/>
                <w:szCs w:val="18"/>
              </w:rPr>
            </w:pPr>
            <w:r>
              <w:rPr>
                <w:rFonts w:ascii="宋体" w:hAnsi="宋体" w:cs="宋体" w:eastAsia="宋体" w:hint="default"/>
                <w:spacing w:val="12"/>
                <w:sz w:val="18"/>
                <w:szCs w:val="18"/>
              </w:rPr>
              <w:t>信关键字过</w:t>
            </w:r>
            <w:r>
              <w:rPr>
                <w:rFonts w:ascii="宋体" w:hAnsi="宋体" w:cs="宋体" w:eastAsia="宋体" w:hint="default"/>
                <w:spacing w:val="-86"/>
                <w:sz w:val="18"/>
                <w:szCs w:val="18"/>
              </w:rPr>
              <w:t> </w:t>
            </w:r>
            <w:r>
              <w:rPr>
                <w:rFonts w:ascii="宋体" w:hAnsi="宋体" w:cs="宋体" w:eastAsia="宋体" w:hint="default"/>
                <w:sz w:val="18"/>
                <w:szCs w:val="18"/>
              </w:rPr>
              <w:t>滤系统</w:t>
            </w:r>
            <w:r>
              <w:rPr>
                <w:rFonts w:ascii="宋体" w:hAnsi="宋体" w:cs="宋体" w:eastAsia="宋体" w:hint="default"/>
                <w:spacing w:val="-46"/>
                <w:sz w:val="18"/>
                <w:szCs w:val="18"/>
              </w:rPr>
              <w:t> </w:t>
            </w:r>
            <w:r>
              <w:rPr>
                <w:rFonts w:ascii="宋体" w:hAnsi="宋体" w:cs="宋体" w:eastAsia="宋体" w:hint="default"/>
                <w:sz w:val="18"/>
                <w:szCs w:val="18"/>
              </w:rPr>
              <w:t>v1.2 </w:t>
            </w: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营商相关的协议</w:t>
            </w:r>
            <w:r>
              <w:rPr>
                <w:rFonts w:ascii="宋体" w:hAnsi="宋体" w:cs="宋体" w:eastAsia="宋体" w:hint="default"/>
                <w:spacing w:val="-82"/>
                <w:sz w:val="18"/>
                <w:szCs w:val="18"/>
              </w:rPr>
              <w:t>，</w:t>
            </w:r>
            <w:r>
              <w:rPr>
                <w:rFonts w:ascii="宋体" w:hAnsi="宋体" w:cs="宋体" w:eastAsia="宋体" w:hint="default"/>
                <w:sz w:val="18"/>
                <w:szCs w:val="18"/>
              </w:rPr>
              <w:t>在技术上实</w:t>
            </w:r>
          </w:p>
          <w:p>
            <w:pPr>
              <w:pStyle w:val="TableParagraph"/>
              <w:spacing w:line="244" w:lineRule="auto" w:before="4"/>
              <w:ind w:left="105" w:right="99"/>
              <w:jc w:val="left"/>
              <w:rPr>
                <w:rFonts w:ascii="宋体" w:hAnsi="宋体" w:cs="宋体" w:eastAsia="宋体" w:hint="default"/>
                <w:sz w:val="18"/>
                <w:szCs w:val="18"/>
              </w:rPr>
            </w:pPr>
            <w:r>
              <w:rPr>
                <w:rFonts w:ascii="宋体" w:hAnsi="宋体" w:cs="宋体" w:eastAsia="宋体" w:hint="default"/>
                <w:spacing w:val="7"/>
                <w:sz w:val="18"/>
                <w:szCs w:val="18"/>
              </w:rPr>
              <w:t>现对各单位发送短信内容的</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7"/>
                <w:sz w:val="18"/>
                <w:szCs w:val="18"/>
              </w:rPr>
              <w:t>严格控制，杜绝反动、色情等</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库，使得过滤关键字功的能更</w:t>
            </w:r>
          </w:p>
          <w:p>
            <w:pPr>
              <w:pStyle w:val="TableParagraph"/>
              <w:spacing w:line="244" w:lineRule="auto" w:before="4"/>
              <w:ind w:left="103" w:right="101"/>
              <w:jc w:val="left"/>
              <w:rPr>
                <w:rFonts w:ascii="宋体" w:hAnsi="宋体" w:cs="宋体" w:eastAsia="宋体" w:hint="default"/>
                <w:sz w:val="18"/>
                <w:szCs w:val="18"/>
              </w:rPr>
            </w:pPr>
            <w:r>
              <w:rPr>
                <w:rFonts w:ascii="宋体" w:hAnsi="宋体" w:cs="宋体" w:eastAsia="宋体" w:hint="default"/>
                <w:sz w:val="18"/>
                <w:szCs w:val="18"/>
              </w:rPr>
              <w:t>加智能完善，降低通道投诉率 客户使用时更加放心，还增加</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4" w:lineRule="auto" w:before="94"/>
              <w:ind w:left="105" w:right="99"/>
              <w:jc w:val="left"/>
              <w:rPr>
                <w:rFonts w:ascii="宋体" w:hAnsi="宋体" w:cs="宋体" w:eastAsia="宋体" w:hint="default"/>
                <w:sz w:val="18"/>
                <w:szCs w:val="18"/>
              </w:rPr>
            </w:pPr>
            <w:r>
              <w:rPr>
                <w:rFonts w:ascii="宋体" w:hAnsi="宋体" w:cs="宋体" w:eastAsia="宋体" w:hint="default"/>
                <w:spacing w:val="14"/>
                <w:sz w:val="18"/>
                <w:szCs w:val="18"/>
              </w:rPr>
              <w:t>在短信内容的安全管理上提</w:t>
            </w:r>
            <w:r>
              <w:rPr>
                <w:rFonts w:ascii="宋体" w:hAnsi="宋体" w:cs="宋体" w:eastAsia="宋体" w:hint="default"/>
                <w:sz w:val="18"/>
                <w:szCs w:val="18"/>
              </w:rPr>
              <w:t> 供了良好的保障。</w:t>
            </w:r>
            <w:r>
              <w:rPr>
                <w:rFonts w:ascii="宋体" w:hAnsi="宋体" w:cs="宋体" w:eastAsia="宋体" w:hint="default"/>
                <w:sz w:val="18"/>
                <w:szCs w:val="18"/>
              </w:rPr>
              <w:t> </w:t>
            </w:r>
          </w:p>
        </w:tc>
      </w:tr>
      <w:tr>
        <w:trPr>
          <w:trHeight w:val="240"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垃圾短信。</w:t>
            </w:r>
            <w:r>
              <w:rPr>
                <w:rFonts w:ascii="宋体" w:hAnsi="宋体" w:cs="宋体" w:eastAsia="宋体" w:hint="default"/>
                <w:sz w:val="18"/>
                <w:szCs w:val="18"/>
              </w:rPr>
              <w:t> </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pacing w:val="14"/>
                <w:sz w:val="18"/>
                <w:szCs w:val="18"/>
              </w:rPr>
              <w:t>了签名报备和签名拦截等新</w:t>
            </w:r>
          </w:p>
        </w:tc>
        <w:tc>
          <w:tcPr>
            <w:tcW w:w="2552" w:type="dxa"/>
            <w:tcBorders>
              <w:top w:val="nil" w:sz="6" w:space="0" w:color="auto"/>
              <w:left w:val="single" w:sz="4" w:space="0" w:color="000000"/>
              <w:bottom w:val="nil" w:sz="6" w:space="0" w:color="auto"/>
              <w:right w:val="single" w:sz="4" w:space="0" w:color="000000"/>
            </w:tcBorders>
          </w:tcPr>
          <w:p>
            <w:pPr/>
          </w:p>
        </w:tc>
      </w:tr>
      <w:tr>
        <w:trPr>
          <w:trHeight w:val="237" w:hRule="exact"/>
        </w:trPr>
        <w:tc>
          <w:tcPr>
            <w:tcW w:w="881" w:type="dxa"/>
            <w:tcBorders>
              <w:top w:val="nil" w:sz="6" w:space="0" w:color="auto"/>
              <w:left w:val="single" w:sz="4" w:space="0" w:color="000000"/>
              <w:bottom w:val="single" w:sz="4" w:space="0" w:color="000000"/>
              <w:right w:val="single" w:sz="4" w:space="0" w:color="000000"/>
            </w:tcBorders>
          </w:tcPr>
          <w:p>
            <w:pPr/>
          </w:p>
        </w:tc>
        <w:tc>
          <w:tcPr>
            <w:tcW w:w="1181" w:type="dxa"/>
            <w:tcBorders>
              <w:top w:val="nil" w:sz="6" w:space="0" w:color="auto"/>
              <w:left w:val="single" w:sz="4" w:space="0" w:color="000000"/>
              <w:bottom w:val="single" w:sz="4" w:space="0" w:color="000000"/>
              <w:right w:val="single" w:sz="4" w:space="0" w:color="000000"/>
            </w:tcBorders>
          </w:tcPr>
          <w:p>
            <w:pPr/>
          </w:p>
        </w:tc>
        <w:tc>
          <w:tcPr>
            <w:tcW w:w="2475" w:type="dxa"/>
            <w:tcBorders>
              <w:top w:val="nil" w:sz="6" w:space="0" w:color="auto"/>
              <w:left w:val="single" w:sz="4" w:space="0" w:color="000000"/>
              <w:bottom w:val="single" w:sz="4" w:space="0" w:color="000000"/>
              <w:right w:val="single" w:sz="4" w:space="0" w:color="000000"/>
            </w:tcBorders>
          </w:tcPr>
          <w:p>
            <w:pPr/>
          </w:p>
        </w:tc>
        <w:tc>
          <w:tcPr>
            <w:tcW w:w="2552" w:type="dxa"/>
            <w:tcBorders>
              <w:top w:val="nil" w:sz="6" w:space="0" w:color="auto"/>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功能。</w:t>
            </w:r>
            <w:r>
              <w:rPr>
                <w:rFonts w:ascii="宋体" w:hAnsi="宋体" w:cs="宋体" w:eastAsia="宋体" w:hint="default"/>
                <w:sz w:val="18"/>
                <w:szCs w:val="18"/>
              </w:rPr>
              <w:t> </w:t>
            </w:r>
          </w:p>
        </w:tc>
        <w:tc>
          <w:tcPr>
            <w:tcW w:w="2552" w:type="dxa"/>
            <w:tcBorders>
              <w:top w:val="nil" w:sz="6" w:space="0" w:color="auto"/>
              <w:left w:val="single" w:sz="4" w:space="0" w:color="000000"/>
              <w:bottom w:val="single" w:sz="4" w:space="0" w:color="000000"/>
              <w:right w:val="single" w:sz="4" w:space="0" w:color="000000"/>
            </w:tcBorders>
          </w:tcPr>
          <w:p>
            <w:pPr/>
          </w:p>
        </w:tc>
      </w:tr>
      <w:tr>
        <w:trPr>
          <w:trHeight w:val="252" w:hRule="exact"/>
        </w:trPr>
        <w:tc>
          <w:tcPr>
            <w:tcW w:w="881" w:type="dxa"/>
            <w:tcBorders>
              <w:top w:val="single" w:sz="4" w:space="0" w:color="000000"/>
              <w:left w:val="single" w:sz="4" w:space="0" w:color="000000"/>
              <w:bottom w:val="nil" w:sz="6" w:space="0" w:color="auto"/>
              <w:right w:val="single" w:sz="4" w:space="0" w:color="000000"/>
            </w:tcBorders>
          </w:tcPr>
          <w:p>
            <w:pPr/>
          </w:p>
        </w:tc>
        <w:tc>
          <w:tcPr>
            <w:tcW w:w="1181" w:type="dxa"/>
            <w:tcBorders>
              <w:top w:val="single" w:sz="4" w:space="0" w:color="000000"/>
              <w:left w:val="single" w:sz="4" w:space="0" w:color="000000"/>
              <w:bottom w:val="nil" w:sz="6" w:space="0" w:color="auto"/>
              <w:right w:val="single" w:sz="4" w:space="0" w:color="000000"/>
            </w:tcBorders>
          </w:tcPr>
          <w:p>
            <w:pPr/>
          </w:p>
        </w:tc>
        <w:tc>
          <w:tcPr>
            <w:tcW w:w="2475" w:type="dxa"/>
            <w:tcBorders>
              <w:top w:val="single" w:sz="4" w:space="0" w:color="000000"/>
              <w:left w:val="single" w:sz="4" w:space="0" w:color="000000"/>
              <w:bottom w:val="nil" w:sz="6" w:space="0" w:color="auto"/>
              <w:right w:val="single" w:sz="4" w:space="0" w:color="000000"/>
            </w:tcBorders>
          </w:tcPr>
          <w:p>
            <w:pPr>
              <w:pStyle w:val="TableParagraph"/>
              <w:spacing w:line="217" w:lineRule="exact"/>
              <w:ind w:left="105" w:right="0"/>
              <w:jc w:val="left"/>
              <w:rPr>
                <w:rFonts w:ascii="宋体" w:hAnsi="宋体" w:cs="宋体" w:eastAsia="宋体" w:hint="default"/>
                <w:sz w:val="18"/>
                <w:szCs w:val="18"/>
              </w:rPr>
            </w:pPr>
            <w:r>
              <w:rPr>
                <w:rFonts w:ascii="宋体" w:hAnsi="宋体" w:cs="宋体" w:eastAsia="宋体" w:hint="default"/>
                <w:sz w:val="18"/>
                <w:szCs w:val="18"/>
              </w:rPr>
              <w:t>系统对用户进行消息的推送，</w:t>
            </w:r>
          </w:p>
        </w:tc>
        <w:tc>
          <w:tcPr>
            <w:tcW w:w="2552" w:type="dxa"/>
            <w:tcBorders>
              <w:top w:val="single" w:sz="4" w:space="0" w:color="000000"/>
              <w:left w:val="single" w:sz="4" w:space="0" w:color="000000"/>
              <w:bottom w:val="nil" w:sz="6" w:space="0" w:color="auto"/>
              <w:right w:val="single" w:sz="4" w:space="0" w:color="000000"/>
            </w:tcBorders>
          </w:tcPr>
          <w:p>
            <w:pPr/>
          </w:p>
        </w:tc>
        <w:tc>
          <w:tcPr>
            <w:tcW w:w="2552" w:type="dxa"/>
            <w:tcBorders>
              <w:top w:val="single" w:sz="4" w:space="0" w:color="000000"/>
              <w:left w:val="single" w:sz="4" w:space="0" w:color="000000"/>
              <w:bottom w:val="nil" w:sz="6" w:space="0" w:color="auto"/>
              <w:right w:val="single" w:sz="4" w:space="0" w:color="000000"/>
            </w:tcBorders>
          </w:tcPr>
          <w:p>
            <w:pPr/>
          </w:p>
        </w:tc>
      </w:tr>
      <w:tr>
        <w:trPr>
          <w:trHeight w:val="240"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pacing w:val="7"/>
                <w:sz w:val="18"/>
                <w:szCs w:val="18"/>
              </w:rPr>
              <w:t>推送方式有推送手机短信和</w:t>
            </w:r>
          </w:p>
        </w:tc>
        <w:tc>
          <w:tcPr>
            <w:tcW w:w="2552" w:type="dxa"/>
            <w:tcBorders>
              <w:top w:val="nil" w:sz="6" w:space="0" w:color="auto"/>
              <w:left w:val="single" w:sz="4" w:space="0" w:color="000000"/>
              <w:bottom w:val="nil" w:sz="6" w:space="0" w:color="auto"/>
              <w:right w:val="single" w:sz="4" w:space="0" w:color="000000"/>
            </w:tcBorders>
          </w:tcPr>
          <w:p>
            <w:pPr/>
          </w:p>
        </w:tc>
        <w:tc>
          <w:tcPr>
            <w:tcW w:w="2552" w:type="dxa"/>
            <w:tcBorders>
              <w:top w:val="nil" w:sz="6" w:space="0" w:color="auto"/>
              <w:left w:val="single" w:sz="4" w:space="0" w:color="000000"/>
              <w:bottom w:val="nil" w:sz="6" w:space="0" w:color="auto"/>
              <w:right w:val="single" w:sz="4" w:space="0" w:color="000000"/>
            </w:tcBorders>
          </w:tcPr>
          <w:p>
            <w:pPr/>
          </w:p>
        </w:tc>
      </w:tr>
      <w:tr>
        <w:trPr>
          <w:trHeight w:val="1440" w:hRule="exact"/>
        </w:trPr>
        <w:tc>
          <w:tcPr>
            <w:tcW w:w="88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right="207"/>
              <w:jc w:val="right"/>
              <w:rPr>
                <w:rFonts w:ascii="宋体" w:hAnsi="宋体" w:cs="宋体" w:eastAsia="宋体" w:hint="default"/>
                <w:sz w:val="18"/>
                <w:szCs w:val="18"/>
              </w:rPr>
            </w:pPr>
            <w:r>
              <w:rPr>
                <w:rFonts w:ascii="宋体"/>
                <w:sz w:val="18"/>
              </w:rPr>
              <w:t>(4) </w:t>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4" w:lineRule="auto" w:before="127"/>
              <w:ind w:left="103" w:right="83"/>
              <w:jc w:val="both"/>
              <w:rPr>
                <w:rFonts w:ascii="宋体" w:hAnsi="宋体" w:cs="宋体" w:eastAsia="宋体" w:hint="default"/>
                <w:sz w:val="18"/>
                <w:szCs w:val="18"/>
              </w:rPr>
            </w:pPr>
            <w:r>
              <w:rPr>
                <w:rFonts w:ascii="宋体" w:hAnsi="宋体" w:cs="宋体" w:eastAsia="宋体" w:hint="default"/>
                <w:spacing w:val="12"/>
                <w:sz w:val="18"/>
                <w:szCs w:val="18"/>
              </w:rPr>
              <w:t>漫道科技报</w:t>
            </w:r>
            <w:r>
              <w:rPr>
                <w:rFonts w:ascii="宋体" w:hAnsi="宋体" w:cs="宋体" w:eastAsia="宋体" w:hint="default"/>
                <w:spacing w:val="-86"/>
                <w:sz w:val="18"/>
                <w:szCs w:val="18"/>
              </w:rPr>
              <w:t> </w:t>
            </w:r>
            <w:r>
              <w:rPr>
                <w:rFonts w:ascii="宋体" w:hAnsi="宋体" w:cs="宋体" w:eastAsia="宋体" w:hint="default"/>
                <w:spacing w:val="12"/>
                <w:sz w:val="18"/>
                <w:szCs w:val="18"/>
              </w:rPr>
              <w:t>告推送系统</w:t>
            </w:r>
            <w:r>
              <w:rPr>
                <w:rFonts w:ascii="宋体" w:hAnsi="宋体" w:cs="宋体" w:eastAsia="宋体" w:hint="default"/>
                <w:spacing w:val="-86"/>
                <w:sz w:val="18"/>
                <w:szCs w:val="18"/>
              </w:rPr>
              <w:t> </w:t>
            </w:r>
            <w:r>
              <w:rPr>
                <w:rFonts w:ascii="宋体" w:hAnsi="宋体" w:cs="宋体" w:eastAsia="宋体" w:hint="default"/>
                <w:sz w:val="18"/>
                <w:szCs w:val="18"/>
              </w:rPr>
              <w:t>V2.2 </w:t>
            </w: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both"/>
              <w:rPr>
                <w:rFonts w:ascii="宋体" w:hAnsi="宋体" w:cs="宋体" w:eastAsia="宋体" w:hint="default"/>
                <w:sz w:val="18"/>
                <w:szCs w:val="18"/>
              </w:rPr>
            </w:pPr>
            <w:r>
              <w:rPr>
                <w:rFonts w:ascii="宋体" w:hAnsi="宋体" w:cs="宋体" w:eastAsia="宋体" w:hint="default"/>
                <w:sz w:val="18"/>
                <w:szCs w:val="18"/>
              </w:rPr>
              <w:t>推送客户端两种</w:t>
            </w:r>
            <w:r>
              <w:rPr>
                <w:rFonts w:ascii="宋体" w:hAnsi="宋体" w:cs="宋体" w:eastAsia="宋体" w:hint="default"/>
                <w:spacing w:val="-82"/>
                <w:sz w:val="18"/>
                <w:szCs w:val="18"/>
              </w:rPr>
              <w:t>。</w:t>
            </w:r>
            <w:r>
              <w:rPr>
                <w:rFonts w:ascii="宋体" w:hAnsi="宋体" w:cs="宋体" w:eastAsia="宋体" w:hint="default"/>
                <w:sz w:val="18"/>
                <w:szCs w:val="18"/>
              </w:rPr>
              <w:t>推送方式的</w:t>
            </w:r>
          </w:p>
          <w:p>
            <w:pPr>
              <w:pStyle w:val="TableParagraph"/>
              <w:spacing w:line="244" w:lineRule="auto" w:before="4"/>
              <w:ind w:left="105" w:right="99"/>
              <w:jc w:val="both"/>
              <w:rPr>
                <w:rFonts w:ascii="宋体" w:hAnsi="宋体" w:cs="宋体" w:eastAsia="宋体" w:hint="default"/>
                <w:sz w:val="18"/>
                <w:szCs w:val="18"/>
              </w:rPr>
            </w:pPr>
            <w:r>
              <w:rPr>
                <w:rFonts w:ascii="宋体" w:hAnsi="宋体" w:cs="宋体" w:eastAsia="宋体" w:hint="default"/>
                <w:spacing w:val="7"/>
                <w:sz w:val="18"/>
                <w:szCs w:val="18"/>
              </w:rPr>
              <w:t>判断根据规则筛选中选择登</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7"/>
                <w:sz w:val="18"/>
                <w:szCs w:val="18"/>
              </w:rPr>
              <w:t>录渠道进行筛选。多条循环推</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7"/>
                <w:sz w:val="18"/>
                <w:szCs w:val="18"/>
              </w:rPr>
              <w:t>送的在同一时段推送时，系统</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7"/>
                <w:sz w:val="18"/>
                <w:szCs w:val="18"/>
              </w:rPr>
              <w:t>根据优先级进行推送，当达到</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7"/>
                <w:sz w:val="18"/>
                <w:szCs w:val="18"/>
              </w:rPr>
              <w:t>系统针对每个用户的推送通</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4" w:lineRule="auto" w:before="94"/>
              <w:ind w:left="103" w:right="99"/>
              <w:jc w:val="both"/>
              <w:rPr>
                <w:rFonts w:ascii="宋体" w:hAnsi="宋体" w:cs="宋体" w:eastAsia="宋体" w:hint="default"/>
                <w:sz w:val="18"/>
                <w:szCs w:val="18"/>
              </w:rPr>
            </w:pPr>
            <w:r>
              <w:rPr>
                <w:rFonts w:ascii="宋体" w:hAnsi="宋体" w:cs="宋体" w:eastAsia="宋体" w:hint="default"/>
                <w:sz w:val="18"/>
                <w:szCs w:val="18"/>
              </w:rPr>
              <w:t>在源 </w:t>
            </w:r>
            <w:r>
              <w:rPr>
                <w:rFonts w:ascii="宋体" w:hAnsi="宋体" w:cs="宋体" w:eastAsia="宋体" w:hint="default"/>
                <w:sz w:val="18"/>
                <w:szCs w:val="18"/>
              </w:rPr>
              <w:t>v2.1</w:t>
            </w:r>
            <w:r>
              <w:rPr>
                <w:rFonts w:ascii="宋体" w:hAnsi="宋体" w:cs="宋体" w:eastAsia="宋体" w:hint="default"/>
                <w:spacing w:val="-5"/>
                <w:sz w:val="18"/>
                <w:szCs w:val="18"/>
              </w:rPr>
              <w:t> </w:t>
            </w:r>
            <w:r>
              <w:rPr>
                <w:rFonts w:ascii="宋体" w:hAnsi="宋体" w:cs="宋体" w:eastAsia="宋体" w:hint="default"/>
                <w:sz w:val="18"/>
                <w:szCs w:val="18"/>
              </w:rPr>
              <w:t>版本基础上做了更 新，主要加入了超级短信报告 推送功能，已研发完成，满足 </w:t>
            </w:r>
            <w:r>
              <w:rPr>
                <w:rFonts w:ascii="宋体" w:hAnsi="宋体" w:cs="宋体" w:eastAsia="宋体" w:hint="default"/>
                <w:spacing w:val="14"/>
                <w:sz w:val="18"/>
                <w:szCs w:val="18"/>
              </w:rPr>
              <w:t>了客户接收各类状态报告的</w:t>
            </w:r>
            <w:r>
              <w:rPr>
                <w:rFonts w:ascii="宋体" w:hAnsi="宋体" w:cs="宋体" w:eastAsia="宋体" w:hint="default"/>
                <w:sz w:val="18"/>
                <w:szCs w:val="18"/>
              </w:rPr>
              <w:t> 需求，受到了客户好评。</w:t>
            </w:r>
            <w:r>
              <w:rPr>
                <w:rFonts w:ascii="宋体" w:hAnsi="宋体" w:cs="宋体" w:eastAsia="宋体" w:hint="default"/>
                <w:sz w:val="18"/>
                <w:szCs w:val="18"/>
              </w:rPr>
              <w:t> </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4" w:lineRule="auto"/>
              <w:ind w:left="105" w:right="94"/>
              <w:jc w:val="both"/>
              <w:rPr>
                <w:rFonts w:ascii="宋体" w:hAnsi="宋体" w:cs="宋体" w:eastAsia="宋体" w:hint="default"/>
                <w:sz w:val="18"/>
                <w:szCs w:val="18"/>
              </w:rPr>
            </w:pPr>
            <w:r>
              <w:rPr>
                <w:rFonts w:ascii="宋体" w:hAnsi="宋体" w:cs="宋体" w:eastAsia="宋体" w:hint="default"/>
                <w:sz w:val="18"/>
                <w:szCs w:val="18"/>
              </w:rPr>
              <w:t>产品已正式投产使用，得到了 客户的一致好评，帮助客户更 快速、准确的获取状态报告， 提升客户满意度。</w:t>
            </w:r>
            <w:r>
              <w:rPr>
                <w:rFonts w:ascii="宋体" w:hAnsi="宋体" w:cs="宋体" w:eastAsia="宋体" w:hint="default"/>
                <w:sz w:val="18"/>
                <w:szCs w:val="18"/>
              </w:rPr>
              <w:t> </w:t>
            </w:r>
          </w:p>
        </w:tc>
      </w:tr>
      <w:tr>
        <w:trPr>
          <w:trHeight w:val="240"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知上限的情况下</w:t>
            </w:r>
            <w:r>
              <w:rPr>
                <w:rFonts w:ascii="宋体" w:hAnsi="宋体" w:cs="宋体" w:eastAsia="宋体" w:hint="default"/>
                <w:spacing w:val="-82"/>
                <w:sz w:val="18"/>
                <w:szCs w:val="18"/>
              </w:rPr>
              <w:t>，</w:t>
            </w:r>
            <w:r>
              <w:rPr>
                <w:rFonts w:ascii="宋体" w:hAnsi="宋体" w:cs="宋体" w:eastAsia="宋体" w:hint="default"/>
                <w:sz w:val="18"/>
                <w:szCs w:val="18"/>
              </w:rPr>
              <w:t>不再发送通</w:t>
            </w:r>
          </w:p>
        </w:tc>
        <w:tc>
          <w:tcPr>
            <w:tcW w:w="2552" w:type="dxa"/>
            <w:tcBorders>
              <w:top w:val="nil" w:sz="6" w:space="0" w:color="auto"/>
              <w:left w:val="single" w:sz="4" w:space="0" w:color="000000"/>
              <w:bottom w:val="nil" w:sz="6" w:space="0" w:color="auto"/>
              <w:right w:val="single" w:sz="4" w:space="0" w:color="000000"/>
            </w:tcBorders>
          </w:tcPr>
          <w:p>
            <w:pPr/>
          </w:p>
        </w:tc>
        <w:tc>
          <w:tcPr>
            <w:tcW w:w="2552" w:type="dxa"/>
            <w:tcBorders>
              <w:top w:val="nil" w:sz="6" w:space="0" w:color="auto"/>
              <w:left w:val="single" w:sz="4" w:space="0" w:color="000000"/>
              <w:bottom w:val="nil" w:sz="6" w:space="0" w:color="auto"/>
              <w:right w:val="single" w:sz="4" w:space="0" w:color="000000"/>
            </w:tcBorders>
          </w:tcPr>
          <w:p>
            <w:pPr/>
          </w:p>
        </w:tc>
      </w:tr>
      <w:tr>
        <w:trPr>
          <w:trHeight w:val="237" w:hRule="exact"/>
        </w:trPr>
        <w:tc>
          <w:tcPr>
            <w:tcW w:w="881" w:type="dxa"/>
            <w:tcBorders>
              <w:top w:val="nil" w:sz="6" w:space="0" w:color="auto"/>
              <w:left w:val="single" w:sz="4" w:space="0" w:color="000000"/>
              <w:bottom w:val="single" w:sz="4" w:space="0" w:color="000000"/>
              <w:right w:val="single" w:sz="4" w:space="0" w:color="000000"/>
            </w:tcBorders>
          </w:tcPr>
          <w:p>
            <w:pPr/>
          </w:p>
        </w:tc>
        <w:tc>
          <w:tcPr>
            <w:tcW w:w="1181" w:type="dxa"/>
            <w:tcBorders>
              <w:top w:val="nil" w:sz="6" w:space="0" w:color="auto"/>
              <w:left w:val="single" w:sz="4" w:space="0" w:color="000000"/>
              <w:bottom w:val="single" w:sz="4" w:space="0" w:color="000000"/>
              <w:right w:val="single" w:sz="4" w:space="0" w:color="000000"/>
            </w:tcBorders>
          </w:tcPr>
          <w:p>
            <w:pPr/>
          </w:p>
        </w:tc>
        <w:tc>
          <w:tcPr>
            <w:tcW w:w="2475" w:type="dxa"/>
            <w:tcBorders>
              <w:top w:val="nil" w:sz="6" w:space="0" w:color="auto"/>
              <w:left w:val="single" w:sz="4" w:space="0" w:color="000000"/>
              <w:bottom w:val="single" w:sz="4" w:space="0" w:color="000000"/>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知。</w:t>
            </w:r>
            <w:r>
              <w:rPr>
                <w:rFonts w:ascii="宋体" w:hAnsi="宋体" w:cs="宋体" w:eastAsia="宋体" w:hint="default"/>
                <w:sz w:val="18"/>
                <w:szCs w:val="18"/>
              </w:rPr>
              <w:t> </w:t>
            </w:r>
          </w:p>
        </w:tc>
        <w:tc>
          <w:tcPr>
            <w:tcW w:w="2552" w:type="dxa"/>
            <w:tcBorders>
              <w:top w:val="nil" w:sz="6" w:space="0" w:color="auto"/>
              <w:left w:val="single" w:sz="4" w:space="0" w:color="000000"/>
              <w:bottom w:val="single" w:sz="4" w:space="0" w:color="000000"/>
              <w:right w:val="single" w:sz="4" w:space="0" w:color="000000"/>
            </w:tcBorders>
          </w:tcPr>
          <w:p>
            <w:pPr/>
          </w:p>
        </w:tc>
        <w:tc>
          <w:tcPr>
            <w:tcW w:w="2552" w:type="dxa"/>
            <w:tcBorders>
              <w:top w:val="nil" w:sz="6" w:space="0" w:color="auto"/>
              <w:left w:val="single" w:sz="4" w:space="0" w:color="000000"/>
              <w:bottom w:val="single" w:sz="4" w:space="0" w:color="000000"/>
              <w:right w:val="single" w:sz="4" w:space="0" w:color="000000"/>
            </w:tcBorders>
          </w:tcPr>
          <w:p>
            <w:pPr/>
          </w:p>
        </w:tc>
      </w:tr>
      <w:tr>
        <w:trPr>
          <w:trHeight w:val="255" w:hRule="exact"/>
        </w:trPr>
        <w:tc>
          <w:tcPr>
            <w:tcW w:w="881" w:type="dxa"/>
            <w:tcBorders>
              <w:top w:val="single" w:sz="4" w:space="0" w:color="000000"/>
              <w:left w:val="single" w:sz="4" w:space="0" w:color="000000"/>
              <w:bottom w:val="nil" w:sz="6" w:space="0" w:color="auto"/>
              <w:right w:val="single" w:sz="4" w:space="0" w:color="000000"/>
            </w:tcBorders>
          </w:tcPr>
          <w:p>
            <w:pPr/>
          </w:p>
        </w:tc>
        <w:tc>
          <w:tcPr>
            <w:tcW w:w="1181" w:type="dxa"/>
            <w:tcBorders>
              <w:top w:val="single" w:sz="4" w:space="0" w:color="000000"/>
              <w:left w:val="single" w:sz="4" w:space="0" w:color="000000"/>
              <w:bottom w:val="nil" w:sz="6" w:space="0" w:color="auto"/>
              <w:right w:val="single" w:sz="4" w:space="0" w:color="000000"/>
            </w:tcBorders>
          </w:tcPr>
          <w:p>
            <w:pPr/>
          </w:p>
        </w:tc>
        <w:tc>
          <w:tcPr>
            <w:tcW w:w="2475" w:type="dxa"/>
            <w:tcBorders>
              <w:top w:val="single" w:sz="4" w:space="0" w:color="000000"/>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pacing w:val="7"/>
                <w:sz w:val="18"/>
                <w:szCs w:val="18"/>
              </w:rPr>
              <w:t>运维监控系统主要是对漫道</w:t>
            </w:r>
          </w:p>
        </w:tc>
        <w:tc>
          <w:tcPr>
            <w:tcW w:w="2552" w:type="dxa"/>
            <w:tcBorders>
              <w:top w:val="single" w:sz="4" w:space="0" w:color="000000"/>
              <w:left w:val="single" w:sz="4" w:space="0" w:color="000000"/>
              <w:bottom w:val="nil" w:sz="6" w:space="0" w:color="auto"/>
              <w:right w:val="single" w:sz="4" w:space="0" w:color="000000"/>
            </w:tcBorders>
          </w:tcPr>
          <w:p>
            <w:pPr>
              <w:pStyle w:val="TableParagraph"/>
              <w:spacing w:line="220" w:lineRule="exact"/>
              <w:ind w:left="103" w:right="0"/>
              <w:jc w:val="left"/>
              <w:rPr>
                <w:rFonts w:ascii="宋体" w:hAnsi="宋体" w:cs="宋体" w:eastAsia="宋体" w:hint="default"/>
                <w:sz w:val="18"/>
                <w:szCs w:val="18"/>
              </w:rPr>
            </w:pPr>
            <w:r>
              <w:rPr>
                <w:rFonts w:ascii="宋体" w:hAnsi="宋体" w:cs="宋体" w:eastAsia="宋体" w:hint="default"/>
                <w:sz w:val="18"/>
                <w:szCs w:val="18"/>
              </w:rPr>
              <w:t>已研发完成，升级到 </w:t>
            </w:r>
            <w:r>
              <w:rPr>
                <w:rFonts w:ascii="宋体" w:hAnsi="宋体" w:cs="宋体" w:eastAsia="宋体" w:hint="default"/>
                <w:sz w:val="18"/>
                <w:szCs w:val="18"/>
              </w:rPr>
              <w:t>v2.3</w:t>
            </w:r>
            <w:r>
              <w:rPr>
                <w:rFonts w:ascii="宋体" w:hAnsi="宋体" w:cs="宋体" w:eastAsia="宋体" w:hint="default"/>
                <w:spacing w:val="-4"/>
                <w:sz w:val="18"/>
                <w:szCs w:val="18"/>
              </w:rPr>
              <w:t> </w:t>
            </w:r>
            <w:r>
              <w:rPr>
                <w:rFonts w:ascii="宋体" w:hAnsi="宋体" w:cs="宋体" w:eastAsia="宋体" w:hint="default"/>
                <w:sz w:val="18"/>
                <w:szCs w:val="18"/>
              </w:rPr>
              <w:t>版</w:t>
            </w:r>
          </w:p>
        </w:tc>
        <w:tc>
          <w:tcPr>
            <w:tcW w:w="2552" w:type="dxa"/>
            <w:tcBorders>
              <w:top w:val="single" w:sz="4" w:space="0" w:color="000000"/>
              <w:left w:val="single" w:sz="4" w:space="0" w:color="000000"/>
              <w:bottom w:val="nil" w:sz="6" w:space="0" w:color="auto"/>
              <w:right w:val="single" w:sz="4" w:space="0" w:color="000000"/>
            </w:tcBorders>
          </w:tcPr>
          <w:p>
            <w:pPr/>
          </w:p>
        </w:tc>
      </w:tr>
      <w:tr>
        <w:trPr>
          <w:trHeight w:val="240"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pacing w:val="7"/>
                <w:sz w:val="18"/>
                <w:szCs w:val="18"/>
              </w:rPr>
              <w:t>大平台的整体运转情况做一</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本，新版本中增加了对分发中</w:t>
            </w:r>
          </w:p>
        </w:tc>
        <w:tc>
          <w:tcPr>
            <w:tcW w:w="2552" w:type="dxa"/>
            <w:tcBorders>
              <w:top w:val="nil" w:sz="6" w:space="0" w:color="auto"/>
              <w:left w:val="single" w:sz="4" w:space="0" w:color="000000"/>
              <w:bottom w:val="nil" w:sz="6" w:space="0" w:color="auto"/>
              <w:right w:val="single" w:sz="4" w:space="0" w:color="000000"/>
            </w:tcBorders>
          </w:tcPr>
          <w:p>
            <w:pPr/>
          </w:p>
        </w:tc>
      </w:tr>
      <w:tr>
        <w:trPr>
          <w:trHeight w:val="240"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个监控，包括服务器的情况、</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心和核心应用模块的监控，可</w:t>
            </w:r>
          </w:p>
        </w:tc>
        <w:tc>
          <w:tcPr>
            <w:tcW w:w="2552" w:type="dxa"/>
            <w:tcBorders>
              <w:top w:val="nil" w:sz="6" w:space="0" w:color="auto"/>
              <w:left w:val="single" w:sz="4" w:space="0" w:color="000000"/>
              <w:bottom w:val="nil" w:sz="6" w:space="0" w:color="auto"/>
              <w:right w:val="single" w:sz="4" w:space="0" w:color="000000"/>
            </w:tcBorders>
          </w:tcPr>
          <w:p>
            <w:pPr/>
          </w:p>
        </w:tc>
      </w:tr>
      <w:tr>
        <w:trPr>
          <w:trHeight w:val="1440" w:hRule="exact"/>
        </w:trPr>
        <w:tc>
          <w:tcPr>
            <w:tcW w:w="88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0"/>
              <w:ind w:right="207"/>
              <w:jc w:val="right"/>
              <w:rPr>
                <w:rFonts w:ascii="宋体" w:hAnsi="宋体" w:cs="宋体" w:eastAsia="宋体" w:hint="default"/>
                <w:sz w:val="18"/>
                <w:szCs w:val="18"/>
              </w:rPr>
            </w:pPr>
            <w:r>
              <w:rPr>
                <w:rFonts w:ascii="宋体"/>
                <w:sz w:val="18"/>
              </w:rPr>
              <w:t>(5) </w:t>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4" w:lineRule="auto"/>
              <w:ind w:left="103" w:right="83"/>
              <w:jc w:val="both"/>
              <w:rPr>
                <w:rFonts w:ascii="宋体" w:hAnsi="宋体" w:cs="宋体" w:eastAsia="宋体" w:hint="default"/>
                <w:sz w:val="18"/>
                <w:szCs w:val="18"/>
              </w:rPr>
            </w:pPr>
            <w:r>
              <w:rPr>
                <w:rFonts w:ascii="宋体" w:hAnsi="宋体" w:cs="宋体" w:eastAsia="宋体" w:hint="default"/>
                <w:spacing w:val="12"/>
                <w:sz w:val="18"/>
                <w:szCs w:val="18"/>
              </w:rPr>
              <w:t>漫道科技运</w:t>
            </w:r>
            <w:r>
              <w:rPr>
                <w:rFonts w:ascii="宋体" w:hAnsi="宋体" w:cs="宋体" w:eastAsia="宋体" w:hint="default"/>
                <w:spacing w:val="-86"/>
                <w:sz w:val="18"/>
                <w:szCs w:val="18"/>
              </w:rPr>
              <w:t> </w:t>
            </w:r>
            <w:r>
              <w:rPr>
                <w:rFonts w:ascii="宋体" w:hAnsi="宋体" w:cs="宋体" w:eastAsia="宋体" w:hint="default"/>
                <w:spacing w:val="12"/>
                <w:sz w:val="18"/>
                <w:szCs w:val="18"/>
              </w:rPr>
              <w:t>维监控系统</w:t>
            </w:r>
            <w:r>
              <w:rPr>
                <w:rFonts w:ascii="宋体" w:hAnsi="宋体" w:cs="宋体" w:eastAsia="宋体" w:hint="default"/>
                <w:spacing w:val="-86"/>
                <w:sz w:val="18"/>
                <w:szCs w:val="18"/>
              </w:rPr>
              <w:t> </w:t>
            </w:r>
            <w:r>
              <w:rPr>
                <w:rFonts w:ascii="宋体" w:hAnsi="宋体" w:cs="宋体" w:eastAsia="宋体" w:hint="default"/>
                <w:sz w:val="18"/>
                <w:szCs w:val="18"/>
              </w:rPr>
              <w:t>V2.3 </w:t>
            </w:r>
          </w:p>
          <w:p>
            <w:pPr>
              <w:pStyle w:val="TableParagraph"/>
              <w:spacing w:line="240" w:lineRule="auto" w:before="1"/>
              <w:ind w:left="103" w:right="0"/>
              <w:jc w:val="both"/>
              <w:rPr>
                <w:rFonts w:ascii="宋体" w:hAnsi="宋体" w:cs="宋体" w:eastAsia="宋体" w:hint="default"/>
                <w:sz w:val="18"/>
                <w:szCs w:val="18"/>
              </w:rPr>
            </w:pPr>
            <w:r>
              <w:rPr>
                <w:rFonts w:ascii="宋体"/>
                <w:sz w:val="18"/>
              </w:rPr>
              <w:t> </w:t>
            </w: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pacing w:val="7"/>
                <w:sz w:val="18"/>
                <w:szCs w:val="18"/>
              </w:rPr>
              <w:t>通道的情况、分发系统的情</w:t>
            </w:r>
          </w:p>
          <w:p>
            <w:pPr>
              <w:pStyle w:val="TableParagraph"/>
              <w:spacing w:line="244" w:lineRule="auto" w:before="4"/>
              <w:ind w:left="105" w:right="17"/>
              <w:jc w:val="left"/>
              <w:rPr>
                <w:rFonts w:ascii="宋体" w:hAnsi="宋体" w:cs="宋体" w:eastAsia="宋体" w:hint="default"/>
                <w:sz w:val="18"/>
                <w:szCs w:val="18"/>
              </w:rPr>
            </w:pPr>
            <w:r>
              <w:rPr>
                <w:rFonts w:ascii="宋体" w:hAnsi="宋体" w:cs="宋体" w:eastAsia="宋体" w:hint="default"/>
                <w:spacing w:val="7"/>
                <w:sz w:val="18"/>
                <w:szCs w:val="18"/>
              </w:rPr>
              <w:t>况、短信业务发送的情况等</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等。通过对底层数据的采集、 </w:t>
            </w:r>
            <w:r>
              <w:rPr>
                <w:rFonts w:ascii="宋体" w:hAnsi="宋体" w:cs="宋体" w:eastAsia="宋体" w:hint="default"/>
                <w:spacing w:val="-7"/>
                <w:sz w:val="18"/>
                <w:szCs w:val="18"/>
              </w:rPr>
              <w:t>存储、分析等工作，为上层监</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7"/>
                <w:sz w:val="18"/>
                <w:szCs w:val="18"/>
              </w:rPr>
              <w:t>控系统提供基础数据。对被管</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7"/>
                <w:sz w:val="18"/>
                <w:szCs w:val="18"/>
              </w:rPr>
              <w:t>对象运行的状态以及其配置</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both"/>
              <w:rPr>
                <w:rFonts w:ascii="宋体" w:hAnsi="宋体" w:cs="宋体" w:eastAsia="宋体" w:hint="default"/>
                <w:sz w:val="18"/>
                <w:szCs w:val="18"/>
              </w:rPr>
            </w:pPr>
            <w:r>
              <w:rPr>
                <w:rFonts w:ascii="宋体" w:hAnsi="宋体" w:cs="宋体" w:eastAsia="宋体" w:hint="default"/>
                <w:spacing w:val="14"/>
                <w:sz w:val="18"/>
                <w:szCs w:val="18"/>
              </w:rPr>
              <w:t>具体监控到每台机器的每个</w:t>
            </w:r>
          </w:p>
          <w:p>
            <w:pPr>
              <w:pStyle w:val="TableParagraph"/>
              <w:spacing w:line="244" w:lineRule="auto" w:before="4"/>
              <w:ind w:left="103" w:right="101"/>
              <w:jc w:val="both"/>
              <w:rPr>
                <w:rFonts w:ascii="宋体" w:hAnsi="宋体" w:cs="宋体" w:eastAsia="宋体" w:hint="default"/>
                <w:sz w:val="18"/>
                <w:szCs w:val="18"/>
              </w:rPr>
            </w:pPr>
            <w:r>
              <w:rPr>
                <w:rFonts w:ascii="宋体" w:hAnsi="宋体" w:cs="宋体" w:eastAsia="宋体" w:hint="default"/>
                <w:sz w:val="18"/>
                <w:szCs w:val="18"/>
              </w:rPr>
              <w:t>程序进程，使得短信平台的各 </w:t>
            </w:r>
            <w:r>
              <w:rPr>
                <w:rFonts w:ascii="宋体" w:hAnsi="宋体" w:cs="宋体" w:eastAsia="宋体" w:hint="default"/>
                <w:spacing w:val="14"/>
                <w:sz w:val="18"/>
                <w:szCs w:val="18"/>
              </w:rPr>
              <w:t>软硬件环境全部处于的监控</w:t>
            </w:r>
            <w:r>
              <w:rPr>
                <w:rFonts w:ascii="宋体" w:hAnsi="宋体" w:cs="宋体" w:eastAsia="宋体" w:hint="default"/>
                <w:sz w:val="18"/>
                <w:szCs w:val="18"/>
              </w:rPr>
              <w:t> 系统的监控之下，方便运维人 员管理、监控、分析平台的运 行情况，如发生异常会第一时</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4" w:lineRule="auto" w:before="94"/>
              <w:ind w:left="105" w:right="99"/>
              <w:jc w:val="both"/>
              <w:rPr>
                <w:rFonts w:ascii="宋体" w:hAnsi="宋体" w:cs="宋体" w:eastAsia="宋体" w:hint="default"/>
                <w:sz w:val="18"/>
                <w:szCs w:val="18"/>
              </w:rPr>
            </w:pPr>
            <w:r>
              <w:rPr>
                <w:rFonts w:ascii="宋体" w:hAnsi="宋体" w:cs="宋体" w:eastAsia="宋体" w:hint="default"/>
                <w:sz w:val="18"/>
                <w:szCs w:val="18"/>
              </w:rPr>
              <w:t>产品已正式投入使用，提高了 系统监控质量，方便运维人员 及时解决问题，后续会根据公 </w:t>
            </w:r>
            <w:r>
              <w:rPr>
                <w:rFonts w:ascii="宋体" w:hAnsi="宋体" w:cs="宋体" w:eastAsia="宋体" w:hint="default"/>
                <w:spacing w:val="14"/>
                <w:sz w:val="18"/>
                <w:szCs w:val="18"/>
              </w:rPr>
              <w:t>司的系统运维工作实际情况</w:t>
            </w:r>
            <w:r>
              <w:rPr>
                <w:rFonts w:ascii="宋体" w:hAnsi="宋体" w:cs="宋体" w:eastAsia="宋体" w:hint="default"/>
                <w:sz w:val="18"/>
                <w:szCs w:val="18"/>
              </w:rPr>
              <w:t> 继续做出合理的优化。</w:t>
            </w:r>
            <w:r>
              <w:rPr>
                <w:rFonts w:ascii="宋体" w:hAnsi="宋体" w:cs="宋体" w:eastAsia="宋体" w:hint="default"/>
                <w:sz w:val="18"/>
                <w:szCs w:val="18"/>
              </w:rPr>
              <w:t> </w:t>
            </w:r>
          </w:p>
        </w:tc>
      </w:tr>
      <w:tr>
        <w:trPr>
          <w:trHeight w:val="240"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pacing w:val="7"/>
                <w:sz w:val="18"/>
                <w:szCs w:val="18"/>
              </w:rPr>
              <w:t>资产信息进行统一监控、管</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间以邮件、短信、电话、蜂鸣</w:t>
            </w:r>
          </w:p>
        </w:tc>
        <w:tc>
          <w:tcPr>
            <w:tcW w:w="2552" w:type="dxa"/>
            <w:tcBorders>
              <w:top w:val="nil" w:sz="6" w:space="0" w:color="auto"/>
              <w:left w:val="single" w:sz="4" w:space="0" w:color="000000"/>
              <w:bottom w:val="nil" w:sz="6" w:space="0" w:color="auto"/>
              <w:right w:val="single" w:sz="4" w:space="0" w:color="000000"/>
            </w:tcBorders>
          </w:tcPr>
          <w:p>
            <w:pPr/>
          </w:p>
        </w:tc>
      </w:tr>
      <w:tr>
        <w:trPr>
          <w:trHeight w:val="240"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pacing w:val="-7"/>
                <w:sz w:val="18"/>
                <w:szCs w:val="18"/>
              </w:rPr>
              <w:t>理、分析，实现对各种故障和</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pacing w:val="14"/>
                <w:sz w:val="18"/>
                <w:szCs w:val="18"/>
              </w:rPr>
              <w:t>式报警等方式通知技术中心</w:t>
            </w:r>
          </w:p>
        </w:tc>
        <w:tc>
          <w:tcPr>
            <w:tcW w:w="2552" w:type="dxa"/>
            <w:tcBorders>
              <w:top w:val="nil" w:sz="6" w:space="0" w:color="auto"/>
              <w:left w:val="single" w:sz="4" w:space="0" w:color="000000"/>
              <w:bottom w:val="nil" w:sz="6" w:space="0" w:color="auto"/>
              <w:right w:val="single" w:sz="4" w:space="0" w:color="000000"/>
            </w:tcBorders>
          </w:tcPr>
          <w:p>
            <w:pPr/>
          </w:p>
        </w:tc>
      </w:tr>
      <w:tr>
        <w:trPr>
          <w:trHeight w:val="237" w:hRule="exact"/>
        </w:trPr>
        <w:tc>
          <w:tcPr>
            <w:tcW w:w="881" w:type="dxa"/>
            <w:tcBorders>
              <w:top w:val="nil" w:sz="6" w:space="0" w:color="auto"/>
              <w:left w:val="single" w:sz="4" w:space="0" w:color="000000"/>
              <w:bottom w:val="single" w:sz="4" w:space="0" w:color="000000"/>
              <w:right w:val="single" w:sz="4" w:space="0" w:color="000000"/>
            </w:tcBorders>
          </w:tcPr>
          <w:p>
            <w:pPr/>
          </w:p>
        </w:tc>
        <w:tc>
          <w:tcPr>
            <w:tcW w:w="1181" w:type="dxa"/>
            <w:tcBorders>
              <w:top w:val="nil" w:sz="6" w:space="0" w:color="auto"/>
              <w:left w:val="single" w:sz="4" w:space="0" w:color="000000"/>
              <w:bottom w:val="single" w:sz="4" w:space="0" w:color="000000"/>
              <w:right w:val="single" w:sz="4" w:space="0" w:color="000000"/>
            </w:tcBorders>
          </w:tcPr>
          <w:p>
            <w:pPr/>
          </w:p>
        </w:tc>
        <w:tc>
          <w:tcPr>
            <w:tcW w:w="2475" w:type="dxa"/>
            <w:tcBorders>
              <w:top w:val="nil" w:sz="6" w:space="0" w:color="auto"/>
              <w:left w:val="single" w:sz="4" w:space="0" w:color="000000"/>
              <w:bottom w:val="single" w:sz="4" w:space="0" w:color="000000"/>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性能异常的及时报警。</w:t>
            </w:r>
            <w:r>
              <w:rPr>
                <w:rFonts w:ascii="宋体" w:hAnsi="宋体" w:cs="宋体" w:eastAsia="宋体" w:hint="default"/>
                <w:sz w:val="18"/>
                <w:szCs w:val="18"/>
              </w:rPr>
              <w:t> </w:t>
            </w:r>
          </w:p>
        </w:tc>
        <w:tc>
          <w:tcPr>
            <w:tcW w:w="2552" w:type="dxa"/>
            <w:tcBorders>
              <w:top w:val="nil" w:sz="6" w:space="0" w:color="auto"/>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领导及相关运维同事。</w:t>
            </w:r>
            <w:r>
              <w:rPr>
                <w:rFonts w:ascii="宋体" w:hAnsi="宋体" w:cs="宋体" w:eastAsia="宋体" w:hint="default"/>
                <w:sz w:val="18"/>
                <w:szCs w:val="18"/>
              </w:rPr>
              <w:t> </w:t>
            </w:r>
          </w:p>
        </w:tc>
        <w:tc>
          <w:tcPr>
            <w:tcW w:w="2552" w:type="dxa"/>
            <w:tcBorders>
              <w:top w:val="nil" w:sz="6" w:space="0" w:color="auto"/>
              <w:left w:val="single" w:sz="4" w:space="0" w:color="000000"/>
              <w:bottom w:val="single" w:sz="4" w:space="0" w:color="000000"/>
              <w:right w:val="single" w:sz="4" w:space="0" w:color="000000"/>
            </w:tcBorders>
          </w:tcPr>
          <w:p>
            <w:pPr/>
          </w:p>
        </w:tc>
      </w:tr>
      <w:tr>
        <w:trPr>
          <w:trHeight w:val="252" w:hRule="exact"/>
        </w:trPr>
        <w:tc>
          <w:tcPr>
            <w:tcW w:w="881" w:type="dxa"/>
            <w:tcBorders>
              <w:top w:val="single" w:sz="4" w:space="0" w:color="000000"/>
              <w:left w:val="single" w:sz="4" w:space="0" w:color="000000"/>
              <w:bottom w:val="nil" w:sz="6" w:space="0" w:color="auto"/>
              <w:right w:val="single" w:sz="4" w:space="0" w:color="000000"/>
            </w:tcBorders>
          </w:tcPr>
          <w:p>
            <w:pPr/>
          </w:p>
        </w:tc>
        <w:tc>
          <w:tcPr>
            <w:tcW w:w="1181" w:type="dxa"/>
            <w:tcBorders>
              <w:top w:val="single" w:sz="4" w:space="0" w:color="000000"/>
              <w:left w:val="single" w:sz="4" w:space="0" w:color="000000"/>
              <w:bottom w:val="nil" w:sz="6" w:space="0" w:color="auto"/>
              <w:right w:val="single" w:sz="4" w:space="0" w:color="000000"/>
            </w:tcBorders>
          </w:tcPr>
          <w:p>
            <w:pPr/>
          </w:p>
        </w:tc>
        <w:tc>
          <w:tcPr>
            <w:tcW w:w="2475" w:type="dxa"/>
            <w:tcBorders>
              <w:top w:val="single" w:sz="4" w:space="0" w:color="000000"/>
              <w:left w:val="single" w:sz="4" w:space="0" w:color="000000"/>
              <w:bottom w:val="nil" w:sz="6" w:space="0" w:color="auto"/>
              <w:right w:val="single" w:sz="4" w:space="0" w:color="000000"/>
            </w:tcBorders>
          </w:tcPr>
          <w:p>
            <w:pPr/>
          </w:p>
        </w:tc>
        <w:tc>
          <w:tcPr>
            <w:tcW w:w="2552" w:type="dxa"/>
            <w:tcBorders>
              <w:top w:val="single" w:sz="4" w:space="0" w:color="000000"/>
              <w:left w:val="single" w:sz="4" w:space="0" w:color="000000"/>
              <w:bottom w:val="nil" w:sz="6" w:space="0" w:color="auto"/>
              <w:right w:val="single" w:sz="4" w:space="0" w:color="000000"/>
            </w:tcBorders>
          </w:tcPr>
          <w:p>
            <w:pPr/>
          </w:p>
        </w:tc>
        <w:tc>
          <w:tcPr>
            <w:tcW w:w="2552" w:type="dxa"/>
            <w:tcBorders>
              <w:top w:val="single" w:sz="4" w:space="0" w:color="000000"/>
              <w:left w:val="single" w:sz="4" w:space="0" w:color="000000"/>
              <w:bottom w:val="nil" w:sz="6" w:space="0" w:color="auto"/>
              <w:right w:val="single" w:sz="4" w:space="0" w:color="000000"/>
            </w:tcBorders>
          </w:tcPr>
          <w:p>
            <w:pPr>
              <w:pStyle w:val="TableParagraph"/>
              <w:spacing w:line="217" w:lineRule="exact"/>
              <w:ind w:left="105" w:right="0"/>
              <w:jc w:val="left"/>
              <w:rPr>
                <w:rFonts w:ascii="宋体" w:hAnsi="宋体" w:cs="宋体" w:eastAsia="宋体" w:hint="default"/>
                <w:sz w:val="18"/>
                <w:szCs w:val="18"/>
              </w:rPr>
            </w:pPr>
            <w:r>
              <w:rPr>
                <w:rFonts w:ascii="宋体" w:hAnsi="宋体" w:cs="宋体" w:eastAsia="宋体" w:hint="default"/>
                <w:sz w:val="18"/>
                <w:szCs w:val="18"/>
              </w:rPr>
              <w:t>公司一直以来，在数据分析上</w:t>
            </w:r>
          </w:p>
        </w:tc>
      </w:tr>
      <w:tr>
        <w:trPr>
          <w:trHeight w:val="240"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
        </w:tc>
        <w:tc>
          <w:tcPr>
            <w:tcW w:w="2552" w:type="dxa"/>
            <w:tcBorders>
              <w:top w:val="nil" w:sz="6" w:space="0" w:color="auto"/>
              <w:left w:val="single" w:sz="4" w:space="0" w:color="000000"/>
              <w:bottom w:val="nil" w:sz="6" w:space="0" w:color="auto"/>
              <w:right w:val="single" w:sz="4" w:space="0" w:color="000000"/>
            </w:tcBorders>
          </w:tcPr>
          <w:p>
            <w:pP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有很大的需求，各业务部门、</w:t>
            </w:r>
          </w:p>
        </w:tc>
      </w:tr>
      <w:tr>
        <w:trPr>
          <w:trHeight w:val="240"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pacing w:val="7"/>
                <w:sz w:val="18"/>
                <w:szCs w:val="18"/>
              </w:rPr>
              <w:t>因之前公司对于自身业务情</w:t>
            </w:r>
          </w:p>
        </w:tc>
        <w:tc>
          <w:tcPr>
            <w:tcW w:w="2552" w:type="dxa"/>
            <w:tcBorders>
              <w:top w:val="nil" w:sz="6" w:space="0" w:color="auto"/>
              <w:left w:val="single" w:sz="4" w:space="0" w:color="000000"/>
              <w:bottom w:val="nil" w:sz="6" w:space="0" w:color="auto"/>
              <w:right w:val="single" w:sz="4" w:space="0" w:color="000000"/>
            </w:tcBorders>
          </w:tcPr>
          <w:p>
            <w:pP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通道部门、管理部门、技术部</w:t>
            </w:r>
          </w:p>
        </w:tc>
      </w:tr>
      <w:tr>
        <w:trPr>
          <w:trHeight w:val="240"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pacing w:val="7"/>
                <w:sz w:val="18"/>
                <w:szCs w:val="18"/>
              </w:rPr>
              <w:t>况以及客户的相关统计数据</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已研发完成 </w:t>
            </w:r>
            <w:r>
              <w:rPr>
                <w:rFonts w:ascii="宋体" w:hAnsi="宋体" w:cs="宋体" w:eastAsia="宋体" w:hint="default"/>
                <w:sz w:val="18"/>
                <w:szCs w:val="18"/>
              </w:rPr>
              <w:t>v1.0</w:t>
            </w:r>
            <w:r>
              <w:rPr>
                <w:rFonts w:ascii="宋体" w:hAnsi="宋体" w:cs="宋体" w:eastAsia="宋体" w:hint="default"/>
                <w:spacing w:val="-4"/>
                <w:sz w:val="18"/>
                <w:szCs w:val="18"/>
              </w:rPr>
              <w:t> </w:t>
            </w:r>
            <w:r>
              <w:rPr>
                <w:rFonts w:ascii="宋体" w:hAnsi="宋体" w:cs="宋体" w:eastAsia="宋体" w:hint="default"/>
                <w:sz w:val="18"/>
                <w:szCs w:val="18"/>
              </w:rPr>
              <w:t>版本，并已</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pacing w:val="14"/>
                <w:sz w:val="18"/>
                <w:szCs w:val="18"/>
              </w:rPr>
              <w:t>门等都需要详细的业务分析</w:t>
            </w:r>
          </w:p>
        </w:tc>
      </w:tr>
      <w:tr>
        <w:trPr>
          <w:trHeight w:val="720" w:hRule="exact"/>
        </w:trPr>
        <w:tc>
          <w:tcPr>
            <w:tcW w:w="881"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8"/>
                <w:szCs w:val="18"/>
              </w:rPr>
            </w:pPr>
          </w:p>
          <w:p>
            <w:pPr>
              <w:pStyle w:val="TableParagraph"/>
              <w:spacing w:line="240" w:lineRule="auto"/>
              <w:ind w:right="207"/>
              <w:jc w:val="right"/>
              <w:rPr>
                <w:rFonts w:ascii="宋体" w:hAnsi="宋体" w:cs="宋体" w:eastAsia="宋体" w:hint="default"/>
                <w:sz w:val="18"/>
                <w:szCs w:val="18"/>
              </w:rPr>
            </w:pPr>
            <w:r>
              <w:rPr>
                <w:rFonts w:ascii="宋体"/>
                <w:sz w:val="18"/>
              </w:rPr>
              <w:t>(6) </w:t>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44" w:lineRule="auto" w:before="94"/>
              <w:ind w:left="103" w:right="30"/>
              <w:jc w:val="left"/>
              <w:rPr>
                <w:rFonts w:ascii="宋体" w:hAnsi="宋体" w:cs="宋体" w:eastAsia="宋体" w:hint="default"/>
                <w:sz w:val="18"/>
                <w:szCs w:val="18"/>
              </w:rPr>
            </w:pPr>
            <w:r>
              <w:rPr>
                <w:rFonts w:ascii="宋体" w:hAnsi="宋体" w:cs="宋体" w:eastAsia="宋体" w:hint="default"/>
                <w:spacing w:val="12"/>
                <w:sz w:val="18"/>
                <w:szCs w:val="18"/>
              </w:rPr>
              <w:t>漫道智能分</w:t>
            </w:r>
            <w:r>
              <w:rPr>
                <w:rFonts w:ascii="宋体" w:hAnsi="宋体" w:cs="宋体" w:eastAsia="宋体" w:hint="default"/>
                <w:spacing w:val="-86"/>
                <w:sz w:val="18"/>
                <w:szCs w:val="18"/>
              </w:rPr>
              <w:t> </w:t>
            </w:r>
            <w:r>
              <w:rPr>
                <w:rFonts w:ascii="宋体" w:hAnsi="宋体" w:cs="宋体" w:eastAsia="宋体" w:hint="default"/>
                <w:sz w:val="18"/>
                <w:szCs w:val="18"/>
              </w:rPr>
              <w:t>析平台</w:t>
            </w:r>
            <w:r>
              <w:rPr>
                <w:rFonts w:ascii="宋体" w:hAnsi="宋体" w:cs="宋体" w:eastAsia="宋体" w:hint="default"/>
                <w:spacing w:val="-46"/>
                <w:sz w:val="18"/>
                <w:szCs w:val="18"/>
              </w:rPr>
              <w:t> </w:t>
            </w:r>
            <w:r>
              <w:rPr>
                <w:rFonts w:ascii="宋体" w:hAnsi="宋体" w:cs="宋体" w:eastAsia="宋体" w:hint="default"/>
                <w:sz w:val="18"/>
                <w:szCs w:val="18"/>
              </w:rPr>
              <w:t>v1.0 </w:t>
            </w: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pacing w:val="7"/>
                <w:sz w:val="18"/>
                <w:szCs w:val="18"/>
              </w:rPr>
              <w:t>在数据分析和统计上没有统</w:t>
            </w:r>
          </w:p>
          <w:p>
            <w:pPr>
              <w:pStyle w:val="TableParagraph"/>
              <w:spacing w:line="244" w:lineRule="auto" w:before="4"/>
              <w:ind w:left="105" w:right="99"/>
              <w:jc w:val="left"/>
              <w:rPr>
                <w:rFonts w:ascii="宋体" w:hAnsi="宋体" w:cs="宋体" w:eastAsia="宋体" w:hint="default"/>
                <w:sz w:val="18"/>
                <w:szCs w:val="18"/>
              </w:rPr>
            </w:pPr>
            <w:r>
              <w:rPr>
                <w:rFonts w:ascii="宋体" w:hAnsi="宋体" w:cs="宋体" w:eastAsia="宋体" w:hint="default"/>
                <w:sz w:val="18"/>
                <w:szCs w:val="18"/>
              </w:rPr>
              <w:t>一的查询平台</w:t>
            </w:r>
            <w:r>
              <w:rPr>
                <w:rFonts w:ascii="宋体" w:hAnsi="宋体" w:cs="宋体" w:eastAsia="宋体" w:hint="default"/>
                <w:spacing w:val="-82"/>
                <w:sz w:val="18"/>
                <w:szCs w:val="18"/>
              </w:rPr>
              <w:t>，</w:t>
            </w:r>
            <w:r>
              <w:rPr>
                <w:rFonts w:ascii="宋体" w:hAnsi="宋体" w:cs="宋体" w:eastAsia="宋体" w:hint="default"/>
                <w:sz w:val="18"/>
                <w:szCs w:val="18"/>
              </w:rPr>
              <w:t>为了便于公司</w:t>
            </w:r>
            <w:r>
              <w:rPr>
                <w:rFonts w:ascii="宋体" w:hAnsi="宋体" w:cs="宋体" w:eastAsia="宋体" w:hint="default"/>
                <w:sz w:val="18"/>
                <w:szCs w:val="18"/>
              </w:rPr>
              <w:t> 对各种流量数据做出全面</w:t>
            </w:r>
            <w:r>
              <w:rPr>
                <w:rFonts w:ascii="宋体" w:hAnsi="宋体" w:cs="宋体" w:eastAsia="宋体" w:hint="default"/>
                <w:spacing w:val="-82"/>
                <w:sz w:val="18"/>
                <w:szCs w:val="18"/>
              </w:rPr>
              <w:t>、</w:t>
            </w:r>
            <w:r>
              <w:rPr>
                <w:rFonts w:ascii="宋体" w:hAnsi="宋体" w:cs="宋体" w:eastAsia="宋体" w:hint="default"/>
                <w:sz w:val="18"/>
                <w:szCs w:val="18"/>
              </w:rPr>
              <w:t>合</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上线，  </w:t>
            </w:r>
            <w:r>
              <w:rPr>
                <w:rFonts w:ascii="宋体" w:hAnsi="宋体" w:cs="宋体" w:eastAsia="宋体" w:hint="default"/>
                <w:sz w:val="18"/>
                <w:szCs w:val="18"/>
              </w:rPr>
            </w:r>
            <w:r>
              <w:rPr>
                <w:rFonts w:ascii="宋体" w:hAnsi="宋体" w:cs="宋体" w:eastAsia="宋体" w:hint="default"/>
                <w:sz w:val="18"/>
                <w:szCs w:val="18"/>
              </w:rPr>
              <w:t>实现的主要功能有：</w:t>
            </w:r>
          </w:p>
          <w:p>
            <w:pPr>
              <w:pStyle w:val="TableParagraph"/>
              <w:spacing w:line="240" w:lineRule="auto" w:before="4"/>
              <w:ind w:left="103"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趋势分析、</w:t>
            </w:r>
            <w:r>
              <w:rPr>
                <w:rFonts w:ascii="宋体" w:hAnsi="宋体" w:cs="宋体" w:eastAsia="宋体" w:hint="default"/>
                <w:sz w:val="18"/>
                <w:szCs w:val="18"/>
              </w:rPr>
              <w:t>2.</w:t>
            </w:r>
            <w:r>
              <w:rPr>
                <w:rFonts w:ascii="宋体" w:hAnsi="宋体" w:cs="宋体" w:eastAsia="宋体" w:hint="default"/>
                <w:sz w:val="18"/>
                <w:szCs w:val="18"/>
              </w:rPr>
              <w:t>客户分析、</w:t>
            </w:r>
            <w:r>
              <w:rPr>
                <w:rFonts w:ascii="宋体" w:hAnsi="宋体" w:cs="宋体" w:eastAsia="宋体" w:hint="default"/>
                <w:sz w:val="18"/>
                <w:szCs w:val="18"/>
              </w:rPr>
              <w:t>3.</w:t>
            </w:r>
          </w:p>
          <w:p>
            <w:pPr>
              <w:pStyle w:val="TableParagraph"/>
              <w:spacing w:line="240" w:lineRule="auto" w:before="4"/>
              <w:ind w:left="103" w:right="0"/>
              <w:jc w:val="left"/>
              <w:rPr>
                <w:rFonts w:ascii="宋体" w:hAnsi="宋体" w:cs="宋体" w:eastAsia="宋体" w:hint="default"/>
                <w:sz w:val="18"/>
                <w:szCs w:val="18"/>
              </w:rPr>
            </w:pPr>
            <w:r>
              <w:rPr>
                <w:rFonts w:ascii="宋体" w:hAnsi="宋体" w:cs="宋体" w:eastAsia="宋体" w:hint="default"/>
                <w:sz w:val="18"/>
                <w:szCs w:val="18"/>
              </w:rPr>
              <w:t>销售分析、</w:t>
            </w:r>
            <w:r>
              <w:rPr>
                <w:rFonts w:ascii="宋体" w:hAnsi="宋体" w:cs="宋体" w:eastAsia="宋体" w:hint="default"/>
                <w:sz w:val="18"/>
                <w:szCs w:val="18"/>
              </w:rPr>
              <w:t>4.</w:t>
            </w:r>
            <w:r>
              <w:rPr>
                <w:rFonts w:ascii="宋体" w:hAnsi="宋体" w:cs="宋体" w:eastAsia="宋体" w:hint="default"/>
                <w:sz w:val="18"/>
                <w:szCs w:val="18"/>
              </w:rPr>
              <w:t>运营商分析、</w:t>
            </w:r>
            <w:r>
              <w:rPr>
                <w:rFonts w:ascii="宋体" w:hAnsi="宋体" w:cs="宋体" w:eastAsia="宋体" w:hint="default"/>
                <w:sz w:val="18"/>
                <w:szCs w:val="18"/>
              </w:rPr>
              <w:t>5.</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数据，该系统的正式上线解决</w:t>
            </w:r>
          </w:p>
          <w:p>
            <w:pPr>
              <w:pStyle w:val="TableParagraph"/>
              <w:spacing w:line="244" w:lineRule="auto" w:before="4"/>
              <w:ind w:left="105" w:right="99"/>
              <w:jc w:val="left"/>
              <w:rPr>
                <w:rFonts w:ascii="宋体" w:hAnsi="宋体" w:cs="宋体" w:eastAsia="宋体" w:hint="default"/>
                <w:sz w:val="18"/>
                <w:szCs w:val="18"/>
              </w:rPr>
            </w:pPr>
            <w:r>
              <w:rPr>
                <w:rFonts w:ascii="宋体" w:hAnsi="宋体" w:cs="宋体" w:eastAsia="宋体" w:hint="default"/>
                <w:sz w:val="18"/>
                <w:szCs w:val="18"/>
              </w:rPr>
              <w:t>了之前数据统计量不足、获取 及统计数据困难等问题，可一</w:t>
            </w:r>
          </w:p>
        </w:tc>
      </w:tr>
      <w:tr>
        <w:trPr>
          <w:trHeight w:val="240"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理的统计和分析</w:t>
            </w:r>
            <w:r>
              <w:rPr>
                <w:rFonts w:ascii="宋体" w:hAnsi="宋体" w:cs="宋体" w:eastAsia="宋体" w:hint="default"/>
                <w:spacing w:val="-82"/>
                <w:sz w:val="18"/>
                <w:szCs w:val="18"/>
              </w:rPr>
              <w:t>，</w:t>
            </w:r>
            <w:r>
              <w:rPr>
                <w:rFonts w:ascii="宋体" w:hAnsi="宋体" w:cs="宋体" w:eastAsia="宋体" w:hint="default"/>
                <w:sz w:val="18"/>
                <w:szCs w:val="18"/>
              </w:rPr>
              <w:t>研发了本系</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通道分析、</w:t>
            </w:r>
            <w:r>
              <w:rPr>
                <w:rFonts w:ascii="宋体" w:hAnsi="宋体" w:cs="宋体" w:eastAsia="宋体" w:hint="default"/>
                <w:sz w:val="18"/>
                <w:szCs w:val="18"/>
              </w:rPr>
              <w:t>6.</w:t>
            </w:r>
            <w:r>
              <w:rPr>
                <w:rFonts w:ascii="宋体" w:hAnsi="宋体" w:cs="宋体" w:eastAsia="宋体" w:hint="default"/>
                <w:sz w:val="18"/>
                <w:szCs w:val="18"/>
              </w:rPr>
              <w:t>序列号分析</w:t>
            </w:r>
            <w:r>
              <w:rPr>
                <w:rFonts w:ascii="宋体" w:hAnsi="宋体" w:cs="宋体" w:eastAsia="宋体" w:hint="default"/>
                <w:sz w:val="18"/>
                <w:szCs w:val="18"/>
              </w:rPr>
              <w:t> </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pacing w:val="14"/>
                <w:sz w:val="18"/>
                <w:szCs w:val="18"/>
              </w:rPr>
              <w:t>举解决各部门的数据统计分</w:t>
            </w:r>
          </w:p>
        </w:tc>
      </w:tr>
      <w:tr>
        <w:trPr>
          <w:trHeight w:val="240"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统。</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2552" w:type="dxa"/>
            <w:tcBorders>
              <w:top w:val="nil" w:sz="6" w:space="0" w:color="auto"/>
              <w:left w:val="single" w:sz="4" w:space="0" w:color="000000"/>
              <w:bottom w:val="nil" w:sz="6" w:space="0" w:color="auto"/>
              <w:right w:val="single" w:sz="4" w:space="0" w:color="000000"/>
            </w:tcBorders>
          </w:tcPr>
          <w:p>
            <w:pP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析需求，进一步为公司未来的</w:t>
            </w:r>
          </w:p>
        </w:tc>
      </w:tr>
      <w:tr>
        <w:trPr>
          <w:trHeight w:val="240"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
        </w:tc>
        <w:tc>
          <w:tcPr>
            <w:tcW w:w="2552" w:type="dxa"/>
            <w:tcBorders>
              <w:top w:val="nil" w:sz="6" w:space="0" w:color="auto"/>
              <w:left w:val="single" w:sz="4" w:space="0" w:color="000000"/>
              <w:bottom w:val="nil" w:sz="6" w:space="0" w:color="auto"/>
              <w:right w:val="single" w:sz="4" w:space="0" w:color="000000"/>
            </w:tcBorders>
          </w:tcPr>
          <w:p>
            <w:pP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pacing w:val="14"/>
                <w:sz w:val="18"/>
                <w:szCs w:val="18"/>
              </w:rPr>
              <w:t>业务发展提供有力的技术支</w:t>
            </w:r>
          </w:p>
        </w:tc>
      </w:tr>
      <w:tr>
        <w:trPr>
          <w:trHeight w:val="237" w:hRule="exact"/>
        </w:trPr>
        <w:tc>
          <w:tcPr>
            <w:tcW w:w="881" w:type="dxa"/>
            <w:tcBorders>
              <w:top w:val="nil" w:sz="6" w:space="0" w:color="auto"/>
              <w:left w:val="single" w:sz="4" w:space="0" w:color="000000"/>
              <w:bottom w:val="single" w:sz="4" w:space="0" w:color="000000"/>
              <w:right w:val="single" w:sz="4" w:space="0" w:color="000000"/>
            </w:tcBorders>
          </w:tcPr>
          <w:p>
            <w:pPr/>
          </w:p>
        </w:tc>
        <w:tc>
          <w:tcPr>
            <w:tcW w:w="1181" w:type="dxa"/>
            <w:tcBorders>
              <w:top w:val="nil" w:sz="6" w:space="0" w:color="auto"/>
              <w:left w:val="single" w:sz="4" w:space="0" w:color="000000"/>
              <w:bottom w:val="single" w:sz="4" w:space="0" w:color="000000"/>
              <w:right w:val="single" w:sz="4" w:space="0" w:color="000000"/>
            </w:tcBorders>
          </w:tcPr>
          <w:p>
            <w:pPr/>
          </w:p>
        </w:tc>
        <w:tc>
          <w:tcPr>
            <w:tcW w:w="2475" w:type="dxa"/>
            <w:tcBorders>
              <w:top w:val="nil" w:sz="6" w:space="0" w:color="auto"/>
              <w:left w:val="single" w:sz="4" w:space="0" w:color="000000"/>
              <w:bottom w:val="single" w:sz="4" w:space="0" w:color="000000"/>
              <w:right w:val="single" w:sz="4" w:space="0" w:color="000000"/>
            </w:tcBorders>
          </w:tcPr>
          <w:p>
            <w:pPr/>
          </w:p>
        </w:tc>
        <w:tc>
          <w:tcPr>
            <w:tcW w:w="2552" w:type="dxa"/>
            <w:tcBorders>
              <w:top w:val="nil" w:sz="6" w:space="0" w:color="auto"/>
              <w:left w:val="single" w:sz="4" w:space="0" w:color="000000"/>
              <w:bottom w:val="single" w:sz="4" w:space="0" w:color="000000"/>
              <w:right w:val="single" w:sz="4" w:space="0" w:color="000000"/>
            </w:tcBorders>
          </w:tcPr>
          <w:p>
            <w:pPr/>
          </w:p>
        </w:tc>
        <w:tc>
          <w:tcPr>
            <w:tcW w:w="2552" w:type="dxa"/>
            <w:tcBorders>
              <w:top w:val="nil" w:sz="6" w:space="0" w:color="auto"/>
              <w:left w:val="single" w:sz="4" w:space="0" w:color="000000"/>
              <w:bottom w:val="single" w:sz="4" w:space="0" w:color="000000"/>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撑。</w:t>
            </w:r>
            <w:r>
              <w:rPr>
                <w:rFonts w:ascii="宋体" w:hAnsi="宋体" w:cs="宋体" w:eastAsia="宋体" w:hint="default"/>
                <w:sz w:val="18"/>
                <w:szCs w:val="18"/>
              </w:rPr>
              <w:t> </w:t>
            </w:r>
          </w:p>
        </w:tc>
      </w:tr>
      <w:tr>
        <w:trPr>
          <w:trHeight w:val="252" w:hRule="exact"/>
        </w:trPr>
        <w:tc>
          <w:tcPr>
            <w:tcW w:w="881" w:type="dxa"/>
            <w:tcBorders>
              <w:top w:val="single" w:sz="4" w:space="0" w:color="000000"/>
              <w:left w:val="single" w:sz="4" w:space="0" w:color="000000"/>
              <w:bottom w:val="nil" w:sz="6" w:space="0" w:color="auto"/>
              <w:right w:val="single" w:sz="4" w:space="0" w:color="000000"/>
            </w:tcBorders>
          </w:tcPr>
          <w:p>
            <w:pPr/>
          </w:p>
        </w:tc>
        <w:tc>
          <w:tcPr>
            <w:tcW w:w="1181" w:type="dxa"/>
            <w:tcBorders>
              <w:top w:val="single" w:sz="4" w:space="0" w:color="000000"/>
              <w:left w:val="single" w:sz="4" w:space="0" w:color="000000"/>
              <w:bottom w:val="nil" w:sz="6" w:space="0" w:color="auto"/>
              <w:right w:val="single" w:sz="4" w:space="0" w:color="000000"/>
            </w:tcBorders>
          </w:tcPr>
          <w:p>
            <w:pPr/>
          </w:p>
        </w:tc>
        <w:tc>
          <w:tcPr>
            <w:tcW w:w="2475" w:type="dxa"/>
            <w:tcBorders>
              <w:top w:val="single" w:sz="4" w:space="0" w:color="000000"/>
              <w:left w:val="single" w:sz="4" w:space="0" w:color="000000"/>
              <w:bottom w:val="nil" w:sz="6" w:space="0" w:color="auto"/>
              <w:right w:val="single" w:sz="4" w:space="0" w:color="000000"/>
            </w:tcBorders>
          </w:tcPr>
          <w:p>
            <w:pPr/>
          </w:p>
        </w:tc>
        <w:tc>
          <w:tcPr>
            <w:tcW w:w="2552" w:type="dxa"/>
            <w:tcBorders>
              <w:top w:val="single" w:sz="4" w:space="0" w:color="000000"/>
              <w:left w:val="single" w:sz="4" w:space="0" w:color="000000"/>
              <w:bottom w:val="nil" w:sz="6" w:space="0" w:color="auto"/>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已经研发完成，发布了标准版</w:t>
            </w:r>
          </w:p>
        </w:tc>
        <w:tc>
          <w:tcPr>
            <w:tcW w:w="2552" w:type="dxa"/>
            <w:tcBorders>
              <w:top w:val="single" w:sz="4" w:space="0" w:color="000000"/>
              <w:left w:val="single" w:sz="4" w:space="0" w:color="000000"/>
              <w:bottom w:val="nil" w:sz="6" w:space="0" w:color="auto"/>
              <w:right w:val="single" w:sz="4" w:space="0" w:color="000000"/>
            </w:tcBorders>
          </w:tcPr>
          <w:p>
            <w:pPr/>
          </w:p>
        </w:tc>
      </w:tr>
      <w:tr>
        <w:trPr>
          <w:trHeight w:val="1680" w:hRule="exact"/>
        </w:trPr>
        <w:tc>
          <w:tcPr>
            <w:tcW w:w="88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4"/>
                <w:szCs w:val="24"/>
              </w:rPr>
            </w:pPr>
          </w:p>
          <w:p>
            <w:pPr>
              <w:pStyle w:val="TableParagraph"/>
              <w:spacing w:line="240" w:lineRule="auto"/>
              <w:ind w:right="207"/>
              <w:jc w:val="right"/>
              <w:rPr>
                <w:rFonts w:ascii="宋体" w:hAnsi="宋体" w:cs="宋体" w:eastAsia="宋体" w:hint="default"/>
                <w:sz w:val="18"/>
                <w:szCs w:val="18"/>
              </w:rPr>
            </w:pPr>
            <w:r>
              <w:rPr>
                <w:rFonts w:ascii="宋体"/>
                <w:sz w:val="18"/>
              </w:rPr>
              <w:t>(7) </w:t>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4" w:lineRule="auto"/>
              <w:ind w:left="103" w:right="83"/>
              <w:jc w:val="both"/>
              <w:rPr>
                <w:rFonts w:ascii="宋体" w:hAnsi="宋体" w:cs="宋体" w:eastAsia="宋体" w:hint="default"/>
                <w:sz w:val="18"/>
                <w:szCs w:val="18"/>
              </w:rPr>
            </w:pPr>
            <w:r>
              <w:rPr>
                <w:rFonts w:ascii="宋体" w:hAnsi="宋体" w:cs="宋体" w:eastAsia="宋体" w:hint="default"/>
                <w:spacing w:val="12"/>
                <w:sz w:val="18"/>
                <w:szCs w:val="18"/>
              </w:rPr>
              <w:t>漫道自助消</w:t>
            </w:r>
            <w:r>
              <w:rPr>
                <w:rFonts w:ascii="宋体" w:hAnsi="宋体" w:cs="宋体" w:eastAsia="宋体" w:hint="default"/>
                <w:spacing w:val="-86"/>
                <w:sz w:val="18"/>
                <w:szCs w:val="18"/>
              </w:rPr>
              <w:t> </w:t>
            </w:r>
            <w:r>
              <w:rPr>
                <w:rFonts w:ascii="宋体" w:hAnsi="宋体" w:cs="宋体" w:eastAsia="宋体" w:hint="default"/>
                <w:spacing w:val="12"/>
                <w:sz w:val="18"/>
                <w:szCs w:val="18"/>
              </w:rPr>
              <w:t>费查询系统</w:t>
            </w:r>
            <w:r>
              <w:rPr>
                <w:rFonts w:ascii="宋体" w:hAnsi="宋体" w:cs="宋体" w:eastAsia="宋体" w:hint="default"/>
                <w:spacing w:val="-86"/>
                <w:sz w:val="18"/>
                <w:szCs w:val="18"/>
              </w:rPr>
              <w:t> </w:t>
            </w:r>
            <w:r>
              <w:rPr>
                <w:rFonts w:ascii="宋体" w:hAnsi="宋体" w:cs="宋体" w:eastAsia="宋体" w:hint="default"/>
                <w:sz w:val="18"/>
                <w:szCs w:val="18"/>
              </w:rPr>
              <w:t>软件</w:t>
            </w:r>
            <w:r>
              <w:rPr>
                <w:rFonts w:ascii="宋体" w:hAnsi="宋体" w:cs="宋体" w:eastAsia="宋体" w:hint="default"/>
                <w:spacing w:val="-46"/>
                <w:sz w:val="18"/>
                <w:szCs w:val="18"/>
              </w:rPr>
              <w:t> </w:t>
            </w:r>
            <w:r>
              <w:rPr>
                <w:rFonts w:ascii="宋体" w:hAnsi="宋体" w:cs="宋体" w:eastAsia="宋体" w:hint="default"/>
                <w:sz w:val="18"/>
                <w:szCs w:val="18"/>
              </w:rPr>
              <w:t>v1.0 </w:t>
            </w: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44" w:lineRule="auto" w:before="94"/>
              <w:ind w:left="105" w:right="99"/>
              <w:jc w:val="both"/>
              <w:rPr>
                <w:rFonts w:ascii="宋体" w:hAnsi="宋体" w:cs="宋体" w:eastAsia="宋体" w:hint="default"/>
                <w:sz w:val="18"/>
                <w:szCs w:val="18"/>
              </w:rPr>
            </w:pPr>
            <w:r>
              <w:rPr>
                <w:rFonts w:ascii="宋体" w:hAnsi="宋体" w:cs="宋体" w:eastAsia="宋体" w:hint="default"/>
                <w:spacing w:val="7"/>
                <w:sz w:val="18"/>
                <w:szCs w:val="18"/>
              </w:rPr>
              <w:t>系统主要负责把客户的消费</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7"/>
                <w:sz w:val="18"/>
                <w:szCs w:val="18"/>
              </w:rPr>
              <w:t>统计数据做一个全方位的展</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7"/>
                <w:sz w:val="18"/>
                <w:szCs w:val="18"/>
              </w:rPr>
              <w:t>示，方便使用者查询、导出和</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7"/>
                <w:sz w:val="18"/>
                <w:szCs w:val="18"/>
              </w:rPr>
              <w:t>下载。主要分为经营平台管理</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7"/>
                <w:sz w:val="18"/>
                <w:szCs w:val="18"/>
              </w:rPr>
              <w:t>统计、销售平台统计、客户平</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台统计三部分。</w:t>
            </w:r>
            <w:r>
              <w:rPr>
                <w:rFonts w:ascii="宋体" w:hAnsi="宋体" w:cs="宋体" w:eastAsia="宋体" w:hint="default"/>
                <w:sz w:val="18"/>
                <w:szCs w:val="18"/>
              </w:rPr>
              <w:t> </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both"/>
              <w:rPr>
                <w:rFonts w:ascii="宋体" w:hAnsi="宋体" w:cs="宋体" w:eastAsia="宋体" w:hint="default"/>
                <w:sz w:val="18"/>
                <w:szCs w:val="18"/>
              </w:rPr>
            </w:pPr>
            <w:r>
              <w:rPr>
                <w:rFonts w:ascii="宋体" w:hAnsi="宋体" w:cs="宋体" w:eastAsia="宋体" w:hint="default"/>
                <w:sz w:val="18"/>
                <w:szCs w:val="18"/>
              </w:rPr>
              <w:t>v1.0</w:t>
            </w:r>
            <w:r>
              <w:rPr>
                <w:rFonts w:ascii="宋体" w:hAnsi="宋体" w:cs="宋体" w:eastAsia="宋体" w:hint="default"/>
                <w:spacing w:val="-70"/>
                <w:sz w:val="18"/>
                <w:szCs w:val="18"/>
              </w:rPr>
              <w:t> </w:t>
            </w:r>
            <w:r>
              <w:rPr>
                <w:rFonts w:ascii="宋体" w:hAnsi="宋体" w:cs="宋体" w:eastAsia="宋体" w:hint="default"/>
                <w:sz w:val="18"/>
                <w:szCs w:val="18"/>
              </w:rPr>
              <w:t>，</w:t>
            </w:r>
            <w:r>
              <w:rPr>
                <w:rFonts w:ascii="宋体" w:hAnsi="宋体" w:cs="宋体" w:eastAsia="宋体" w:hint="default"/>
                <w:spacing w:val="-72"/>
                <w:sz w:val="18"/>
                <w:szCs w:val="18"/>
              </w:rPr>
              <w:t> </w:t>
            </w:r>
            <w:r>
              <w:rPr>
                <w:rFonts w:ascii="宋体" w:hAnsi="宋体" w:cs="宋体" w:eastAsia="宋体" w:hint="default"/>
                <w:spacing w:val="14"/>
                <w:sz w:val="18"/>
                <w:szCs w:val="18"/>
              </w:rPr>
              <w:t>实现的三大主要模块</w:t>
            </w:r>
          </w:p>
          <w:p>
            <w:pPr>
              <w:pStyle w:val="TableParagraph"/>
              <w:spacing w:line="244" w:lineRule="auto" w:before="4"/>
              <w:ind w:left="103" w:right="96"/>
              <w:jc w:val="both"/>
              <w:rPr>
                <w:rFonts w:ascii="宋体" w:hAnsi="宋体" w:cs="宋体" w:eastAsia="宋体" w:hint="default"/>
                <w:sz w:val="18"/>
                <w:szCs w:val="18"/>
              </w:rPr>
            </w:pPr>
            <w:r>
              <w:rPr>
                <w:rFonts w:ascii="宋体" w:hAnsi="宋体" w:cs="宋体" w:eastAsia="宋体" w:hint="default"/>
                <w:sz w:val="18"/>
                <w:szCs w:val="18"/>
              </w:rPr>
              <w:t>为：经营平台管理后台模块、 销售自助平台模块、客户自助 平台模块。方便财务、合同执 行、销售人员实时查看客户消 费金额。下一步会继续升级完 善系统，未来会开放给客户查</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both"/>
              <w:rPr>
                <w:rFonts w:ascii="宋体" w:hAnsi="宋体" w:cs="宋体" w:eastAsia="宋体" w:hint="default"/>
                <w:sz w:val="18"/>
                <w:szCs w:val="18"/>
              </w:rPr>
            </w:pPr>
            <w:r>
              <w:rPr>
                <w:rFonts w:ascii="宋体" w:hAnsi="宋体" w:cs="宋体" w:eastAsia="宋体" w:hint="default"/>
                <w:spacing w:val="14"/>
                <w:sz w:val="18"/>
                <w:szCs w:val="18"/>
              </w:rPr>
              <w:t>对客户的实际消费金额有一</w:t>
            </w:r>
          </w:p>
          <w:p>
            <w:pPr>
              <w:pStyle w:val="TableParagraph"/>
              <w:spacing w:line="244" w:lineRule="auto" w:before="4"/>
              <w:ind w:left="105" w:right="99"/>
              <w:jc w:val="both"/>
              <w:rPr>
                <w:rFonts w:ascii="宋体" w:hAnsi="宋体" w:cs="宋体" w:eastAsia="宋体" w:hint="default"/>
                <w:sz w:val="18"/>
                <w:szCs w:val="18"/>
              </w:rPr>
            </w:pPr>
            <w:r>
              <w:rPr>
                <w:rFonts w:ascii="宋体" w:hAnsi="宋体" w:cs="宋体" w:eastAsia="宋体" w:hint="default"/>
                <w:sz w:val="18"/>
                <w:szCs w:val="18"/>
              </w:rPr>
              <w:t>个一目了然的统计数据，方便 财务、销售、合同执行、客户 查询和对账消费金额数据，日 </w:t>
            </w:r>
            <w:r>
              <w:rPr>
                <w:rFonts w:ascii="宋体" w:hAnsi="宋体" w:cs="宋体" w:eastAsia="宋体" w:hint="default"/>
                <w:spacing w:val="14"/>
                <w:sz w:val="18"/>
                <w:szCs w:val="18"/>
              </w:rPr>
              <w:t>后在遇到账单查询类问题时</w:t>
            </w:r>
            <w:r>
              <w:rPr>
                <w:rFonts w:ascii="宋体" w:hAnsi="宋体" w:cs="宋体" w:eastAsia="宋体" w:hint="default"/>
                <w:sz w:val="18"/>
                <w:szCs w:val="18"/>
              </w:rPr>
              <w:t> 可节约时间，节省人力资源成 本。</w:t>
            </w:r>
            <w:r>
              <w:rPr>
                <w:rFonts w:ascii="宋体" w:hAnsi="宋体" w:cs="宋体" w:eastAsia="宋体" w:hint="default"/>
                <w:sz w:val="18"/>
                <w:szCs w:val="18"/>
              </w:rPr>
              <w:t> </w:t>
            </w:r>
          </w:p>
        </w:tc>
      </w:tr>
      <w:tr>
        <w:trPr>
          <w:trHeight w:val="238" w:hRule="exact"/>
        </w:trPr>
        <w:tc>
          <w:tcPr>
            <w:tcW w:w="881" w:type="dxa"/>
            <w:tcBorders>
              <w:top w:val="nil" w:sz="6" w:space="0" w:color="auto"/>
              <w:left w:val="single" w:sz="4" w:space="0" w:color="000000"/>
              <w:bottom w:val="single" w:sz="4" w:space="0" w:color="000000"/>
              <w:right w:val="single" w:sz="4" w:space="0" w:color="000000"/>
            </w:tcBorders>
          </w:tcPr>
          <w:p>
            <w:pPr/>
          </w:p>
        </w:tc>
        <w:tc>
          <w:tcPr>
            <w:tcW w:w="1181" w:type="dxa"/>
            <w:tcBorders>
              <w:top w:val="nil" w:sz="6" w:space="0" w:color="auto"/>
              <w:left w:val="single" w:sz="4" w:space="0" w:color="000000"/>
              <w:bottom w:val="single" w:sz="4" w:space="0" w:color="000000"/>
              <w:right w:val="single" w:sz="4" w:space="0" w:color="000000"/>
            </w:tcBorders>
          </w:tcPr>
          <w:p>
            <w:pPr/>
          </w:p>
        </w:tc>
        <w:tc>
          <w:tcPr>
            <w:tcW w:w="2475" w:type="dxa"/>
            <w:tcBorders>
              <w:top w:val="nil" w:sz="6" w:space="0" w:color="auto"/>
              <w:left w:val="single" w:sz="4" w:space="0" w:color="000000"/>
              <w:bottom w:val="single" w:sz="4" w:space="0" w:color="000000"/>
              <w:right w:val="single" w:sz="4" w:space="0" w:color="000000"/>
            </w:tcBorders>
          </w:tcPr>
          <w:p>
            <w:pPr/>
          </w:p>
        </w:tc>
        <w:tc>
          <w:tcPr>
            <w:tcW w:w="2552" w:type="dxa"/>
            <w:tcBorders>
              <w:top w:val="nil" w:sz="6" w:space="0" w:color="auto"/>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询账单等相关功能。</w:t>
            </w:r>
            <w:r>
              <w:rPr>
                <w:rFonts w:ascii="宋体" w:hAnsi="宋体" w:cs="宋体" w:eastAsia="宋体" w:hint="default"/>
                <w:sz w:val="18"/>
                <w:szCs w:val="18"/>
              </w:rPr>
              <w:t> </w:t>
            </w:r>
          </w:p>
        </w:tc>
        <w:tc>
          <w:tcPr>
            <w:tcW w:w="2552" w:type="dxa"/>
            <w:tcBorders>
              <w:top w:val="nil" w:sz="6" w:space="0" w:color="auto"/>
              <w:left w:val="single" w:sz="4" w:space="0" w:color="000000"/>
              <w:bottom w:val="single" w:sz="4" w:space="0" w:color="000000"/>
              <w:right w:val="single" w:sz="4" w:space="0" w:color="000000"/>
            </w:tcBorders>
          </w:tcPr>
          <w:p>
            <w:pPr/>
          </w:p>
        </w:tc>
      </w:tr>
      <w:tr>
        <w:trPr>
          <w:trHeight w:val="970" w:hRule="exact"/>
        </w:trPr>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4"/>
              <w:ind w:right="207"/>
              <w:jc w:val="right"/>
              <w:rPr>
                <w:rFonts w:ascii="宋体" w:hAnsi="宋体" w:cs="宋体" w:eastAsia="宋体" w:hint="default"/>
                <w:sz w:val="18"/>
                <w:szCs w:val="18"/>
              </w:rPr>
            </w:pPr>
            <w:r>
              <w:rPr>
                <w:rFonts w:ascii="宋体"/>
                <w:sz w:val="18"/>
              </w:rPr>
              <w:t>(8) </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before="101"/>
              <w:ind w:left="103" w:right="83"/>
              <w:jc w:val="both"/>
              <w:rPr>
                <w:rFonts w:ascii="宋体" w:hAnsi="宋体" w:cs="宋体" w:eastAsia="宋体" w:hint="default"/>
                <w:sz w:val="18"/>
                <w:szCs w:val="18"/>
              </w:rPr>
            </w:pPr>
            <w:r>
              <w:rPr>
                <w:rFonts w:ascii="宋体" w:hAnsi="宋体" w:cs="宋体" w:eastAsia="宋体" w:hint="default"/>
                <w:spacing w:val="12"/>
                <w:sz w:val="18"/>
                <w:szCs w:val="18"/>
              </w:rPr>
              <w:t>漫道智能调</w:t>
            </w:r>
            <w:r>
              <w:rPr>
                <w:rFonts w:ascii="宋体" w:hAnsi="宋体" w:cs="宋体" w:eastAsia="宋体" w:hint="default"/>
                <w:spacing w:val="-86"/>
                <w:sz w:val="18"/>
                <w:szCs w:val="18"/>
              </w:rPr>
              <w:t> </w:t>
            </w:r>
            <w:r>
              <w:rPr>
                <w:rFonts w:ascii="宋体" w:hAnsi="宋体" w:cs="宋体" w:eastAsia="宋体" w:hint="default"/>
                <w:spacing w:val="12"/>
                <w:sz w:val="18"/>
                <w:szCs w:val="18"/>
              </w:rPr>
              <w:t>度中心软件</w:t>
            </w:r>
            <w:r>
              <w:rPr>
                <w:rFonts w:ascii="宋体" w:hAnsi="宋体" w:cs="宋体" w:eastAsia="宋体" w:hint="default"/>
                <w:spacing w:val="-86"/>
                <w:sz w:val="18"/>
                <w:szCs w:val="18"/>
              </w:rPr>
              <w:t> </w:t>
            </w:r>
            <w:r>
              <w:rPr>
                <w:rFonts w:ascii="宋体" w:hAnsi="宋体" w:cs="宋体" w:eastAsia="宋体" w:hint="default"/>
                <w:sz w:val="18"/>
                <w:szCs w:val="18"/>
              </w:rPr>
              <w:t>v1.0 </w:t>
            </w:r>
          </w:p>
        </w:tc>
        <w:tc>
          <w:tcPr>
            <w:tcW w:w="2475"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before="101"/>
              <w:ind w:left="105" w:right="17"/>
              <w:jc w:val="left"/>
              <w:rPr>
                <w:rFonts w:ascii="宋体" w:hAnsi="宋体" w:cs="宋体" w:eastAsia="宋体" w:hint="default"/>
                <w:sz w:val="18"/>
                <w:szCs w:val="18"/>
              </w:rPr>
            </w:pPr>
            <w:r>
              <w:rPr>
                <w:rFonts w:ascii="宋体" w:hAnsi="宋体" w:cs="宋体" w:eastAsia="宋体" w:hint="default"/>
                <w:sz w:val="18"/>
                <w:szCs w:val="18"/>
              </w:rPr>
              <w:t>为客户提供最优的路由方案， </w:t>
            </w:r>
            <w:r>
              <w:rPr>
                <w:rFonts w:ascii="宋体" w:hAnsi="宋体" w:cs="宋体" w:eastAsia="宋体" w:hint="default"/>
                <w:spacing w:val="7"/>
                <w:sz w:val="18"/>
                <w:szCs w:val="18"/>
              </w:rPr>
              <w:t>保证客户提交的短信第一时</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间发送到运营商网关。</w:t>
            </w:r>
            <w:r>
              <w:rPr>
                <w:rFonts w:ascii="宋体" w:hAnsi="宋体" w:cs="宋体" w:eastAsia="宋体" w:hint="default"/>
                <w:sz w:val="18"/>
                <w:szCs w:val="18"/>
              </w:rPr>
              <w:t> </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101"/>
              <w:jc w:val="both"/>
              <w:rPr>
                <w:rFonts w:ascii="宋体" w:hAnsi="宋体" w:cs="宋体" w:eastAsia="宋体" w:hint="default"/>
                <w:sz w:val="18"/>
                <w:szCs w:val="18"/>
              </w:rPr>
            </w:pPr>
            <w:r>
              <w:rPr>
                <w:rFonts w:ascii="宋体" w:hAnsi="宋体" w:cs="宋体" w:eastAsia="宋体" w:hint="default"/>
                <w:sz w:val="18"/>
                <w:szCs w:val="18"/>
              </w:rPr>
              <w:t>已研发完成，智能化最优路由 选择，为客户短信发送的速度 </w:t>
            </w:r>
            <w:r>
              <w:rPr>
                <w:rFonts w:ascii="宋体" w:hAnsi="宋体" w:cs="宋体" w:eastAsia="宋体" w:hint="default"/>
                <w:spacing w:val="14"/>
                <w:sz w:val="18"/>
                <w:szCs w:val="18"/>
              </w:rPr>
              <w:t>和高时效性提供了有力的保</w:t>
            </w:r>
            <w:r>
              <w:rPr>
                <w:rFonts w:ascii="宋体" w:hAnsi="宋体" w:cs="宋体" w:eastAsia="宋体" w:hint="default"/>
                <w:sz w:val="18"/>
                <w:szCs w:val="18"/>
              </w:rPr>
              <w:t> 障。</w:t>
            </w:r>
            <w:r>
              <w:rPr>
                <w:rFonts w:ascii="宋体" w:hAnsi="宋体" w:cs="宋体" w:eastAsia="宋体" w:hint="default"/>
                <w:sz w:val="18"/>
                <w:szCs w:val="18"/>
              </w:rPr>
              <w:t> </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9"/>
                <w:szCs w:val="19"/>
              </w:rPr>
            </w:pPr>
          </w:p>
          <w:p>
            <w:pPr>
              <w:pStyle w:val="TableParagraph"/>
              <w:spacing w:line="244" w:lineRule="auto"/>
              <w:ind w:left="105" w:right="99"/>
              <w:jc w:val="left"/>
              <w:rPr>
                <w:rFonts w:ascii="宋体" w:hAnsi="宋体" w:cs="宋体" w:eastAsia="宋体" w:hint="default"/>
                <w:sz w:val="18"/>
                <w:szCs w:val="18"/>
              </w:rPr>
            </w:pPr>
            <w:r>
              <w:rPr>
                <w:rFonts w:ascii="宋体" w:hAnsi="宋体" w:cs="宋体" w:eastAsia="宋体" w:hint="default"/>
                <w:sz w:val="18"/>
                <w:szCs w:val="18"/>
              </w:rPr>
              <w:t>提升客户满意度，进一步提升 公司的整体业绩和收入。</w:t>
            </w:r>
            <w:r>
              <w:rPr>
                <w:rFonts w:ascii="宋体" w:hAnsi="宋体" w:cs="宋体" w:eastAsia="宋体" w:hint="default"/>
                <w:sz w:val="18"/>
                <w:szCs w:val="18"/>
              </w:rPr>
              <w:t> </w:t>
            </w:r>
          </w:p>
        </w:tc>
      </w:tr>
    </w:tbl>
    <w:p>
      <w:pPr>
        <w:spacing w:after="0" w:line="244" w:lineRule="auto"/>
        <w:jc w:val="left"/>
        <w:rPr>
          <w:rFonts w:ascii="宋体" w:hAnsi="宋体" w:cs="宋体" w:eastAsia="宋体" w:hint="default"/>
          <w:sz w:val="18"/>
          <w:szCs w:val="18"/>
        </w:rPr>
        <w:sectPr>
          <w:pgSz w:w="11910" w:h="16840"/>
          <w:pgMar w:header="880" w:footer="975" w:top="1100" w:bottom="1160" w:left="980" w:right="0"/>
        </w:sectPr>
      </w:pPr>
    </w:p>
    <w:p>
      <w:pPr>
        <w:spacing w:line="240" w:lineRule="auto" w:before="11"/>
        <w:rPr>
          <w:rFonts w:ascii="Times New Roman" w:hAnsi="Times New Roman" w:cs="Times New Roman" w:eastAsia="Times New Roman" w:hint="default"/>
          <w:sz w:val="27"/>
          <w:szCs w:val="27"/>
        </w:rPr>
      </w:pPr>
    </w:p>
    <w:tbl>
      <w:tblPr>
        <w:tblW w:w="0" w:type="auto"/>
        <w:jc w:val="left"/>
        <w:tblInd w:w="148" w:type="dxa"/>
        <w:tblLayout w:type="fixed"/>
        <w:tblCellMar>
          <w:top w:w="0" w:type="dxa"/>
          <w:left w:w="0" w:type="dxa"/>
          <w:bottom w:w="0" w:type="dxa"/>
          <w:right w:w="0" w:type="dxa"/>
        </w:tblCellMar>
        <w:tblLook w:val="01E0"/>
      </w:tblPr>
      <w:tblGrid>
        <w:gridCol w:w="881"/>
        <w:gridCol w:w="1181"/>
        <w:gridCol w:w="2475"/>
        <w:gridCol w:w="2552"/>
        <w:gridCol w:w="2552"/>
      </w:tblGrid>
      <w:tr>
        <w:trPr>
          <w:trHeight w:val="252" w:hRule="exact"/>
        </w:trPr>
        <w:tc>
          <w:tcPr>
            <w:tcW w:w="881" w:type="dxa"/>
            <w:tcBorders>
              <w:top w:val="single" w:sz="4" w:space="0" w:color="000000"/>
              <w:left w:val="single" w:sz="4" w:space="0" w:color="000000"/>
              <w:bottom w:val="nil" w:sz="6" w:space="0" w:color="auto"/>
              <w:right w:val="single" w:sz="4" w:space="0" w:color="000000"/>
            </w:tcBorders>
          </w:tcPr>
          <w:p>
            <w:pPr/>
          </w:p>
        </w:tc>
        <w:tc>
          <w:tcPr>
            <w:tcW w:w="1181" w:type="dxa"/>
            <w:tcBorders>
              <w:top w:val="single" w:sz="4" w:space="0" w:color="000000"/>
              <w:left w:val="single" w:sz="4" w:space="0" w:color="000000"/>
              <w:bottom w:val="nil" w:sz="6" w:space="0" w:color="auto"/>
              <w:right w:val="single" w:sz="4" w:space="0" w:color="000000"/>
            </w:tcBorders>
          </w:tcPr>
          <w:p>
            <w:pPr/>
          </w:p>
        </w:tc>
        <w:tc>
          <w:tcPr>
            <w:tcW w:w="2475" w:type="dxa"/>
            <w:tcBorders>
              <w:top w:val="single" w:sz="4" w:space="0" w:color="000000"/>
              <w:left w:val="single" w:sz="4" w:space="0" w:color="000000"/>
              <w:bottom w:val="nil" w:sz="6" w:space="0" w:color="auto"/>
              <w:right w:val="single" w:sz="4" w:space="0" w:color="000000"/>
            </w:tcBorders>
          </w:tcPr>
          <w:p>
            <w:pPr/>
          </w:p>
        </w:tc>
        <w:tc>
          <w:tcPr>
            <w:tcW w:w="2552" w:type="dxa"/>
            <w:tcBorders>
              <w:top w:val="single" w:sz="4" w:space="0" w:color="000000"/>
              <w:left w:val="single" w:sz="4" w:space="0" w:color="000000"/>
              <w:bottom w:val="nil" w:sz="6" w:space="0" w:color="auto"/>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已研发完成 </w:t>
            </w:r>
            <w:r>
              <w:rPr>
                <w:rFonts w:ascii="宋体" w:hAnsi="宋体" w:cs="宋体" w:eastAsia="宋体" w:hint="default"/>
                <w:sz w:val="18"/>
                <w:szCs w:val="18"/>
              </w:rPr>
              <w:t>v1.0</w:t>
            </w:r>
            <w:r>
              <w:rPr>
                <w:rFonts w:ascii="宋体" w:hAnsi="宋体" w:cs="宋体" w:eastAsia="宋体" w:hint="default"/>
                <w:spacing w:val="-4"/>
                <w:sz w:val="18"/>
                <w:szCs w:val="18"/>
              </w:rPr>
              <w:t> </w:t>
            </w:r>
            <w:r>
              <w:rPr>
                <w:rFonts w:ascii="宋体" w:hAnsi="宋体" w:cs="宋体" w:eastAsia="宋体" w:hint="default"/>
                <w:sz w:val="18"/>
                <w:szCs w:val="18"/>
              </w:rPr>
              <w:t>版本，目前</w:t>
            </w:r>
          </w:p>
        </w:tc>
        <w:tc>
          <w:tcPr>
            <w:tcW w:w="2552" w:type="dxa"/>
            <w:tcBorders>
              <w:top w:val="single" w:sz="4" w:space="0" w:color="000000"/>
              <w:left w:val="single" w:sz="4" w:space="0" w:color="000000"/>
              <w:bottom w:val="nil" w:sz="6" w:space="0" w:color="auto"/>
              <w:right w:val="single" w:sz="4" w:space="0" w:color="000000"/>
            </w:tcBorders>
          </w:tcPr>
          <w:p>
            <w:pPr/>
          </w:p>
        </w:tc>
      </w:tr>
      <w:tr>
        <w:trPr>
          <w:trHeight w:val="240"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pacing w:val="7"/>
                <w:sz w:val="18"/>
                <w:szCs w:val="18"/>
              </w:rPr>
              <w:t>漫道账户客户端自助平台是</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处于内部测试使用阶段，在新</w:t>
            </w:r>
          </w:p>
        </w:tc>
        <w:tc>
          <w:tcPr>
            <w:tcW w:w="2552" w:type="dxa"/>
            <w:tcBorders>
              <w:top w:val="nil" w:sz="6" w:space="0" w:color="auto"/>
              <w:left w:val="single" w:sz="4" w:space="0" w:color="000000"/>
              <w:bottom w:val="nil" w:sz="6" w:space="0" w:color="auto"/>
              <w:right w:val="single" w:sz="4" w:space="0" w:color="000000"/>
            </w:tcBorders>
          </w:tcPr>
          <w:p>
            <w:pPr/>
          </w:p>
        </w:tc>
      </w:tr>
      <w:tr>
        <w:trPr>
          <w:trHeight w:val="240"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pacing w:val="7"/>
                <w:sz w:val="18"/>
                <w:szCs w:val="18"/>
              </w:rPr>
              <w:t>在漫道针对中小企业发展战</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的账户系统中，分几大模块来</w:t>
            </w:r>
          </w:p>
        </w:tc>
        <w:tc>
          <w:tcPr>
            <w:tcW w:w="2552" w:type="dxa"/>
            <w:tcBorders>
              <w:top w:val="nil" w:sz="6" w:space="0" w:color="auto"/>
              <w:left w:val="single" w:sz="4" w:space="0" w:color="000000"/>
              <w:bottom w:val="nil" w:sz="6" w:space="0" w:color="auto"/>
              <w:right w:val="single" w:sz="4" w:space="0" w:color="000000"/>
            </w:tcBorders>
          </w:tcPr>
          <w:p>
            <w:pPr/>
          </w:p>
        </w:tc>
      </w:tr>
      <w:tr>
        <w:trPr>
          <w:trHeight w:val="1200" w:hRule="exact"/>
        </w:trPr>
        <w:tc>
          <w:tcPr>
            <w:tcW w:w="88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0" w:right="0"/>
              <w:jc w:val="center"/>
              <w:rPr>
                <w:rFonts w:ascii="宋体" w:hAnsi="宋体" w:cs="宋体" w:eastAsia="宋体" w:hint="default"/>
                <w:sz w:val="18"/>
                <w:szCs w:val="18"/>
              </w:rPr>
            </w:pPr>
            <w:r>
              <w:rPr>
                <w:rFonts w:ascii="宋体"/>
                <w:sz w:val="18"/>
              </w:rPr>
              <w:t>(9) </w:t>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44" w:lineRule="auto" w:before="94"/>
              <w:ind w:left="103" w:right="83"/>
              <w:jc w:val="both"/>
              <w:rPr>
                <w:rFonts w:ascii="宋体" w:hAnsi="宋体" w:cs="宋体" w:eastAsia="宋体" w:hint="default"/>
                <w:sz w:val="18"/>
                <w:szCs w:val="18"/>
              </w:rPr>
            </w:pPr>
            <w:r>
              <w:rPr>
                <w:rFonts w:ascii="宋体" w:hAnsi="宋体" w:cs="宋体" w:eastAsia="宋体" w:hint="default"/>
                <w:spacing w:val="12"/>
                <w:sz w:val="18"/>
                <w:szCs w:val="18"/>
              </w:rPr>
              <w:t>漫道账户客</w:t>
            </w:r>
            <w:r>
              <w:rPr>
                <w:rFonts w:ascii="宋体" w:hAnsi="宋体" w:cs="宋体" w:eastAsia="宋体" w:hint="default"/>
                <w:spacing w:val="-86"/>
                <w:sz w:val="18"/>
                <w:szCs w:val="18"/>
              </w:rPr>
              <w:t> </w:t>
            </w:r>
            <w:r>
              <w:rPr>
                <w:rFonts w:ascii="宋体" w:hAnsi="宋体" w:cs="宋体" w:eastAsia="宋体" w:hint="default"/>
                <w:spacing w:val="12"/>
                <w:sz w:val="18"/>
                <w:szCs w:val="18"/>
              </w:rPr>
              <w:t>户端自助平</w:t>
            </w:r>
            <w:r>
              <w:rPr>
                <w:rFonts w:ascii="宋体" w:hAnsi="宋体" w:cs="宋体" w:eastAsia="宋体" w:hint="default"/>
                <w:spacing w:val="-86"/>
                <w:sz w:val="18"/>
                <w:szCs w:val="18"/>
              </w:rPr>
              <w:t> </w:t>
            </w:r>
            <w:r>
              <w:rPr>
                <w:rFonts w:ascii="宋体" w:hAnsi="宋体" w:cs="宋体" w:eastAsia="宋体" w:hint="default"/>
                <w:sz w:val="18"/>
                <w:szCs w:val="18"/>
              </w:rPr>
              <w:t>台</w:t>
            </w:r>
            <w:r>
              <w:rPr>
                <w:rFonts w:ascii="宋体" w:hAnsi="宋体" w:cs="宋体" w:eastAsia="宋体" w:hint="default"/>
                <w:spacing w:val="-46"/>
                <w:sz w:val="18"/>
                <w:szCs w:val="18"/>
              </w:rPr>
              <w:t> </w:t>
            </w:r>
            <w:r>
              <w:rPr>
                <w:rFonts w:ascii="宋体" w:hAnsi="宋体" w:cs="宋体" w:eastAsia="宋体" w:hint="default"/>
                <w:sz w:val="18"/>
                <w:szCs w:val="18"/>
              </w:rPr>
              <w:t>v1.0 </w:t>
            </w:r>
          </w:p>
          <w:p>
            <w:pPr>
              <w:pStyle w:val="TableParagraph"/>
              <w:spacing w:line="240" w:lineRule="auto" w:before="1"/>
              <w:ind w:left="103" w:right="0"/>
              <w:jc w:val="both"/>
              <w:rPr>
                <w:rFonts w:ascii="宋体" w:hAnsi="宋体" w:cs="宋体" w:eastAsia="宋体" w:hint="default"/>
                <w:sz w:val="18"/>
                <w:szCs w:val="18"/>
              </w:rPr>
            </w:pPr>
            <w:r>
              <w:rPr>
                <w:rFonts w:ascii="宋体"/>
                <w:sz w:val="18"/>
              </w:rPr>
              <w:t> </w:t>
            </w: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both"/>
              <w:rPr>
                <w:rFonts w:ascii="宋体" w:hAnsi="宋体" w:cs="宋体" w:eastAsia="宋体" w:hint="default"/>
                <w:sz w:val="18"/>
                <w:szCs w:val="18"/>
              </w:rPr>
            </w:pPr>
            <w:r>
              <w:rPr>
                <w:rFonts w:ascii="宋体" w:hAnsi="宋体" w:cs="宋体" w:eastAsia="宋体" w:hint="default"/>
                <w:sz w:val="18"/>
                <w:szCs w:val="18"/>
              </w:rPr>
              <w:t>略背景下应运而生</w:t>
            </w:r>
            <w:r>
              <w:rPr>
                <w:rFonts w:ascii="宋体" w:hAnsi="宋体" w:cs="宋体" w:eastAsia="宋体" w:hint="default"/>
                <w:spacing w:val="-82"/>
                <w:sz w:val="18"/>
                <w:szCs w:val="18"/>
              </w:rPr>
              <w:t>，</w:t>
            </w:r>
            <w:r>
              <w:rPr>
                <w:rFonts w:ascii="宋体" w:hAnsi="宋体" w:cs="宋体" w:eastAsia="宋体" w:hint="default"/>
                <w:sz w:val="18"/>
                <w:szCs w:val="18"/>
              </w:rPr>
              <w:t>主要为了</w:t>
            </w:r>
          </w:p>
          <w:p>
            <w:pPr>
              <w:pStyle w:val="TableParagraph"/>
              <w:spacing w:line="244" w:lineRule="auto" w:before="4"/>
              <w:ind w:left="105" w:right="99"/>
              <w:jc w:val="both"/>
              <w:rPr>
                <w:rFonts w:ascii="宋体" w:hAnsi="宋体" w:cs="宋体" w:eastAsia="宋体" w:hint="default"/>
                <w:sz w:val="18"/>
                <w:szCs w:val="18"/>
              </w:rPr>
            </w:pPr>
            <w:r>
              <w:rPr>
                <w:rFonts w:ascii="宋体" w:hAnsi="宋体" w:cs="宋体" w:eastAsia="宋体" w:hint="default"/>
                <w:spacing w:val="7"/>
                <w:sz w:val="18"/>
                <w:szCs w:val="18"/>
              </w:rPr>
              <w:t>解决之前老平台在针对客户</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7"/>
                <w:sz w:val="18"/>
                <w:szCs w:val="18"/>
              </w:rPr>
              <w:t>账户控制时不能更好的满足</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7"/>
                <w:sz w:val="18"/>
                <w:szCs w:val="18"/>
              </w:rPr>
              <w:t>要求，给企业客户带来了麻</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7"/>
                <w:sz w:val="18"/>
                <w:szCs w:val="18"/>
              </w:rPr>
              <w:t>烦，影响客户体验。也给漫道</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both"/>
              <w:rPr>
                <w:rFonts w:ascii="宋体" w:hAnsi="宋体" w:cs="宋体" w:eastAsia="宋体" w:hint="default"/>
                <w:sz w:val="18"/>
                <w:szCs w:val="18"/>
              </w:rPr>
            </w:pPr>
            <w:r>
              <w:rPr>
                <w:rFonts w:ascii="宋体" w:hAnsi="宋体" w:cs="宋体" w:eastAsia="宋体" w:hint="default"/>
                <w:spacing w:val="12"/>
                <w:sz w:val="18"/>
                <w:szCs w:val="18"/>
              </w:rPr>
              <w:t>优化业务，</w:t>
            </w:r>
            <w:r>
              <w:rPr>
                <w:rFonts w:ascii="宋体" w:hAnsi="宋体" w:cs="宋体" w:eastAsia="宋体" w:hint="default"/>
                <w:spacing w:val="-72"/>
                <w:sz w:val="18"/>
                <w:szCs w:val="18"/>
              </w:rPr>
              <w:t> </w:t>
            </w:r>
            <w:r>
              <w:rPr>
                <w:rFonts w:ascii="宋体" w:hAnsi="宋体" w:cs="宋体" w:eastAsia="宋体" w:hint="default"/>
                <w:spacing w:val="13"/>
                <w:sz w:val="18"/>
                <w:szCs w:val="18"/>
              </w:rPr>
              <w:t>其中包括客户充</w:t>
            </w:r>
          </w:p>
          <w:p>
            <w:pPr>
              <w:pStyle w:val="TableParagraph"/>
              <w:spacing w:line="244" w:lineRule="auto" w:before="4"/>
              <w:ind w:left="103" w:right="101"/>
              <w:jc w:val="both"/>
              <w:rPr>
                <w:rFonts w:ascii="宋体" w:hAnsi="宋体" w:cs="宋体" w:eastAsia="宋体" w:hint="default"/>
                <w:sz w:val="18"/>
                <w:szCs w:val="18"/>
              </w:rPr>
            </w:pPr>
            <w:r>
              <w:rPr>
                <w:rFonts w:ascii="宋体" w:hAnsi="宋体" w:cs="宋体" w:eastAsia="宋体" w:hint="default"/>
                <w:sz w:val="18"/>
                <w:szCs w:val="18"/>
              </w:rPr>
              <w:t>值，客户划转，客户回拨，客 户退款，账户查询，支付账单 记录展示等，接下来会逐步开 放给客户使用，实现客户自助</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both"/>
              <w:rPr>
                <w:rFonts w:ascii="宋体" w:hAnsi="宋体" w:cs="宋体" w:eastAsia="宋体" w:hint="default"/>
                <w:sz w:val="18"/>
                <w:szCs w:val="18"/>
              </w:rPr>
            </w:pPr>
            <w:r>
              <w:rPr>
                <w:rFonts w:ascii="宋体" w:hAnsi="宋体" w:cs="宋体" w:eastAsia="宋体" w:hint="default"/>
                <w:spacing w:val="14"/>
                <w:sz w:val="18"/>
                <w:szCs w:val="18"/>
              </w:rPr>
              <w:t>新系统的上线会减少繁琐的</w:t>
            </w:r>
          </w:p>
          <w:p>
            <w:pPr>
              <w:pStyle w:val="TableParagraph"/>
              <w:spacing w:line="244" w:lineRule="auto" w:before="4"/>
              <w:ind w:left="105" w:right="94"/>
              <w:jc w:val="both"/>
              <w:rPr>
                <w:rFonts w:ascii="宋体" w:hAnsi="宋体" w:cs="宋体" w:eastAsia="宋体" w:hint="default"/>
                <w:sz w:val="18"/>
                <w:szCs w:val="18"/>
              </w:rPr>
            </w:pPr>
            <w:r>
              <w:rPr>
                <w:rFonts w:ascii="宋体" w:hAnsi="宋体" w:cs="宋体" w:eastAsia="宋体" w:hint="default"/>
                <w:sz w:val="18"/>
                <w:szCs w:val="18"/>
              </w:rPr>
              <w:t>充值周期，减少不必要的人力 </w:t>
            </w:r>
            <w:r>
              <w:rPr>
                <w:rFonts w:ascii="宋体" w:hAnsi="宋体" w:cs="宋体" w:eastAsia="宋体" w:hint="default"/>
                <w:spacing w:val="13"/>
                <w:sz w:val="18"/>
                <w:szCs w:val="18"/>
              </w:rPr>
              <w:t>资源使用成本，</w:t>
            </w:r>
            <w:r>
              <w:rPr>
                <w:rFonts w:ascii="宋体" w:hAnsi="宋体" w:cs="宋体" w:eastAsia="宋体" w:hint="default"/>
                <w:spacing w:val="-73"/>
                <w:sz w:val="18"/>
                <w:szCs w:val="18"/>
              </w:rPr>
              <w:t> </w:t>
            </w:r>
            <w:r>
              <w:rPr>
                <w:rFonts w:ascii="宋体" w:hAnsi="宋体" w:cs="宋体" w:eastAsia="宋体" w:hint="default"/>
                <w:spacing w:val="12"/>
                <w:sz w:val="18"/>
                <w:szCs w:val="18"/>
              </w:rPr>
              <w:t>满足客户需</w:t>
            </w:r>
            <w:r>
              <w:rPr>
                <w:rFonts w:ascii="宋体" w:hAnsi="宋体" w:cs="宋体" w:eastAsia="宋体" w:hint="default"/>
                <w:sz w:val="18"/>
                <w:szCs w:val="18"/>
              </w:rPr>
              <w:t> 求，给客户良好的客户体验， 可进一步维系好客户关系。</w:t>
            </w:r>
            <w:r>
              <w:rPr>
                <w:rFonts w:ascii="宋体" w:hAnsi="宋体" w:cs="宋体" w:eastAsia="宋体" w:hint="default"/>
                <w:sz w:val="18"/>
                <w:szCs w:val="18"/>
              </w:rPr>
              <w:t> </w:t>
            </w:r>
          </w:p>
        </w:tc>
      </w:tr>
      <w:tr>
        <w:trPr>
          <w:trHeight w:val="240"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pacing w:val="7"/>
                <w:sz w:val="18"/>
                <w:szCs w:val="18"/>
              </w:rPr>
              <w:t>本身带来了高昂的运营成本</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充值、自助购买套餐、自助查</w:t>
            </w:r>
          </w:p>
        </w:tc>
        <w:tc>
          <w:tcPr>
            <w:tcW w:w="2552" w:type="dxa"/>
            <w:tcBorders>
              <w:top w:val="nil" w:sz="6" w:space="0" w:color="auto"/>
              <w:left w:val="single" w:sz="4" w:space="0" w:color="000000"/>
              <w:bottom w:val="nil" w:sz="6" w:space="0" w:color="auto"/>
              <w:right w:val="single" w:sz="4" w:space="0" w:color="000000"/>
            </w:tcBorders>
          </w:tcPr>
          <w:p>
            <w:pPr/>
          </w:p>
        </w:tc>
      </w:tr>
      <w:tr>
        <w:trPr>
          <w:trHeight w:val="240"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不利于长期发展。</w:t>
            </w:r>
            <w:r>
              <w:rPr>
                <w:rFonts w:ascii="宋体" w:hAnsi="宋体" w:cs="宋体" w:eastAsia="宋体" w:hint="default"/>
                <w:sz w:val="18"/>
                <w:szCs w:val="18"/>
              </w:rPr>
              <w:t> </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询账单、余额、充值信息等功</w:t>
            </w:r>
          </w:p>
        </w:tc>
        <w:tc>
          <w:tcPr>
            <w:tcW w:w="2552" w:type="dxa"/>
            <w:tcBorders>
              <w:top w:val="nil" w:sz="6" w:space="0" w:color="auto"/>
              <w:left w:val="single" w:sz="4" w:space="0" w:color="000000"/>
              <w:bottom w:val="nil" w:sz="6" w:space="0" w:color="auto"/>
              <w:right w:val="single" w:sz="4" w:space="0" w:color="000000"/>
            </w:tcBorders>
          </w:tcPr>
          <w:p>
            <w:pPr/>
          </w:p>
        </w:tc>
      </w:tr>
      <w:tr>
        <w:trPr>
          <w:trHeight w:val="237" w:hRule="exact"/>
        </w:trPr>
        <w:tc>
          <w:tcPr>
            <w:tcW w:w="881" w:type="dxa"/>
            <w:tcBorders>
              <w:top w:val="nil" w:sz="6" w:space="0" w:color="auto"/>
              <w:left w:val="single" w:sz="4" w:space="0" w:color="000000"/>
              <w:bottom w:val="single" w:sz="4" w:space="0" w:color="000000"/>
              <w:right w:val="single" w:sz="4" w:space="0" w:color="000000"/>
            </w:tcBorders>
          </w:tcPr>
          <w:p>
            <w:pPr/>
          </w:p>
        </w:tc>
        <w:tc>
          <w:tcPr>
            <w:tcW w:w="1181" w:type="dxa"/>
            <w:tcBorders>
              <w:top w:val="nil" w:sz="6" w:space="0" w:color="auto"/>
              <w:left w:val="single" w:sz="4" w:space="0" w:color="000000"/>
              <w:bottom w:val="single" w:sz="4" w:space="0" w:color="000000"/>
              <w:right w:val="single" w:sz="4" w:space="0" w:color="000000"/>
            </w:tcBorders>
          </w:tcPr>
          <w:p>
            <w:pPr/>
          </w:p>
        </w:tc>
        <w:tc>
          <w:tcPr>
            <w:tcW w:w="2475" w:type="dxa"/>
            <w:tcBorders>
              <w:top w:val="nil" w:sz="6" w:space="0" w:color="auto"/>
              <w:left w:val="single" w:sz="4" w:space="0" w:color="000000"/>
              <w:bottom w:val="single" w:sz="4" w:space="0" w:color="000000"/>
              <w:right w:val="single" w:sz="4" w:space="0" w:color="000000"/>
            </w:tcBorders>
          </w:tcPr>
          <w:p>
            <w:pPr/>
          </w:p>
        </w:tc>
        <w:tc>
          <w:tcPr>
            <w:tcW w:w="2552" w:type="dxa"/>
            <w:tcBorders>
              <w:top w:val="nil" w:sz="6" w:space="0" w:color="auto"/>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能。</w:t>
            </w:r>
            <w:r>
              <w:rPr>
                <w:rFonts w:ascii="宋体" w:hAnsi="宋体" w:cs="宋体" w:eastAsia="宋体" w:hint="default"/>
                <w:sz w:val="18"/>
                <w:szCs w:val="18"/>
              </w:rPr>
              <w:t> </w:t>
            </w:r>
          </w:p>
        </w:tc>
        <w:tc>
          <w:tcPr>
            <w:tcW w:w="2552" w:type="dxa"/>
            <w:tcBorders>
              <w:top w:val="nil" w:sz="6" w:space="0" w:color="auto"/>
              <w:left w:val="single" w:sz="4" w:space="0" w:color="000000"/>
              <w:bottom w:val="single" w:sz="4" w:space="0" w:color="000000"/>
              <w:right w:val="single" w:sz="4" w:space="0" w:color="000000"/>
            </w:tcBorders>
          </w:tcPr>
          <w:p>
            <w:pPr/>
          </w:p>
        </w:tc>
      </w:tr>
      <w:tr>
        <w:trPr>
          <w:trHeight w:val="1690" w:hRule="exact"/>
        </w:trPr>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25"/>
                <w:szCs w:val="25"/>
              </w:rPr>
            </w:pPr>
          </w:p>
          <w:p>
            <w:pPr>
              <w:pStyle w:val="TableParagraph"/>
              <w:spacing w:line="240" w:lineRule="auto"/>
              <w:ind w:left="88" w:right="0"/>
              <w:jc w:val="center"/>
              <w:rPr>
                <w:rFonts w:ascii="宋体" w:hAnsi="宋体" w:cs="宋体" w:eastAsia="宋体" w:hint="default"/>
                <w:sz w:val="18"/>
                <w:szCs w:val="18"/>
              </w:rPr>
            </w:pPr>
            <w:r>
              <w:rPr>
                <w:rFonts w:ascii="宋体"/>
                <w:sz w:val="18"/>
              </w:rPr>
              <w:t>(10) </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4" w:lineRule="auto"/>
              <w:ind w:left="103" w:right="83"/>
              <w:jc w:val="both"/>
              <w:rPr>
                <w:rFonts w:ascii="宋体" w:hAnsi="宋体" w:cs="宋体" w:eastAsia="宋体" w:hint="default"/>
                <w:sz w:val="18"/>
                <w:szCs w:val="18"/>
              </w:rPr>
            </w:pPr>
            <w:r>
              <w:rPr>
                <w:rFonts w:ascii="宋体" w:hAnsi="宋体" w:cs="宋体" w:eastAsia="宋体" w:hint="default"/>
                <w:spacing w:val="12"/>
                <w:sz w:val="18"/>
                <w:szCs w:val="18"/>
              </w:rPr>
              <w:t>漫道基础数</w:t>
            </w:r>
            <w:r>
              <w:rPr>
                <w:rFonts w:ascii="宋体" w:hAnsi="宋体" w:cs="宋体" w:eastAsia="宋体" w:hint="default"/>
                <w:spacing w:val="-86"/>
                <w:sz w:val="18"/>
                <w:szCs w:val="18"/>
              </w:rPr>
              <w:t> </w:t>
            </w:r>
            <w:r>
              <w:rPr>
                <w:rFonts w:ascii="宋体" w:hAnsi="宋体" w:cs="宋体" w:eastAsia="宋体" w:hint="default"/>
                <w:spacing w:val="12"/>
                <w:sz w:val="18"/>
                <w:szCs w:val="18"/>
              </w:rPr>
              <w:t>据服务平台</w:t>
            </w:r>
            <w:r>
              <w:rPr>
                <w:rFonts w:ascii="宋体" w:hAnsi="宋体" w:cs="宋体" w:eastAsia="宋体" w:hint="default"/>
                <w:spacing w:val="-86"/>
                <w:sz w:val="18"/>
                <w:szCs w:val="18"/>
              </w:rPr>
              <w:t> </w:t>
            </w:r>
            <w:r>
              <w:rPr>
                <w:rFonts w:ascii="宋体" w:hAnsi="宋体" w:cs="宋体" w:eastAsia="宋体" w:hint="default"/>
                <w:sz w:val="18"/>
                <w:szCs w:val="18"/>
              </w:rPr>
              <w:t>v1.0 </w:t>
            </w:r>
          </w:p>
        </w:tc>
        <w:tc>
          <w:tcPr>
            <w:tcW w:w="247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5" w:right="97"/>
              <w:jc w:val="both"/>
              <w:rPr>
                <w:rFonts w:ascii="宋体" w:hAnsi="宋体" w:cs="宋体" w:eastAsia="宋体" w:hint="default"/>
                <w:sz w:val="18"/>
                <w:szCs w:val="18"/>
              </w:rPr>
            </w:pPr>
            <w:r>
              <w:rPr>
                <w:rFonts w:ascii="宋体" w:hAnsi="宋体" w:cs="宋体" w:eastAsia="宋体" w:hint="default"/>
                <w:spacing w:val="-7"/>
                <w:sz w:val="18"/>
                <w:szCs w:val="18"/>
              </w:rPr>
              <w:t>主要负责公司的数据统计，按</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7"/>
                <w:sz w:val="18"/>
                <w:szCs w:val="18"/>
              </w:rPr>
              <w:t>日、月统计短信、彩信、国际</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7"/>
                <w:sz w:val="18"/>
                <w:szCs w:val="18"/>
              </w:rPr>
              <w:t>短信、语音等业务的数据账</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7"/>
                <w:sz w:val="18"/>
                <w:szCs w:val="18"/>
              </w:rPr>
              <w:t>单。系统设置了定时任务，每</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7"/>
                <w:sz w:val="18"/>
                <w:szCs w:val="18"/>
              </w:rPr>
              <w:t>天自动执行，生成各部门所需</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7"/>
                <w:sz w:val="18"/>
                <w:szCs w:val="18"/>
              </w:rPr>
              <w:t>的统计数据，次日通过邮件自</w:t>
            </w:r>
          </w:p>
          <w:p>
            <w:pPr>
              <w:pStyle w:val="TableParagraph"/>
              <w:spacing w:line="218" w:lineRule="exact"/>
              <w:ind w:left="105" w:right="0"/>
              <w:jc w:val="both"/>
              <w:rPr>
                <w:rFonts w:ascii="宋体" w:hAnsi="宋体" w:cs="宋体" w:eastAsia="宋体" w:hint="default"/>
                <w:sz w:val="18"/>
                <w:szCs w:val="18"/>
              </w:rPr>
            </w:pPr>
            <w:r>
              <w:rPr>
                <w:rFonts w:ascii="宋体" w:hAnsi="宋体" w:cs="宋体" w:eastAsia="宋体" w:hint="default"/>
                <w:sz w:val="18"/>
                <w:szCs w:val="18"/>
              </w:rPr>
              <w:t>动下发给相关人员。</w:t>
            </w:r>
            <w:r>
              <w:rPr>
                <w:rFonts w:ascii="宋体" w:hAnsi="宋体" w:cs="宋体" w:eastAsia="宋体" w:hint="default"/>
                <w:sz w:val="18"/>
                <w:szCs w:val="18"/>
              </w:rPr>
              <w:t> </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98"/>
              <w:jc w:val="both"/>
              <w:rPr>
                <w:rFonts w:ascii="宋体" w:hAnsi="宋体" w:cs="宋体" w:eastAsia="宋体" w:hint="default"/>
                <w:sz w:val="18"/>
                <w:szCs w:val="18"/>
              </w:rPr>
            </w:pPr>
            <w:r>
              <w:rPr>
                <w:rFonts w:ascii="宋体" w:hAnsi="宋体" w:cs="宋体" w:eastAsia="宋体" w:hint="default"/>
                <w:sz w:val="18"/>
                <w:szCs w:val="18"/>
              </w:rPr>
              <w:t>已研发完成 </w:t>
            </w:r>
            <w:r>
              <w:rPr>
                <w:rFonts w:ascii="宋体" w:hAnsi="宋体" w:cs="宋体" w:eastAsia="宋体" w:hint="default"/>
                <w:sz w:val="18"/>
                <w:szCs w:val="18"/>
              </w:rPr>
              <w:t>v1.0</w:t>
            </w:r>
            <w:r>
              <w:rPr>
                <w:rFonts w:ascii="宋体" w:hAnsi="宋体" w:cs="宋体" w:eastAsia="宋体" w:hint="default"/>
                <w:spacing w:val="-4"/>
                <w:sz w:val="18"/>
                <w:szCs w:val="18"/>
              </w:rPr>
              <w:t> </w:t>
            </w:r>
            <w:r>
              <w:rPr>
                <w:rFonts w:ascii="宋体" w:hAnsi="宋体" w:cs="宋体" w:eastAsia="宋体" w:hint="default"/>
                <w:sz w:val="18"/>
                <w:szCs w:val="18"/>
              </w:rPr>
              <w:t>版本并正式 上线使用，各部门所需的数据 </w:t>
            </w:r>
            <w:r>
              <w:rPr>
                <w:rFonts w:ascii="宋体" w:hAnsi="宋体" w:cs="宋体" w:eastAsia="宋体" w:hint="default"/>
                <w:spacing w:val="14"/>
                <w:sz w:val="18"/>
                <w:szCs w:val="18"/>
              </w:rPr>
              <w:t>报表系统会自动统计完成并</w:t>
            </w:r>
            <w:r>
              <w:rPr>
                <w:rFonts w:ascii="宋体" w:hAnsi="宋体" w:cs="宋体" w:eastAsia="宋体" w:hint="default"/>
                <w:sz w:val="18"/>
                <w:szCs w:val="18"/>
              </w:rPr>
              <w:t> 及时发送给相关人员，对公司 </w:t>
            </w:r>
            <w:r>
              <w:rPr>
                <w:rFonts w:ascii="宋体" w:hAnsi="宋体" w:cs="宋体" w:eastAsia="宋体" w:hint="default"/>
                <w:spacing w:val="14"/>
                <w:sz w:val="18"/>
                <w:szCs w:val="18"/>
              </w:rPr>
              <w:t>各部门相关人员的现有工作</w:t>
            </w:r>
            <w:r>
              <w:rPr>
                <w:rFonts w:ascii="宋体" w:hAnsi="宋体" w:cs="宋体" w:eastAsia="宋体" w:hint="default"/>
                <w:sz w:val="18"/>
                <w:szCs w:val="18"/>
              </w:rPr>
              <w:t> </w:t>
            </w:r>
            <w:r>
              <w:rPr>
                <w:rFonts w:ascii="宋体" w:hAnsi="宋体" w:cs="宋体" w:eastAsia="宋体" w:hint="default"/>
                <w:spacing w:val="14"/>
                <w:sz w:val="18"/>
                <w:szCs w:val="18"/>
              </w:rPr>
              <w:t>提供了便捷和有力的技术支</w:t>
            </w:r>
          </w:p>
          <w:p>
            <w:pPr>
              <w:pStyle w:val="TableParagraph"/>
              <w:spacing w:line="218" w:lineRule="exact"/>
              <w:ind w:left="103" w:right="0"/>
              <w:jc w:val="both"/>
              <w:rPr>
                <w:rFonts w:ascii="宋体" w:hAnsi="宋体" w:cs="宋体" w:eastAsia="宋体" w:hint="default"/>
                <w:sz w:val="18"/>
                <w:szCs w:val="18"/>
              </w:rPr>
            </w:pPr>
            <w:r>
              <w:rPr>
                <w:rFonts w:ascii="宋体" w:hAnsi="宋体" w:cs="宋体" w:eastAsia="宋体" w:hint="default"/>
                <w:sz w:val="18"/>
                <w:szCs w:val="18"/>
              </w:rPr>
              <w:t>撑。</w:t>
            </w:r>
            <w:r>
              <w:rPr>
                <w:rFonts w:ascii="宋体" w:hAnsi="宋体" w:cs="宋体" w:eastAsia="宋体" w:hint="default"/>
                <w:sz w:val="18"/>
                <w:szCs w:val="18"/>
              </w:rPr>
              <w:t> </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before="101"/>
              <w:ind w:left="105" w:right="99"/>
              <w:jc w:val="both"/>
              <w:rPr>
                <w:rFonts w:ascii="宋体" w:hAnsi="宋体" w:cs="宋体" w:eastAsia="宋体" w:hint="default"/>
                <w:sz w:val="18"/>
                <w:szCs w:val="18"/>
              </w:rPr>
            </w:pPr>
            <w:r>
              <w:rPr>
                <w:rFonts w:ascii="宋体" w:hAnsi="宋体" w:cs="宋体" w:eastAsia="宋体" w:hint="default"/>
                <w:sz w:val="18"/>
                <w:szCs w:val="18"/>
              </w:rPr>
              <w:t>产品已正式投入使用，解决了 数据统计速度慢，统计方式单 一等问题。节省时间，减少人 力资源浪费。部分客户也会第 一时间收到报表邮件，提升漫 道服务质量和客户满意度。</w:t>
            </w:r>
            <w:r>
              <w:rPr>
                <w:rFonts w:ascii="宋体" w:hAnsi="宋体" w:cs="宋体" w:eastAsia="宋体" w:hint="default"/>
                <w:sz w:val="18"/>
                <w:szCs w:val="18"/>
              </w:rPr>
              <w:t> </w:t>
            </w:r>
          </w:p>
        </w:tc>
      </w:tr>
      <w:tr>
        <w:trPr>
          <w:trHeight w:val="255" w:hRule="exact"/>
        </w:trPr>
        <w:tc>
          <w:tcPr>
            <w:tcW w:w="881" w:type="dxa"/>
            <w:tcBorders>
              <w:top w:val="single" w:sz="4" w:space="0" w:color="000000"/>
              <w:left w:val="single" w:sz="4" w:space="0" w:color="000000"/>
              <w:bottom w:val="nil" w:sz="6" w:space="0" w:color="auto"/>
              <w:right w:val="single" w:sz="4" w:space="0" w:color="000000"/>
            </w:tcBorders>
          </w:tcPr>
          <w:p>
            <w:pPr/>
          </w:p>
        </w:tc>
        <w:tc>
          <w:tcPr>
            <w:tcW w:w="1181" w:type="dxa"/>
            <w:tcBorders>
              <w:top w:val="single" w:sz="4" w:space="0" w:color="000000"/>
              <w:left w:val="single" w:sz="4" w:space="0" w:color="000000"/>
              <w:bottom w:val="nil" w:sz="6" w:space="0" w:color="auto"/>
              <w:right w:val="single" w:sz="4" w:space="0" w:color="000000"/>
            </w:tcBorders>
          </w:tcPr>
          <w:p>
            <w:pPr/>
          </w:p>
        </w:tc>
        <w:tc>
          <w:tcPr>
            <w:tcW w:w="2475" w:type="dxa"/>
            <w:tcBorders>
              <w:top w:val="single" w:sz="4" w:space="0" w:color="000000"/>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通过</w:t>
            </w:r>
            <w:r>
              <w:rPr>
                <w:rFonts w:ascii="宋体" w:hAnsi="宋体" w:cs="宋体" w:eastAsia="宋体" w:hint="default"/>
                <w:spacing w:val="-45"/>
                <w:sz w:val="18"/>
                <w:szCs w:val="18"/>
              </w:rPr>
              <w:t> </w:t>
            </w:r>
            <w:r>
              <w:rPr>
                <w:rFonts w:ascii="宋体" w:hAnsi="宋体" w:cs="宋体" w:eastAsia="宋体" w:hint="default"/>
                <w:spacing w:val="1"/>
                <w:sz w:val="18"/>
                <w:szCs w:val="18"/>
              </w:rPr>
              <w:t>1</w:t>
            </w:r>
            <w:r>
              <w:rPr>
                <w:rFonts w:ascii="宋体" w:hAnsi="宋体" w:cs="宋体" w:eastAsia="宋体" w:hint="default"/>
                <w:spacing w:val="-2"/>
                <w:sz w:val="18"/>
                <w:szCs w:val="18"/>
              </w:rPr>
              <w:t>+</w:t>
            </w:r>
            <w:r>
              <w:rPr>
                <w:rFonts w:ascii="宋体" w:hAnsi="宋体" w:cs="宋体" w:eastAsia="宋体" w:hint="default"/>
                <w:sz w:val="18"/>
                <w:szCs w:val="18"/>
              </w:rPr>
              <w:t>1</w:t>
            </w:r>
            <w:r>
              <w:rPr>
                <w:rFonts w:ascii="宋体" w:hAnsi="宋体" w:cs="宋体" w:eastAsia="宋体" w:hint="default"/>
                <w:spacing w:val="-43"/>
                <w:sz w:val="18"/>
                <w:szCs w:val="18"/>
              </w:rPr>
              <w:t> </w:t>
            </w:r>
            <w:r>
              <w:rPr>
                <w:rFonts w:ascii="宋体" w:hAnsi="宋体" w:cs="宋体" w:eastAsia="宋体" w:hint="default"/>
                <w:sz w:val="18"/>
                <w:szCs w:val="18"/>
              </w:rPr>
              <w:t>的保护转换方式</w:t>
            </w:r>
            <w:r>
              <w:rPr>
                <w:rFonts w:ascii="宋体" w:hAnsi="宋体" w:cs="宋体" w:eastAsia="宋体" w:hint="default"/>
                <w:spacing w:val="-82"/>
                <w:sz w:val="18"/>
                <w:szCs w:val="18"/>
              </w:rPr>
              <w:t>，</w:t>
            </w:r>
            <w:r>
              <w:rPr>
                <w:rFonts w:ascii="宋体" w:hAnsi="宋体" w:cs="宋体" w:eastAsia="宋体" w:hint="default"/>
                <w:sz w:val="18"/>
                <w:szCs w:val="18"/>
              </w:rPr>
              <w:t>提</w:t>
            </w:r>
          </w:p>
        </w:tc>
        <w:tc>
          <w:tcPr>
            <w:tcW w:w="2552" w:type="dxa"/>
            <w:tcBorders>
              <w:top w:val="single" w:sz="4" w:space="0" w:color="000000"/>
              <w:left w:val="single" w:sz="4" w:space="0" w:color="000000"/>
              <w:bottom w:val="nil" w:sz="6" w:space="0" w:color="auto"/>
              <w:right w:val="single" w:sz="4" w:space="0" w:color="000000"/>
            </w:tcBorders>
          </w:tcPr>
          <w:p>
            <w:pPr/>
          </w:p>
        </w:tc>
        <w:tc>
          <w:tcPr>
            <w:tcW w:w="2552" w:type="dxa"/>
            <w:tcBorders>
              <w:top w:val="single" w:sz="4" w:space="0" w:color="000000"/>
              <w:left w:val="single" w:sz="4" w:space="0" w:color="000000"/>
              <w:bottom w:val="nil" w:sz="6" w:space="0" w:color="auto"/>
              <w:right w:val="single" w:sz="4" w:space="0" w:color="000000"/>
            </w:tcBorders>
          </w:tcPr>
          <w:p>
            <w:pPr/>
          </w:p>
        </w:tc>
      </w:tr>
      <w:tr>
        <w:trPr>
          <w:trHeight w:val="240"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基于 </w:t>
            </w:r>
            <w:r>
              <w:rPr>
                <w:rFonts w:ascii="宋体" w:hAnsi="宋体" w:cs="宋体" w:eastAsia="宋体" w:hint="default"/>
                <w:sz w:val="18"/>
                <w:szCs w:val="18"/>
              </w:rPr>
              <w:t>SDH</w:t>
            </w:r>
            <w:r>
              <w:rPr>
                <w:rFonts w:ascii="宋体" w:hAnsi="宋体" w:cs="宋体" w:eastAsia="宋体" w:hint="default"/>
                <w:spacing w:val="-22"/>
                <w:sz w:val="18"/>
                <w:szCs w:val="18"/>
              </w:rPr>
              <w:t> </w:t>
            </w:r>
            <w:r>
              <w:rPr>
                <w:rFonts w:ascii="宋体" w:hAnsi="宋体" w:cs="宋体" w:eastAsia="宋体" w:hint="default"/>
                <w:sz w:val="18"/>
                <w:szCs w:val="18"/>
              </w:rPr>
              <w:t>的</w:t>
            </w: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pacing w:val="7"/>
                <w:sz w:val="18"/>
                <w:szCs w:val="18"/>
              </w:rPr>
              <w:t>高传输系统的可靠性与可用</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已研发完成，企业掌握</w:t>
            </w:r>
            <w:r>
              <w:rPr>
                <w:rFonts w:ascii="宋体" w:hAnsi="宋体" w:cs="宋体" w:eastAsia="宋体" w:hint="default"/>
                <w:spacing w:val="-47"/>
                <w:sz w:val="18"/>
                <w:szCs w:val="18"/>
              </w:rPr>
              <w:t> </w:t>
            </w:r>
            <w:r>
              <w:rPr>
                <w:rFonts w:ascii="宋体" w:hAnsi="宋体" w:cs="宋体" w:eastAsia="宋体" w:hint="default"/>
                <w:sz w:val="18"/>
                <w:szCs w:val="18"/>
              </w:rPr>
              <w:t>SDH</w:t>
            </w:r>
            <w:r>
              <w:rPr>
                <w:rFonts w:ascii="宋体" w:hAnsi="宋体" w:cs="宋体" w:eastAsia="宋体" w:hint="default"/>
                <w:spacing w:val="-47"/>
                <w:sz w:val="18"/>
                <w:szCs w:val="18"/>
              </w:rPr>
              <w:t> </w:t>
            </w:r>
            <w:r>
              <w:rPr>
                <w:rFonts w:ascii="宋体" w:hAnsi="宋体" w:cs="宋体" w:eastAsia="宋体" w:hint="default"/>
                <w:sz w:val="18"/>
                <w:szCs w:val="18"/>
              </w:rPr>
              <w:t>在</w:t>
            </w:r>
          </w:p>
        </w:tc>
        <w:tc>
          <w:tcPr>
            <w:tcW w:w="2552" w:type="dxa"/>
            <w:tcBorders>
              <w:top w:val="nil" w:sz="6" w:space="0" w:color="auto"/>
              <w:left w:val="single" w:sz="4" w:space="0" w:color="000000"/>
              <w:bottom w:val="nil" w:sz="6" w:space="0" w:color="auto"/>
              <w:right w:val="single" w:sz="4" w:space="0" w:color="000000"/>
            </w:tcBorders>
          </w:tcPr>
          <w:p>
            <w:pPr/>
          </w:p>
        </w:tc>
      </w:tr>
      <w:tr>
        <w:trPr>
          <w:trHeight w:val="480" w:hRule="exact"/>
        </w:trPr>
        <w:tc>
          <w:tcPr>
            <w:tcW w:w="881"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88" w:right="0"/>
              <w:jc w:val="center"/>
              <w:rPr>
                <w:rFonts w:ascii="宋体" w:hAnsi="宋体" w:cs="宋体" w:eastAsia="宋体" w:hint="default"/>
                <w:sz w:val="18"/>
                <w:szCs w:val="18"/>
              </w:rPr>
            </w:pPr>
            <w:r>
              <w:rPr>
                <w:rFonts w:ascii="宋体"/>
                <w:sz w:val="18"/>
              </w:rPr>
              <w:t>(11) </w:t>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pacing w:val="12"/>
                <w:sz w:val="18"/>
                <w:szCs w:val="18"/>
              </w:rPr>
              <w:t>通信光缆传</w:t>
            </w:r>
            <w:r>
              <w:rPr>
                <w:rFonts w:ascii="宋体" w:hAnsi="宋体" w:cs="宋体" w:eastAsia="宋体" w:hint="default"/>
                <w:spacing w:val="-74"/>
                <w:sz w:val="18"/>
                <w:szCs w:val="18"/>
              </w:rPr>
              <w:t> </w:t>
            </w:r>
            <w:r>
              <w:rPr>
                <w:rFonts w:ascii="宋体" w:hAnsi="宋体" w:cs="宋体" w:eastAsia="宋体" w:hint="default"/>
                <w:sz w:val="18"/>
                <w:szCs w:val="18"/>
              </w:rPr>
            </w:r>
          </w:p>
          <w:p>
            <w:pPr>
              <w:pStyle w:val="TableParagraph"/>
              <w:spacing w:line="240" w:lineRule="auto" w:before="4"/>
              <w:ind w:left="103" w:right="0"/>
              <w:jc w:val="left"/>
              <w:rPr>
                <w:rFonts w:ascii="宋体" w:hAnsi="宋体" w:cs="宋体" w:eastAsia="宋体" w:hint="default"/>
                <w:sz w:val="18"/>
                <w:szCs w:val="18"/>
              </w:rPr>
            </w:pPr>
            <w:r>
              <w:rPr>
                <w:rFonts w:ascii="宋体" w:hAnsi="宋体" w:cs="宋体" w:eastAsia="宋体" w:hint="default"/>
                <w:spacing w:val="12"/>
                <w:sz w:val="18"/>
                <w:szCs w:val="18"/>
              </w:rPr>
              <w:t>输保护系统</w:t>
            </w:r>
            <w:r>
              <w:rPr>
                <w:rFonts w:ascii="宋体" w:hAnsi="宋体" w:cs="宋体" w:eastAsia="宋体" w:hint="default"/>
                <w:spacing w:val="-74"/>
                <w:sz w:val="18"/>
                <w:szCs w:val="18"/>
              </w:rPr>
              <w:t> </w:t>
            </w:r>
            <w:r>
              <w:rPr>
                <w:rFonts w:ascii="宋体" w:hAnsi="宋体" w:cs="宋体" w:eastAsia="宋体" w:hint="default"/>
                <w:sz w:val="18"/>
                <w:szCs w:val="18"/>
              </w:rPr>
            </w: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pacing w:val="-7"/>
                <w:sz w:val="18"/>
                <w:szCs w:val="18"/>
              </w:rPr>
              <w:t>性。研究方向分为两个：一是</w:t>
            </w:r>
          </w:p>
          <w:p>
            <w:pPr>
              <w:pStyle w:val="TableParagraph"/>
              <w:spacing w:line="240" w:lineRule="auto" w:before="4"/>
              <w:ind w:left="105" w:right="0"/>
              <w:jc w:val="left"/>
              <w:rPr>
                <w:rFonts w:ascii="宋体" w:hAnsi="宋体" w:cs="宋体" w:eastAsia="宋体" w:hint="default"/>
                <w:sz w:val="18"/>
                <w:szCs w:val="18"/>
              </w:rPr>
            </w:pPr>
            <w:r>
              <w:rPr>
                <w:rFonts w:ascii="宋体" w:hAnsi="宋体" w:cs="宋体" w:eastAsia="宋体" w:hint="default"/>
                <w:sz w:val="18"/>
                <w:szCs w:val="18"/>
              </w:rPr>
              <w:t>大型光缆的</w:t>
            </w:r>
            <w:r>
              <w:rPr>
                <w:rFonts w:ascii="宋体" w:hAnsi="宋体" w:cs="宋体" w:eastAsia="宋体" w:hint="default"/>
                <w:spacing w:val="-44"/>
                <w:sz w:val="18"/>
                <w:szCs w:val="18"/>
              </w:rPr>
              <w:t> </w:t>
            </w:r>
            <w:r>
              <w:rPr>
                <w:rFonts w:ascii="宋体" w:hAnsi="宋体" w:cs="宋体" w:eastAsia="宋体" w:hint="default"/>
                <w:spacing w:val="1"/>
                <w:sz w:val="18"/>
                <w:szCs w:val="18"/>
              </w:rPr>
              <w:t>S</w:t>
            </w:r>
            <w:r>
              <w:rPr>
                <w:rFonts w:ascii="宋体" w:hAnsi="宋体" w:cs="宋体" w:eastAsia="宋体" w:hint="default"/>
                <w:spacing w:val="-2"/>
                <w:sz w:val="18"/>
                <w:szCs w:val="18"/>
              </w:rPr>
              <w:t>D</w:t>
            </w:r>
            <w:r>
              <w:rPr>
                <w:rFonts w:ascii="宋体" w:hAnsi="宋体" w:cs="宋体" w:eastAsia="宋体" w:hint="default"/>
                <w:sz w:val="18"/>
                <w:szCs w:val="18"/>
              </w:rPr>
              <w:t>H</w:t>
            </w:r>
            <w:r>
              <w:rPr>
                <w:rFonts w:ascii="宋体" w:hAnsi="宋体" w:cs="宋体" w:eastAsia="宋体" w:hint="default"/>
                <w:spacing w:val="-44"/>
                <w:sz w:val="18"/>
                <w:szCs w:val="18"/>
              </w:rPr>
              <w:t> </w:t>
            </w:r>
            <w:r>
              <w:rPr>
                <w:rFonts w:ascii="宋体" w:hAnsi="宋体" w:cs="宋体" w:eastAsia="宋体" w:hint="default"/>
                <w:sz w:val="18"/>
                <w:szCs w:val="18"/>
              </w:rPr>
              <w:t>保护系统</w:t>
            </w:r>
            <w:r>
              <w:rPr>
                <w:rFonts w:ascii="宋体" w:hAnsi="宋体" w:cs="宋体" w:eastAsia="宋体" w:hint="default"/>
                <w:spacing w:val="-82"/>
                <w:sz w:val="18"/>
                <w:szCs w:val="18"/>
              </w:rPr>
              <w:t>，</w:t>
            </w:r>
            <w:r>
              <w:rPr>
                <w:rFonts w:ascii="宋体" w:hAnsi="宋体" w:cs="宋体" w:eastAsia="宋体" w:hint="default"/>
                <w:sz w:val="18"/>
                <w:szCs w:val="18"/>
              </w:rPr>
              <w:t>二</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pacing w:val="14"/>
                <w:sz w:val="18"/>
                <w:szCs w:val="18"/>
              </w:rPr>
              <w:t>通信光缆传输保护的技术原</w:t>
            </w:r>
          </w:p>
          <w:p>
            <w:pPr>
              <w:pStyle w:val="TableParagraph"/>
              <w:spacing w:line="240" w:lineRule="auto" w:before="4"/>
              <w:ind w:left="103" w:right="0"/>
              <w:jc w:val="left"/>
              <w:rPr>
                <w:rFonts w:ascii="宋体" w:hAnsi="宋体" w:cs="宋体" w:eastAsia="宋体" w:hint="default"/>
                <w:sz w:val="18"/>
                <w:szCs w:val="18"/>
              </w:rPr>
            </w:pPr>
            <w:r>
              <w:rPr>
                <w:rFonts w:ascii="宋体" w:hAnsi="宋体" w:cs="宋体" w:eastAsia="宋体" w:hint="default"/>
                <w:sz w:val="18"/>
                <w:szCs w:val="18"/>
              </w:rPr>
              <w:t>理，提高了通信网络中光缆维</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提高通信网络稳定性，为抢修</w:t>
            </w:r>
          </w:p>
          <w:p>
            <w:pPr>
              <w:pStyle w:val="TableParagraph"/>
              <w:spacing w:line="240" w:lineRule="auto" w:before="4"/>
              <w:ind w:left="105" w:right="0"/>
              <w:jc w:val="left"/>
              <w:rPr>
                <w:rFonts w:ascii="宋体" w:hAnsi="宋体" w:cs="宋体" w:eastAsia="宋体" w:hint="default"/>
                <w:sz w:val="18"/>
                <w:szCs w:val="18"/>
              </w:rPr>
            </w:pPr>
            <w:r>
              <w:rPr>
                <w:rFonts w:ascii="宋体" w:hAnsi="宋体" w:cs="宋体" w:eastAsia="宋体" w:hint="default"/>
                <w:sz w:val="18"/>
                <w:szCs w:val="18"/>
              </w:rPr>
              <w:t>争取时间，提高效率。</w:t>
            </w:r>
            <w:r>
              <w:rPr>
                <w:rFonts w:ascii="宋体" w:hAnsi="宋体" w:cs="宋体" w:eastAsia="宋体" w:hint="default"/>
                <w:sz w:val="18"/>
                <w:szCs w:val="18"/>
              </w:rPr>
              <w:t> </w:t>
            </w:r>
          </w:p>
        </w:tc>
      </w:tr>
      <w:tr>
        <w:trPr>
          <w:trHeight w:val="240"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的开发</w:t>
            </w:r>
            <w:r>
              <w:rPr>
                <w:rFonts w:ascii="宋体" w:hAnsi="宋体" w:cs="宋体" w:eastAsia="宋体" w:hint="default"/>
                <w:sz w:val="18"/>
                <w:szCs w:val="18"/>
              </w:rPr>
              <w:t> </w:t>
            </w: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是低成本 </w:t>
            </w:r>
            <w:r>
              <w:rPr>
                <w:rFonts w:ascii="宋体" w:hAnsi="宋体" w:cs="宋体" w:eastAsia="宋体" w:hint="default"/>
                <w:sz w:val="18"/>
                <w:szCs w:val="18"/>
              </w:rPr>
              <w:t>SDH</w:t>
            </w:r>
            <w:r>
              <w:rPr>
                <w:rFonts w:ascii="宋体" w:hAnsi="宋体" w:cs="宋体" w:eastAsia="宋体" w:hint="default"/>
                <w:spacing w:val="5"/>
                <w:sz w:val="18"/>
                <w:szCs w:val="18"/>
              </w:rPr>
              <w:t> </w:t>
            </w:r>
            <w:r>
              <w:rPr>
                <w:rFonts w:ascii="宋体" w:hAnsi="宋体" w:cs="宋体" w:eastAsia="宋体" w:hint="default"/>
                <w:sz w:val="18"/>
                <w:szCs w:val="18"/>
              </w:rPr>
              <w:t>光缆传输保护</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护的技术水平。</w:t>
            </w:r>
            <w:r>
              <w:rPr>
                <w:rFonts w:ascii="宋体" w:hAnsi="宋体" w:cs="宋体" w:eastAsia="宋体" w:hint="default"/>
                <w:sz w:val="18"/>
                <w:szCs w:val="18"/>
              </w:rPr>
              <w:t> </w:t>
            </w:r>
          </w:p>
        </w:tc>
        <w:tc>
          <w:tcPr>
            <w:tcW w:w="2552" w:type="dxa"/>
            <w:tcBorders>
              <w:top w:val="nil" w:sz="6" w:space="0" w:color="auto"/>
              <w:left w:val="single" w:sz="4" w:space="0" w:color="000000"/>
              <w:bottom w:val="nil" w:sz="6" w:space="0" w:color="auto"/>
              <w:right w:val="single" w:sz="4" w:space="0" w:color="000000"/>
            </w:tcBorders>
          </w:tcPr>
          <w:p>
            <w:pPr/>
          </w:p>
        </w:tc>
      </w:tr>
      <w:tr>
        <w:trPr>
          <w:trHeight w:val="237" w:hRule="exact"/>
        </w:trPr>
        <w:tc>
          <w:tcPr>
            <w:tcW w:w="881" w:type="dxa"/>
            <w:tcBorders>
              <w:top w:val="nil" w:sz="6" w:space="0" w:color="auto"/>
              <w:left w:val="single" w:sz="4" w:space="0" w:color="000000"/>
              <w:bottom w:val="single" w:sz="4" w:space="0" w:color="000000"/>
              <w:right w:val="single" w:sz="4" w:space="0" w:color="000000"/>
            </w:tcBorders>
          </w:tcPr>
          <w:p>
            <w:pPr/>
          </w:p>
        </w:tc>
        <w:tc>
          <w:tcPr>
            <w:tcW w:w="1181" w:type="dxa"/>
            <w:tcBorders>
              <w:top w:val="nil" w:sz="6" w:space="0" w:color="auto"/>
              <w:left w:val="single" w:sz="4" w:space="0" w:color="000000"/>
              <w:bottom w:val="single" w:sz="4" w:space="0" w:color="000000"/>
              <w:right w:val="single" w:sz="4" w:space="0" w:color="000000"/>
            </w:tcBorders>
          </w:tcPr>
          <w:p>
            <w:pPr/>
          </w:p>
        </w:tc>
        <w:tc>
          <w:tcPr>
            <w:tcW w:w="2475" w:type="dxa"/>
            <w:tcBorders>
              <w:top w:val="nil" w:sz="6" w:space="0" w:color="auto"/>
              <w:left w:val="single" w:sz="4" w:space="0" w:color="000000"/>
              <w:bottom w:val="single" w:sz="4" w:space="0" w:color="000000"/>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系统。</w:t>
            </w:r>
            <w:r>
              <w:rPr>
                <w:rFonts w:ascii="宋体" w:hAnsi="宋体" w:cs="宋体" w:eastAsia="宋体" w:hint="default"/>
                <w:sz w:val="18"/>
                <w:szCs w:val="18"/>
              </w:rPr>
              <w:t> </w:t>
            </w:r>
          </w:p>
        </w:tc>
        <w:tc>
          <w:tcPr>
            <w:tcW w:w="2552" w:type="dxa"/>
            <w:tcBorders>
              <w:top w:val="nil" w:sz="6" w:space="0" w:color="auto"/>
              <w:left w:val="single" w:sz="4" w:space="0" w:color="000000"/>
              <w:bottom w:val="single" w:sz="4" w:space="0" w:color="000000"/>
              <w:right w:val="single" w:sz="4" w:space="0" w:color="000000"/>
            </w:tcBorders>
          </w:tcPr>
          <w:p>
            <w:pPr/>
          </w:p>
        </w:tc>
        <w:tc>
          <w:tcPr>
            <w:tcW w:w="2552" w:type="dxa"/>
            <w:tcBorders>
              <w:top w:val="nil" w:sz="6" w:space="0" w:color="auto"/>
              <w:left w:val="single" w:sz="4" w:space="0" w:color="000000"/>
              <w:bottom w:val="single" w:sz="4" w:space="0" w:color="000000"/>
              <w:right w:val="single" w:sz="4" w:space="0" w:color="000000"/>
            </w:tcBorders>
          </w:tcPr>
          <w:p>
            <w:pPr/>
          </w:p>
        </w:tc>
      </w:tr>
      <w:tr>
        <w:trPr>
          <w:trHeight w:val="1210" w:hRule="exact"/>
        </w:trPr>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left="90" w:right="0"/>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12</w:t>
            </w:r>
            <w:r>
              <w:rPr>
                <w:rFonts w:ascii="宋体" w:hAnsi="宋体" w:cs="宋体" w:eastAsia="宋体" w:hint="default"/>
                <w:sz w:val="18"/>
                <w:szCs w:val="18"/>
              </w:rPr>
              <w:t>）</w:t>
            </w:r>
            <w:r>
              <w:rPr>
                <w:rFonts w:ascii="宋体" w:hAnsi="宋体" w:cs="宋体" w:eastAsia="宋体" w:hint="default"/>
                <w:sz w:val="18"/>
                <w:szCs w:val="18"/>
              </w:rPr>
              <w:t> </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before="101"/>
              <w:ind w:left="103" w:right="83"/>
              <w:jc w:val="both"/>
              <w:rPr>
                <w:rFonts w:ascii="宋体" w:hAnsi="宋体" w:cs="宋体" w:eastAsia="宋体" w:hint="default"/>
                <w:sz w:val="18"/>
                <w:szCs w:val="18"/>
              </w:rPr>
            </w:pPr>
            <w:r>
              <w:rPr>
                <w:rFonts w:ascii="宋体" w:hAnsi="宋体" w:cs="宋体" w:eastAsia="宋体" w:hint="default"/>
                <w:spacing w:val="12"/>
                <w:sz w:val="18"/>
                <w:szCs w:val="18"/>
              </w:rPr>
              <w:t>通信交接柜</w:t>
            </w:r>
            <w:r>
              <w:rPr>
                <w:rFonts w:ascii="宋体" w:hAnsi="宋体" w:cs="宋体" w:eastAsia="宋体" w:hint="default"/>
                <w:spacing w:val="-86"/>
                <w:sz w:val="18"/>
                <w:szCs w:val="18"/>
              </w:rPr>
              <w:t> </w:t>
            </w:r>
            <w:r>
              <w:rPr>
                <w:rFonts w:ascii="宋体" w:hAnsi="宋体" w:cs="宋体" w:eastAsia="宋体" w:hint="default"/>
                <w:spacing w:val="12"/>
                <w:sz w:val="18"/>
                <w:szCs w:val="18"/>
              </w:rPr>
              <w:t>智能控制及</w:t>
            </w:r>
            <w:r>
              <w:rPr>
                <w:rFonts w:ascii="宋体" w:hAnsi="宋体" w:cs="宋体" w:eastAsia="宋体" w:hint="default"/>
                <w:spacing w:val="-86"/>
                <w:sz w:val="18"/>
                <w:szCs w:val="18"/>
              </w:rPr>
              <w:t> </w:t>
            </w:r>
            <w:r>
              <w:rPr>
                <w:rFonts w:ascii="宋体" w:hAnsi="宋体" w:cs="宋体" w:eastAsia="宋体" w:hint="default"/>
                <w:spacing w:val="12"/>
                <w:sz w:val="18"/>
                <w:szCs w:val="18"/>
              </w:rPr>
              <w:t>传感系统的</w:t>
            </w:r>
            <w:r>
              <w:rPr>
                <w:rFonts w:ascii="宋体" w:hAnsi="宋体" w:cs="宋体" w:eastAsia="宋体" w:hint="default"/>
                <w:spacing w:val="-86"/>
                <w:sz w:val="18"/>
                <w:szCs w:val="18"/>
              </w:rPr>
              <w:t> </w:t>
            </w:r>
            <w:r>
              <w:rPr>
                <w:rFonts w:ascii="宋体" w:hAnsi="宋体" w:cs="宋体" w:eastAsia="宋体" w:hint="default"/>
                <w:sz w:val="18"/>
                <w:szCs w:val="18"/>
              </w:rPr>
              <w:t>开发</w:t>
            </w:r>
            <w:r>
              <w:rPr>
                <w:rFonts w:ascii="宋体" w:hAnsi="宋体" w:cs="宋体" w:eastAsia="宋体" w:hint="default"/>
                <w:sz w:val="18"/>
                <w:szCs w:val="18"/>
              </w:rPr>
              <w:t> </w:t>
            </w:r>
          </w:p>
        </w:tc>
        <w:tc>
          <w:tcPr>
            <w:tcW w:w="2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4" w:lineRule="auto" w:before="134"/>
              <w:ind w:left="105" w:right="99"/>
              <w:jc w:val="left"/>
              <w:rPr>
                <w:rFonts w:ascii="宋体" w:hAnsi="宋体" w:cs="宋体" w:eastAsia="宋体" w:hint="default"/>
                <w:sz w:val="18"/>
                <w:szCs w:val="18"/>
              </w:rPr>
            </w:pPr>
            <w:r>
              <w:rPr>
                <w:rFonts w:ascii="宋体" w:hAnsi="宋体" w:cs="宋体" w:eastAsia="宋体" w:hint="default"/>
                <w:spacing w:val="7"/>
                <w:sz w:val="18"/>
                <w:szCs w:val="18"/>
              </w:rPr>
              <w:t>定位以及实时监控通信交接</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柜所处环境</w:t>
            </w:r>
            <w:r>
              <w:rPr>
                <w:rFonts w:ascii="宋体" w:hAnsi="宋体" w:cs="宋体" w:eastAsia="宋体" w:hint="default"/>
                <w:sz w:val="18"/>
                <w:szCs w:val="18"/>
              </w:rPr>
              <w:t> </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101"/>
              <w:jc w:val="both"/>
              <w:rPr>
                <w:rFonts w:ascii="宋体" w:hAnsi="宋体" w:cs="宋体" w:eastAsia="宋体" w:hint="default"/>
                <w:sz w:val="18"/>
                <w:szCs w:val="18"/>
              </w:rPr>
            </w:pPr>
            <w:r>
              <w:rPr>
                <w:rFonts w:ascii="宋体" w:hAnsi="宋体" w:cs="宋体" w:eastAsia="宋体" w:hint="default"/>
                <w:sz w:val="18"/>
                <w:szCs w:val="18"/>
              </w:rPr>
              <w:t>已研发完成，有效提高交接柜 的维护管理效率，降低违法开 锁等破坏交接柜的发生率，快 速定位受损通信交接柜，提高 运维效率。</w:t>
            </w:r>
            <w:r>
              <w:rPr>
                <w:rFonts w:ascii="宋体" w:hAnsi="宋体" w:cs="宋体" w:eastAsia="宋体" w:hint="default"/>
                <w:sz w:val="18"/>
                <w:szCs w:val="18"/>
              </w:rPr>
              <w:t> </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4" w:lineRule="auto" w:before="134"/>
              <w:ind w:left="105" w:right="98"/>
              <w:jc w:val="left"/>
              <w:rPr>
                <w:rFonts w:ascii="宋体" w:hAnsi="宋体" w:cs="宋体" w:eastAsia="宋体" w:hint="default"/>
                <w:sz w:val="18"/>
                <w:szCs w:val="18"/>
              </w:rPr>
            </w:pPr>
            <w:r>
              <w:rPr>
                <w:rFonts w:ascii="宋体" w:hAnsi="宋体" w:cs="宋体" w:eastAsia="宋体" w:hint="default"/>
                <w:sz w:val="18"/>
                <w:szCs w:val="18"/>
              </w:rPr>
              <w:t>提高通信网络服务水平，提高 效率。</w:t>
            </w:r>
            <w:r>
              <w:rPr>
                <w:rFonts w:ascii="宋体" w:hAnsi="宋体" w:cs="宋体" w:eastAsia="宋体" w:hint="default"/>
                <w:sz w:val="18"/>
                <w:szCs w:val="18"/>
              </w:rPr>
              <w:t> </w:t>
            </w:r>
          </w:p>
        </w:tc>
      </w:tr>
      <w:tr>
        <w:trPr>
          <w:trHeight w:val="252" w:hRule="exact"/>
        </w:trPr>
        <w:tc>
          <w:tcPr>
            <w:tcW w:w="881" w:type="dxa"/>
            <w:tcBorders>
              <w:top w:val="single" w:sz="4" w:space="0" w:color="000000"/>
              <w:left w:val="single" w:sz="4" w:space="0" w:color="000000"/>
              <w:bottom w:val="nil" w:sz="6" w:space="0" w:color="auto"/>
              <w:right w:val="single" w:sz="4" w:space="0" w:color="000000"/>
            </w:tcBorders>
          </w:tcPr>
          <w:p>
            <w:pPr/>
          </w:p>
        </w:tc>
        <w:tc>
          <w:tcPr>
            <w:tcW w:w="1181" w:type="dxa"/>
            <w:tcBorders>
              <w:top w:val="single" w:sz="4" w:space="0" w:color="000000"/>
              <w:left w:val="single" w:sz="4" w:space="0" w:color="000000"/>
              <w:bottom w:val="nil" w:sz="6" w:space="0" w:color="auto"/>
              <w:right w:val="single" w:sz="4" w:space="0" w:color="000000"/>
            </w:tcBorders>
          </w:tcPr>
          <w:p>
            <w:pPr/>
          </w:p>
        </w:tc>
        <w:tc>
          <w:tcPr>
            <w:tcW w:w="2475" w:type="dxa"/>
            <w:tcBorders>
              <w:top w:val="single" w:sz="4" w:space="0" w:color="000000"/>
              <w:left w:val="single" w:sz="4" w:space="0" w:color="000000"/>
              <w:bottom w:val="nil" w:sz="6" w:space="0" w:color="auto"/>
              <w:right w:val="single" w:sz="4" w:space="0" w:color="000000"/>
            </w:tcBorders>
          </w:tcPr>
          <w:p>
            <w:pPr/>
          </w:p>
        </w:tc>
        <w:tc>
          <w:tcPr>
            <w:tcW w:w="2552" w:type="dxa"/>
            <w:tcBorders>
              <w:top w:val="single" w:sz="4" w:space="0" w:color="000000"/>
              <w:left w:val="single" w:sz="4" w:space="0" w:color="000000"/>
              <w:bottom w:val="nil" w:sz="6" w:space="0" w:color="auto"/>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已研发完成，已取得中华人民</w:t>
            </w:r>
          </w:p>
        </w:tc>
        <w:tc>
          <w:tcPr>
            <w:tcW w:w="2552" w:type="dxa"/>
            <w:tcBorders>
              <w:top w:val="single" w:sz="4" w:space="0" w:color="000000"/>
              <w:left w:val="single" w:sz="4" w:space="0" w:color="000000"/>
              <w:bottom w:val="nil" w:sz="6" w:space="0" w:color="auto"/>
              <w:right w:val="single" w:sz="4" w:space="0" w:color="000000"/>
            </w:tcBorders>
          </w:tcPr>
          <w:p>
            <w:pPr/>
          </w:p>
        </w:tc>
      </w:tr>
      <w:tr>
        <w:trPr>
          <w:trHeight w:val="240"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pacing w:val="14"/>
                <w:sz w:val="18"/>
                <w:szCs w:val="18"/>
              </w:rPr>
              <w:t>共和国国家版权局颁发软件</w:t>
            </w:r>
          </w:p>
        </w:tc>
        <w:tc>
          <w:tcPr>
            <w:tcW w:w="2552" w:type="dxa"/>
            <w:tcBorders>
              <w:top w:val="nil" w:sz="6" w:space="0" w:color="auto"/>
              <w:left w:val="single" w:sz="4" w:space="0" w:color="000000"/>
              <w:bottom w:val="nil" w:sz="6" w:space="0" w:color="auto"/>
              <w:right w:val="single" w:sz="4" w:space="0" w:color="000000"/>
            </w:tcBorders>
          </w:tcPr>
          <w:p>
            <w:pPr/>
          </w:p>
        </w:tc>
      </w:tr>
      <w:tr>
        <w:trPr>
          <w:trHeight w:val="1200" w:hRule="exact"/>
        </w:trPr>
        <w:tc>
          <w:tcPr>
            <w:tcW w:w="88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90" w:right="0"/>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13</w:t>
            </w:r>
            <w:r>
              <w:rPr>
                <w:rFonts w:ascii="宋体" w:hAnsi="宋体" w:cs="宋体" w:eastAsia="宋体" w:hint="default"/>
                <w:sz w:val="18"/>
                <w:szCs w:val="18"/>
              </w:rPr>
              <w:t>）</w:t>
            </w:r>
            <w:r>
              <w:rPr>
                <w:rFonts w:ascii="宋体" w:hAnsi="宋体" w:cs="宋体" w:eastAsia="宋体" w:hint="default"/>
                <w:sz w:val="18"/>
                <w:szCs w:val="18"/>
              </w:rPr>
              <w:t> </w:t>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4" w:lineRule="auto"/>
              <w:ind w:left="103" w:right="83"/>
              <w:jc w:val="both"/>
              <w:rPr>
                <w:rFonts w:ascii="宋体" w:hAnsi="宋体" w:cs="宋体" w:eastAsia="宋体" w:hint="default"/>
                <w:sz w:val="18"/>
                <w:szCs w:val="18"/>
              </w:rPr>
            </w:pPr>
            <w:r>
              <w:rPr>
                <w:rFonts w:ascii="宋体" w:hAnsi="宋体" w:cs="宋体" w:eastAsia="宋体" w:hint="default"/>
                <w:spacing w:val="12"/>
                <w:sz w:val="18"/>
                <w:szCs w:val="18"/>
              </w:rPr>
              <w:t>基站站址资</w:t>
            </w:r>
            <w:r>
              <w:rPr>
                <w:rFonts w:ascii="宋体" w:hAnsi="宋体" w:cs="宋体" w:eastAsia="宋体" w:hint="default"/>
                <w:spacing w:val="-86"/>
                <w:sz w:val="18"/>
                <w:szCs w:val="18"/>
              </w:rPr>
              <w:t> </w:t>
            </w:r>
            <w:r>
              <w:rPr>
                <w:rFonts w:ascii="宋体" w:hAnsi="宋体" w:cs="宋体" w:eastAsia="宋体" w:hint="default"/>
                <w:spacing w:val="12"/>
                <w:sz w:val="18"/>
                <w:szCs w:val="18"/>
              </w:rPr>
              <w:t>源管理平台</w:t>
            </w:r>
            <w:r>
              <w:rPr>
                <w:rFonts w:ascii="宋体" w:hAnsi="宋体" w:cs="宋体" w:eastAsia="宋体" w:hint="default"/>
                <w:spacing w:val="-86"/>
                <w:sz w:val="18"/>
                <w:szCs w:val="18"/>
              </w:rPr>
              <w:t> </w:t>
            </w:r>
            <w:r>
              <w:rPr>
                <w:rFonts w:ascii="宋体" w:hAnsi="宋体" w:cs="宋体" w:eastAsia="宋体" w:hint="default"/>
                <w:sz w:val="18"/>
                <w:szCs w:val="18"/>
              </w:rPr>
              <w:t>的开发</w:t>
            </w:r>
            <w:r>
              <w:rPr>
                <w:rFonts w:ascii="宋体" w:hAnsi="宋体" w:cs="宋体" w:eastAsia="宋体" w:hint="default"/>
                <w:sz w:val="18"/>
                <w:szCs w:val="18"/>
              </w:rPr>
              <w:t> </w:t>
            </w: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4" w:lineRule="auto"/>
              <w:ind w:left="105" w:right="17"/>
              <w:jc w:val="both"/>
              <w:rPr>
                <w:rFonts w:ascii="宋体" w:hAnsi="宋体" w:cs="宋体" w:eastAsia="宋体" w:hint="default"/>
                <w:sz w:val="18"/>
                <w:szCs w:val="18"/>
              </w:rPr>
            </w:pPr>
            <w:r>
              <w:rPr>
                <w:rFonts w:ascii="宋体" w:hAnsi="宋体" w:cs="宋体" w:eastAsia="宋体" w:hint="default"/>
                <w:spacing w:val="-7"/>
                <w:sz w:val="18"/>
                <w:szCs w:val="18"/>
              </w:rPr>
              <w:t>管理站址资源，为企业站址运</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7"/>
                <w:sz w:val="18"/>
                <w:szCs w:val="18"/>
              </w:rPr>
              <w:t>营进行数据积累，为后期站址</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运营提供大数据分析服务。</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both"/>
              <w:rPr>
                <w:rFonts w:ascii="宋体" w:hAnsi="宋体" w:cs="宋体" w:eastAsia="宋体" w:hint="default"/>
                <w:sz w:val="18"/>
                <w:szCs w:val="18"/>
              </w:rPr>
            </w:pPr>
            <w:r>
              <w:rPr>
                <w:rFonts w:ascii="宋体" w:hAnsi="宋体" w:cs="宋体" w:eastAsia="宋体" w:hint="default"/>
                <w:sz w:val="18"/>
                <w:szCs w:val="18"/>
              </w:rPr>
              <w:t>著作权《长实通信基站站址资</w:t>
            </w:r>
          </w:p>
          <w:p>
            <w:pPr>
              <w:pStyle w:val="TableParagraph"/>
              <w:spacing w:line="244" w:lineRule="auto" w:before="4"/>
              <w:ind w:left="103" w:right="72"/>
              <w:jc w:val="both"/>
              <w:rPr>
                <w:rFonts w:ascii="宋体" w:hAnsi="宋体" w:cs="宋体" w:eastAsia="宋体" w:hint="default"/>
                <w:sz w:val="18"/>
                <w:szCs w:val="18"/>
              </w:rPr>
            </w:pPr>
            <w:r>
              <w:rPr>
                <w:rFonts w:ascii="宋体" w:hAnsi="宋体" w:cs="宋体" w:eastAsia="宋体" w:hint="default"/>
                <w:spacing w:val="22"/>
                <w:sz w:val="18"/>
                <w:szCs w:val="18"/>
              </w:rPr>
              <w:t>源管理平台 </w:t>
            </w:r>
            <w:r>
              <w:rPr>
                <w:rFonts w:ascii="宋体" w:hAnsi="宋体" w:cs="宋体" w:eastAsia="宋体" w:hint="default"/>
                <w:sz w:val="18"/>
                <w:szCs w:val="18"/>
              </w:rPr>
              <w:t>V1.0</w:t>
            </w:r>
            <w:r>
              <w:rPr>
                <w:rFonts w:ascii="宋体" w:hAnsi="宋体" w:cs="宋体" w:eastAsia="宋体" w:hint="default"/>
                <w:spacing w:val="-49"/>
                <w:sz w:val="18"/>
                <w:szCs w:val="18"/>
              </w:rPr>
              <w:t> </w:t>
            </w:r>
            <w:r>
              <w:rPr>
                <w:rFonts w:ascii="宋体" w:hAnsi="宋体" w:cs="宋体" w:eastAsia="宋体" w:hint="default"/>
                <w:spacing w:val="21"/>
                <w:sz w:val="18"/>
                <w:szCs w:val="18"/>
              </w:rPr>
              <w:t>》版权号</w:t>
            </w:r>
            <w:r>
              <w:rPr>
                <w:rFonts w:ascii="宋体" w:hAnsi="宋体" w:cs="宋体" w:eastAsia="宋体" w:hint="default"/>
                <w:spacing w:val="-62"/>
                <w:sz w:val="18"/>
                <w:szCs w:val="18"/>
              </w:rPr>
              <w:t> </w:t>
            </w:r>
            <w:r>
              <w:rPr>
                <w:rFonts w:ascii="宋体" w:hAnsi="宋体" w:cs="宋体" w:eastAsia="宋体" w:hint="default"/>
                <w:spacing w:val="5"/>
                <w:sz w:val="18"/>
                <w:szCs w:val="18"/>
              </w:rPr>
              <w:t>2019SR0305104</w:t>
            </w:r>
            <w:r>
              <w:rPr>
                <w:rFonts w:ascii="宋体" w:hAnsi="宋体" w:cs="宋体" w:eastAsia="宋体" w:hint="default"/>
                <w:spacing w:val="5"/>
                <w:sz w:val="18"/>
                <w:szCs w:val="18"/>
              </w:rPr>
              <w:t>。平台能够进</w:t>
            </w:r>
            <w:r>
              <w:rPr>
                <w:rFonts w:ascii="宋体" w:hAnsi="宋体" w:cs="宋体" w:eastAsia="宋体" w:hint="default"/>
                <w:spacing w:val="14"/>
                <w:sz w:val="18"/>
                <w:szCs w:val="18"/>
              </w:rPr>
              <w:t> </w:t>
            </w:r>
            <w:r>
              <w:rPr>
                <w:rFonts w:ascii="宋体" w:hAnsi="宋体" w:cs="宋体" w:eastAsia="宋体" w:hint="default"/>
                <w:sz w:val="18"/>
                <w:szCs w:val="18"/>
              </w:rPr>
              <w:t>行站址资源的数据采集，形成</w:t>
            </w:r>
            <w:r>
              <w:rPr>
                <w:rFonts w:ascii="宋体" w:hAnsi="宋体" w:cs="宋体" w:eastAsia="宋体" w:hint="default"/>
                <w:sz w:val="18"/>
                <w:szCs w:val="18"/>
              </w:rPr>
              <w:t> </w:t>
            </w:r>
            <w:r>
              <w:rPr>
                <w:rFonts w:ascii="宋体" w:hAnsi="宋体" w:cs="宋体" w:eastAsia="宋体" w:hint="default"/>
                <w:spacing w:val="14"/>
                <w:sz w:val="18"/>
                <w:szCs w:val="18"/>
              </w:rPr>
              <w:t>站址资源池实现基站资源共</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4" w:lineRule="auto" w:before="94"/>
              <w:ind w:left="105" w:right="94"/>
              <w:jc w:val="both"/>
              <w:rPr>
                <w:rFonts w:ascii="宋体" w:hAnsi="宋体" w:cs="宋体" w:eastAsia="宋体" w:hint="default"/>
                <w:sz w:val="18"/>
                <w:szCs w:val="18"/>
              </w:rPr>
            </w:pPr>
            <w:r>
              <w:rPr>
                <w:rFonts w:ascii="宋体" w:hAnsi="宋体" w:cs="宋体" w:eastAsia="宋体" w:hint="default"/>
                <w:sz w:val="18"/>
                <w:szCs w:val="18"/>
              </w:rPr>
              <w:t>通过站址资源池，针对客户需 求进行站址选址，提供选址、 建站的有偿服务，促进了企业 业务发展。</w:t>
            </w:r>
            <w:r>
              <w:rPr>
                <w:rFonts w:ascii="宋体" w:hAnsi="宋体" w:cs="宋体" w:eastAsia="宋体" w:hint="default"/>
                <w:sz w:val="18"/>
                <w:szCs w:val="18"/>
              </w:rPr>
              <w:t> </w:t>
            </w:r>
          </w:p>
        </w:tc>
      </w:tr>
      <w:tr>
        <w:trPr>
          <w:trHeight w:val="240"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享，为社会的基站规划和建设</w:t>
            </w:r>
          </w:p>
        </w:tc>
        <w:tc>
          <w:tcPr>
            <w:tcW w:w="2552" w:type="dxa"/>
            <w:tcBorders>
              <w:top w:val="nil" w:sz="6" w:space="0" w:color="auto"/>
              <w:left w:val="single" w:sz="4" w:space="0" w:color="000000"/>
              <w:bottom w:val="nil" w:sz="6" w:space="0" w:color="auto"/>
              <w:right w:val="single" w:sz="4" w:space="0" w:color="000000"/>
            </w:tcBorders>
          </w:tcPr>
          <w:p>
            <w:pPr/>
          </w:p>
        </w:tc>
      </w:tr>
      <w:tr>
        <w:trPr>
          <w:trHeight w:val="237" w:hRule="exact"/>
        </w:trPr>
        <w:tc>
          <w:tcPr>
            <w:tcW w:w="881" w:type="dxa"/>
            <w:tcBorders>
              <w:top w:val="nil" w:sz="6" w:space="0" w:color="auto"/>
              <w:left w:val="single" w:sz="4" w:space="0" w:color="000000"/>
              <w:bottom w:val="single" w:sz="4" w:space="0" w:color="000000"/>
              <w:right w:val="single" w:sz="4" w:space="0" w:color="000000"/>
            </w:tcBorders>
          </w:tcPr>
          <w:p>
            <w:pPr/>
          </w:p>
        </w:tc>
        <w:tc>
          <w:tcPr>
            <w:tcW w:w="1181" w:type="dxa"/>
            <w:tcBorders>
              <w:top w:val="nil" w:sz="6" w:space="0" w:color="auto"/>
              <w:left w:val="single" w:sz="4" w:space="0" w:color="000000"/>
              <w:bottom w:val="single" w:sz="4" w:space="0" w:color="000000"/>
              <w:right w:val="single" w:sz="4" w:space="0" w:color="000000"/>
            </w:tcBorders>
          </w:tcPr>
          <w:p>
            <w:pPr/>
          </w:p>
        </w:tc>
        <w:tc>
          <w:tcPr>
            <w:tcW w:w="2475" w:type="dxa"/>
            <w:tcBorders>
              <w:top w:val="nil" w:sz="6" w:space="0" w:color="auto"/>
              <w:left w:val="single" w:sz="4" w:space="0" w:color="000000"/>
              <w:bottom w:val="single" w:sz="4" w:space="0" w:color="000000"/>
              <w:right w:val="single" w:sz="4" w:space="0" w:color="000000"/>
            </w:tcBorders>
          </w:tcPr>
          <w:p>
            <w:pPr/>
          </w:p>
        </w:tc>
        <w:tc>
          <w:tcPr>
            <w:tcW w:w="2552" w:type="dxa"/>
            <w:tcBorders>
              <w:top w:val="nil" w:sz="6" w:space="0" w:color="auto"/>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提升效率，降低运营成本。</w:t>
            </w:r>
            <w:r>
              <w:rPr>
                <w:rFonts w:ascii="宋体" w:hAnsi="宋体" w:cs="宋体" w:eastAsia="宋体" w:hint="default"/>
                <w:sz w:val="18"/>
                <w:szCs w:val="18"/>
              </w:rPr>
              <w:t> </w:t>
            </w:r>
          </w:p>
        </w:tc>
        <w:tc>
          <w:tcPr>
            <w:tcW w:w="2552" w:type="dxa"/>
            <w:tcBorders>
              <w:top w:val="nil" w:sz="6" w:space="0" w:color="auto"/>
              <w:left w:val="single" w:sz="4" w:space="0" w:color="000000"/>
              <w:bottom w:val="single" w:sz="4" w:space="0" w:color="000000"/>
              <w:right w:val="single" w:sz="4" w:space="0" w:color="000000"/>
            </w:tcBorders>
          </w:tcPr>
          <w:p>
            <w:pPr/>
          </w:p>
        </w:tc>
      </w:tr>
      <w:tr>
        <w:trPr>
          <w:trHeight w:val="252" w:hRule="exact"/>
        </w:trPr>
        <w:tc>
          <w:tcPr>
            <w:tcW w:w="881" w:type="dxa"/>
            <w:tcBorders>
              <w:top w:val="single" w:sz="4" w:space="0" w:color="000000"/>
              <w:left w:val="single" w:sz="4" w:space="0" w:color="000000"/>
              <w:bottom w:val="nil" w:sz="6" w:space="0" w:color="auto"/>
              <w:right w:val="single" w:sz="4" w:space="0" w:color="000000"/>
            </w:tcBorders>
          </w:tcPr>
          <w:p>
            <w:pPr/>
          </w:p>
        </w:tc>
        <w:tc>
          <w:tcPr>
            <w:tcW w:w="1181" w:type="dxa"/>
            <w:tcBorders>
              <w:top w:val="single" w:sz="4" w:space="0" w:color="000000"/>
              <w:left w:val="single" w:sz="4" w:space="0" w:color="000000"/>
              <w:bottom w:val="nil" w:sz="6" w:space="0" w:color="auto"/>
              <w:right w:val="single" w:sz="4" w:space="0" w:color="000000"/>
            </w:tcBorders>
          </w:tcPr>
          <w:p>
            <w:pPr/>
          </w:p>
        </w:tc>
        <w:tc>
          <w:tcPr>
            <w:tcW w:w="2475" w:type="dxa"/>
            <w:tcBorders>
              <w:top w:val="single" w:sz="4" w:space="0" w:color="000000"/>
              <w:left w:val="single" w:sz="4" w:space="0" w:color="000000"/>
              <w:bottom w:val="nil" w:sz="6" w:space="0" w:color="auto"/>
              <w:right w:val="single" w:sz="4" w:space="0" w:color="000000"/>
            </w:tcBorders>
          </w:tcPr>
          <w:p>
            <w:pPr/>
          </w:p>
        </w:tc>
        <w:tc>
          <w:tcPr>
            <w:tcW w:w="2552" w:type="dxa"/>
            <w:tcBorders>
              <w:top w:val="single" w:sz="4" w:space="0" w:color="000000"/>
              <w:left w:val="single" w:sz="4" w:space="0" w:color="000000"/>
              <w:bottom w:val="nil" w:sz="6" w:space="0" w:color="auto"/>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已研发完成，已取得中华人民</w:t>
            </w:r>
          </w:p>
        </w:tc>
        <w:tc>
          <w:tcPr>
            <w:tcW w:w="2552" w:type="dxa"/>
            <w:tcBorders>
              <w:top w:val="single" w:sz="4" w:space="0" w:color="000000"/>
              <w:left w:val="single" w:sz="4" w:space="0" w:color="000000"/>
              <w:bottom w:val="nil" w:sz="6" w:space="0" w:color="auto"/>
              <w:right w:val="single" w:sz="4" w:space="0" w:color="000000"/>
            </w:tcBorders>
          </w:tcPr>
          <w:p>
            <w:pPr/>
          </w:p>
        </w:tc>
      </w:tr>
      <w:tr>
        <w:trPr>
          <w:trHeight w:val="240"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pacing w:val="14"/>
                <w:sz w:val="18"/>
                <w:szCs w:val="18"/>
              </w:rPr>
              <w:t>共和国国家版权局颁发软件</w:t>
            </w:r>
          </w:p>
        </w:tc>
        <w:tc>
          <w:tcPr>
            <w:tcW w:w="2552" w:type="dxa"/>
            <w:tcBorders>
              <w:top w:val="nil" w:sz="6" w:space="0" w:color="auto"/>
              <w:left w:val="single" w:sz="4" w:space="0" w:color="000000"/>
              <w:bottom w:val="nil" w:sz="6" w:space="0" w:color="auto"/>
              <w:right w:val="single" w:sz="4" w:space="0" w:color="000000"/>
            </w:tcBorders>
          </w:tcPr>
          <w:p>
            <w:pPr/>
          </w:p>
        </w:tc>
      </w:tr>
      <w:tr>
        <w:trPr>
          <w:trHeight w:val="240"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实现代维业务量的智能分割，</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著作权《长实通信智能代维管</w:t>
            </w:r>
          </w:p>
        </w:tc>
        <w:tc>
          <w:tcPr>
            <w:tcW w:w="2552" w:type="dxa"/>
            <w:tcBorders>
              <w:top w:val="nil" w:sz="6" w:space="0" w:color="auto"/>
              <w:left w:val="single" w:sz="4" w:space="0" w:color="000000"/>
              <w:bottom w:val="nil" w:sz="6" w:space="0" w:color="auto"/>
              <w:right w:val="single" w:sz="4" w:space="0" w:color="000000"/>
            </w:tcBorders>
          </w:tcPr>
          <w:p>
            <w:pPr/>
          </w:p>
        </w:tc>
      </w:tr>
      <w:tr>
        <w:trPr>
          <w:trHeight w:val="240"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pacing w:val="12"/>
                <w:sz w:val="18"/>
                <w:szCs w:val="18"/>
              </w:rPr>
              <w:t>通信网络智</w:t>
            </w:r>
            <w:r>
              <w:rPr>
                <w:rFonts w:ascii="宋体" w:hAnsi="宋体" w:cs="宋体" w:eastAsia="宋体" w:hint="default"/>
                <w:spacing w:val="-74"/>
                <w:sz w:val="18"/>
                <w:szCs w:val="18"/>
              </w:rPr>
              <w:t> </w:t>
            </w:r>
            <w:r>
              <w:rPr>
                <w:rFonts w:ascii="宋体" w:hAnsi="宋体" w:cs="宋体" w:eastAsia="宋体" w:hint="default"/>
                <w:sz w:val="18"/>
                <w:szCs w:val="18"/>
              </w:rPr>
            </w: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pacing w:val="-7"/>
                <w:sz w:val="18"/>
                <w:szCs w:val="18"/>
              </w:rPr>
              <w:t>并对油机、车辆、人员等进行</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pacing w:val="88"/>
                <w:sz w:val="18"/>
                <w:szCs w:val="18"/>
              </w:rPr>
              <w:t>理软</w:t>
            </w:r>
            <w:r>
              <w:rPr>
                <w:rFonts w:ascii="宋体" w:hAnsi="宋体" w:cs="宋体" w:eastAsia="宋体" w:hint="default"/>
                <w:sz w:val="18"/>
                <w:szCs w:val="18"/>
              </w:rPr>
              <w:t>件  </w:t>
            </w:r>
            <w:r>
              <w:rPr>
                <w:rFonts w:ascii="宋体" w:hAnsi="宋体" w:cs="宋体" w:eastAsia="宋体" w:hint="default"/>
                <w:spacing w:val="1"/>
                <w:sz w:val="18"/>
                <w:szCs w:val="18"/>
              </w:rPr>
              <w:t>V1.</w:t>
            </w:r>
            <w:r>
              <w:rPr>
                <w:rFonts w:ascii="宋体" w:hAnsi="宋体" w:cs="宋体" w:eastAsia="宋体" w:hint="default"/>
                <w:sz w:val="18"/>
                <w:szCs w:val="18"/>
              </w:rPr>
              <w:t>0 </w:t>
            </w:r>
            <w:r>
              <w:rPr>
                <w:rFonts w:ascii="宋体" w:hAnsi="宋体" w:cs="宋体" w:eastAsia="宋体" w:hint="default"/>
                <w:spacing w:val="88"/>
                <w:sz w:val="18"/>
                <w:szCs w:val="18"/>
              </w:rPr>
              <w:t>》版权</w:t>
            </w:r>
            <w:r>
              <w:rPr>
                <w:rFonts w:ascii="宋体" w:hAnsi="宋体" w:cs="宋体" w:eastAsia="宋体" w:hint="default"/>
                <w:sz w:val="18"/>
                <w:szCs w:val="18"/>
              </w:rPr>
              <w:t>号</w:t>
            </w:r>
            <w:r>
              <w:rPr>
                <w:rFonts w:ascii="宋体" w:hAnsi="宋体" w:cs="宋体" w:eastAsia="宋体" w:hint="default"/>
                <w:spacing w:val="-2"/>
                <w:sz w:val="18"/>
                <w:szCs w:val="18"/>
              </w:rPr>
              <w:t> </w:t>
            </w:r>
            <w:r>
              <w:rPr>
                <w:rFonts w:ascii="宋体" w:hAnsi="宋体" w:cs="宋体" w:eastAsia="宋体" w:hint="default"/>
                <w:sz w:val="18"/>
                <w:szCs w:val="18"/>
              </w:rPr>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提高资源利用率、工作效率，</w:t>
            </w:r>
          </w:p>
        </w:tc>
      </w:tr>
      <w:tr>
        <w:trPr>
          <w:trHeight w:val="240" w:hRule="exact"/>
        </w:trPr>
        <w:tc>
          <w:tcPr>
            <w:tcW w:w="881"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88" w:right="0"/>
              <w:jc w:val="center"/>
              <w:rPr>
                <w:rFonts w:ascii="宋体" w:hAnsi="宋体" w:cs="宋体" w:eastAsia="宋体" w:hint="default"/>
                <w:sz w:val="18"/>
                <w:szCs w:val="18"/>
              </w:rPr>
            </w:pPr>
            <w:r>
              <w:rPr>
                <w:rFonts w:ascii="宋体"/>
                <w:sz w:val="18"/>
              </w:rPr>
              <w:t>(14) </w:t>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pacing w:val="12"/>
                <w:sz w:val="18"/>
                <w:szCs w:val="18"/>
              </w:rPr>
              <w:t>能代维平台</w:t>
            </w:r>
            <w:r>
              <w:rPr>
                <w:rFonts w:ascii="宋体" w:hAnsi="宋体" w:cs="宋体" w:eastAsia="宋体" w:hint="default"/>
                <w:spacing w:val="-74"/>
                <w:sz w:val="18"/>
                <w:szCs w:val="18"/>
              </w:rPr>
              <w:t> </w:t>
            </w:r>
            <w:r>
              <w:rPr>
                <w:rFonts w:ascii="宋体" w:hAnsi="宋体" w:cs="宋体" w:eastAsia="宋体" w:hint="default"/>
                <w:sz w:val="18"/>
                <w:szCs w:val="18"/>
              </w:rPr>
            </w: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智能调度</w:t>
            </w:r>
            <w:r>
              <w:rPr>
                <w:rFonts w:ascii="宋体" w:hAnsi="宋体" w:cs="宋体" w:eastAsia="宋体" w:hint="default"/>
                <w:spacing w:val="-82"/>
                <w:sz w:val="18"/>
                <w:szCs w:val="18"/>
              </w:rPr>
              <w:t>。</w:t>
            </w:r>
            <w:r>
              <w:rPr>
                <w:rFonts w:ascii="宋体" w:hAnsi="宋体" w:cs="宋体" w:eastAsia="宋体" w:hint="default"/>
                <w:sz w:val="18"/>
                <w:szCs w:val="18"/>
              </w:rPr>
              <w:t>能够生成工单派遣</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pacing w:val="5"/>
                <w:sz w:val="18"/>
                <w:szCs w:val="18"/>
              </w:rPr>
              <w:t>2019SR0305111</w:t>
            </w:r>
            <w:r>
              <w:rPr>
                <w:rFonts w:ascii="宋体" w:hAnsi="宋体" w:cs="宋体" w:eastAsia="宋体" w:hint="default"/>
                <w:spacing w:val="5"/>
                <w:sz w:val="18"/>
                <w:szCs w:val="18"/>
              </w:rPr>
              <w:t>。智能代维平</w:t>
            </w:r>
            <w:r>
              <w:rPr>
                <w:rFonts w:ascii="宋体" w:hAnsi="宋体" w:cs="宋体" w:eastAsia="宋体" w:hint="default"/>
                <w:sz w:val="18"/>
                <w:szCs w:val="18"/>
              </w:rPr>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有效的提升服务质量，促进企</w:t>
            </w:r>
          </w:p>
        </w:tc>
      </w:tr>
      <w:tr>
        <w:trPr>
          <w:trHeight w:val="240"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的开发</w:t>
            </w:r>
            <w:r>
              <w:rPr>
                <w:rFonts w:ascii="宋体" w:hAnsi="宋体" w:cs="宋体" w:eastAsia="宋体" w:hint="default"/>
                <w:sz w:val="18"/>
                <w:szCs w:val="18"/>
              </w:rPr>
              <w:t> </w:t>
            </w: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给员工</w:t>
            </w:r>
            <w:r>
              <w:rPr>
                <w:rFonts w:ascii="宋体" w:hAnsi="宋体" w:cs="宋体" w:eastAsia="宋体" w:hint="default"/>
                <w:spacing w:val="-82"/>
                <w:sz w:val="18"/>
                <w:szCs w:val="18"/>
              </w:rPr>
              <w:t>，</w:t>
            </w:r>
            <w:r>
              <w:rPr>
                <w:rFonts w:ascii="宋体" w:hAnsi="宋体" w:cs="宋体" w:eastAsia="宋体" w:hint="default"/>
                <w:sz w:val="18"/>
                <w:szCs w:val="18"/>
              </w:rPr>
              <w:t>并对执行结果进行评</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pacing w:val="14"/>
                <w:sz w:val="18"/>
                <w:szCs w:val="18"/>
              </w:rPr>
              <w:t>台对一线维护工作进行智能</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业的降本增效。</w:t>
            </w:r>
            <w:r>
              <w:rPr>
                <w:rFonts w:ascii="宋体" w:hAnsi="宋体" w:cs="宋体" w:eastAsia="宋体" w:hint="default"/>
                <w:sz w:val="18"/>
                <w:szCs w:val="18"/>
              </w:rPr>
              <w:t> </w:t>
            </w:r>
          </w:p>
        </w:tc>
      </w:tr>
      <w:tr>
        <w:trPr>
          <w:trHeight w:val="240"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价。</w:t>
            </w:r>
            <w:r>
              <w:rPr>
                <w:rFonts w:ascii="宋体" w:hAnsi="宋体" w:cs="宋体" w:eastAsia="宋体" w:hint="default"/>
                <w:sz w:val="18"/>
                <w:szCs w:val="18"/>
              </w:rPr>
              <w:t> </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管理，工作数据化，从而提升</w:t>
            </w:r>
          </w:p>
        </w:tc>
        <w:tc>
          <w:tcPr>
            <w:tcW w:w="2552" w:type="dxa"/>
            <w:tcBorders>
              <w:top w:val="nil" w:sz="6" w:space="0" w:color="auto"/>
              <w:left w:val="single" w:sz="4" w:space="0" w:color="000000"/>
              <w:bottom w:val="nil" w:sz="6" w:space="0" w:color="auto"/>
              <w:right w:val="single" w:sz="4" w:space="0" w:color="000000"/>
            </w:tcBorders>
          </w:tcPr>
          <w:p>
            <w:pPr/>
          </w:p>
        </w:tc>
      </w:tr>
      <w:tr>
        <w:trPr>
          <w:trHeight w:val="240"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管理效率、提高资源利用率，</w:t>
            </w:r>
          </w:p>
        </w:tc>
        <w:tc>
          <w:tcPr>
            <w:tcW w:w="2552" w:type="dxa"/>
            <w:tcBorders>
              <w:top w:val="nil" w:sz="6" w:space="0" w:color="auto"/>
              <w:left w:val="single" w:sz="4" w:space="0" w:color="000000"/>
              <w:bottom w:val="nil" w:sz="6" w:space="0" w:color="auto"/>
              <w:right w:val="single" w:sz="4" w:space="0" w:color="000000"/>
            </w:tcBorders>
          </w:tcPr>
          <w:p>
            <w:pPr/>
          </w:p>
        </w:tc>
      </w:tr>
      <w:tr>
        <w:trPr>
          <w:trHeight w:val="237" w:hRule="exact"/>
        </w:trPr>
        <w:tc>
          <w:tcPr>
            <w:tcW w:w="881" w:type="dxa"/>
            <w:tcBorders>
              <w:top w:val="nil" w:sz="6" w:space="0" w:color="auto"/>
              <w:left w:val="single" w:sz="4" w:space="0" w:color="000000"/>
              <w:bottom w:val="single" w:sz="4" w:space="0" w:color="000000"/>
              <w:right w:val="single" w:sz="4" w:space="0" w:color="000000"/>
            </w:tcBorders>
          </w:tcPr>
          <w:p>
            <w:pPr/>
          </w:p>
        </w:tc>
        <w:tc>
          <w:tcPr>
            <w:tcW w:w="1181" w:type="dxa"/>
            <w:tcBorders>
              <w:top w:val="nil" w:sz="6" w:space="0" w:color="auto"/>
              <w:left w:val="single" w:sz="4" w:space="0" w:color="000000"/>
              <w:bottom w:val="single" w:sz="4" w:space="0" w:color="000000"/>
              <w:right w:val="single" w:sz="4" w:space="0" w:color="000000"/>
            </w:tcBorders>
          </w:tcPr>
          <w:p>
            <w:pPr/>
          </w:p>
        </w:tc>
        <w:tc>
          <w:tcPr>
            <w:tcW w:w="2475" w:type="dxa"/>
            <w:tcBorders>
              <w:top w:val="nil" w:sz="6" w:space="0" w:color="auto"/>
              <w:left w:val="single" w:sz="4" w:space="0" w:color="000000"/>
              <w:bottom w:val="single" w:sz="4" w:space="0" w:color="000000"/>
              <w:right w:val="single" w:sz="4" w:space="0" w:color="000000"/>
            </w:tcBorders>
          </w:tcPr>
          <w:p>
            <w:pPr/>
          </w:p>
        </w:tc>
        <w:tc>
          <w:tcPr>
            <w:tcW w:w="2552" w:type="dxa"/>
            <w:tcBorders>
              <w:top w:val="nil" w:sz="6" w:space="0" w:color="auto"/>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优化地区资源配置。</w:t>
            </w:r>
            <w:r>
              <w:rPr>
                <w:rFonts w:ascii="宋体" w:hAnsi="宋体" w:cs="宋体" w:eastAsia="宋体" w:hint="default"/>
                <w:sz w:val="18"/>
                <w:szCs w:val="18"/>
              </w:rPr>
              <w:t> </w:t>
            </w:r>
          </w:p>
        </w:tc>
        <w:tc>
          <w:tcPr>
            <w:tcW w:w="2552" w:type="dxa"/>
            <w:tcBorders>
              <w:top w:val="nil" w:sz="6" w:space="0" w:color="auto"/>
              <w:left w:val="single" w:sz="4" w:space="0" w:color="000000"/>
              <w:bottom w:val="single" w:sz="4" w:space="0" w:color="000000"/>
              <w:right w:val="single" w:sz="4" w:space="0" w:color="000000"/>
            </w:tcBorders>
          </w:tcPr>
          <w:p>
            <w:pPr/>
          </w:p>
        </w:tc>
      </w:tr>
      <w:tr>
        <w:trPr>
          <w:trHeight w:val="1210" w:hRule="exact"/>
        </w:trPr>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0" w:lineRule="auto"/>
              <w:ind w:left="88" w:right="0"/>
              <w:jc w:val="center"/>
              <w:rPr>
                <w:rFonts w:ascii="宋体" w:hAnsi="宋体" w:cs="宋体" w:eastAsia="宋体" w:hint="default"/>
                <w:sz w:val="18"/>
                <w:szCs w:val="18"/>
              </w:rPr>
            </w:pPr>
            <w:r>
              <w:rPr>
                <w:rFonts w:ascii="宋体"/>
                <w:sz w:val="18"/>
              </w:rPr>
              <w:t>(15) </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before="101"/>
              <w:ind w:left="103" w:right="83"/>
              <w:jc w:val="both"/>
              <w:rPr>
                <w:rFonts w:ascii="宋体" w:hAnsi="宋体" w:cs="宋体" w:eastAsia="宋体" w:hint="default"/>
                <w:sz w:val="18"/>
                <w:szCs w:val="18"/>
              </w:rPr>
            </w:pPr>
            <w:r>
              <w:rPr>
                <w:rFonts w:ascii="宋体" w:hAnsi="宋体" w:cs="宋体" w:eastAsia="宋体" w:hint="default"/>
                <w:sz w:val="18"/>
                <w:szCs w:val="18"/>
              </w:rPr>
              <w:t>5G</w:t>
            </w:r>
            <w:r>
              <w:rPr>
                <w:rFonts w:ascii="宋体" w:hAnsi="宋体" w:cs="宋体" w:eastAsia="宋体" w:hint="default"/>
                <w:spacing w:val="-22"/>
                <w:sz w:val="18"/>
                <w:szCs w:val="18"/>
              </w:rPr>
              <w:t> </w:t>
            </w:r>
            <w:r>
              <w:rPr>
                <w:rFonts w:ascii="宋体" w:hAnsi="宋体" w:cs="宋体" w:eastAsia="宋体" w:hint="default"/>
                <w:sz w:val="18"/>
                <w:szCs w:val="18"/>
              </w:rPr>
              <w:t>智能网关 及非</w:t>
            </w:r>
            <w:r>
              <w:rPr>
                <w:rFonts w:ascii="宋体" w:hAnsi="宋体" w:cs="宋体" w:eastAsia="宋体" w:hint="default"/>
                <w:spacing w:val="-57"/>
                <w:sz w:val="18"/>
                <w:szCs w:val="18"/>
              </w:rPr>
              <w:t> </w:t>
            </w:r>
            <w:r>
              <w:rPr>
                <w:rFonts w:ascii="宋体" w:hAnsi="宋体" w:cs="宋体" w:eastAsia="宋体" w:hint="default"/>
                <w:sz w:val="18"/>
                <w:szCs w:val="18"/>
              </w:rPr>
              <w:t>5G</w:t>
            </w:r>
            <w:r>
              <w:rPr>
                <w:rFonts w:ascii="宋体" w:hAnsi="宋体" w:cs="宋体" w:eastAsia="宋体" w:hint="default"/>
                <w:spacing w:val="-56"/>
                <w:sz w:val="18"/>
                <w:szCs w:val="18"/>
              </w:rPr>
              <w:t> </w:t>
            </w:r>
            <w:r>
              <w:rPr>
                <w:rFonts w:ascii="宋体" w:hAnsi="宋体" w:cs="宋体" w:eastAsia="宋体" w:hint="default"/>
                <w:sz w:val="18"/>
                <w:szCs w:val="18"/>
              </w:rPr>
              <w:t>设备 </w:t>
            </w:r>
            <w:r>
              <w:rPr>
                <w:rFonts w:ascii="宋体" w:hAnsi="宋体" w:cs="宋体" w:eastAsia="宋体" w:hint="default"/>
                <w:spacing w:val="12"/>
                <w:sz w:val="18"/>
                <w:szCs w:val="18"/>
              </w:rPr>
              <w:t>接入端口的</w:t>
            </w:r>
            <w:r>
              <w:rPr>
                <w:rFonts w:ascii="宋体" w:hAnsi="宋体" w:cs="宋体" w:eastAsia="宋体" w:hint="default"/>
                <w:spacing w:val="-86"/>
                <w:sz w:val="18"/>
                <w:szCs w:val="18"/>
              </w:rPr>
              <w:t> </w:t>
            </w:r>
            <w:r>
              <w:rPr>
                <w:rFonts w:ascii="宋体" w:hAnsi="宋体" w:cs="宋体" w:eastAsia="宋体" w:hint="default"/>
                <w:sz w:val="18"/>
                <w:szCs w:val="18"/>
              </w:rPr>
              <w:t>研发</w:t>
            </w:r>
            <w:r>
              <w:rPr>
                <w:rFonts w:ascii="宋体" w:hAnsi="宋体" w:cs="宋体" w:eastAsia="宋体" w:hint="default"/>
                <w:sz w:val="18"/>
                <w:szCs w:val="18"/>
              </w:rPr>
              <w:t> </w:t>
            </w:r>
          </w:p>
        </w:tc>
        <w:tc>
          <w:tcPr>
            <w:tcW w:w="2475"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before="101"/>
              <w:ind w:left="105" w:right="98"/>
              <w:jc w:val="both"/>
              <w:rPr>
                <w:rFonts w:ascii="宋体" w:hAnsi="宋体" w:cs="宋体" w:eastAsia="宋体" w:hint="default"/>
                <w:sz w:val="18"/>
                <w:szCs w:val="18"/>
              </w:rPr>
            </w:pPr>
            <w:r>
              <w:rPr>
                <w:rFonts w:ascii="宋体" w:hAnsi="宋体" w:cs="宋体" w:eastAsia="宋体" w:hint="default"/>
                <w:sz w:val="18"/>
                <w:szCs w:val="18"/>
              </w:rPr>
              <w:t>研发 </w:t>
            </w:r>
            <w:r>
              <w:rPr>
                <w:rFonts w:ascii="宋体" w:hAnsi="宋体" w:cs="宋体" w:eastAsia="宋体" w:hint="default"/>
                <w:sz w:val="18"/>
                <w:szCs w:val="18"/>
              </w:rPr>
              <w:t>5G </w:t>
            </w:r>
            <w:r>
              <w:rPr>
                <w:rFonts w:ascii="宋体" w:hAnsi="宋体" w:cs="宋体" w:eastAsia="宋体" w:hint="default"/>
                <w:sz w:val="18"/>
                <w:szCs w:val="18"/>
              </w:rPr>
              <w:t>网关设备，实现</w:t>
            </w:r>
            <w:r>
              <w:rPr>
                <w:rFonts w:ascii="宋体" w:hAnsi="宋体" w:cs="宋体" w:eastAsia="宋体" w:hint="default"/>
                <w:spacing w:val="7"/>
                <w:sz w:val="18"/>
                <w:szCs w:val="18"/>
              </w:rPr>
              <w:t> </w:t>
            </w:r>
            <w:r>
              <w:rPr>
                <w:rFonts w:ascii="宋体" w:hAnsi="宋体" w:cs="宋体" w:eastAsia="宋体" w:hint="default"/>
                <w:sz w:val="18"/>
                <w:szCs w:val="18"/>
              </w:rPr>
              <w:t>5G</w:t>
            </w:r>
            <w:r>
              <w:rPr>
                <w:rFonts w:ascii="宋体" w:hAnsi="宋体" w:cs="宋体" w:eastAsia="宋体" w:hint="default"/>
                <w:spacing w:val="1"/>
                <w:sz w:val="18"/>
                <w:szCs w:val="18"/>
              </w:rPr>
              <w:t> </w:t>
            </w:r>
            <w:r>
              <w:rPr>
                <w:rFonts w:ascii="宋体" w:hAnsi="宋体" w:cs="宋体" w:eastAsia="宋体" w:hint="default"/>
                <w:spacing w:val="7"/>
                <w:sz w:val="18"/>
                <w:szCs w:val="18"/>
              </w:rPr>
              <w:t>终端设备以及安装有接入端</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口的非</w:t>
            </w:r>
            <w:r>
              <w:rPr>
                <w:rFonts w:ascii="宋体" w:hAnsi="宋体" w:cs="宋体" w:eastAsia="宋体" w:hint="default"/>
                <w:spacing w:val="-42"/>
                <w:sz w:val="18"/>
                <w:szCs w:val="18"/>
              </w:rPr>
              <w:t> </w:t>
            </w:r>
            <w:r>
              <w:rPr>
                <w:rFonts w:ascii="宋体" w:hAnsi="宋体" w:cs="宋体" w:eastAsia="宋体" w:hint="default"/>
                <w:sz w:val="18"/>
                <w:szCs w:val="18"/>
              </w:rPr>
              <w:t>5G</w:t>
            </w:r>
            <w:r>
              <w:rPr>
                <w:rFonts w:ascii="宋体" w:hAnsi="宋体" w:cs="宋体" w:eastAsia="宋体" w:hint="default"/>
                <w:spacing w:val="-41"/>
                <w:sz w:val="18"/>
                <w:szCs w:val="18"/>
              </w:rPr>
              <w:t> </w:t>
            </w:r>
            <w:r>
              <w:rPr>
                <w:rFonts w:ascii="宋体" w:hAnsi="宋体" w:cs="宋体" w:eastAsia="宋体" w:hint="default"/>
                <w:sz w:val="18"/>
                <w:szCs w:val="18"/>
              </w:rPr>
              <w:t>终端设备的智能控 制。</w:t>
            </w:r>
            <w:r>
              <w:rPr>
                <w:rFonts w:ascii="宋体" w:hAnsi="宋体" w:cs="宋体" w:eastAsia="宋体" w:hint="default"/>
                <w:sz w:val="18"/>
                <w:szCs w:val="18"/>
              </w:rPr>
              <w:t> </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17" w:lineRule="exact"/>
              <w:ind w:left="103" w:right="0"/>
              <w:jc w:val="both"/>
              <w:rPr>
                <w:rFonts w:ascii="宋体" w:hAnsi="宋体" w:cs="宋体" w:eastAsia="宋体" w:hint="default"/>
                <w:sz w:val="18"/>
                <w:szCs w:val="18"/>
              </w:rPr>
            </w:pPr>
            <w:r>
              <w:rPr>
                <w:rFonts w:ascii="宋体" w:hAnsi="宋体" w:cs="宋体" w:eastAsia="宋体" w:hint="default"/>
                <w:sz w:val="18"/>
                <w:szCs w:val="18"/>
              </w:rPr>
              <w:t>研发中，项目开发完成后，依</w:t>
            </w:r>
          </w:p>
          <w:p>
            <w:pPr>
              <w:pStyle w:val="TableParagraph"/>
              <w:spacing w:line="244" w:lineRule="auto" w:before="5"/>
              <w:ind w:left="103" w:right="99"/>
              <w:jc w:val="both"/>
              <w:rPr>
                <w:rFonts w:ascii="宋体" w:hAnsi="宋体" w:cs="宋体" w:eastAsia="宋体" w:hint="default"/>
                <w:sz w:val="18"/>
                <w:szCs w:val="18"/>
              </w:rPr>
            </w:pPr>
            <w:r>
              <w:rPr>
                <w:rFonts w:ascii="宋体" w:hAnsi="宋体" w:cs="宋体" w:eastAsia="宋体" w:hint="default"/>
                <w:sz w:val="18"/>
                <w:szCs w:val="18"/>
              </w:rPr>
              <w:t>据市场情况，能形成具备一定 市场竞争力的产品，同时企业 可切入 </w:t>
            </w:r>
            <w:r>
              <w:rPr>
                <w:rFonts w:ascii="宋体" w:hAnsi="宋体" w:cs="宋体" w:eastAsia="宋体" w:hint="default"/>
                <w:sz w:val="18"/>
                <w:szCs w:val="18"/>
              </w:rPr>
              <w:t>5G</w:t>
            </w:r>
            <w:r>
              <w:rPr>
                <w:rFonts w:ascii="宋体" w:hAnsi="宋体" w:cs="宋体" w:eastAsia="宋体" w:hint="default"/>
                <w:spacing w:val="-4"/>
                <w:sz w:val="18"/>
                <w:szCs w:val="18"/>
              </w:rPr>
              <w:t> </w:t>
            </w:r>
            <w:r>
              <w:rPr>
                <w:rFonts w:ascii="宋体" w:hAnsi="宋体" w:cs="宋体" w:eastAsia="宋体" w:hint="default"/>
                <w:sz w:val="18"/>
                <w:szCs w:val="18"/>
              </w:rPr>
              <w:t>终端网络的建设及 维护，丰富企业业务类型。</w:t>
            </w:r>
            <w:r>
              <w:rPr>
                <w:rFonts w:ascii="宋体" w:hAnsi="宋体" w:cs="宋体" w:eastAsia="宋体" w:hint="default"/>
                <w:sz w:val="18"/>
                <w:szCs w:val="18"/>
              </w:rPr>
              <w:t> </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9"/>
                <w:szCs w:val="19"/>
              </w:rPr>
            </w:pPr>
          </w:p>
          <w:p>
            <w:pPr>
              <w:pStyle w:val="TableParagraph"/>
              <w:spacing w:line="244" w:lineRule="auto"/>
              <w:ind w:left="105" w:right="97"/>
              <w:jc w:val="both"/>
              <w:rPr>
                <w:rFonts w:ascii="宋体" w:hAnsi="宋体" w:cs="宋体" w:eastAsia="宋体" w:hint="default"/>
                <w:sz w:val="18"/>
                <w:szCs w:val="18"/>
              </w:rPr>
            </w:pPr>
            <w:r>
              <w:rPr>
                <w:rFonts w:ascii="宋体" w:hAnsi="宋体" w:cs="宋体" w:eastAsia="宋体" w:hint="default"/>
                <w:spacing w:val="14"/>
                <w:sz w:val="18"/>
                <w:szCs w:val="18"/>
              </w:rPr>
              <w:t>为企业新业务扩充做原始积</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累，丰富企业的业务类型和收</w:t>
            </w:r>
            <w:r>
              <w:rPr>
                <w:rFonts w:ascii="宋体" w:hAnsi="宋体" w:cs="宋体" w:eastAsia="宋体" w:hint="default"/>
                <w:sz w:val="18"/>
                <w:szCs w:val="18"/>
              </w:rPr>
              <w:t> 入来源。</w:t>
            </w:r>
            <w:r>
              <w:rPr>
                <w:rFonts w:ascii="宋体" w:hAnsi="宋体" w:cs="宋体" w:eastAsia="宋体" w:hint="default"/>
                <w:sz w:val="18"/>
                <w:szCs w:val="18"/>
              </w:rPr>
              <w:t> </w:t>
            </w:r>
          </w:p>
        </w:tc>
      </w:tr>
      <w:tr>
        <w:trPr>
          <w:trHeight w:val="252" w:hRule="exact"/>
        </w:trPr>
        <w:tc>
          <w:tcPr>
            <w:tcW w:w="881" w:type="dxa"/>
            <w:tcBorders>
              <w:top w:val="single" w:sz="4" w:space="0" w:color="000000"/>
              <w:left w:val="single" w:sz="4" w:space="0" w:color="000000"/>
              <w:bottom w:val="nil" w:sz="6" w:space="0" w:color="auto"/>
              <w:right w:val="single" w:sz="4" w:space="0" w:color="000000"/>
            </w:tcBorders>
          </w:tcPr>
          <w:p>
            <w:pPr/>
          </w:p>
        </w:tc>
        <w:tc>
          <w:tcPr>
            <w:tcW w:w="1181" w:type="dxa"/>
            <w:tcBorders>
              <w:top w:val="single" w:sz="4" w:space="0" w:color="000000"/>
              <w:left w:val="single" w:sz="4" w:space="0" w:color="000000"/>
              <w:bottom w:val="nil" w:sz="6" w:space="0" w:color="auto"/>
              <w:right w:val="single" w:sz="4" w:space="0" w:color="000000"/>
            </w:tcBorders>
          </w:tcPr>
          <w:p>
            <w:pPr/>
          </w:p>
        </w:tc>
        <w:tc>
          <w:tcPr>
            <w:tcW w:w="2475" w:type="dxa"/>
            <w:tcBorders>
              <w:top w:val="single" w:sz="4" w:space="0" w:color="000000"/>
              <w:left w:val="single" w:sz="4" w:space="0" w:color="000000"/>
              <w:bottom w:val="nil" w:sz="6" w:space="0" w:color="auto"/>
              <w:right w:val="single" w:sz="4" w:space="0" w:color="000000"/>
            </w:tcBorders>
          </w:tcPr>
          <w:p>
            <w:pPr>
              <w:pStyle w:val="TableParagraph"/>
              <w:spacing w:line="217" w:lineRule="exact"/>
              <w:ind w:left="105" w:right="0"/>
              <w:jc w:val="left"/>
              <w:rPr>
                <w:rFonts w:ascii="宋体" w:hAnsi="宋体" w:cs="宋体" w:eastAsia="宋体" w:hint="default"/>
                <w:sz w:val="18"/>
                <w:szCs w:val="18"/>
              </w:rPr>
            </w:pPr>
            <w:r>
              <w:rPr>
                <w:rFonts w:ascii="宋体" w:hAnsi="宋体" w:cs="宋体" w:eastAsia="宋体" w:hint="default"/>
                <w:sz w:val="18"/>
                <w:szCs w:val="18"/>
              </w:rPr>
              <w:t>基于</w:t>
            </w:r>
            <w:r>
              <w:rPr>
                <w:rFonts w:ascii="宋体" w:hAnsi="宋体" w:cs="宋体" w:eastAsia="宋体" w:hint="default"/>
                <w:spacing w:val="-42"/>
                <w:sz w:val="18"/>
                <w:szCs w:val="18"/>
              </w:rPr>
              <w:t> </w:t>
            </w:r>
            <w:r>
              <w:rPr>
                <w:rFonts w:ascii="宋体" w:hAnsi="宋体" w:cs="宋体" w:eastAsia="宋体" w:hint="default"/>
                <w:sz w:val="18"/>
                <w:szCs w:val="18"/>
              </w:rPr>
              <w:t>5G</w:t>
            </w:r>
            <w:r>
              <w:rPr>
                <w:rFonts w:ascii="宋体" w:hAnsi="宋体" w:cs="宋体" w:eastAsia="宋体" w:hint="default"/>
                <w:spacing w:val="-41"/>
                <w:sz w:val="18"/>
                <w:szCs w:val="18"/>
              </w:rPr>
              <w:t> </w:t>
            </w:r>
            <w:r>
              <w:rPr>
                <w:rFonts w:ascii="宋体" w:hAnsi="宋体" w:cs="宋体" w:eastAsia="宋体" w:hint="default"/>
                <w:sz w:val="18"/>
                <w:szCs w:val="18"/>
              </w:rPr>
              <w:t>技术的智能安全头盔</w:t>
            </w:r>
          </w:p>
        </w:tc>
        <w:tc>
          <w:tcPr>
            <w:tcW w:w="2552" w:type="dxa"/>
            <w:tcBorders>
              <w:top w:val="single" w:sz="4" w:space="0" w:color="000000"/>
              <w:left w:val="single" w:sz="4" w:space="0" w:color="000000"/>
              <w:bottom w:val="nil" w:sz="6" w:space="0" w:color="auto"/>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pacing w:val="14"/>
                <w:sz w:val="18"/>
                <w:szCs w:val="18"/>
              </w:rPr>
              <w:t>研发中，预计项目开发完成</w:t>
            </w:r>
          </w:p>
        </w:tc>
        <w:tc>
          <w:tcPr>
            <w:tcW w:w="2552" w:type="dxa"/>
            <w:tcBorders>
              <w:top w:val="single" w:sz="4" w:space="0" w:color="000000"/>
              <w:left w:val="single" w:sz="4" w:space="0" w:color="000000"/>
              <w:bottom w:val="nil" w:sz="6" w:space="0" w:color="auto"/>
              <w:right w:val="single" w:sz="4" w:space="0" w:color="000000"/>
            </w:tcBorders>
          </w:tcPr>
          <w:p>
            <w:pPr/>
          </w:p>
        </w:tc>
      </w:tr>
      <w:tr>
        <w:trPr>
          <w:trHeight w:val="720" w:hRule="exact"/>
        </w:trPr>
        <w:tc>
          <w:tcPr>
            <w:tcW w:w="881"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0" w:lineRule="auto"/>
              <w:ind w:left="88" w:right="0"/>
              <w:jc w:val="center"/>
              <w:rPr>
                <w:rFonts w:ascii="宋体" w:hAnsi="宋体" w:cs="宋体" w:eastAsia="宋体" w:hint="default"/>
                <w:sz w:val="18"/>
                <w:szCs w:val="18"/>
              </w:rPr>
            </w:pPr>
            <w:r>
              <w:rPr>
                <w:rFonts w:ascii="宋体"/>
                <w:sz w:val="18"/>
              </w:rPr>
              <w:t>(16) </w:t>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44" w:lineRule="auto" w:before="94"/>
              <w:ind w:left="103" w:right="77"/>
              <w:jc w:val="left"/>
              <w:rPr>
                <w:rFonts w:ascii="宋体" w:hAnsi="宋体" w:cs="宋体" w:eastAsia="宋体" w:hint="default"/>
                <w:sz w:val="18"/>
                <w:szCs w:val="18"/>
              </w:rPr>
            </w:pPr>
            <w:r>
              <w:rPr>
                <w:rFonts w:ascii="宋体" w:hAnsi="宋体" w:cs="宋体" w:eastAsia="宋体" w:hint="default"/>
                <w:sz w:val="18"/>
                <w:szCs w:val="18"/>
              </w:rPr>
              <w:t>5G</w:t>
            </w:r>
            <w:r>
              <w:rPr>
                <w:rFonts w:ascii="宋体" w:hAnsi="宋体" w:cs="宋体" w:eastAsia="宋体" w:hint="default"/>
                <w:spacing w:val="-22"/>
                <w:sz w:val="18"/>
                <w:szCs w:val="18"/>
              </w:rPr>
              <w:t> </w:t>
            </w:r>
            <w:r>
              <w:rPr>
                <w:rFonts w:ascii="宋体" w:hAnsi="宋体" w:cs="宋体" w:eastAsia="宋体" w:hint="default"/>
                <w:sz w:val="18"/>
                <w:szCs w:val="18"/>
              </w:rPr>
              <w:t>智能安全 头盔的研发</w:t>
            </w:r>
            <w:r>
              <w:rPr>
                <w:rFonts w:ascii="宋体" w:hAnsi="宋体" w:cs="宋体" w:eastAsia="宋体" w:hint="default"/>
                <w:sz w:val="18"/>
                <w:szCs w:val="18"/>
              </w:rPr>
              <w:t> </w:t>
            </w: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pacing w:val="7"/>
                <w:sz w:val="18"/>
                <w:szCs w:val="18"/>
              </w:rPr>
              <w:t>研究，设计具有语音采集功</w:t>
            </w:r>
          </w:p>
          <w:p>
            <w:pPr>
              <w:pStyle w:val="TableParagraph"/>
              <w:spacing w:line="244" w:lineRule="auto" w:before="4"/>
              <w:ind w:left="105" w:right="99"/>
              <w:jc w:val="left"/>
              <w:rPr>
                <w:rFonts w:ascii="宋体" w:hAnsi="宋体" w:cs="宋体" w:eastAsia="宋体" w:hint="default"/>
                <w:sz w:val="18"/>
                <w:szCs w:val="18"/>
              </w:rPr>
            </w:pPr>
            <w:r>
              <w:rPr>
                <w:rFonts w:ascii="宋体" w:hAnsi="宋体" w:cs="宋体" w:eastAsia="宋体" w:hint="default"/>
                <w:spacing w:val="-7"/>
                <w:sz w:val="18"/>
                <w:szCs w:val="18"/>
              </w:rPr>
              <w:t>能、视频图像采集功能、数据</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7"/>
                <w:sz w:val="18"/>
                <w:szCs w:val="18"/>
              </w:rPr>
              <w:t>的传输功能、蓝牙传输功能及</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后，能够应用于通信网络日常</w:t>
            </w:r>
          </w:p>
          <w:p>
            <w:pPr>
              <w:pStyle w:val="TableParagraph"/>
              <w:spacing w:line="244" w:lineRule="auto" w:before="4"/>
              <w:ind w:left="103" w:right="101"/>
              <w:jc w:val="left"/>
              <w:rPr>
                <w:rFonts w:ascii="宋体" w:hAnsi="宋体" w:cs="宋体" w:eastAsia="宋体" w:hint="default"/>
                <w:sz w:val="18"/>
                <w:szCs w:val="18"/>
              </w:rPr>
            </w:pPr>
            <w:r>
              <w:rPr>
                <w:rFonts w:ascii="宋体" w:hAnsi="宋体" w:cs="宋体" w:eastAsia="宋体" w:hint="default"/>
                <w:sz w:val="18"/>
                <w:szCs w:val="18"/>
              </w:rPr>
              <w:t>维护工作中，达到提高团队的 </w:t>
            </w:r>
            <w:r>
              <w:rPr>
                <w:rFonts w:ascii="宋体" w:hAnsi="宋体" w:cs="宋体" w:eastAsia="宋体" w:hint="default"/>
                <w:spacing w:val="14"/>
                <w:sz w:val="18"/>
                <w:szCs w:val="18"/>
              </w:rPr>
              <w:t>工作效率及降低作业风险的</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4" w:lineRule="auto" w:before="94"/>
              <w:ind w:left="105" w:right="98"/>
              <w:jc w:val="left"/>
              <w:rPr>
                <w:rFonts w:ascii="宋体" w:hAnsi="宋体" w:cs="宋体" w:eastAsia="宋体" w:hint="default"/>
                <w:sz w:val="18"/>
                <w:szCs w:val="18"/>
              </w:rPr>
            </w:pPr>
            <w:r>
              <w:rPr>
                <w:rFonts w:ascii="宋体" w:hAnsi="宋体" w:cs="宋体" w:eastAsia="宋体" w:hint="default"/>
                <w:sz w:val="18"/>
                <w:szCs w:val="18"/>
              </w:rPr>
              <w:t>提高工作效率，降低员工作业 风险。</w:t>
            </w:r>
            <w:r>
              <w:rPr>
                <w:rFonts w:ascii="宋体" w:hAnsi="宋体" w:cs="宋体" w:eastAsia="宋体" w:hint="default"/>
                <w:sz w:val="18"/>
                <w:szCs w:val="18"/>
              </w:rPr>
              <w:t> </w:t>
            </w:r>
          </w:p>
        </w:tc>
      </w:tr>
      <w:tr>
        <w:trPr>
          <w:trHeight w:val="240" w:hRule="exact"/>
        </w:trPr>
        <w:tc>
          <w:tcPr>
            <w:tcW w:w="881" w:type="dxa"/>
            <w:tcBorders>
              <w:top w:val="nil" w:sz="6" w:space="0" w:color="auto"/>
              <w:left w:val="single" w:sz="4" w:space="0" w:color="000000"/>
              <w:bottom w:val="single" w:sz="4" w:space="0" w:color="000000"/>
              <w:right w:val="single" w:sz="4" w:space="0" w:color="000000"/>
            </w:tcBorders>
          </w:tcPr>
          <w:p>
            <w:pPr/>
          </w:p>
        </w:tc>
        <w:tc>
          <w:tcPr>
            <w:tcW w:w="1181" w:type="dxa"/>
            <w:tcBorders>
              <w:top w:val="nil" w:sz="6" w:space="0" w:color="auto"/>
              <w:left w:val="single" w:sz="4" w:space="0" w:color="000000"/>
              <w:bottom w:val="single" w:sz="4" w:space="0" w:color="000000"/>
              <w:right w:val="single" w:sz="4" w:space="0" w:color="000000"/>
            </w:tcBorders>
          </w:tcPr>
          <w:p>
            <w:pPr/>
          </w:p>
        </w:tc>
        <w:tc>
          <w:tcPr>
            <w:tcW w:w="2475" w:type="dxa"/>
            <w:tcBorders>
              <w:top w:val="nil" w:sz="6" w:space="0" w:color="auto"/>
              <w:left w:val="single" w:sz="4" w:space="0" w:color="000000"/>
              <w:bottom w:val="single" w:sz="4" w:space="0" w:color="000000"/>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智能告警功能等</w:t>
            </w:r>
            <w:r>
              <w:rPr>
                <w:rFonts w:ascii="宋体" w:hAnsi="宋体" w:cs="宋体" w:eastAsia="宋体" w:hint="default"/>
                <w:spacing w:val="-82"/>
                <w:sz w:val="18"/>
                <w:szCs w:val="18"/>
              </w:rPr>
              <w:t>，</w:t>
            </w:r>
            <w:r>
              <w:rPr>
                <w:rFonts w:ascii="宋体" w:hAnsi="宋体" w:cs="宋体" w:eastAsia="宋体" w:hint="default"/>
                <w:sz w:val="18"/>
                <w:szCs w:val="18"/>
              </w:rPr>
              <w:t>应用于工业</w:t>
            </w:r>
          </w:p>
        </w:tc>
        <w:tc>
          <w:tcPr>
            <w:tcW w:w="2552" w:type="dxa"/>
            <w:tcBorders>
              <w:top w:val="nil" w:sz="6" w:space="0" w:color="auto"/>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目的。</w:t>
            </w:r>
            <w:r>
              <w:rPr>
                <w:rFonts w:ascii="宋体" w:hAnsi="宋体" w:cs="宋体" w:eastAsia="宋体" w:hint="default"/>
                <w:sz w:val="18"/>
                <w:szCs w:val="18"/>
              </w:rPr>
              <w:t> </w:t>
            </w:r>
          </w:p>
        </w:tc>
        <w:tc>
          <w:tcPr>
            <w:tcW w:w="2552" w:type="dxa"/>
            <w:tcBorders>
              <w:top w:val="nil" w:sz="6" w:space="0" w:color="auto"/>
              <w:left w:val="single" w:sz="4" w:space="0" w:color="000000"/>
              <w:bottom w:val="single" w:sz="4" w:space="0" w:color="000000"/>
              <w:right w:val="single" w:sz="4" w:space="0" w:color="000000"/>
            </w:tcBorders>
          </w:tcPr>
          <w:p>
            <w:pPr/>
          </w:p>
        </w:tc>
      </w:tr>
    </w:tbl>
    <w:p>
      <w:pPr>
        <w:spacing w:after="0"/>
        <w:sectPr>
          <w:pgSz w:w="11910" w:h="16840"/>
          <w:pgMar w:header="880" w:footer="975" w:top="1100" w:bottom="1160" w:left="980" w:right="0"/>
        </w:sectPr>
      </w:pPr>
    </w:p>
    <w:p>
      <w:pPr>
        <w:spacing w:line="240" w:lineRule="auto" w:before="11"/>
        <w:rPr>
          <w:rFonts w:ascii="Times New Roman" w:hAnsi="Times New Roman" w:cs="Times New Roman" w:eastAsia="Times New Roman" w:hint="default"/>
          <w:sz w:val="27"/>
          <w:szCs w:val="27"/>
        </w:rPr>
      </w:pPr>
    </w:p>
    <w:tbl>
      <w:tblPr>
        <w:tblW w:w="0" w:type="auto"/>
        <w:jc w:val="left"/>
        <w:tblInd w:w="148" w:type="dxa"/>
        <w:tblLayout w:type="fixed"/>
        <w:tblCellMar>
          <w:top w:w="0" w:type="dxa"/>
          <w:left w:w="0" w:type="dxa"/>
          <w:bottom w:w="0" w:type="dxa"/>
          <w:right w:w="0" w:type="dxa"/>
        </w:tblCellMar>
        <w:tblLook w:val="01E0"/>
      </w:tblPr>
      <w:tblGrid>
        <w:gridCol w:w="881"/>
        <w:gridCol w:w="1181"/>
        <w:gridCol w:w="2475"/>
        <w:gridCol w:w="2552"/>
        <w:gridCol w:w="2552"/>
      </w:tblGrid>
      <w:tr>
        <w:trPr>
          <w:trHeight w:val="490" w:hRule="exact"/>
        </w:trPr>
        <w:tc>
          <w:tcPr>
            <w:tcW w:w="881"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247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5" w:right="99"/>
              <w:jc w:val="left"/>
              <w:rPr>
                <w:rFonts w:ascii="宋体" w:hAnsi="宋体" w:cs="宋体" w:eastAsia="宋体" w:hint="default"/>
                <w:sz w:val="18"/>
                <w:szCs w:val="18"/>
              </w:rPr>
            </w:pPr>
            <w:r>
              <w:rPr>
                <w:rFonts w:ascii="宋体" w:hAnsi="宋体" w:cs="宋体" w:eastAsia="宋体" w:hint="default"/>
                <w:spacing w:val="7"/>
                <w:sz w:val="18"/>
                <w:szCs w:val="18"/>
              </w:rPr>
              <w:t>生产领域，特别是高危种行</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业。</w:t>
            </w:r>
            <w:r>
              <w:rPr>
                <w:rFonts w:ascii="宋体" w:hAnsi="宋体" w:cs="宋体" w:eastAsia="宋体" w:hint="default"/>
                <w:sz w:val="18"/>
                <w:szCs w:val="18"/>
              </w:rPr>
              <w:t> </w:t>
            </w:r>
          </w:p>
        </w:tc>
        <w:tc>
          <w:tcPr>
            <w:tcW w:w="2552" w:type="dxa"/>
            <w:tcBorders>
              <w:top w:val="single" w:sz="4" w:space="0" w:color="000000"/>
              <w:left w:val="single" w:sz="4" w:space="0" w:color="000000"/>
              <w:bottom w:val="single" w:sz="4" w:space="0" w:color="000000"/>
              <w:right w:val="single" w:sz="4" w:space="0" w:color="000000"/>
            </w:tcBorders>
          </w:tcPr>
          <w:p>
            <w:pPr/>
          </w:p>
        </w:tc>
        <w:tc>
          <w:tcPr>
            <w:tcW w:w="2552" w:type="dxa"/>
            <w:tcBorders>
              <w:top w:val="single" w:sz="4" w:space="0" w:color="000000"/>
              <w:left w:val="single" w:sz="4" w:space="0" w:color="000000"/>
              <w:bottom w:val="single" w:sz="4" w:space="0" w:color="000000"/>
              <w:right w:val="single" w:sz="4" w:space="0" w:color="000000"/>
            </w:tcBorders>
          </w:tcPr>
          <w:p>
            <w:pPr/>
          </w:p>
        </w:tc>
      </w:tr>
      <w:tr>
        <w:trPr>
          <w:trHeight w:val="252" w:hRule="exact"/>
        </w:trPr>
        <w:tc>
          <w:tcPr>
            <w:tcW w:w="881" w:type="dxa"/>
            <w:tcBorders>
              <w:top w:val="single" w:sz="4" w:space="0" w:color="000000"/>
              <w:left w:val="single" w:sz="4" w:space="0" w:color="000000"/>
              <w:bottom w:val="nil" w:sz="6" w:space="0" w:color="auto"/>
              <w:right w:val="single" w:sz="4" w:space="0" w:color="000000"/>
            </w:tcBorders>
          </w:tcPr>
          <w:p>
            <w:pPr/>
          </w:p>
        </w:tc>
        <w:tc>
          <w:tcPr>
            <w:tcW w:w="1181" w:type="dxa"/>
            <w:tcBorders>
              <w:top w:val="single" w:sz="4" w:space="0" w:color="000000"/>
              <w:left w:val="single" w:sz="4" w:space="0" w:color="000000"/>
              <w:bottom w:val="nil" w:sz="6" w:space="0" w:color="auto"/>
              <w:right w:val="single" w:sz="4" w:space="0" w:color="000000"/>
            </w:tcBorders>
          </w:tcPr>
          <w:p>
            <w:pPr/>
          </w:p>
        </w:tc>
        <w:tc>
          <w:tcPr>
            <w:tcW w:w="2475" w:type="dxa"/>
            <w:tcBorders>
              <w:top w:val="single" w:sz="4" w:space="0" w:color="000000"/>
              <w:left w:val="single" w:sz="4" w:space="0" w:color="000000"/>
              <w:bottom w:val="nil" w:sz="6" w:space="0" w:color="auto"/>
              <w:right w:val="single" w:sz="4" w:space="0" w:color="000000"/>
            </w:tcBorders>
          </w:tcPr>
          <w:p>
            <w:pPr>
              <w:pStyle w:val="TableParagraph"/>
              <w:spacing w:line="217" w:lineRule="exact"/>
              <w:ind w:left="105" w:right="0"/>
              <w:jc w:val="left"/>
              <w:rPr>
                <w:rFonts w:ascii="宋体" w:hAnsi="宋体" w:cs="宋体" w:eastAsia="宋体" w:hint="default"/>
                <w:sz w:val="18"/>
                <w:szCs w:val="18"/>
              </w:rPr>
            </w:pPr>
            <w:r>
              <w:rPr>
                <w:rFonts w:ascii="宋体" w:hAnsi="宋体" w:cs="宋体" w:eastAsia="宋体" w:hint="default"/>
                <w:spacing w:val="7"/>
                <w:sz w:val="18"/>
                <w:szCs w:val="18"/>
              </w:rPr>
              <w:t>针对设备在外界所面临的复</w:t>
            </w:r>
          </w:p>
        </w:tc>
        <w:tc>
          <w:tcPr>
            <w:tcW w:w="2552" w:type="dxa"/>
            <w:tcBorders>
              <w:top w:val="single" w:sz="4" w:space="0" w:color="000000"/>
              <w:left w:val="single" w:sz="4" w:space="0" w:color="000000"/>
              <w:bottom w:val="nil" w:sz="6" w:space="0" w:color="auto"/>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pacing w:val="14"/>
                <w:sz w:val="18"/>
                <w:szCs w:val="18"/>
              </w:rPr>
              <w:t>研发中，预计项目开发完成</w:t>
            </w:r>
          </w:p>
        </w:tc>
        <w:tc>
          <w:tcPr>
            <w:tcW w:w="2552" w:type="dxa"/>
            <w:tcBorders>
              <w:top w:val="single" w:sz="4" w:space="0" w:color="000000"/>
              <w:left w:val="single" w:sz="4" w:space="0" w:color="000000"/>
              <w:bottom w:val="nil" w:sz="6" w:space="0" w:color="auto"/>
              <w:right w:val="single" w:sz="4" w:space="0" w:color="000000"/>
            </w:tcBorders>
          </w:tcPr>
          <w:p>
            <w:pPr/>
          </w:p>
        </w:tc>
      </w:tr>
      <w:tr>
        <w:trPr>
          <w:trHeight w:val="240"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pacing w:val="12"/>
                <w:sz w:val="18"/>
                <w:szCs w:val="18"/>
              </w:rPr>
              <w:t>基于通信网</w:t>
            </w:r>
            <w:r>
              <w:rPr>
                <w:rFonts w:ascii="宋体" w:hAnsi="宋体" w:cs="宋体" w:eastAsia="宋体" w:hint="default"/>
                <w:spacing w:val="-74"/>
                <w:sz w:val="18"/>
                <w:szCs w:val="18"/>
              </w:rPr>
              <w:t> </w:t>
            </w:r>
            <w:r>
              <w:rPr>
                <w:rFonts w:ascii="宋体" w:hAnsi="宋体" w:cs="宋体" w:eastAsia="宋体" w:hint="default"/>
                <w:sz w:val="18"/>
                <w:szCs w:val="18"/>
              </w:rPr>
            </w: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杂自然环境，开发一套防水、</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后，能够应用于通信网络日常</w:t>
            </w:r>
          </w:p>
        </w:tc>
        <w:tc>
          <w:tcPr>
            <w:tcW w:w="2552" w:type="dxa"/>
            <w:tcBorders>
              <w:top w:val="nil" w:sz="6" w:space="0" w:color="auto"/>
              <w:left w:val="single" w:sz="4" w:space="0" w:color="000000"/>
              <w:bottom w:val="nil" w:sz="6" w:space="0" w:color="auto"/>
              <w:right w:val="single" w:sz="4" w:space="0" w:color="000000"/>
            </w:tcBorders>
          </w:tcPr>
          <w:p>
            <w:pPr/>
          </w:p>
        </w:tc>
      </w:tr>
      <w:tr>
        <w:trPr>
          <w:trHeight w:val="480" w:hRule="exact"/>
        </w:trPr>
        <w:tc>
          <w:tcPr>
            <w:tcW w:w="881"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73"/>
              <w:jc w:val="right"/>
              <w:rPr>
                <w:rFonts w:ascii="宋体" w:hAnsi="宋体" w:cs="宋体" w:eastAsia="宋体" w:hint="default"/>
                <w:sz w:val="18"/>
                <w:szCs w:val="18"/>
              </w:rPr>
            </w:pPr>
            <w:r>
              <w:rPr>
                <w:rFonts w:ascii="宋体" w:hAnsi="宋体" w:cs="宋体" w:eastAsia="宋体" w:hint="default"/>
                <w:spacing w:val="-1"/>
                <w:sz w:val="18"/>
                <w:szCs w:val="18"/>
              </w:rPr>
              <w:t>（</w:t>
            </w:r>
            <w:r>
              <w:rPr>
                <w:rFonts w:ascii="宋体" w:hAnsi="宋体" w:cs="宋体" w:eastAsia="宋体" w:hint="default"/>
                <w:spacing w:val="-1"/>
                <w:sz w:val="18"/>
                <w:szCs w:val="18"/>
              </w:rPr>
              <w:t>17</w:t>
            </w:r>
            <w:r>
              <w:rPr>
                <w:rFonts w:ascii="宋体" w:hAnsi="宋体" w:cs="宋体" w:eastAsia="宋体" w:hint="default"/>
                <w:spacing w:val="-1"/>
                <w:sz w:val="18"/>
                <w:szCs w:val="18"/>
              </w:rPr>
              <w:t>）</w:t>
            </w:r>
            <w:r>
              <w:rPr>
                <w:rFonts w:ascii="宋体" w:hAnsi="宋体" w:cs="宋体" w:eastAsia="宋体" w:hint="default"/>
                <w:sz w:val="18"/>
                <w:szCs w:val="18"/>
              </w:rPr>
              <w:t> </w:t>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pacing w:val="12"/>
                <w:sz w:val="18"/>
                <w:szCs w:val="18"/>
              </w:rPr>
              <w:t>络设备及设</w:t>
            </w:r>
            <w:r>
              <w:rPr>
                <w:rFonts w:ascii="宋体" w:hAnsi="宋体" w:cs="宋体" w:eastAsia="宋体" w:hint="default"/>
                <w:spacing w:val="-74"/>
                <w:sz w:val="18"/>
                <w:szCs w:val="18"/>
              </w:rPr>
              <w:t> </w:t>
            </w:r>
            <w:r>
              <w:rPr>
                <w:rFonts w:ascii="宋体" w:hAnsi="宋体" w:cs="宋体" w:eastAsia="宋体" w:hint="default"/>
                <w:sz w:val="18"/>
                <w:szCs w:val="18"/>
              </w:rPr>
            </w:r>
          </w:p>
          <w:p>
            <w:pPr>
              <w:pStyle w:val="TableParagraph"/>
              <w:spacing w:line="240" w:lineRule="auto" w:before="4"/>
              <w:ind w:left="103" w:right="0"/>
              <w:jc w:val="left"/>
              <w:rPr>
                <w:rFonts w:ascii="宋体" w:hAnsi="宋体" w:cs="宋体" w:eastAsia="宋体" w:hint="default"/>
                <w:sz w:val="18"/>
                <w:szCs w:val="18"/>
              </w:rPr>
            </w:pPr>
            <w:r>
              <w:rPr>
                <w:rFonts w:ascii="宋体" w:hAnsi="宋体" w:cs="宋体" w:eastAsia="宋体" w:hint="default"/>
                <w:spacing w:val="12"/>
                <w:sz w:val="18"/>
                <w:szCs w:val="18"/>
              </w:rPr>
              <w:t>施的防护设</w:t>
            </w:r>
            <w:r>
              <w:rPr>
                <w:rFonts w:ascii="宋体" w:hAnsi="宋体" w:cs="宋体" w:eastAsia="宋体" w:hint="default"/>
                <w:spacing w:val="-74"/>
                <w:sz w:val="18"/>
                <w:szCs w:val="18"/>
              </w:rPr>
              <w:t> </w:t>
            </w:r>
            <w:r>
              <w:rPr>
                <w:rFonts w:ascii="宋体" w:hAnsi="宋体" w:cs="宋体" w:eastAsia="宋体" w:hint="default"/>
                <w:sz w:val="18"/>
                <w:szCs w:val="18"/>
              </w:rPr>
            </w: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防尘性强的防护设备</w:t>
            </w:r>
            <w:r>
              <w:rPr>
                <w:rFonts w:ascii="宋体" w:hAnsi="宋体" w:cs="宋体" w:eastAsia="宋体" w:hint="default"/>
                <w:spacing w:val="-82"/>
                <w:sz w:val="18"/>
                <w:szCs w:val="18"/>
              </w:rPr>
              <w:t>，</w:t>
            </w:r>
            <w:r>
              <w:rPr>
                <w:rFonts w:ascii="宋体" w:hAnsi="宋体" w:cs="宋体" w:eastAsia="宋体" w:hint="default"/>
                <w:sz w:val="18"/>
                <w:szCs w:val="18"/>
              </w:rPr>
              <w:t>降低通</w:t>
            </w:r>
          </w:p>
          <w:p>
            <w:pPr>
              <w:pStyle w:val="TableParagraph"/>
              <w:spacing w:line="240" w:lineRule="auto" w:before="4"/>
              <w:ind w:left="105" w:right="0"/>
              <w:jc w:val="left"/>
              <w:rPr>
                <w:rFonts w:ascii="宋体" w:hAnsi="宋体" w:cs="宋体" w:eastAsia="宋体" w:hint="default"/>
                <w:sz w:val="18"/>
                <w:szCs w:val="18"/>
              </w:rPr>
            </w:pPr>
            <w:r>
              <w:rPr>
                <w:rFonts w:ascii="宋体" w:hAnsi="宋体" w:cs="宋体" w:eastAsia="宋体" w:hint="default"/>
                <w:sz w:val="18"/>
                <w:szCs w:val="18"/>
              </w:rPr>
              <w:t>信网络故障率</w:t>
            </w:r>
            <w:r>
              <w:rPr>
                <w:rFonts w:ascii="宋体" w:hAnsi="宋体" w:cs="宋体" w:eastAsia="宋体" w:hint="default"/>
                <w:spacing w:val="-82"/>
                <w:sz w:val="18"/>
                <w:szCs w:val="18"/>
              </w:rPr>
              <w:t>，</w:t>
            </w:r>
            <w:r>
              <w:rPr>
                <w:rFonts w:ascii="宋体" w:hAnsi="宋体" w:cs="宋体" w:eastAsia="宋体" w:hint="default"/>
                <w:sz w:val="18"/>
                <w:szCs w:val="18"/>
              </w:rPr>
              <w:t>进而降低由于</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pacing w:val="7"/>
                <w:sz w:val="18"/>
                <w:szCs w:val="18"/>
              </w:rPr>
              <w:t>维护工作中</w:t>
            </w:r>
            <w:r>
              <w:rPr>
                <w:rFonts w:ascii="宋体" w:hAnsi="宋体" w:cs="宋体" w:eastAsia="宋体" w:hint="default"/>
                <w:spacing w:val="7"/>
                <w:sz w:val="18"/>
                <w:szCs w:val="18"/>
              </w:rPr>
              <w:t>,</w:t>
            </w:r>
            <w:r>
              <w:rPr>
                <w:rFonts w:ascii="宋体" w:hAnsi="宋体" w:cs="宋体" w:eastAsia="宋体" w:hint="default"/>
                <w:spacing w:val="7"/>
                <w:sz w:val="18"/>
                <w:szCs w:val="18"/>
              </w:rPr>
              <w:t>降低由于自然环</w:t>
            </w:r>
            <w:r>
              <w:rPr>
                <w:rFonts w:ascii="宋体" w:hAnsi="宋体" w:cs="宋体" w:eastAsia="宋体" w:hint="default"/>
                <w:sz w:val="18"/>
                <w:szCs w:val="18"/>
              </w:rPr>
            </w:r>
          </w:p>
          <w:p>
            <w:pPr>
              <w:pStyle w:val="TableParagraph"/>
              <w:spacing w:line="240" w:lineRule="auto" w:before="4"/>
              <w:ind w:left="103" w:right="0"/>
              <w:jc w:val="left"/>
              <w:rPr>
                <w:rFonts w:ascii="宋体" w:hAnsi="宋体" w:cs="宋体" w:eastAsia="宋体" w:hint="default"/>
                <w:sz w:val="18"/>
                <w:szCs w:val="18"/>
              </w:rPr>
            </w:pPr>
            <w:r>
              <w:rPr>
                <w:rFonts w:ascii="宋体" w:hAnsi="宋体" w:cs="宋体" w:eastAsia="宋体" w:hint="default"/>
                <w:sz w:val="18"/>
                <w:szCs w:val="18"/>
              </w:rPr>
              <w:t>境下设备及设施的受损概率，</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减少通信网络设备故障发生，</w:t>
            </w:r>
          </w:p>
          <w:p>
            <w:pPr>
              <w:pStyle w:val="TableParagraph"/>
              <w:spacing w:line="240" w:lineRule="auto" w:before="4"/>
              <w:ind w:left="105" w:right="0"/>
              <w:jc w:val="left"/>
              <w:rPr>
                <w:rFonts w:ascii="宋体" w:hAnsi="宋体" w:cs="宋体" w:eastAsia="宋体" w:hint="default"/>
                <w:sz w:val="18"/>
                <w:szCs w:val="18"/>
              </w:rPr>
            </w:pPr>
            <w:r>
              <w:rPr>
                <w:rFonts w:ascii="宋体" w:hAnsi="宋体" w:cs="宋体" w:eastAsia="宋体" w:hint="default"/>
                <w:sz w:val="18"/>
                <w:szCs w:val="18"/>
              </w:rPr>
              <w:t>降低维护成本。</w:t>
            </w:r>
            <w:r>
              <w:rPr>
                <w:rFonts w:ascii="宋体" w:hAnsi="宋体" w:cs="宋体" w:eastAsia="宋体" w:hint="default"/>
                <w:sz w:val="18"/>
                <w:szCs w:val="18"/>
              </w:rPr>
              <w:t> </w:t>
            </w:r>
          </w:p>
        </w:tc>
      </w:tr>
      <w:tr>
        <w:trPr>
          <w:trHeight w:val="240"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备的开发</w:t>
            </w:r>
            <w:r>
              <w:rPr>
                <w:rFonts w:ascii="宋体" w:hAnsi="宋体" w:cs="宋体" w:eastAsia="宋体" w:hint="default"/>
                <w:sz w:val="18"/>
                <w:szCs w:val="18"/>
              </w:rPr>
              <w:t> </w:t>
            </w: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pacing w:val="7"/>
                <w:sz w:val="18"/>
                <w:szCs w:val="18"/>
              </w:rPr>
              <w:t>通信故障而导致的国民经济</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从而减少设备故障发生，降低</w:t>
            </w:r>
          </w:p>
        </w:tc>
        <w:tc>
          <w:tcPr>
            <w:tcW w:w="2552" w:type="dxa"/>
            <w:tcBorders>
              <w:top w:val="nil" w:sz="6" w:space="0" w:color="auto"/>
              <w:left w:val="single" w:sz="4" w:space="0" w:color="000000"/>
              <w:bottom w:val="nil" w:sz="6" w:space="0" w:color="auto"/>
              <w:right w:val="single" w:sz="4" w:space="0" w:color="000000"/>
            </w:tcBorders>
          </w:tcPr>
          <w:p>
            <w:pPr/>
          </w:p>
        </w:tc>
      </w:tr>
      <w:tr>
        <w:trPr>
          <w:trHeight w:val="237" w:hRule="exact"/>
        </w:trPr>
        <w:tc>
          <w:tcPr>
            <w:tcW w:w="881" w:type="dxa"/>
            <w:tcBorders>
              <w:top w:val="nil" w:sz="6" w:space="0" w:color="auto"/>
              <w:left w:val="single" w:sz="4" w:space="0" w:color="000000"/>
              <w:bottom w:val="single" w:sz="4" w:space="0" w:color="000000"/>
              <w:right w:val="single" w:sz="4" w:space="0" w:color="000000"/>
            </w:tcBorders>
          </w:tcPr>
          <w:p>
            <w:pPr/>
          </w:p>
        </w:tc>
        <w:tc>
          <w:tcPr>
            <w:tcW w:w="1181" w:type="dxa"/>
            <w:tcBorders>
              <w:top w:val="nil" w:sz="6" w:space="0" w:color="auto"/>
              <w:left w:val="single" w:sz="4" w:space="0" w:color="000000"/>
              <w:bottom w:val="single" w:sz="4" w:space="0" w:color="000000"/>
              <w:right w:val="single" w:sz="4" w:space="0" w:color="000000"/>
            </w:tcBorders>
          </w:tcPr>
          <w:p>
            <w:pPr/>
          </w:p>
        </w:tc>
        <w:tc>
          <w:tcPr>
            <w:tcW w:w="2475" w:type="dxa"/>
            <w:tcBorders>
              <w:top w:val="nil" w:sz="6" w:space="0" w:color="auto"/>
              <w:left w:val="single" w:sz="4" w:space="0" w:color="000000"/>
              <w:bottom w:val="single" w:sz="4" w:space="0" w:color="000000"/>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损失。</w:t>
            </w:r>
            <w:r>
              <w:rPr>
                <w:rFonts w:ascii="宋体" w:hAnsi="宋体" w:cs="宋体" w:eastAsia="宋体" w:hint="default"/>
                <w:sz w:val="18"/>
                <w:szCs w:val="18"/>
              </w:rPr>
              <w:t> </w:t>
            </w:r>
          </w:p>
        </w:tc>
        <w:tc>
          <w:tcPr>
            <w:tcW w:w="2552" w:type="dxa"/>
            <w:tcBorders>
              <w:top w:val="nil" w:sz="6" w:space="0" w:color="auto"/>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维护成本。</w:t>
            </w:r>
            <w:r>
              <w:rPr>
                <w:rFonts w:ascii="宋体" w:hAnsi="宋体" w:cs="宋体" w:eastAsia="宋体" w:hint="default"/>
                <w:sz w:val="18"/>
                <w:szCs w:val="18"/>
              </w:rPr>
              <w:t> </w:t>
            </w:r>
          </w:p>
        </w:tc>
        <w:tc>
          <w:tcPr>
            <w:tcW w:w="2552" w:type="dxa"/>
            <w:tcBorders>
              <w:top w:val="nil" w:sz="6" w:space="0" w:color="auto"/>
              <w:left w:val="single" w:sz="4" w:space="0" w:color="000000"/>
              <w:bottom w:val="single" w:sz="4" w:space="0" w:color="000000"/>
              <w:right w:val="single" w:sz="4" w:space="0" w:color="000000"/>
            </w:tcBorders>
          </w:tcPr>
          <w:p>
            <w:pPr/>
          </w:p>
        </w:tc>
      </w:tr>
      <w:tr>
        <w:trPr>
          <w:trHeight w:val="255" w:hRule="exact"/>
        </w:trPr>
        <w:tc>
          <w:tcPr>
            <w:tcW w:w="881" w:type="dxa"/>
            <w:tcBorders>
              <w:top w:val="single" w:sz="4" w:space="0" w:color="000000"/>
              <w:left w:val="single" w:sz="4" w:space="0" w:color="000000"/>
              <w:bottom w:val="nil" w:sz="6" w:space="0" w:color="auto"/>
              <w:right w:val="single" w:sz="4" w:space="0" w:color="000000"/>
            </w:tcBorders>
          </w:tcPr>
          <w:p>
            <w:pPr/>
          </w:p>
        </w:tc>
        <w:tc>
          <w:tcPr>
            <w:tcW w:w="1181" w:type="dxa"/>
            <w:tcBorders>
              <w:top w:val="single" w:sz="4" w:space="0" w:color="000000"/>
              <w:left w:val="single" w:sz="4" w:space="0" w:color="000000"/>
              <w:bottom w:val="nil" w:sz="6" w:space="0" w:color="auto"/>
              <w:right w:val="single" w:sz="4" w:space="0" w:color="000000"/>
            </w:tcBorders>
          </w:tcPr>
          <w:p>
            <w:pPr/>
          </w:p>
        </w:tc>
        <w:tc>
          <w:tcPr>
            <w:tcW w:w="2475" w:type="dxa"/>
            <w:tcBorders>
              <w:top w:val="single" w:sz="4" w:space="0" w:color="000000"/>
              <w:left w:val="single" w:sz="4" w:space="0" w:color="000000"/>
              <w:bottom w:val="nil" w:sz="6" w:space="0" w:color="auto"/>
              <w:right w:val="single" w:sz="4" w:space="0" w:color="000000"/>
            </w:tcBorders>
          </w:tcPr>
          <w:p>
            <w:pPr/>
          </w:p>
        </w:tc>
        <w:tc>
          <w:tcPr>
            <w:tcW w:w="2552" w:type="dxa"/>
            <w:tcBorders>
              <w:top w:val="single" w:sz="4" w:space="0" w:color="000000"/>
              <w:left w:val="single" w:sz="4" w:space="0" w:color="000000"/>
              <w:bottom w:val="nil" w:sz="6" w:space="0" w:color="auto"/>
              <w:right w:val="single" w:sz="4" w:space="0" w:color="000000"/>
            </w:tcBorders>
          </w:tcPr>
          <w:p>
            <w:pPr>
              <w:pStyle w:val="TableParagraph"/>
              <w:spacing w:line="220" w:lineRule="exact"/>
              <w:ind w:left="103" w:right="0"/>
              <w:jc w:val="left"/>
              <w:rPr>
                <w:rFonts w:ascii="宋体" w:hAnsi="宋体" w:cs="宋体" w:eastAsia="宋体" w:hint="default"/>
                <w:sz w:val="18"/>
                <w:szCs w:val="18"/>
              </w:rPr>
            </w:pPr>
            <w:r>
              <w:rPr>
                <w:rFonts w:ascii="宋体" w:hAnsi="宋体" w:cs="宋体" w:eastAsia="宋体" w:hint="default"/>
                <w:sz w:val="18"/>
                <w:szCs w:val="18"/>
              </w:rPr>
              <w:t>已研发完成，已取得中华人民</w:t>
            </w:r>
          </w:p>
        </w:tc>
        <w:tc>
          <w:tcPr>
            <w:tcW w:w="2552" w:type="dxa"/>
            <w:tcBorders>
              <w:top w:val="single" w:sz="4" w:space="0" w:color="000000"/>
              <w:left w:val="single" w:sz="4" w:space="0" w:color="000000"/>
              <w:bottom w:val="nil" w:sz="6" w:space="0" w:color="auto"/>
              <w:right w:val="single" w:sz="4" w:space="0" w:color="000000"/>
            </w:tcBorders>
          </w:tcPr>
          <w:p>
            <w:pPr/>
          </w:p>
        </w:tc>
      </w:tr>
      <w:tr>
        <w:trPr>
          <w:trHeight w:val="240"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pacing w:val="14"/>
                <w:sz w:val="18"/>
                <w:szCs w:val="18"/>
              </w:rPr>
              <w:t>共和国国家版权局颁发软件</w:t>
            </w:r>
          </w:p>
        </w:tc>
        <w:tc>
          <w:tcPr>
            <w:tcW w:w="2552" w:type="dxa"/>
            <w:tcBorders>
              <w:top w:val="nil" w:sz="6" w:space="0" w:color="auto"/>
              <w:left w:val="single" w:sz="4" w:space="0" w:color="000000"/>
              <w:bottom w:val="nil" w:sz="6" w:space="0" w:color="auto"/>
              <w:right w:val="single" w:sz="4" w:space="0" w:color="000000"/>
            </w:tcBorders>
          </w:tcPr>
          <w:p>
            <w:pPr/>
          </w:p>
        </w:tc>
      </w:tr>
      <w:tr>
        <w:trPr>
          <w:trHeight w:val="960" w:hRule="exact"/>
        </w:trPr>
        <w:tc>
          <w:tcPr>
            <w:tcW w:w="88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7"/>
              <w:ind w:right="73"/>
              <w:jc w:val="right"/>
              <w:rPr>
                <w:rFonts w:ascii="宋体" w:hAnsi="宋体" w:cs="宋体" w:eastAsia="宋体" w:hint="default"/>
                <w:sz w:val="18"/>
                <w:szCs w:val="18"/>
              </w:rPr>
            </w:pPr>
            <w:r>
              <w:rPr>
                <w:rFonts w:ascii="宋体" w:hAnsi="宋体" w:cs="宋体" w:eastAsia="宋体" w:hint="default"/>
                <w:spacing w:val="-1"/>
                <w:sz w:val="18"/>
                <w:szCs w:val="18"/>
              </w:rPr>
              <w:t>（</w:t>
            </w:r>
            <w:r>
              <w:rPr>
                <w:rFonts w:ascii="宋体" w:hAnsi="宋体" w:cs="宋体" w:eastAsia="宋体" w:hint="default"/>
                <w:spacing w:val="-1"/>
                <w:sz w:val="18"/>
                <w:szCs w:val="18"/>
              </w:rPr>
              <w:t>18</w:t>
            </w:r>
            <w:r>
              <w:rPr>
                <w:rFonts w:ascii="宋体" w:hAnsi="宋体" w:cs="宋体" w:eastAsia="宋体" w:hint="default"/>
                <w:spacing w:val="-1"/>
                <w:sz w:val="18"/>
                <w:szCs w:val="18"/>
              </w:rPr>
              <w:t>）</w:t>
            </w:r>
            <w:r>
              <w:rPr>
                <w:rFonts w:ascii="宋体" w:hAnsi="宋体" w:cs="宋体" w:eastAsia="宋体" w:hint="default"/>
                <w:sz w:val="18"/>
                <w:szCs w:val="18"/>
              </w:rPr>
              <w:t> </w:t>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both"/>
              <w:rPr>
                <w:rFonts w:ascii="宋体" w:hAnsi="宋体" w:cs="宋体" w:eastAsia="宋体" w:hint="default"/>
                <w:sz w:val="18"/>
                <w:szCs w:val="18"/>
              </w:rPr>
            </w:pPr>
            <w:r>
              <w:rPr>
                <w:rFonts w:ascii="宋体" w:hAnsi="宋体" w:cs="宋体" w:eastAsia="宋体" w:hint="default"/>
                <w:spacing w:val="12"/>
                <w:sz w:val="18"/>
                <w:szCs w:val="18"/>
              </w:rPr>
              <w:t>基于大数据</w:t>
            </w:r>
            <w:r>
              <w:rPr>
                <w:rFonts w:ascii="宋体" w:hAnsi="宋体" w:cs="宋体" w:eastAsia="宋体" w:hint="default"/>
                <w:spacing w:val="-74"/>
                <w:sz w:val="18"/>
                <w:szCs w:val="18"/>
              </w:rPr>
              <w:t> </w:t>
            </w:r>
            <w:r>
              <w:rPr>
                <w:rFonts w:ascii="宋体" w:hAnsi="宋体" w:cs="宋体" w:eastAsia="宋体" w:hint="default"/>
                <w:sz w:val="18"/>
                <w:szCs w:val="18"/>
              </w:rPr>
            </w:r>
          </w:p>
          <w:p>
            <w:pPr>
              <w:pStyle w:val="TableParagraph"/>
              <w:spacing w:line="244" w:lineRule="auto" w:before="4"/>
              <w:ind w:left="103" w:right="83"/>
              <w:jc w:val="both"/>
              <w:rPr>
                <w:rFonts w:ascii="宋体" w:hAnsi="宋体" w:cs="宋体" w:eastAsia="宋体" w:hint="default"/>
                <w:sz w:val="18"/>
                <w:szCs w:val="18"/>
              </w:rPr>
            </w:pPr>
            <w:r>
              <w:rPr>
                <w:rFonts w:ascii="宋体" w:hAnsi="宋体" w:cs="宋体" w:eastAsia="宋体" w:hint="default"/>
                <w:spacing w:val="12"/>
                <w:sz w:val="18"/>
                <w:szCs w:val="18"/>
              </w:rPr>
              <w:t>的基层党建</w:t>
            </w:r>
            <w:r>
              <w:rPr>
                <w:rFonts w:ascii="宋体" w:hAnsi="宋体" w:cs="宋体" w:eastAsia="宋体" w:hint="default"/>
                <w:spacing w:val="-86"/>
                <w:sz w:val="18"/>
                <w:szCs w:val="18"/>
              </w:rPr>
              <w:t> </w:t>
            </w:r>
            <w:r>
              <w:rPr>
                <w:rFonts w:ascii="宋体" w:hAnsi="宋体" w:cs="宋体" w:eastAsia="宋体" w:hint="default"/>
                <w:spacing w:val="12"/>
                <w:sz w:val="18"/>
                <w:szCs w:val="18"/>
              </w:rPr>
              <w:t>工作信息系</w:t>
            </w:r>
            <w:r>
              <w:rPr>
                <w:rFonts w:ascii="宋体" w:hAnsi="宋体" w:cs="宋体" w:eastAsia="宋体" w:hint="default"/>
                <w:spacing w:val="-86"/>
                <w:sz w:val="18"/>
                <w:szCs w:val="18"/>
              </w:rPr>
              <w:t> </w:t>
            </w:r>
            <w:r>
              <w:rPr>
                <w:rFonts w:ascii="宋体" w:hAnsi="宋体" w:cs="宋体" w:eastAsia="宋体" w:hint="default"/>
                <w:sz w:val="18"/>
                <w:szCs w:val="18"/>
              </w:rPr>
              <w:t>统的研发</w:t>
            </w:r>
            <w:r>
              <w:rPr>
                <w:rFonts w:ascii="宋体" w:hAnsi="宋体" w:cs="宋体" w:eastAsia="宋体" w:hint="default"/>
                <w:sz w:val="18"/>
                <w:szCs w:val="18"/>
              </w:rPr>
              <w:t> </w:t>
            </w: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44" w:lineRule="auto" w:before="94"/>
              <w:ind w:left="105" w:right="99"/>
              <w:jc w:val="both"/>
              <w:rPr>
                <w:rFonts w:ascii="宋体" w:hAnsi="宋体" w:cs="宋体" w:eastAsia="宋体" w:hint="default"/>
                <w:sz w:val="18"/>
                <w:szCs w:val="18"/>
              </w:rPr>
            </w:pPr>
            <w:r>
              <w:rPr>
                <w:rFonts w:ascii="宋体" w:hAnsi="宋体" w:cs="宋体" w:eastAsia="宋体" w:hint="default"/>
                <w:spacing w:val="7"/>
                <w:sz w:val="18"/>
                <w:szCs w:val="18"/>
              </w:rPr>
              <w:t>为基层党建提供完善的系统</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7"/>
                <w:sz w:val="18"/>
                <w:szCs w:val="18"/>
              </w:rPr>
              <w:t>管理，提高基层党建工作和管</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理效率。</w:t>
            </w:r>
            <w:r>
              <w:rPr>
                <w:rFonts w:ascii="宋体" w:hAnsi="宋体" w:cs="宋体" w:eastAsia="宋体" w:hint="default"/>
                <w:sz w:val="18"/>
                <w:szCs w:val="18"/>
              </w:rPr>
              <w:t> </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著作权《长实通信党建信息管</w:t>
            </w:r>
          </w:p>
          <w:p>
            <w:pPr>
              <w:pStyle w:val="TableParagraph"/>
              <w:spacing w:line="244" w:lineRule="auto" w:before="4"/>
              <w:ind w:left="103" w:right="11"/>
              <w:jc w:val="left"/>
              <w:rPr>
                <w:rFonts w:ascii="宋体" w:hAnsi="宋体" w:cs="宋体" w:eastAsia="宋体" w:hint="default"/>
                <w:sz w:val="18"/>
                <w:szCs w:val="18"/>
              </w:rPr>
            </w:pPr>
            <w:r>
              <w:rPr>
                <w:rFonts w:ascii="宋体" w:hAnsi="宋体" w:cs="宋体" w:eastAsia="宋体" w:hint="default"/>
                <w:spacing w:val="58"/>
                <w:sz w:val="18"/>
                <w:szCs w:val="18"/>
              </w:rPr>
              <w:t>理系统</w:t>
            </w:r>
            <w:r>
              <w:rPr>
                <w:rFonts w:ascii="宋体" w:hAnsi="宋体" w:cs="宋体" w:eastAsia="宋体" w:hint="default"/>
                <w:sz w:val="18"/>
                <w:szCs w:val="18"/>
              </w:rPr>
              <w:t> </w:t>
            </w:r>
            <w:r>
              <w:rPr>
                <w:rFonts w:ascii="宋体" w:hAnsi="宋体" w:cs="宋体" w:eastAsia="宋体" w:hint="default"/>
                <w:sz w:val="18"/>
                <w:szCs w:val="18"/>
              </w:rPr>
              <w:t>V1.0</w:t>
            </w:r>
            <w:r>
              <w:rPr>
                <w:rFonts w:ascii="宋体" w:hAnsi="宋体" w:cs="宋体" w:eastAsia="宋体" w:hint="default"/>
                <w:spacing w:val="3"/>
                <w:sz w:val="18"/>
                <w:szCs w:val="18"/>
              </w:rPr>
              <w:t> </w:t>
            </w:r>
            <w:r>
              <w:rPr>
                <w:rFonts w:ascii="宋体" w:hAnsi="宋体" w:cs="宋体" w:eastAsia="宋体" w:hint="default"/>
                <w:spacing w:val="66"/>
                <w:sz w:val="18"/>
                <w:szCs w:val="18"/>
              </w:rPr>
              <w:t>》版权号</w:t>
            </w:r>
            <w:r>
              <w:rPr>
                <w:rFonts w:ascii="宋体" w:hAnsi="宋体" w:cs="宋体" w:eastAsia="宋体" w:hint="default"/>
                <w:spacing w:val="-2"/>
                <w:sz w:val="18"/>
                <w:szCs w:val="18"/>
              </w:rPr>
              <w:t> </w:t>
            </w:r>
            <w:r>
              <w:rPr>
                <w:rFonts w:ascii="宋体" w:hAnsi="宋体" w:cs="宋体" w:eastAsia="宋体" w:hint="default"/>
                <w:spacing w:val="5"/>
                <w:sz w:val="18"/>
                <w:szCs w:val="18"/>
              </w:rPr>
              <w:t>2020SR0061068</w:t>
            </w:r>
            <w:r>
              <w:rPr>
                <w:rFonts w:ascii="宋体" w:hAnsi="宋体" w:cs="宋体" w:eastAsia="宋体" w:hint="default"/>
                <w:spacing w:val="5"/>
                <w:sz w:val="18"/>
                <w:szCs w:val="18"/>
              </w:rPr>
              <w:t>。系统为基层</w:t>
            </w:r>
            <w:r>
              <w:rPr>
                <w:rFonts w:ascii="宋体" w:hAnsi="宋体" w:cs="宋体" w:eastAsia="宋体" w:hint="default"/>
                <w:spacing w:val="14"/>
                <w:sz w:val="18"/>
                <w:szCs w:val="18"/>
              </w:rPr>
              <w:t> 党组织提供的基于大数据的</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4" w:lineRule="auto"/>
              <w:ind w:left="105" w:right="98"/>
              <w:jc w:val="left"/>
              <w:rPr>
                <w:rFonts w:ascii="宋体" w:hAnsi="宋体" w:cs="宋体" w:eastAsia="宋体" w:hint="default"/>
                <w:sz w:val="18"/>
                <w:szCs w:val="18"/>
              </w:rPr>
            </w:pPr>
            <w:r>
              <w:rPr>
                <w:rFonts w:ascii="宋体" w:hAnsi="宋体" w:cs="宋体" w:eastAsia="宋体" w:hint="default"/>
                <w:sz w:val="18"/>
                <w:szCs w:val="18"/>
              </w:rPr>
              <w:t>完善企业党建工作，为企业扩 充基层党建服务业务。</w:t>
            </w:r>
            <w:r>
              <w:rPr>
                <w:rFonts w:ascii="宋体" w:hAnsi="宋体" w:cs="宋体" w:eastAsia="宋体" w:hint="default"/>
                <w:sz w:val="18"/>
                <w:szCs w:val="18"/>
              </w:rPr>
              <w:t> </w:t>
            </w:r>
          </w:p>
        </w:tc>
      </w:tr>
      <w:tr>
        <w:trPr>
          <w:trHeight w:val="240"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党建工作信息系统，提升党员</w:t>
            </w:r>
          </w:p>
        </w:tc>
        <w:tc>
          <w:tcPr>
            <w:tcW w:w="2552" w:type="dxa"/>
            <w:tcBorders>
              <w:top w:val="nil" w:sz="6" w:space="0" w:color="auto"/>
              <w:left w:val="single" w:sz="4" w:space="0" w:color="000000"/>
              <w:bottom w:val="nil" w:sz="6" w:space="0" w:color="auto"/>
              <w:right w:val="single" w:sz="4" w:space="0" w:color="000000"/>
            </w:tcBorders>
          </w:tcPr>
          <w:p>
            <w:pPr/>
          </w:p>
        </w:tc>
      </w:tr>
      <w:tr>
        <w:trPr>
          <w:trHeight w:val="237" w:hRule="exact"/>
        </w:trPr>
        <w:tc>
          <w:tcPr>
            <w:tcW w:w="881" w:type="dxa"/>
            <w:tcBorders>
              <w:top w:val="nil" w:sz="6" w:space="0" w:color="auto"/>
              <w:left w:val="single" w:sz="4" w:space="0" w:color="000000"/>
              <w:bottom w:val="single" w:sz="4" w:space="0" w:color="000000"/>
              <w:right w:val="single" w:sz="4" w:space="0" w:color="000000"/>
            </w:tcBorders>
          </w:tcPr>
          <w:p>
            <w:pPr/>
          </w:p>
        </w:tc>
        <w:tc>
          <w:tcPr>
            <w:tcW w:w="1181" w:type="dxa"/>
            <w:tcBorders>
              <w:top w:val="nil" w:sz="6" w:space="0" w:color="auto"/>
              <w:left w:val="single" w:sz="4" w:space="0" w:color="000000"/>
              <w:bottom w:val="single" w:sz="4" w:space="0" w:color="000000"/>
              <w:right w:val="single" w:sz="4" w:space="0" w:color="000000"/>
            </w:tcBorders>
          </w:tcPr>
          <w:p>
            <w:pPr/>
          </w:p>
        </w:tc>
        <w:tc>
          <w:tcPr>
            <w:tcW w:w="2475" w:type="dxa"/>
            <w:tcBorders>
              <w:top w:val="nil" w:sz="6" w:space="0" w:color="auto"/>
              <w:left w:val="single" w:sz="4" w:space="0" w:color="000000"/>
              <w:bottom w:val="single" w:sz="4" w:space="0" w:color="000000"/>
              <w:right w:val="single" w:sz="4" w:space="0" w:color="000000"/>
            </w:tcBorders>
          </w:tcPr>
          <w:p>
            <w:pPr/>
          </w:p>
        </w:tc>
        <w:tc>
          <w:tcPr>
            <w:tcW w:w="2552" w:type="dxa"/>
            <w:tcBorders>
              <w:top w:val="nil" w:sz="6" w:space="0" w:color="auto"/>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信息管理水平。</w:t>
            </w:r>
            <w:r>
              <w:rPr>
                <w:rFonts w:ascii="宋体" w:hAnsi="宋体" w:cs="宋体" w:eastAsia="宋体" w:hint="default"/>
                <w:sz w:val="18"/>
                <w:szCs w:val="18"/>
              </w:rPr>
              <w:t> </w:t>
            </w:r>
          </w:p>
        </w:tc>
        <w:tc>
          <w:tcPr>
            <w:tcW w:w="2552" w:type="dxa"/>
            <w:tcBorders>
              <w:top w:val="nil" w:sz="6" w:space="0" w:color="auto"/>
              <w:left w:val="single" w:sz="4" w:space="0" w:color="000000"/>
              <w:bottom w:val="single" w:sz="4" w:space="0" w:color="000000"/>
              <w:right w:val="single" w:sz="4" w:space="0" w:color="000000"/>
            </w:tcBorders>
          </w:tcPr>
          <w:p>
            <w:pPr/>
          </w:p>
        </w:tc>
      </w:tr>
      <w:tr>
        <w:trPr>
          <w:trHeight w:val="252" w:hRule="exact"/>
        </w:trPr>
        <w:tc>
          <w:tcPr>
            <w:tcW w:w="881" w:type="dxa"/>
            <w:tcBorders>
              <w:top w:val="single" w:sz="4" w:space="0" w:color="000000"/>
              <w:left w:val="single" w:sz="4" w:space="0" w:color="000000"/>
              <w:bottom w:val="nil" w:sz="6" w:space="0" w:color="auto"/>
              <w:right w:val="single" w:sz="4" w:space="0" w:color="000000"/>
            </w:tcBorders>
          </w:tcPr>
          <w:p>
            <w:pPr/>
          </w:p>
        </w:tc>
        <w:tc>
          <w:tcPr>
            <w:tcW w:w="1181" w:type="dxa"/>
            <w:tcBorders>
              <w:top w:val="single" w:sz="4" w:space="0" w:color="000000"/>
              <w:left w:val="single" w:sz="4" w:space="0" w:color="000000"/>
              <w:bottom w:val="nil" w:sz="6" w:space="0" w:color="auto"/>
              <w:right w:val="single" w:sz="4" w:space="0" w:color="000000"/>
            </w:tcBorders>
          </w:tcPr>
          <w:p>
            <w:pPr/>
          </w:p>
        </w:tc>
        <w:tc>
          <w:tcPr>
            <w:tcW w:w="2475" w:type="dxa"/>
            <w:tcBorders>
              <w:top w:val="single" w:sz="4" w:space="0" w:color="000000"/>
              <w:left w:val="single" w:sz="4" w:space="0" w:color="000000"/>
              <w:bottom w:val="nil" w:sz="6" w:space="0" w:color="auto"/>
              <w:right w:val="single" w:sz="4" w:space="0" w:color="000000"/>
            </w:tcBorders>
          </w:tcPr>
          <w:p>
            <w:pPr/>
          </w:p>
        </w:tc>
        <w:tc>
          <w:tcPr>
            <w:tcW w:w="2552" w:type="dxa"/>
            <w:tcBorders>
              <w:top w:val="single" w:sz="4" w:space="0" w:color="000000"/>
              <w:left w:val="single" w:sz="4" w:space="0" w:color="000000"/>
              <w:bottom w:val="nil" w:sz="6" w:space="0" w:color="auto"/>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研发中，提升企业在 </w:t>
            </w:r>
            <w:r>
              <w:rPr>
                <w:rFonts w:ascii="宋体" w:hAnsi="宋体" w:cs="宋体" w:eastAsia="宋体" w:hint="default"/>
                <w:sz w:val="18"/>
                <w:szCs w:val="18"/>
              </w:rPr>
              <w:t>5G</w:t>
            </w:r>
            <w:r>
              <w:rPr>
                <w:rFonts w:ascii="宋体" w:hAnsi="宋体" w:cs="宋体" w:eastAsia="宋体" w:hint="default"/>
                <w:spacing w:val="-3"/>
                <w:sz w:val="18"/>
                <w:szCs w:val="18"/>
              </w:rPr>
              <w:t> </w:t>
            </w:r>
            <w:r>
              <w:rPr>
                <w:rFonts w:ascii="宋体" w:hAnsi="宋体" w:cs="宋体" w:eastAsia="宋体" w:hint="default"/>
                <w:sz w:val="18"/>
                <w:szCs w:val="18"/>
              </w:rPr>
              <w:t>领域</w:t>
            </w:r>
          </w:p>
        </w:tc>
        <w:tc>
          <w:tcPr>
            <w:tcW w:w="2552" w:type="dxa"/>
            <w:tcBorders>
              <w:top w:val="single" w:sz="4" w:space="0" w:color="000000"/>
              <w:left w:val="single" w:sz="4" w:space="0" w:color="000000"/>
              <w:bottom w:val="nil" w:sz="6" w:space="0" w:color="auto"/>
              <w:right w:val="single" w:sz="4" w:space="0" w:color="000000"/>
            </w:tcBorders>
          </w:tcPr>
          <w:p>
            <w:pPr/>
          </w:p>
        </w:tc>
      </w:tr>
      <w:tr>
        <w:trPr>
          <w:trHeight w:val="240"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5G</w:t>
            </w:r>
            <w:r>
              <w:rPr>
                <w:rFonts w:ascii="宋体" w:hAnsi="宋体" w:cs="宋体" w:eastAsia="宋体" w:hint="default"/>
                <w:spacing w:val="-21"/>
                <w:sz w:val="18"/>
                <w:szCs w:val="18"/>
              </w:rPr>
              <w:t> </w:t>
            </w:r>
            <w:r>
              <w:rPr>
                <w:rFonts w:ascii="宋体" w:hAnsi="宋体" w:cs="宋体" w:eastAsia="宋体" w:hint="default"/>
                <w:sz w:val="18"/>
                <w:szCs w:val="18"/>
              </w:rPr>
              <w:t>数字化室</w:t>
            </w: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扩大</w:t>
            </w:r>
            <w:r>
              <w:rPr>
                <w:rFonts w:ascii="宋体" w:hAnsi="宋体" w:cs="宋体" w:eastAsia="宋体" w:hint="default"/>
                <w:spacing w:val="-42"/>
                <w:sz w:val="18"/>
                <w:szCs w:val="18"/>
              </w:rPr>
              <w:t> </w:t>
            </w:r>
            <w:r>
              <w:rPr>
                <w:rFonts w:ascii="宋体" w:hAnsi="宋体" w:cs="宋体" w:eastAsia="宋体" w:hint="default"/>
                <w:sz w:val="18"/>
                <w:szCs w:val="18"/>
              </w:rPr>
              <w:t>5G</w:t>
            </w:r>
            <w:r>
              <w:rPr>
                <w:rFonts w:ascii="宋体" w:hAnsi="宋体" w:cs="宋体" w:eastAsia="宋体" w:hint="default"/>
                <w:spacing w:val="-41"/>
                <w:sz w:val="18"/>
                <w:szCs w:val="18"/>
              </w:rPr>
              <w:t> </w:t>
            </w:r>
            <w:r>
              <w:rPr>
                <w:rFonts w:ascii="宋体" w:hAnsi="宋体" w:cs="宋体" w:eastAsia="宋体" w:hint="default"/>
                <w:sz w:val="18"/>
                <w:szCs w:val="18"/>
              </w:rPr>
              <w:t>室内数字化产品生态</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pacing w:val="6"/>
                <w:sz w:val="18"/>
                <w:szCs w:val="18"/>
              </w:rPr>
              <w:t>的技术实力，为企业切入</w:t>
            </w:r>
            <w:r>
              <w:rPr>
                <w:rFonts w:ascii="宋体" w:hAnsi="宋体" w:cs="宋体" w:eastAsia="宋体" w:hint="default"/>
                <w:spacing w:val="19"/>
                <w:sz w:val="18"/>
                <w:szCs w:val="18"/>
              </w:rPr>
              <w:t> </w:t>
            </w:r>
            <w:r>
              <w:rPr>
                <w:rFonts w:ascii="宋体" w:hAnsi="宋体" w:cs="宋体" w:eastAsia="宋体" w:hint="default"/>
                <w:sz w:val="18"/>
                <w:szCs w:val="18"/>
              </w:rPr>
              <w:t>5G</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pacing w:val="14"/>
                <w:sz w:val="18"/>
                <w:szCs w:val="18"/>
              </w:rPr>
              <w:t>为企业新业务扩充做原始积</w:t>
            </w:r>
          </w:p>
        </w:tc>
      </w:tr>
      <w:tr>
        <w:trPr>
          <w:trHeight w:val="240" w:hRule="exact"/>
        </w:trPr>
        <w:tc>
          <w:tcPr>
            <w:tcW w:w="881" w:type="dxa"/>
            <w:tcBorders>
              <w:top w:val="nil" w:sz="6" w:space="0" w:color="auto"/>
              <w:left w:val="single" w:sz="4" w:space="0" w:color="000000"/>
              <w:bottom w:val="nil" w:sz="6" w:space="0" w:color="auto"/>
              <w:right w:val="single" w:sz="4" w:space="0" w:color="000000"/>
            </w:tcBorders>
          </w:tcPr>
          <w:p>
            <w:pPr>
              <w:pStyle w:val="TableParagraph"/>
              <w:spacing w:line="210" w:lineRule="exact"/>
              <w:ind w:right="73"/>
              <w:jc w:val="right"/>
              <w:rPr>
                <w:rFonts w:ascii="宋体" w:hAnsi="宋体" w:cs="宋体" w:eastAsia="宋体" w:hint="default"/>
                <w:sz w:val="18"/>
                <w:szCs w:val="18"/>
              </w:rPr>
            </w:pPr>
            <w:r>
              <w:rPr>
                <w:rFonts w:ascii="宋体" w:hAnsi="宋体" w:cs="宋体" w:eastAsia="宋体" w:hint="default"/>
                <w:spacing w:val="-1"/>
                <w:sz w:val="18"/>
                <w:szCs w:val="18"/>
              </w:rPr>
              <w:t>（</w:t>
            </w:r>
            <w:r>
              <w:rPr>
                <w:rFonts w:ascii="宋体" w:hAnsi="宋体" w:cs="宋体" w:eastAsia="宋体" w:hint="default"/>
                <w:spacing w:val="-1"/>
                <w:sz w:val="18"/>
                <w:szCs w:val="18"/>
              </w:rPr>
              <w:t>19</w:t>
            </w:r>
            <w:r>
              <w:rPr>
                <w:rFonts w:ascii="宋体" w:hAnsi="宋体" w:cs="宋体" w:eastAsia="宋体" w:hint="default"/>
                <w:spacing w:val="-1"/>
                <w:sz w:val="18"/>
                <w:szCs w:val="18"/>
              </w:rPr>
              <w:t>）</w:t>
            </w:r>
            <w:r>
              <w:rPr>
                <w:rFonts w:ascii="宋体" w:hAnsi="宋体" w:cs="宋体" w:eastAsia="宋体" w:hint="default"/>
                <w:sz w:val="18"/>
                <w:szCs w:val="18"/>
              </w:rPr>
              <w:t> </w:t>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pacing w:val="12"/>
                <w:sz w:val="18"/>
                <w:szCs w:val="18"/>
              </w:rPr>
              <w:t>内覆盖系统</w:t>
            </w:r>
            <w:r>
              <w:rPr>
                <w:rFonts w:ascii="宋体" w:hAnsi="宋体" w:cs="宋体" w:eastAsia="宋体" w:hint="default"/>
                <w:spacing w:val="-74"/>
                <w:sz w:val="18"/>
                <w:szCs w:val="18"/>
              </w:rPr>
              <w:t> </w:t>
            </w:r>
            <w:r>
              <w:rPr>
                <w:rFonts w:ascii="宋体" w:hAnsi="宋体" w:cs="宋体" w:eastAsia="宋体" w:hint="default"/>
                <w:sz w:val="18"/>
                <w:szCs w:val="18"/>
              </w:rPr>
            </w: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范围</w:t>
            </w:r>
            <w:r>
              <w:rPr>
                <w:rFonts w:ascii="宋体" w:hAnsi="宋体" w:cs="宋体" w:eastAsia="宋体" w:hint="default"/>
                <w:spacing w:val="-82"/>
                <w:sz w:val="18"/>
                <w:szCs w:val="18"/>
              </w:rPr>
              <w:t>，</w:t>
            </w:r>
            <w:r>
              <w:rPr>
                <w:rFonts w:ascii="宋体" w:hAnsi="宋体" w:cs="宋体" w:eastAsia="宋体" w:hint="default"/>
                <w:sz w:val="18"/>
                <w:szCs w:val="18"/>
              </w:rPr>
              <w:t>不同产品形态对应不同</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pacing w:val="14"/>
                <w:sz w:val="18"/>
                <w:szCs w:val="18"/>
              </w:rPr>
              <w:t>终端网络的建设及维护提供</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累，丰富企业的业务类型和收</w:t>
            </w:r>
          </w:p>
        </w:tc>
      </w:tr>
      <w:tr>
        <w:trPr>
          <w:trHeight w:val="240"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的研发</w:t>
            </w:r>
            <w:r>
              <w:rPr>
                <w:rFonts w:ascii="宋体" w:hAnsi="宋体" w:cs="宋体" w:eastAsia="宋体" w:hint="default"/>
                <w:sz w:val="18"/>
                <w:szCs w:val="18"/>
              </w:rPr>
              <w:t> </w:t>
            </w: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室内场景，形成差异化部署</w:t>
            </w:r>
            <w:r>
              <w:rPr>
                <w:rFonts w:ascii="宋体" w:hAnsi="宋体" w:cs="宋体" w:eastAsia="宋体" w:hint="default"/>
                <w:spacing w:val="-81"/>
                <w:sz w:val="18"/>
                <w:szCs w:val="18"/>
              </w:rPr>
              <w:t>。</w:t>
            </w:r>
            <w:r>
              <w:rPr>
                <w:rFonts w:ascii="宋体" w:hAnsi="宋体" w:cs="宋体" w:eastAsia="宋体" w:hint="default"/>
                <w:sz w:val="18"/>
                <w:szCs w:val="18"/>
              </w:rPr>
              <w:t> </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产品和技术服务，丰富企业业</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入来源。</w:t>
            </w:r>
            <w:r>
              <w:rPr>
                <w:rFonts w:ascii="宋体" w:hAnsi="宋体" w:cs="宋体" w:eastAsia="宋体" w:hint="default"/>
                <w:sz w:val="18"/>
                <w:szCs w:val="18"/>
              </w:rPr>
              <w:t> </w:t>
            </w:r>
          </w:p>
        </w:tc>
      </w:tr>
      <w:tr>
        <w:trPr>
          <w:trHeight w:val="237" w:hRule="exact"/>
        </w:trPr>
        <w:tc>
          <w:tcPr>
            <w:tcW w:w="881" w:type="dxa"/>
            <w:tcBorders>
              <w:top w:val="nil" w:sz="6" w:space="0" w:color="auto"/>
              <w:left w:val="single" w:sz="4" w:space="0" w:color="000000"/>
              <w:bottom w:val="single" w:sz="4" w:space="0" w:color="000000"/>
              <w:right w:val="single" w:sz="4" w:space="0" w:color="000000"/>
            </w:tcBorders>
          </w:tcPr>
          <w:p>
            <w:pPr/>
          </w:p>
        </w:tc>
        <w:tc>
          <w:tcPr>
            <w:tcW w:w="1181" w:type="dxa"/>
            <w:tcBorders>
              <w:top w:val="nil" w:sz="6" w:space="0" w:color="auto"/>
              <w:left w:val="single" w:sz="4" w:space="0" w:color="000000"/>
              <w:bottom w:val="single" w:sz="4" w:space="0" w:color="000000"/>
              <w:right w:val="single" w:sz="4" w:space="0" w:color="000000"/>
            </w:tcBorders>
          </w:tcPr>
          <w:p>
            <w:pPr/>
          </w:p>
        </w:tc>
        <w:tc>
          <w:tcPr>
            <w:tcW w:w="2475" w:type="dxa"/>
            <w:tcBorders>
              <w:top w:val="nil" w:sz="6" w:space="0" w:color="auto"/>
              <w:left w:val="single" w:sz="4" w:space="0" w:color="000000"/>
              <w:bottom w:val="single" w:sz="4" w:space="0" w:color="000000"/>
              <w:right w:val="single" w:sz="4" w:space="0" w:color="000000"/>
            </w:tcBorders>
          </w:tcPr>
          <w:p>
            <w:pPr/>
          </w:p>
        </w:tc>
        <w:tc>
          <w:tcPr>
            <w:tcW w:w="2552" w:type="dxa"/>
            <w:tcBorders>
              <w:top w:val="nil" w:sz="6" w:space="0" w:color="auto"/>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务类型。</w:t>
            </w:r>
            <w:r>
              <w:rPr>
                <w:rFonts w:ascii="宋体" w:hAnsi="宋体" w:cs="宋体" w:eastAsia="宋体" w:hint="default"/>
                <w:sz w:val="18"/>
                <w:szCs w:val="18"/>
              </w:rPr>
              <w:t> </w:t>
            </w:r>
          </w:p>
        </w:tc>
        <w:tc>
          <w:tcPr>
            <w:tcW w:w="2552" w:type="dxa"/>
            <w:tcBorders>
              <w:top w:val="nil" w:sz="6" w:space="0" w:color="auto"/>
              <w:left w:val="single" w:sz="4" w:space="0" w:color="000000"/>
              <w:bottom w:val="single" w:sz="4" w:space="0" w:color="000000"/>
              <w:right w:val="single" w:sz="4" w:space="0" w:color="000000"/>
            </w:tcBorders>
          </w:tcPr>
          <w:p>
            <w:pPr/>
          </w:p>
        </w:tc>
      </w:tr>
      <w:tr>
        <w:trPr>
          <w:trHeight w:val="252" w:hRule="exact"/>
        </w:trPr>
        <w:tc>
          <w:tcPr>
            <w:tcW w:w="881" w:type="dxa"/>
            <w:tcBorders>
              <w:top w:val="single" w:sz="4" w:space="0" w:color="000000"/>
              <w:left w:val="single" w:sz="4" w:space="0" w:color="000000"/>
              <w:bottom w:val="nil" w:sz="6" w:space="0" w:color="auto"/>
              <w:right w:val="single" w:sz="4" w:space="0" w:color="000000"/>
            </w:tcBorders>
          </w:tcPr>
          <w:p>
            <w:pPr/>
          </w:p>
        </w:tc>
        <w:tc>
          <w:tcPr>
            <w:tcW w:w="1181" w:type="dxa"/>
            <w:tcBorders>
              <w:top w:val="single" w:sz="4" w:space="0" w:color="000000"/>
              <w:left w:val="single" w:sz="4" w:space="0" w:color="000000"/>
              <w:bottom w:val="nil" w:sz="6" w:space="0" w:color="auto"/>
              <w:right w:val="single" w:sz="4" w:space="0" w:color="000000"/>
            </w:tcBorders>
          </w:tcPr>
          <w:p>
            <w:pPr/>
          </w:p>
        </w:tc>
        <w:tc>
          <w:tcPr>
            <w:tcW w:w="2475" w:type="dxa"/>
            <w:tcBorders>
              <w:top w:val="single" w:sz="4" w:space="0" w:color="000000"/>
              <w:left w:val="single" w:sz="4" w:space="0" w:color="000000"/>
              <w:bottom w:val="nil" w:sz="6" w:space="0" w:color="auto"/>
              <w:right w:val="single" w:sz="4" w:space="0" w:color="000000"/>
            </w:tcBorders>
          </w:tcPr>
          <w:p>
            <w:pPr/>
          </w:p>
        </w:tc>
        <w:tc>
          <w:tcPr>
            <w:tcW w:w="2552" w:type="dxa"/>
            <w:tcBorders>
              <w:top w:val="single" w:sz="4" w:space="0" w:color="000000"/>
              <w:left w:val="single" w:sz="4" w:space="0" w:color="000000"/>
              <w:bottom w:val="nil" w:sz="6" w:space="0" w:color="auto"/>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研发中，实现 </w:t>
            </w:r>
            <w:r>
              <w:rPr>
                <w:rFonts w:ascii="宋体" w:hAnsi="宋体" w:cs="宋体" w:eastAsia="宋体" w:hint="default"/>
                <w:sz w:val="18"/>
                <w:szCs w:val="18"/>
              </w:rPr>
              <w:t>5G</w:t>
            </w:r>
            <w:r>
              <w:rPr>
                <w:rFonts w:ascii="宋体" w:hAnsi="宋体" w:cs="宋体" w:eastAsia="宋体" w:hint="default"/>
                <w:spacing w:val="-3"/>
                <w:sz w:val="18"/>
                <w:szCs w:val="18"/>
              </w:rPr>
              <w:t> </w:t>
            </w:r>
            <w:r>
              <w:rPr>
                <w:rFonts w:ascii="宋体" w:hAnsi="宋体" w:cs="宋体" w:eastAsia="宋体" w:hint="default"/>
                <w:sz w:val="18"/>
                <w:szCs w:val="18"/>
              </w:rPr>
              <w:t>基站及室分</w:t>
            </w:r>
          </w:p>
        </w:tc>
        <w:tc>
          <w:tcPr>
            <w:tcW w:w="2552" w:type="dxa"/>
            <w:tcBorders>
              <w:top w:val="single" w:sz="4" w:space="0" w:color="000000"/>
              <w:left w:val="single" w:sz="4" w:space="0" w:color="000000"/>
              <w:bottom w:val="nil" w:sz="6" w:space="0" w:color="auto"/>
              <w:right w:val="single" w:sz="4" w:space="0" w:color="000000"/>
            </w:tcBorders>
          </w:tcPr>
          <w:p>
            <w:pPr/>
          </w:p>
        </w:tc>
      </w:tr>
      <w:tr>
        <w:trPr>
          <w:trHeight w:val="240"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天线的管理，针对能够不同的</w:t>
            </w:r>
          </w:p>
        </w:tc>
        <w:tc>
          <w:tcPr>
            <w:tcW w:w="2552" w:type="dxa"/>
            <w:tcBorders>
              <w:top w:val="nil" w:sz="6" w:space="0" w:color="auto"/>
              <w:left w:val="single" w:sz="4" w:space="0" w:color="000000"/>
              <w:bottom w:val="nil" w:sz="6" w:space="0" w:color="auto"/>
              <w:right w:val="single" w:sz="4" w:space="0" w:color="000000"/>
            </w:tcBorders>
          </w:tcPr>
          <w:p>
            <w:pPr/>
          </w:p>
        </w:tc>
      </w:tr>
      <w:tr>
        <w:trPr>
          <w:trHeight w:val="240"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pacing w:val="14"/>
                <w:sz w:val="18"/>
                <w:szCs w:val="18"/>
              </w:rPr>
              <w:t>应用场景定制不同的场景平</w:t>
            </w:r>
          </w:p>
        </w:tc>
        <w:tc>
          <w:tcPr>
            <w:tcW w:w="2552" w:type="dxa"/>
            <w:tcBorders>
              <w:top w:val="nil" w:sz="6" w:space="0" w:color="auto"/>
              <w:left w:val="single" w:sz="4" w:space="0" w:color="000000"/>
              <w:bottom w:val="nil" w:sz="6" w:space="0" w:color="auto"/>
              <w:right w:val="single" w:sz="4" w:space="0" w:color="000000"/>
            </w:tcBorders>
          </w:tcPr>
          <w:p>
            <w:pPr/>
          </w:p>
        </w:tc>
      </w:tr>
      <w:tr>
        <w:trPr>
          <w:trHeight w:val="240"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5G</w:t>
            </w:r>
            <w:r>
              <w:rPr>
                <w:rFonts w:ascii="宋体" w:hAnsi="宋体" w:cs="宋体" w:eastAsia="宋体" w:hint="default"/>
                <w:spacing w:val="-21"/>
                <w:sz w:val="18"/>
                <w:szCs w:val="18"/>
              </w:rPr>
              <w:t> </w:t>
            </w:r>
            <w:r>
              <w:rPr>
                <w:rFonts w:ascii="宋体" w:hAnsi="宋体" w:cs="宋体" w:eastAsia="宋体" w:hint="default"/>
                <w:sz w:val="18"/>
                <w:szCs w:val="18"/>
              </w:rPr>
              <w:t>基站室分</w:t>
            </w: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管理</w:t>
            </w:r>
            <w:r>
              <w:rPr>
                <w:rFonts w:ascii="宋体" w:hAnsi="宋体" w:cs="宋体" w:eastAsia="宋体" w:hint="default"/>
                <w:spacing w:val="-42"/>
                <w:sz w:val="18"/>
                <w:szCs w:val="18"/>
              </w:rPr>
              <w:t> </w:t>
            </w:r>
            <w:r>
              <w:rPr>
                <w:rFonts w:ascii="宋体" w:hAnsi="宋体" w:cs="宋体" w:eastAsia="宋体" w:hint="default"/>
                <w:sz w:val="18"/>
                <w:szCs w:val="18"/>
              </w:rPr>
              <w:t>5G</w:t>
            </w:r>
            <w:r>
              <w:rPr>
                <w:rFonts w:ascii="宋体" w:hAnsi="宋体" w:cs="宋体" w:eastAsia="宋体" w:hint="default"/>
                <w:spacing w:val="-41"/>
                <w:sz w:val="18"/>
                <w:szCs w:val="18"/>
              </w:rPr>
              <w:t> </w:t>
            </w:r>
            <w:r>
              <w:rPr>
                <w:rFonts w:ascii="宋体" w:hAnsi="宋体" w:cs="宋体" w:eastAsia="宋体" w:hint="default"/>
                <w:sz w:val="18"/>
                <w:szCs w:val="18"/>
              </w:rPr>
              <w:t>基站室分天线，兼容</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pacing w:val="-7"/>
                <w:sz w:val="18"/>
                <w:szCs w:val="18"/>
              </w:rPr>
              <w:t>面地图，记录每个基站、网关、</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pacing w:val="14"/>
                <w:sz w:val="18"/>
                <w:szCs w:val="18"/>
              </w:rPr>
              <w:t>为企业新业务扩充做原始积</w:t>
            </w:r>
          </w:p>
        </w:tc>
      </w:tr>
      <w:tr>
        <w:trPr>
          <w:trHeight w:val="240" w:hRule="exact"/>
        </w:trPr>
        <w:tc>
          <w:tcPr>
            <w:tcW w:w="881" w:type="dxa"/>
            <w:tcBorders>
              <w:top w:val="nil" w:sz="6" w:space="0" w:color="auto"/>
              <w:left w:val="single" w:sz="4" w:space="0" w:color="000000"/>
              <w:bottom w:val="nil" w:sz="6" w:space="0" w:color="auto"/>
              <w:right w:val="single" w:sz="4" w:space="0" w:color="000000"/>
            </w:tcBorders>
          </w:tcPr>
          <w:p>
            <w:pPr>
              <w:pStyle w:val="TableParagraph"/>
              <w:spacing w:line="210" w:lineRule="exact"/>
              <w:ind w:right="73"/>
              <w:jc w:val="right"/>
              <w:rPr>
                <w:rFonts w:ascii="宋体" w:hAnsi="宋体" w:cs="宋体" w:eastAsia="宋体" w:hint="default"/>
                <w:sz w:val="18"/>
                <w:szCs w:val="18"/>
              </w:rPr>
            </w:pPr>
            <w:r>
              <w:rPr>
                <w:rFonts w:ascii="宋体" w:hAnsi="宋体" w:cs="宋体" w:eastAsia="宋体" w:hint="default"/>
                <w:spacing w:val="-1"/>
                <w:sz w:val="18"/>
                <w:szCs w:val="18"/>
              </w:rPr>
              <w:t>（</w:t>
            </w:r>
            <w:r>
              <w:rPr>
                <w:rFonts w:ascii="宋体" w:hAnsi="宋体" w:cs="宋体" w:eastAsia="宋体" w:hint="default"/>
                <w:spacing w:val="-1"/>
                <w:sz w:val="18"/>
                <w:szCs w:val="18"/>
              </w:rPr>
              <w:t>20</w:t>
            </w:r>
            <w:r>
              <w:rPr>
                <w:rFonts w:ascii="宋体" w:hAnsi="宋体" w:cs="宋体" w:eastAsia="宋体" w:hint="default"/>
                <w:spacing w:val="-1"/>
                <w:sz w:val="18"/>
                <w:szCs w:val="18"/>
              </w:rPr>
              <w:t>）</w:t>
            </w:r>
            <w:r>
              <w:rPr>
                <w:rFonts w:ascii="宋体" w:hAnsi="宋体" w:cs="宋体" w:eastAsia="宋体" w:hint="default"/>
                <w:sz w:val="18"/>
                <w:szCs w:val="18"/>
              </w:rPr>
              <w:t> </w:t>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pacing w:val="12"/>
                <w:sz w:val="18"/>
                <w:szCs w:val="18"/>
              </w:rPr>
              <w:t>天线管理系</w:t>
            </w:r>
            <w:r>
              <w:rPr>
                <w:rFonts w:ascii="宋体" w:hAnsi="宋体" w:cs="宋体" w:eastAsia="宋体" w:hint="default"/>
                <w:spacing w:val="-74"/>
                <w:sz w:val="18"/>
                <w:szCs w:val="18"/>
              </w:rPr>
              <w:t> </w:t>
            </w:r>
            <w:r>
              <w:rPr>
                <w:rFonts w:ascii="宋体" w:hAnsi="宋体" w:cs="宋体" w:eastAsia="宋体" w:hint="default"/>
                <w:sz w:val="18"/>
                <w:szCs w:val="18"/>
              </w:rPr>
            </w: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蓝牙</w:t>
            </w:r>
            <w:r>
              <w:rPr>
                <w:rFonts w:ascii="宋体" w:hAnsi="宋体" w:cs="宋体" w:eastAsia="宋体" w:hint="default"/>
                <w:spacing w:val="-41"/>
                <w:sz w:val="18"/>
                <w:szCs w:val="18"/>
              </w:rPr>
              <w:t> </w:t>
            </w:r>
            <w:r>
              <w:rPr>
                <w:rFonts w:ascii="宋体" w:hAnsi="宋体" w:cs="宋体" w:eastAsia="宋体" w:hint="default"/>
                <w:sz w:val="18"/>
                <w:szCs w:val="18"/>
              </w:rPr>
              <w:t>beacon</w:t>
            </w:r>
            <w:r>
              <w:rPr>
                <w:rFonts w:ascii="宋体" w:hAnsi="宋体" w:cs="宋体" w:eastAsia="宋体" w:hint="default"/>
                <w:spacing w:val="-39"/>
                <w:sz w:val="18"/>
                <w:szCs w:val="18"/>
              </w:rPr>
              <w:t> </w:t>
            </w:r>
            <w:r>
              <w:rPr>
                <w:rFonts w:ascii="宋体" w:hAnsi="宋体" w:cs="宋体" w:eastAsia="宋体" w:hint="default"/>
                <w:sz w:val="18"/>
                <w:szCs w:val="18"/>
              </w:rPr>
              <w:t>设备的定位信息</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pacing w:val="13"/>
                <w:sz w:val="18"/>
                <w:szCs w:val="18"/>
              </w:rPr>
              <w:t>室分天线的定位，</w:t>
            </w:r>
            <w:r>
              <w:rPr>
                <w:rFonts w:ascii="宋体" w:hAnsi="宋体" w:cs="宋体" w:eastAsia="宋体" w:hint="default"/>
                <w:spacing w:val="-69"/>
                <w:sz w:val="18"/>
                <w:szCs w:val="18"/>
              </w:rPr>
              <w:t> </w:t>
            </w:r>
            <w:r>
              <w:rPr>
                <w:rFonts w:ascii="宋体" w:hAnsi="宋体" w:cs="宋体" w:eastAsia="宋体" w:hint="default"/>
                <w:spacing w:val="11"/>
                <w:sz w:val="18"/>
                <w:szCs w:val="18"/>
              </w:rPr>
              <w:t>状态等信</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累，丰富企业的业务类型和收</w:t>
            </w:r>
          </w:p>
        </w:tc>
      </w:tr>
      <w:tr>
        <w:trPr>
          <w:trHeight w:val="240"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统的开发</w:t>
            </w:r>
            <w:r>
              <w:rPr>
                <w:rFonts w:ascii="宋体" w:hAnsi="宋体" w:cs="宋体" w:eastAsia="宋体" w:hint="default"/>
                <w:sz w:val="18"/>
                <w:szCs w:val="18"/>
              </w:rPr>
              <w:t> </w:t>
            </w: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查询。</w:t>
            </w:r>
            <w:r>
              <w:rPr>
                <w:rFonts w:ascii="宋体" w:hAnsi="宋体" w:cs="宋体" w:eastAsia="宋体" w:hint="default"/>
                <w:sz w:val="18"/>
                <w:szCs w:val="18"/>
              </w:rPr>
              <w:t> </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息，实现可视化运维。能够兼</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入来源。</w:t>
            </w:r>
            <w:r>
              <w:rPr>
                <w:rFonts w:ascii="宋体" w:hAnsi="宋体" w:cs="宋体" w:eastAsia="宋体" w:hint="default"/>
                <w:sz w:val="18"/>
                <w:szCs w:val="18"/>
              </w:rPr>
              <w:t> </w:t>
            </w:r>
          </w:p>
        </w:tc>
      </w:tr>
      <w:tr>
        <w:trPr>
          <w:trHeight w:val="240"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容蓝牙 </w:t>
            </w:r>
            <w:r>
              <w:rPr>
                <w:rFonts w:ascii="宋体" w:hAnsi="宋体" w:cs="宋体" w:eastAsia="宋体" w:hint="default"/>
                <w:sz w:val="18"/>
                <w:szCs w:val="18"/>
              </w:rPr>
              <w:t>beacon</w:t>
            </w:r>
            <w:r>
              <w:rPr>
                <w:rFonts w:ascii="宋体" w:hAnsi="宋体" w:cs="宋体" w:eastAsia="宋体" w:hint="default"/>
                <w:spacing w:val="-6"/>
                <w:sz w:val="18"/>
                <w:szCs w:val="18"/>
              </w:rPr>
              <w:t> </w:t>
            </w:r>
            <w:r>
              <w:rPr>
                <w:rFonts w:ascii="宋体" w:hAnsi="宋体" w:cs="宋体" w:eastAsia="宋体" w:hint="default"/>
                <w:sz w:val="18"/>
                <w:szCs w:val="18"/>
              </w:rPr>
              <w:t>设备的定位信</w:t>
            </w:r>
          </w:p>
        </w:tc>
        <w:tc>
          <w:tcPr>
            <w:tcW w:w="2552" w:type="dxa"/>
            <w:tcBorders>
              <w:top w:val="nil" w:sz="6" w:space="0" w:color="auto"/>
              <w:left w:val="single" w:sz="4" w:space="0" w:color="000000"/>
              <w:bottom w:val="nil" w:sz="6" w:space="0" w:color="auto"/>
              <w:right w:val="single" w:sz="4" w:space="0" w:color="000000"/>
            </w:tcBorders>
          </w:tcPr>
          <w:p>
            <w:pPr/>
          </w:p>
        </w:tc>
      </w:tr>
      <w:tr>
        <w:trPr>
          <w:trHeight w:val="240"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息查询，动态跟踪等，能够满</w:t>
            </w:r>
          </w:p>
        </w:tc>
        <w:tc>
          <w:tcPr>
            <w:tcW w:w="2552" w:type="dxa"/>
            <w:tcBorders>
              <w:top w:val="nil" w:sz="6" w:space="0" w:color="auto"/>
              <w:left w:val="single" w:sz="4" w:space="0" w:color="000000"/>
              <w:bottom w:val="nil" w:sz="6" w:space="0" w:color="auto"/>
              <w:right w:val="single" w:sz="4" w:space="0" w:color="000000"/>
            </w:tcBorders>
          </w:tcPr>
          <w:p>
            <w:pPr/>
          </w:p>
        </w:tc>
      </w:tr>
      <w:tr>
        <w:trPr>
          <w:trHeight w:val="237" w:hRule="exact"/>
        </w:trPr>
        <w:tc>
          <w:tcPr>
            <w:tcW w:w="881" w:type="dxa"/>
            <w:tcBorders>
              <w:top w:val="nil" w:sz="6" w:space="0" w:color="auto"/>
              <w:left w:val="single" w:sz="4" w:space="0" w:color="000000"/>
              <w:bottom w:val="single" w:sz="4" w:space="0" w:color="000000"/>
              <w:right w:val="single" w:sz="4" w:space="0" w:color="000000"/>
            </w:tcBorders>
          </w:tcPr>
          <w:p>
            <w:pPr/>
          </w:p>
        </w:tc>
        <w:tc>
          <w:tcPr>
            <w:tcW w:w="1181" w:type="dxa"/>
            <w:tcBorders>
              <w:top w:val="nil" w:sz="6" w:space="0" w:color="auto"/>
              <w:left w:val="single" w:sz="4" w:space="0" w:color="000000"/>
              <w:bottom w:val="single" w:sz="4" w:space="0" w:color="000000"/>
              <w:right w:val="single" w:sz="4" w:space="0" w:color="000000"/>
            </w:tcBorders>
          </w:tcPr>
          <w:p>
            <w:pPr/>
          </w:p>
        </w:tc>
        <w:tc>
          <w:tcPr>
            <w:tcW w:w="2475" w:type="dxa"/>
            <w:tcBorders>
              <w:top w:val="nil" w:sz="6" w:space="0" w:color="auto"/>
              <w:left w:val="single" w:sz="4" w:space="0" w:color="000000"/>
              <w:bottom w:val="single" w:sz="4" w:space="0" w:color="000000"/>
              <w:right w:val="single" w:sz="4" w:space="0" w:color="000000"/>
            </w:tcBorders>
          </w:tcPr>
          <w:p>
            <w:pPr/>
          </w:p>
        </w:tc>
        <w:tc>
          <w:tcPr>
            <w:tcW w:w="2552" w:type="dxa"/>
            <w:tcBorders>
              <w:top w:val="nil" w:sz="6" w:space="0" w:color="auto"/>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足不同场景的应用需求。</w:t>
            </w:r>
            <w:r>
              <w:rPr>
                <w:rFonts w:ascii="宋体" w:hAnsi="宋体" w:cs="宋体" w:eastAsia="宋体" w:hint="default"/>
                <w:sz w:val="18"/>
                <w:szCs w:val="18"/>
              </w:rPr>
              <w:t> </w:t>
            </w:r>
          </w:p>
        </w:tc>
        <w:tc>
          <w:tcPr>
            <w:tcW w:w="2552" w:type="dxa"/>
            <w:tcBorders>
              <w:top w:val="nil" w:sz="6" w:space="0" w:color="auto"/>
              <w:left w:val="single" w:sz="4" w:space="0" w:color="000000"/>
              <w:bottom w:val="single" w:sz="4" w:space="0" w:color="000000"/>
              <w:right w:val="single" w:sz="4" w:space="0" w:color="000000"/>
            </w:tcBorders>
          </w:tcPr>
          <w:p>
            <w:pPr/>
          </w:p>
        </w:tc>
      </w:tr>
      <w:tr>
        <w:trPr>
          <w:trHeight w:val="252" w:hRule="exact"/>
        </w:trPr>
        <w:tc>
          <w:tcPr>
            <w:tcW w:w="881" w:type="dxa"/>
            <w:tcBorders>
              <w:top w:val="single" w:sz="4" w:space="0" w:color="000000"/>
              <w:left w:val="single" w:sz="4" w:space="0" w:color="000000"/>
              <w:bottom w:val="nil" w:sz="6" w:space="0" w:color="auto"/>
              <w:right w:val="single" w:sz="4" w:space="0" w:color="000000"/>
            </w:tcBorders>
          </w:tcPr>
          <w:p>
            <w:pPr/>
          </w:p>
        </w:tc>
        <w:tc>
          <w:tcPr>
            <w:tcW w:w="1181" w:type="dxa"/>
            <w:tcBorders>
              <w:top w:val="single" w:sz="4" w:space="0" w:color="000000"/>
              <w:left w:val="single" w:sz="4" w:space="0" w:color="000000"/>
              <w:bottom w:val="nil" w:sz="6" w:space="0" w:color="auto"/>
              <w:right w:val="single" w:sz="4" w:space="0" w:color="000000"/>
            </w:tcBorders>
          </w:tcPr>
          <w:p>
            <w:pPr/>
          </w:p>
        </w:tc>
        <w:tc>
          <w:tcPr>
            <w:tcW w:w="2475" w:type="dxa"/>
            <w:tcBorders>
              <w:top w:val="single" w:sz="4" w:space="0" w:color="000000"/>
              <w:left w:val="single" w:sz="4" w:space="0" w:color="000000"/>
              <w:bottom w:val="nil" w:sz="6" w:space="0" w:color="auto"/>
              <w:right w:val="single" w:sz="4" w:space="0" w:color="000000"/>
            </w:tcBorders>
          </w:tcPr>
          <w:p>
            <w:pPr>
              <w:pStyle w:val="TableParagraph"/>
              <w:spacing w:line="217" w:lineRule="exact"/>
              <w:ind w:left="105" w:right="0"/>
              <w:jc w:val="left"/>
              <w:rPr>
                <w:rFonts w:ascii="宋体" w:hAnsi="宋体" w:cs="宋体" w:eastAsia="宋体" w:hint="default"/>
                <w:sz w:val="18"/>
                <w:szCs w:val="18"/>
              </w:rPr>
            </w:pPr>
            <w:r>
              <w:rPr>
                <w:rFonts w:ascii="宋体" w:hAnsi="宋体" w:cs="宋体" w:eastAsia="宋体" w:hint="default"/>
                <w:spacing w:val="7"/>
                <w:sz w:val="18"/>
                <w:szCs w:val="18"/>
              </w:rPr>
              <w:t>根据银监会及保监会的政策</w:t>
            </w:r>
          </w:p>
        </w:tc>
        <w:tc>
          <w:tcPr>
            <w:tcW w:w="2552" w:type="dxa"/>
            <w:tcBorders>
              <w:top w:val="single" w:sz="4" w:space="0" w:color="000000"/>
              <w:left w:val="single" w:sz="4" w:space="0" w:color="000000"/>
              <w:bottom w:val="nil" w:sz="6" w:space="0" w:color="auto"/>
              <w:right w:val="single" w:sz="4" w:space="0" w:color="000000"/>
            </w:tcBorders>
          </w:tcPr>
          <w:p>
            <w:pPr/>
          </w:p>
        </w:tc>
        <w:tc>
          <w:tcPr>
            <w:tcW w:w="2552" w:type="dxa"/>
            <w:tcBorders>
              <w:top w:val="single" w:sz="4" w:space="0" w:color="000000"/>
              <w:left w:val="single" w:sz="4" w:space="0" w:color="000000"/>
              <w:bottom w:val="nil" w:sz="6" w:space="0" w:color="auto"/>
              <w:right w:val="single" w:sz="4" w:space="0" w:color="000000"/>
            </w:tcBorders>
          </w:tcPr>
          <w:p>
            <w:pPr/>
          </w:p>
        </w:tc>
      </w:tr>
      <w:tr>
        <w:trPr>
          <w:trHeight w:val="240"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要求</w:t>
            </w:r>
            <w:r>
              <w:rPr>
                <w:rFonts w:ascii="宋体" w:hAnsi="宋体" w:cs="宋体" w:eastAsia="宋体" w:hint="default"/>
                <w:spacing w:val="-82"/>
                <w:sz w:val="18"/>
                <w:szCs w:val="18"/>
              </w:rPr>
              <w:t>，</w:t>
            </w:r>
            <w:r>
              <w:rPr>
                <w:rFonts w:ascii="宋体" w:hAnsi="宋体" w:cs="宋体" w:eastAsia="宋体" w:hint="default"/>
                <w:sz w:val="18"/>
                <w:szCs w:val="18"/>
              </w:rPr>
              <w:t>销售人员在销售产品时</w:t>
            </w:r>
          </w:p>
        </w:tc>
        <w:tc>
          <w:tcPr>
            <w:tcW w:w="2552" w:type="dxa"/>
            <w:tcBorders>
              <w:top w:val="nil" w:sz="6" w:space="0" w:color="auto"/>
              <w:left w:val="single" w:sz="4" w:space="0" w:color="000000"/>
              <w:bottom w:val="nil" w:sz="6" w:space="0" w:color="auto"/>
              <w:right w:val="single" w:sz="4" w:space="0" w:color="000000"/>
            </w:tcBorders>
          </w:tcPr>
          <w:p>
            <w:pPr/>
          </w:p>
        </w:tc>
        <w:tc>
          <w:tcPr>
            <w:tcW w:w="2552" w:type="dxa"/>
            <w:tcBorders>
              <w:top w:val="nil" w:sz="6" w:space="0" w:color="auto"/>
              <w:left w:val="single" w:sz="4" w:space="0" w:color="000000"/>
              <w:bottom w:val="nil" w:sz="6" w:space="0" w:color="auto"/>
              <w:right w:val="single" w:sz="4" w:space="0" w:color="000000"/>
            </w:tcBorders>
          </w:tcPr>
          <w:p>
            <w:pPr/>
          </w:p>
        </w:tc>
      </w:tr>
      <w:tr>
        <w:trPr>
          <w:trHeight w:val="240"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整个销售过程要进行‘双录’</w:t>
            </w:r>
          </w:p>
        </w:tc>
        <w:tc>
          <w:tcPr>
            <w:tcW w:w="2552" w:type="dxa"/>
            <w:tcBorders>
              <w:top w:val="nil" w:sz="6" w:space="0" w:color="auto"/>
              <w:left w:val="single" w:sz="4" w:space="0" w:color="000000"/>
              <w:bottom w:val="nil" w:sz="6" w:space="0" w:color="auto"/>
              <w:right w:val="single" w:sz="4" w:space="0" w:color="000000"/>
            </w:tcBorders>
          </w:tcPr>
          <w:p>
            <w:pPr/>
          </w:p>
        </w:tc>
        <w:tc>
          <w:tcPr>
            <w:tcW w:w="2552" w:type="dxa"/>
            <w:tcBorders>
              <w:top w:val="nil" w:sz="6" w:space="0" w:color="auto"/>
              <w:left w:val="single" w:sz="4" w:space="0" w:color="000000"/>
              <w:bottom w:val="nil" w:sz="6" w:space="0" w:color="auto"/>
              <w:right w:val="single" w:sz="4" w:space="0" w:color="000000"/>
            </w:tcBorders>
          </w:tcPr>
          <w:p>
            <w:pPr/>
          </w:p>
        </w:tc>
      </w:tr>
      <w:tr>
        <w:trPr>
          <w:trHeight w:val="240"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行为</w:t>
            </w:r>
            <w:r>
              <w:rPr>
                <w:rFonts w:ascii="宋体" w:hAnsi="宋体" w:cs="宋体" w:eastAsia="宋体" w:hint="default"/>
                <w:spacing w:val="-82"/>
                <w:sz w:val="18"/>
                <w:szCs w:val="18"/>
              </w:rPr>
              <w:t>，</w:t>
            </w:r>
            <w:r>
              <w:rPr>
                <w:rFonts w:ascii="宋体" w:hAnsi="宋体" w:cs="宋体" w:eastAsia="宋体" w:hint="default"/>
                <w:sz w:val="18"/>
                <w:szCs w:val="18"/>
              </w:rPr>
              <w:t>记录整个销售过程包括</w:t>
            </w:r>
          </w:p>
        </w:tc>
        <w:tc>
          <w:tcPr>
            <w:tcW w:w="2552" w:type="dxa"/>
            <w:tcBorders>
              <w:top w:val="nil" w:sz="6" w:space="0" w:color="auto"/>
              <w:left w:val="single" w:sz="4" w:space="0" w:color="000000"/>
              <w:bottom w:val="nil" w:sz="6" w:space="0" w:color="auto"/>
              <w:right w:val="single" w:sz="4" w:space="0" w:color="000000"/>
            </w:tcBorders>
          </w:tcPr>
          <w:p>
            <w:pPr/>
          </w:p>
        </w:tc>
        <w:tc>
          <w:tcPr>
            <w:tcW w:w="2552" w:type="dxa"/>
            <w:tcBorders>
              <w:top w:val="nil" w:sz="6" w:space="0" w:color="auto"/>
              <w:left w:val="single" w:sz="4" w:space="0" w:color="000000"/>
              <w:bottom w:val="nil" w:sz="6" w:space="0" w:color="auto"/>
              <w:right w:val="single" w:sz="4" w:space="0" w:color="000000"/>
            </w:tcBorders>
          </w:tcPr>
          <w:p>
            <w:pPr/>
          </w:p>
        </w:tc>
      </w:tr>
      <w:tr>
        <w:trPr>
          <w:trHeight w:val="1680" w:hRule="exact"/>
        </w:trPr>
        <w:tc>
          <w:tcPr>
            <w:tcW w:w="88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4"/>
                <w:szCs w:val="24"/>
              </w:rPr>
            </w:pPr>
          </w:p>
          <w:p>
            <w:pPr>
              <w:pStyle w:val="TableParagraph"/>
              <w:spacing w:line="240" w:lineRule="auto"/>
              <w:ind w:right="73"/>
              <w:jc w:val="right"/>
              <w:rPr>
                <w:rFonts w:ascii="宋体" w:hAnsi="宋体" w:cs="宋体" w:eastAsia="宋体" w:hint="default"/>
                <w:sz w:val="18"/>
                <w:szCs w:val="18"/>
              </w:rPr>
            </w:pPr>
            <w:r>
              <w:rPr>
                <w:rFonts w:ascii="宋体" w:hAnsi="宋体" w:cs="宋体" w:eastAsia="宋体" w:hint="default"/>
                <w:spacing w:val="-1"/>
                <w:sz w:val="18"/>
                <w:szCs w:val="18"/>
              </w:rPr>
              <w:t>（</w:t>
            </w:r>
            <w:r>
              <w:rPr>
                <w:rFonts w:ascii="宋体" w:hAnsi="宋体" w:cs="宋体" w:eastAsia="宋体" w:hint="default"/>
                <w:spacing w:val="-1"/>
                <w:sz w:val="18"/>
                <w:szCs w:val="18"/>
              </w:rPr>
              <w:t>21</w:t>
            </w:r>
            <w:r>
              <w:rPr>
                <w:rFonts w:ascii="宋体" w:hAnsi="宋体" w:cs="宋体" w:eastAsia="宋体" w:hint="default"/>
                <w:spacing w:val="-1"/>
                <w:sz w:val="18"/>
                <w:szCs w:val="18"/>
              </w:rPr>
              <w:t>）</w:t>
            </w:r>
            <w:r>
              <w:rPr>
                <w:rFonts w:ascii="宋体" w:hAnsi="宋体" w:cs="宋体" w:eastAsia="宋体" w:hint="default"/>
                <w:sz w:val="18"/>
                <w:szCs w:val="18"/>
              </w:rPr>
              <w:t> </w:t>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4" w:lineRule="auto"/>
              <w:ind w:left="103" w:right="83"/>
              <w:jc w:val="both"/>
              <w:rPr>
                <w:rFonts w:ascii="宋体" w:hAnsi="宋体" w:cs="宋体" w:eastAsia="宋体" w:hint="default"/>
                <w:sz w:val="18"/>
                <w:szCs w:val="18"/>
              </w:rPr>
            </w:pPr>
            <w:r>
              <w:rPr>
                <w:rFonts w:ascii="宋体" w:hAnsi="宋体" w:cs="宋体" w:eastAsia="宋体" w:hint="default"/>
                <w:spacing w:val="12"/>
                <w:sz w:val="18"/>
                <w:szCs w:val="18"/>
              </w:rPr>
              <w:t>录牛在线面</w:t>
            </w:r>
            <w:r>
              <w:rPr>
                <w:rFonts w:ascii="宋体" w:hAnsi="宋体" w:cs="宋体" w:eastAsia="宋体" w:hint="default"/>
                <w:spacing w:val="-86"/>
                <w:sz w:val="18"/>
                <w:szCs w:val="18"/>
              </w:rPr>
              <w:t> </w:t>
            </w:r>
            <w:r>
              <w:rPr>
                <w:rFonts w:ascii="宋体" w:hAnsi="宋体" w:cs="宋体" w:eastAsia="宋体" w:hint="default"/>
                <w:spacing w:val="12"/>
                <w:sz w:val="18"/>
                <w:szCs w:val="18"/>
              </w:rPr>
              <w:t>签系统（双</w:t>
            </w:r>
            <w:r>
              <w:rPr>
                <w:rFonts w:ascii="宋体" w:hAnsi="宋体" w:cs="宋体" w:eastAsia="宋体" w:hint="default"/>
                <w:spacing w:val="-86"/>
                <w:sz w:val="18"/>
                <w:szCs w:val="18"/>
              </w:rPr>
              <w:t> </w:t>
            </w:r>
            <w:r>
              <w:rPr>
                <w:rFonts w:ascii="宋体" w:hAnsi="宋体" w:cs="宋体" w:eastAsia="宋体" w:hint="default"/>
                <w:sz w:val="18"/>
                <w:szCs w:val="18"/>
              </w:rPr>
              <w:t>录平台）</w:t>
            </w:r>
            <w:r>
              <w:rPr>
                <w:rFonts w:ascii="宋体" w:hAnsi="宋体" w:cs="宋体" w:eastAsia="宋体" w:hint="default"/>
                <w:sz w:val="18"/>
                <w:szCs w:val="18"/>
              </w:rPr>
              <w:t> </w:t>
            </w: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both"/>
              <w:rPr>
                <w:rFonts w:ascii="宋体" w:hAnsi="宋体" w:cs="宋体" w:eastAsia="宋体" w:hint="default"/>
                <w:sz w:val="18"/>
                <w:szCs w:val="18"/>
              </w:rPr>
            </w:pPr>
            <w:r>
              <w:rPr>
                <w:rFonts w:ascii="宋体" w:hAnsi="宋体" w:cs="宋体" w:eastAsia="宋体" w:hint="default"/>
                <w:spacing w:val="7"/>
                <w:sz w:val="18"/>
                <w:szCs w:val="18"/>
              </w:rPr>
              <w:t>必要的风险揭示、风险测评</w:t>
            </w:r>
          </w:p>
          <w:p>
            <w:pPr>
              <w:pStyle w:val="TableParagraph"/>
              <w:spacing w:line="244" w:lineRule="auto" w:before="4"/>
              <w:ind w:left="105" w:right="98"/>
              <w:jc w:val="both"/>
              <w:rPr>
                <w:rFonts w:ascii="宋体" w:hAnsi="宋体" w:cs="宋体" w:eastAsia="宋体" w:hint="default"/>
                <w:sz w:val="18"/>
                <w:szCs w:val="18"/>
              </w:rPr>
            </w:pPr>
            <w:r>
              <w:rPr>
                <w:rFonts w:ascii="宋体" w:hAnsi="宋体" w:cs="宋体" w:eastAsia="宋体" w:hint="default"/>
                <w:spacing w:val="7"/>
                <w:sz w:val="18"/>
                <w:szCs w:val="18"/>
              </w:rPr>
              <w:t>等，以实现事后重要信息查</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7"/>
                <w:sz w:val="18"/>
                <w:szCs w:val="18"/>
              </w:rPr>
              <w:t>询，与问题责任界定。在线面</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7"/>
                <w:sz w:val="18"/>
                <w:szCs w:val="18"/>
              </w:rPr>
              <w:t>签系统即为金融机构、理财师</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7"/>
                <w:sz w:val="18"/>
                <w:szCs w:val="18"/>
              </w:rPr>
              <w:t>提供符合监管要求的管理平</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7"/>
                <w:sz w:val="18"/>
                <w:szCs w:val="18"/>
              </w:rPr>
              <w:t>台，通过信息化系统，约束和</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7"/>
                <w:sz w:val="18"/>
                <w:szCs w:val="18"/>
              </w:rPr>
              <w:t>规范销售过程，并对销售工作</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4" w:lineRule="auto" w:before="94"/>
              <w:ind w:left="103" w:right="98"/>
              <w:jc w:val="both"/>
              <w:rPr>
                <w:rFonts w:ascii="宋体" w:hAnsi="宋体" w:cs="宋体" w:eastAsia="宋体" w:hint="default"/>
                <w:sz w:val="18"/>
                <w:szCs w:val="18"/>
              </w:rPr>
            </w:pPr>
            <w:r>
              <w:rPr>
                <w:rFonts w:ascii="宋体" w:hAnsi="宋体" w:cs="宋体" w:eastAsia="宋体" w:hint="default"/>
                <w:sz w:val="18"/>
                <w:szCs w:val="18"/>
              </w:rPr>
              <w:t>已完成 </w:t>
            </w:r>
            <w:r>
              <w:rPr>
                <w:rFonts w:ascii="宋体" w:hAnsi="宋体" w:cs="宋体" w:eastAsia="宋体" w:hint="default"/>
                <w:sz w:val="18"/>
                <w:szCs w:val="18"/>
              </w:rPr>
              <w:t>PC</w:t>
            </w:r>
            <w:r>
              <w:rPr>
                <w:rFonts w:ascii="宋体" w:hAnsi="宋体" w:cs="宋体" w:eastAsia="宋体" w:hint="default"/>
                <w:spacing w:val="-4"/>
                <w:sz w:val="18"/>
                <w:szCs w:val="18"/>
              </w:rPr>
              <w:t> </w:t>
            </w:r>
            <w:r>
              <w:rPr>
                <w:rFonts w:ascii="宋体" w:hAnsi="宋体" w:cs="宋体" w:eastAsia="宋体" w:hint="default"/>
                <w:sz w:val="18"/>
                <w:szCs w:val="18"/>
              </w:rPr>
              <w:t>端及移动端研发， 主要目标是助力销售机构、理 </w:t>
            </w:r>
            <w:r>
              <w:rPr>
                <w:rFonts w:ascii="宋体" w:hAnsi="宋体" w:cs="宋体" w:eastAsia="宋体" w:hint="default"/>
                <w:spacing w:val="14"/>
                <w:sz w:val="18"/>
                <w:szCs w:val="18"/>
              </w:rPr>
              <w:t>财师完成整个销售过程的双</w:t>
            </w:r>
            <w:r>
              <w:rPr>
                <w:rFonts w:ascii="宋体" w:hAnsi="宋体" w:cs="宋体" w:eastAsia="宋体" w:hint="default"/>
                <w:sz w:val="18"/>
                <w:szCs w:val="18"/>
              </w:rPr>
              <w:t> 录操作，实现便捷高效地录音 录像操作，对整个销售过程留 痕及文件存档。</w:t>
            </w:r>
            <w:r>
              <w:rPr>
                <w:rFonts w:ascii="宋体" w:hAnsi="宋体" w:cs="宋体" w:eastAsia="宋体" w:hint="default"/>
                <w:sz w:val="18"/>
                <w:szCs w:val="18"/>
              </w:rPr>
              <w:t> </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4" w:lineRule="auto" w:before="160"/>
              <w:ind w:left="105" w:right="99"/>
              <w:jc w:val="left"/>
              <w:rPr>
                <w:rFonts w:ascii="宋体" w:hAnsi="宋体" w:cs="宋体" w:eastAsia="宋体" w:hint="default"/>
                <w:sz w:val="18"/>
                <w:szCs w:val="18"/>
              </w:rPr>
            </w:pPr>
            <w:r>
              <w:rPr>
                <w:rFonts w:ascii="宋体" w:hAnsi="宋体" w:cs="宋体" w:eastAsia="宋体" w:hint="default"/>
                <w:sz w:val="18"/>
                <w:szCs w:val="18"/>
              </w:rPr>
              <w:t>产品已开始出售，增加公司软 件开发及应用业务收入</w:t>
            </w:r>
            <w:r>
              <w:rPr>
                <w:rFonts w:ascii="宋体" w:hAnsi="宋体" w:cs="宋体" w:eastAsia="宋体" w:hint="default"/>
                <w:sz w:val="18"/>
                <w:szCs w:val="18"/>
              </w:rPr>
              <w:t> </w:t>
            </w:r>
          </w:p>
        </w:tc>
      </w:tr>
      <w:tr>
        <w:trPr>
          <w:trHeight w:val="240"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提供帮助</w:t>
            </w:r>
            <w:r>
              <w:rPr>
                <w:rFonts w:ascii="宋体" w:hAnsi="宋体" w:cs="宋体" w:eastAsia="宋体" w:hint="default"/>
                <w:spacing w:val="-82"/>
                <w:sz w:val="18"/>
                <w:szCs w:val="18"/>
              </w:rPr>
              <w:t>，</w:t>
            </w:r>
            <w:r>
              <w:rPr>
                <w:rFonts w:ascii="宋体" w:hAnsi="宋体" w:cs="宋体" w:eastAsia="宋体" w:hint="default"/>
                <w:sz w:val="18"/>
                <w:szCs w:val="18"/>
              </w:rPr>
              <w:t>能更好的为客户提</w:t>
            </w:r>
          </w:p>
        </w:tc>
        <w:tc>
          <w:tcPr>
            <w:tcW w:w="2552" w:type="dxa"/>
            <w:tcBorders>
              <w:top w:val="nil" w:sz="6" w:space="0" w:color="auto"/>
              <w:left w:val="single" w:sz="4" w:space="0" w:color="000000"/>
              <w:bottom w:val="nil" w:sz="6" w:space="0" w:color="auto"/>
              <w:right w:val="single" w:sz="4" w:space="0" w:color="000000"/>
            </w:tcBorders>
          </w:tcPr>
          <w:p>
            <w:pPr/>
          </w:p>
        </w:tc>
        <w:tc>
          <w:tcPr>
            <w:tcW w:w="2552" w:type="dxa"/>
            <w:tcBorders>
              <w:top w:val="nil" w:sz="6" w:space="0" w:color="auto"/>
              <w:left w:val="single" w:sz="4" w:space="0" w:color="000000"/>
              <w:bottom w:val="nil" w:sz="6" w:space="0" w:color="auto"/>
              <w:right w:val="single" w:sz="4" w:space="0" w:color="000000"/>
            </w:tcBorders>
          </w:tcPr>
          <w:p>
            <w:pPr/>
          </w:p>
        </w:tc>
      </w:tr>
      <w:tr>
        <w:trPr>
          <w:trHeight w:val="240"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供服务</w:t>
            </w:r>
            <w:r>
              <w:rPr>
                <w:rFonts w:ascii="宋体" w:hAnsi="宋体" w:cs="宋体" w:eastAsia="宋体" w:hint="default"/>
                <w:spacing w:val="-82"/>
                <w:sz w:val="18"/>
                <w:szCs w:val="18"/>
              </w:rPr>
              <w:t>，</w:t>
            </w:r>
            <w:r>
              <w:rPr>
                <w:rFonts w:ascii="宋体" w:hAnsi="宋体" w:cs="宋体" w:eastAsia="宋体" w:hint="default"/>
                <w:sz w:val="18"/>
                <w:szCs w:val="18"/>
              </w:rPr>
              <w:t>通过产品销售过程视</w:t>
            </w:r>
          </w:p>
        </w:tc>
        <w:tc>
          <w:tcPr>
            <w:tcW w:w="2552" w:type="dxa"/>
            <w:tcBorders>
              <w:top w:val="nil" w:sz="6" w:space="0" w:color="auto"/>
              <w:left w:val="single" w:sz="4" w:space="0" w:color="000000"/>
              <w:bottom w:val="nil" w:sz="6" w:space="0" w:color="auto"/>
              <w:right w:val="single" w:sz="4" w:space="0" w:color="000000"/>
            </w:tcBorders>
          </w:tcPr>
          <w:p>
            <w:pPr/>
          </w:p>
        </w:tc>
        <w:tc>
          <w:tcPr>
            <w:tcW w:w="2552" w:type="dxa"/>
            <w:tcBorders>
              <w:top w:val="nil" w:sz="6" w:space="0" w:color="auto"/>
              <w:left w:val="single" w:sz="4" w:space="0" w:color="000000"/>
              <w:bottom w:val="nil" w:sz="6" w:space="0" w:color="auto"/>
              <w:right w:val="single" w:sz="4" w:space="0" w:color="000000"/>
            </w:tcBorders>
          </w:tcPr>
          <w:p>
            <w:pPr/>
          </w:p>
        </w:tc>
      </w:tr>
      <w:tr>
        <w:trPr>
          <w:trHeight w:val="240"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频见证</w:t>
            </w:r>
            <w:r>
              <w:rPr>
                <w:rFonts w:ascii="宋体" w:hAnsi="宋体" w:cs="宋体" w:eastAsia="宋体" w:hint="default"/>
                <w:spacing w:val="-82"/>
                <w:sz w:val="18"/>
                <w:szCs w:val="18"/>
              </w:rPr>
              <w:t>，</w:t>
            </w:r>
            <w:r>
              <w:rPr>
                <w:rFonts w:ascii="宋体" w:hAnsi="宋体" w:cs="宋体" w:eastAsia="宋体" w:hint="default"/>
                <w:sz w:val="18"/>
                <w:szCs w:val="18"/>
              </w:rPr>
              <w:t>避免可能发生的合同</w:t>
            </w:r>
          </w:p>
        </w:tc>
        <w:tc>
          <w:tcPr>
            <w:tcW w:w="2552" w:type="dxa"/>
            <w:tcBorders>
              <w:top w:val="nil" w:sz="6" w:space="0" w:color="auto"/>
              <w:left w:val="single" w:sz="4" w:space="0" w:color="000000"/>
              <w:bottom w:val="nil" w:sz="6" w:space="0" w:color="auto"/>
              <w:right w:val="single" w:sz="4" w:space="0" w:color="000000"/>
            </w:tcBorders>
          </w:tcPr>
          <w:p>
            <w:pPr/>
          </w:p>
        </w:tc>
        <w:tc>
          <w:tcPr>
            <w:tcW w:w="2552" w:type="dxa"/>
            <w:tcBorders>
              <w:top w:val="nil" w:sz="6" w:space="0" w:color="auto"/>
              <w:left w:val="single" w:sz="4" w:space="0" w:color="000000"/>
              <w:bottom w:val="nil" w:sz="6" w:space="0" w:color="auto"/>
              <w:right w:val="single" w:sz="4" w:space="0" w:color="000000"/>
            </w:tcBorders>
          </w:tcPr>
          <w:p>
            <w:pPr/>
          </w:p>
        </w:tc>
      </w:tr>
      <w:tr>
        <w:trPr>
          <w:trHeight w:val="237" w:hRule="exact"/>
        </w:trPr>
        <w:tc>
          <w:tcPr>
            <w:tcW w:w="881" w:type="dxa"/>
            <w:tcBorders>
              <w:top w:val="nil" w:sz="6" w:space="0" w:color="auto"/>
              <w:left w:val="single" w:sz="4" w:space="0" w:color="000000"/>
              <w:bottom w:val="single" w:sz="4" w:space="0" w:color="000000"/>
              <w:right w:val="single" w:sz="4" w:space="0" w:color="000000"/>
            </w:tcBorders>
          </w:tcPr>
          <w:p>
            <w:pPr/>
          </w:p>
        </w:tc>
        <w:tc>
          <w:tcPr>
            <w:tcW w:w="1181" w:type="dxa"/>
            <w:tcBorders>
              <w:top w:val="nil" w:sz="6" w:space="0" w:color="auto"/>
              <w:left w:val="single" w:sz="4" w:space="0" w:color="000000"/>
              <w:bottom w:val="single" w:sz="4" w:space="0" w:color="000000"/>
              <w:right w:val="single" w:sz="4" w:space="0" w:color="000000"/>
            </w:tcBorders>
          </w:tcPr>
          <w:p>
            <w:pPr/>
          </w:p>
        </w:tc>
        <w:tc>
          <w:tcPr>
            <w:tcW w:w="2475" w:type="dxa"/>
            <w:tcBorders>
              <w:top w:val="nil" w:sz="6" w:space="0" w:color="auto"/>
              <w:left w:val="single" w:sz="4" w:space="0" w:color="000000"/>
              <w:bottom w:val="single" w:sz="4" w:space="0" w:color="000000"/>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纠纷。</w:t>
            </w:r>
            <w:r>
              <w:rPr>
                <w:rFonts w:ascii="宋体" w:hAnsi="宋体" w:cs="宋体" w:eastAsia="宋体" w:hint="default"/>
                <w:sz w:val="18"/>
                <w:szCs w:val="18"/>
              </w:rPr>
              <w:t> </w:t>
            </w:r>
          </w:p>
        </w:tc>
        <w:tc>
          <w:tcPr>
            <w:tcW w:w="2552" w:type="dxa"/>
            <w:tcBorders>
              <w:top w:val="nil" w:sz="6" w:space="0" w:color="auto"/>
              <w:left w:val="single" w:sz="4" w:space="0" w:color="000000"/>
              <w:bottom w:val="single" w:sz="4" w:space="0" w:color="000000"/>
              <w:right w:val="single" w:sz="4" w:space="0" w:color="000000"/>
            </w:tcBorders>
          </w:tcPr>
          <w:p>
            <w:pPr/>
          </w:p>
        </w:tc>
        <w:tc>
          <w:tcPr>
            <w:tcW w:w="2552" w:type="dxa"/>
            <w:tcBorders>
              <w:top w:val="nil" w:sz="6" w:space="0" w:color="auto"/>
              <w:left w:val="single" w:sz="4" w:space="0" w:color="000000"/>
              <w:bottom w:val="single" w:sz="4" w:space="0" w:color="000000"/>
              <w:right w:val="single" w:sz="4" w:space="0" w:color="000000"/>
            </w:tcBorders>
          </w:tcPr>
          <w:p>
            <w:pPr/>
          </w:p>
        </w:tc>
      </w:tr>
      <w:tr>
        <w:trPr>
          <w:trHeight w:val="1690" w:hRule="exact"/>
        </w:trPr>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25"/>
                <w:szCs w:val="25"/>
              </w:rPr>
            </w:pPr>
          </w:p>
          <w:p>
            <w:pPr>
              <w:pStyle w:val="TableParagraph"/>
              <w:spacing w:line="240" w:lineRule="auto"/>
              <w:ind w:right="73"/>
              <w:jc w:val="right"/>
              <w:rPr>
                <w:rFonts w:ascii="宋体" w:hAnsi="宋体" w:cs="宋体" w:eastAsia="宋体" w:hint="default"/>
                <w:sz w:val="18"/>
                <w:szCs w:val="18"/>
              </w:rPr>
            </w:pPr>
            <w:r>
              <w:rPr>
                <w:rFonts w:ascii="宋体" w:hAnsi="宋体" w:cs="宋体" w:eastAsia="宋体" w:hint="default"/>
                <w:spacing w:val="-1"/>
                <w:sz w:val="18"/>
                <w:szCs w:val="18"/>
              </w:rPr>
              <w:t>（</w:t>
            </w:r>
            <w:r>
              <w:rPr>
                <w:rFonts w:ascii="宋体" w:hAnsi="宋体" w:cs="宋体" w:eastAsia="宋体" w:hint="default"/>
                <w:spacing w:val="-1"/>
                <w:sz w:val="18"/>
                <w:szCs w:val="18"/>
              </w:rPr>
              <w:t>22</w:t>
            </w:r>
            <w:r>
              <w:rPr>
                <w:rFonts w:ascii="宋体" w:hAnsi="宋体" w:cs="宋体" w:eastAsia="宋体" w:hint="default"/>
                <w:spacing w:val="-1"/>
                <w:sz w:val="18"/>
                <w:szCs w:val="18"/>
              </w:rPr>
              <w:t>）</w:t>
            </w:r>
            <w:r>
              <w:rPr>
                <w:rFonts w:ascii="宋体" w:hAnsi="宋体" w:cs="宋体" w:eastAsia="宋体" w:hint="default"/>
                <w:sz w:val="18"/>
                <w:szCs w:val="18"/>
              </w:rPr>
              <w:t> </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2"/>
                <w:szCs w:val="22"/>
              </w:rPr>
            </w:pPr>
          </w:p>
          <w:p>
            <w:pPr>
              <w:pStyle w:val="TableParagraph"/>
              <w:spacing w:line="244" w:lineRule="auto"/>
              <w:ind w:left="103" w:right="83"/>
              <w:jc w:val="both"/>
              <w:rPr>
                <w:rFonts w:ascii="宋体" w:hAnsi="宋体" w:cs="宋体" w:eastAsia="宋体" w:hint="default"/>
                <w:sz w:val="18"/>
                <w:szCs w:val="18"/>
              </w:rPr>
            </w:pPr>
            <w:r>
              <w:rPr>
                <w:rFonts w:ascii="宋体" w:hAnsi="宋体" w:cs="宋体" w:eastAsia="宋体" w:hint="default"/>
                <w:spacing w:val="12"/>
                <w:sz w:val="18"/>
                <w:szCs w:val="18"/>
              </w:rPr>
              <w:t>智能外呼平</w:t>
            </w:r>
            <w:r>
              <w:rPr>
                <w:rFonts w:ascii="宋体" w:hAnsi="宋体" w:cs="宋体" w:eastAsia="宋体" w:hint="default"/>
                <w:spacing w:val="-86"/>
                <w:sz w:val="18"/>
                <w:szCs w:val="18"/>
              </w:rPr>
              <w:t> </w:t>
            </w:r>
            <w:r>
              <w:rPr>
                <w:rFonts w:ascii="宋体" w:hAnsi="宋体" w:cs="宋体" w:eastAsia="宋体" w:hint="default"/>
                <w:spacing w:val="12"/>
                <w:sz w:val="18"/>
                <w:szCs w:val="18"/>
              </w:rPr>
              <w:t>台（智能外</w:t>
            </w:r>
            <w:r>
              <w:rPr>
                <w:rFonts w:ascii="宋体" w:hAnsi="宋体" w:cs="宋体" w:eastAsia="宋体" w:hint="default"/>
                <w:spacing w:val="-86"/>
                <w:sz w:val="18"/>
                <w:szCs w:val="18"/>
              </w:rPr>
              <w:t> </w:t>
            </w:r>
            <w:r>
              <w:rPr>
                <w:rFonts w:ascii="宋体" w:hAnsi="宋体" w:cs="宋体" w:eastAsia="宋体" w:hint="default"/>
                <w:sz w:val="18"/>
                <w:szCs w:val="18"/>
              </w:rPr>
              <w:t>呼系统）</w:t>
            </w:r>
            <w:r>
              <w:rPr>
                <w:rFonts w:ascii="宋体" w:hAnsi="宋体" w:cs="宋体" w:eastAsia="宋体" w:hint="default"/>
                <w:sz w:val="18"/>
                <w:szCs w:val="18"/>
              </w:rPr>
              <w:t> </w:t>
            </w:r>
          </w:p>
        </w:tc>
        <w:tc>
          <w:tcPr>
            <w:tcW w:w="2475"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before="101"/>
              <w:ind w:left="105" w:right="98"/>
              <w:jc w:val="both"/>
              <w:rPr>
                <w:rFonts w:ascii="宋体" w:hAnsi="宋体" w:cs="宋体" w:eastAsia="宋体" w:hint="default"/>
                <w:sz w:val="18"/>
                <w:szCs w:val="18"/>
              </w:rPr>
            </w:pPr>
            <w:r>
              <w:rPr>
                <w:rFonts w:ascii="宋体" w:hAnsi="宋体" w:cs="宋体" w:eastAsia="宋体" w:hint="default"/>
                <w:spacing w:val="-7"/>
                <w:sz w:val="18"/>
                <w:szCs w:val="18"/>
              </w:rPr>
              <w:t>面向银行、保险行业提供的智</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能外呼平台，将</w:t>
            </w:r>
            <w:r>
              <w:rPr>
                <w:rFonts w:ascii="宋体" w:hAnsi="宋体" w:cs="宋体" w:eastAsia="宋体" w:hint="default"/>
                <w:spacing w:val="-42"/>
                <w:sz w:val="18"/>
                <w:szCs w:val="18"/>
              </w:rPr>
              <w:t> </w:t>
            </w:r>
            <w:r>
              <w:rPr>
                <w:rFonts w:ascii="宋体" w:hAnsi="宋体" w:cs="宋体" w:eastAsia="宋体" w:hint="default"/>
                <w:sz w:val="18"/>
                <w:szCs w:val="18"/>
              </w:rPr>
              <w:t>AI</w:t>
            </w:r>
            <w:r>
              <w:rPr>
                <w:rFonts w:ascii="宋体" w:hAnsi="宋体" w:cs="宋体" w:eastAsia="宋体" w:hint="default"/>
                <w:spacing w:val="-41"/>
                <w:sz w:val="18"/>
                <w:szCs w:val="18"/>
              </w:rPr>
              <w:t> </w:t>
            </w:r>
            <w:r>
              <w:rPr>
                <w:rFonts w:ascii="宋体" w:hAnsi="宋体" w:cs="宋体" w:eastAsia="宋体" w:hint="default"/>
                <w:sz w:val="18"/>
                <w:szCs w:val="18"/>
              </w:rPr>
              <w:t>技术应用 </w:t>
            </w:r>
            <w:r>
              <w:rPr>
                <w:rFonts w:ascii="宋体" w:hAnsi="宋体" w:cs="宋体" w:eastAsia="宋体" w:hint="default"/>
                <w:spacing w:val="-7"/>
                <w:sz w:val="18"/>
                <w:szCs w:val="18"/>
              </w:rPr>
              <w:t>至传统呼叫中心，替代企业原</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7"/>
                <w:sz w:val="18"/>
                <w:szCs w:val="18"/>
              </w:rPr>
              <w:t>有的大量人工客服工作量，解</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7"/>
                <w:sz w:val="18"/>
                <w:szCs w:val="18"/>
              </w:rPr>
              <w:t>决企业传统呼叫中心大量人</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力物力财力的投入的痛点。</w:t>
            </w:r>
            <w:r>
              <w:rPr>
                <w:rFonts w:ascii="宋体" w:hAnsi="宋体" w:cs="宋体" w:eastAsia="宋体" w:hint="default"/>
                <w:sz w:val="18"/>
                <w:szCs w:val="18"/>
              </w:rPr>
              <w:t> </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100"/>
              <w:jc w:val="both"/>
              <w:rPr>
                <w:rFonts w:ascii="宋体" w:hAnsi="宋体" w:cs="宋体" w:eastAsia="宋体" w:hint="default"/>
                <w:sz w:val="18"/>
                <w:szCs w:val="18"/>
              </w:rPr>
            </w:pPr>
            <w:r>
              <w:rPr>
                <w:rFonts w:ascii="宋体" w:hAnsi="宋体" w:cs="宋体" w:eastAsia="宋体" w:hint="default"/>
                <w:sz w:val="18"/>
                <w:szCs w:val="18"/>
              </w:rPr>
              <w:t>一期研发已完成，后续将根据 客户需求进行定制化开发。为 企业构建统一智能知识库、结</w:t>
            </w:r>
          </w:p>
          <w:p>
            <w:pPr>
              <w:pStyle w:val="TableParagraph"/>
              <w:spacing w:line="240" w:lineRule="exact"/>
              <w:ind w:left="103" w:right="96"/>
              <w:jc w:val="both"/>
              <w:rPr>
                <w:rFonts w:ascii="宋体" w:hAnsi="宋体" w:cs="宋体" w:eastAsia="宋体" w:hint="default"/>
                <w:sz w:val="18"/>
                <w:szCs w:val="18"/>
              </w:rPr>
            </w:pPr>
            <w:r>
              <w:rPr>
                <w:rFonts w:ascii="宋体" w:hAnsi="宋体" w:cs="宋体" w:eastAsia="宋体" w:hint="default"/>
                <w:spacing w:val="14"/>
                <w:sz w:val="18"/>
                <w:szCs w:val="18"/>
              </w:rPr>
              <w:t>合自身业务运用智能外呼平</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台实现智能机器人辅助外呼， 提高人工产能、降低企业人力</w:t>
            </w:r>
            <w:r>
              <w:rPr>
                <w:rFonts w:ascii="宋体" w:hAnsi="宋体" w:cs="宋体" w:eastAsia="宋体" w:hint="default"/>
                <w:sz w:val="18"/>
                <w:szCs w:val="18"/>
              </w:rPr>
              <w:t> 投入、提高外呼效率。</w:t>
            </w:r>
            <w:r>
              <w:rPr>
                <w:rFonts w:ascii="宋体" w:hAnsi="宋体" w:cs="宋体" w:eastAsia="宋体" w:hint="default"/>
                <w:sz w:val="18"/>
                <w:szCs w:val="18"/>
              </w:rPr>
              <w:t> </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4" w:lineRule="auto"/>
              <w:ind w:left="105" w:right="99"/>
              <w:jc w:val="left"/>
              <w:rPr>
                <w:rFonts w:ascii="宋体" w:hAnsi="宋体" w:cs="宋体" w:eastAsia="宋体" w:hint="default"/>
                <w:sz w:val="18"/>
                <w:szCs w:val="18"/>
              </w:rPr>
            </w:pPr>
            <w:r>
              <w:rPr>
                <w:rFonts w:ascii="宋体" w:hAnsi="宋体" w:cs="宋体" w:eastAsia="宋体" w:hint="default"/>
                <w:sz w:val="18"/>
                <w:szCs w:val="18"/>
              </w:rPr>
              <w:t>产品已开始出售，增加公司软 件开发及应用业务收入</w:t>
            </w:r>
            <w:r>
              <w:rPr>
                <w:rFonts w:ascii="宋体" w:hAnsi="宋体" w:cs="宋体" w:eastAsia="宋体" w:hint="default"/>
                <w:sz w:val="18"/>
                <w:szCs w:val="18"/>
              </w:rPr>
              <w:t> </w:t>
            </w:r>
          </w:p>
        </w:tc>
      </w:tr>
      <w:tr>
        <w:trPr>
          <w:trHeight w:val="730" w:hRule="exact"/>
        </w:trPr>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9"/>
                <w:szCs w:val="19"/>
              </w:rPr>
            </w:pPr>
          </w:p>
          <w:p>
            <w:pPr>
              <w:pStyle w:val="TableParagraph"/>
              <w:spacing w:line="240" w:lineRule="auto"/>
              <w:ind w:right="73"/>
              <w:jc w:val="right"/>
              <w:rPr>
                <w:rFonts w:ascii="宋体" w:hAnsi="宋体" w:cs="宋体" w:eastAsia="宋体" w:hint="default"/>
                <w:sz w:val="18"/>
                <w:szCs w:val="18"/>
              </w:rPr>
            </w:pPr>
            <w:r>
              <w:rPr>
                <w:rFonts w:ascii="宋体" w:hAnsi="宋体" w:cs="宋体" w:eastAsia="宋体" w:hint="default"/>
                <w:spacing w:val="-1"/>
                <w:sz w:val="18"/>
                <w:szCs w:val="18"/>
              </w:rPr>
              <w:t>（</w:t>
            </w:r>
            <w:r>
              <w:rPr>
                <w:rFonts w:ascii="宋体" w:hAnsi="宋体" w:cs="宋体" w:eastAsia="宋体" w:hint="default"/>
                <w:spacing w:val="-1"/>
                <w:sz w:val="18"/>
                <w:szCs w:val="18"/>
              </w:rPr>
              <w:t>23</w:t>
            </w:r>
            <w:r>
              <w:rPr>
                <w:rFonts w:ascii="宋体" w:hAnsi="宋体" w:cs="宋体" w:eastAsia="宋体" w:hint="default"/>
                <w:spacing w:val="-1"/>
                <w:sz w:val="18"/>
                <w:szCs w:val="18"/>
              </w:rPr>
              <w:t>）</w:t>
            </w:r>
            <w:r>
              <w:rPr>
                <w:rFonts w:ascii="宋体" w:hAnsi="宋体" w:cs="宋体" w:eastAsia="宋体" w:hint="default"/>
                <w:sz w:val="18"/>
                <w:szCs w:val="18"/>
              </w:rPr>
              <w:t> </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before="101"/>
              <w:ind w:left="103" w:right="77"/>
              <w:jc w:val="left"/>
              <w:rPr>
                <w:rFonts w:ascii="宋体" w:hAnsi="宋体" w:cs="宋体" w:eastAsia="宋体" w:hint="default"/>
                <w:sz w:val="18"/>
                <w:szCs w:val="18"/>
              </w:rPr>
            </w:pPr>
            <w:r>
              <w:rPr>
                <w:rFonts w:ascii="宋体" w:hAnsi="宋体" w:cs="宋体" w:eastAsia="宋体" w:hint="default"/>
                <w:spacing w:val="12"/>
                <w:sz w:val="18"/>
                <w:szCs w:val="18"/>
              </w:rPr>
              <w:t>短信链接运</w:t>
            </w:r>
            <w:r>
              <w:rPr>
                <w:rFonts w:ascii="宋体" w:hAnsi="宋体" w:cs="宋体" w:eastAsia="宋体" w:hint="default"/>
                <w:spacing w:val="-86"/>
                <w:sz w:val="18"/>
                <w:szCs w:val="18"/>
              </w:rPr>
              <w:t> </w:t>
            </w:r>
            <w:r>
              <w:rPr>
                <w:rFonts w:ascii="宋体" w:hAnsi="宋体" w:cs="宋体" w:eastAsia="宋体" w:hint="default"/>
                <w:sz w:val="18"/>
                <w:szCs w:val="18"/>
              </w:rPr>
              <w:t>营服务平台</w:t>
            </w:r>
            <w:r>
              <w:rPr>
                <w:rFonts w:ascii="宋体" w:hAnsi="宋体" w:cs="宋体" w:eastAsia="宋体" w:hint="default"/>
                <w:sz w:val="18"/>
                <w:szCs w:val="18"/>
              </w:rPr>
              <w:t> </w:t>
            </w:r>
          </w:p>
        </w:tc>
        <w:tc>
          <w:tcPr>
            <w:tcW w:w="247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5" w:right="98"/>
              <w:jc w:val="both"/>
              <w:rPr>
                <w:rFonts w:ascii="宋体" w:hAnsi="宋体" w:cs="宋体" w:eastAsia="宋体" w:hint="default"/>
                <w:sz w:val="18"/>
                <w:szCs w:val="18"/>
              </w:rPr>
            </w:pPr>
            <w:r>
              <w:rPr>
                <w:rFonts w:ascii="宋体" w:hAnsi="宋体" w:cs="宋体" w:eastAsia="宋体" w:hint="default"/>
                <w:spacing w:val="-7"/>
                <w:sz w:val="18"/>
                <w:szCs w:val="18"/>
              </w:rPr>
              <w:t>满足客户需求，为客户降低纸</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7"/>
                <w:sz w:val="18"/>
                <w:szCs w:val="18"/>
              </w:rPr>
              <w:t>质分红报告的邮寄成本，给中</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天嘉华带来软件收益。</w:t>
            </w:r>
            <w:r>
              <w:rPr>
                <w:rFonts w:ascii="宋体" w:hAnsi="宋体" w:cs="宋体" w:eastAsia="宋体" w:hint="default"/>
                <w:sz w:val="18"/>
                <w:szCs w:val="18"/>
              </w:rPr>
              <w:t> </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98"/>
              <w:jc w:val="both"/>
              <w:rPr>
                <w:rFonts w:ascii="宋体" w:hAnsi="宋体" w:cs="宋体" w:eastAsia="宋体" w:hint="default"/>
                <w:sz w:val="18"/>
                <w:szCs w:val="18"/>
              </w:rPr>
            </w:pPr>
            <w:r>
              <w:rPr>
                <w:rFonts w:ascii="宋体" w:hAnsi="宋体" w:cs="宋体" w:eastAsia="宋体" w:hint="default"/>
                <w:sz w:val="18"/>
                <w:szCs w:val="18"/>
              </w:rPr>
              <w:t>已经研发完成上线，为客户每 年节约 </w:t>
            </w:r>
            <w:r>
              <w:rPr>
                <w:rFonts w:ascii="宋体" w:hAnsi="宋体" w:cs="宋体" w:eastAsia="宋体" w:hint="default"/>
                <w:sz w:val="18"/>
                <w:szCs w:val="18"/>
              </w:rPr>
              <w:t>1000</w:t>
            </w:r>
            <w:r>
              <w:rPr>
                <w:rFonts w:ascii="宋体" w:hAnsi="宋体" w:cs="宋体" w:eastAsia="宋体" w:hint="default"/>
                <w:spacing w:val="-5"/>
                <w:sz w:val="18"/>
                <w:szCs w:val="18"/>
              </w:rPr>
              <w:t> </w:t>
            </w:r>
            <w:r>
              <w:rPr>
                <w:rFonts w:ascii="宋体" w:hAnsi="宋体" w:cs="宋体" w:eastAsia="宋体" w:hint="default"/>
                <w:sz w:val="18"/>
                <w:szCs w:val="18"/>
              </w:rPr>
              <w:t>多万的邮寄费用 成本，提高的客户满意度。</w:t>
            </w:r>
            <w:r>
              <w:rPr>
                <w:rFonts w:ascii="宋体" w:hAnsi="宋体" w:cs="宋体" w:eastAsia="宋体" w:hint="default"/>
                <w:sz w:val="18"/>
                <w:szCs w:val="18"/>
              </w:rPr>
              <w:t> </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before="101"/>
              <w:ind w:left="105" w:right="99"/>
              <w:jc w:val="left"/>
              <w:rPr>
                <w:rFonts w:ascii="宋体" w:hAnsi="宋体" w:cs="宋体" w:eastAsia="宋体" w:hint="default"/>
                <w:sz w:val="18"/>
                <w:szCs w:val="18"/>
              </w:rPr>
            </w:pPr>
            <w:r>
              <w:rPr>
                <w:rFonts w:ascii="宋体" w:hAnsi="宋体" w:cs="宋体" w:eastAsia="宋体" w:hint="default"/>
                <w:sz w:val="18"/>
                <w:szCs w:val="18"/>
              </w:rPr>
              <w:t>产品已开始出售，增加公司软 件开发及应用业务收入</w:t>
            </w:r>
            <w:r>
              <w:rPr>
                <w:rFonts w:ascii="宋体" w:hAnsi="宋体" w:cs="宋体" w:eastAsia="宋体" w:hint="default"/>
                <w:sz w:val="18"/>
                <w:szCs w:val="18"/>
              </w:rPr>
              <w:t> </w:t>
            </w:r>
          </w:p>
        </w:tc>
      </w:tr>
      <w:tr>
        <w:trPr>
          <w:trHeight w:val="492" w:hRule="exact"/>
        </w:trPr>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73"/>
              <w:jc w:val="right"/>
              <w:rPr>
                <w:rFonts w:ascii="宋体" w:hAnsi="宋体" w:cs="宋体" w:eastAsia="宋体" w:hint="default"/>
                <w:sz w:val="18"/>
                <w:szCs w:val="18"/>
              </w:rPr>
            </w:pPr>
            <w:r>
              <w:rPr>
                <w:rFonts w:ascii="宋体" w:hAnsi="宋体" w:cs="宋体" w:eastAsia="宋体" w:hint="default"/>
                <w:spacing w:val="-1"/>
                <w:sz w:val="18"/>
                <w:szCs w:val="18"/>
              </w:rPr>
              <w:t>（</w:t>
            </w:r>
            <w:r>
              <w:rPr>
                <w:rFonts w:ascii="宋体" w:hAnsi="宋体" w:cs="宋体" w:eastAsia="宋体" w:hint="default"/>
                <w:spacing w:val="-1"/>
                <w:sz w:val="18"/>
                <w:szCs w:val="18"/>
              </w:rPr>
              <w:t>24</w:t>
            </w:r>
            <w:r>
              <w:rPr>
                <w:rFonts w:ascii="宋体" w:hAnsi="宋体" w:cs="宋体" w:eastAsia="宋体" w:hint="default"/>
                <w:spacing w:val="-1"/>
                <w:sz w:val="18"/>
                <w:szCs w:val="18"/>
              </w:rPr>
              <w:t>）</w:t>
            </w:r>
            <w:r>
              <w:rPr>
                <w:rFonts w:ascii="宋体" w:hAnsi="宋体" w:cs="宋体" w:eastAsia="宋体" w:hint="default"/>
                <w:sz w:val="18"/>
                <w:szCs w:val="18"/>
              </w:rPr>
              <w:t> </w:t>
            </w:r>
          </w:p>
        </w:tc>
        <w:tc>
          <w:tcPr>
            <w:tcW w:w="1181"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before="2"/>
              <w:ind w:left="103" w:right="83"/>
              <w:jc w:val="left"/>
              <w:rPr>
                <w:rFonts w:ascii="宋体" w:hAnsi="宋体" w:cs="宋体" w:eastAsia="宋体" w:hint="default"/>
                <w:sz w:val="18"/>
                <w:szCs w:val="18"/>
              </w:rPr>
            </w:pPr>
            <w:r>
              <w:rPr>
                <w:rFonts w:ascii="宋体" w:hAnsi="宋体" w:cs="宋体" w:eastAsia="宋体" w:hint="default"/>
                <w:spacing w:val="12"/>
                <w:sz w:val="18"/>
                <w:szCs w:val="18"/>
              </w:rPr>
              <w:t>短信引擎平</w:t>
            </w:r>
            <w:r>
              <w:rPr>
                <w:rFonts w:ascii="宋体" w:hAnsi="宋体" w:cs="宋体" w:eastAsia="宋体" w:hint="default"/>
                <w:spacing w:val="-86"/>
                <w:sz w:val="18"/>
                <w:szCs w:val="18"/>
              </w:rPr>
              <w:t> </w:t>
            </w:r>
            <w:r>
              <w:rPr>
                <w:rFonts w:ascii="宋体" w:hAnsi="宋体" w:cs="宋体" w:eastAsia="宋体" w:hint="default"/>
                <w:sz w:val="18"/>
                <w:szCs w:val="18"/>
              </w:rPr>
              <w:t>台二期</w:t>
            </w:r>
            <w:r>
              <w:rPr>
                <w:rFonts w:ascii="宋体" w:hAnsi="宋体" w:cs="宋体" w:eastAsia="宋体" w:hint="default"/>
                <w:sz w:val="18"/>
                <w:szCs w:val="18"/>
              </w:rPr>
              <w:t> </w:t>
            </w:r>
          </w:p>
        </w:tc>
        <w:tc>
          <w:tcPr>
            <w:tcW w:w="2475"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before="2"/>
              <w:ind w:left="105" w:right="99"/>
              <w:jc w:val="left"/>
              <w:rPr>
                <w:rFonts w:ascii="宋体" w:hAnsi="宋体" w:cs="宋体" w:eastAsia="宋体" w:hint="default"/>
                <w:sz w:val="18"/>
                <w:szCs w:val="18"/>
              </w:rPr>
            </w:pPr>
            <w:r>
              <w:rPr>
                <w:rFonts w:ascii="宋体" w:hAnsi="宋体" w:cs="宋体" w:eastAsia="宋体" w:hint="default"/>
                <w:spacing w:val="7"/>
                <w:sz w:val="18"/>
                <w:szCs w:val="18"/>
              </w:rPr>
              <w:t>满足客户需求，内部运营需</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要，完善短信平台功能</w:t>
            </w:r>
            <w:r>
              <w:rPr>
                <w:rFonts w:ascii="宋体" w:hAnsi="宋体" w:cs="宋体" w:eastAsia="宋体" w:hint="default"/>
                <w:sz w:val="18"/>
                <w:szCs w:val="18"/>
              </w:rPr>
              <w:t> </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before="2"/>
              <w:ind w:left="103" w:right="101"/>
              <w:jc w:val="left"/>
              <w:rPr>
                <w:rFonts w:ascii="宋体" w:hAnsi="宋体" w:cs="宋体" w:eastAsia="宋体" w:hint="default"/>
                <w:sz w:val="18"/>
                <w:szCs w:val="18"/>
              </w:rPr>
            </w:pPr>
            <w:r>
              <w:rPr>
                <w:rFonts w:ascii="宋体" w:hAnsi="宋体" w:cs="宋体" w:eastAsia="宋体" w:hint="default"/>
                <w:sz w:val="18"/>
                <w:szCs w:val="18"/>
              </w:rPr>
              <w:t>已经研发完成上线。为客户提 供短信通道流量、断连、熔断</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before="2"/>
              <w:ind w:left="105" w:right="8"/>
              <w:jc w:val="left"/>
              <w:rPr>
                <w:rFonts w:ascii="宋体" w:hAnsi="宋体" w:cs="宋体" w:eastAsia="宋体" w:hint="default"/>
                <w:sz w:val="18"/>
                <w:szCs w:val="18"/>
              </w:rPr>
            </w:pPr>
            <w:r>
              <w:rPr>
                <w:rFonts w:ascii="宋体" w:hAnsi="宋体" w:cs="宋体" w:eastAsia="宋体" w:hint="default"/>
                <w:spacing w:val="14"/>
                <w:sz w:val="18"/>
                <w:szCs w:val="18"/>
              </w:rPr>
              <w:t>提升短信发送性能与灵活处</w:t>
            </w:r>
            <w:r>
              <w:rPr>
                <w:rFonts w:ascii="宋体" w:hAnsi="宋体" w:cs="宋体" w:eastAsia="宋体" w:hint="default"/>
                <w:sz w:val="18"/>
                <w:szCs w:val="18"/>
              </w:rPr>
              <w:t> 理机制，适应公司转型及发展</w:t>
            </w:r>
            <w:r>
              <w:rPr>
                <w:rFonts w:ascii="宋体" w:hAnsi="宋体" w:cs="宋体" w:eastAsia="宋体" w:hint="default"/>
                <w:sz w:val="18"/>
                <w:szCs w:val="18"/>
              </w:rPr>
              <w:t> </w:t>
            </w:r>
          </w:p>
        </w:tc>
      </w:tr>
    </w:tbl>
    <w:p>
      <w:pPr>
        <w:spacing w:after="0" w:line="240" w:lineRule="exact"/>
        <w:jc w:val="left"/>
        <w:rPr>
          <w:rFonts w:ascii="宋体" w:hAnsi="宋体" w:cs="宋体" w:eastAsia="宋体" w:hint="default"/>
          <w:sz w:val="18"/>
          <w:szCs w:val="18"/>
        </w:rPr>
        <w:sectPr>
          <w:pgSz w:w="11910" w:h="16840"/>
          <w:pgMar w:header="880" w:footer="975" w:top="1100" w:bottom="1160" w:left="980" w:right="0"/>
        </w:sectPr>
      </w:pPr>
    </w:p>
    <w:p>
      <w:pPr>
        <w:spacing w:line="240" w:lineRule="auto" w:before="11"/>
        <w:rPr>
          <w:rFonts w:ascii="Times New Roman" w:hAnsi="Times New Roman" w:cs="Times New Roman" w:eastAsia="Times New Roman" w:hint="default"/>
          <w:sz w:val="27"/>
          <w:szCs w:val="27"/>
        </w:rPr>
      </w:pPr>
    </w:p>
    <w:tbl>
      <w:tblPr>
        <w:tblW w:w="0" w:type="auto"/>
        <w:jc w:val="left"/>
        <w:tblInd w:w="148" w:type="dxa"/>
        <w:tblLayout w:type="fixed"/>
        <w:tblCellMar>
          <w:top w:w="0" w:type="dxa"/>
          <w:left w:w="0" w:type="dxa"/>
          <w:bottom w:w="0" w:type="dxa"/>
          <w:right w:w="0" w:type="dxa"/>
        </w:tblCellMar>
        <w:tblLook w:val="01E0"/>
      </w:tblPr>
      <w:tblGrid>
        <w:gridCol w:w="881"/>
        <w:gridCol w:w="1181"/>
        <w:gridCol w:w="2475"/>
        <w:gridCol w:w="2552"/>
        <w:gridCol w:w="2552"/>
      </w:tblGrid>
      <w:tr>
        <w:trPr>
          <w:trHeight w:val="490" w:hRule="exact"/>
        </w:trPr>
        <w:tc>
          <w:tcPr>
            <w:tcW w:w="881" w:type="dxa"/>
            <w:tcBorders>
              <w:top w:val="single" w:sz="4" w:space="0" w:color="000000"/>
              <w:left w:val="single" w:sz="4" w:space="0" w:color="000000"/>
              <w:bottom w:val="single" w:sz="4" w:space="0" w:color="000000"/>
              <w:right w:val="single" w:sz="4" w:space="0" w:color="000000"/>
            </w:tcBorders>
          </w:tcPr>
          <w:p>
            <w:pPr/>
          </w:p>
        </w:tc>
        <w:tc>
          <w:tcPr>
            <w:tcW w:w="1181" w:type="dxa"/>
            <w:tcBorders>
              <w:top w:val="single" w:sz="4" w:space="0" w:color="000000"/>
              <w:left w:val="single" w:sz="4" w:space="0" w:color="000000"/>
              <w:bottom w:val="single" w:sz="4" w:space="0" w:color="000000"/>
              <w:right w:val="single" w:sz="4" w:space="0" w:color="000000"/>
            </w:tcBorders>
          </w:tcPr>
          <w:p>
            <w:pPr/>
          </w:p>
        </w:tc>
        <w:tc>
          <w:tcPr>
            <w:tcW w:w="2475" w:type="dxa"/>
            <w:tcBorders>
              <w:top w:val="single" w:sz="4" w:space="0" w:color="000000"/>
              <w:left w:val="single" w:sz="4" w:space="0" w:color="000000"/>
              <w:bottom w:val="single" w:sz="4" w:space="0" w:color="000000"/>
              <w:right w:val="single" w:sz="4" w:space="0" w:color="000000"/>
            </w:tcBorders>
          </w:tcPr>
          <w:p>
            <w:pP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exact"/>
              <w:ind w:left="103" w:right="101"/>
              <w:jc w:val="left"/>
              <w:rPr>
                <w:rFonts w:ascii="宋体" w:hAnsi="宋体" w:cs="宋体" w:eastAsia="宋体" w:hint="default"/>
                <w:sz w:val="18"/>
                <w:szCs w:val="18"/>
              </w:rPr>
            </w:pPr>
            <w:r>
              <w:rPr>
                <w:rFonts w:ascii="宋体" w:hAnsi="宋体" w:cs="宋体" w:eastAsia="宋体" w:hint="default"/>
                <w:sz w:val="18"/>
                <w:szCs w:val="18"/>
              </w:rPr>
              <w:t>等告警功能，提高了产品的健 壮性，容灾性。</w:t>
            </w:r>
            <w:r>
              <w:rPr>
                <w:rFonts w:ascii="宋体" w:hAnsi="宋体" w:cs="宋体" w:eastAsia="宋体" w:hint="default"/>
                <w:sz w:val="18"/>
                <w:szCs w:val="18"/>
              </w:rPr>
              <w:t> </w:t>
            </w:r>
          </w:p>
        </w:tc>
        <w:tc>
          <w:tcPr>
            <w:tcW w:w="2552" w:type="dxa"/>
            <w:tcBorders>
              <w:top w:val="single" w:sz="4" w:space="0" w:color="000000"/>
              <w:left w:val="single" w:sz="4" w:space="0" w:color="000000"/>
              <w:bottom w:val="single" w:sz="4" w:space="0" w:color="000000"/>
              <w:right w:val="single" w:sz="4" w:space="0" w:color="000000"/>
            </w:tcBorders>
          </w:tcPr>
          <w:p>
            <w:pPr/>
          </w:p>
        </w:tc>
      </w:tr>
      <w:tr>
        <w:trPr>
          <w:trHeight w:val="252" w:hRule="exact"/>
        </w:trPr>
        <w:tc>
          <w:tcPr>
            <w:tcW w:w="881" w:type="dxa"/>
            <w:tcBorders>
              <w:top w:val="single" w:sz="4" w:space="0" w:color="000000"/>
              <w:left w:val="single" w:sz="4" w:space="0" w:color="000000"/>
              <w:bottom w:val="nil" w:sz="6" w:space="0" w:color="auto"/>
              <w:right w:val="single" w:sz="4" w:space="0" w:color="000000"/>
            </w:tcBorders>
          </w:tcPr>
          <w:p>
            <w:pPr/>
          </w:p>
        </w:tc>
        <w:tc>
          <w:tcPr>
            <w:tcW w:w="1181" w:type="dxa"/>
            <w:tcBorders>
              <w:top w:val="single" w:sz="4" w:space="0" w:color="000000"/>
              <w:left w:val="single" w:sz="4" w:space="0" w:color="000000"/>
              <w:bottom w:val="nil" w:sz="6" w:space="0" w:color="auto"/>
              <w:right w:val="single" w:sz="4" w:space="0" w:color="000000"/>
            </w:tcBorders>
          </w:tcPr>
          <w:p>
            <w:pPr/>
          </w:p>
        </w:tc>
        <w:tc>
          <w:tcPr>
            <w:tcW w:w="2475" w:type="dxa"/>
            <w:tcBorders>
              <w:top w:val="single" w:sz="4" w:space="0" w:color="000000"/>
              <w:left w:val="single" w:sz="4" w:space="0" w:color="000000"/>
              <w:bottom w:val="nil" w:sz="6" w:space="0" w:color="auto"/>
              <w:right w:val="single" w:sz="4" w:space="0" w:color="000000"/>
            </w:tcBorders>
          </w:tcPr>
          <w:p>
            <w:pPr/>
          </w:p>
        </w:tc>
        <w:tc>
          <w:tcPr>
            <w:tcW w:w="2552" w:type="dxa"/>
            <w:tcBorders>
              <w:top w:val="single" w:sz="4" w:space="0" w:color="000000"/>
              <w:left w:val="single" w:sz="4" w:space="0" w:color="000000"/>
              <w:bottom w:val="nil" w:sz="6" w:space="0" w:color="auto"/>
              <w:right w:val="single" w:sz="4" w:space="0" w:color="000000"/>
            </w:tcBorders>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已经研发完成。</w:t>
            </w:r>
            <w:r>
              <w:rPr>
                <w:rFonts w:ascii="宋体" w:hAnsi="宋体" w:cs="宋体" w:eastAsia="宋体" w:hint="default"/>
                <w:sz w:val="18"/>
                <w:szCs w:val="18"/>
              </w:rPr>
              <w:t> </w:t>
            </w:r>
          </w:p>
        </w:tc>
        <w:tc>
          <w:tcPr>
            <w:tcW w:w="2552" w:type="dxa"/>
            <w:tcBorders>
              <w:top w:val="single" w:sz="4" w:space="0" w:color="000000"/>
              <w:left w:val="single" w:sz="4" w:space="0" w:color="000000"/>
              <w:bottom w:val="nil" w:sz="6" w:space="0" w:color="auto"/>
              <w:right w:val="single" w:sz="4" w:space="0" w:color="000000"/>
            </w:tcBorders>
          </w:tcPr>
          <w:p>
            <w:pPr/>
          </w:p>
        </w:tc>
      </w:tr>
      <w:tr>
        <w:trPr>
          <w:trHeight w:val="1200" w:hRule="exact"/>
        </w:trPr>
        <w:tc>
          <w:tcPr>
            <w:tcW w:w="88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73"/>
              <w:jc w:val="right"/>
              <w:rPr>
                <w:rFonts w:ascii="宋体" w:hAnsi="宋体" w:cs="宋体" w:eastAsia="宋体" w:hint="default"/>
                <w:sz w:val="18"/>
                <w:szCs w:val="18"/>
              </w:rPr>
            </w:pPr>
            <w:r>
              <w:rPr>
                <w:rFonts w:ascii="宋体" w:hAnsi="宋体" w:cs="宋体" w:eastAsia="宋体" w:hint="default"/>
                <w:spacing w:val="-1"/>
                <w:sz w:val="18"/>
                <w:szCs w:val="18"/>
              </w:rPr>
              <w:t>（</w:t>
            </w:r>
            <w:r>
              <w:rPr>
                <w:rFonts w:ascii="宋体" w:hAnsi="宋体" w:cs="宋体" w:eastAsia="宋体" w:hint="default"/>
                <w:spacing w:val="-1"/>
                <w:sz w:val="18"/>
                <w:szCs w:val="18"/>
              </w:rPr>
              <w:t>25</w:t>
            </w:r>
            <w:r>
              <w:rPr>
                <w:rFonts w:ascii="宋体" w:hAnsi="宋体" w:cs="宋体" w:eastAsia="宋体" w:hint="default"/>
                <w:spacing w:val="-1"/>
                <w:sz w:val="18"/>
                <w:szCs w:val="18"/>
              </w:rPr>
              <w:t>）</w:t>
            </w:r>
            <w:r>
              <w:rPr>
                <w:rFonts w:ascii="宋体" w:hAnsi="宋体" w:cs="宋体" w:eastAsia="宋体" w:hint="default"/>
                <w:sz w:val="18"/>
                <w:szCs w:val="18"/>
              </w:rPr>
              <w:t> </w:t>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103" w:right="0"/>
              <w:jc w:val="both"/>
              <w:rPr>
                <w:rFonts w:ascii="宋体" w:hAnsi="宋体" w:cs="宋体" w:eastAsia="宋体" w:hint="default"/>
                <w:sz w:val="18"/>
                <w:szCs w:val="18"/>
              </w:rPr>
            </w:pPr>
            <w:r>
              <w:rPr>
                <w:rFonts w:ascii="宋体" w:hAnsi="宋体" w:cs="宋体" w:eastAsia="宋体" w:hint="default"/>
                <w:spacing w:val="81"/>
                <w:sz w:val="18"/>
                <w:szCs w:val="18"/>
              </w:rPr>
              <w:t>短信平</w:t>
            </w:r>
            <w:r>
              <w:rPr>
                <w:rFonts w:ascii="宋体" w:hAnsi="宋体" w:cs="宋体" w:eastAsia="宋体" w:hint="default"/>
                <w:sz w:val="18"/>
                <w:szCs w:val="18"/>
              </w:rPr>
              <w:t>台</w:t>
            </w:r>
            <w:r>
              <w:rPr>
                <w:rFonts w:ascii="宋体" w:hAnsi="宋体" w:cs="宋体" w:eastAsia="宋体" w:hint="default"/>
                <w:spacing w:val="-9"/>
                <w:sz w:val="18"/>
                <w:szCs w:val="18"/>
              </w:rPr>
              <w:t> </w:t>
            </w:r>
            <w:r>
              <w:rPr>
                <w:rFonts w:ascii="宋体" w:hAnsi="宋体" w:cs="宋体" w:eastAsia="宋体" w:hint="default"/>
                <w:sz w:val="18"/>
                <w:szCs w:val="18"/>
              </w:rPr>
            </w:r>
          </w:p>
          <w:p>
            <w:pPr>
              <w:pStyle w:val="TableParagraph"/>
              <w:spacing w:line="244" w:lineRule="auto" w:before="4"/>
              <w:ind w:left="103" w:right="83"/>
              <w:jc w:val="both"/>
              <w:rPr>
                <w:rFonts w:ascii="宋体" w:hAnsi="宋体" w:cs="宋体" w:eastAsia="宋体" w:hint="default"/>
                <w:sz w:val="18"/>
                <w:szCs w:val="18"/>
              </w:rPr>
            </w:pPr>
            <w:r>
              <w:rPr>
                <w:rFonts w:ascii="宋体" w:hAnsi="宋体" w:cs="宋体" w:eastAsia="宋体" w:hint="default"/>
                <w:spacing w:val="12"/>
                <w:sz w:val="18"/>
                <w:szCs w:val="18"/>
              </w:rPr>
              <w:t>（集群版）</w:t>
            </w:r>
            <w:r>
              <w:rPr>
                <w:rFonts w:ascii="宋体" w:hAnsi="宋体" w:cs="宋体" w:eastAsia="宋体" w:hint="default"/>
                <w:spacing w:val="-86"/>
                <w:sz w:val="18"/>
                <w:szCs w:val="18"/>
              </w:rPr>
              <w:t> </w:t>
            </w:r>
            <w:r>
              <w:rPr>
                <w:rFonts w:ascii="宋体" w:hAnsi="宋体" w:cs="宋体" w:eastAsia="宋体" w:hint="default"/>
                <w:spacing w:val="12"/>
                <w:sz w:val="18"/>
                <w:szCs w:val="18"/>
              </w:rPr>
              <w:t>需求功能项</w:t>
            </w:r>
            <w:r>
              <w:rPr>
                <w:rFonts w:ascii="宋体" w:hAnsi="宋体" w:cs="宋体" w:eastAsia="宋体" w:hint="default"/>
                <w:spacing w:val="-86"/>
                <w:sz w:val="18"/>
                <w:szCs w:val="18"/>
              </w:rPr>
              <w:t> </w:t>
            </w:r>
            <w:r>
              <w:rPr>
                <w:rFonts w:ascii="宋体" w:hAnsi="宋体" w:cs="宋体" w:eastAsia="宋体" w:hint="default"/>
                <w:sz w:val="18"/>
                <w:szCs w:val="18"/>
              </w:rPr>
              <w:t>目</w:t>
            </w:r>
            <w:r>
              <w:rPr>
                <w:rFonts w:ascii="宋体" w:hAnsi="宋体" w:cs="宋体" w:eastAsia="宋体" w:hint="default"/>
                <w:sz w:val="18"/>
                <w:szCs w:val="18"/>
              </w:rPr>
              <w:t> </w:t>
            </w: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4" w:lineRule="auto"/>
              <w:ind w:left="105" w:right="99"/>
              <w:jc w:val="both"/>
              <w:rPr>
                <w:rFonts w:ascii="宋体" w:hAnsi="宋体" w:cs="宋体" w:eastAsia="宋体" w:hint="default"/>
                <w:sz w:val="18"/>
                <w:szCs w:val="18"/>
              </w:rPr>
            </w:pPr>
            <w:r>
              <w:rPr>
                <w:rFonts w:ascii="宋体" w:hAnsi="宋体" w:cs="宋体" w:eastAsia="宋体" w:hint="default"/>
                <w:spacing w:val="7"/>
                <w:sz w:val="18"/>
                <w:szCs w:val="18"/>
              </w:rPr>
              <w:t>使其能够平滑过渡到现有短</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7"/>
                <w:sz w:val="18"/>
                <w:szCs w:val="18"/>
              </w:rPr>
              <w:t>信平台，包含原功能迁移和基</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于集群版的监控优化。</w:t>
            </w:r>
            <w:r>
              <w:rPr>
                <w:rFonts w:ascii="宋体" w:hAnsi="宋体" w:cs="宋体" w:eastAsia="宋体" w:hint="default"/>
                <w:sz w:val="18"/>
                <w:szCs w:val="18"/>
              </w:rPr>
              <w:t> </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3" w:right="0"/>
              <w:jc w:val="both"/>
              <w:rPr>
                <w:rFonts w:ascii="宋体" w:hAnsi="宋体" w:cs="宋体" w:eastAsia="宋体" w:hint="default"/>
                <w:sz w:val="18"/>
                <w:szCs w:val="18"/>
              </w:rPr>
            </w:pPr>
            <w:r>
              <w:rPr>
                <w:rFonts w:ascii="宋体" w:hAnsi="宋体" w:cs="宋体" w:eastAsia="宋体" w:hint="default"/>
                <w:spacing w:val="14"/>
                <w:sz w:val="18"/>
                <w:szCs w:val="18"/>
              </w:rPr>
              <w:t>提升客户短信平台的处理能</w:t>
            </w:r>
          </w:p>
          <w:p>
            <w:pPr>
              <w:pStyle w:val="TableParagraph"/>
              <w:spacing w:line="244" w:lineRule="auto" w:before="4"/>
              <w:ind w:left="103" w:right="96"/>
              <w:jc w:val="both"/>
              <w:rPr>
                <w:rFonts w:ascii="宋体" w:hAnsi="宋体" w:cs="宋体" w:eastAsia="宋体" w:hint="default"/>
                <w:sz w:val="18"/>
                <w:szCs w:val="18"/>
              </w:rPr>
            </w:pPr>
            <w:r>
              <w:rPr>
                <w:rFonts w:ascii="宋体" w:hAnsi="宋体" w:cs="宋体" w:eastAsia="宋体" w:hint="default"/>
                <w:sz w:val="18"/>
                <w:szCs w:val="18"/>
              </w:rPr>
              <w:t>力，承载更多短信发送任务， </w:t>
            </w:r>
            <w:r>
              <w:rPr>
                <w:rFonts w:ascii="宋体" w:hAnsi="宋体" w:cs="宋体" w:eastAsia="宋体" w:hint="default"/>
                <w:spacing w:val="14"/>
                <w:sz w:val="18"/>
                <w:szCs w:val="18"/>
              </w:rPr>
              <w:t>提升公司利润。完善监控告</w:t>
            </w:r>
            <w:r>
              <w:rPr>
                <w:rFonts w:ascii="宋体" w:hAnsi="宋体" w:cs="宋体" w:eastAsia="宋体" w:hint="default"/>
                <w:sz w:val="18"/>
                <w:szCs w:val="18"/>
              </w:rPr>
              <w:t> 警、短信状态查询、对账统计 等功能，减轻运维人员工作负</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4" w:lineRule="auto"/>
              <w:ind w:left="105" w:right="99"/>
              <w:jc w:val="both"/>
              <w:rPr>
                <w:rFonts w:ascii="宋体" w:hAnsi="宋体" w:cs="宋体" w:eastAsia="宋体" w:hint="default"/>
                <w:sz w:val="18"/>
                <w:szCs w:val="18"/>
              </w:rPr>
            </w:pPr>
            <w:r>
              <w:rPr>
                <w:rFonts w:ascii="宋体" w:hAnsi="宋体" w:cs="宋体" w:eastAsia="宋体" w:hint="default"/>
                <w:spacing w:val="14"/>
                <w:sz w:val="18"/>
                <w:szCs w:val="18"/>
              </w:rPr>
              <w:t>产品能够为现有客户进行升</w:t>
            </w:r>
            <w:r>
              <w:rPr>
                <w:rFonts w:ascii="宋体" w:hAnsi="宋体" w:cs="宋体" w:eastAsia="宋体" w:hint="default"/>
                <w:sz w:val="18"/>
                <w:szCs w:val="18"/>
              </w:rPr>
              <w:t> 级，增加市场竞争力，增加公 司软件开发及应用业务收入</w:t>
            </w:r>
            <w:r>
              <w:rPr>
                <w:rFonts w:ascii="宋体" w:hAnsi="宋体" w:cs="宋体" w:eastAsia="宋体" w:hint="default"/>
                <w:sz w:val="18"/>
                <w:szCs w:val="18"/>
              </w:rPr>
              <w:t> </w:t>
            </w:r>
          </w:p>
        </w:tc>
      </w:tr>
      <w:tr>
        <w:trPr>
          <w:trHeight w:val="237" w:hRule="exact"/>
        </w:trPr>
        <w:tc>
          <w:tcPr>
            <w:tcW w:w="881" w:type="dxa"/>
            <w:tcBorders>
              <w:top w:val="nil" w:sz="6" w:space="0" w:color="auto"/>
              <w:left w:val="single" w:sz="4" w:space="0" w:color="000000"/>
              <w:bottom w:val="single" w:sz="4" w:space="0" w:color="000000"/>
              <w:right w:val="single" w:sz="4" w:space="0" w:color="000000"/>
            </w:tcBorders>
          </w:tcPr>
          <w:p>
            <w:pPr/>
          </w:p>
        </w:tc>
        <w:tc>
          <w:tcPr>
            <w:tcW w:w="1181" w:type="dxa"/>
            <w:tcBorders>
              <w:top w:val="nil" w:sz="6" w:space="0" w:color="auto"/>
              <w:left w:val="single" w:sz="4" w:space="0" w:color="000000"/>
              <w:bottom w:val="single" w:sz="4" w:space="0" w:color="000000"/>
              <w:right w:val="single" w:sz="4" w:space="0" w:color="000000"/>
            </w:tcBorders>
          </w:tcPr>
          <w:p>
            <w:pPr/>
          </w:p>
        </w:tc>
        <w:tc>
          <w:tcPr>
            <w:tcW w:w="2475" w:type="dxa"/>
            <w:tcBorders>
              <w:top w:val="nil" w:sz="6" w:space="0" w:color="auto"/>
              <w:left w:val="single" w:sz="4" w:space="0" w:color="000000"/>
              <w:bottom w:val="single" w:sz="4" w:space="0" w:color="000000"/>
              <w:right w:val="single" w:sz="4" w:space="0" w:color="000000"/>
            </w:tcBorders>
          </w:tcPr>
          <w:p>
            <w:pPr/>
          </w:p>
        </w:tc>
        <w:tc>
          <w:tcPr>
            <w:tcW w:w="2552" w:type="dxa"/>
            <w:tcBorders>
              <w:top w:val="nil" w:sz="6" w:space="0" w:color="auto"/>
              <w:left w:val="single" w:sz="4" w:space="0" w:color="000000"/>
              <w:bottom w:val="single" w:sz="4" w:space="0" w:color="000000"/>
              <w:right w:val="single" w:sz="4" w:space="0" w:color="000000"/>
            </w:tcBorders>
          </w:tcPr>
          <w:p>
            <w:pPr>
              <w:pStyle w:val="TableParagraph"/>
              <w:spacing w:line="210" w:lineRule="exact"/>
              <w:ind w:left="103" w:right="0"/>
              <w:jc w:val="left"/>
              <w:rPr>
                <w:rFonts w:ascii="宋体" w:hAnsi="宋体" w:cs="宋体" w:eastAsia="宋体" w:hint="default"/>
                <w:sz w:val="18"/>
                <w:szCs w:val="18"/>
              </w:rPr>
            </w:pPr>
            <w:r>
              <w:rPr>
                <w:rFonts w:ascii="宋体" w:hAnsi="宋体" w:cs="宋体" w:eastAsia="宋体" w:hint="default"/>
                <w:sz w:val="18"/>
                <w:szCs w:val="18"/>
              </w:rPr>
              <w:t>担。</w:t>
            </w:r>
            <w:r>
              <w:rPr>
                <w:rFonts w:ascii="宋体" w:hAnsi="宋体" w:cs="宋体" w:eastAsia="宋体" w:hint="default"/>
                <w:sz w:val="18"/>
                <w:szCs w:val="18"/>
              </w:rPr>
              <w:t> </w:t>
            </w:r>
          </w:p>
        </w:tc>
        <w:tc>
          <w:tcPr>
            <w:tcW w:w="2552" w:type="dxa"/>
            <w:tcBorders>
              <w:top w:val="nil" w:sz="6" w:space="0" w:color="auto"/>
              <w:left w:val="single" w:sz="4" w:space="0" w:color="000000"/>
              <w:bottom w:val="single" w:sz="4" w:space="0" w:color="000000"/>
              <w:right w:val="single" w:sz="4" w:space="0" w:color="000000"/>
            </w:tcBorders>
          </w:tcPr>
          <w:p>
            <w:pPr/>
          </w:p>
        </w:tc>
      </w:tr>
      <w:tr>
        <w:trPr>
          <w:trHeight w:val="255" w:hRule="exact"/>
        </w:trPr>
        <w:tc>
          <w:tcPr>
            <w:tcW w:w="881" w:type="dxa"/>
            <w:tcBorders>
              <w:top w:val="single" w:sz="4" w:space="0" w:color="000000"/>
              <w:left w:val="single" w:sz="4" w:space="0" w:color="000000"/>
              <w:bottom w:val="nil" w:sz="6" w:space="0" w:color="auto"/>
              <w:right w:val="single" w:sz="4" w:space="0" w:color="000000"/>
            </w:tcBorders>
          </w:tcPr>
          <w:p>
            <w:pPr/>
          </w:p>
        </w:tc>
        <w:tc>
          <w:tcPr>
            <w:tcW w:w="1181" w:type="dxa"/>
            <w:tcBorders>
              <w:top w:val="single" w:sz="4" w:space="0" w:color="000000"/>
              <w:left w:val="single" w:sz="4" w:space="0" w:color="000000"/>
              <w:bottom w:val="nil" w:sz="6" w:space="0" w:color="auto"/>
              <w:right w:val="single" w:sz="4" w:space="0" w:color="000000"/>
            </w:tcBorders>
          </w:tcPr>
          <w:p>
            <w:pPr/>
          </w:p>
        </w:tc>
        <w:tc>
          <w:tcPr>
            <w:tcW w:w="2475" w:type="dxa"/>
            <w:tcBorders>
              <w:top w:val="single" w:sz="4" w:space="0" w:color="000000"/>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提升公司自动化运营能力</w:t>
            </w:r>
            <w:r>
              <w:rPr>
                <w:rFonts w:ascii="宋体" w:hAnsi="宋体" w:cs="宋体" w:eastAsia="宋体" w:hint="default"/>
                <w:spacing w:val="-82"/>
                <w:sz w:val="18"/>
                <w:szCs w:val="18"/>
              </w:rPr>
              <w:t>，</w:t>
            </w:r>
            <w:r>
              <w:rPr>
                <w:rFonts w:ascii="宋体" w:hAnsi="宋体" w:cs="宋体" w:eastAsia="宋体" w:hint="default"/>
                <w:sz w:val="18"/>
                <w:szCs w:val="18"/>
              </w:rPr>
              <w:t>加</w:t>
            </w:r>
          </w:p>
        </w:tc>
        <w:tc>
          <w:tcPr>
            <w:tcW w:w="2552" w:type="dxa"/>
            <w:tcBorders>
              <w:top w:val="single" w:sz="4" w:space="0" w:color="000000"/>
              <w:left w:val="single" w:sz="4" w:space="0" w:color="000000"/>
              <w:bottom w:val="nil" w:sz="6" w:space="0" w:color="auto"/>
              <w:right w:val="single" w:sz="4" w:space="0" w:color="000000"/>
            </w:tcBorders>
          </w:tcPr>
          <w:p>
            <w:pPr/>
          </w:p>
        </w:tc>
        <w:tc>
          <w:tcPr>
            <w:tcW w:w="2552" w:type="dxa"/>
            <w:tcBorders>
              <w:top w:val="single" w:sz="4" w:space="0" w:color="000000"/>
              <w:left w:val="single" w:sz="4" w:space="0" w:color="000000"/>
              <w:bottom w:val="nil" w:sz="6" w:space="0" w:color="auto"/>
              <w:right w:val="single" w:sz="4" w:space="0" w:color="000000"/>
            </w:tcBorders>
          </w:tcPr>
          <w:p>
            <w:pPr/>
          </w:p>
        </w:tc>
      </w:tr>
      <w:tr>
        <w:trPr>
          <w:trHeight w:val="240"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强出账速度和准确度</w:t>
            </w:r>
            <w:r>
              <w:rPr>
                <w:rFonts w:ascii="宋体" w:hAnsi="宋体" w:cs="宋体" w:eastAsia="宋体" w:hint="default"/>
                <w:spacing w:val="-82"/>
                <w:sz w:val="18"/>
                <w:szCs w:val="18"/>
              </w:rPr>
              <w:t>，</w:t>
            </w:r>
            <w:r>
              <w:rPr>
                <w:rFonts w:ascii="宋体" w:hAnsi="宋体" w:cs="宋体" w:eastAsia="宋体" w:hint="default"/>
                <w:sz w:val="18"/>
                <w:szCs w:val="18"/>
              </w:rPr>
              <w:t>释放重</w:t>
            </w:r>
          </w:p>
        </w:tc>
        <w:tc>
          <w:tcPr>
            <w:tcW w:w="2552" w:type="dxa"/>
            <w:tcBorders>
              <w:top w:val="nil" w:sz="6" w:space="0" w:color="auto"/>
              <w:left w:val="single" w:sz="4" w:space="0" w:color="000000"/>
              <w:bottom w:val="nil" w:sz="6" w:space="0" w:color="auto"/>
              <w:right w:val="single" w:sz="4" w:space="0" w:color="000000"/>
            </w:tcBorders>
          </w:tcPr>
          <w:p>
            <w:pPr/>
          </w:p>
        </w:tc>
        <w:tc>
          <w:tcPr>
            <w:tcW w:w="2552" w:type="dxa"/>
            <w:tcBorders>
              <w:top w:val="nil" w:sz="6" w:space="0" w:color="auto"/>
              <w:left w:val="single" w:sz="4" w:space="0" w:color="000000"/>
              <w:bottom w:val="nil" w:sz="6" w:space="0" w:color="auto"/>
              <w:right w:val="single" w:sz="4" w:space="0" w:color="000000"/>
            </w:tcBorders>
          </w:tcPr>
          <w:p>
            <w:pPr/>
          </w:p>
        </w:tc>
      </w:tr>
      <w:tr>
        <w:trPr>
          <w:trHeight w:val="960" w:hRule="exact"/>
        </w:trPr>
        <w:tc>
          <w:tcPr>
            <w:tcW w:w="88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7"/>
              <w:ind w:right="73"/>
              <w:jc w:val="right"/>
              <w:rPr>
                <w:rFonts w:ascii="宋体" w:hAnsi="宋体" w:cs="宋体" w:eastAsia="宋体" w:hint="default"/>
                <w:sz w:val="18"/>
                <w:szCs w:val="18"/>
              </w:rPr>
            </w:pPr>
            <w:r>
              <w:rPr>
                <w:rFonts w:ascii="宋体" w:hAnsi="宋体" w:cs="宋体" w:eastAsia="宋体" w:hint="default"/>
                <w:spacing w:val="-1"/>
                <w:sz w:val="18"/>
                <w:szCs w:val="18"/>
              </w:rPr>
              <w:t>（</w:t>
            </w:r>
            <w:r>
              <w:rPr>
                <w:rFonts w:ascii="宋体" w:hAnsi="宋体" w:cs="宋体" w:eastAsia="宋体" w:hint="default"/>
                <w:spacing w:val="-1"/>
                <w:sz w:val="18"/>
                <w:szCs w:val="18"/>
              </w:rPr>
              <w:t>26</w:t>
            </w:r>
            <w:r>
              <w:rPr>
                <w:rFonts w:ascii="宋体" w:hAnsi="宋体" w:cs="宋体" w:eastAsia="宋体" w:hint="default"/>
                <w:spacing w:val="-1"/>
                <w:sz w:val="18"/>
                <w:szCs w:val="18"/>
              </w:rPr>
              <w:t>）</w:t>
            </w:r>
            <w:r>
              <w:rPr>
                <w:rFonts w:ascii="宋体" w:hAnsi="宋体" w:cs="宋体" w:eastAsia="宋体" w:hint="default"/>
                <w:sz w:val="18"/>
                <w:szCs w:val="18"/>
              </w:rPr>
              <w:t> </w:t>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44" w:lineRule="auto" w:before="94"/>
              <w:ind w:left="103" w:right="83"/>
              <w:jc w:val="both"/>
              <w:rPr>
                <w:rFonts w:ascii="宋体" w:hAnsi="宋体" w:cs="宋体" w:eastAsia="宋体" w:hint="default"/>
                <w:sz w:val="18"/>
                <w:szCs w:val="18"/>
              </w:rPr>
            </w:pPr>
            <w:r>
              <w:rPr>
                <w:rFonts w:ascii="宋体" w:hAnsi="宋体" w:cs="宋体" w:eastAsia="宋体" w:hint="default"/>
                <w:sz w:val="18"/>
                <w:szCs w:val="18"/>
              </w:rPr>
              <w:t>UManager</w:t>
            </w:r>
            <w:r>
              <w:rPr>
                <w:rFonts w:ascii="宋体" w:hAnsi="宋体" w:cs="宋体" w:eastAsia="宋体" w:hint="default"/>
                <w:spacing w:val="-23"/>
                <w:sz w:val="18"/>
                <w:szCs w:val="18"/>
              </w:rPr>
              <w:t> </w:t>
            </w:r>
            <w:r>
              <w:rPr>
                <w:rFonts w:ascii="宋体" w:hAnsi="宋体" w:cs="宋体" w:eastAsia="宋体" w:hint="default"/>
                <w:sz w:val="18"/>
                <w:szCs w:val="18"/>
              </w:rPr>
              <w:t>运 </w:t>
            </w:r>
            <w:r>
              <w:rPr>
                <w:rFonts w:ascii="宋体" w:hAnsi="宋体" w:cs="宋体" w:eastAsia="宋体" w:hint="default"/>
                <w:spacing w:val="12"/>
                <w:sz w:val="18"/>
                <w:szCs w:val="18"/>
              </w:rPr>
              <w:t>营管理平台</w:t>
            </w:r>
            <w:r>
              <w:rPr>
                <w:rFonts w:ascii="宋体" w:hAnsi="宋体" w:cs="宋体" w:eastAsia="宋体" w:hint="default"/>
                <w:spacing w:val="-86"/>
                <w:sz w:val="18"/>
                <w:szCs w:val="18"/>
              </w:rPr>
              <w:t> </w:t>
            </w:r>
            <w:r>
              <w:rPr>
                <w:rFonts w:ascii="宋体" w:hAnsi="宋体" w:cs="宋体" w:eastAsia="宋体" w:hint="default"/>
                <w:sz w:val="18"/>
                <w:szCs w:val="18"/>
              </w:rPr>
              <w:t>v2.0 </w:t>
            </w: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both"/>
              <w:rPr>
                <w:rFonts w:ascii="宋体" w:hAnsi="宋体" w:cs="宋体" w:eastAsia="宋体" w:hint="default"/>
                <w:sz w:val="18"/>
                <w:szCs w:val="18"/>
              </w:rPr>
            </w:pPr>
            <w:r>
              <w:rPr>
                <w:rFonts w:ascii="宋体" w:hAnsi="宋体" w:cs="宋体" w:eastAsia="宋体" w:hint="default"/>
                <w:sz w:val="18"/>
                <w:szCs w:val="18"/>
              </w:rPr>
              <w:t>复性人为工作量</w:t>
            </w:r>
            <w:r>
              <w:rPr>
                <w:rFonts w:ascii="宋体" w:hAnsi="宋体" w:cs="宋体" w:eastAsia="宋体" w:hint="default"/>
                <w:spacing w:val="-82"/>
                <w:sz w:val="18"/>
                <w:szCs w:val="18"/>
              </w:rPr>
              <w:t>；</w:t>
            </w:r>
            <w:r>
              <w:rPr>
                <w:rFonts w:ascii="宋体" w:hAnsi="宋体" w:cs="宋体" w:eastAsia="宋体" w:hint="default"/>
                <w:sz w:val="18"/>
                <w:szCs w:val="18"/>
              </w:rPr>
              <w:t>严控中小预</w:t>
            </w:r>
          </w:p>
          <w:p>
            <w:pPr>
              <w:pStyle w:val="TableParagraph"/>
              <w:spacing w:line="244" w:lineRule="auto" w:before="4"/>
              <w:ind w:left="105" w:right="99"/>
              <w:jc w:val="both"/>
              <w:rPr>
                <w:rFonts w:ascii="宋体" w:hAnsi="宋体" w:cs="宋体" w:eastAsia="宋体" w:hint="default"/>
                <w:sz w:val="18"/>
                <w:szCs w:val="18"/>
              </w:rPr>
            </w:pPr>
            <w:r>
              <w:rPr>
                <w:rFonts w:ascii="宋体" w:hAnsi="宋体" w:cs="宋体" w:eastAsia="宋体" w:hint="default"/>
                <w:sz w:val="18"/>
                <w:szCs w:val="18"/>
              </w:rPr>
              <w:t>付费客户的短信发送量</w:t>
            </w:r>
            <w:r>
              <w:rPr>
                <w:rFonts w:ascii="宋体" w:hAnsi="宋体" w:cs="宋体" w:eastAsia="宋体" w:hint="default"/>
                <w:spacing w:val="-82"/>
                <w:sz w:val="18"/>
                <w:szCs w:val="18"/>
              </w:rPr>
              <w:t>，</w:t>
            </w:r>
            <w:r>
              <w:rPr>
                <w:rFonts w:ascii="宋体" w:hAnsi="宋体" w:cs="宋体" w:eastAsia="宋体" w:hint="default"/>
                <w:sz w:val="18"/>
                <w:szCs w:val="18"/>
              </w:rPr>
              <w:t>避免</w:t>
            </w:r>
            <w:r>
              <w:rPr>
                <w:rFonts w:ascii="宋体" w:hAnsi="宋体" w:cs="宋体" w:eastAsia="宋体" w:hint="default"/>
                <w:sz w:val="18"/>
                <w:szCs w:val="18"/>
              </w:rPr>
              <w:t> 超量发送短信</w:t>
            </w:r>
            <w:r>
              <w:rPr>
                <w:rFonts w:ascii="宋体" w:hAnsi="宋体" w:cs="宋体" w:eastAsia="宋体" w:hint="default"/>
                <w:spacing w:val="-82"/>
                <w:sz w:val="18"/>
                <w:szCs w:val="18"/>
              </w:rPr>
              <w:t>；</w:t>
            </w:r>
            <w:r>
              <w:rPr>
                <w:rFonts w:ascii="宋体" w:hAnsi="宋体" w:cs="宋体" w:eastAsia="宋体" w:hint="default"/>
                <w:sz w:val="18"/>
                <w:szCs w:val="18"/>
              </w:rPr>
              <w:t>对短信内容做</w:t>
            </w:r>
            <w:r>
              <w:rPr>
                <w:rFonts w:ascii="宋体" w:hAnsi="宋体" w:cs="宋体" w:eastAsia="宋体" w:hint="default"/>
                <w:sz w:val="18"/>
                <w:szCs w:val="18"/>
              </w:rPr>
              <w:t> 控制</w:t>
            </w:r>
            <w:r>
              <w:rPr>
                <w:rFonts w:ascii="宋体" w:hAnsi="宋体" w:cs="宋体" w:eastAsia="宋体" w:hint="default"/>
                <w:spacing w:val="-82"/>
                <w:sz w:val="18"/>
                <w:szCs w:val="18"/>
              </w:rPr>
              <w:t>，</w:t>
            </w:r>
            <w:r>
              <w:rPr>
                <w:rFonts w:ascii="宋体" w:hAnsi="宋体" w:cs="宋体" w:eastAsia="宋体" w:hint="default"/>
                <w:sz w:val="18"/>
                <w:szCs w:val="18"/>
              </w:rPr>
              <w:t>必须发送符合模板的短</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4" w:lineRule="auto" w:before="94"/>
              <w:ind w:left="103" w:right="101"/>
              <w:jc w:val="both"/>
              <w:rPr>
                <w:rFonts w:ascii="宋体" w:hAnsi="宋体" w:cs="宋体" w:eastAsia="宋体" w:hint="default"/>
                <w:sz w:val="18"/>
                <w:szCs w:val="18"/>
              </w:rPr>
            </w:pPr>
            <w:r>
              <w:rPr>
                <w:rFonts w:ascii="宋体" w:hAnsi="宋体" w:cs="宋体" w:eastAsia="宋体" w:hint="default"/>
                <w:sz w:val="18"/>
                <w:szCs w:val="18"/>
              </w:rPr>
              <w:t>已经部分研发完成，并上线生 产。下一步开发供应商侧的成 本及结算功能。</w:t>
            </w:r>
            <w:r>
              <w:rPr>
                <w:rFonts w:ascii="宋体" w:hAnsi="宋体" w:cs="宋体" w:eastAsia="宋体" w:hint="default"/>
                <w:sz w:val="18"/>
                <w:szCs w:val="18"/>
              </w:rPr>
              <w:t> </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4" w:lineRule="auto" w:before="94"/>
              <w:ind w:left="105" w:right="99"/>
              <w:jc w:val="both"/>
              <w:rPr>
                <w:rFonts w:ascii="宋体" w:hAnsi="宋体" w:cs="宋体" w:eastAsia="宋体" w:hint="default"/>
                <w:sz w:val="18"/>
                <w:szCs w:val="18"/>
              </w:rPr>
            </w:pPr>
            <w:r>
              <w:rPr>
                <w:rFonts w:ascii="宋体" w:hAnsi="宋体" w:cs="宋体" w:eastAsia="宋体" w:hint="default"/>
                <w:sz w:val="18"/>
                <w:szCs w:val="18"/>
              </w:rPr>
              <w:t>能快速提供出账，提升结账速 度，并且减少人为错误造成的 损失，降低公司运营风险。</w:t>
            </w:r>
            <w:r>
              <w:rPr>
                <w:rFonts w:ascii="宋体" w:hAnsi="宋体" w:cs="宋体" w:eastAsia="宋体" w:hint="default"/>
                <w:sz w:val="18"/>
                <w:szCs w:val="18"/>
              </w:rPr>
              <w:t> </w:t>
            </w:r>
          </w:p>
        </w:tc>
      </w:tr>
      <w:tr>
        <w:trPr>
          <w:trHeight w:val="240" w:hRule="exact"/>
        </w:trPr>
        <w:tc>
          <w:tcPr>
            <w:tcW w:w="881" w:type="dxa"/>
            <w:tcBorders>
              <w:top w:val="nil" w:sz="6" w:space="0" w:color="auto"/>
              <w:left w:val="single" w:sz="4" w:space="0" w:color="000000"/>
              <w:bottom w:val="nil" w:sz="6" w:space="0" w:color="auto"/>
              <w:right w:val="single" w:sz="4" w:space="0" w:color="000000"/>
            </w:tcBorders>
          </w:tcPr>
          <w:p>
            <w:pPr/>
          </w:p>
        </w:tc>
        <w:tc>
          <w:tcPr>
            <w:tcW w:w="1181" w:type="dxa"/>
            <w:tcBorders>
              <w:top w:val="nil" w:sz="6" w:space="0" w:color="auto"/>
              <w:left w:val="single" w:sz="4" w:space="0" w:color="000000"/>
              <w:bottom w:val="nil" w:sz="6" w:space="0" w:color="auto"/>
              <w:right w:val="single" w:sz="4" w:space="0" w:color="000000"/>
            </w:tcBorders>
          </w:tcPr>
          <w:p>
            <w:pP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信内容</w:t>
            </w:r>
            <w:r>
              <w:rPr>
                <w:rFonts w:ascii="宋体" w:hAnsi="宋体" w:cs="宋体" w:eastAsia="宋体" w:hint="default"/>
                <w:spacing w:val="-82"/>
                <w:sz w:val="18"/>
                <w:szCs w:val="18"/>
              </w:rPr>
              <w:t>。</w:t>
            </w:r>
            <w:r>
              <w:rPr>
                <w:rFonts w:ascii="宋体" w:hAnsi="宋体" w:cs="宋体" w:eastAsia="宋体" w:hint="default"/>
                <w:sz w:val="18"/>
                <w:szCs w:val="18"/>
              </w:rPr>
              <w:t>不允许发验证码以外</w:t>
            </w:r>
          </w:p>
        </w:tc>
        <w:tc>
          <w:tcPr>
            <w:tcW w:w="2552" w:type="dxa"/>
            <w:tcBorders>
              <w:top w:val="nil" w:sz="6" w:space="0" w:color="auto"/>
              <w:left w:val="single" w:sz="4" w:space="0" w:color="000000"/>
              <w:bottom w:val="nil" w:sz="6" w:space="0" w:color="auto"/>
              <w:right w:val="single" w:sz="4" w:space="0" w:color="000000"/>
            </w:tcBorders>
          </w:tcPr>
          <w:p>
            <w:pPr/>
          </w:p>
        </w:tc>
        <w:tc>
          <w:tcPr>
            <w:tcW w:w="2552" w:type="dxa"/>
            <w:tcBorders>
              <w:top w:val="nil" w:sz="6" w:space="0" w:color="auto"/>
              <w:left w:val="single" w:sz="4" w:space="0" w:color="000000"/>
              <w:bottom w:val="nil" w:sz="6" w:space="0" w:color="auto"/>
              <w:right w:val="single" w:sz="4" w:space="0" w:color="000000"/>
            </w:tcBorders>
          </w:tcPr>
          <w:p>
            <w:pPr/>
          </w:p>
        </w:tc>
      </w:tr>
      <w:tr>
        <w:trPr>
          <w:trHeight w:val="237" w:hRule="exact"/>
        </w:trPr>
        <w:tc>
          <w:tcPr>
            <w:tcW w:w="881" w:type="dxa"/>
            <w:tcBorders>
              <w:top w:val="nil" w:sz="6" w:space="0" w:color="auto"/>
              <w:left w:val="single" w:sz="4" w:space="0" w:color="000000"/>
              <w:bottom w:val="single" w:sz="4" w:space="0" w:color="000000"/>
              <w:right w:val="single" w:sz="4" w:space="0" w:color="000000"/>
            </w:tcBorders>
          </w:tcPr>
          <w:p>
            <w:pPr/>
          </w:p>
        </w:tc>
        <w:tc>
          <w:tcPr>
            <w:tcW w:w="1181" w:type="dxa"/>
            <w:tcBorders>
              <w:top w:val="nil" w:sz="6" w:space="0" w:color="auto"/>
              <w:left w:val="single" w:sz="4" w:space="0" w:color="000000"/>
              <w:bottom w:val="single" w:sz="4" w:space="0" w:color="000000"/>
              <w:right w:val="single" w:sz="4" w:space="0" w:color="000000"/>
            </w:tcBorders>
          </w:tcPr>
          <w:p>
            <w:pPr/>
          </w:p>
        </w:tc>
        <w:tc>
          <w:tcPr>
            <w:tcW w:w="2475" w:type="dxa"/>
            <w:tcBorders>
              <w:top w:val="nil" w:sz="6" w:space="0" w:color="auto"/>
              <w:left w:val="single" w:sz="4" w:space="0" w:color="000000"/>
              <w:bottom w:val="single" w:sz="4" w:space="0" w:color="000000"/>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的内容。</w:t>
            </w:r>
            <w:r>
              <w:rPr>
                <w:rFonts w:ascii="宋体" w:hAnsi="宋体" w:cs="宋体" w:eastAsia="宋体" w:hint="default"/>
                <w:sz w:val="18"/>
                <w:szCs w:val="18"/>
              </w:rPr>
              <w:t> </w:t>
            </w:r>
          </w:p>
        </w:tc>
        <w:tc>
          <w:tcPr>
            <w:tcW w:w="2552" w:type="dxa"/>
            <w:tcBorders>
              <w:top w:val="nil" w:sz="6" w:space="0" w:color="auto"/>
              <w:left w:val="single" w:sz="4" w:space="0" w:color="000000"/>
              <w:bottom w:val="single" w:sz="4" w:space="0" w:color="000000"/>
              <w:right w:val="single" w:sz="4" w:space="0" w:color="000000"/>
            </w:tcBorders>
          </w:tcPr>
          <w:p>
            <w:pPr/>
          </w:p>
        </w:tc>
        <w:tc>
          <w:tcPr>
            <w:tcW w:w="2552" w:type="dxa"/>
            <w:tcBorders>
              <w:top w:val="nil" w:sz="6" w:space="0" w:color="auto"/>
              <w:left w:val="single" w:sz="4" w:space="0" w:color="000000"/>
              <w:bottom w:val="single" w:sz="4" w:space="0" w:color="000000"/>
              <w:right w:val="single" w:sz="4" w:space="0" w:color="000000"/>
            </w:tcBorders>
          </w:tcPr>
          <w:p>
            <w:pPr/>
          </w:p>
        </w:tc>
      </w:tr>
      <w:tr>
        <w:trPr>
          <w:trHeight w:val="253" w:hRule="exact"/>
        </w:trPr>
        <w:tc>
          <w:tcPr>
            <w:tcW w:w="881" w:type="dxa"/>
            <w:tcBorders>
              <w:top w:val="single" w:sz="4" w:space="0" w:color="000000"/>
              <w:left w:val="single" w:sz="4" w:space="0" w:color="000000"/>
              <w:bottom w:val="nil" w:sz="6" w:space="0" w:color="auto"/>
              <w:right w:val="single" w:sz="4" w:space="0" w:color="000000"/>
            </w:tcBorders>
          </w:tcPr>
          <w:p>
            <w:pPr/>
          </w:p>
        </w:tc>
        <w:tc>
          <w:tcPr>
            <w:tcW w:w="1181" w:type="dxa"/>
            <w:tcBorders>
              <w:top w:val="single" w:sz="4" w:space="0" w:color="000000"/>
              <w:left w:val="single" w:sz="4" w:space="0" w:color="000000"/>
              <w:bottom w:val="nil" w:sz="6" w:space="0" w:color="auto"/>
              <w:right w:val="single" w:sz="4" w:space="0" w:color="000000"/>
            </w:tcBorders>
          </w:tcPr>
          <w:p>
            <w:pPr/>
          </w:p>
        </w:tc>
        <w:tc>
          <w:tcPr>
            <w:tcW w:w="2475" w:type="dxa"/>
            <w:tcBorders>
              <w:top w:val="single" w:sz="4" w:space="0" w:color="000000"/>
              <w:left w:val="single" w:sz="4" w:space="0" w:color="000000"/>
              <w:bottom w:val="nil" w:sz="6" w:space="0" w:color="auto"/>
              <w:right w:val="single" w:sz="4" w:space="0" w:color="000000"/>
            </w:tcBorders>
          </w:tcPr>
          <w:p>
            <w:pPr>
              <w:pStyle w:val="TableParagraph"/>
              <w:spacing w:line="218" w:lineRule="exact"/>
              <w:ind w:left="105" w:right="0"/>
              <w:jc w:val="left"/>
              <w:rPr>
                <w:rFonts w:ascii="宋体" w:hAnsi="宋体" w:cs="宋体" w:eastAsia="宋体" w:hint="default"/>
                <w:sz w:val="18"/>
                <w:szCs w:val="18"/>
              </w:rPr>
            </w:pPr>
            <w:r>
              <w:rPr>
                <w:rFonts w:ascii="宋体" w:hAnsi="宋体" w:cs="宋体" w:eastAsia="宋体" w:hint="default"/>
                <w:sz w:val="18"/>
                <w:szCs w:val="18"/>
              </w:rPr>
              <w:t>适应金融企业客户需求</w:t>
            </w:r>
            <w:r>
              <w:rPr>
                <w:rFonts w:ascii="宋体" w:hAnsi="宋体" w:cs="宋体" w:eastAsia="宋体" w:hint="default"/>
                <w:spacing w:val="-82"/>
                <w:sz w:val="18"/>
                <w:szCs w:val="18"/>
              </w:rPr>
              <w:t>，</w:t>
            </w:r>
            <w:r>
              <w:rPr>
                <w:rFonts w:ascii="宋体" w:hAnsi="宋体" w:cs="宋体" w:eastAsia="宋体" w:hint="default"/>
                <w:sz w:val="18"/>
                <w:szCs w:val="18"/>
              </w:rPr>
              <w:t>将不</w:t>
            </w:r>
          </w:p>
        </w:tc>
        <w:tc>
          <w:tcPr>
            <w:tcW w:w="2552" w:type="dxa"/>
            <w:tcBorders>
              <w:top w:val="single" w:sz="4" w:space="0" w:color="000000"/>
              <w:left w:val="single" w:sz="4" w:space="0" w:color="000000"/>
              <w:bottom w:val="nil" w:sz="6" w:space="0" w:color="auto"/>
              <w:right w:val="single" w:sz="4" w:space="0" w:color="000000"/>
            </w:tcBorders>
          </w:tcPr>
          <w:p>
            <w:pPr/>
          </w:p>
        </w:tc>
        <w:tc>
          <w:tcPr>
            <w:tcW w:w="2552" w:type="dxa"/>
            <w:tcBorders>
              <w:top w:val="single" w:sz="4" w:space="0" w:color="000000"/>
              <w:left w:val="single" w:sz="4" w:space="0" w:color="000000"/>
              <w:bottom w:val="nil" w:sz="6" w:space="0" w:color="auto"/>
              <w:right w:val="single" w:sz="4" w:space="0" w:color="000000"/>
            </w:tcBorders>
          </w:tcPr>
          <w:p>
            <w:pPr/>
          </w:p>
        </w:tc>
      </w:tr>
      <w:tr>
        <w:trPr>
          <w:trHeight w:val="960" w:hRule="exact"/>
        </w:trPr>
        <w:tc>
          <w:tcPr>
            <w:tcW w:w="88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7"/>
              <w:ind w:right="73"/>
              <w:jc w:val="right"/>
              <w:rPr>
                <w:rFonts w:ascii="宋体" w:hAnsi="宋体" w:cs="宋体" w:eastAsia="宋体" w:hint="default"/>
                <w:sz w:val="18"/>
                <w:szCs w:val="18"/>
              </w:rPr>
            </w:pPr>
            <w:r>
              <w:rPr>
                <w:rFonts w:ascii="宋体" w:hAnsi="宋体" w:cs="宋体" w:eastAsia="宋体" w:hint="default"/>
                <w:spacing w:val="-1"/>
                <w:sz w:val="18"/>
                <w:szCs w:val="18"/>
              </w:rPr>
              <w:t>（</w:t>
            </w:r>
            <w:r>
              <w:rPr>
                <w:rFonts w:ascii="宋体" w:hAnsi="宋体" w:cs="宋体" w:eastAsia="宋体" w:hint="default"/>
                <w:spacing w:val="-1"/>
                <w:sz w:val="18"/>
                <w:szCs w:val="18"/>
              </w:rPr>
              <w:t>27</w:t>
            </w:r>
            <w:r>
              <w:rPr>
                <w:rFonts w:ascii="宋体" w:hAnsi="宋体" w:cs="宋体" w:eastAsia="宋体" w:hint="default"/>
                <w:spacing w:val="-1"/>
                <w:sz w:val="18"/>
                <w:szCs w:val="18"/>
              </w:rPr>
              <w:t>）</w:t>
            </w:r>
            <w:r>
              <w:rPr>
                <w:rFonts w:ascii="宋体" w:hAnsi="宋体" w:cs="宋体" w:eastAsia="宋体" w:hint="default"/>
                <w:sz w:val="18"/>
                <w:szCs w:val="18"/>
              </w:rPr>
              <w:t> </w:t>
            </w:r>
          </w:p>
        </w:tc>
        <w:tc>
          <w:tcPr>
            <w:tcW w:w="1181"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4" w:lineRule="auto"/>
              <w:ind w:left="103" w:right="83"/>
              <w:jc w:val="left"/>
              <w:rPr>
                <w:rFonts w:ascii="宋体" w:hAnsi="宋体" w:cs="宋体" w:eastAsia="宋体" w:hint="default"/>
                <w:sz w:val="18"/>
                <w:szCs w:val="18"/>
              </w:rPr>
            </w:pPr>
            <w:r>
              <w:rPr>
                <w:rFonts w:ascii="宋体" w:hAnsi="宋体" w:cs="宋体" w:eastAsia="宋体" w:hint="default"/>
                <w:spacing w:val="12"/>
                <w:sz w:val="18"/>
                <w:szCs w:val="18"/>
              </w:rPr>
              <w:t>统一通信平</w:t>
            </w:r>
            <w:r>
              <w:rPr>
                <w:rFonts w:ascii="宋体" w:hAnsi="宋体" w:cs="宋体" w:eastAsia="宋体" w:hint="default"/>
                <w:spacing w:val="-86"/>
                <w:sz w:val="18"/>
                <w:szCs w:val="18"/>
              </w:rPr>
              <w:t> </w:t>
            </w:r>
            <w:r>
              <w:rPr>
                <w:rFonts w:ascii="宋体" w:hAnsi="宋体" w:cs="宋体" w:eastAsia="宋体" w:hint="default"/>
                <w:sz w:val="18"/>
                <w:szCs w:val="18"/>
              </w:rPr>
              <w:t>台</w:t>
            </w:r>
            <w:r>
              <w:rPr>
                <w:rFonts w:ascii="宋体" w:hAnsi="宋体" w:cs="宋体" w:eastAsia="宋体" w:hint="default"/>
                <w:sz w:val="18"/>
                <w:szCs w:val="18"/>
              </w:rPr>
              <w:t> </w:t>
            </w:r>
          </w:p>
        </w:tc>
        <w:tc>
          <w:tcPr>
            <w:tcW w:w="247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both"/>
              <w:rPr>
                <w:rFonts w:ascii="宋体" w:hAnsi="宋体" w:cs="宋体" w:eastAsia="宋体" w:hint="default"/>
                <w:sz w:val="18"/>
                <w:szCs w:val="18"/>
              </w:rPr>
            </w:pPr>
            <w:r>
              <w:rPr>
                <w:rFonts w:ascii="宋体" w:hAnsi="宋体" w:cs="宋体" w:eastAsia="宋体" w:hint="default"/>
                <w:sz w:val="18"/>
                <w:szCs w:val="18"/>
              </w:rPr>
              <w:t>同的通信方式进行整合</w:t>
            </w:r>
            <w:r>
              <w:rPr>
                <w:rFonts w:ascii="宋体" w:hAnsi="宋体" w:cs="宋体" w:eastAsia="宋体" w:hint="default"/>
                <w:spacing w:val="-82"/>
                <w:sz w:val="18"/>
                <w:szCs w:val="18"/>
              </w:rPr>
              <w:t>，</w:t>
            </w:r>
            <w:r>
              <w:rPr>
                <w:rFonts w:ascii="宋体" w:hAnsi="宋体" w:cs="宋体" w:eastAsia="宋体" w:hint="default"/>
                <w:sz w:val="18"/>
                <w:szCs w:val="18"/>
              </w:rPr>
              <w:t>实现</w:t>
            </w:r>
          </w:p>
          <w:p>
            <w:pPr>
              <w:pStyle w:val="TableParagraph"/>
              <w:spacing w:line="244" w:lineRule="auto" w:before="4"/>
              <w:ind w:left="105" w:right="99"/>
              <w:jc w:val="both"/>
              <w:rPr>
                <w:rFonts w:ascii="宋体" w:hAnsi="宋体" w:cs="宋体" w:eastAsia="宋体" w:hint="default"/>
                <w:sz w:val="18"/>
                <w:szCs w:val="18"/>
              </w:rPr>
            </w:pPr>
            <w:r>
              <w:rPr>
                <w:rFonts w:ascii="宋体" w:hAnsi="宋体" w:cs="宋体" w:eastAsia="宋体" w:hint="default"/>
                <w:spacing w:val="-7"/>
                <w:sz w:val="18"/>
                <w:szCs w:val="18"/>
              </w:rPr>
              <w:t>用户联络方式统一、业务协同</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7"/>
                <w:sz w:val="18"/>
                <w:szCs w:val="18"/>
              </w:rPr>
              <w:t>及整合，沟通可视化管理；帮</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pacing w:val="-7"/>
                <w:sz w:val="18"/>
                <w:szCs w:val="18"/>
              </w:rPr>
              <w:t>助公司深挖金融行业场景，实</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44" w:lineRule="auto" w:before="94"/>
              <w:ind w:left="103" w:right="101"/>
              <w:jc w:val="both"/>
              <w:rPr>
                <w:rFonts w:ascii="宋体" w:hAnsi="宋体" w:cs="宋体" w:eastAsia="宋体" w:hint="default"/>
                <w:sz w:val="18"/>
                <w:szCs w:val="18"/>
              </w:rPr>
            </w:pPr>
            <w:r>
              <w:rPr>
                <w:rFonts w:ascii="宋体" w:hAnsi="宋体" w:cs="宋体" w:eastAsia="宋体" w:hint="default"/>
                <w:sz w:val="18"/>
                <w:szCs w:val="18"/>
              </w:rPr>
              <w:t>正在研发中，已经完成原型设 计与系统设计，进入金融开发 阶段。</w:t>
            </w:r>
            <w:r>
              <w:rPr>
                <w:rFonts w:ascii="宋体" w:hAnsi="宋体" w:cs="宋体" w:eastAsia="宋体" w:hint="default"/>
                <w:sz w:val="18"/>
                <w:szCs w:val="18"/>
              </w:rPr>
              <w:t> </w:t>
            </w:r>
          </w:p>
        </w:tc>
        <w:tc>
          <w:tcPr>
            <w:tcW w:w="2552"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both"/>
              <w:rPr>
                <w:rFonts w:ascii="宋体" w:hAnsi="宋体" w:cs="宋体" w:eastAsia="宋体" w:hint="default"/>
                <w:sz w:val="18"/>
                <w:szCs w:val="18"/>
              </w:rPr>
            </w:pPr>
            <w:r>
              <w:rPr>
                <w:rFonts w:ascii="宋体" w:hAnsi="宋体" w:cs="宋体" w:eastAsia="宋体" w:hint="default"/>
                <w:sz w:val="18"/>
                <w:szCs w:val="18"/>
              </w:rPr>
              <w:t>在金融企业客户端产品升级，</w:t>
            </w:r>
          </w:p>
          <w:p>
            <w:pPr>
              <w:pStyle w:val="TableParagraph"/>
              <w:spacing w:line="244" w:lineRule="auto" w:before="4"/>
              <w:ind w:left="105" w:right="99"/>
              <w:jc w:val="both"/>
              <w:rPr>
                <w:rFonts w:ascii="宋体" w:hAnsi="宋体" w:cs="宋体" w:eastAsia="宋体" w:hint="default"/>
                <w:sz w:val="18"/>
                <w:szCs w:val="18"/>
              </w:rPr>
            </w:pPr>
            <w:r>
              <w:rPr>
                <w:rFonts w:ascii="宋体" w:hAnsi="宋体" w:cs="宋体" w:eastAsia="宋体" w:hint="default"/>
                <w:sz w:val="18"/>
                <w:szCs w:val="18"/>
              </w:rPr>
              <w:t>带来一部分收入，与通信场景 深度绑定，增加运营机会；拓 展新的客户。</w:t>
            </w:r>
            <w:r>
              <w:rPr>
                <w:rFonts w:ascii="宋体" w:hAnsi="宋体" w:cs="宋体" w:eastAsia="宋体" w:hint="default"/>
                <w:sz w:val="18"/>
                <w:szCs w:val="18"/>
              </w:rPr>
              <w:t> </w:t>
            </w:r>
          </w:p>
        </w:tc>
      </w:tr>
      <w:tr>
        <w:trPr>
          <w:trHeight w:val="237" w:hRule="exact"/>
        </w:trPr>
        <w:tc>
          <w:tcPr>
            <w:tcW w:w="881" w:type="dxa"/>
            <w:tcBorders>
              <w:top w:val="nil" w:sz="6" w:space="0" w:color="auto"/>
              <w:left w:val="single" w:sz="4" w:space="0" w:color="000000"/>
              <w:bottom w:val="single" w:sz="4" w:space="0" w:color="000000"/>
              <w:right w:val="single" w:sz="4" w:space="0" w:color="000000"/>
            </w:tcBorders>
          </w:tcPr>
          <w:p>
            <w:pPr/>
          </w:p>
        </w:tc>
        <w:tc>
          <w:tcPr>
            <w:tcW w:w="1181" w:type="dxa"/>
            <w:tcBorders>
              <w:top w:val="nil" w:sz="6" w:space="0" w:color="auto"/>
              <w:left w:val="single" w:sz="4" w:space="0" w:color="000000"/>
              <w:bottom w:val="single" w:sz="4" w:space="0" w:color="000000"/>
              <w:right w:val="single" w:sz="4" w:space="0" w:color="000000"/>
            </w:tcBorders>
          </w:tcPr>
          <w:p>
            <w:pPr/>
          </w:p>
        </w:tc>
        <w:tc>
          <w:tcPr>
            <w:tcW w:w="2475" w:type="dxa"/>
            <w:tcBorders>
              <w:top w:val="nil" w:sz="6" w:space="0" w:color="auto"/>
              <w:left w:val="single" w:sz="4" w:space="0" w:color="000000"/>
              <w:bottom w:val="single" w:sz="4" w:space="0" w:color="000000"/>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现深度运营价值。</w:t>
            </w:r>
            <w:r>
              <w:rPr>
                <w:rFonts w:ascii="宋体" w:hAnsi="宋体" w:cs="宋体" w:eastAsia="宋体" w:hint="default"/>
                <w:sz w:val="18"/>
                <w:szCs w:val="18"/>
              </w:rPr>
              <w:t> </w:t>
            </w:r>
          </w:p>
        </w:tc>
        <w:tc>
          <w:tcPr>
            <w:tcW w:w="2552" w:type="dxa"/>
            <w:tcBorders>
              <w:top w:val="nil" w:sz="6" w:space="0" w:color="auto"/>
              <w:left w:val="single" w:sz="4" w:space="0" w:color="000000"/>
              <w:bottom w:val="single" w:sz="4" w:space="0" w:color="000000"/>
              <w:right w:val="single" w:sz="4" w:space="0" w:color="000000"/>
            </w:tcBorders>
          </w:tcPr>
          <w:p>
            <w:pPr/>
          </w:p>
        </w:tc>
        <w:tc>
          <w:tcPr>
            <w:tcW w:w="2552" w:type="dxa"/>
            <w:tcBorders>
              <w:top w:val="nil" w:sz="6" w:space="0" w:color="auto"/>
              <w:left w:val="single" w:sz="4" w:space="0" w:color="000000"/>
              <w:bottom w:val="single" w:sz="4" w:space="0" w:color="000000"/>
              <w:right w:val="single" w:sz="4" w:space="0" w:color="000000"/>
            </w:tcBorders>
          </w:tcPr>
          <w:p>
            <w:pPr/>
          </w:p>
        </w:tc>
      </w:tr>
    </w:tbl>
    <w:p>
      <w:pPr>
        <w:spacing w:line="240" w:lineRule="auto" w:before="9"/>
        <w:rPr>
          <w:rFonts w:ascii="Times New Roman" w:hAnsi="Times New Roman" w:cs="Times New Roman" w:eastAsia="Times New Roman" w:hint="default"/>
          <w:sz w:val="29"/>
          <w:szCs w:val="29"/>
        </w:rPr>
      </w:pPr>
    </w:p>
    <w:p>
      <w:pPr>
        <w:pStyle w:val="BodyText"/>
        <w:spacing w:line="240" w:lineRule="auto" w:before="36"/>
        <w:ind w:right="1133"/>
        <w:jc w:val="left"/>
        <w:rPr>
          <w:rFonts w:ascii="宋体" w:hAnsi="宋体" w:cs="宋体" w:eastAsia="宋体" w:hint="default"/>
        </w:rPr>
      </w:pPr>
      <w:r>
        <w:rPr/>
        <w:t>公司研发投入情况</w:t>
      </w:r>
      <w:r>
        <w:rPr>
          <w:rFonts w:ascii="宋体" w:hAnsi="宋体" w:cs="宋体" w:eastAsia="宋体" w:hint="default"/>
        </w:rPr>
        <w:t> </w:t>
      </w:r>
    </w:p>
    <w:p>
      <w:pPr>
        <w:spacing w:line="240" w:lineRule="auto" w:before="12"/>
        <w:rPr>
          <w:rFonts w:ascii="宋体" w:hAnsi="宋体" w:cs="宋体" w:eastAsia="宋体" w:hint="default"/>
          <w:sz w:val="6"/>
          <w:szCs w:val="6"/>
        </w:rPr>
      </w:pPr>
    </w:p>
    <w:tbl>
      <w:tblPr>
        <w:tblW w:w="0" w:type="auto"/>
        <w:jc w:val="left"/>
        <w:tblInd w:w="148" w:type="dxa"/>
        <w:tblLayout w:type="fixed"/>
        <w:tblCellMar>
          <w:top w:w="0" w:type="dxa"/>
          <w:left w:w="0" w:type="dxa"/>
          <w:bottom w:w="0" w:type="dxa"/>
          <w:right w:w="0" w:type="dxa"/>
        </w:tblCellMar>
        <w:tblLook w:val="01E0"/>
      </w:tblPr>
      <w:tblGrid>
        <w:gridCol w:w="2835"/>
        <w:gridCol w:w="2129"/>
        <w:gridCol w:w="2213"/>
        <w:gridCol w:w="2393"/>
      </w:tblGrid>
      <w:tr>
        <w:trPr>
          <w:trHeight w:val="401" w:hRule="exact"/>
        </w:trPr>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1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2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变动比例</w:t>
            </w:r>
          </w:p>
        </w:tc>
      </w:tr>
      <w:tr>
        <w:trPr>
          <w:trHeight w:val="403" w:hRule="exact"/>
        </w:trPr>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研发人员数量（人）</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宋体" w:hAnsi="宋体" w:cs="宋体" w:eastAsia="宋体" w:hint="default"/>
                <w:sz w:val="18"/>
                <w:szCs w:val="18"/>
              </w:rPr>
            </w:pPr>
            <w:r>
              <w:rPr>
                <w:rFonts w:ascii="宋体"/>
                <w:sz w:val="18"/>
              </w:rPr>
              <w:t>850</w:t>
            </w:r>
          </w:p>
        </w:tc>
        <w:tc>
          <w:tcPr>
            <w:tcW w:w="2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z w:val="18"/>
              </w:rPr>
              <w:t>1,135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-25.11%</w:t>
            </w:r>
          </w:p>
        </w:tc>
      </w:tr>
      <w:tr>
        <w:trPr>
          <w:trHeight w:val="401" w:hRule="exact"/>
        </w:trPr>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研发人员数量占比</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pacing w:val="-1"/>
                <w:sz w:val="18"/>
              </w:rPr>
              <w:t>14.63%</w:t>
            </w:r>
          </w:p>
        </w:tc>
        <w:tc>
          <w:tcPr>
            <w:tcW w:w="2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pacing w:val="-1"/>
                <w:sz w:val="18"/>
              </w:rPr>
              <w:t>12.34%</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2.29%</w:t>
            </w:r>
          </w:p>
        </w:tc>
      </w:tr>
      <w:tr>
        <w:trPr>
          <w:trHeight w:val="403" w:hRule="exact"/>
        </w:trPr>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研发投入金额（元）</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pacing w:val="-1"/>
                <w:sz w:val="18"/>
              </w:rPr>
              <w:t>89,579,005</w:t>
            </w:r>
          </w:p>
        </w:tc>
        <w:tc>
          <w:tcPr>
            <w:tcW w:w="2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宋体" w:hAnsi="宋体" w:cs="宋体" w:eastAsia="宋体" w:hint="default"/>
                <w:sz w:val="18"/>
                <w:szCs w:val="18"/>
              </w:rPr>
            </w:pPr>
            <w:r>
              <w:rPr>
                <w:rFonts w:ascii="宋体"/>
                <w:spacing w:val="-1"/>
                <w:sz w:val="18"/>
              </w:rPr>
              <w:t>104,591,101</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-14.35%</w:t>
            </w:r>
          </w:p>
        </w:tc>
      </w:tr>
      <w:tr>
        <w:trPr>
          <w:trHeight w:val="401" w:hRule="exact"/>
        </w:trPr>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研发投入占营业收入比例</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2.83%</w:t>
            </w:r>
          </w:p>
        </w:tc>
        <w:tc>
          <w:tcPr>
            <w:tcW w:w="2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z w:val="18"/>
              </w:rPr>
              <w:t>3.45%</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pacing w:val="-1"/>
                <w:sz w:val="18"/>
              </w:rPr>
              <w:t>-0.62%</w:t>
            </w:r>
          </w:p>
        </w:tc>
      </w:tr>
      <w:tr>
        <w:trPr>
          <w:trHeight w:val="403" w:hRule="exact"/>
        </w:trPr>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研发投入资本化的金额（元）</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宋体" w:hAnsi="宋体" w:cs="宋体" w:eastAsia="宋体" w:hint="default"/>
                <w:sz w:val="18"/>
                <w:szCs w:val="18"/>
              </w:rPr>
            </w:pPr>
            <w:r>
              <w:rPr>
                <w:rFonts w:ascii="宋体"/>
                <w:sz w:val="18"/>
              </w:rPr>
              <w:t>--</w:t>
            </w:r>
          </w:p>
        </w:tc>
        <w:tc>
          <w:tcPr>
            <w:tcW w:w="2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sz w:val="18"/>
              </w:rPr>
              <w:t>--</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宋体" w:hAnsi="宋体" w:cs="宋体" w:eastAsia="宋体" w:hint="default"/>
                <w:sz w:val="18"/>
                <w:szCs w:val="18"/>
              </w:rPr>
            </w:pPr>
            <w:r>
              <w:rPr>
                <w:rFonts w:ascii="宋体"/>
                <w:sz w:val="18"/>
              </w:rPr>
              <w:t>--</w:t>
            </w:r>
          </w:p>
        </w:tc>
      </w:tr>
      <w:tr>
        <w:trPr>
          <w:trHeight w:val="401" w:hRule="exact"/>
        </w:trPr>
        <w:tc>
          <w:tcPr>
            <w:tcW w:w="28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资本化研发投入占研发投入的比例</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w:t>
            </w:r>
          </w:p>
        </w:tc>
        <w:tc>
          <w:tcPr>
            <w:tcW w:w="2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z w:val="18"/>
              </w:rPr>
              <w:t>--</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w:t>
            </w:r>
          </w:p>
        </w:tc>
      </w:tr>
    </w:tbl>
    <w:p>
      <w:pPr>
        <w:spacing w:line="240" w:lineRule="auto" w:before="8"/>
        <w:rPr>
          <w:rFonts w:ascii="宋体" w:hAnsi="宋体" w:cs="宋体" w:eastAsia="宋体" w:hint="default"/>
          <w:sz w:val="14"/>
          <w:szCs w:val="14"/>
        </w:rPr>
      </w:pPr>
    </w:p>
    <w:p>
      <w:pPr>
        <w:pStyle w:val="BodyText"/>
        <w:spacing w:line="240" w:lineRule="auto" w:before="36"/>
        <w:ind w:right="1133"/>
        <w:jc w:val="left"/>
        <w:rPr>
          <w:rFonts w:ascii="宋体" w:hAnsi="宋体" w:cs="宋体" w:eastAsia="宋体" w:hint="default"/>
        </w:rPr>
      </w:pPr>
      <w:r>
        <w:rPr/>
        <w:t>研发投入总额占营业收入的比重较上年发生显著变化的原因</w:t>
      </w:r>
      <w:r>
        <w:rPr>
          <w:rFonts w:ascii="宋体" w:hAnsi="宋体" w:cs="宋体" w:eastAsia="宋体" w:hint="default"/>
        </w:rPr>
        <w:t> </w:t>
      </w:r>
    </w:p>
    <w:p>
      <w:pPr>
        <w:pStyle w:val="BodyText"/>
        <w:spacing w:line="290" w:lineRule="auto" w:before="78"/>
        <w:ind w:right="1133"/>
        <w:jc w:val="left"/>
        <w:rPr>
          <w:rFonts w:ascii="宋体" w:hAnsi="宋体" w:cs="宋体" w:eastAsia="宋体" w:hint="default"/>
        </w:rPr>
      </w:pPr>
      <w:r>
        <w:rPr/>
        <w:t>√ 适用 </w:t>
      </w:r>
      <w:r>
        <w:rPr>
          <w:rFonts w:ascii="宋体" w:hAnsi="宋体" w:cs="宋体" w:eastAsia="宋体" w:hint="default"/>
        </w:rPr>
      </w:r>
      <w:r>
        <w:rPr>
          <w:spacing w:val="-3"/>
        </w:rPr>
        <w:t>□</w:t>
      </w:r>
      <w:r>
        <w:rPr/>
        <w:t> 不适用</w:t>
      </w:r>
      <w:r>
        <w:rPr>
          <w:rFonts w:ascii="宋体" w:hAnsi="宋体" w:cs="宋体" w:eastAsia="宋体" w:hint="default"/>
          <w:w w:val="100"/>
        </w:rPr>
        <w:t> </w:t>
      </w:r>
      <w:r>
        <w:rPr>
          <w:spacing w:val="-2"/>
        </w:rPr>
        <w:t>公司对原有研发项目进行了全面的梳理，积极调整研发方向和结构，加大投入力度重点推进新产品新技术</w:t>
      </w:r>
      <w:r>
        <w:rPr>
          <w:spacing w:val="-43"/>
        </w:rPr>
        <w:t> </w:t>
      </w:r>
      <w:r>
        <w:rPr>
          <w:spacing w:val="-43"/>
        </w:rPr>
      </w:r>
      <w:r>
        <w:rPr/>
        <w:t>的研发。</w:t>
      </w:r>
      <w:r>
        <w:rPr>
          <w:rFonts w:ascii="宋体" w:hAnsi="宋体" w:cs="宋体" w:eastAsia="宋体" w:hint="default"/>
        </w:rPr>
        <w:t> </w:t>
      </w:r>
    </w:p>
    <w:p>
      <w:pPr>
        <w:pStyle w:val="BodyText"/>
        <w:spacing w:line="240" w:lineRule="auto" w:before="31"/>
        <w:ind w:right="1133"/>
        <w:jc w:val="left"/>
        <w:rPr>
          <w:rFonts w:ascii="宋体" w:hAnsi="宋体" w:cs="宋体" w:eastAsia="宋体" w:hint="default"/>
        </w:rPr>
      </w:pPr>
      <w:r>
        <w:rPr/>
        <w:t>研发投入资本化率大幅变动的原因及其合理性说明</w:t>
      </w:r>
      <w:r>
        <w:rPr>
          <w:rFonts w:ascii="宋体" w:hAnsi="宋体" w:cs="宋体" w:eastAsia="宋体" w:hint="default"/>
        </w:rPr>
        <w:t> </w:t>
      </w:r>
    </w:p>
    <w:p>
      <w:pPr>
        <w:pStyle w:val="BodyText"/>
        <w:spacing w:line="240" w:lineRule="auto" w:before="78"/>
        <w:ind w:right="1133"/>
        <w:jc w:val="left"/>
        <w:rPr>
          <w:rFonts w:ascii="宋体" w:hAnsi="宋体" w:cs="宋体" w:eastAsia="宋体" w:hint="default"/>
        </w:rPr>
      </w:pPr>
      <w:r>
        <w:rPr/>
        <w:t>□适用 </w:t>
      </w:r>
      <w:r>
        <w:rPr>
          <w:rFonts w:ascii="宋体" w:hAnsi="宋体" w:cs="宋体" w:eastAsia="宋体" w:hint="default"/>
        </w:rPr>
      </w:r>
      <w:r>
        <w:rPr/>
        <w:t>√</w:t>
      </w:r>
      <w:r>
        <w:rPr>
          <w:spacing w:val="-3"/>
        </w:rPr>
        <w:t> </w:t>
      </w:r>
      <w:r>
        <w:rPr/>
        <w:t>不适用</w:t>
      </w:r>
      <w:r>
        <w:rPr>
          <w:rFonts w:ascii="宋体" w:hAnsi="宋体" w:cs="宋体" w:eastAsia="宋体" w:hint="default"/>
        </w:rPr>
        <w:t> </w:t>
      </w:r>
    </w:p>
    <w:p>
      <w:pPr>
        <w:pStyle w:val="Heading3"/>
        <w:spacing w:line="240" w:lineRule="auto" w:before="157"/>
        <w:ind w:right="1133"/>
        <w:jc w:val="left"/>
        <w:rPr>
          <w:b w:val="0"/>
          <w:bCs w:val="0"/>
        </w:rPr>
      </w:pPr>
      <w:r>
        <w:rPr/>
        <w:t>（五）现金流</w:t>
      </w:r>
      <w:r>
        <w:rPr>
          <w:b w:val="0"/>
          <w:bCs w:val="0"/>
        </w:rPr>
      </w:r>
    </w:p>
    <w:p>
      <w:pPr>
        <w:spacing w:line="240" w:lineRule="auto" w:before="10"/>
        <w:rPr>
          <w:rFonts w:ascii="宋体" w:hAnsi="宋体" w:cs="宋体" w:eastAsia="宋体" w:hint="default"/>
          <w:b/>
          <w:bCs/>
          <w:sz w:val="3"/>
          <w:szCs w:val="3"/>
        </w:rPr>
      </w:pPr>
    </w:p>
    <w:tbl>
      <w:tblPr>
        <w:tblW w:w="0" w:type="auto"/>
        <w:jc w:val="left"/>
        <w:tblInd w:w="148" w:type="dxa"/>
        <w:tblLayout w:type="fixed"/>
        <w:tblCellMar>
          <w:top w:w="0" w:type="dxa"/>
          <w:left w:w="0" w:type="dxa"/>
          <w:bottom w:w="0" w:type="dxa"/>
          <w:right w:w="0" w:type="dxa"/>
        </w:tblCellMar>
        <w:tblLook w:val="01E0"/>
      </w:tblPr>
      <w:tblGrid>
        <w:gridCol w:w="2127"/>
        <w:gridCol w:w="1709"/>
        <w:gridCol w:w="1694"/>
        <w:gridCol w:w="992"/>
        <w:gridCol w:w="3118"/>
      </w:tblGrid>
      <w:tr>
        <w:trPr>
          <w:trHeight w:val="634" w:hRule="exact"/>
        </w:trPr>
        <w:tc>
          <w:tcPr>
            <w:tcW w:w="212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90"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17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94"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3"/>
                <w:sz w:val="18"/>
                <w:szCs w:val="18"/>
              </w:rPr>
              <w:t> </w:t>
            </w:r>
            <w:r>
              <w:rPr>
                <w:rFonts w:ascii="宋体" w:hAnsi="宋体" w:cs="宋体" w:eastAsia="宋体" w:hint="default"/>
                <w:spacing w:val="-3"/>
                <w:sz w:val="18"/>
                <w:szCs w:val="18"/>
              </w:rPr>
              <w:t>年</w:t>
            </w:r>
            <w:r>
              <w:rPr>
                <w:rFonts w:ascii="宋体" w:hAnsi="宋体" w:cs="宋体" w:eastAsia="宋体" w:hint="default"/>
                <w:sz w:val="18"/>
                <w:szCs w:val="18"/>
              </w:rPr>
              <w:t> </w:t>
            </w:r>
          </w:p>
        </w:tc>
        <w:tc>
          <w:tcPr>
            <w:tcW w:w="16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left="90" w:right="0"/>
              <w:jc w:val="center"/>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3"/>
                <w:sz w:val="18"/>
                <w:szCs w:val="18"/>
              </w:rPr>
              <w:t> </w:t>
            </w:r>
            <w:r>
              <w:rPr>
                <w:rFonts w:ascii="宋体" w:hAnsi="宋体" w:cs="宋体" w:eastAsia="宋体" w:hint="default"/>
                <w:spacing w:val="-3"/>
                <w:sz w:val="18"/>
                <w:szCs w:val="18"/>
              </w:rPr>
              <w:t>年</w:t>
            </w:r>
            <w:r>
              <w:rPr>
                <w:rFonts w:ascii="宋体" w:hAnsi="宋体" w:cs="宋体" w:eastAsia="宋体" w:hint="default"/>
                <w:sz w:val="18"/>
                <w:szCs w:val="18"/>
              </w:rPr>
              <w:t> </w:t>
            </w:r>
          </w:p>
        </w:tc>
        <w:tc>
          <w:tcPr>
            <w:tcW w:w="9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10"/>
              <w:ind w:left="103" w:right="156"/>
              <w:jc w:val="left"/>
              <w:rPr>
                <w:rFonts w:ascii="宋体" w:hAnsi="宋体" w:cs="宋体" w:eastAsia="宋体" w:hint="default"/>
                <w:sz w:val="18"/>
                <w:szCs w:val="18"/>
              </w:rPr>
            </w:pPr>
            <w:r>
              <w:rPr>
                <w:rFonts w:ascii="宋体" w:hAnsi="宋体" w:cs="宋体" w:eastAsia="宋体" w:hint="default"/>
                <w:sz w:val="18"/>
                <w:szCs w:val="18"/>
              </w:rPr>
              <w:t>同比增减 变动</w:t>
            </w:r>
            <w:r>
              <w:rPr>
                <w:rFonts w:ascii="宋体" w:hAnsi="宋体" w:cs="宋体" w:eastAsia="宋体" w:hint="default"/>
                <w:sz w:val="18"/>
                <w:szCs w:val="18"/>
              </w:rPr>
              <w:t> </w:t>
            </w:r>
          </w:p>
        </w:tc>
        <w:tc>
          <w:tcPr>
            <w:tcW w:w="311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10"/>
              <w:ind w:left="1106" w:right="111" w:hanging="992"/>
              <w:jc w:val="left"/>
              <w:rPr>
                <w:rFonts w:ascii="宋体" w:hAnsi="宋体" w:cs="宋体" w:eastAsia="宋体" w:hint="default"/>
                <w:sz w:val="18"/>
                <w:szCs w:val="18"/>
              </w:rPr>
            </w:pPr>
            <w:r>
              <w:rPr>
                <w:rFonts w:ascii="宋体" w:hAnsi="宋体" w:cs="宋体" w:eastAsia="宋体" w:hint="default"/>
                <w:sz w:val="18"/>
                <w:szCs w:val="18"/>
              </w:rPr>
              <w:t>相关数据同比发生重大变动的主要影 响因素说明</w:t>
            </w:r>
            <w:r>
              <w:rPr>
                <w:rFonts w:ascii="宋体" w:hAnsi="宋体" w:cs="宋体" w:eastAsia="宋体" w:hint="default"/>
                <w:sz w:val="18"/>
                <w:szCs w:val="18"/>
              </w:rPr>
              <w:t> </w:t>
            </w:r>
          </w:p>
        </w:tc>
      </w:tr>
      <w:tr>
        <w:trPr>
          <w:trHeight w:val="317" w:hRule="exact"/>
        </w:trPr>
        <w:tc>
          <w:tcPr>
            <w:tcW w:w="2127" w:type="dxa"/>
            <w:tcBorders>
              <w:top w:val="single" w:sz="4" w:space="0" w:color="000000"/>
              <w:left w:val="single" w:sz="4" w:space="0" w:color="000000"/>
              <w:bottom w:val="nil" w:sz="6" w:space="0" w:color="auto"/>
              <w:right w:val="single" w:sz="4" w:space="0" w:color="000000"/>
            </w:tcBorders>
          </w:tcPr>
          <w:p>
            <w:pPr/>
          </w:p>
        </w:tc>
        <w:tc>
          <w:tcPr>
            <w:tcW w:w="1709" w:type="dxa"/>
            <w:tcBorders>
              <w:top w:val="single" w:sz="4" w:space="0" w:color="000000"/>
              <w:left w:val="single" w:sz="4" w:space="0" w:color="000000"/>
              <w:bottom w:val="nil" w:sz="6" w:space="0" w:color="auto"/>
              <w:right w:val="single" w:sz="4" w:space="0" w:color="000000"/>
            </w:tcBorders>
          </w:tcPr>
          <w:p>
            <w:pPr/>
          </w:p>
        </w:tc>
        <w:tc>
          <w:tcPr>
            <w:tcW w:w="1694" w:type="dxa"/>
            <w:tcBorders>
              <w:top w:val="single" w:sz="4" w:space="0" w:color="000000"/>
              <w:left w:val="single" w:sz="4" w:space="0" w:color="000000"/>
              <w:bottom w:val="nil" w:sz="6" w:space="0" w:color="auto"/>
              <w:right w:val="single" w:sz="4" w:space="0" w:color="000000"/>
            </w:tcBorders>
          </w:tcPr>
          <w:p>
            <w:pPr/>
          </w:p>
        </w:tc>
        <w:tc>
          <w:tcPr>
            <w:tcW w:w="992" w:type="dxa"/>
            <w:tcBorders>
              <w:top w:val="single" w:sz="4" w:space="0" w:color="000000"/>
              <w:left w:val="single" w:sz="4" w:space="0" w:color="000000"/>
              <w:bottom w:val="nil" w:sz="6" w:space="0" w:color="auto"/>
              <w:right w:val="single" w:sz="4" w:space="0" w:color="000000"/>
            </w:tcBorders>
          </w:tcPr>
          <w:p>
            <w:pPr/>
          </w:p>
        </w:tc>
        <w:tc>
          <w:tcPr>
            <w:tcW w:w="311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同比增加</w:t>
            </w:r>
            <w:r>
              <w:rPr>
                <w:rFonts w:ascii="宋体" w:hAnsi="宋体" w:cs="宋体" w:eastAsia="宋体" w:hint="default"/>
                <w:spacing w:val="-37"/>
                <w:sz w:val="18"/>
                <w:szCs w:val="18"/>
              </w:rPr>
              <w:t> </w:t>
            </w:r>
            <w:r>
              <w:rPr>
                <w:rFonts w:ascii="宋体" w:hAnsi="宋体" w:cs="宋体" w:eastAsia="宋体" w:hint="default"/>
                <w:sz w:val="18"/>
                <w:szCs w:val="18"/>
              </w:rPr>
              <w:t>43,277.48</w:t>
            </w:r>
            <w:r>
              <w:rPr>
                <w:rFonts w:ascii="宋体" w:hAnsi="宋体" w:cs="宋体" w:eastAsia="宋体" w:hint="default"/>
                <w:spacing w:val="-35"/>
                <w:sz w:val="18"/>
                <w:szCs w:val="18"/>
              </w:rPr>
              <w:t> </w:t>
            </w:r>
            <w:r>
              <w:rPr>
                <w:rFonts w:ascii="宋体" w:hAnsi="宋体" w:cs="宋体" w:eastAsia="宋体" w:hint="default"/>
                <w:sz w:val="18"/>
                <w:szCs w:val="18"/>
              </w:rPr>
              <w:t>万元，主要是营</w:t>
            </w:r>
          </w:p>
        </w:tc>
      </w:tr>
      <w:tr>
        <w:trPr>
          <w:trHeight w:val="312" w:hRule="exact"/>
        </w:trPr>
        <w:tc>
          <w:tcPr>
            <w:tcW w:w="2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r>
              <w:rPr>
                <w:rFonts w:ascii="宋体" w:hAnsi="宋体" w:cs="宋体" w:eastAsia="宋体" w:hint="default"/>
                <w:sz w:val="18"/>
                <w:szCs w:val="18"/>
              </w:rPr>
              <w:t> </w:t>
            </w:r>
          </w:p>
        </w:tc>
        <w:tc>
          <w:tcPr>
            <w:tcW w:w="170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47" w:right="0"/>
              <w:jc w:val="center"/>
              <w:rPr>
                <w:rFonts w:ascii="宋体" w:hAnsi="宋体" w:cs="宋体" w:eastAsia="宋体" w:hint="default"/>
                <w:sz w:val="18"/>
                <w:szCs w:val="18"/>
              </w:rPr>
            </w:pPr>
            <w:r>
              <w:rPr>
                <w:rFonts w:ascii="宋体"/>
                <w:sz w:val="18"/>
              </w:rPr>
              <w:t>3,619,946,158.48 </w:t>
            </w:r>
          </w:p>
        </w:tc>
        <w:tc>
          <w:tcPr>
            <w:tcW w:w="169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28" w:right="0"/>
              <w:jc w:val="center"/>
              <w:rPr>
                <w:rFonts w:ascii="宋体" w:hAnsi="宋体" w:cs="宋体" w:eastAsia="宋体" w:hint="default"/>
                <w:sz w:val="18"/>
                <w:szCs w:val="18"/>
              </w:rPr>
            </w:pPr>
            <w:r>
              <w:rPr>
                <w:rFonts w:ascii="宋体"/>
                <w:sz w:val="18"/>
              </w:rPr>
              <w:t>3,187,171,381.24 </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338" w:right="0"/>
              <w:jc w:val="left"/>
              <w:rPr>
                <w:rFonts w:ascii="宋体" w:hAnsi="宋体" w:cs="宋体" w:eastAsia="宋体" w:hint="default"/>
                <w:sz w:val="18"/>
                <w:szCs w:val="18"/>
              </w:rPr>
            </w:pPr>
            <w:r>
              <w:rPr>
                <w:rFonts w:ascii="宋体"/>
                <w:sz w:val="18"/>
              </w:rPr>
              <w:t>13.58% </w:t>
            </w:r>
          </w:p>
        </w:tc>
        <w:tc>
          <w:tcPr>
            <w:tcW w:w="3118"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业收入回款增长及嘉华信息纳入合并</w:t>
            </w:r>
          </w:p>
        </w:tc>
      </w:tr>
      <w:tr>
        <w:trPr>
          <w:trHeight w:val="319" w:hRule="exact"/>
        </w:trPr>
        <w:tc>
          <w:tcPr>
            <w:tcW w:w="2127" w:type="dxa"/>
            <w:tcBorders>
              <w:top w:val="nil" w:sz="6" w:space="0" w:color="auto"/>
              <w:left w:val="single" w:sz="4" w:space="0" w:color="000000"/>
              <w:bottom w:val="single" w:sz="4" w:space="0" w:color="000000"/>
              <w:right w:val="single" w:sz="4" w:space="0" w:color="000000"/>
            </w:tcBorders>
          </w:tcPr>
          <w:p>
            <w:pPr/>
          </w:p>
        </w:tc>
        <w:tc>
          <w:tcPr>
            <w:tcW w:w="1709" w:type="dxa"/>
            <w:tcBorders>
              <w:top w:val="nil" w:sz="6" w:space="0" w:color="auto"/>
              <w:left w:val="single" w:sz="4" w:space="0" w:color="000000"/>
              <w:bottom w:val="single" w:sz="4" w:space="0" w:color="000000"/>
              <w:right w:val="single" w:sz="4" w:space="0" w:color="000000"/>
            </w:tcBorders>
          </w:tcPr>
          <w:p>
            <w:pPr/>
          </w:p>
        </w:tc>
        <w:tc>
          <w:tcPr>
            <w:tcW w:w="1694" w:type="dxa"/>
            <w:tcBorders>
              <w:top w:val="nil" w:sz="6" w:space="0" w:color="auto"/>
              <w:left w:val="single" w:sz="4" w:space="0" w:color="000000"/>
              <w:bottom w:val="single" w:sz="4" w:space="0" w:color="000000"/>
              <w:right w:val="single" w:sz="4" w:space="0" w:color="000000"/>
            </w:tcBorders>
          </w:tcPr>
          <w:p>
            <w:pPr/>
          </w:p>
        </w:tc>
        <w:tc>
          <w:tcPr>
            <w:tcW w:w="992" w:type="dxa"/>
            <w:tcBorders>
              <w:top w:val="nil" w:sz="6" w:space="0" w:color="auto"/>
              <w:left w:val="single" w:sz="4" w:space="0" w:color="000000"/>
              <w:bottom w:val="single" w:sz="4" w:space="0" w:color="000000"/>
              <w:right w:val="single" w:sz="4" w:space="0" w:color="000000"/>
            </w:tcBorders>
          </w:tcPr>
          <w:p>
            <w:pPr/>
          </w:p>
        </w:tc>
        <w:tc>
          <w:tcPr>
            <w:tcW w:w="3118"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期间同比增加影响。</w:t>
            </w:r>
            <w:r>
              <w:rPr>
                <w:rFonts w:ascii="宋体" w:hAnsi="宋体" w:cs="宋体" w:eastAsia="宋体" w:hint="default"/>
                <w:sz w:val="18"/>
                <w:szCs w:val="18"/>
              </w:rPr>
              <w:t> </w:t>
            </w:r>
          </w:p>
        </w:tc>
      </w:tr>
    </w:tbl>
    <w:p>
      <w:pPr>
        <w:spacing w:after="0" w:line="240" w:lineRule="auto"/>
        <w:jc w:val="left"/>
        <w:rPr>
          <w:rFonts w:ascii="宋体" w:hAnsi="宋体" w:cs="宋体" w:eastAsia="宋体" w:hint="default"/>
          <w:sz w:val="18"/>
          <w:szCs w:val="18"/>
        </w:rPr>
        <w:sectPr>
          <w:pgSz w:w="11910" w:h="16840"/>
          <w:pgMar w:header="880" w:footer="975" w:top="1100" w:bottom="1160" w:left="980" w:right="0"/>
        </w:sectPr>
      </w:pPr>
    </w:p>
    <w:p>
      <w:pPr>
        <w:spacing w:line="240" w:lineRule="auto" w:before="8"/>
        <w:rPr>
          <w:rFonts w:ascii="宋体" w:hAnsi="宋体" w:cs="宋体" w:eastAsia="宋体" w:hint="default"/>
          <w:b/>
          <w:bCs/>
          <w:sz w:val="24"/>
          <w:szCs w:val="24"/>
        </w:rPr>
      </w:pPr>
    </w:p>
    <w:tbl>
      <w:tblPr>
        <w:tblW w:w="0" w:type="auto"/>
        <w:jc w:val="left"/>
        <w:tblInd w:w="247" w:type="dxa"/>
        <w:tblLayout w:type="fixed"/>
        <w:tblCellMar>
          <w:top w:w="0" w:type="dxa"/>
          <w:left w:w="0" w:type="dxa"/>
          <w:bottom w:w="0" w:type="dxa"/>
          <w:right w:w="0" w:type="dxa"/>
        </w:tblCellMar>
        <w:tblLook w:val="01E0"/>
      </w:tblPr>
      <w:tblGrid>
        <w:gridCol w:w="2127"/>
        <w:gridCol w:w="1709"/>
        <w:gridCol w:w="1694"/>
        <w:gridCol w:w="992"/>
        <w:gridCol w:w="3118"/>
      </w:tblGrid>
      <w:tr>
        <w:trPr>
          <w:trHeight w:val="946" w:hRule="exact"/>
        </w:trPr>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right="18"/>
              <w:jc w:val="center"/>
              <w:rPr>
                <w:rFonts w:ascii="宋体" w:hAnsi="宋体" w:cs="宋体" w:eastAsia="宋体" w:hint="default"/>
                <w:sz w:val="18"/>
                <w:szCs w:val="18"/>
              </w:rPr>
            </w:pPr>
            <w:r>
              <w:rPr>
                <w:rFonts w:ascii="宋体" w:hAnsi="宋体" w:cs="宋体" w:eastAsia="宋体" w:hint="default"/>
                <w:sz w:val="18"/>
                <w:szCs w:val="18"/>
              </w:rPr>
              <w:t>经营活动现金流出小计</w:t>
            </w:r>
            <w:r>
              <w:rPr>
                <w:rFonts w:ascii="宋体" w:hAnsi="宋体" w:cs="宋体" w:eastAsia="宋体" w:hint="default"/>
                <w:sz w:val="18"/>
                <w:szCs w:val="18"/>
              </w:rPr>
              <w:t> </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right="8"/>
              <w:jc w:val="right"/>
              <w:rPr>
                <w:rFonts w:ascii="宋体" w:hAnsi="宋体" w:cs="宋体" w:eastAsia="宋体" w:hint="default"/>
                <w:sz w:val="18"/>
                <w:szCs w:val="18"/>
              </w:rPr>
            </w:pPr>
            <w:r>
              <w:rPr>
                <w:rFonts w:ascii="宋体"/>
                <w:spacing w:val="-1"/>
                <w:sz w:val="18"/>
              </w:rPr>
              <w:t>3,205,134,692.38 </w:t>
            </w:r>
          </w:p>
        </w:tc>
        <w:tc>
          <w:tcPr>
            <w:tcW w:w="1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3,276,486,176.28 </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-2.18%</w:t>
            </w:r>
            <w:r>
              <w:rPr>
                <w:rFonts w:ascii="宋体"/>
                <w:sz w:val="18"/>
              </w:rPr>
              <w:t> </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105" w:right="99"/>
              <w:jc w:val="both"/>
              <w:rPr>
                <w:rFonts w:ascii="宋体" w:hAnsi="宋体" w:cs="宋体" w:eastAsia="宋体" w:hint="default"/>
                <w:sz w:val="18"/>
                <w:szCs w:val="18"/>
              </w:rPr>
            </w:pPr>
            <w:r>
              <w:rPr>
                <w:rFonts w:ascii="宋体" w:hAnsi="宋体" w:cs="宋体" w:eastAsia="宋体" w:hint="default"/>
                <w:sz w:val="18"/>
                <w:szCs w:val="18"/>
              </w:rPr>
              <w:t>同比减少</w:t>
            </w:r>
            <w:r>
              <w:rPr>
                <w:rFonts w:ascii="宋体" w:hAnsi="宋体" w:cs="宋体" w:eastAsia="宋体" w:hint="default"/>
                <w:spacing w:val="-44"/>
                <w:sz w:val="18"/>
                <w:szCs w:val="18"/>
              </w:rPr>
              <w:t> </w:t>
            </w:r>
            <w:r>
              <w:rPr>
                <w:rFonts w:ascii="宋体" w:hAnsi="宋体" w:cs="宋体" w:eastAsia="宋体" w:hint="default"/>
                <w:sz w:val="18"/>
                <w:szCs w:val="18"/>
              </w:rPr>
              <w:t>7,135.15</w:t>
            </w:r>
            <w:r>
              <w:rPr>
                <w:rFonts w:ascii="宋体" w:hAnsi="宋体" w:cs="宋体" w:eastAsia="宋体" w:hint="default"/>
                <w:spacing w:val="-42"/>
                <w:sz w:val="18"/>
                <w:szCs w:val="18"/>
              </w:rPr>
              <w:t> </w:t>
            </w:r>
            <w:r>
              <w:rPr>
                <w:rFonts w:ascii="宋体" w:hAnsi="宋体" w:cs="宋体" w:eastAsia="宋体" w:hint="default"/>
                <w:spacing w:val="-10"/>
                <w:sz w:val="18"/>
                <w:szCs w:val="18"/>
              </w:rPr>
              <w:t>万元，主要是同比</w:t>
            </w:r>
            <w:r>
              <w:rPr>
                <w:rFonts w:ascii="宋体" w:hAnsi="宋体" w:cs="宋体" w:eastAsia="宋体" w:hint="default"/>
                <w:sz w:val="18"/>
                <w:szCs w:val="18"/>
              </w:rPr>
              <w:t> 无融资租赁资产投入及嘉华信息纳入</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合并期间同比增加影响。</w:t>
            </w:r>
            <w:r>
              <w:rPr>
                <w:rFonts w:ascii="宋体" w:hAnsi="宋体" w:cs="宋体" w:eastAsia="宋体" w:hint="default"/>
                <w:sz w:val="18"/>
                <w:szCs w:val="18"/>
              </w:rPr>
              <w:t> </w:t>
            </w:r>
          </w:p>
        </w:tc>
      </w:tr>
      <w:tr>
        <w:trPr>
          <w:trHeight w:val="946" w:hRule="exact"/>
        </w:trPr>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316" w:lineRule="auto"/>
              <w:ind w:left="103" w:right="93"/>
              <w:jc w:val="left"/>
              <w:rPr>
                <w:rFonts w:ascii="宋体" w:hAnsi="宋体" w:cs="宋体" w:eastAsia="宋体" w:hint="default"/>
                <w:sz w:val="18"/>
                <w:szCs w:val="18"/>
              </w:rPr>
            </w:pPr>
            <w:r>
              <w:rPr>
                <w:rFonts w:ascii="宋体" w:hAnsi="宋体" w:cs="宋体" w:eastAsia="宋体" w:hint="default"/>
                <w:spacing w:val="12"/>
                <w:sz w:val="18"/>
                <w:szCs w:val="18"/>
              </w:rPr>
              <w:t>经营活动产生的现金流 </w:t>
            </w:r>
            <w:r>
              <w:rPr>
                <w:rFonts w:ascii="宋体" w:hAnsi="宋体" w:cs="宋体" w:eastAsia="宋体" w:hint="default"/>
                <w:sz w:val="18"/>
                <w:szCs w:val="18"/>
              </w:rPr>
              <w:t>量净额</w:t>
            </w:r>
            <w:r>
              <w:rPr>
                <w:rFonts w:ascii="宋体" w:hAnsi="宋体" w:cs="宋体" w:eastAsia="宋体" w:hint="default"/>
                <w:sz w:val="18"/>
                <w:szCs w:val="18"/>
              </w:rPr>
              <w:t> </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right="10"/>
              <w:jc w:val="right"/>
              <w:rPr>
                <w:rFonts w:ascii="宋体" w:hAnsi="宋体" w:cs="宋体" w:eastAsia="宋体" w:hint="default"/>
                <w:sz w:val="18"/>
                <w:szCs w:val="18"/>
              </w:rPr>
            </w:pPr>
            <w:r>
              <w:rPr>
                <w:rFonts w:ascii="宋体"/>
                <w:spacing w:val="1"/>
                <w:sz w:val="18"/>
              </w:rPr>
              <w:t>  </w:t>
            </w:r>
            <w:r>
              <w:rPr>
                <w:rFonts w:ascii="宋体"/>
                <w:spacing w:val="-1"/>
                <w:sz w:val="18"/>
              </w:rPr>
              <w:t>414,811,466.10</w:t>
            </w:r>
            <w:r>
              <w:rPr>
                <w:rFonts w:ascii="宋体"/>
                <w:sz w:val="18"/>
              </w:rPr>
              <w:t> </w:t>
            </w:r>
          </w:p>
        </w:tc>
        <w:tc>
          <w:tcPr>
            <w:tcW w:w="1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-89,314,795.04</w:t>
            </w:r>
            <w:r>
              <w:rPr>
                <w:rFonts w:ascii="宋体"/>
                <w:sz w:val="18"/>
              </w:rPr>
              <w:t> </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564.44%</w:t>
            </w:r>
            <w:r>
              <w:rPr>
                <w:rFonts w:ascii="宋体"/>
                <w:sz w:val="18"/>
              </w:rPr>
              <w:t> </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5" w:right="98"/>
              <w:jc w:val="both"/>
              <w:rPr>
                <w:rFonts w:ascii="宋体" w:hAnsi="宋体" w:cs="宋体" w:eastAsia="宋体" w:hint="default"/>
                <w:sz w:val="18"/>
                <w:szCs w:val="18"/>
              </w:rPr>
            </w:pPr>
            <w:r>
              <w:rPr>
                <w:rFonts w:ascii="宋体" w:hAnsi="宋体" w:cs="宋体" w:eastAsia="宋体" w:hint="default"/>
                <w:sz w:val="18"/>
                <w:szCs w:val="18"/>
              </w:rPr>
              <w:t>同比增加 </w:t>
            </w:r>
            <w:r>
              <w:rPr>
                <w:rFonts w:ascii="宋体" w:hAnsi="宋体" w:cs="宋体" w:eastAsia="宋体" w:hint="default"/>
                <w:sz w:val="18"/>
                <w:szCs w:val="18"/>
              </w:rPr>
              <w:t>50,412.63</w:t>
            </w:r>
            <w:r>
              <w:rPr>
                <w:rFonts w:ascii="宋体" w:hAnsi="宋体" w:cs="宋体" w:eastAsia="宋体" w:hint="default"/>
                <w:spacing w:val="3"/>
                <w:sz w:val="18"/>
                <w:szCs w:val="18"/>
              </w:rPr>
              <w:t> </w:t>
            </w:r>
            <w:r>
              <w:rPr>
                <w:rFonts w:ascii="宋体" w:hAnsi="宋体" w:cs="宋体" w:eastAsia="宋体" w:hint="default"/>
                <w:spacing w:val="-11"/>
                <w:sz w:val="18"/>
                <w:szCs w:val="18"/>
              </w:rPr>
              <w:t>万元，主要是营</w:t>
            </w:r>
            <w:r>
              <w:rPr>
                <w:rFonts w:ascii="宋体" w:hAnsi="宋体" w:cs="宋体" w:eastAsia="宋体" w:hint="default"/>
                <w:sz w:val="18"/>
                <w:szCs w:val="18"/>
              </w:rPr>
              <w:t> 业收入回款增长及嘉华信息纳入合并</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期间同比增加影响。</w:t>
            </w:r>
            <w:r>
              <w:rPr>
                <w:rFonts w:ascii="宋体" w:hAnsi="宋体" w:cs="宋体" w:eastAsia="宋体" w:hint="default"/>
                <w:sz w:val="18"/>
                <w:szCs w:val="18"/>
              </w:rPr>
              <w:t> </w:t>
            </w:r>
          </w:p>
        </w:tc>
      </w:tr>
      <w:tr>
        <w:trPr>
          <w:trHeight w:val="634" w:hRule="exact"/>
        </w:trPr>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8"/>
              <w:jc w:val="center"/>
              <w:rPr>
                <w:rFonts w:ascii="宋体" w:hAnsi="宋体" w:cs="宋体" w:eastAsia="宋体" w:hint="default"/>
                <w:sz w:val="18"/>
                <w:szCs w:val="18"/>
              </w:rPr>
            </w:pPr>
            <w:r>
              <w:rPr>
                <w:rFonts w:ascii="宋体" w:hAnsi="宋体" w:cs="宋体" w:eastAsia="宋体" w:hint="default"/>
                <w:sz w:val="18"/>
                <w:szCs w:val="18"/>
              </w:rPr>
              <w:t>投资活动现金流入小计</w:t>
            </w:r>
            <w:r>
              <w:rPr>
                <w:rFonts w:ascii="宋体" w:hAnsi="宋体" w:cs="宋体" w:eastAsia="宋体" w:hint="default"/>
                <w:sz w:val="18"/>
                <w:szCs w:val="18"/>
              </w:rPr>
              <w:t> </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1"/>
                <w:sz w:val="18"/>
              </w:rPr>
              <w:t>443,562.48</w:t>
            </w:r>
            <w:r>
              <w:rPr>
                <w:rFonts w:ascii="宋体"/>
                <w:sz w:val="18"/>
              </w:rPr>
              <w:t> </w:t>
            </w:r>
          </w:p>
        </w:tc>
        <w:tc>
          <w:tcPr>
            <w:tcW w:w="1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267,546,482.09 </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-99.83%</w:t>
            </w:r>
            <w:r>
              <w:rPr>
                <w:rFonts w:ascii="宋体"/>
                <w:sz w:val="18"/>
              </w:rPr>
              <w:t> </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5" w:right="98"/>
              <w:jc w:val="left"/>
              <w:rPr>
                <w:rFonts w:ascii="宋体" w:hAnsi="宋体" w:cs="宋体" w:eastAsia="宋体" w:hint="default"/>
                <w:sz w:val="18"/>
                <w:szCs w:val="18"/>
              </w:rPr>
            </w:pPr>
            <w:r>
              <w:rPr>
                <w:rFonts w:ascii="宋体" w:hAnsi="宋体" w:cs="宋体" w:eastAsia="宋体" w:hint="default"/>
                <w:sz w:val="18"/>
                <w:szCs w:val="18"/>
              </w:rPr>
              <w:t>同比减少 </w:t>
            </w:r>
            <w:r>
              <w:rPr>
                <w:rFonts w:ascii="宋体" w:hAnsi="宋体" w:cs="宋体" w:eastAsia="宋体" w:hint="default"/>
                <w:sz w:val="18"/>
                <w:szCs w:val="18"/>
              </w:rPr>
              <w:t>26,710.29</w:t>
            </w:r>
            <w:r>
              <w:rPr>
                <w:rFonts w:ascii="宋体" w:hAnsi="宋体" w:cs="宋体" w:eastAsia="宋体" w:hint="default"/>
                <w:spacing w:val="-72"/>
                <w:sz w:val="18"/>
                <w:szCs w:val="18"/>
              </w:rPr>
              <w:t> </w:t>
            </w:r>
            <w:r>
              <w:rPr>
                <w:rFonts w:ascii="宋体" w:hAnsi="宋体" w:cs="宋体" w:eastAsia="宋体" w:hint="default"/>
                <w:sz w:val="18"/>
                <w:szCs w:val="18"/>
              </w:rPr>
              <w:t>万元，主要是无 上期的理财产品到期收回。</w:t>
            </w:r>
            <w:r>
              <w:rPr>
                <w:rFonts w:ascii="宋体" w:hAnsi="宋体" w:cs="宋体" w:eastAsia="宋体" w:hint="default"/>
                <w:sz w:val="18"/>
                <w:szCs w:val="18"/>
              </w:rPr>
              <w:t> </w:t>
            </w:r>
          </w:p>
        </w:tc>
      </w:tr>
      <w:tr>
        <w:trPr>
          <w:trHeight w:val="636" w:hRule="exact"/>
        </w:trPr>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8"/>
              <w:jc w:val="center"/>
              <w:rPr>
                <w:rFonts w:ascii="宋体" w:hAnsi="宋体" w:cs="宋体" w:eastAsia="宋体" w:hint="default"/>
                <w:sz w:val="18"/>
                <w:szCs w:val="18"/>
              </w:rPr>
            </w:pPr>
            <w:r>
              <w:rPr>
                <w:rFonts w:ascii="宋体" w:hAnsi="宋体" w:cs="宋体" w:eastAsia="宋体" w:hint="default"/>
                <w:sz w:val="18"/>
                <w:szCs w:val="18"/>
              </w:rPr>
              <w:t>投资活动现金流出小计</w:t>
            </w:r>
            <w:r>
              <w:rPr>
                <w:rFonts w:ascii="宋体" w:hAnsi="宋体" w:cs="宋体" w:eastAsia="宋体" w:hint="default"/>
                <w:sz w:val="18"/>
                <w:szCs w:val="18"/>
              </w:rPr>
              <w:t> </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36,527,316.59</w:t>
            </w:r>
            <w:r>
              <w:rPr>
                <w:rFonts w:ascii="宋体"/>
                <w:sz w:val="18"/>
              </w:rPr>
              <w:t> </w:t>
            </w:r>
          </w:p>
        </w:tc>
        <w:tc>
          <w:tcPr>
            <w:tcW w:w="1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387,886,195.09 </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-90.58%</w:t>
            </w:r>
            <w:r>
              <w:rPr>
                <w:rFonts w:ascii="宋体"/>
                <w:sz w:val="18"/>
              </w:rPr>
              <w:t> </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3"/>
              <w:ind w:left="105" w:right="98"/>
              <w:jc w:val="left"/>
              <w:rPr>
                <w:rFonts w:ascii="宋体" w:hAnsi="宋体" w:cs="宋体" w:eastAsia="宋体" w:hint="default"/>
                <w:sz w:val="18"/>
                <w:szCs w:val="18"/>
              </w:rPr>
            </w:pPr>
            <w:r>
              <w:rPr>
                <w:rFonts w:ascii="宋体" w:hAnsi="宋体" w:cs="宋体" w:eastAsia="宋体" w:hint="default"/>
                <w:sz w:val="18"/>
                <w:szCs w:val="18"/>
              </w:rPr>
              <w:t>同比减少 </w:t>
            </w:r>
            <w:r>
              <w:rPr>
                <w:rFonts w:ascii="宋体" w:hAnsi="宋体" w:cs="宋体" w:eastAsia="宋体" w:hint="default"/>
                <w:sz w:val="18"/>
                <w:szCs w:val="18"/>
              </w:rPr>
              <w:t>35,135.89</w:t>
            </w:r>
            <w:r>
              <w:rPr>
                <w:rFonts w:ascii="宋体" w:hAnsi="宋体" w:cs="宋体" w:eastAsia="宋体" w:hint="default"/>
                <w:spacing w:val="-72"/>
                <w:sz w:val="18"/>
                <w:szCs w:val="18"/>
              </w:rPr>
              <w:t> </w:t>
            </w:r>
            <w:r>
              <w:rPr>
                <w:rFonts w:ascii="宋体" w:hAnsi="宋体" w:cs="宋体" w:eastAsia="宋体" w:hint="default"/>
                <w:sz w:val="18"/>
                <w:szCs w:val="18"/>
              </w:rPr>
              <w:t>万元，主要是无 购买全资子公司嘉华信息支出。</w:t>
            </w:r>
            <w:r>
              <w:rPr>
                <w:rFonts w:ascii="宋体" w:hAnsi="宋体" w:cs="宋体" w:eastAsia="宋体" w:hint="default"/>
                <w:sz w:val="18"/>
                <w:szCs w:val="18"/>
              </w:rPr>
              <w:t> </w:t>
            </w:r>
          </w:p>
        </w:tc>
      </w:tr>
      <w:tr>
        <w:trPr>
          <w:trHeight w:val="946" w:hRule="exact"/>
        </w:trPr>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316" w:lineRule="auto"/>
              <w:ind w:left="103" w:right="93"/>
              <w:jc w:val="left"/>
              <w:rPr>
                <w:rFonts w:ascii="宋体" w:hAnsi="宋体" w:cs="宋体" w:eastAsia="宋体" w:hint="default"/>
                <w:sz w:val="18"/>
                <w:szCs w:val="18"/>
              </w:rPr>
            </w:pPr>
            <w:r>
              <w:rPr>
                <w:rFonts w:ascii="宋体" w:hAnsi="宋体" w:cs="宋体" w:eastAsia="宋体" w:hint="default"/>
                <w:spacing w:val="12"/>
                <w:sz w:val="18"/>
                <w:szCs w:val="18"/>
              </w:rPr>
              <w:t>投资活动产生的现金流 </w:t>
            </w:r>
            <w:r>
              <w:rPr>
                <w:rFonts w:ascii="宋体" w:hAnsi="宋体" w:cs="宋体" w:eastAsia="宋体" w:hint="default"/>
                <w:sz w:val="18"/>
                <w:szCs w:val="18"/>
              </w:rPr>
              <w:t>量净额</w:t>
            </w:r>
            <w:r>
              <w:rPr>
                <w:rFonts w:ascii="宋体" w:hAnsi="宋体" w:cs="宋体" w:eastAsia="宋体" w:hint="default"/>
                <w:sz w:val="18"/>
                <w:szCs w:val="18"/>
              </w:rPr>
              <w:t> </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right="10"/>
              <w:jc w:val="right"/>
              <w:rPr>
                <w:rFonts w:ascii="宋体" w:hAnsi="宋体" w:cs="宋体" w:eastAsia="宋体" w:hint="default"/>
                <w:sz w:val="18"/>
                <w:szCs w:val="18"/>
              </w:rPr>
            </w:pPr>
            <w:r>
              <w:rPr>
                <w:rFonts w:ascii="宋体"/>
                <w:spacing w:val="1"/>
                <w:sz w:val="18"/>
              </w:rPr>
              <w:t>  </w:t>
            </w:r>
            <w:r>
              <w:rPr>
                <w:rFonts w:ascii="宋体"/>
                <w:spacing w:val="-1"/>
                <w:sz w:val="18"/>
              </w:rPr>
              <w:t>-36,083,754.11</w:t>
            </w:r>
            <w:r>
              <w:rPr>
                <w:rFonts w:ascii="宋体"/>
                <w:sz w:val="18"/>
              </w:rPr>
              <w:t> </w:t>
            </w:r>
          </w:p>
        </w:tc>
        <w:tc>
          <w:tcPr>
            <w:tcW w:w="1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-120,339,713.00 </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70.02%</w:t>
            </w:r>
            <w:r>
              <w:rPr>
                <w:rFonts w:ascii="宋体"/>
                <w:sz w:val="18"/>
              </w:rPr>
              <w:t> </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5" w:right="98"/>
              <w:jc w:val="both"/>
              <w:rPr>
                <w:rFonts w:ascii="宋体" w:hAnsi="宋体" w:cs="宋体" w:eastAsia="宋体" w:hint="default"/>
                <w:sz w:val="18"/>
                <w:szCs w:val="18"/>
              </w:rPr>
            </w:pPr>
            <w:r>
              <w:rPr>
                <w:rFonts w:ascii="宋体" w:hAnsi="宋体" w:cs="宋体" w:eastAsia="宋体" w:hint="default"/>
                <w:sz w:val="18"/>
                <w:szCs w:val="18"/>
              </w:rPr>
              <w:t>同比少支出</w:t>
            </w:r>
            <w:r>
              <w:rPr>
                <w:rFonts w:ascii="宋体" w:hAnsi="宋体" w:cs="宋体" w:eastAsia="宋体" w:hint="default"/>
                <w:spacing w:val="-45"/>
                <w:sz w:val="18"/>
                <w:szCs w:val="18"/>
              </w:rPr>
              <w:t> </w:t>
            </w:r>
            <w:r>
              <w:rPr>
                <w:rFonts w:ascii="宋体" w:hAnsi="宋体" w:cs="宋体" w:eastAsia="宋体" w:hint="default"/>
                <w:sz w:val="18"/>
                <w:szCs w:val="18"/>
              </w:rPr>
              <w:t>8,425.60</w:t>
            </w:r>
            <w:r>
              <w:rPr>
                <w:rFonts w:ascii="宋体" w:hAnsi="宋体" w:cs="宋体" w:eastAsia="宋体" w:hint="default"/>
                <w:spacing w:val="-42"/>
                <w:sz w:val="18"/>
                <w:szCs w:val="18"/>
              </w:rPr>
              <w:t> </w:t>
            </w:r>
            <w:r>
              <w:rPr>
                <w:rFonts w:ascii="宋体" w:hAnsi="宋体" w:cs="宋体" w:eastAsia="宋体" w:hint="default"/>
                <w:spacing w:val="-11"/>
                <w:sz w:val="18"/>
                <w:szCs w:val="18"/>
              </w:rPr>
              <w:t>万元，主要是无</w:t>
            </w:r>
            <w:r>
              <w:rPr>
                <w:rFonts w:ascii="宋体" w:hAnsi="宋体" w:cs="宋体" w:eastAsia="宋体" w:hint="default"/>
                <w:sz w:val="18"/>
                <w:szCs w:val="18"/>
              </w:rPr>
              <w:t> 购买全资子公司嘉华信息支出及银行</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理财产品到期收回影响。</w:t>
            </w:r>
            <w:r>
              <w:rPr>
                <w:rFonts w:ascii="宋体" w:hAnsi="宋体" w:cs="宋体" w:eastAsia="宋体" w:hint="default"/>
                <w:sz w:val="18"/>
                <w:szCs w:val="18"/>
              </w:rPr>
              <w:t> </w:t>
            </w:r>
          </w:p>
        </w:tc>
      </w:tr>
      <w:tr>
        <w:trPr>
          <w:trHeight w:val="634" w:hRule="exact"/>
        </w:trPr>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66"/>
              <w:jc w:val="center"/>
              <w:rPr>
                <w:rFonts w:ascii="宋体" w:hAnsi="宋体" w:cs="宋体" w:eastAsia="宋体" w:hint="default"/>
                <w:sz w:val="18"/>
                <w:szCs w:val="18"/>
              </w:rPr>
            </w:pPr>
            <w:r>
              <w:rPr>
                <w:rFonts w:ascii="宋体" w:hAnsi="宋体" w:cs="宋体" w:eastAsia="宋体" w:hint="default"/>
                <w:spacing w:val="-6"/>
                <w:sz w:val="18"/>
                <w:szCs w:val="18"/>
              </w:rPr>
              <w:t>筹资活动现金流入小计</w:t>
            </w:r>
            <w:r>
              <w:rPr>
                <w:rFonts w:ascii="宋体" w:hAnsi="宋体" w:cs="宋体" w:eastAsia="宋体" w:hint="default"/>
                <w:sz w:val="18"/>
                <w:szCs w:val="18"/>
              </w:rPr>
              <w:t> </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
              <w:jc w:val="right"/>
              <w:rPr>
                <w:rFonts w:ascii="宋体" w:hAnsi="宋体" w:cs="宋体" w:eastAsia="宋体" w:hint="default"/>
                <w:sz w:val="18"/>
                <w:szCs w:val="18"/>
              </w:rPr>
            </w:pPr>
            <w:r>
              <w:rPr>
                <w:rFonts w:ascii="宋体"/>
                <w:spacing w:val="1"/>
                <w:sz w:val="18"/>
              </w:rPr>
              <w:t>  </w:t>
            </w:r>
            <w:r>
              <w:rPr>
                <w:rFonts w:ascii="宋体"/>
                <w:spacing w:val="-1"/>
                <w:sz w:val="18"/>
              </w:rPr>
              <w:t>364,966,234.50</w:t>
            </w:r>
            <w:r>
              <w:rPr>
                <w:rFonts w:ascii="宋体"/>
                <w:sz w:val="18"/>
              </w:rPr>
              <w:t> </w:t>
            </w:r>
          </w:p>
        </w:tc>
        <w:tc>
          <w:tcPr>
            <w:tcW w:w="1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636,943,563.70 </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-42.70%</w:t>
            </w:r>
            <w:r>
              <w:rPr>
                <w:rFonts w:ascii="宋体"/>
                <w:sz w:val="18"/>
              </w:rPr>
              <w:t> </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105" w:right="98"/>
              <w:jc w:val="left"/>
              <w:rPr>
                <w:rFonts w:ascii="宋体" w:hAnsi="宋体" w:cs="宋体" w:eastAsia="宋体" w:hint="default"/>
                <w:sz w:val="18"/>
                <w:szCs w:val="18"/>
              </w:rPr>
            </w:pPr>
            <w:r>
              <w:rPr>
                <w:rFonts w:ascii="宋体" w:hAnsi="宋体" w:cs="宋体" w:eastAsia="宋体" w:hint="default"/>
                <w:sz w:val="18"/>
                <w:szCs w:val="18"/>
              </w:rPr>
              <w:t>同比减少 </w:t>
            </w:r>
            <w:r>
              <w:rPr>
                <w:rFonts w:ascii="宋体" w:hAnsi="宋体" w:cs="宋体" w:eastAsia="宋体" w:hint="default"/>
                <w:sz w:val="18"/>
                <w:szCs w:val="18"/>
              </w:rPr>
              <w:t>27,197.73</w:t>
            </w:r>
            <w:r>
              <w:rPr>
                <w:rFonts w:ascii="宋体" w:hAnsi="宋体" w:cs="宋体" w:eastAsia="宋体" w:hint="default"/>
                <w:spacing w:val="-72"/>
                <w:sz w:val="18"/>
                <w:szCs w:val="18"/>
              </w:rPr>
              <w:t> </w:t>
            </w:r>
            <w:r>
              <w:rPr>
                <w:rFonts w:ascii="宋体" w:hAnsi="宋体" w:cs="宋体" w:eastAsia="宋体" w:hint="default"/>
                <w:sz w:val="18"/>
                <w:szCs w:val="18"/>
              </w:rPr>
              <w:t>万元，主要是取 得贷款减少。</w:t>
            </w:r>
            <w:r>
              <w:rPr>
                <w:rFonts w:ascii="宋体" w:hAnsi="宋体" w:cs="宋体" w:eastAsia="宋体" w:hint="default"/>
                <w:sz w:val="18"/>
                <w:szCs w:val="18"/>
              </w:rPr>
              <w:t> </w:t>
            </w:r>
          </w:p>
        </w:tc>
      </w:tr>
      <w:tr>
        <w:trPr>
          <w:trHeight w:val="946" w:hRule="exact"/>
        </w:trPr>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right="66"/>
              <w:jc w:val="center"/>
              <w:rPr>
                <w:rFonts w:ascii="宋体" w:hAnsi="宋体" w:cs="宋体" w:eastAsia="宋体" w:hint="default"/>
                <w:sz w:val="18"/>
                <w:szCs w:val="18"/>
              </w:rPr>
            </w:pPr>
            <w:r>
              <w:rPr>
                <w:rFonts w:ascii="宋体" w:hAnsi="宋体" w:cs="宋体" w:eastAsia="宋体" w:hint="default"/>
                <w:spacing w:val="-6"/>
                <w:sz w:val="18"/>
                <w:szCs w:val="18"/>
              </w:rPr>
              <w:t>筹资活动现金流出小计</w:t>
            </w:r>
            <w:r>
              <w:rPr>
                <w:rFonts w:ascii="宋体" w:hAnsi="宋体" w:cs="宋体" w:eastAsia="宋体" w:hint="default"/>
                <w:sz w:val="18"/>
                <w:szCs w:val="18"/>
              </w:rPr>
              <w:t> </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right="10"/>
              <w:jc w:val="right"/>
              <w:rPr>
                <w:rFonts w:ascii="宋体" w:hAnsi="宋体" w:cs="宋体" w:eastAsia="宋体" w:hint="default"/>
                <w:sz w:val="18"/>
                <w:szCs w:val="18"/>
              </w:rPr>
            </w:pPr>
            <w:r>
              <w:rPr>
                <w:rFonts w:ascii="宋体"/>
                <w:spacing w:val="1"/>
                <w:sz w:val="18"/>
              </w:rPr>
              <w:t> </w:t>
            </w:r>
            <w:r>
              <w:rPr>
                <w:rFonts w:ascii="宋体"/>
                <w:spacing w:val="-1"/>
                <w:sz w:val="18"/>
              </w:rPr>
              <w:t>616,454,938.54</w:t>
            </w:r>
            <w:r>
              <w:rPr>
                <w:rFonts w:ascii="宋体"/>
                <w:sz w:val="18"/>
              </w:rPr>
              <w:t> </w:t>
            </w:r>
          </w:p>
        </w:tc>
        <w:tc>
          <w:tcPr>
            <w:tcW w:w="1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94,289,492.69</w:t>
            </w:r>
            <w:r>
              <w:rPr>
                <w:rFonts w:ascii="宋体"/>
                <w:sz w:val="18"/>
              </w:rPr>
              <w:t> </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553.79%</w:t>
            </w:r>
            <w:r>
              <w:rPr>
                <w:rFonts w:ascii="宋体"/>
                <w:sz w:val="18"/>
              </w:rPr>
              <w:t> </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5" w:right="98"/>
              <w:jc w:val="both"/>
              <w:rPr>
                <w:rFonts w:ascii="宋体" w:hAnsi="宋体" w:cs="宋体" w:eastAsia="宋体" w:hint="default"/>
                <w:sz w:val="18"/>
                <w:szCs w:val="18"/>
              </w:rPr>
            </w:pPr>
            <w:r>
              <w:rPr>
                <w:rFonts w:ascii="宋体" w:hAnsi="宋体" w:cs="宋体" w:eastAsia="宋体" w:hint="default"/>
                <w:sz w:val="18"/>
                <w:szCs w:val="18"/>
              </w:rPr>
              <w:t>同比增加 </w:t>
            </w:r>
            <w:r>
              <w:rPr>
                <w:rFonts w:ascii="宋体" w:hAnsi="宋体" w:cs="宋体" w:eastAsia="宋体" w:hint="default"/>
                <w:sz w:val="18"/>
                <w:szCs w:val="18"/>
              </w:rPr>
              <w:t>52,216.54</w:t>
            </w:r>
            <w:r>
              <w:rPr>
                <w:rFonts w:ascii="宋体" w:hAnsi="宋体" w:cs="宋体" w:eastAsia="宋体" w:hint="default"/>
                <w:spacing w:val="-72"/>
                <w:sz w:val="18"/>
                <w:szCs w:val="18"/>
              </w:rPr>
              <w:t> </w:t>
            </w:r>
            <w:r>
              <w:rPr>
                <w:rFonts w:ascii="宋体" w:hAnsi="宋体" w:cs="宋体" w:eastAsia="宋体" w:hint="default"/>
                <w:sz w:val="18"/>
                <w:szCs w:val="18"/>
              </w:rPr>
              <w:t>万元，主要是偿 还银行借款和支付利息增加，支付中</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介费支出减少。</w:t>
            </w:r>
            <w:r>
              <w:rPr>
                <w:rFonts w:ascii="宋体" w:hAnsi="宋体" w:cs="宋体" w:eastAsia="宋体" w:hint="default"/>
                <w:sz w:val="18"/>
                <w:szCs w:val="18"/>
              </w:rPr>
              <w:t> </w:t>
            </w:r>
          </w:p>
        </w:tc>
      </w:tr>
      <w:tr>
        <w:trPr>
          <w:trHeight w:val="946" w:hRule="exact"/>
        </w:trPr>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316" w:lineRule="auto"/>
              <w:ind w:left="103" w:right="93"/>
              <w:jc w:val="left"/>
              <w:rPr>
                <w:rFonts w:ascii="宋体" w:hAnsi="宋体" w:cs="宋体" w:eastAsia="宋体" w:hint="default"/>
                <w:sz w:val="18"/>
                <w:szCs w:val="18"/>
              </w:rPr>
            </w:pPr>
            <w:r>
              <w:rPr>
                <w:rFonts w:ascii="宋体" w:hAnsi="宋体" w:cs="宋体" w:eastAsia="宋体" w:hint="default"/>
                <w:spacing w:val="12"/>
                <w:sz w:val="18"/>
                <w:szCs w:val="18"/>
              </w:rPr>
              <w:t>筹资活动产生的现金流 </w:t>
            </w:r>
            <w:r>
              <w:rPr>
                <w:rFonts w:ascii="宋体" w:hAnsi="宋体" w:cs="宋体" w:eastAsia="宋体" w:hint="default"/>
                <w:sz w:val="18"/>
                <w:szCs w:val="18"/>
              </w:rPr>
              <w:t>量净额</w:t>
            </w:r>
            <w:r>
              <w:rPr>
                <w:rFonts w:ascii="宋体" w:hAnsi="宋体" w:cs="宋体" w:eastAsia="宋体" w:hint="default"/>
                <w:sz w:val="18"/>
                <w:szCs w:val="18"/>
              </w:rPr>
              <w:t> </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right="10"/>
              <w:jc w:val="right"/>
              <w:rPr>
                <w:rFonts w:ascii="宋体" w:hAnsi="宋体" w:cs="宋体" w:eastAsia="宋体" w:hint="default"/>
                <w:sz w:val="18"/>
                <w:szCs w:val="18"/>
              </w:rPr>
            </w:pPr>
            <w:r>
              <w:rPr>
                <w:rFonts w:ascii="宋体"/>
                <w:spacing w:val="1"/>
                <w:sz w:val="18"/>
              </w:rPr>
              <w:t> </w:t>
            </w:r>
            <w:r>
              <w:rPr>
                <w:rFonts w:ascii="宋体"/>
                <w:spacing w:val="-1"/>
                <w:sz w:val="18"/>
              </w:rPr>
              <w:t>-251,488,704.04</w:t>
            </w:r>
            <w:r>
              <w:rPr>
                <w:rFonts w:ascii="宋体"/>
                <w:sz w:val="18"/>
              </w:rPr>
              <w:t> </w:t>
            </w:r>
          </w:p>
        </w:tc>
        <w:tc>
          <w:tcPr>
            <w:tcW w:w="1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542,654,071.01 </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4"/>
                <w:szCs w:val="24"/>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-146.34%</w:t>
            </w:r>
            <w:r>
              <w:rPr>
                <w:rFonts w:ascii="宋体"/>
                <w:sz w:val="18"/>
              </w:rPr>
              <w:t> </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5" w:right="96"/>
              <w:jc w:val="both"/>
              <w:rPr>
                <w:rFonts w:ascii="宋体" w:hAnsi="宋体" w:cs="宋体" w:eastAsia="宋体" w:hint="default"/>
                <w:sz w:val="18"/>
                <w:szCs w:val="18"/>
              </w:rPr>
            </w:pPr>
            <w:r>
              <w:rPr>
                <w:rFonts w:ascii="宋体" w:hAnsi="宋体" w:cs="宋体" w:eastAsia="宋体" w:hint="default"/>
                <w:sz w:val="18"/>
                <w:szCs w:val="18"/>
              </w:rPr>
              <w:t>同比减少 </w:t>
            </w:r>
            <w:r>
              <w:rPr>
                <w:rFonts w:ascii="宋体" w:hAnsi="宋体" w:cs="宋体" w:eastAsia="宋体" w:hint="default"/>
                <w:sz w:val="18"/>
                <w:szCs w:val="18"/>
              </w:rPr>
              <w:t>79,414.28</w:t>
            </w:r>
            <w:r>
              <w:rPr>
                <w:rFonts w:ascii="宋体" w:hAnsi="宋体" w:cs="宋体" w:eastAsia="宋体" w:hint="default"/>
                <w:spacing w:val="16"/>
                <w:sz w:val="18"/>
                <w:szCs w:val="18"/>
              </w:rPr>
              <w:t> </w:t>
            </w:r>
            <w:r>
              <w:rPr>
                <w:rFonts w:ascii="宋体" w:hAnsi="宋体" w:cs="宋体" w:eastAsia="宋体" w:hint="default"/>
                <w:sz w:val="18"/>
                <w:szCs w:val="18"/>
              </w:rPr>
              <w:t>万元</w:t>
            </w:r>
            <w:r>
              <w:rPr>
                <w:rFonts w:ascii="宋体" w:hAnsi="宋体" w:cs="宋体" w:eastAsia="宋体" w:hint="default"/>
                <w:sz w:val="18"/>
                <w:szCs w:val="18"/>
              </w:rPr>
              <w:t>,</w:t>
            </w:r>
            <w:r>
              <w:rPr>
                <w:rFonts w:ascii="宋体" w:hAnsi="宋体" w:cs="宋体" w:eastAsia="宋体" w:hint="default"/>
                <w:sz w:val="18"/>
                <w:szCs w:val="18"/>
              </w:rPr>
              <w:t>主要是取 </w:t>
            </w:r>
            <w:r>
              <w:rPr>
                <w:rFonts w:ascii="宋体" w:hAnsi="宋体" w:cs="宋体" w:eastAsia="宋体" w:hint="default"/>
                <w:spacing w:val="6"/>
                <w:sz w:val="18"/>
                <w:szCs w:val="18"/>
              </w:rPr>
              <w:t>得贷款减少</w:t>
            </w:r>
            <w:r>
              <w:rPr>
                <w:rFonts w:ascii="宋体" w:hAnsi="宋体" w:cs="宋体" w:eastAsia="宋体" w:hint="default"/>
                <w:spacing w:val="6"/>
                <w:sz w:val="18"/>
                <w:szCs w:val="18"/>
              </w:rPr>
              <w:t>,</w:t>
            </w:r>
            <w:r>
              <w:rPr>
                <w:rFonts w:ascii="宋体" w:hAnsi="宋体" w:cs="宋体" w:eastAsia="宋体" w:hint="default"/>
                <w:spacing w:val="6"/>
                <w:sz w:val="18"/>
                <w:szCs w:val="18"/>
              </w:rPr>
              <w:t>偿还银行借款和支付利</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息增加，支付中介费支出减少。</w:t>
            </w:r>
            <w:r>
              <w:rPr>
                <w:rFonts w:ascii="宋体" w:hAnsi="宋体" w:cs="宋体" w:eastAsia="宋体" w:hint="default"/>
                <w:sz w:val="18"/>
                <w:szCs w:val="18"/>
              </w:rPr>
              <w:t> </w:t>
            </w:r>
          </w:p>
        </w:tc>
      </w:tr>
      <w:tr>
        <w:trPr>
          <w:trHeight w:val="636" w:hRule="exact"/>
        </w:trPr>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93"/>
              <w:jc w:val="left"/>
              <w:rPr>
                <w:rFonts w:ascii="宋体" w:hAnsi="宋体" w:cs="宋体" w:eastAsia="宋体" w:hint="default"/>
                <w:sz w:val="18"/>
                <w:szCs w:val="18"/>
              </w:rPr>
            </w:pPr>
            <w:r>
              <w:rPr>
                <w:rFonts w:ascii="宋体" w:hAnsi="宋体" w:cs="宋体" w:eastAsia="宋体" w:hint="default"/>
                <w:spacing w:val="12"/>
                <w:sz w:val="18"/>
                <w:szCs w:val="18"/>
              </w:rPr>
              <w:t>现金及现金等价物净增 </w:t>
            </w:r>
            <w:r>
              <w:rPr>
                <w:rFonts w:ascii="宋体" w:hAnsi="宋体" w:cs="宋体" w:eastAsia="宋体" w:hint="default"/>
                <w:sz w:val="18"/>
                <w:szCs w:val="18"/>
              </w:rPr>
              <w:t>加额</w:t>
            </w:r>
            <w:r>
              <w:rPr>
                <w:rFonts w:ascii="宋体" w:hAnsi="宋体" w:cs="宋体" w:eastAsia="宋体" w:hint="default"/>
                <w:sz w:val="18"/>
                <w:szCs w:val="18"/>
              </w:rPr>
              <w:t> </w:t>
            </w:r>
          </w:p>
        </w:tc>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0"/>
              <w:jc w:val="right"/>
              <w:rPr>
                <w:rFonts w:ascii="宋体" w:hAnsi="宋体" w:cs="宋体" w:eastAsia="宋体" w:hint="default"/>
                <w:sz w:val="18"/>
                <w:szCs w:val="18"/>
              </w:rPr>
            </w:pPr>
            <w:r>
              <w:rPr>
                <w:rFonts w:ascii="宋体"/>
                <w:spacing w:val="1"/>
                <w:sz w:val="18"/>
              </w:rPr>
              <w:t> </w:t>
            </w:r>
            <w:r>
              <w:rPr>
                <w:rFonts w:ascii="宋体"/>
                <w:spacing w:val="-1"/>
                <w:sz w:val="18"/>
              </w:rPr>
              <w:t>127,238,999.62</w:t>
            </w:r>
            <w:r>
              <w:rPr>
                <w:rFonts w:ascii="宋体"/>
                <w:sz w:val="18"/>
              </w:rPr>
              <w:t> </w:t>
            </w:r>
          </w:p>
        </w:tc>
        <w:tc>
          <w:tcPr>
            <w:tcW w:w="1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332,999,562.97 </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2"/>
                <w:szCs w:val="12"/>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-61.79%</w:t>
            </w:r>
            <w:r>
              <w:rPr>
                <w:rFonts w:ascii="宋体"/>
                <w:sz w:val="18"/>
              </w:rPr>
              <w:t> </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5" w:right="98"/>
              <w:jc w:val="left"/>
              <w:rPr>
                <w:rFonts w:ascii="宋体" w:hAnsi="宋体" w:cs="宋体" w:eastAsia="宋体" w:hint="default"/>
                <w:sz w:val="18"/>
                <w:szCs w:val="18"/>
              </w:rPr>
            </w:pPr>
            <w:r>
              <w:rPr>
                <w:rFonts w:ascii="宋体" w:hAnsi="宋体" w:cs="宋体" w:eastAsia="宋体" w:hint="default"/>
                <w:sz w:val="18"/>
                <w:szCs w:val="18"/>
              </w:rPr>
              <w:t>同比减少 </w:t>
            </w:r>
            <w:r>
              <w:rPr>
                <w:rFonts w:ascii="宋体" w:hAnsi="宋体" w:cs="宋体" w:eastAsia="宋体" w:hint="default"/>
                <w:sz w:val="18"/>
                <w:szCs w:val="18"/>
              </w:rPr>
              <w:t>20,576.06</w:t>
            </w:r>
            <w:r>
              <w:rPr>
                <w:rFonts w:ascii="宋体" w:hAnsi="宋体" w:cs="宋体" w:eastAsia="宋体" w:hint="default"/>
                <w:spacing w:val="-72"/>
                <w:sz w:val="18"/>
                <w:szCs w:val="18"/>
              </w:rPr>
              <w:t> </w:t>
            </w:r>
            <w:r>
              <w:rPr>
                <w:rFonts w:ascii="宋体" w:hAnsi="宋体" w:cs="宋体" w:eastAsia="宋体" w:hint="default"/>
                <w:sz w:val="18"/>
                <w:szCs w:val="18"/>
              </w:rPr>
              <w:t>万元，是上述因 素综合影响。</w:t>
            </w:r>
            <w:r>
              <w:rPr>
                <w:rFonts w:ascii="宋体" w:hAnsi="宋体" w:cs="宋体" w:eastAsia="宋体" w:hint="default"/>
                <w:sz w:val="18"/>
                <w:szCs w:val="18"/>
              </w:rPr>
              <w:t> </w:t>
            </w:r>
          </w:p>
        </w:tc>
      </w:tr>
    </w:tbl>
    <w:p>
      <w:pPr>
        <w:spacing w:line="240" w:lineRule="auto" w:before="8"/>
        <w:rPr>
          <w:rFonts w:ascii="宋体" w:hAnsi="宋体" w:cs="宋体" w:eastAsia="宋体" w:hint="default"/>
          <w:b/>
          <w:bCs/>
          <w:sz w:val="14"/>
          <w:szCs w:val="14"/>
        </w:rPr>
      </w:pPr>
    </w:p>
    <w:p>
      <w:pPr>
        <w:pStyle w:val="BodyText"/>
        <w:spacing w:line="240" w:lineRule="auto" w:before="36"/>
        <w:ind w:left="252" w:right="0"/>
        <w:jc w:val="left"/>
        <w:rPr>
          <w:rFonts w:ascii="宋体" w:hAnsi="宋体" w:cs="宋体" w:eastAsia="宋体" w:hint="default"/>
        </w:rPr>
      </w:pPr>
      <w:r>
        <w:rPr/>
        <w:t>报告期内公司经营活动产生的现金净流量与本年度净利润存在重大差异的原因说明</w:t>
      </w:r>
      <w:r>
        <w:rPr>
          <w:rFonts w:ascii="宋体" w:hAnsi="宋体" w:cs="宋体" w:eastAsia="宋体" w:hint="default"/>
        </w:rPr>
        <w:t> </w:t>
      </w:r>
    </w:p>
    <w:p>
      <w:pPr>
        <w:pStyle w:val="BodyText"/>
        <w:spacing w:line="240" w:lineRule="auto" w:before="76"/>
        <w:ind w:left="252" w:right="0"/>
        <w:jc w:val="left"/>
        <w:rPr>
          <w:rFonts w:ascii="宋体" w:hAnsi="宋体" w:cs="宋体" w:eastAsia="宋体" w:hint="default"/>
        </w:rPr>
      </w:pPr>
      <w:r>
        <w:rPr/>
        <w:t>√ 适用 </w:t>
      </w:r>
      <w:r>
        <w:rPr>
          <w:rFonts w:ascii="宋体" w:hAnsi="宋体" w:cs="宋体" w:eastAsia="宋体" w:hint="default"/>
        </w:rPr>
      </w:r>
      <w:r>
        <w:rPr>
          <w:spacing w:val="-3"/>
        </w:rPr>
        <w:t>□</w:t>
      </w:r>
      <w:r>
        <w:rPr/>
        <w:t> 不适用</w:t>
      </w:r>
      <w:r>
        <w:rPr>
          <w:rFonts w:ascii="宋体" w:hAnsi="宋体" w:cs="宋体" w:eastAsia="宋体" w:hint="default"/>
        </w:rPr>
        <w:t> </w:t>
      </w:r>
    </w:p>
    <w:p>
      <w:pPr>
        <w:pStyle w:val="BodyText"/>
        <w:spacing w:line="273" w:lineRule="auto" w:before="78"/>
        <w:ind w:left="252" w:right="0" w:firstLine="420"/>
        <w:jc w:val="left"/>
        <w:rPr>
          <w:rFonts w:ascii="宋体" w:hAnsi="宋体" w:cs="宋体" w:eastAsia="宋体" w:hint="default"/>
        </w:rPr>
      </w:pPr>
      <w:r>
        <w:rPr/>
        <w:t>本期经营活动产生的现金净流量与本年度净利润的差额为</w:t>
      </w:r>
      <w:r>
        <w:rPr>
          <w:spacing w:val="-43"/>
        </w:rPr>
        <w:t> </w:t>
      </w:r>
      <w:r>
        <w:rPr>
          <w:rFonts w:ascii="宋体" w:hAnsi="宋体" w:cs="宋体" w:eastAsia="宋体" w:hint="default"/>
        </w:rPr>
        <w:t>165,498.03</w:t>
      </w:r>
      <w:r>
        <w:rPr>
          <w:rFonts w:ascii="宋体" w:hAnsi="宋体" w:cs="宋体" w:eastAsia="宋体" w:hint="default"/>
          <w:spacing w:val="-46"/>
        </w:rPr>
        <w:t> </w:t>
      </w:r>
      <w:r>
        <w:rPr>
          <w:spacing w:val="-5"/>
        </w:rPr>
        <w:t>万元</w:t>
      </w:r>
      <w:r>
        <w:rPr>
          <w:rFonts w:ascii="宋体" w:hAnsi="宋体" w:cs="宋体" w:eastAsia="宋体" w:hint="default"/>
          <w:spacing w:val="-5"/>
        </w:rPr>
        <w:t>(</w:t>
      </w:r>
      <w:r>
        <w:rPr>
          <w:spacing w:val="-5"/>
        </w:rPr>
        <w:t>现金净流量</w:t>
      </w:r>
      <w:r>
        <w:rPr>
          <w:rFonts w:ascii="宋体" w:hAnsi="宋体" w:cs="宋体" w:eastAsia="宋体" w:hint="default"/>
          <w:spacing w:val="-5"/>
        </w:rPr>
        <w:t>-</w:t>
      </w:r>
      <w:r>
        <w:rPr>
          <w:spacing w:val="-5"/>
        </w:rPr>
        <w:t>净利润</w:t>
      </w:r>
      <w:r>
        <w:rPr>
          <w:rFonts w:ascii="宋体" w:hAnsi="宋体" w:cs="宋体" w:eastAsia="宋体" w:hint="default"/>
          <w:spacing w:val="-5"/>
        </w:rPr>
        <w:t>)</w:t>
      </w:r>
      <w:r>
        <w:rPr>
          <w:spacing w:val="-5"/>
        </w:rPr>
        <w:t>，主</w:t>
      </w:r>
      <w:r>
        <w:rPr>
          <w:spacing w:val="-24"/>
          <w:w w:val="100"/>
        </w:rPr>
        <w:t> </w:t>
      </w:r>
      <w:r>
        <w:rPr/>
        <w:t>要是公司计提各项减值因素影响所致。</w:t>
      </w:r>
      <w:r>
        <w:rPr>
          <w:rFonts w:ascii="宋体" w:hAnsi="宋体" w:cs="宋体" w:eastAsia="宋体" w:hint="default"/>
        </w:rPr>
        <w:t> </w:t>
      </w:r>
    </w:p>
    <w:p>
      <w:pPr>
        <w:pStyle w:val="Heading2"/>
        <w:spacing w:line="240" w:lineRule="auto" w:before="102"/>
        <w:ind w:left="252" w:right="0"/>
        <w:jc w:val="left"/>
        <w:rPr>
          <w:b w:val="0"/>
          <w:bCs w:val="0"/>
        </w:rPr>
      </w:pPr>
      <w:r>
        <w:rPr/>
        <w:t>二、非主营业务分析</w:t>
      </w:r>
      <w:r>
        <w:rPr>
          <w:b w:val="0"/>
          <w:bCs w:val="0"/>
        </w:rPr>
      </w:r>
    </w:p>
    <w:p>
      <w:pPr>
        <w:pStyle w:val="BodyText"/>
        <w:spacing w:line="240" w:lineRule="auto" w:before="143"/>
        <w:ind w:left="252" w:right="0"/>
        <w:jc w:val="left"/>
        <w:rPr>
          <w:rFonts w:ascii="宋体" w:hAnsi="宋体" w:cs="宋体" w:eastAsia="宋体" w:hint="default"/>
        </w:rPr>
      </w:pPr>
      <w:r>
        <w:rPr/>
        <w:t>√ 适用 </w:t>
      </w:r>
      <w:r>
        <w:rPr>
          <w:rFonts w:ascii="宋体" w:hAnsi="宋体" w:cs="宋体" w:eastAsia="宋体" w:hint="default"/>
        </w:rPr>
      </w:r>
      <w:r>
        <w:rPr>
          <w:spacing w:val="-3"/>
        </w:rPr>
        <w:t>□</w:t>
      </w:r>
      <w:r>
        <w:rPr/>
        <w:t> 不适用</w:t>
      </w:r>
      <w:r>
        <w:rPr>
          <w:rFonts w:ascii="宋体" w:hAnsi="宋体" w:cs="宋体" w:eastAsia="宋体" w:hint="default"/>
        </w:rPr>
        <w:t> </w:t>
      </w:r>
    </w:p>
    <w:p>
      <w:pPr>
        <w:spacing w:line="240" w:lineRule="auto" w:before="12"/>
        <w:rPr>
          <w:rFonts w:ascii="宋体" w:hAnsi="宋体" w:cs="宋体" w:eastAsia="宋体" w:hint="default"/>
          <w:sz w:val="6"/>
          <w:szCs w:val="6"/>
        </w:rPr>
      </w:pPr>
    </w:p>
    <w:tbl>
      <w:tblPr>
        <w:tblW w:w="0" w:type="auto"/>
        <w:jc w:val="left"/>
        <w:tblInd w:w="106" w:type="dxa"/>
        <w:tblLayout w:type="fixed"/>
        <w:tblCellMar>
          <w:top w:w="0" w:type="dxa"/>
          <w:left w:w="0" w:type="dxa"/>
          <w:bottom w:w="0" w:type="dxa"/>
          <w:right w:w="0" w:type="dxa"/>
        </w:tblCellMar>
        <w:tblLook w:val="01E0"/>
      </w:tblPr>
      <w:tblGrid>
        <w:gridCol w:w="1656"/>
        <w:gridCol w:w="1748"/>
        <w:gridCol w:w="1558"/>
        <w:gridCol w:w="3577"/>
        <w:gridCol w:w="1243"/>
      </w:tblGrid>
      <w:tr>
        <w:trPr>
          <w:trHeight w:val="557" w:hRule="exact"/>
        </w:trPr>
        <w:tc>
          <w:tcPr>
            <w:tcW w:w="165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8"/>
              <w:ind w:left="103" w:right="0"/>
              <w:jc w:val="left"/>
              <w:rPr>
                <w:rFonts w:ascii="宋体" w:hAnsi="宋体" w:cs="宋体" w:eastAsia="宋体" w:hint="default"/>
                <w:sz w:val="18"/>
                <w:szCs w:val="18"/>
              </w:rPr>
            </w:pPr>
            <w:r>
              <w:rPr>
                <w:rFonts w:ascii="宋体"/>
                <w:sz w:val="18"/>
              </w:rPr>
              <w:t> </w:t>
            </w:r>
          </w:p>
        </w:tc>
        <w:tc>
          <w:tcPr>
            <w:tcW w:w="174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8"/>
              <w:ind w:left="508" w:right="0"/>
              <w:jc w:val="left"/>
              <w:rPr>
                <w:rFonts w:ascii="宋体" w:hAnsi="宋体" w:cs="宋体" w:eastAsia="宋体" w:hint="default"/>
                <w:sz w:val="18"/>
                <w:szCs w:val="18"/>
              </w:rPr>
            </w:pPr>
            <w:r>
              <w:rPr>
                <w:rFonts w:ascii="宋体" w:hAnsi="宋体" w:cs="宋体" w:eastAsia="宋体" w:hint="default"/>
                <w:sz w:val="18"/>
                <w:szCs w:val="18"/>
              </w:rPr>
              <w:t>金额</w:t>
            </w:r>
            <w:r>
              <w:rPr>
                <w:rFonts w:ascii="宋体" w:hAnsi="宋体" w:cs="宋体" w:eastAsia="宋体" w:hint="default"/>
                <w:sz w:val="18"/>
                <w:szCs w:val="18"/>
              </w:rPr>
              <w:t>(</w:t>
            </w:r>
            <w:r>
              <w:rPr>
                <w:rFonts w:ascii="宋体" w:hAnsi="宋体" w:cs="宋体" w:eastAsia="宋体" w:hint="default"/>
                <w:sz w:val="18"/>
                <w:szCs w:val="18"/>
              </w:rPr>
              <w:t>元</w:t>
            </w:r>
            <w:r>
              <w:rPr>
                <w:rFonts w:ascii="宋体" w:hAnsi="宋体" w:cs="宋体" w:eastAsia="宋体" w:hint="default"/>
                <w:sz w:val="18"/>
                <w:szCs w:val="18"/>
              </w:rPr>
              <w:t>) </w:t>
            </w:r>
          </w:p>
        </w:tc>
        <w:tc>
          <w:tcPr>
            <w:tcW w:w="155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占利润总额比例</w:t>
            </w:r>
            <w:r>
              <w:rPr>
                <w:rFonts w:ascii="宋体" w:hAnsi="宋体" w:cs="宋体" w:eastAsia="宋体" w:hint="default"/>
                <w:sz w:val="18"/>
                <w:szCs w:val="18"/>
              </w:rPr>
              <w:t> </w:t>
            </w:r>
          </w:p>
        </w:tc>
        <w:tc>
          <w:tcPr>
            <w:tcW w:w="357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8"/>
              <w:ind w:left="1245" w:right="0"/>
              <w:jc w:val="left"/>
              <w:rPr>
                <w:rFonts w:ascii="宋体" w:hAnsi="宋体" w:cs="宋体" w:eastAsia="宋体" w:hint="default"/>
                <w:sz w:val="18"/>
                <w:szCs w:val="18"/>
              </w:rPr>
            </w:pPr>
            <w:r>
              <w:rPr>
                <w:rFonts w:ascii="宋体" w:hAnsi="宋体" w:cs="宋体" w:eastAsia="宋体" w:hint="default"/>
                <w:sz w:val="18"/>
                <w:szCs w:val="18"/>
              </w:rPr>
              <w:t>形成原因说明</w:t>
            </w:r>
            <w:r>
              <w:rPr>
                <w:rFonts w:ascii="宋体" w:hAnsi="宋体" w:cs="宋体" w:eastAsia="宋体" w:hint="default"/>
                <w:sz w:val="18"/>
                <w:szCs w:val="18"/>
              </w:rPr>
              <w:t> </w:t>
            </w:r>
          </w:p>
        </w:tc>
        <w:tc>
          <w:tcPr>
            <w:tcW w:w="12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left="103" w:right="72"/>
              <w:jc w:val="left"/>
              <w:rPr>
                <w:rFonts w:ascii="宋体" w:hAnsi="宋体" w:cs="宋体" w:eastAsia="宋体" w:hint="default"/>
                <w:sz w:val="18"/>
                <w:szCs w:val="18"/>
              </w:rPr>
            </w:pPr>
            <w:r>
              <w:rPr>
                <w:rFonts w:ascii="宋体" w:hAnsi="宋体" w:cs="宋体" w:eastAsia="宋体" w:hint="default"/>
                <w:spacing w:val="24"/>
                <w:sz w:val="18"/>
                <w:szCs w:val="18"/>
              </w:rPr>
              <w:t>是否具有可</w:t>
            </w:r>
            <w:r>
              <w:rPr>
                <w:rFonts w:ascii="宋体" w:hAnsi="宋体" w:cs="宋体" w:eastAsia="宋体" w:hint="default"/>
                <w:spacing w:val="-86"/>
                <w:sz w:val="18"/>
                <w:szCs w:val="18"/>
              </w:rPr>
              <w:t> </w:t>
            </w:r>
            <w:r>
              <w:rPr>
                <w:rFonts w:ascii="宋体" w:hAnsi="宋体" w:cs="宋体" w:eastAsia="宋体" w:hint="default"/>
                <w:sz w:val="18"/>
                <w:szCs w:val="18"/>
              </w:rPr>
              <w:t>持续性</w:t>
            </w:r>
            <w:r>
              <w:rPr>
                <w:rFonts w:ascii="宋体" w:hAnsi="宋体" w:cs="宋体" w:eastAsia="宋体" w:hint="default"/>
                <w:sz w:val="18"/>
                <w:szCs w:val="18"/>
              </w:rPr>
              <w:t> </w:t>
            </w:r>
          </w:p>
        </w:tc>
      </w:tr>
      <w:tr>
        <w:trPr>
          <w:trHeight w:val="401" w:hRule="exact"/>
        </w:trPr>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投资收益</w:t>
            </w:r>
            <w:r>
              <w:rPr>
                <w:rFonts w:ascii="宋体" w:hAnsi="宋体" w:cs="宋体" w:eastAsia="宋体" w:hint="default"/>
                <w:sz w:val="18"/>
                <w:szCs w:val="18"/>
              </w:rPr>
              <w:t> </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3"/>
              <w:jc w:val="right"/>
              <w:rPr>
                <w:rFonts w:ascii="宋体" w:hAnsi="宋体" w:cs="宋体" w:eastAsia="宋体" w:hint="default"/>
                <w:sz w:val="21"/>
                <w:szCs w:val="21"/>
              </w:rPr>
            </w:pPr>
            <w:r>
              <w:rPr>
                <w:rFonts w:ascii="宋体"/>
                <w:spacing w:val="-1"/>
                <w:sz w:val="18"/>
              </w:rPr>
              <w:t>-32,918,105.59</w:t>
            </w:r>
            <w:r>
              <w:rPr>
                <w:rFonts w:ascii="宋体"/>
                <w:spacing w:val="-1"/>
                <w:w w:val="100"/>
                <w:sz w:val="21"/>
              </w:rPr>
              <w:t> </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
              <w:jc w:val="right"/>
              <w:rPr>
                <w:rFonts w:ascii="宋体" w:hAnsi="宋体" w:cs="宋体" w:eastAsia="宋体" w:hint="default"/>
                <w:sz w:val="18"/>
                <w:szCs w:val="18"/>
              </w:rPr>
            </w:pPr>
            <w:r>
              <w:rPr>
                <w:rFonts w:ascii="宋体"/>
                <w:spacing w:val="-1"/>
                <w:sz w:val="18"/>
              </w:rPr>
              <w:t>2.70%</w:t>
            </w:r>
            <w:r>
              <w:rPr>
                <w:rFonts w:ascii="宋体"/>
                <w:sz w:val="18"/>
              </w:rPr>
              <w:t> </w:t>
            </w:r>
          </w:p>
        </w:tc>
        <w:tc>
          <w:tcPr>
            <w:tcW w:w="3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债务重组损失</w:t>
            </w:r>
            <w:r>
              <w:rPr>
                <w:rFonts w:ascii="宋体" w:hAnsi="宋体" w:cs="宋体" w:eastAsia="宋体" w:hint="default"/>
                <w:sz w:val="18"/>
                <w:szCs w:val="18"/>
              </w:rPr>
              <w:t> </w:t>
            </w:r>
          </w:p>
        </w:tc>
        <w:tc>
          <w:tcPr>
            <w:tcW w:w="12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37"/>
              <w:jc w:val="right"/>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sz w:val="18"/>
                <w:szCs w:val="18"/>
              </w:rPr>
              <w:t> </w:t>
            </w:r>
          </w:p>
        </w:tc>
      </w:tr>
      <w:tr>
        <w:trPr>
          <w:trHeight w:val="403" w:hRule="exact"/>
        </w:trPr>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信用减值损失</w:t>
            </w:r>
            <w:r>
              <w:rPr>
                <w:rFonts w:ascii="宋体" w:hAnsi="宋体" w:cs="宋体" w:eastAsia="宋体" w:hint="default"/>
                <w:sz w:val="18"/>
                <w:szCs w:val="18"/>
              </w:rPr>
              <w:t> </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
              <w:jc w:val="right"/>
              <w:rPr>
                <w:rFonts w:ascii="宋体" w:hAnsi="宋体" w:cs="宋体" w:eastAsia="宋体" w:hint="default"/>
                <w:sz w:val="18"/>
                <w:szCs w:val="18"/>
              </w:rPr>
            </w:pPr>
            <w:r>
              <w:rPr>
                <w:rFonts w:ascii="宋体"/>
                <w:spacing w:val="-1"/>
                <w:sz w:val="18"/>
              </w:rPr>
              <w:t>-140,743,019.22 </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
              <w:jc w:val="right"/>
              <w:rPr>
                <w:rFonts w:ascii="宋体" w:hAnsi="宋体" w:cs="宋体" w:eastAsia="宋体" w:hint="default"/>
                <w:sz w:val="18"/>
                <w:szCs w:val="18"/>
              </w:rPr>
            </w:pPr>
            <w:r>
              <w:rPr>
                <w:rFonts w:ascii="宋体"/>
                <w:spacing w:val="-1"/>
                <w:sz w:val="18"/>
              </w:rPr>
              <w:t>11.52%</w:t>
            </w:r>
            <w:r>
              <w:rPr>
                <w:rFonts w:ascii="宋体"/>
                <w:sz w:val="18"/>
              </w:rPr>
              <w:t> </w:t>
            </w:r>
          </w:p>
        </w:tc>
        <w:tc>
          <w:tcPr>
            <w:tcW w:w="3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计提应收款项坏账准备</w:t>
            </w:r>
            <w:r>
              <w:rPr>
                <w:rFonts w:ascii="宋体" w:hAnsi="宋体" w:cs="宋体" w:eastAsia="宋体" w:hint="default"/>
                <w:sz w:val="18"/>
                <w:szCs w:val="18"/>
              </w:rPr>
              <w:t> </w:t>
            </w:r>
          </w:p>
        </w:tc>
        <w:tc>
          <w:tcPr>
            <w:tcW w:w="12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37"/>
              <w:jc w:val="right"/>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sz w:val="18"/>
                <w:szCs w:val="18"/>
              </w:rPr>
              <w:t> </w:t>
            </w:r>
          </w:p>
        </w:tc>
      </w:tr>
      <w:tr>
        <w:trPr>
          <w:trHeight w:val="401" w:hRule="exact"/>
        </w:trPr>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资产减值</w:t>
            </w:r>
            <w:r>
              <w:rPr>
                <w:rFonts w:ascii="宋体" w:hAnsi="宋体" w:cs="宋体" w:eastAsia="宋体" w:hint="default"/>
                <w:sz w:val="18"/>
                <w:szCs w:val="18"/>
              </w:rPr>
              <w:t> </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
              <w:jc w:val="right"/>
              <w:rPr>
                <w:rFonts w:ascii="宋体" w:hAnsi="宋体" w:cs="宋体" w:eastAsia="宋体" w:hint="default"/>
                <w:sz w:val="18"/>
                <w:szCs w:val="18"/>
              </w:rPr>
            </w:pPr>
            <w:r>
              <w:rPr>
                <w:rFonts w:ascii="宋体"/>
                <w:spacing w:val="-1"/>
                <w:sz w:val="18"/>
              </w:rPr>
              <w:t>-1,202,700,000.00 </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
              <w:jc w:val="right"/>
              <w:rPr>
                <w:rFonts w:ascii="宋体" w:hAnsi="宋体" w:cs="宋体" w:eastAsia="宋体" w:hint="default"/>
                <w:sz w:val="18"/>
                <w:szCs w:val="18"/>
              </w:rPr>
            </w:pPr>
            <w:r>
              <w:rPr>
                <w:rFonts w:ascii="宋体"/>
                <w:spacing w:val="-1"/>
                <w:sz w:val="18"/>
              </w:rPr>
              <w:t>98.48%</w:t>
            </w:r>
            <w:r>
              <w:rPr>
                <w:rFonts w:ascii="宋体"/>
                <w:sz w:val="18"/>
              </w:rPr>
              <w:t> </w:t>
            </w:r>
          </w:p>
        </w:tc>
        <w:tc>
          <w:tcPr>
            <w:tcW w:w="3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计提商誉减值</w:t>
            </w:r>
            <w:r>
              <w:rPr>
                <w:rFonts w:ascii="宋体" w:hAnsi="宋体" w:cs="宋体" w:eastAsia="宋体" w:hint="default"/>
                <w:sz w:val="18"/>
                <w:szCs w:val="18"/>
              </w:rPr>
              <w:t> </w:t>
            </w:r>
          </w:p>
        </w:tc>
        <w:tc>
          <w:tcPr>
            <w:tcW w:w="12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37"/>
              <w:jc w:val="right"/>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sz w:val="18"/>
                <w:szCs w:val="18"/>
              </w:rPr>
              <w:t> </w:t>
            </w:r>
          </w:p>
        </w:tc>
      </w:tr>
      <w:tr>
        <w:trPr>
          <w:trHeight w:val="404" w:hRule="exact"/>
        </w:trPr>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营业外收入</w:t>
            </w:r>
            <w:r>
              <w:rPr>
                <w:rFonts w:ascii="宋体" w:hAnsi="宋体" w:cs="宋体" w:eastAsia="宋体" w:hint="default"/>
                <w:sz w:val="18"/>
                <w:szCs w:val="18"/>
              </w:rPr>
              <w:t> </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1"/>
              <w:jc w:val="right"/>
              <w:rPr>
                <w:rFonts w:ascii="宋体" w:hAnsi="宋体" w:cs="宋体" w:eastAsia="宋体" w:hint="default"/>
                <w:sz w:val="18"/>
                <w:szCs w:val="18"/>
              </w:rPr>
            </w:pPr>
            <w:r>
              <w:rPr>
                <w:rFonts w:ascii="宋体"/>
                <w:spacing w:val="-1"/>
                <w:sz w:val="18"/>
              </w:rPr>
              <w:t>3,836,427.30 </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8"/>
              <w:jc w:val="right"/>
              <w:rPr>
                <w:rFonts w:ascii="宋体" w:hAnsi="宋体" w:cs="宋体" w:eastAsia="宋体" w:hint="default"/>
                <w:sz w:val="18"/>
                <w:szCs w:val="18"/>
              </w:rPr>
            </w:pPr>
            <w:r>
              <w:rPr>
                <w:rFonts w:ascii="宋体"/>
                <w:spacing w:val="-1"/>
                <w:sz w:val="18"/>
              </w:rPr>
              <w:t>-0.31%</w:t>
            </w:r>
            <w:r>
              <w:rPr>
                <w:rFonts w:ascii="宋体"/>
                <w:sz w:val="18"/>
              </w:rPr>
              <w:t> </w:t>
            </w:r>
          </w:p>
        </w:tc>
        <w:tc>
          <w:tcPr>
            <w:tcW w:w="3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5" w:right="0"/>
              <w:jc w:val="left"/>
              <w:rPr>
                <w:rFonts w:ascii="宋体" w:hAnsi="宋体" w:cs="宋体" w:eastAsia="宋体" w:hint="default"/>
                <w:sz w:val="18"/>
                <w:szCs w:val="18"/>
              </w:rPr>
            </w:pPr>
            <w:r>
              <w:rPr>
                <w:rFonts w:ascii="宋体" w:hAnsi="宋体" w:cs="宋体" w:eastAsia="宋体" w:hint="default"/>
                <w:sz w:val="18"/>
                <w:szCs w:val="18"/>
              </w:rPr>
              <w:t>与日常活动无关的政府补助</w:t>
            </w:r>
            <w:r>
              <w:rPr>
                <w:rFonts w:ascii="宋体" w:hAnsi="宋体" w:cs="宋体" w:eastAsia="宋体" w:hint="default"/>
                <w:sz w:val="18"/>
                <w:szCs w:val="18"/>
              </w:rPr>
              <w:t> </w:t>
            </w:r>
          </w:p>
        </w:tc>
        <w:tc>
          <w:tcPr>
            <w:tcW w:w="12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437"/>
              <w:jc w:val="right"/>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sz w:val="18"/>
                <w:szCs w:val="18"/>
              </w:rPr>
              <w:t> </w:t>
            </w:r>
          </w:p>
        </w:tc>
      </w:tr>
      <w:tr>
        <w:trPr>
          <w:trHeight w:val="401" w:hRule="exact"/>
        </w:trPr>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营业外支出</w:t>
            </w:r>
            <w:r>
              <w:rPr>
                <w:rFonts w:ascii="宋体" w:hAnsi="宋体" w:cs="宋体" w:eastAsia="宋体" w:hint="default"/>
                <w:sz w:val="18"/>
                <w:szCs w:val="18"/>
              </w:rPr>
              <w:t> </w:t>
            </w:r>
          </w:p>
        </w:tc>
        <w:tc>
          <w:tcPr>
            <w:tcW w:w="17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
              <w:jc w:val="right"/>
              <w:rPr>
                <w:rFonts w:ascii="宋体" w:hAnsi="宋体" w:cs="宋体" w:eastAsia="宋体" w:hint="default"/>
                <w:sz w:val="18"/>
                <w:szCs w:val="18"/>
              </w:rPr>
            </w:pPr>
            <w:r>
              <w:rPr>
                <w:rFonts w:ascii="宋体"/>
                <w:spacing w:val="-1"/>
                <w:sz w:val="18"/>
              </w:rPr>
              <w:t>8,759,953.82 </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
              <w:jc w:val="right"/>
              <w:rPr>
                <w:rFonts w:ascii="宋体" w:hAnsi="宋体" w:cs="宋体" w:eastAsia="宋体" w:hint="default"/>
                <w:sz w:val="18"/>
                <w:szCs w:val="18"/>
              </w:rPr>
            </w:pPr>
            <w:r>
              <w:rPr>
                <w:rFonts w:ascii="宋体"/>
                <w:spacing w:val="-1"/>
                <w:sz w:val="18"/>
              </w:rPr>
              <w:t>-0.72%</w:t>
            </w:r>
            <w:r>
              <w:rPr>
                <w:rFonts w:ascii="宋体"/>
                <w:sz w:val="18"/>
              </w:rPr>
              <w:t> </w:t>
            </w:r>
          </w:p>
        </w:tc>
        <w:tc>
          <w:tcPr>
            <w:tcW w:w="35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非流动资产报废损失、对外赔偿、</w:t>
            </w:r>
            <w:r>
              <w:rPr>
                <w:rFonts w:ascii="宋体" w:hAnsi="宋体" w:cs="宋体" w:eastAsia="宋体" w:hint="default"/>
                <w:sz w:val="18"/>
                <w:szCs w:val="18"/>
              </w:rPr>
              <w:t> </w:t>
            </w:r>
          </w:p>
        </w:tc>
        <w:tc>
          <w:tcPr>
            <w:tcW w:w="12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437"/>
              <w:jc w:val="right"/>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sz w:val="18"/>
                <w:szCs w:val="18"/>
              </w:rPr>
              <w:t> </w:t>
            </w:r>
          </w:p>
        </w:tc>
      </w:tr>
    </w:tbl>
    <w:p>
      <w:pPr>
        <w:pStyle w:val="BodyText"/>
        <w:spacing w:line="240" w:lineRule="auto" w:before="81"/>
        <w:ind w:left="673" w:right="0"/>
        <w:jc w:val="left"/>
        <w:rPr>
          <w:rFonts w:ascii="宋体" w:hAnsi="宋体" w:cs="宋体" w:eastAsia="宋体" w:hint="default"/>
        </w:rPr>
      </w:pPr>
      <w:r>
        <w:rPr/>
        <w:t>注：政府补助主要是税收返还</w:t>
      </w:r>
      <w:r>
        <w:rPr>
          <w:spacing w:val="-43"/>
        </w:rPr>
        <w:t> </w:t>
      </w:r>
      <w:r>
        <w:rPr>
          <w:rFonts w:ascii="宋体" w:hAnsi="宋体" w:cs="宋体" w:eastAsia="宋体" w:hint="default"/>
        </w:rPr>
        <w:t>172.30</w:t>
      </w:r>
      <w:r>
        <w:rPr>
          <w:rFonts w:ascii="宋体" w:hAnsi="宋体" w:cs="宋体" w:eastAsia="宋体" w:hint="default"/>
          <w:spacing w:val="-46"/>
        </w:rPr>
        <w:t> </w:t>
      </w:r>
      <w:r>
        <w:rPr/>
        <w:t>万元和子公司长实通信报告期收到清远市总部企业奖励</w:t>
      </w:r>
      <w:r>
        <w:rPr>
          <w:spacing w:val="-45"/>
        </w:rPr>
        <w:t> </w:t>
      </w:r>
      <w:r>
        <w:rPr>
          <w:rFonts w:ascii="宋体" w:hAnsi="宋体" w:cs="宋体" w:eastAsia="宋体" w:hint="default"/>
        </w:rPr>
        <w:t>110.27</w:t>
      </w:r>
    </w:p>
    <w:p>
      <w:pPr>
        <w:pStyle w:val="BodyText"/>
        <w:spacing w:line="240" w:lineRule="auto" w:before="37"/>
        <w:ind w:left="252" w:right="0"/>
        <w:jc w:val="left"/>
        <w:rPr>
          <w:rFonts w:ascii="宋体" w:hAnsi="宋体" w:cs="宋体" w:eastAsia="宋体" w:hint="default"/>
        </w:rPr>
      </w:pPr>
      <w:r>
        <w:rPr/>
        <w:t>万元。</w:t>
      </w:r>
      <w:r>
        <w:rPr>
          <w:rFonts w:ascii="宋体" w:hAnsi="宋体" w:cs="宋体" w:eastAsia="宋体" w:hint="default"/>
        </w:rPr>
        <w:t> </w:t>
      </w:r>
    </w:p>
    <w:p>
      <w:pPr>
        <w:spacing w:after="0" w:line="240" w:lineRule="auto"/>
        <w:jc w:val="left"/>
        <w:rPr>
          <w:rFonts w:ascii="宋体" w:hAnsi="宋体" w:cs="宋体" w:eastAsia="宋体" w:hint="default"/>
        </w:rPr>
        <w:sectPr>
          <w:pgSz w:w="11910" w:h="16840"/>
          <w:pgMar w:header="880" w:footer="975" w:top="1100" w:bottom="1160" w:left="880" w:right="0"/>
        </w:sectPr>
      </w:pPr>
    </w:p>
    <w:p>
      <w:pPr>
        <w:spacing w:line="240" w:lineRule="auto" w:before="9"/>
        <w:rPr>
          <w:rFonts w:ascii="宋体" w:hAnsi="宋体" w:cs="宋体" w:eastAsia="宋体" w:hint="default"/>
          <w:sz w:val="19"/>
          <w:szCs w:val="19"/>
        </w:rPr>
      </w:pPr>
    </w:p>
    <w:p>
      <w:pPr>
        <w:pStyle w:val="Heading2"/>
        <w:spacing w:line="240" w:lineRule="auto"/>
        <w:ind w:right="1133"/>
        <w:jc w:val="left"/>
        <w:rPr>
          <w:b w:val="0"/>
          <w:bCs w:val="0"/>
        </w:rPr>
      </w:pPr>
      <w:r>
        <w:rPr/>
        <w:t>三、资产及负债状况</w:t>
      </w:r>
      <w:r>
        <w:rPr>
          <w:b w:val="0"/>
          <w:bCs w:val="0"/>
        </w:rPr>
      </w:r>
    </w:p>
    <w:p>
      <w:pPr>
        <w:spacing w:line="240" w:lineRule="auto" w:before="2"/>
        <w:rPr>
          <w:rFonts w:ascii="宋体" w:hAnsi="宋体" w:cs="宋体" w:eastAsia="宋体" w:hint="default"/>
          <w:b/>
          <w:bCs/>
          <w:sz w:val="20"/>
          <w:szCs w:val="20"/>
        </w:rPr>
      </w:pPr>
    </w:p>
    <w:p>
      <w:pPr>
        <w:pStyle w:val="Heading3"/>
        <w:spacing w:line="240" w:lineRule="auto" w:before="0"/>
        <w:ind w:right="1133"/>
        <w:jc w:val="left"/>
        <w:rPr>
          <w:b w:val="0"/>
          <w:bCs w:val="0"/>
        </w:rPr>
      </w:pPr>
      <w:r>
        <w:rPr/>
        <w:t>（一）资产构成重大变动情况</w:t>
      </w:r>
      <w:r>
        <w:rPr>
          <w:b w:val="0"/>
          <w:bCs w:val="0"/>
        </w:rPr>
      </w:r>
    </w:p>
    <w:p>
      <w:pPr>
        <w:pStyle w:val="BodyText"/>
        <w:spacing w:line="240" w:lineRule="auto" w:before="75"/>
        <w:ind w:right="1133"/>
        <w:jc w:val="left"/>
      </w:pPr>
      <w:r>
        <w:rPr>
          <w:spacing w:val="-8"/>
        </w:rPr>
        <w:t>公司 </w:t>
      </w:r>
      <w:r>
        <w:rPr>
          <w:rFonts w:ascii="Times New Roman" w:hAnsi="Times New Roman" w:cs="Times New Roman" w:eastAsia="Times New Roman" w:hint="default"/>
          <w:spacing w:val="-6"/>
        </w:rPr>
        <w:t>2019</w:t>
      </w:r>
      <w:r>
        <w:rPr>
          <w:rFonts w:ascii="Times New Roman" w:hAnsi="Times New Roman" w:cs="Times New Roman" w:eastAsia="Times New Roman" w:hint="default"/>
          <w:spacing w:val="3"/>
        </w:rPr>
        <w:t> </w:t>
      </w:r>
      <w:r>
        <w:rPr>
          <w:spacing w:val="-14"/>
        </w:rPr>
        <w:t>年起首次执行新金融工具准则、新收入准则或新租赁准则且调整执行当年年初财务报表相关项目</w:t>
      </w:r>
    </w:p>
    <w:p>
      <w:pPr>
        <w:pStyle w:val="BodyText"/>
        <w:spacing w:line="240" w:lineRule="auto" w:before="62"/>
        <w:ind w:right="1133"/>
        <w:jc w:val="left"/>
        <w:rPr>
          <w:rFonts w:ascii="宋体" w:hAnsi="宋体" w:cs="宋体" w:eastAsia="宋体" w:hint="default"/>
        </w:rPr>
      </w:pPr>
      <w:r>
        <w:rPr/>
        <w:t>√ 适用 </w:t>
      </w:r>
      <w:r>
        <w:rPr>
          <w:rFonts w:ascii="宋体" w:hAnsi="宋体" w:cs="宋体" w:eastAsia="宋体" w:hint="default"/>
        </w:rPr>
      </w:r>
      <w:r>
        <w:rPr>
          <w:spacing w:val="-3"/>
        </w:rPr>
        <w:t>□</w:t>
      </w:r>
      <w:r>
        <w:rPr/>
        <w:t> 不适用</w:t>
      </w:r>
      <w:r>
        <w:rPr>
          <w:rFonts w:ascii="宋体" w:hAnsi="宋体" w:cs="宋体" w:eastAsia="宋体" w:hint="default"/>
        </w:rPr>
        <w:t> </w:t>
      </w:r>
    </w:p>
    <w:p>
      <w:pPr>
        <w:pStyle w:val="BodyText"/>
        <w:spacing w:line="240" w:lineRule="auto" w:before="78"/>
        <w:ind w:left="0" w:right="1234"/>
        <w:jc w:val="right"/>
      </w:pPr>
      <w:r>
        <w:rPr>
          <w:spacing w:val="-1"/>
        </w:rPr>
        <w:t>单位：元</w:t>
      </w:r>
    </w:p>
    <w:p>
      <w:pPr>
        <w:spacing w:line="240" w:lineRule="auto" w:before="12"/>
        <w:rPr>
          <w:rFonts w:ascii="宋体" w:hAnsi="宋体" w:cs="宋体" w:eastAsia="宋体" w:hint="default"/>
          <w:sz w:val="6"/>
          <w:szCs w:val="6"/>
        </w:rPr>
      </w:pPr>
    </w:p>
    <w:tbl>
      <w:tblPr>
        <w:tblW w:w="0" w:type="auto"/>
        <w:jc w:val="left"/>
        <w:tblInd w:w="148" w:type="dxa"/>
        <w:tblLayout w:type="fixed"/>
        <w:tblCellMar>
          <w:top w:w="0" w:type="dxa"/>
          <w:left w:w="0" w:type="dxa"/>
          <w:bottom w:w="0" w:type="dxa"/>
          <w:right w:w="0" w:type="dxa"/>
        </w:tblCellMar>
        <w:tblLook w:val="01E0"/>
      </w:tblPr>
      <w:tblGrid>
        <w:gridCol w:w="1136"/>
        <w:gridCol w:w="1699"/>
        <w:gridCol w:w="1136"/>
        <w:gridCol w:w="1702"/>
        <w:gridCol w:w="1133"/>
        <w:gridCol w:w="994"/>
        <w:gridCol w:w="1841"/>
      </w:tblGrid>
      <w:tr>
        <w:trPr>
          <w:trHeight w:val="361" w:hRule="exact"/>
        </w:trPr>
        <w:tc>
          <w:tcPr>
            <w:tcW w:w="113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2"/>
              <w:ind w:left="88" w:right="0"/>
              <w:jc w:val="center"/>
              <w:rPr>
                <w:rFonts w:ascii="宋体" w:hAnsi="宋体" w:cs="宋体" w:eastAsia="宋体" w:hint="default"/>
                <w:sz w:val="18"/>
                <w:szCs w:val="18"/>
              </w:rPr>
            </w:pPr>
            <w:r>
              <w:rPr>
                <w:rFonts w:ascii="宋体"/>
                <w:sz w:val="18"/>
              </w:rPr>
              <w:t> </w:t>
            </w:r>
          </w:p>
        </w:tc>
        <w:tc>
          <w:tcPr>
            <w:tcW w:w="283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29"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5"/>
                <w:sz w:val="18"/>
                <w:szCs w:val="18"/>
              </w:rPr>
              <w:t> </w:t>
            </w:r>
            <w:r>
              <w:rPr>
                <w:rFonts w:ascii="宋体" w:hAnsi="宋体" w:cs="宋体" w:eastAsia="宋体" w:hint="default"/>
                <w:sz w:val="18"/>
                <w:szCs w:val="18"/>
              </w:rPr>
              <w:t>年末</w:t>
            </w:r>
            <w:r>
              <w:rPr>
                <w:rFonts w:ascii="宋体" w:hAnsi="宋体" w:cs="宋体" w:eastAsia="宋体" w:hint="default"/>
                <w:sz w:val="18"/>
                <w:szCs w:val="18"/>
              </w:rPr>
              <w:t> </w:t>
            </w:r>
          </w:p>
        </w:tc>
        <w:tc>
          <w:tcPr>
            <w:tcW w:w="283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29"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年初</w:t>
            </w:r>
            <w:r>
              <w:rPr>
                <w:rFonts w:ascii="宋体" w:hAnsi="宋体" w:cs="宋体" w:eastAsia="宋体" w:hint="default"/>
                <w:sz w:val="18"/>
                <w:szCs w:val="18"/>
              </w:rPr>
              <w:t> </w:t>
            </w:r>
          </w:p>
        </w:tc>
        <w:tc>
          <w:tcPr>
            <w:tcW w:w="9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6"/>
                <w:szCs w:val="16"/>
              </w:rPr>
            </w:pPr>
          </w:p>
          <w:p>
            <w:pPr>
              <w:pStyle w:val="TableParagraph"/>
              <w:spacing w:line="360" w:lineRule="auto"/>
              <w:ind w:left="86" w:right="-4" w:firstLine="225"/>
              <w:jc w:val="left"/>
              <w:rPr>
                <w:rFonts w:ascii="宋体" w:hAnsi="宋体" w:cs="宋体" w:eastAsia="宋体" w:hint="default"/>
                <w:sz w:val="18"/>
                <w:szCs w:val="18"/>
              </w:rPr>
            </w:pPr>
            <w:r>
              <w:rPr>
                <w:rFonts w:ascii="宋体" w:hAnsi="宋体" w:cs="宋体" w:eastAsia="宋体" w:hint="default"/>
                <w:sz w:val="18"/>
                <w:szCs w:val="18"/>
              </w:rPr>
              <w:t>比重</w:t>
            </w:r>
            <w:r>
              <w:rPr>
                <w:rFonts w:ascii="宋体" w:hAnsi="宋体" w:cs="宋体" w:eastAsia="宋体" w:hint="default"/>
                <w:sz w:val="18"/>
                <w:szCs w:val="18"/>
              </w:rPr>
              <w:t> </w:t>
            </w:r>
            <w:r>
              <w:rPr>
                <w:rFonts w:ascii="宋体" w:hAnsi="宋体" w:cs="宋体" w:eastAsia="宋体" w:hint="default"/>
                <w:sz w:val="18"/>
                <w:szCs w:val="18"/>
              </w:rPr>
              <w:t>增减（</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 </w:t>
            </w:r>
          </w:p>
        </w:tc>
        <w:tc>
          <w:tcPr>
            <w:tcW w:w="184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2"/>
              <w:ind w:left="376" w:right="0"/>
              <w:jc w:val="left"/>
              <w:rPr>
                <w:rFonts w:ascii="宋体" w:hAnsi="宋体" w:cs="宋体" w:eastAsia="宋体" w:hint="default"/>
                <w:sz w:val="18"/>
                <w:szCs w:val="18"/>
              </w:rPr>
            </w:pPr>
            <w:r>
              <w:rPr>
                <w:rFonts w:ascii="宋体" w:hAnsi="宋体" w:cs="宋体" w:eastAsia="宋体" w:hint="default"/>
                <w:sz w:val="18"/>
                <w:szCs w:val="18"/>
              </w:rPr>
              <w:t>重大变动说明</w:t>
            </w:r>
            <w:r>
              <w:rPr>
                <w:rFonts w:ascii="宋体" w:hAnsi="宋体" w:cs="宋体" w:eastAsia="宋体" w:hint="default"/>
                <w:sz w:val="18"/>
                <w:szCs w:val="18"/>
              </w:rPr>
              <w:t> </w:t>
            </w:r>
          </w:p>
        </w:tc>
      </w:tr>
      <w:tr>
        <w:trPr>
          <w:trHeight w:val="673" w:hRule="exact"/>
        </w:trPr>
        <w:tc>
          <w:tcPr>
            <w:tcW w:w="1136" w:type="dxa"/>
            <w:vMerge/>
            <w:tcBorders>
              <w:left w:val="single" w:sz="4" w:space="0" w:color="000000"/>
              <w:bottom w:val="single" w:sz="4" w:space="0" w:color="000000"/>
              <w:right w:val="single" w:sz="4" w:space="0" w:color="000000"/>
            </w:tcBorders>
            <w:shd w:val="clear" w:color="auto" w:fill="D2D2D2"/>
          </w:tcPr>
          <w:p>
            <w:pPr/>
          </w:p>
        </w:tc>
        <w:tc>
          <w:tcPr>
            <w:tcW w:w="169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90" w:right="0"/>
              <w:jc w:val="center"/>
              <w:rPr>
                <w:rFonts w:ascii="宋体" w:hAnsi="宋体" w:cs="宋体" w:eastAsia="宋体" w:hint="default"/>
                <w:sz w:val="18"/>
                <w:szCs w:val="18"/>
              </w:rPr>
            </w:pPr>
            <w:r>
              <w:rPr>
                <w:rFonts w:ascii="宋体" w:hAnsi="宋体" w:cs="宋体" w:eastAsia="宋体" w:hint="default"/>
                <w:sz w:val="18"/>
                <w:szCs w:val="18"/>
              </w:rPr>
              <w:t>金额</w:t>
            </w:r>
            <w:r>
              <w:rPr>
                <w:rFonts w:ascii="宋体" w:hAnsi="宋体" w:cs="宋体" w:eastAsia="宋体" w:hint="default"/>
                <w:sz w:val="18"/>
                <w:szCs w:val="18"/>
              </w:rPr>
              <w:t> </w:t>
            </w:r>
          </w:p>
        </w:tc>
        <w:tc>
          <w:tcPr>
            <w:tcW w:w="11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2"/>
              <w:ind w:left="247" w:right="110" w:hanging="135"/>
              <w:jc w:val="left"/>
              <w:rPr>
                <w:rFonts w:ascii="宋体" w:hAnsi="宋体" w:cs="宋体" w:eastAsia="宋体" w:hint="default"/>
                <w:sz w:val="18"/>
                <w:szCs w:val="18"/>
              </w:rPr>
            </w:pPr>
            <w:r>
              <w:rPr>
                <w:rFonts w:ascii="宋体" w:hAnsi="宋体" w:cs="宋体" w:eastAsia="宋体" w:hint="default"/>
                <w:sz w:val="18"/>
                <w:szCs w:val="18"/>
              </w:rPr>
              <w:t>占总资产比 例（</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 </w:t>
            </w:r>
          </w:p>
        </w:tc>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87" w:right="0"/>
              <w:jc w:val="center"/>
              <w:rPr>
                <w:rFonts w:ascii="宋体" w:hAnsi="宋体" w:cs="宋体" w:eastAsia="宋体" w:hint="default"/>
                <w:sz w:val="18"/>
                <w:szCs w:val="18"/>
              </w:rPr>
            </w:pPr>
            <w:r>
              <w:rPr>
                <w:rFonts w:ascii="宋体" w:hAnsi="宋体" w:cs="宋体" w:eastAsia="宋体" w:hint="default"/>
                <w:sz w:val="18"/>
                <w:szCs w:val="18"/>
              </w:rPr>
              <w:t>金额</w:t>
            </w:r>
            <w:r>
              <w:rPr>
                <w:rFonts w:ascii="宋体" w:hAnsi="宋体" w:cs="宋体" w:eastAsia="宋体" w:hint="default"/>
                <w:sz w:val="18"/>
                <w:szCs w:val="18"/>
              </w:rPr>
              <w:t> </w:t>
            </w:r>
          </w:p>
        </w:tc>
        <w:tc>
          <w:tcPr>
            <w:tcW w:w="11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4" w:lineRule="auto" w:before="52"/>
              <w:ind w:left="247" w:right="108" w:hanging="135"/>
              <w:jc w:val="left"/>
              <w:rPr>
                <w:rFonts w:ascii="宋体" w:hAnsi="宋体" w:cs="宋体" w:eastAsia="宋体" w:hint="default"/>
                <w:sz w:val="18"/>
                <w:szCs w:val="18"/>
              </w:rPr>
            </w:pPr>
            <w:r>
              <w:rPr>
                <w:rFonts w:ascii="宋体" w:hAnsi="宋体" w:cs="宋体" w:eastAsia="宋体" w:hint="default"/>
                <w:sz w:val="18"/>
                <w:szCs w:val="18"/>
              </w:rPr>
              <w:t>占总资产比 例（</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 </w:t>
            </w:r>
          </w:p>
        </w:tc>
        <w:tc>
          <w:tcPr>
            <w:tcW w:w="994" w:type="dxa"/>
            <w:vMerge/>
            <w:tcBorders>
              <w:left w:val="single" w:sz="4" w:space="0" w:color="000000"/>
              <w:bottom w:val="single" w:sz="4" w:space="0" w:color="000000"/>
              <w:right w:val="single" w:sz="4" w:space="0" w:color="000000"/>
            </w:tcBorders>
            <w:shd w:val="clear" w:color="auto" w:fill="D2D2D2"/>
          </w:tcPr>
          <w:p>
            <w:pPr/>
          </w:p>
        </w:tc>
        <w:tc>
          <w:tcPr>
            <w:tcW w:w="1841" w:type="dxa"/>
            <w:vMerge/>
            <w:tcBorders>
              <w:left w:val="single" w:sz="4" w:space="0" w:color="000000"/>
              <w:bottom w:val="single" w:sz="4" w:space="0" w:color="000000"/>
              <w:right w:val="single" w:sz="4" w:space="0" w:color="000000"/>
            </w:tcBorders>
            <w:shd w:val="clear" w:color="auto" w:fill="D2D2D2"/>
          </w:tcPr>
          <w:p>
            <w:pPr/>
          </w:p>
        </w:tc>
      </w:tr>
      <w:tr>
        <w:trPr>
          <w:trHeight w:val="362" w:hRule="exact"/>
        </w:trPr>
        <w:tc>
          <w:tcPr>
            <w:tcW w:w="11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货币资金</w:t>
            </w:r>
            <w:r>
              <w:rPr>
                <w:rFonts w:ascii="宋体" w:hAnsi="宋体" w:cs="宋体" w:eastAsia="宋体" w:hint="default"/>
                <w:sz w:val="18"/>
                <w:szCs w:val="18"/>
              </w:rPr>
              <w:t> </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宋体" w:hAnsi="宋体" w:cs="宋体" w:eastAsia="宋体" w:hint="default"/>
                <w:sz w:val="18"/>
                <w:szCs w:val="18"/>
              </w:rPr>
            </w:pPr>
            <w:r>
              <w:rPr>
                <w:rFonts w:ascii="宋体"/>
                <w:spacing w:val="-1"/>
                <w:sz w:val="18"/>
              </w:rPr>
              <w:t>830,135,951.15</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21.24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8" w:right="0"/>
              <w:jc w:val="center"/>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z w:val="18"/>
              </w:rPr>
              <w:t>693,276,626.30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z w:val="18"/>
              </w:rPr>
              <w:t>13.02</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8.22</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经营活动现金流增加</w:t>
            </w:r>
            <w:r>
              <w:rPr>
                <w:rFonts w:ascii="宋体" w:hAnsi="宋体" w:cs="宋体" w:eastAsia="宋体" w:hint="default"/>
                <w:sz w:val="18"/>
                <w:szCs w:val="18"/>
              </w:rPr>
              <w:t> </w:t>
            </w:r>
          </w:p>
        </w:tc>
      </w:tr>
      <w:tr>
        <w:trPr>
          <w:trHeight w:val="362" w:hRule="exact"/>
        </w:trPr>
        <w:tc>
          <w:tcPr>
            <w:tcW w:w="11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应收账款</w:t>
            </w:r>
            <w:r>
              <w:rPr>
                <w:rFonts w:ascii="宋体" w:hAnsi="宋体" w:cs="宋体" w:eastAsia="宋体" w:hint="default"/>
                <w:sz w:val="18"/>
                <w:szCs w:val="18"/>
              </w:rPr>
              <w:t> </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1"/>
                <w:sz w:val="18"/>
              </w:rPr>
              <w:t>889,919,464.82</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pacing w:val="1"/>
                <w:sz w:val="18"/>
              </w:rPr>
              <w:t> </w:t>
            </w:r>
            <w:r>
              <w:rPr>
                <w:rFonts w:ascii="宋体"/>
                <w:spacing w:val="-1"/>
                <w:sz w:val="18"/>
              </w:rPr>
              <w:t>22.77</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8" w:right="0"/>
              <w:jc w:val="center"/>
              <w:rPr>
                <w:rFonts w:ascii="宋体" w:hAnsi="宋体" w:cs="宋体" w:eastAsia="宋体" w:hint="default"/>
                <w:sz w:val="18"/>
                <w:szCs w:val="18"/>
              </w:rPr>
            </w:pPr>
            <w:r>
              <w:rPr>
                <w:rFonts w:ascii="宋体"/>
                <w:spacing w:val="1"/>
                <w:sz w:val="18"/>
              </w:rPr>
              <w:t>  </w:t>
            </w:r>
            <w:r>
              <w:rPr>
                <w:rFonts w:ascii="宋体"/>
                <w:sz w:val="18"/>
              </w:rPr>
              <w:t>1,054,026,627.49</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z w:val="18"/>
              </w:rPr>
              <w:t>19.79</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pacing w:val="1"/>
                <w:sz w:val="18"/>
              </w:rPr>
              <w:t> </w:t>
            </w:r>
            <w:r>
              <w:rPr>
                <w:rFonts w:ascii="宋体"/>
                <w:sz w:val="18"/>
              </w:rPr>
              <w:t>2.98</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无重大变动</w:t>
            </w:r>
            <w:r>
              <w:rPr>
                <w:rFonts w:ascii="宋体" w:hAnsi="宋体" w:cs="宋体" w:eastAsia="宋体" w:hint="default"/>
                <w:sz w:val="18"/>
                <w:szCs w:val="18"/>
              </w:rPr>
              <w:t> </w:t>
            </w:r>
          </w:p>
        </w:tc>
      </w:tr>
      <w:tr>
        <w:trPr>
          <w:trHeight w:val="362" w:hRule="exact"/>
        </w:trPr>
        <w:tc>
          <w:tcPr>
            <w:tcW w:w="11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其他应收款</w:t>
            </w:r>
            <w:r>
              <w:rPr>
                <w:rFonts w:ascii="宋体" w:hAnsi="宋体" w:cs="宋体" w:eastAsia="宋体" w:hint="default"/>
                <w:sz w:val="18"/>
                <w:szCs w:val="18"/>
              </w:rPr>
              <w:t> </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宋体" w:hAnsi="宋体" w:cs="宋体" w:eastAsia="宋体" w:hint="default"/>
                <w:sz w:val="18"/>
                <w:szCs w:val="18"/>
              </w:rPr>
            </w:pPr>
            <w:r>
              <w:rPr>
                <w:rFonts w:ascii="宋体"/>
                <w:spacing w:val="-1"/>
                <w:sz w:val="18"/>
              </w:rPr>
              <w:t>66,354,682.02</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pacing w:val="1"/>
                <w:sz w:val="18"/>
              </w:rPr>
              <w:t>  </w:t>
            </w:r>
            <w:r>
              <w:rPr>
                <w:rFonts w:ascii="宋体"/>
                <w:spacing w:val="-1"/>
                <w:sz w:val="18"/>
              </w:rPr>
              <w:t>1.70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8" w:right="0"/>
              <w:jc w:val="center"/>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1"/>
                <w:sz w:val="18"/>
              </w:rPr>
              <w:t> </w:t>
            </w:r>
            <w:r>
              <w:rPr>
                <w:rFonts w:ascii="宋体"/>
                <w:sz w:val="18"/>
              </w:rPr>
              <w:t>61,166,014.21</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z w:val="18"/>
              </w:rPr>
              <w:t>1.15</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0.55</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无重大变动</w:t>
            </w:r>
            <w:r>
              <w:rPr>
                <w:rFonts w:ascii="宋体" w:hAnsi="宋体" w:cs="宋体" w:eastAsia="宋体" w:hint="default"/>
                <w:sz w:val="18"/>
                <w:szCs w:val="18"/>
              </w:rPr>
              <w:t> </w:t>
            </w:r>
          </w:p>
        </w:tc>
      </w:tr>
      <w:tr>
        <w:trPr>
          <w:trHeight w:val="363" w:hRule="exact"/>
        </w:trPr>
        <w:tc>
          <w:tcPr>
            <w:tcW w:w="11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z w:val="18"/>
                <w:szCs w:val="18"/>
              </w:rPr>
              <w:t>存货</w:t>
            </w:r>
            <w:r>
              <w:rPr>
                <w:rFonts w:ascii="宋体" w:hAnsi="宋体" w:cs="宋体" w:eastAsia="宋体" w:hint="default"/>
                <w:sz w:val="18"/>
                <w:szCs w:val="18"/>
              </w:rPr>
              <w:t> </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1"/>
                <w:sz w:val="18"/>
              </w:rPr>
              <w:t> 31,661,793.29</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宋体" w:hAnsi="宋体" w:cs="宋体" w:eastAsia="宋体" w:hint="default"/>
                <w:sz w:val="18"/>
                <w:szCs w:val="18"/>
              </w:rPr>
            </w:pPr>
            <w:r>
              <w:rPr>
                <w:rFonts w:ascii="宋体"/>
                <w:sz w:val="18"/>
              </w:rPr>
              <w:t>0.81</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8" w:right="0"/>
              <w:jc w:val="center"/>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1"/>
                <w:sz w:val="18"/>
              </w:rPr>
              <w:t> </w:t>
            </w:r>
            <w:r>
              <w:rPr>
                <w:rFonts w:ascii="宋体"/>
                <w:sz w:val="18"/>
              </w:rPr>
              <w:t>47,736,657.49</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8"/>
              <w:jc w:val="right"/>
              <w:rPr>
                <w:rFonts w:ascii="宋体" w:hAnsi="宋体" w:cs="宋体" w:eastAsia="宋体" w:hint="default"/>
                <w:sz w:val="18"/>
                <w:szCs w:val="18"/>
              </w:rPr>
            </w:pPr>
            <w:r>
              <w:rPr>
                <w:rFonts w:ascii="宋体"/>
                <w:sz w:val="18"/>
              </w:rPr>
              <w:t>0.90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宋体" w:hAnsi="宋体" w:cs="宋体" w:eastAsia="宋体" w:hint="default"/>
                <w:sz w:val="18"/>
                <w:szCs w:val="18"/>
              </w:rPr>
            </w:pPr>
            <w:r>
              <w:rPr>
                <w:rFonts w:ascii="宋体"/>
                <w:sz w:val="18"/>
              </w:rPr>
              <w:t>-0.09</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无重大变动</w:t>
            </w:r>
            <w:r>
              <w:rPr>
                <w:rFonts w:ascii="宋体" w:hAnsi="宋体" w:cs="宋体" w:eastAsia="宋体" w:hint="default"/>
                <w:sz w:val="18"/>
                <w:szCs w:val="18"/>
              </w:rPr>
              <w:t> </w:t>
            </w:r>
          </w:p>
        </w:tc>
      </w:tr>
      <w:tr>
        <w:trPr>
          <w:trHeight w:val="360" w:hRule="exact"/>
        </w:trPr>
        <w:tc>
          <w:tcPr>
            <w:tcW w:w="11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长期应收款</w:t>
            </w:r>
            <w:r>
              <w:rPr>
                <w:rFonts w:ascii="宋体" w:hAnsi="宋体" w:cs="宋体" w:eastAsia="宋体" w:hint="default"/>
                <w:sz w:val="18"/>
                <w:szCs w:val="18"/>
              </w:rPr>
              <w:t> </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z w:val="18"/>
              </w:rPr>
              <w:t>--</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8" w:right="0"/>
              <w:jc w:val="center"/>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1"/>
                <w:sz w:val="18"/>
              </w:rPr>
              <w:t> </w:t>
            </w:r>
            <w:r>
              <w:rPr>
                <w:rFonts w:ascii="宋体"/>
                <w:sz w:val="18"/>
              </w:rPr>
              <w:t>84,201,750.57</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z w:val="18"/>
              </w:rPr>
              <w:t>1.58</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-1.58</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业务调整</w:t>
            </w:r>
            <w:r>
              <w:rPr>
                <w:rFonts w:ascii="宋体" w:hAnsi="宋体" w:cs="宋体" w:eastAsia="宋体" w:hint="default"/>
                <w:sz w:val="18"/>
                <w:szCs w:val="18"/>
              </w:rPr>
              <w:t> </w:t>
            </w:r>
          </w:p>
        </w:tc>
      </w:tr>
      <w:tr>
        <w:trPr>
          <w:trHeight w:val="362" w:hRule="exact"/>
        </w:trPr>
        <w:tc>
          <w:tcPr>
            <w:tcW w:w="11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固定资产</w:t>
            </w:r>
            <w:r>
              <w:rPr>
                <w:rFonts w:ascii="宋体" w:hAnsi="宋体" w:cs="宋体" w:eastAsia="宋体" w:hint="default"/>
                <w:sz w:val="18"/>
                <w:szCs w:val="18"/>
              </w:rPr>
              <w:t> </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98,876,641.82</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宋体" w:hAnsi="宋体" w:cs="宋体" w:eastAsia="宋体" w:hint="default"/>
                <w:sz w:val="18"/>
                <w:szCs w:val="18"/>
              </w:rPr>
            </w:pPr>
            <w:r>
              <w:rPr>
                <w:rFonts w:ascii="宋体"/>
                <w:sz w:val="18"/>
              </w:rPr>
              <w:t>2.53</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8" w:right="0"/>
              <w:jc w:val="center"/>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1"/>
                <w:sz w:val="18"/>
              </w:rPr>
              <w:t> </w:t>
            </w:r>
            <w:r>
              <w:rPr>
                <w:rFonts w:ascii="宋体"/>
                <w:sz w:val="18"/>
              </w:rPr>
              <w:t>77,280,265.32</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8"/>
              <w:jc w:val="right"/>
              <w:rPr>
                <w:rFonts w:ascii="宋体" w:hAnsi="宋体" w:cs="宋体" w:eastAsia="宋体" w:hint="default"/>
                <w:sz w:val="18"/>
                <w:szCs w:val="18"/>
              </w:rPr>
            </w:pPr>
            <w:r>
              <w:rPr>
                <w:rFonts w:ascii="宋体"/>
                <w:sz w:val="18"/>
              </w:rPr>
              <w:t>1.45</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3"/>
              <w:jc w:val="right"/>
              <w:rPr>
                <w:rFonts w:ascii="宋体" w:hAnsi="宋体" w:cs="宋体" w:eastAsia="宋体" w:hint="default"/>
                <w:sz w:val="18"/>
                <w:szCs w:val="18"/>
              </w:rPr>
            </w:pPr>
            <w:r>
              <w:rPr>
                <w:rFonts w:ascii="宋体"/>
                <w:sz w:val="18"/>
              </w:rPr>
              <w:t>1.08</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无重大变动</w:t>
            </w:r>
            <w:r>
              <w:rPr>
                <w:rFonts w:ascii="宋体" w:hAnsi="宋体" w:cs="宋体" w:eastAsia="宋体" w:hint="default"/>
                <w:sz w:val="18"/>
                <w:szCs w:val="18"/>
              </w:rPr>
              <w:t> </w:t>
            </w:r>
          </w:p>
        </w:tc>
      </w:tr>
      <w:tr>
        <w:trPr>
          <w:trHeight w:val="362" w:hRule="exact"/>
        </w:trPr>
        <w:tc>
          <w:tcPr>
            <w:tcW w:w="11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商誉</w:t>
            </w:r>
            <w:r>
              <w:rPr>
                <w:rFonts w:ascii="宋体" w:hAnsi="宋体" w:cs="宋体" w:eastAsia="宋体" w:hint="default"/>
                <w:sz w:val="18"/>
                <w:szCs w:val="18"/>
              </w:rPr>
              <w:t> </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宋体" w:hAnsi="宋体" w:cs="宋体" w:eastAsia="宋体" w:hint="default"/>
                <w:sz w:val="18"/>
                <w:szCs w:val="18"/>
              </w:rPr>
            </w:pPr>
            <w:r>
              <w:rPr>
                <w:rFonts w:ascii="宋体"/>
                <w:spacing w:val="-1"/>
                <w:sz w:val="18"/>
              </w:rPr>
              <w:t>1,769,317,486.32</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pacing w:val="1"/>
                <w:sz w:val="18"/>
              </w:rPr>
              <w:t> </w:t>
            </w:r>
            <w:r>
              <w:rPr>
                <w:rFonts w:ascii="宋体"/>
                <w:spacing w:val="-1"/>
                <w:sz w:val="18"/>
              </w:rPr>
              <w:t>45.28</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8" w:right="0"/>
              <w:jc w:val="center"/>
              <w:rPr>
                <w:rFonts w:ascii="宋体" w:hAnsi="宋体" w:cs="宋体" w:eastAsia="宋体" w:hint="default"/>
                <w:sz w:val="18"/>
                <w:szCs w:val="18"/>
              </w:rPr>
            </w:pPr>
            <w:r>
              <w:rPr>
                <w:rFonts w:ascii="宋体"/>
                <w:spacing w:val="1"/>
                <w:sz w:val="18"/>
              </w:rPr>
              <w:t>  </w:t>
            </w:r>
            <w:r>
              <w:rPr>
                <w:rFonts w:ascii="宋体"/>
                <w:sz w:val="18"/>
              </w:rPr>
              <w:t>2,971,539,534.02</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z w:val="18"/>
              </w:rPr>
              <w:t>55.80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宋体" w:hAnsi="宋体" w:cs="宋体" w:eastAsia="宋体" w:hint="default"/>
                <w:sz w:val="18"/>
                <w:szCs w:val="18"/>
              </w:rPr>
            </w:pPr>
            <w:r>
              <w:rPr>
                <w:rFonts w:ascii="宋体"/>
                <w:spacing w:val="1"/>
                <w:sz w:val="18"/>
              </w:rPr>
              <w:t> </w:t>
            </w:r>
            <w:r>
              <w:rPr>
                <w:rFonts w:ascii="宋体"/>
                <w:sz w:val="18"/>
              </w:rPr>
              <w:t>-10.52</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计提减值</w:t>
            </w:r>
            <w:r>
              <w:rPr>
                <w:rFonts w:ascii="宋体" w:hAnsi="宋体" w:cs="宋体" w:eastAsia="宋体" w:hint="default"/>
                <w:sz w:val="18"/>
                <w:szCs w:val="18"/>
              </w:rPr>
              <w:t> </w:t>
            </w:r>
          </w:p>
        </w:tc>
      </w:tr>
      <w:tr>
        <w:trPr>
          <w:trHeight w:val="362" w:hRule="exact"/>
        </w:trPr>
        <w:tc>
          <w:tcPr>
            <w:tcW w:w="11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短期借款</w:t>
            </w:r>
            <w:r>
              <w:rPr>
                <w:rFonts w:ascii="宋体" w:hAnsi="宋体" w:cs="宋体" w:eastAsia="宋体" w:hint="default"/>
                <w:sz w:val="18"/>
                <w:szCs w:val="18"/>
              </w:rPr>
              <w:t> </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1"/>
                <w:sz w:val="18"/>
              </w:rPr>
              <w:t>301,730,212.16</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pacing w:val="1"/>
                <w:sz w:val="18"/>
              </w:rPr>
              <w:t>  </w:t>
            </w:r>
            <w:r>
              <w:rPr>
                <w:rFonts w:ascii="宋体"/>
                <w:spacing w:val="-1"/>
                <w:sz w:val="18"/>
              </w:rPr>
              <w:t>7.72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8" w:right="0"/>
              <w:jc w:val="center"/>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z w:val="18"/>
              </w:rPr>
              <w:t>380,261,829.86</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z w:val="18"/>
              </w:rPr>
              <w:t>7.14</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pacing w:val="1"/>
                <w:sz w:val="18"/>
              </w:rPr>
              <w:t> </w:t>
            </w:r>
            <w:r>
              <w:rPr>
                <w:rFonts w:ascii="宋体"/>
                <w:sz w:val="18"/>
              </w:rPr>
              <w:t>0.58</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无重大变动</w:t>
            </w:r>
            <w:r>
              <w:rPr>
                <w:rFonts w:ascii="宋体" w:hAnsi="宋体" w:cs="宋体" w:eastAsia="宋体" w:hint="default"/>
                <w:sz w:val="18"/>
                <w:szCs w:val="18"/>
              </w:rPr>
              <w:t> </w:t>
            </w:r>
          </w:p>
        </w:tc>
      </w:tr>
      <w:tr>
        <w:trPr>
          <w:trHeight w:val="362" w:hRule="exact"/>
        </w:trPr>
        <w:tc>
          <w:tcPr>
            <w:tcW w:w="11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应付账款</w:t>
            </w:r>
            <w:r>
              <w:rPr>
                <w:rFonts w:ascii="宋体" w:hAnsi="宋体" w:cs="宋体" w:eastAsia="宋体" w:hint="default"/>
                <w:sz w:val="18"/>
                <w:szCs w:val="18"/>
              </w:rPr>
              <w:t> </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宋体" w:hAnsi="宋体" w:cs="宋体" w:eastAsia="宋体" w:hint="default"/>
                <w:sz w:val="18"/>
                <w:szCs w:val="18"/>
              </w:rPr>
            </w:pPr>
            <w:r>
              <w:rPr>
                <w:rFonts w:ascii="宋体"/>
                <w:spacing w:val="-1"/>
                <w:sz w:val="18"/>
              </w:rPr>
              <w:t>477,536,218.57</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12.22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8" w:right="0"/>
              <w:jc w:val="center"/>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z w:val="18"/>
              </w:rPr>
              <w:t>398,707,944.61</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z w:val="18"/>
              </w:rPr>
              <w:t>7.49</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pacing w:val="1"/>
                <w:sz w:val="18"/>
              </w:rPr>
              <w:t>  </w:t>
            </w:r>
            <w:r>
              <w:rPr>
                <w:rFonts w:ascii="宋体"/>
                <w:spacing w:val="-1"/>
                <w:sz w:val="18"/>
              </w:rPr>
              <w:t>4.73</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无重大变动</w:t>
            </w:r>
            <w:r>
              <w:rPr>
                <w:rFonts w:ascii="宋体" w:hAnsi="宋体" w:cs="宋体" w:eastAsia="宋体" w:hint="default"/>
                <w:sz w:val="18"/>
                <w:szCs w:val="18"/>
              </w:rPr>
              <w:t> </w:t>
            </w:r>
          </w:p>
        </w:tc>
      </w:tr>
      <w:tr>
        <w:trPr>
          <w:trHeight w:val="362" w:hRule="exact"/>
        </w:trPr>
        <w:tc>
          <w:tcPr>
            <w:tcW w:w="11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总资产</w:t>
            </w:r>
            <w:r>
              <w:rPr>
                <w:rFonts w:ascii="宋体" w:hAnsi="宋体" w:cs="宋体" w:eastAsia="宋体" w:hint="default"/>
                <w:sz w:val="18"/>
                <w:szCs w:val="18"/>
              </w:rPr>
              <w:t> </w:t>
            </w:r>
          </w:p>
        </w:tc>
        <w:tc>
          <w:tcPr>
            <w:tcW w:w="16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pacing w:val="-1"/>
                <w:sz w:val="18"/>
              </w:rPr>
              <w:t>3,907,595,690.57</w:t>
            </w:r>
            <w:r>
              <w:rPr>
                <w:rFonts w:ascii="宋体"/>
                <w:sz w:val="18"/>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宋体" w:hAnsi="宋体" w:cs="宋体" w:eastAsia="宋体" w:hint="default"/>
                <w:sz w:val="18"/>
                <w:szCs w:val="18"/>
              </w:rPr>
            </w:pPr>
            <w:r>
              <w:rPr>
                <w:rFonts w:ascii="宋体"/>
                <w:sz w:val="18"/>
              </w:rPr>
              <w:t>100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8" w:right="0"/>
              <w:jc w:val="center"/>
              <w:rPr>
                <w:rFonts w:ascii="宋体" w:hAnsi="宋体" w:cs="宋体" w:eastAsia="宋体" w:hint="default"/>
                <w:sz w:val="18"/>
                <w:szCs w:val="18"/>
              </w:rPr>
            </w:pPr>
            <w:r>
              <w:rPr>
                <w:rFonts w:ascii="宋体"/>
                <w:spacing w:val="1"/>
                <w:sz w:val="18"/>
              </w:rPr>
              <w:t>  </w:t>
            </w:r>
            <w:r>
              <w:rPr>
                <w:rFonts w:ascii="宋体"/>
                <w:sz w:val="18"/>
              </w:rPr>
              <w:t>5,325,499,130.46</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sz w:val="18"/>
              </w:rPr>
              <w:t>100</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0.00</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商誉减值所致</w:t>
            </w:r>
            <w:r>
              <w:rPr>
                <w:rFonts w:ascii="宋体" w:hAnsi="宋体" w:cs="宋体" w:eastAsia="宋体" w:hint="default"/>
                <w:sz w:val="18"/>
                <w:szCs w:val="18"/>
              </w:rPr>
              <w:t> </w:t>
            </w:r>
          </w:p>
        </w:tc>
      </w:tr>
    </w:tbl>
    <w:p>
      <w:pPr>
        <w:spacing w:line="240" w:lineRule="auto" w:before="3"/>
        <w:rPr>
          <w:rFonts w:ascii="宋体" w:hAnsi="宋体" w:cs="宋体" w:eastAsia="宋体" w:hint="default"/>
          <w:sz w:val="19"/>
          <w:szCs w:val="19"/>
        </w:rPr>
      </w:pPr>
    </w:p>
    <w:p>
      <w:pPr>
        <w:pStyle w:val="Heading3"/>
        <w:spacing w:line="240" w:lineRule="auto"/>
        <w:ind w:right="1133"/>
        <w:jc w:val="left"/>
        <w:rPr>
          <w:b w:val="0"/>
          <w:bCs w:val="0"/>
        </w:rPr>
      </w:pPr>
      <w:r>
        <w:rPr/>
        <w:t>（二）以公允价值计量的资产和负债</w:t>
      </w:r>
      <w:r>
        <w:rPr>
          <w:b w:val="0"/>
          <w:bCs w:val="0"/>
        </w:rPr>
      </w:r>
    </w:p>
    <w:p>
      <w:pPr>
        <w:pStyle w:val="BodyText"/>
        <w:spacing w:line="307" w:lineRule="auto" w:before="157"/>
        <w:ind w:right="5542"/>
        <w:jc w:val="left"/>
        <w:rPr>
          <w:rFonts w:ascii="宋体" w:hAnsi="宋体" w:cs="宋体" w:eastAsia="宋体" w:hint="default"/>
        </w:rPr>
      </w:pPr>
      <w:r>
        <w:rPr/>
        <w:t>□适用 </w:t>
      </w:r>
      <w:r>
        <w:rPr>
          <w:rFonts w:ascii="宋体" w:hAnsi="宋体" w:cs="宋体" w:eastAsia="宋体" w:hint="default"/>
        </w:rPr>
      </w:r>
      <w:r>
        <w:rPr>
          <w:spacing w:val="-3"/>
        </w:rPr>
        <w:t>√不适用</w:t>
      </w:r>
      <w:r>
        <w:rPr>
          <w:spacing w:val="-96"/>
        </w:rPr>
        <w:t> </w:t>
      </w:r>
      <w:r>
        <w:rPr>
          <w:rFonts w:ascii="宋体" w:hAnsi="宋体" w:cs="宋体" w:eastAsia="宋体" w:hint="default"/>
          <w:spacing w:val="-96"/>
        </w:rPr>
      </w:r>
      <w:r>
        <w:rPr/>
        <w:t>报告期内公司主要资产计量属性是否发生重大变化</w:t>
      </w:r>
      <w:r>
        <w:rPr>
          <w:rFonts w:ascii="宋体" w:hAnsi="宋体" w:cs="宋体" w:eastAsia="宋体" w:hint="default"/>
        </w:rPr>
        <w:t> </w:t>
      </w:r>
    </w:p>
    <w:p>
      <w:pPr>
        <w:pStyle w:val="BodyText"/>
        <w:spacing w:line="240" w:lineRule="auto" w:before="19"/>
        <w:ind w:right="1133"/>
        <w:jc w:val="left"/>
        <w:rPr>
          <w:rFonts w:ascii="宋体" w:hAnsi="宋体" w:cs="宋体" w:eastAsia="宋体" w:hint="default"/>
        </w:rPr>
      </w:pPr>
      <w:r>
        <w:rPr/>
        <w:t>□是 </w:t>
      </w:r>
      <w:r>
        <w:rPr>
          <w:rFonts w:ascii="宋体" w:hAnsi="宋体" w:cs="宋体" w:eastAsia="宋体" w:hint="default"/>
        </w:rPr>
      </w:r>
      <w:r>
        <w:rPr/>
        <w:t>√</w:t>
      </w:r>
      <w:r>
        <w:rPr>
          <w:spacing w:val="3"/>
        </w:rPr>
        <w:t> </w:t>
      </w:r>
      <w:r>
        <w:rPr>
          <w:spacing w:val="-3"/>
        </w:rPr>
        <w:t>否</w:t>
      </w:r>
      <w:r>
        <w:rPr>
          <w:rFonts w:ascii="宋体" w:hAnsi="宋体" w:cs="宋体" w:eastAsia="宋体" w:hint="default"/>
        </w:rPr>
        <w:t> </w:t>
      </w:r>
    </w:p>
    <w:p>
      <w:pPr>
        <w:pStyle w:val="Heading3"/>
        <w:spacing w:line="240" w:lineRule="auto" w:before="157"/>
        <w:ind w:right="1133"/>
        <w:jc w:val="left"/>
        <w:rPr>
          <w:b w:val="0"/>
          <w:bCs w:val="0"/>
        </w:rPr>
      </w:pPr>
      <w:r>
        <w:rPr/>
        <w:t>（三）截至报告期末的资产权利受限情况</w:t>
      </w:r>
      <w:r>
        <w:rPr>
          <w:b w:val="0"/>
          <w:bCs w:val="0"/>
        </w:rPr>
      </w:r>
    </w:p>
    <w:p>
      <w:pPr>
        <w:spacing w:line="240" w:lineRule="auto" w:before="13"/>
        <w:rPr>
          <w:rFonts w:ascii="宋体" w:hAnsi="宋体" w:cs="宋体" w:eastAsia="宋体" w:hint="default"/>
          <w:b/>
          <w:bCs/>
          <w:sz w:val="12"/>
          <w:szCs w:val="12"/>
        </w:rPr>
      </w:pPr>
    </w:p>
    <w:tbl>
      <w:tblPr>
        <w:tblW w:w="0" w:type="auto"/>
        <w:jc w:val="left"/>
        <w:tblInd w:w="148" w:type="dxa"/>
        <w:tblLayout w:type="fixed"/>
        <w:tblCellMar>
          <w:top w:w="0" w:type="dxa"/>
          <w:left w:w="0" w:type="dxa"/>
          <w:bottom w:w="0" w:type="dxa"/>
          <w:right w:w="0" w:type="dxa"/>
        </w:tblCellMar>
        <w:tblLook w:val="01E0"/>
      </w:tblPr>
      <w:tblGrid>
        <w:gridCol w:w="2616"/>
        <w:gridCol w:w="4110"/>
        <w:gridCol w:w="2914"/>
      </w:tblGrid>
      <w:tr>
        <w:trPr>
          <w:trHeight w:val="350" w:hRule="exact"/>
        </w:trPr>
        <w:tc>
          <w:tcPr>
            <w:tcW w:w="26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4"/>
              <w:ind w:right="1121"/>
              <w:jc w:val="right"/>
              <w:rPr>
                <w:rFonts w:ascii="宋体" w:hAnsi="宋体" w:cs="宋体" w:eastAsia="宋体" w:hint="default"/>
                <w:sz w:val="18"/>
                <w:szCs w:val="18"/>
              </w:rPr>
            </w:pPr>
            <w:r>
              <w:rPr>
                <w:rFonts w:ascii="宋体" w:hAnsi="宋体" w:cs="宋体" w:eastAsia="宋体" w:hint="default"/>
                <w:sz w:val="18"/>
                <w:szCs w:val="18"/>
              </w:rPr>
              <w:t>项目</w:t>
            </w:r>
          </w:p>
        </w:tc>
        <w:tc>
          <w:tcPr>
            <w:tcW w:w="41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4"/>
              <w:ind w:right="0"/>
              <w:jc w:val="center"/>
              <w:rPr>
                <w:rFonts w:ascii="宋体" w:hAnsi="宋体" w:cs="宋体" w:eastAsia="宋体" w:hint="default"/>
                <w:sz w:val="18"/>
                <w:szCs w:val="18"/>
              </w:rPr>
            </w:pPr>
            <w:r>
              <w:rPr>
                <w:rFonts w:ascii="宋体" w:hAnsi="宋体" w:cs="宋体" w:eastAsia="宋体" w:hint="default"/>
                <w:sz w:val="18"/>
                <w:szCs w:val="18"/>
              </w:rPr>
              <w:t>期末账面价值</w:t>
            </w:r>
          </w:p>
        </w:tc>
        <w:tc>
          <w:tcPr>
            <w:tcW w:w="291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4"/>
              <w:ind w:left="4" w:right="0"/>
              <w:jc w:val="center"/>
              <w:rPr>
                <w:rFonts w:ascii="宋体" w:hAnsi="宋体" w:cs="宋体" w:eastAsia="宋体" w:hint="default"/>
                <w:sz w:val="18"/>
                <w:szCs w:val="18"/>
              </w:rPr>
            </w:pPr>
            <w:r>
              <w:rPr>
                <w:rFonts w:ascii="宋体" w:hAnsi="宋体" w:cs="宋体" w:eastAsia="宋体" w:hint="default"/>
                <w:sz w:val="18"/>
                <w:szCs w:val="18"/>
              </w:rPr>
              <w:t>受限原因</w:t>
            </w:r>
          </w:p>
        </w:tc>
      </w:tr>
      <w:tr>
        <w:trPr>
          <w:trHeight w:val="350" w:hRule="exact"/>
        </w:trPr>
        <w:tc>
          <w:tcPr>
            <w:tcW w:w="2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81" w:right="0"/>
              <w:jc w:val="left"/>
              <w:rPr>
                <w:rFonts w:ascii="宋体" w:hAnsi="宋体" w:cs="宋体" w:eastAsia="宋体" w:hint="default"/>
                <w:sz w:val="18"/>
                <w:szCs w:val="18"/>
              </w:rPr>
            </w:pPr>
            <w:r>
              <w:rPr>
                <w:rFonts w:ascii="宋体" w:hAnsi="宋体" w:cs="宋体" w:eastAsia="宋体" w:hint="default"/>
                <w:sz w:val="18"/>
                <w:szCs w:val="18"/>
              </w:rPr>
              <w:t>货币资金</w:t>
            </w:r>
            <w:r>
              <w:rPr>
                <w:rFonts w:ascii="宋体" w:hAnsi="宋体" w:cs="宋体" w:eastAsia="宋体" w:hint="default"/>
                <w:sz w:val="18"/>
                <w:szCs w:val="18"/>
              </w:rPr>
              <w:t> </w:t>
            </w:r>
          </w:p>
        </w:tc>
        <w:tc>
          <w:tcPr>
            <w:tcW w:w="4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24,839,516.83 </w:t>
            </w:r>
          </w:p>
        </w:tc>
        <w:tc>
          <w:tcPr>
            <w:tcW w:w="2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54"/>
              <w:jc w:val="right"/>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保证金</w:t>
            </w:r>
            <w:r>
              <w:rPr>
                <w:rFonts w:ascii="宋体" w:hAnsi="宋体" w:cs="宋体" w:eastAsia="宋体" w:hint="default"/>
                <w:spacing w:val="-2"/>
                <w:sz w:val="18"/>
                <w:szCs w:val="18"/>
              </w:rPr>
              <w:t> </w:t>
            </w:r>
            <w:r>
              <w:rPr>
                <w:rFonts w:ascii="宋体" w:hAnsi="宋体" w:cs="宋体" w:eastAsia="宋体" w:hint="default"/>
                <w:sz w:val="18"/>
                <w:szCs w:val="18"/>
              </w:rPr>
              <w:t> </w:t>
            </w:r>
          </w:p>
        </w:tc>
      </w:tr>
      <w:tr>
        <w:trPr>
          <w:trHeight w:val="350" w:hRule="exact"/>
        </w:trPr>
        <w:tc>
          <w:tcPr>
            <w:tcW w:w="2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81" w:right="0"/>
              <w:jc w:val="left"/>
              <w:rPr>
                <w:rFonts w:ascii="宋体" w:hAnsi="宋体" w:cs="宋体" w:eastAsia="宋体" w:hint="default"/>
                <w:sz w:val="18"/>
                <w:szCs w:val="18"/>
              </w:rPr>
            </w:pPr>
            <w:r>
              <w:rPr>
                <w:rFonts w:ascii="宋体" w:hAnsi="宋体" w:cs="宋体" w:eastAsia="宋体" w:hint="default"/>
                <w:sz w:val="18"/>
                <w:szCs w:val="18"/>
              </w:rPr>
              <w:t>应收账款</w:t>
            </w:r>
            <w:r>
              <w:rPr>
                <w:rFonts w:ascii="宋体" w:hAnsi="宋体" w:cs="宋体" w:eastAsia="宋体" w:hint="default"/>
                <w:sz w:val="18"/>
                <w:szCs w:val="18"/>
              </w:rPr>
              <w:t> </w:t>
            </w:r>
          </w:p>
        </w:tc>
        <w:tc>
          <w:tcPr>
            <w:tcW w:w="4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36,543,757.35 </w:t>
            </w:r>
          </w:p>
        </w:tc>
        <w:tc>
          <w:tcPr>
            <w:tcW w:w="2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94" w:right="0"/>
              <w:jc w:val="center"/>
              <w:rPr>
                <w:rFonts w:ascii="宋体" w:hAnsi="宋体" w:cs="宋体" w:eastAsia="宋体" w:hint="default"/>
                <w:sz w:val="18"/>
                <w:szCs w:val="18"/>
              </w:rPr>
            </w:pPr>
            <w:r>
              <w:rPr>
                <w:rFonts w:ascii="宋体" w:hAnsi="宋体" w:cs="宋体" w:eastAsia="宋体" w:hint="default"/>
                <w:sz w:val="18"/>
                <w:szCs w:val="18"/>
              </w:rPr>
              <w:t>质押</w:t>
            </w:r>
            <w:r>
              <w:rPr>
                <w:rFonts w:ascii="宋体" w:hAnsi="宋体" w:cs="宋体" w:eastAsia="宋体" w:hint="default"/>
                <w:sz w:val="18"/>
                <w:szCs w:val="18"/>
              </w:rPr>
              <w:t> </w:t>
            </w:r>
          </w:p>
        </w:tc>
      </w:tr>
      <w:tr>
        <w:trPr>
          <w:trHeight w:val="348" w:hRule="exact"/>
        </w:trPr>
        <w:tc>
          <w:tcPr>
            <w:tcW w:w="2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81" w:right="0"/>
              <w:jc w:val="left"/>
              <w:rPr>
                <w:rFonts w:ascii="宋体" w:hAnsi="宋体" w:cs="宋体" w:eastAsia="宋体" w:hint="default"/>
                <w:sz w:val="18"/>
                <w:szCs w:val="18"/>
              </w:rPr>
            </w:pPr>
            <w:r>
              <w:rPr>
                <w:rFonts w:ascii="宋体" w:hAnsi="宋体" w:cs="宋体" w:eastAsia="宋体" w:hint="default"/>
                <w:sz w:val="18"/>
                <w:szCs w:val="18"/>
              </w:rPr>
              <w:t>长期股权投资</w:t>
            </w:r>
            <w:r>
              <w:rPr>
                <w:rFonts w:ascii="宋体" w:hAnsi="宋体" w:cs="宋体" w:eastAsia="宋体" w:hint="default"/>
                <w:sz w:val="18"/>
                <w:szCs w:val="18"/>
              </w:rPr>
              <w:t> </w:t>
            </w:r>
          </w:p>
        </w:tc>
        <w:tc>
          <w:tcPr>
            <w:tcW w:w="4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1"/>
                <w:sz w:val="18"/>
              </w:rPr>
              <w:t> 1,480,000,000.00</w:t>
            </w:r>
            <w:r>
              <w:rPr>
                <w:rFonts w:ascii="宋体"/>
                <w:sz w:val="18"/>
              </w:rPr>
              <w:t> </w:t>
            </w:r>
          </w:p>
        </w:tc>
        <w:tc>
          <w:tcPr>
            <w:tcW w:w="2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997"/>
              <w:jc w:val="right"/>
              <w:rPr>
                <w:rFonts w:ascii="宋体" w:hAnsi="宋体" w:cs="宋体" w:eastAsia="宋体" w:hint="default"/>
                <w:sz w:val="18"/>
                <w:szCs w:val="18"/>
              </w:rPr>
            </w:pPr>
            <w:r>
              <w:rPr>
                <w:rFonts w:ascii="宋体" w:hAnsi="宋体" w:cs="宋体" w:eastAsia="宋体" w:hint="default"/>
                <w:sz w:val="18"/>
                <w:szCs w:val="18"/>
              </w:rPr>
              <w:t>质押贷款</w:t>
            </w:r>
            <w:r>
              <w:rPr>
                <w:rFonts w:ascii="宋体" w:hAnsi="宋体" w:cs="宋体" w:eastAsia="宋体" w:hint="default"/>
                <w:sz w:val="18"/>
                <w:szCs w:val="18"/>
              </w:rPr>
              <w:t> </w:t>
            </w:r>
          </w:p>
        </w:tc>
      </w:tr>
      <w:tr>
        <w:trPr>
          <w:trHeight w:val="420" w:hRule="exact"/>
        </w:trPr>
        <w:tc>
          <w:tcPr>
            <w:tcW w:w="26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121"/>
              <w:jc w:val="right"/>
              <w:rPr>
                <w:rFonts w:ascii="宋体" w:hAnsi="宋体" w:cs="宋体" w:eastAsia="宋体" w:hint="default"/>
                <w:sz w:val="18"/>
                <w:szCs w:val="18"/>
              </w:rPr>
            </w:pPr>
            <w:r>
              <w:rPr>
                <w:rFonts w:ascii="宋体" w:hAnsi="宋体" w:cs="宋体" w:eastAsia="宋体" w:hint="default"/>
                <w:sz w:val="18"/>
                <w:szCs w:val="18"/>
              </w:rPr>
              <w:t>合计</w:t>
            </w:r>
          </w:p>
        </w:tc>
        <w:tc>
          <w:tcPr>
            <w:tcW w:w="4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77"/>
              <w:jc w:val="right"/>
              <w:rPr>
                <w:rFonts w:ascii="宋体" w:hAnsi="宋体" w:cs="宋体" w:eastAsia="宋体" w:hint="default"/>
                <w:sz w:val="18"/>
                <w:szCs w:val="18"/>
              </w:rPr>
            </w:pPr>
            <w:r>
              <w:rPr>
                <w:rFonts w:ascii="宋体"/>
                <w:spacing w:val="-1"/>
                <w:sz w:val="18"/>
              </w:rPr>
              <w:t>1,541,383,274.18</w:t>
            </w:r>
          </w:p>
        </w:tc>
        <w:tc>
          <w:tcPr>
            <w:tcW w:w="2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2"/>
              <w:ind w:left="4"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r>
    </w:tbl>
    <w:p>
      <w:pPr>
        <w:spacing w:line="240" w:lineRule="auto" w:before="1"/>
        <w:rPr>
          <w:rFonts w:ascii="宋体" w:hAnsi="宋体" w:cs="宋体" w:eastAsia="宋体" w:hint="default"/>
          <w:b/>
          <w:bCs/>
          <w:sz w:val="18"/>
          <w:szCs w:val="18"/>
        </w:rPr>
      </w:pPr>
    </w:p>
    <w:p>
      <w:pPr>
        <w:spacing w:before="26"/>
        <w:ind w:left="152" w:right="1133" w:firstLine="0"/>
        <w:jc w:val="left"/>
        <w:rPr>
          <w:rFonts w:ascii="宋体" w:hAnsi="宋体" w:cs="宋体" w:eastAsia="宋体" w:hint="default"/>
          <w:sz w:val="24"/>
          <w:szCs w:val="24"/>
        </w:rPr>
      </w:pPr>
      <w:r>
        <w:rPr>
          <w:rFonts w:ascii="宋体" w:hAnsi="宋体" w:cs="宋体" w:eastAsia="宋体" w:hint="default"/>
          <w:b/>
          <w:bCs/>
          <w:sz w:val="24"/>
          <w:szCs w:val="24"/>
        </w:rPr>
        <w:t>四、投资状况</w:t>
      </w:r>
      <w:r>
        <w:rPr>
          <w:rFonts w:ascii="宋体" w:hAnsi="宋体" w:cs="宋体" w:eastAsia="宋体" w:hint="default"/>
          <w:sz w:val="24"/>
          <w:szCs w:val="24"/>
        </w:rPr>
      </w:r>
    </w:p>
    <w:p>
      <w:pPr>
        <w:pStyle w:val="BodyText"/>
        <w:spacing w:line="307" w:lineRule="auto" w:before="23"/>
        <w:ind w:right="2896"/>
        <w:jc w:val="left"/>
        <w:rPr>
          <w:rFonts w:ascii="宋体" w:hAnsi="宋体" w:cs="宋体" w:eastAsia="宋体" w:hint="default"/>
        </w:rPr>
      </w:pPr>
      <w:r>
        <w:rPr>
          <w:rFonts w:ascii="宋体" w:hAnsi="宋体" w:cs="宋体" w:eastAsia="宋体" w:hint="default"/>
          <w:b/>
          <w:bCs/>
        </w:rPr>
        <w:t>（一）总体情况</w:t>
      </w:r>
      <w:r>
        <w:rPr>
          <w:rFonts w:ascii="宋体" w:hAnsi="宋体" w:cs="宋体" w:eastAsia="宋体" w:hint="default"/>
          <w:b/>
          <w:bCs/>
          <w:spacing w:val="-104"/>
        </w:rPr>
        <w:t> </w:t>
      </w:r>
      <w:r>
        <w:rPr/>
        <w:t>报告期公司没有衍生品投资；没有报告期之前募集资金的使用延续到报告期内的。</w:t>
      </w:r>
      <w:r>
        <w:rPr>
          <w:rFonts w:ascii="宋体" w:hAnsi="宋体" w:cs="宋体" w:eastAsia="宋体" w:hint="default"/>
        </w:rPr>
        <w:t> </w:t>
      </w:r>
    </w:p>
    <w:p>
      <w:pPr>
        <w:pStyle w:val="BodyText"/>
        <w:spacing w:line="240" w:lineRule="auto" w:before="19"/>
        <w:ind w:right="1133"/>
        <w:jc w:val="left"/>
        <w:rPr>
          <w:rFonts w:ascii="宋体" w:hAnsi="宋体" w:cs="宋体" w:eastAsia="宋体" w:hint="default"/>
        </w:rPr>
      </w:pPr>
      <w:r>
        <w:rPr/>
        <w:t>√ 适用 </w:t>
      </w:r>
      <w:r>
        <w:rPr>
          <w:rFonts w:ascii="宋体" w:hAnsi="宋体" w:cs="宋体" w:eastAsia="宋体" w:hint="default"/>
        </w:rPr>
      </w:r>
      <w:r>
        <w:rPr>
          <w:spacing w:val="-3"/>
        </w:rPr>
        <w:t>□</w:t>
      </w:r>
      <w:r>
        <w:rPr/>
        <w:t> 不适用</w:t>
      </w:r>
      <w:r>
        <w:rPr>
          <w:rFonts w:ascii="宋体" w:hAnsi="宋体" w:cs="宋体" w:eastAsia="宋体" w:hint="default"/>
        </w:rPr>
        <w:t> </w:t>
      </w:r>
    </w:p>
    <w:p>
      <w:pPr>
        <w:spacing w:line="240" w:lineRule="auto" w:before="12"/>
        <w:rPr>
          <w:rFonts w:ascii="宋体" w:hAnsi="宋体" w:cs="宋体" w:eastAsia="宋体" w:hint="default"/>
          <w:sz w:val="6"/>
          <w:szCs w:val="6"/>
        </w:rPr>
      </w:pPr>
    </w:p>
    <w:tbl>
      <w:tblPr>
        <w:tblW w:w="0" w:type="auto"/>
        <w:jc w:val="left"/>
        <w:tblInd w:w="148" w:type="dxa"/>
        <w:tblLayout w:type="fixed"/>
        <w:tblCellMar>
          <w:top w:w="0" w:type="dxa"/>
          <w:left w:w="0" w:type="dxa"/>
          <w:bottom w:w="0" w:type="dxa"/>
          <w:right w:w="0" w:type="dxa"/>
        </w:tblCellMar>
        <w:tblLook w:val="01E0"/>
      </w:tblPr>
      <w:tblGrid>
        <w:gridCol w:w="2835"/>
        <w:gridCol w:w="3404"/>
        <w:gridCol w:w="3493"/>
      </w:tblGrid>
      <w:tr>
        <w:trPr>
          <w:trHeight w:val="648" w:hRule="exact"/>
        </w:trPr>
        <w:tc>
          <w:tcPr>
            <w:tcW w:w="28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602" w:right="0"/>
              <w:jc w:val="left"/>
              <w:rPr>
                <w:rFonts w:ascii="宋体" w:hAnsi="宋体" w:cs="宋体" w:eastAsia="宋体" w:hint="default"/>
                <w:sz w:val="18"/>
                <w:szCs w:val="18"/>
              </w:rPr>
            </w:pPr>
            <w:r>
              <w:rPr>
                <w:rFonts w:ascii="宋体" w:hAnsi="宋体" w:cs="宋体" w:eastAsia="宋体" w:hint="default"/>
                <w:sz w:val="18"/>
                <w:szCs w:val="18"/>
              </w:rPr>
              <w:t>报告期投资额</w:t>
            </w:r>
            <w:r>
              <w:rPr>
                <w:rFonts w:ascii="宋体" w:hAnsi="宋体" w:cs="宋体" w:eastAsia="宋体" w:hint="default"/>
                <w:sz w:val="18"/>
                <w:szCs w:val="18"/>
              </w:rPr>
              <w:t>(</w:t>
            </w:r>
            <w:r>
              <w:rPr>
                <w:rFonts w:ascii="宋体" w:hAnsi="宋体" w:cs="宋体" w:eastAsia="宋体" w:hint="default"/>
                <w:sz w:val="18"/>
                <w:szCs w:val="18"/>
              </w:rPr>
              <w:t>万元</w:t>
            </w:r>
            <w:r>
              <w:rPr>
                <w:rFonts w:ascii="宋体" w:hAnsi="宋体" w:cs="宋体" w:eastAsia="宋体" w:hint="default"/>
                <w:sz w:val="18"/>
                <w:szCs w:val="18"/>
              </w:rPr>
              <w:t>) </w:t>
            </w:r>
          </w:p>
        </w:tc>
        <w:tc>
          <w:tcPr>
            <w:tcW w:w="34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799" w:right="0"/>
              <w:jc w:val="left"/>
              <w:rPr>
                <w:rFonts w:ascii="宋体" w:hAnsi="宋体" w:cs="宋体" w:eastAsia="宋体" w:hint="default"/>
                <w:sz w:val="18"/>
                <w:szCs w:val="18"/>
              </w:rPr>
            </w:pPr>
            <w:r>
              <w:rPr>
                <w:rFonts w:ascii="宋体" w:hAnsi="宋体" w:cs="宋体" w:eastAsia="宋体" w:hint="default"/>
                <w:sz w:val="18"/>
                <w:szCs w:val="18"/>
              </w:rPr>
              <w:t>上年同期投资额</w:t>
            </w:r>
            <w:r>
              <w:rPr>
                <w:rFonts w:ascii="宋体" w:hAnsi="宋体" w:cs="宋体" w:eastAsia="宋体" w:hint="default"/>
                <w:sz w:val="18"/>
                <w:szCs w:val="18"/>
              </w:rPr>
              <w:t>(</w:t>
            </w:r>
            <w:r>
              <w:rPr>
                <w:rFonts w:ascii="宋体" w:hAnsi="宋体" w:cs="宋体" w:eastAsia="宋体" w:hint="default"/>
                <w:sz w:val="18"/>
                <w:szCs w:val="18"/>
              </w:rPr>
              <w:t>万元</w:t>
            </w:r>
            <w:r>
              <w:rPr>
                <w:rFonts w:ascii="宋体" w:hAnsi="宋体" w:cs="宋体" w:eastAsia="宋体" w:hint="default"/>
                <w:sz w:val="18"/>
                <w:szCs w:val="18"/>
              </w:rPr>
              <w:t>) </w:t>
            </w:r>
          </w:p>
        </w:tc>
        <w:tc>
          <w:tcPr>
            <w:tcW w:w="349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245" w:right="0"/>
              <w:jc w:val="left"/>
              <w:rPr>
                <w:rFonts w:ascii="宋体" w:hAnsi="宋体" w:cs="宋体" w:eastAsia="宋体" w:hint="default"/>
                <w:sz w:val="18"/>
                <w:szCs w:val="18"/>
              </w:rPr>
            </w:pPr>
            <w:r>
              <w:rPr>
                <w:rFonts w:ascii="宋体" w:hAnsi="宋体" w:cs="宋体" w:eastAsia="宋体" w:hint="default"/>
                <w:sz w:val="18"/>
                <w:szCs w:val="18"/>
              </w:rPr>
              <w:t>变动幅度</w:t>
            </w:r>
            <w:r>
              <w:rPr>
                <w:rFonts w:ascii="宋体" w:hAnsi="宋体" w:cs="宋体" w:eastAsia="宋体" w:hint="default"/>
                <w:sz w:val="18"/>
                <w:szCs w:val="18"/>
              </w:rPr>
              <w:t>(%) </w:t>
            </w:r>
          </w:p>
        </w:tc>
      </w:tr>
      <w:tr>
        <w:trPr>
          <w:trHeight w:val="456" w:hRule="exact"/>
        </w:trPr>
        <w:tc>
          <w:tcPr>
            <w:tcW w:w="2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1"/>
              <w:jc w:val="right"/>
              <w:rPr>
                <w:rFonts w:ascii="宋体" w:hAnsi="宋体" w:cs="宋体" w:eastAsia="宋体" w:hint="default"/>
                <w:sz w:val="18"/>
                <w:szCs w:val="18"/>
              </w:rPr>
            </w:pPr>
            <w:r>
              <w:rPr>
                <w:rFonts w:ascii="宋体"/>
                <w:spacing w:val="-1"/>
                <w:sz w:val="18"/>
              </w:rPr>
              <w:t>27.50</w:t>
            </w:r>
            <w:r>
              <w:rPr>
                <w:rFonts w:ascii="宋体"/>
                <w:sz w:val="18"/>
              </w:rPr>
              <w:t> </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8"/>
              <w:jc w:val="right"/>
              <w:rPr>
                <w:rFonts w:ascii="宋体" w:hAnsi="宋体" w:cs="宋体" w:eastAsia="宋体" w:hint="default"/>
                <w:sz w:val="18"/>
                <w:szCs w:val="18"/>
              </w:rPr>
            </w:pPr>
            <w:r>
              <w:rPr>
                <w:rFonts w:ascii="宋体"/>
                <w:spacing w:val="-1"/>
                <w:sz w:val="18"/>
              </w:rPr>
              <w:t>40,840.00</w:t>
            </w:r>
            <w:r>
              <w:rPr>
                <w:rFonts w:ascii="宋体"/>
                <w:sz w:val="18"/>
              </w:rPr>
              <w:t> </w:t>
            </w:r>
          </w:p>
        </w:tc>
        <w:tc>
          <w:tcPr>
            <w:tcW w:w="34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1"/>
              <w:jc w:val="right"/>
              <w:rPr>
                <w:rFonts w:ascii="宋体" w:hAnsi="宋体" w:cs="宋体" w:eastAsia="宋体" w:hint="default"/>
                <w:sz w:val="18"/>
                <w:szCs w:val="18"/>
              </w:rPr>
            </w:pPr>
            <w:r>
              <w:rPr>
                <w:rFonts w:ascii="宋体"/>
                <w:spacing w:val="-1"/>
                <w:sz w:val="18"/>
              </w:rPr>
              <w:t>-99.93</w:t>
            </w:r>
            <w:r>
              <w:rPr>
                <w:rFonts w:ascii="宋体"/>
                <w:sz w:val="18"/>
              </w:rPr>
              <w:t> </w:t>
            </w:r>
          </w:p>
        </w:tc>
      </w:tr>
    </w:tbl>
    <w:p>
      <w:pPr>
        <w:spacing w:line="240" w:lineRule="auto" w:before="6"/>
        <w:rPr>
          <w:rFonts w:ascii="宋体" w:hAnsi="宋体" w:cs="宋体" w:eastAsia="宋体" w:hint="default"/>
          <w:sz w:val="5"/>
          <w:szCs w:val="5"/>
        </w:rPr>
      </w:pPr>
    </w:p>
    <w:p>
      <w:pPr>
        <w:pStyle w:val="BodyText"/>
        <w:spacing w:line="240" w:lineRule="auto" w:before="36"/>
        <w:ind w:right="0"/>
        <w:jc w:val="left"/>
        <w:rPr>
          <w:rFonts w:ascii="宋体" w:hAnsi="宋体" w:cs="宋体" w:eastAsia="宋体" w:hint="default"/>
        </w:rPr>
      </w:pPr>
      <w:r>
        <w:rPr>
          <w:rFonts w:ascii="宋体"/>
          <w:w w:val="100"/>
        </w:rPr>
        <w:t> </w:t>
      </w:r>
    </w:p>
    <w:p>
      <w:pPr>
        <w:spacing w:after="0" w:line="240" w:lineRule="auto"/>
        <w:jc w:val="left"/>
        <w:rPr>
          <w:rFonts w:ascii="宋体" w:hAnsi="宋体" w:cs="宋体" w:eastAsia="宋体" w:hint="default"/>
        </w:rPr>
        <w:sectPr>
          <w:pgSz w:w="11910" w:h="16840"/>
          <w:pgMar w:header="880" w:footer="975" w:top="1100" w:bottom="1160" w:left="980" w:right="0"/>
        </w:sectPr>
      </w:pPr>
    </w:p>
    <w:p>
      <w:pPr>
        <w:spacing w:line="240" w:lineRule="auto" w:before="11"/>
        <w:rPr>
          <w:rFonts w:ascii="宋体" w:hAnsi="宋体" w:cs="宋体" w:eastAsia="宋体" w:hint="default"/>
          <w:sz w:val="20"/>
          <w:szCs w:val="20"/>
        </w:rPr>
      </w:pPr>
    </w:p>
    <w:p>
      <w:pPr>
        <w:pStyle w:val="BodyText"/>
        <w:spacing w:line="240" w:lineRule="auto" w:before="36"/>
        <w:ind w:right="1133"/>
        <w:jc w:val="left"/>
        <w:rPr>
          <w:rFonts w:ascii="宋体" w:hAnsi="宋体" w:cs="宋体" w:eastAsia="宋体" w:hint="default"/>
        </w:rPr>
      </w:pPr>
      <w:r>
        <w:rPr/>
        <w:t>分项情况                                                                   </w:t>
      </w:r>
      <w:r>
        <w:rPr>
          <w:spacing w:val="89"/>
        </w:rPr>
        <w:t> </w:t>
      </w:r>
      <w:r>
        <w:rPr>
          <w:rFonts w:ascii="宋体" w:hAnsi="宋体" w:cs="宋体" w:eastAsia="宋体" w:hint="default"/>
          <w:spacing w:val="89"/>
        </w:rPr>
      </w:r>
      <w:r>
        <w:rPr/>
        <w:t>金额单位：万元</w:t>
      </w:r>
      <w:r>
        <w:rPr>
          <w:rFonts w:ascii="宋体" w:hAnsi="宋体" w:cs="宋体" w:eastAsia="宋体" w:hint="default"/>
        </w:rPr>
        <w:t> </w:t>
      </w:r>
    </w:p>
    <w:p>
      <w:pPr>
        <w:spacing w:line="240" w:lineRule="auto" w:before="10"/>
        <w:rPr>
          <w:rFonts w:ascii="宋体" w:hAnsi="宋体" w:cs="宋体" w:eastAsia="宋体" w:hint="default"/>
          <w:sz w:val="3"/>
          <w:szCs w:val="3"/>
        </w:rPr>
      </w:pPr>
    </w:p>
    <w:tbl>
      <w:tblPr>
        <w:tblW w:w="0" w:type="auto"/>
        <w:jc w:val="left"/>
        <w:tblInd w:w="148" w:type="dxa"/>
        <w:tblLayout w:type="fixed"/>
        <w:tblCellMar>
          <w:top w:w="0" w:type="dxa"/>
          <w:left w:w="0" w:type="dxa"/>
          <w:bottom w:w="0" w:type="dxa"/>
          <w:right w:w="0" w:type="dxa"/>
        </w:tblCellMar>
        <w:tblLook w:val="01E0"/>
      </w:tblPr>
      <w:tblGrid>
        <w:gridCol w:w="708"/>
        <w:gridCol w:w="427"/>
        <w:gridCol w:w="2744"/>
        <w:gridCol w:w="686"/>
        <w:gridCol w:w="727"/>
        <w:gridCol w:w="644"/>
        <w:gridCol w:w="643"/>
        <w:gridCol w:w="636"/>
        <w:gridCol w:w="670"/>
        <w:gridCol w:w="481"/>
        <w:gridCol w:w="1421"/>
      </w:tblGrid>
      <w:tr>
        <w:trPr>
          <w:trHeight w:val="713" w:hRule="exact"/>
        </w:trPr>
        <w:tc>
          <w:tcPr>
            <w:tcW w:w="1136"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382" w:right="113" w:hanging="272"/>
              <w:jc w:val="left"/>
              <w:rPr>
                <w:rFonts w:ascii="宋体" w:hAnsi="宋体" w:cs="宋体" w:eastAsia="宋体" w:hint="default"/>
                <w:sz w:val="18"/>
                <w:szCs w:val="18"/>
              </w:rPr>
            </w:pPr>
            <w:r>
              <w:rPr>
                <w:rFonts w:ascii="宋体" w:hAnsi="宋体" w:cs="宋体" w:eastAsia="宋体" w:hint="default"/>
                <w:sz w:val="18"/>
                <w:szCs w:val="18"/>
              </w:rPr>
              <w:t>被投资公司 名称</w:t>
            </w:r>
            <w:r>
              <w:rPr>
                <w:rFonts w:ascii="宋体" w:hAnsi="宋体" w:cs="宋体" w:eastAsia="宋体" w:hint="default"/>
                <w:sz w:val="18"/>
                <w:szCs w:val="18"/>
              </w:rPr>
              <w:t> </w:t>
            </w:r>
          </w:p>
        </w:tc>
        <w:tc>
          <w:tcPr>
            <w:tcW w:w="27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87" w:right="0"/>
              <w:jc w:val="center"/>
              <w:rPr>
                <w:rFonts w:ascii="宋体" w:hAnsi="宋体" w:cs="宋体" w:eastAsia="宋体" w:hint="default"/>
                <w:sz w:val="18"/>
                <w:szCs w:val="18"/>
              </w:rPr>
            </w:pPr>
            <w:r>
              <w:rPr>
                <w:rFonts w:ascii="宋体" w:hAnsi="宋体" w:cs="宋体" w:eastAsia="宋体" w:hint="default"/>
                <w:sz w:val="18"/>
                <w:szCs w:val="18"/>
              </w:rPr>
              <w:t>主要业务</w:t>
            </w:r>
            <w:r>
              <w:rPr>
                <w:rFonts w:ascii="宋体" w:hAnsi="宋体" w:cs="宋体" w:eastAsia="宋体" w:hint="default"/>
                <w:sz w:val="18"/>
                <w:szCs w:val="18"/>
              </w:rPr>
              <w:t> </w:t>
            </w:r>
          </w:p>
        </w:tc>
        <w:tc>
          <w:tcPr>
            <w:tcW w:w="68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0"/>
              <w:ind w:left="158" w:right="66"/>
              <w:jc w:val="left"/>
              <w:rPr>
                <w:rFonts w:ascii="宋体" w:hAnsi="宋体" w:cs="宋体" w:eastAsia="宋体" w:hint="default"/>
                <w:sz w:val="18"/>
                <w:szCs w:val="18"/>
              </w:rPr>
            </w:pPr>
            <w:r>
              <w:rPr>
                <w:rFonts w:ascii="宋体" w:hAnsi="宋体" w:cs="宋体" w:eastAsia="宋体" w:hint="default"/>
                <w:sz w:val="18"/>
                <w:szCs w:val="18"/>
              </w:rPr>
              <w:t>投资 方式</w:t>
            </w:r>
            <w:r>
              <w:rPr>
                <w:rFonts w:ascii="宋体" w:hAnsi="宋体" w:cs="宋体" w:eastAsia="宋体" w:hint="default"/>
                <w:sz w:val="18"/>
                <w:szCs w:val="18"/>
              </w:rPr>
              <w:t> </w:t>
            </w:r>
          </w:p>
        </w:tc>
        <w:tc>
          <w:tcPr>
            <w:tcW w:w="72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0"/>
              <w:ind w:left="177" w:right="89"/>
              <w:jc w:val="left"/>
              <w:rPr>
                <w:rFonts w:ascii="宋体" w:hAnsi="宋体" w:cs="宋体" w:eastAsia="宋体" w:hint="default"/>
                <w:sz w:val="18"/>
                <w:szCs w:val="18"/>
              </w:rPr>
            </w:pPr>
            <w:r>
              <w:rPr>
                <w:rFonts w:ascii="宋体" w:hAnsi="宋体" w:cs="宋体" w:eastAsia="宋体" w:hint="default"/>
                <w:sz w:val="18"/>
                <w:szCs w:val="18"/>
              </w:rPr>
              <w:t>投资 金额</w:t>
            </w:r>
            <w:r>
              <w:rPr>
                <w:rFonts w:ascii="宋体" w:hAnsi="宋体" w:cs="宋体" w:eastAsia="宋体" w:hint="default"/>
                <w:sz w:val="18"/>
                <w:szCs w:val="18"/>
              </w:rPr>
              <w:t> </w:t>
            </w:r>
          </w:p>
        </w:tc>
        <w:tc>
          <w:tcPr>
            <w:tcW w:w="6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6" w:lineRule="auto" w:before="73"/>
              <w:ind w:left="136" w:right="44"/>
              <w:jc w:val="left"/>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sz w:val="18"/>
                <w:szCs w:val="18"/>
              </w:rPr>
              <w:t> </w:t>
            </w:r>
            <w:r>
              <w:rPr>
                <w:rFonts w:ascii="宋体" w:hAnsi="宋体" w:cs="宋体" w:eastAsia="宋体" w:hint="default"/>
                <w:sz w:val="18"/>
                <w:szCs w:val="18"/>
              </w:rPr>
              <w:t>比例</w:t>
            </w:r>
            <w:r>
              <w:rPr>
                <w:rFonts w:ascii="宋体" w:hAnsi="宋体" w:cs="宋体" w:eastAsia="宋体" w:hint="default"/>
                <w:sz w:val="18"/>
                <w:szCs w:val="18"/>
              </w:rPr>
              <w:t> </w:t>
            </w:r>
          </w:p>
        </w:tc>
        <w:tc>
          <w:tcPr>
            <w:tcW w:w="6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6" w:lineRule="auto" w:before="73"/>
              <w:ind w:left="136" w:right="44"/>
              <w:jc w:val="left"/>
              <w:rPr>
                <w:rFonts w:ascii="宋体" w:hAnsi="宋体" w:cs="宋体" w:eastAsia="宋体" w:hint="default"/>
                <w:sz w:val="18"/>
                <w:szCs w:val="18"/>
              </w:rPr>
            </w:pPr>
            <w:r>
              <w:rPr>
                <w:rFonts w:ascii="宋体" w:hAnsi="宋体" w:cs="宋体" w:eastAsia="宋体" w:hint="default"/>
                <w:sz w:val="18"/>
                <w:szCs w:val="18"/>
              </w:rPr>
              <w:t>资金</w:t>
            </w:r>
            <w:r>
              <w:rPr>
                <w:rFonts w:ascii="宋体" w:hAnsi="宋体" w:cs="宋体" w:eastAsia="宋体" w:hint="default"/>
                <w:sz w:val="18"/>
                <w:szCs w:val="18"/>
              </w:rPr>
              <w:t> </w:t>
            </w:r>
            <w:r>
              <w:rPr>
                <w:rFonts w:ascii="宋体" w:hAnsi="宋体" w:cs="宋体" w:eastAsia="宋体" w:hint="default"/>
                <w:sz w:val="18"/>
                <w:szCs w:val="18"/>
              </w:rPr>
              <w:t>来源</w:t>
            </w:r>
            <w:r>
              <w:rPr>
                <w:rFonts w:ascii="宋体" w:hAnsi="宋体" w:cs="宋体" w:eastAsia="宋体" w:hint="default"/>
                <w:sz w:val="18"/>
                <w:szCs w:val="18"/>
              </w:rPr>
              <w:t> </w:t>
            </w:r>
          </w:p>
        </w:tc>
        <w:tc>
          <w:tcPr>
            <w:tcW w:w="63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6" w:lineRule="auto" w:before="73"/>
              <w:ind w:left="134" w:right="41"/>
              <w:jc w:val="left"/>
              <w:rPr>
                <w:rFonts w:ascii="宋体" w:hAnsi="宋体" w:cs="宋体" w:eastAsia="宋体" w:hint="default"/>
                <w:sz w:val="18"/>
                <w:szCs w:val="18"/>
              </w:rPr>
            </w:pPr>
            <w:r>
              <w:rPr>
                <w:rFonts w:ascii="宋体" w:hAnsi="宋体" w:cs="宋体" w:eastAsia="宋体" w:hint="default"/>
                <w:sz w:val="18"/>
                <w:szCs w:val="18"/>
              </w:rPr>
              <w:t>投资</w:t>
            </w:r>
            <w:r>
              <w:rPr>
                <w:rFonts w:ascii="宋体" w:hAnsi="宋体" w:cs="宋体" w:eastAsia="宋体" w:hint="default"/>
                <w:sz w:val="18"/>
                <w:szCs w:val="18"/>
              </w:rPr>
              <w:t> </w:t>
            </w:r>
            <w:r>
              <w:rPr>
                <w:rFonts w:ascii="宋体" w:hAnsi="宋体" w:cs="宋体" w:eastAsia="宋体" w:hint="default"/>
                <w:sz w:val="18"/>
                <w:szCs w:val="18"/>
              </w:rPr>
              <w:t>期限</w:t>
            </w:r>
            <w:r>
              <w:rPr>
                <w:rFonts w:ascii="宋体" w:hAnsi="宋体" w:cs="宋体" w:eastAsia="宋体" w:hint="default"/>
                <w:sz w:val="18"/>
                <w:szCs w:val="18"/>
              </w:rPr>
              <w:t> </w:t>
            </w:r>
          </w:p>
        </w:tc>
        <w:tc>
          <w:tcPr>
            <w:tcW w:w="6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6" w:lineRule="auto" w:before="73"/>
              <w:ind w:left="151" w:right="56"/>
              <w:jc w:val="left"/>
              <w:rPr>
                <w:rFonts w:ascii="宋体" w:hAnsi="宋体" w:cs="宋体" w:eastAsia="宋体" w:hint="default"/>
                <w:sz w:val="18"/>
                <w:szCs w:val="18"/>
              </w:rPr>
            </w:pPr>
            <w:r>
              <w:rPr>
                <w:rFonts w:ascii="宋体" w:hAnsi="宋体" w:cs="宋体" w:eastAsia="宋体" w:hint="default"/>
                <w:sz w:val="18"/>
                <w:szCs w:val="18"/>
              </w:rPr>
              <w:t>设立</w:t>
            </w:r>
            <w:r>
              <w:rPr>
                <w:rFonts w:ascii="宋体" w:hAnsi="宋体" w:cs="宋体" w:eastAsia="宋体" w:hint="default"/>
                <w:sz w:val="18"/>
                <w:szCs w:val="18"/>
              </w:rPr>
              <w:t> </w:t>
            </w:r>
            <w:r>
              <w:rPr>
                <w:rFonts w:ascii="宋体" w:hAnsi="宋体" w:cs="宋体" w:eastAsia="宋体" w:hint="default"/>
                <w:sz w:val="18"/>
                <w:szCs w:val="18"/>
              </w:rPr>
              <w:t>类型</w:t>
            </w:r>
            <w:r>
              <w:rPr>
                <w:rFonts w:ascii="宋体" w:hAnsi="宋体" w:cs="宋体" w:eastAsia="宋体" w:hint="default"/>
                <w:sz w:val="18"/>
                <w:szCs w:val="18"/>
              </w:rPr>
              <w:t> </w:t>
            </w:r>
          </w:p>
        </w:tc>
        <w:tc>
          <w:tcPr>
            <w:tcW w:w="1901"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0"/>
              <w:ind w:left="586" w:right="135" w:hanging="452"/>
              <w:jc w:val="left"/>
              <w:rPr>
                <w:rFonts w:ascii="宋体" w:hAnsi="宋体" w:cs="宋体" w:eastAsia="宋体" w:hint="default"/>
                <w:sz w:val="18"/>
                <w:szCs w:val="18"/>
              </w:rPr>
            </w:pPr>
            <w:r>
              <w:rPr>
                <w:rFonts w:ascii="宋体" w:hAnsi="宋体" w:cs="宋体" w:eastAsia="宋体" w:hint="default"/>
                <w:sz w:val="18"/>
                <w:szCs w:val="18"/>
              </w:rPr>
              <w:t>截至资产负债表日的 进展情况</w:t>
            </w:r>
            <w:r>
              <w:rPr>
                <w:rFonts w:ascii="宋体" w:hAnsi="宋体" w:cs="宋体" w:eastAsia="宋体" w:hint="default"/>
                <w:sz w:val="18"/>
                <w:szCs w:val="18"/>
              </w:rPr>
              <w:t> </w:t>
            </w:r>
          </w:p>
        </w:tc>
      </w:tr>
      <w:tr>
        <w:trPr>
          <w:trHeight w:val="1025" w:hRule="exact"/>
        </w:trPr>
        <w:tc>
          <w:tcPr>
            <w:tcW w:w="1136" w:type="dxa"/>
            <w:gridSpan w:val="2"/>
            <w:tcBorders>
              <w:top w:val="single" w:sz="4" w:space="0" w:color="000000"/>
              <w:left w:val="single" w:sz="4" w:space="0" w:color="000000"/>
              <w:bottom w:val="single" w:sz="4" w:space="0" w:color="000000"/>
              <w:right w:val="single" w:sz="4" w:space="0" w:color="000000"/>
            </w:tcBorders>
          </w:tcPr>
          <w:p>
            <w:pPr>
              <w:pStyle w:val="TableParagraph"/>
              <w:spacing w:line="237" w:lineRule="auto" w:before="130"/>
              <w:ind w:left="103" w:right="96"/>
              <w:jc w:val="both"/>
              <w:rPr>
                <w:rFonts w:ascii="宋体" w:hAnsi="宋体" w:cs="宋体" w:eastAsia="宋体" w:hint="default"/>
                <w:sz w:val="18"/>
                <w:szCs w:val="18"/>
              </w:rPr>
            </w:pPr>
            <w:r>
              <w:rPr>
                <w:rFonts w:ascii="宋体" w:hAnsi="宋体" w:cs="宋体" w:eastAsia="宋体" w:hint="default"/>
                <w:spacing w:val="4"/>
                <w:sz w:val="18"/>
                <w:szCs w:val="18"/>
              </w:rPr>
              <w:t>南京石鼓文 信息技术有 </w:t>
            </w:r>
            <w:r>
              <w:rPr>
                <w:rFonts w:ascii="宋体" w:hAnsi="宋体" w:cs="宋体" w:eastAsia="宋体" w:hint="default"/>
                <w:sz w:val="18"/>
                <w:szCs w:val="18"/>
              </w:rPr>
              <w:t>限公司</w:t>
            </w:r>
            <w:r>
              <w:rPr>
                <w:rFonts w:ascii="宋体" w:hAnsi="宋体" w:cs="宋体" w:eastAsia="宋体" w:hint="default"/>
                <w:sz w:val="18"/>
                <w:szCs w:val="18"/>
              </w:rPr>
              <w:t> </w:t>
            </w:r>
          </w:p>
        </w:tc>
        <w:tc>
          <w:tcPr>
            <w:tcW w:w="2744" w:type="dxa"/>
            <w:tcBorders>
              <w:top w:val="single" w:sz="4" w:space="0" w:color="000000"/>
              <w:left w:val="single" w:sz="4" w:space="0" w:color="000000"/>
              <w:bottom w:val="single" w:sz="4" w:space="0" w:color="000000"/>
              <w:right w:val="single" w:sz="4" w:space="0" w:color="000000"/>
            </w:tcBorders>
          </w:tcPr>
          <w:p>
            <w:pPr>
              <w:pStyle w:val="TableParagraph"/>
              <w:spacing w:line="237" w:lineRule="auto" w:before="15"/>
              <w:ind w:left="103" w:right="102"/>
              <w:jc w:val="both"/>
              <w:rPr>
                <w:rFonts w:ascii="宋体" w:hAnsi="宋体" w:cs="宋体" w:eastAsia="宋体" w:hint="default"/>
                <w:sz w:val="18"/>
                <w:szCs w:val="18"/>
              </w:rPr>
            </w:pPr>
            <w:r>
              <w:rPr>
                <w:rFonts w:ascii="宋体" w:hAnsi="宋体" w:cs="宋体" w:eastAsia="宋体" w:hint="default"/>
                <w:sz w:val="18"/>
                <w:szCs w:val="18"/>
              </w:rPr>
              <w:t>计算机软硬件技术开发、计算机</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信息系统集成、信息技术服务、</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物联网技术服务、网络信息技术</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服务等</w:t>
            </w:r>
            <w:r>
              <w:rPr>
                <w:rFonts w:ascii="宋体" w:hAnsi="宋体" w:cs="宋体" w:eastAsia="宋体" w:hint="default"/>
                <w:sz w:val="18"/>
                <w:szCs w:val="18"/>
              </w:rPr>
              <w:t> </w:t>
            </w:r>
          </w:p>
        </w:tc>
        <w:tc>
          <w:tcPr>
            <w:tcW w:w="6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现金</w:t>
            </w:r>
            <w:r>
              <w:rPr>
                <w:rFonts w:ascii="宋体" w:hAnsi="宋体" w:cs="宋体" w:eastAsia="宋体" w:hint="default"/>
                <w:sz w:val="18"/>
                <w:szCs w:val="18"/>
              </w:rPr>
              <w:t> </w:t>
            </w:r>
          </w:p>
        </w:tc>
        <w:tc>
          <w:tcPr>
            <w:tcW w:w="7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3" w:right="0"/>
              <w:jc w:val="left"/>
              <w:rPr>
                <w:rFonts w:ascii="宋体" w:hAnsi="宋体" w:cs="宋体" w:eastAsia="宋体" w:hint="default"/>
                <w:sz w:val="18"/>
                <w:szCs w:val="18"/>
              </w:rPr>
            </w:pPr>
            <w:r>
              <w:rPr>
                <w:rFonts w:ascii="宋体"/>
                <w:sz w:val="18"/>
              </w:rPr>
              <w:t>27.50 </w:t>
            </w:r>
          </w:p>
        </w:tc>
        <w:tc>
          <w:tcPr>
            <w:tcW w:w="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70" w:right="0"/>
              <w:jc w:val="left"/>
              <w:rPr>
                <w:rFonts w:ascii="宋体" w:hAnsi="宋体" w:cs="宋体" w:eastAsia="宋体" w:hint="default"/>
                <w:sz w:val="18"/>
                <w:szCs w:val="18"/>
              </w:rPr>
            </w:pPr>
            <w:r>
              <w:rPr>
                <w:rFonts w:ascii="宋体"/>
                <w:sz w:val="18"/>
              </w:rPr>
              <w:t>100% </w:t>
            </w:r>
          </w:p>
        </w:tc>
        <w:tc>
          <w:tcPr>
            <w:tcW w:w="6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自有</w:t>
            </w:r>
            <w:r>
              <w:rPr>
                <w:rFonts w:ascii="宋体" w:hAnsi="宋体" w:cs="宋体" w:eastAsia="宋体" w:hint="default"/>
                <w:sz w:val="18"/>
                <w:szCs w:val="18"/>
              </w:rPr>
              <w:t> </w:t>
            </w:r>
          </w:p>
        </w:tc>
        <w:tc>
          <w:tcPr>
            <w:tcW w:w="6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34" w:right="0"/>
              <w:jc w:val="left"/>
              <w:rPr>
                <w:rFonts w:ascii="宋体" w:hAnsi="宋体" w:cs="宋体" w:eastAsia="宋体" w:hint="default"/>
                <w:sz w:val="18"/>
                <w:szCs w:val="18"/>
              </w:rPr>
            </w:pPr>
            <w:r>
              <w:rPr>
                <w:rFonts w:ascii="宋体" w:hAnsi="宋体" w:cs="宋体" w:eastAsia="宋体" w:hint="default"/>
                <w:sz w:val="18"/>
                <w:szCs w:val="18"/>
              </w:rPr>
              <w:t>长期</w:t>
            </w:r>
            <w:r>
              <w:rPr>
                <w:rFonts w:ascii="宋体" w:hAnsi="宋体" w:cs="宋体" w:eastAsia="宋体" w:hint="default"/>
                <w:sz w:val="18"/>
                <w:szCs w:val="18"/>
              </w:rPr>
              <w:t> </w:t>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5" w:right="0"/>
              <w:jc w:val="left"/>
              <w:rPr>
                <w:rFonts w:ascii="宋体" w:hAnsi="宋体" w:cs="宋体" w:eastAsia="宋体" w:hint="default"/>
                <w:sz w:val="18"/>
                <w:szCs w:val="18"/>
              </w:rPr>
            </w:pPr>
            <w:r>
              <w:rPr>
                <w:rFonts w:ascii="宋体" w:hAnsi="宋体" w:cs="宋体" w:eastAsia="宋体" w:hint="default"/>
                <w:sz w:val="18"/>
                <w:szCs w:val="18"/>
              </w:rPr>
              <w:t>购买</w:t>
            </w:r>
            <w:r>
              <w:rPr>
                <w:rFonts w:ascii="宋体" w:hAnsi="宋体" w:cs="宋体" w:eastAsia="宋体" w:hint="default"/>
                <w:sz w:val="18"/>
                <w:szCs w:val="18"/>
              </w:rPr>
              <w:t> </w:t>
            </w:r>
          </w:p>
        </w:tc>
        <w:tc>
          <w:tcPr>
            <w:tcW w:w="19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34" w:right="0"/>
              <w:jc w:val="left"/>
              <w:rPr>
                <w:rFonts w:ascii="宋体" w:hAnsi="宋体" w:cs="宋体" w:eastAsia="宋体" w:hint="default"/>
                <w:sz w:val="18"/>
                <w:szCs w:val="18"/>
              </w:rPr>
            </w:pPr>
            <w:r>
              <w:rPr>
                <w:rFonts w:ascii="宋体" w:hAnsi="宋体" w:cs="宋体" w:eastAsia="宋体" w:hint="default"/>
                <w:sz w:val="18"/>
                <w:szCs w:val="18"/>
              </w:rPr>
              <w:t>已完成工商注册登记</w:t>
            </w:r>
            <w:r>
              <w:rPr>
                <w:rFonts w:ascii="宋体" w:hAnsi="宋体" w:cs="宋体" w:eastAsia="宋体" w:hint="default"/>
                <w:sz w:val="18"/>
                <w:szCs w:val="18"/>
              </w:rPr>
              <w:t> </w:t>
            </w:r>
          </w:p>
        </w:tc>
      </w:tr>
      <w:tr>
        <w:trPr>
          <w:trHeight w:val="403" w:hRule="exact"/>
        </w:trPr>
        <w:tc>
          <w:tcPr>
            <w:tcW w:w="708"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7"/>
                <w:szCs w:val="17"/>
              </w:rPr>
            </w:pPr>
          </w:p>
          <w:p>
            <w:pPr>
              <w:pStyle w:val="TableParagraph"/>
              <w:spacing w:line="316" w:lineRule="auto"/>
              <w:ind w:left="103" w:right="143"/>
              <w:jc w:val="left"/>
              <w:rPr>
                <w:rFonts w:ascii="宋体" w:hAnsi="宋体" w:cs="宋体" w:eastAsia="宋体" w:hint="default"/>
                <w:sz w:val="18"/>
                <w:szCs w:val="18"/>
              </w:rPr>
            </w:pPr>
            <w:r>
              <w:rPr>
                <w:rFonts w:ascii="宋体" w:hAnsi="宋体" w:cs="宋体" w:eastAsia="宋体" w:hint="default"/>
                <w:sz w:val="18"/>
                <w:szCs w:val="18"/>
              </w:rPr>
              <w:t>披露 索引</w:t>
            </w:r>
            <w:r>
              <w:rPr>
                <w:rFonts w:ascii="宋体" w:hAnsi="宋体" w:cs="宋体" w:eastAsia="宋体" w:hint="default"/>
                <w:sz w:val="18"/>
                <w:szCs w:val="18"/>
              </w:rPr>
              <w:t> </w:t>
            </w:r>
          </w:p>
        </w:tc>
        <w:tc>
          <w:tcPr>
            <w:tcW w:w="3171"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91" w:right="0"/>
              <w:jc w:val="center"/>
              <w:rPr>
                <w:rFonts w:ascii="宋体" w:hAnsi="宋体" w:cs="宋体" w:eastAsia="宋体" w:hint="default"/>
                <w:sz w:val="18"/>
                <w:szCs w:val="18"/>
              </w:rPr>
            </w:pPr>
            <w:r>
              <w:rPr>
                <w:rFonts w:ascii="宋体" w:hAnsi="宋体" w:cs="宋体" w:eastAsia="宋体" w:hint="default"/>
                <w:sz w:val="18"/>
                <w:szCs w:val="18"/>
              </w:rPr>
              <w:t>披露网站</w:t>
            </w:r>
            <w:r>
              <w:rPr>
                <w:rFonts w:ascii="宋体" w:hAnsi="宋体" w:cs="宋体" w:eastAsia="宋体" w:hint="default"/>
                <w:sz w:val="18"/>
                <w:szCs w:val="18"/>
              </w:rPr>
              <w:t> </w:t>
            </w:r>
          </w:p>
        </w:tc>
        <w:tc>
          <w:tcPr>
            <w:tcW w:w="5907" w:type="dxa"/>
            <w:gridSpan w:val="8"/>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巨潮资讯网</w:t>
            </w:r>
            <w:r>
              <w:rPr>
                <w:rFonts w:ascii="宋体" w:hAnsi="宋体" w:cs="宋体" w:eastAsia="宋体" w:hint="default"/>
                <w:sz w:val="18"/>
                <w:szCs w:val="18"/>
              </w:rPr>
              <w:t> </w:t>
            </w:r>
          </w:p>
        </w:tc>
      </w:tr>
      <w:tr>
        <w:trPr>
          <w:trHeight w:val="401" w:hRule="exact"/>
        </w:trPr>
        <w:tc>
          <w:tcPr>
            <w:tcW w:w="708" w:type="dxa"/>
            <w:vMerge/>
            <w:tcBorders>
              <w:left w:val="single" w:sz="4" w:space="0" w:color="000000"/>
              <w:right w:val="single" w:sz="4" w:space="0" w:color="000000"/>
            </w:tcBorders>
            <w:shd w:val="clear" w:color="auto" w:fill="D9D9D9"/>
          </w:tcPr>
          <w:p>
            <w:pPr/>
          </w:p>
        </w:tc>
        <w:tc>
          <w:tcPr>
            <w:tcW w:w="7658" w:type="dxa"/>
            <w:gridSpan w:val="9"/>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91" w:right="0"/>
              <w:jc w:val="center"/>
              <w:rPr>
                <w:rFonts w:ascii="宋体" w:hAnsi="宋体" w:cs="宋体" w:eastAsia="宋体" w:hint="default"/>
                <w:sz w:val="18"/>
                <w:szCs w:val="18"/>
              </w:rPr>
            </w:pPr>
            <w:r>
              <w:rPr>
                <w:rFonts w:ascii="宋体" w:hAnsi="宋体" w:cs="宋体" w:eastAsia="宋体" w:hint="default"/>
                <w:sz w:val="18"/>
                <w:szCs w:val="18"/>
              </w:rPr>
              <w:t>公告名称</w:t>
            </w:r>
            <w:r>
              <w:rPr>
                <w:rFonts w:ascii="宋体" w:hAnsi="宋体" w:cs="宋体" w:eastAsia="宋体" w:hint="default"/>
                <w:sz w:val="18"/>
                <w:szCs w:val="18"/>
              </w:rPr>
              <w:t>(</w:t>
            </w:r>
            <w:r>
              <w:rPr>
                <w:rFonts w:ascii="宋体" w:hAnsi="宋体" w:cs="宋体" w:eastAsia="宋体" w:hint="default"/>
                <w:sz w:val="18"/>
                <w:szCs w:val="18"/>
              </w:rPr>
              <w:t>编号</w:t>
            </w:r>
            <w:r>
              <w:rPr>
                <w:rFonts w:ascii="宋体" w:hAnsi="宋体" w:cs="宋体" w:eastAsia="宋体" w:hint="default"/>
                <w:sz w:val="18"/>
                <w:szCs w:val="18"/>
              </w:rPr>
              <w:t>) </w:t>
            </w:r>
          </w:p>
        </w:tc>
        <w:tc>
          <w:tcPr>
            <w:tcW w:w="142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90" w:right="0"/>
              <w:jc w:val="center"/>
              <w:rPr>
                <w:rFonts w:ascii="宋体" w:hAnsi="宋体" w:cs="宋体" w:eastAsia="宋体" w:hint="default"/>
                <w:sz w:val="18"/>
                <w:szCs w:val="18"/>
              </w:rPr>
            </w:pPr>
            <w:r>
              <w:rPr>
                <w:rFonts w:ascii="宋体" w:hAnsi="宋体" w:cs="宋体" w:eastAsia="宋体" w:hint="default"/>
                <w:sz w:val="18"/>
                <w:szCs w:val="18"/>
              </w:rPr>
              <w:t>披露日期</w:t>
            </w:r>
            <w:r>
              <w:rPr>
                <w:rFonts w:ascii="宋体" w:hAnsi="宋体" w:cs="宋体" w:eastAsia="宋体" w:hint="default"/>
                <w:sz w:val="18"/>
                <w:szCs w:val="18"/>
              </w:rPr>
              <w:t> </w:t>
            </w:r>
          </w:p>
        </w:tc>
      </w:tr>
      <w:tr>
        <w:trPr>
          <w:trHeight w:val="403" w:hRule="exact"/>
        </w:trPr>
        <w:tc>
          <w:tcPr>
            <w:tcW w:w="708" w:type="dxa"/>
            <w:vMerge/>
            <w:tcBorders>
              <w:left w:val="single" w:sz="4" w:space="0" w:color="000000"/>
              <w:right w:val="single" w:sz="4" w:space="0" w:color="000000"/>
            </w:tcBorders>
            <w:shd w:val="clear" w:color="auto" w:fill="D9D9D9"/>
          </w:tcPr>
          <w:p>
            <w:pPr/>
          </w:p>
        </w:tc>
        <w:tc>
          <w:tcPr>
            <w:tcW w:w="7658" w:type="dxa"/>
            <w:gridSpan w:val="9"/>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公司关于重组一期现金对价支付完毕的公告</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61) </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7" w:right="0"/>
              <w:jc w:val="center"/>
              <w:rPr>
                <w:rFonts w:ascii="宋体" w:hAnsi="宋体" w:cs="宋体" w:eastAsia="宋体" w:hint="default"/>
                <w:sz w:val="18"/>
                <w:szCs w:val="18"/>
              </w:rPr>
            </w:pPr>
            <w:r>
              <w:rPr>
                <w:rFonts w:ascii="宋体"/>
                <w:sz w:val="18"/>
              </w:rPr>
              <w:t>2018-06-13 </w:t>
            </w:r>
          </w:p>
        </w:tc>
      </w:tr>
      <w:tr>
        <w:trPr>
          <w:trHeight w:val="401" w:hRule="exact"/>
        </w:trPr>
        <w:tc>
          <w:tcPr>
            <w:tcW w:w="708" w:type="dxa"/>
            <w:vMerge/>
            <w:tcBorders>
              <w:left w:val="single" w:sz="4" w:space="0" w:color="000000"/>
              <w:right w:val="single" w:sz="4" w:space="0" w:color="000000"/>
            </w:tcBorders>
            <w:shd w:val="clear" w:color="auto" w:fill="D9D9D9"/>
          </w:tcPr>
          <w:p>
            <w:pPr/>
          </w:p>
        </w:tc>
        <w:tc>
          <w:tcPr>
            <w:tcW w:w="7658" w:type="dxa"/>
            <w:gridSpan w:val="9"/>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公司关于重大资产重组完成资产过户的公告</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89) </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7" w:right="0"/>
              <w:jc w:val="center"/>
              <w:rPr>
                <w:rFonts w:ascii="宋体" w:hAnsi="宋体" w:cs="宋体" w:eastAsia="宋体" w:hint="default"/>
                <w:sz w:val="18"/>
                <w:szCs w:val="18"/>
              </w:rPr>
            </w:pPr>
            <w:r>
              <w:rPr>
                <w:rFonts w:ascii="宋体"/>
                <w:sz w:val="18"/>
              </w:rPr>
              <w:t>2018-09-13 </w:t>
            </w:r>
          </w:p>
        </w:tc>
      </w:tr>
      <w:tr>
        <w:trPr>
          <w:trHeight w:val="403" w:hRule="exact"/>
        </w:trPr>
        <w:tc>
          <w:tcPr>
            <w:tcW w:w="708" w:type="dxa"/>
            <w:vMerge/>
            <w:tcBorders>
              <w:left w:val="single" w:sz="4" w:space="0" w:color="000000"/>
              <w:bottom w:val="single" w:sz="4" w:space="0" w:color="000000"/>
              <w:right w:val="single" w:sz="4" w:space="0" w:color="000000"/>
            </w:tcBorders>
            <w:shd w:val="clear" w:color="auto" w:fill="D9D9D9"/>
          </w:tcPr>
          <w:p>
            <w:pPr/>
          </w:p>
        </w:tc>
        <w:tc>
          <w:tcPr>
            <w:tcW w:w="7658" w:type="dxa"/>
            <w:gridSpan w:val="9"/>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公司关于重组二期现金对价支付完毕的公告</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2018</w:t>
            </w:r>
            <w:r>
              <w:rPr>
                <w:rFonts w:ascii="宋体" w:hAnsi="宋体" w:cs="宋体" w:eastAsia="宋体" w:hint="default"/>
                <w:sz w:val="18"/>
                <w:szCs w:val="18"/>
              </w:rPr>
              <w:t>—</w:t>
            </w:r>
            <w:r>
              <w:rPr>
                <w:rFonts w:ascii="宋体" w:hAnsi="宋体" w:cs="宋体" w:eastAsia="宋体" w:hint="default"/>
                <w:sz w:val="18"/>
                <w:szCs w:val="18"/>
              </w:rPr>
              <w:t>125) </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7" w:right="0"/>
              <w:jc w:val="center"/>
              <w:rPr>
                <w:rFonts w:ascii="宋体" w:hAnsi="宋体" w:cs="宋体" w:eastAsia="宋体" w:hint="default"/>
                <w:sz w:val="18"/>
                <w:szCs w:val="18"/>
              </w:rPr>
            </w:pPr>
            <w:r>
              <w:rPr>
                <w:rFonts w:ascii="宋体"/>
                <w:sz w:val="18"/>
              </w:rPr>
              <w:t>2018-12-14 </w:t>
            </w:r>
          </w:p>
        </w:tc>
      </w:tr>
    </w:tbl>
    <w:p>
      <w:pPr>
        <w:spacing w:line="240" w:lineRule="auto" w:before="3"/>
        <w:rPr>
          <w:rFonts w:ascii="宋体" w:hAnsi="宋体" w:cs="宋体" w:eastAsia="宋体" w:hint="default"/>
          <w:sz w:val="19"/>
          <w:szCs w:val="19"/>
        </w:rPr>
      </w:pPr>
    </w:p>
    <w:p>
      <w:pPr>
        <w:pStyle w:val="Heading3"/>
        <w:spacing w:line="240" w:lineRule="auto"/>
        <w:ind w:right="1133"/>
        <w:jc w:val="left"/>
        <w:rPr>
          <w:b w:val="0"/>
          <w:bCs w:val="0"/>
        </w:rPr>
      </w:pPr>
      <w:r>
        <w:rPr/>
        <w:t>（二）报告期内获取的重大的股权投资情况</w:t>
      </w:r>
      <w:r>
        <w:rPr>
          <w:b w:val="0"/>
          <w:bCs w:val="0"/>
        </w:rPr>
      </w:r>
    </w:p>
    <w:p>
      <w:pPr>
        <w:pStyle w:val="BodyText"/>
        <w:spacing w:line="240" w:lineRule="auto" w:before="157"/>
        <w:ind w:right="1133"/>
        <w:jc w:val="left"/>
        <w:rPr>
          <w:rFonts w:ascii="宋体" w:hAnsi="宋体" w:cs="宋体" w:eastAsia="宋体" w:hint="default"/>
        </w:rPr>
      </w:pPr>
      <w:r>
        <w:rPr/>
        <w:t>□适用</w:t>
      </w:r>
      <w:r>
        <w:rPr>
          <w:spacing w:val="9"/>
        </w:rPr>
        <w:t> </w:t>
      </w:r>
      <w:r>
        <w:rPr>
          <w:rFonts w:ascii="宋体" w:hAnsi="宋体" w:cs="宋体" w:eastAsia="宋体" w:hint="default"/>
          <w:spacing w:val="9"/>
        </w:rPr>
      </w:r>
      <w:r>
        <w:rPr>
          <w:spacing w:val="-3"/>
        </w:rPr>
        <w:t>√不适用</w:t>
      </w:r>
      <w:r>
        <w:rPr>
          <w:rFonts w:ascii="宋体" w:hAnsi="宋体" w:cs="宋体" w:eastAsia="宋体" w:hint="default"/>
        </w:rPr>
        <w:t> </w:t>
      </w:r>
    </w:p>
    <w:p>
      <w:pPr>
        <w:spacing w:line="240" w:lineRule="auto" w:before="8"/>
        <w:rPr>
          <w:rFonts w:ascii="宋体" w:hAnsi="宋体" w:cs="宋体" w:eastAsia="宋体" w:hint="default"/>
          <w:sz w:val="25"/>
          <w:szCs w:val="25"/>
        </w:rPr>
      </w:pPr>
    </w:p>
    <w:p>
      <w:pPr>
        <w:pStyle w:val="Heading3"/>
        <w:spacing w:line="240" w:lineRule="auto" w:before="0"/>
        <w:ind w:right="1133"/>
        <w:jc w:val="left"/>
        <w:rPr>
          <w:b w:val="0"/>
          <w:bCs w:val="0"/>
        </w:rPr>
      </w:pPr>
      <w:r>
        <w:rPr/>
        <w:t>（三）报告期内正在进行的重大的非股权投资情况</w:t>
      </w:r>
      <w:r>
        <w:rPr>
          <w:b w:val="0"/>
          <w:bCs w:val="0"/>
        </w:rPr>
      </w:r>
    </w:p>
    <w:p>
      <w:pPr>
        <w:pStyle w:val="BodyText"/>
        <w:spacing w:line="240" w:lineRule="auto" w:before="159"/>
        <w:ind w:right="1133"/>
        <w:jc w:val="left"/>
      </w:pPr>
      <w:r>
        <w:rPr/>
        <w:t>□ 适用 </w:t>
      </w:r>
      <w:r>
        <w:rPr>
          <w:rFonts w:ascii="宋体" w:hAnsi="宋体" w:cs="宋体" w:eastAsia="宋体" w:hint="default"/>
        </w:rPr>
      </w:r>
      <w:r>
        <w:rPr>
          <w:spacing w:val="-3"/>
        </w:rPr>
        <w:t>√</w:t>
      </w:r>
      <w:r>
        <w:rPr>
          <w:spacing w:val="3"/>
        </w:rPr>
        <w:t> </w:t>
      </w:r>
      <w:r>
        <w:rPr/>
        <w:t>不适用</w:t>
      </w:r>
    </w:p>
    <w:p>
      <w:pPr>
        <w:spacing w:line="240" w:lineRule="auto" w:before="13"/>
        <w:rPr>
          <w:rFonts w:ascii="宋体" w:hAnsi="宋体" w:cs="宋体" w:eastAsia="宋体" w:hint="default"/>
          <w:sz w:val="20"/>
          <w:szCs w:val="20"/>
        </w:rPr>
      </w:pPr>
    </w:p>
    <w:p>
      <w:pPr>
        <w:pStyle w:val="Heading3"/>
        <w:spacing w:line="240" w:lineRule="auto" w:before="0"/>
        <w:ind w:right="1133"/>
        <w:jc w:val="left"/>
        <w:rPr>
          <w:b w:val="0"/>
          <w:bCs w:val="0"/>
        </w:rPr>
      </w:pPr>
      <w:r>
        <w:rPr/>
        <w:t>（四）金融资产投资</w:t>
      </w:r>
      <w:r>
        <w:rPr>
          <w:b w:val="0"/>
          <w:bCs w:val="0"/>
        </w:rPr>
      </w:r>
    </w:p>
    <w:p>
      <w:pPr>
        <w:spacing w:line="240" w:lineRule="auto" w:before="5"/>
        <w:rPr>
          <w:rFonts w:ascii="宋体" w:hAnsi="宋体" w:cs="宋体" w:eastAsia="宋体" w:hint="default"/>
          <w:b/>
          <w:bCs/>
          <w:sz w:val="21"/>
          <w:szCs w:val="21"/>
        </w:rPr>
      </w:pPr>
    </w:p>
    <w:p>
      <w:pPr>
        <w:spacing w:before="0"/>
        <w:ind w:left="152" w:right="113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、证券投资情况</w:t>
      </w:r>
      <w:r>
        <w:rPr>
          <w:rFonts w:ascii="宋体" w:hAnsi="宋体" w:cs="宋体" w:eastAsia="宋体" w:hint="default"/>
          <w:sz w:val="21"/>
          <w:szCs w:val="21"/>
        </w:rPr>
      </w:r>
    </w:p>
    <w:p>
      <w:pPr>
        <w:pStyle w:val="BodyText"/>
        <w:spacing w:line="307" w:lineRule="auto" w:before="59"/>
        <w:ind w:right="7341" w:firstLine="91"/>
        <w:jc w:val="left"/>
      </w:pPr>
      <w:r>
        <w:rPr/>
        <w:t>□ 适用 </w:t>
      </w:r>
      <w:r>
        <w:rPr>
          <w:rFonts w:ascii="宋体" w:hAnsi="宋体" w:cs="宋体" w:eastAsia="宋体" w:hint="default"/>
        </w:rPr>
      </w:r>
      <w:r>
        <w:rPr/>
        <w:t>√</w:t>
      </w:r>
      <w:r>
        <w:rPr>
          <w:spacing w:val="-5"/>
        </w:rPr>
        <w:t> </w:t>
      </w:r>
      <w:r>
        <w:rPr/>
        <w:t>不适用</w:t>
      </w:r>
      <w:r>
        <w:rPr>
          <w:w w:val="100"/>
        </w:rPr>
        <w:t> </w:t>
      </w:r>
      <w:r>
        <w:rPr>
          <w:spacing w:val="-2"/>
        </w:rPr>
        <w:t>公司报告期不存在证券投资。</w:t>
      </w:r>
    </w:p>
    <w:p>
      <w:pPr>
        <w:spacing w:line="240" w:lineRule="auto" w:before="9"/>
        <w:rPr>
          <w:rFonts w:ascii="宋体" w:hAnsi="宋体" w:cs="宋体" w:eastAsia="宋体" w:hint="default"/>
          <w:sz w:val="16"/>
          <w:szCs w:val="16"/>
        </w:rPr>
      </w:pPr>
    </w:p>
    <w:p>
      <w:pPr>
        <w:pStyle w:val="Heading3"/>
        <w:spacing w:line="240" w:lineRule="auto" w:before="0"/>
        <w:ind w:right="1133"/>
        <w:jc w:val="left"/>
        <w:rPr>
          <w:b w:val="0"/>
          <w:bCs w:val="0"/>
        </w:rPr>
      </w:pPr>
      <w:r>
        <w:rPr>
          <w:rFonts w:ascii="Times New Roman" w:hAnsi="Times New Roman" w:cs="Times New Roman" w:eastAsia="Times New Roman" w:hint="default"/>
        </w:rPr>
        <w:t>2</w:t>
      </w:r>
      <w:r>
        <w:rPr/>
        <w:t>、衍生品投资情况</w:t>
      </w:r>
      <w:r>
        <w:rPr>
          <w:b w:val="0"/>
          <w:bCs w:val="0"/>
        </w:rPr>
      </w:r>
    </w:p>
    <w:p>
      <w:pPr>
        <w:pStyle w:val="BodyText"/>
        <w:spacing w:line="240" w:lineRule="auto" w:before="141"/>
        <w:ind w:right="1133"/>
        <w:jc w:val="left"/>
        <w:rPr>
          <w:rFonts w:ascii="宋体" w:hAnsi="宋体" w:cs="宋体" w:eastAsia="宋体" w:hint="default"/>
        </w:rPr>
      </w:pPr>
      <w:r>
        <w:rPr>
          <w:rFonts w:ascii="宋体" w:hAnsi="宋体" w:cs="宋体" w:eastAsia="宋体" w:hint="default"/>
          <w:w w:val="100"/>
        </w:rPr>
        <w:t> </w:t>
      </w:r>
      <w:r>
        <w:rPr/>
        <w:t>□ 适用 </w:t>
      </w:r>
      <w:r>
        <w:rPr>
          <w:rFonts w:ascii="宋体" w:hAnsi="宋体" w:cs="宋体" w:eastAsia="宋体" w:hint="default"/>
        </w:rPr>
      </w:r>
      <w:r>
        <w:rPr/>
        <w:t>√</w:t>
      </w:r>
      <w:r>
        <w:rPr>
          <w:spacing w:val="-2"/>
        </w:rPr>
        <w:t> </w:t>
      </w:r>
      <w:r>
        <w:rPr/>
        <w:t>不适用</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78"/>
        <w:ind w:right="1133"/>
        <w:jc w:val="left"/>
        <w:rPr>
          <w:rFonts w:ascii="宋体" w:hAnsi="宋体" w:cs="宋体" w:eastAsia="宋体" w:hint="default"/>
        </w:rPr>
      </w:pPr>
      <w:r>
        <w:rPr/>
        <w:t>公司报告期不存在衍生品投资。</w:t>
      </w:r>
      <w:r>
        <w:rPr>
          <w:rFonts w:ascii="宋体" w:hAnsi="宋体" w:cs="宋体" w:eastAsia="宋体" w:hint="default"/>
        </w:rPr>
        <w:t> </w:t>
      </w:r>
    </w:p>
    <w:p>
      <w:pPr>
        <w:spacing w:line="240" w:lineRule="auto" w:before="13"/>
        <w:rPr>
          <w:rFonts w:ascii="宋体" w:hAnsi="宋体" w:cs="宋体" w:eastAsia="宋体" w:hint="default"/>
          <w:sz w:val="20"/>
          <w:szCs w:val="20"/>
        </w:rPr>
      </w:pPr>
    </w:p>
    <w:p>
      <w:pPr>
        <w:pStyle w:val="Heading3"/>
        <w:spacing w:line="240" w:lineRule="auto" w:before="0"/>
        <w:ind w:right="1133"/>
        <w:jc w:val="left"/>
        <w:rPr>
          <w:b w:val="0"/>
          <w:bCs w:val="0"/>
        </w:rPr>
      </w:pPr>
      <w:r>
        <w:rPr/>
        <w:t>（五）募集资金使用情况</w:t>
      </w:r>
      <w:r>
        <w:rPr>
          <w:b w:val="0"/>
          <w:bCs w:val="0"/>
        </w:rPr>
      </w:r>
    </w:p>
    <w:p>
      <w:pPr>
        <w:pStyle w:val="BodyText"/>
        <w:spacing w:line="240" w:lineRule="auto" w:before="159"/>
        <w:ind w:right="1133"/>
        <w:jc w:val="left"/>
        <w:rPr>
          <w:rFonts w:ascii="宋体" w:hAnsi="宋体" w:cs="宋体" w:eastAsia="宋体" w:hint="default"/>
        </w:rPr>
      </w:pPr>
      <w:r>
        <w:rPr>
          <w:rFonts w:ascii="宋体" w:hAnsi="宋体" w:cs="宋体" w:eastAsia="宋体" w:hint="default"/>
          <w:w w:val="100"/>
        </w:rPr>
        <w:t> </w:t>
      </w:r>
      <w:r>
        <w:rPr/>
        <w:t>□ 适用 </w:t>
      </w:r>
      <w:r>
        <w:rPr>
          <w:rFonts w:ascii="宋体" w:hAnsi="宋体" w:cs="宋体" w:eastAsia="宋体" w:hint="default"/>
        </w:rPr>
      </w:r>
      <w:r>
        <w:rPr/>
        <w:t>√</w:t>
      </w:r>
      <w:r>
        <w:rPr>
          <w:spacing w:val="-2"/>
        </w:rPr>
        <w:t> </w:t>
      </w:r>
      <w:r>
        <w:rPr/>
        <w:t>不适用</w:t>
      </w:r>
      <w:r>
        <w:rPr>
          <w:rFonts w:ascii="宋体" w:hAnsi="宋体" w:cs="宋体" w:eastAsia="宋体" w:hint="default"/>
        </w:rPr>
        <w:t> </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75"/>
        <w:ind w:right="1133"/>
        <w:jc w:val="left"/>
        <w:rPr>
          <w:rFonts w:ascii="宋体" w:hAnsi="宋体" w:cs="宋体" w:eastAsia="宋体" w:hint="default"/>
        </w:rPr>
      </w:pPr>
      <w:r>
        <w:rPr/>
        <w:t>公司报告期无募集资金使用情况。</w:t>
      </w:r>
      <w:r>
        <w:rPr>
          <w:rFonts w:ascii="宋体" w:hAnsi="宋体" w:cs="宋体" w:eastAsia="宋体" w:hint="default"/>
        </w:rPr>
        <w:t> </w:t>
      </w:r>
    </w:p>
    <w:p>
      <w:pPr>
        <w:spacing w:line="240" w:lineRule="auto" w:before="3"/>
        <w:rPr>
          <w:rFonts w:ascii="宋体" w:hAnsi="宋体" w:cs="宋体" w:eastAsia="宋体" w:hint="default"/>
          <w:sz w:val="19"/>
          <w:szCs w:val="19"/>
        </w:rPr>
      </w:pPr>
    </w:p>
    <w:p>
      <w:pPr>
        <w:pStyle w:val="Heading2"/>
        <w:spacing w:line="240" w:lineRule="auto" w:before="0"/>
        <w:ind w:right="1133"/>
        <w:jc w:val="left"/>
        <w:rPr>
          <w:b w:val="0"/>
          <w:bCs w:val="0"/>
        </w:rPr>
      </w:pPr>
      <w:r>
        <w:rPr/>
        <w:t>五、重大资产和股权出售</w:t>
      </w:r>
      <w:r>
        <w:rPr>
          <w:b w:val="0"/>
          <w:bCs w:val="0"/>
        </w:rPr>
      </w:r>
    </w:p>
    <w:p>
      <w:pPr>
        <w:spacing w:line="240" w:lineRule="auto" w:before="2"/>
        <w:rPr>
          <w:rFonts w:ascii="宋体" w:hAnsi="宋体" w:cs="宋体" w:eastAsia="宋体" w:hint="default"/>
          <w:b/>
          <w:bCs/>
          <w:sz w:val="20"/>
          <w:szCs w:val="20"/>
        </w:rPr>
      </w:pPr>
    </w:p>
    <w:p>
      <w:pPr>
        <w:pStyle w:val="Heading3"/>
        <w:spacing w:line="240" w:lineRule="auto" w:before="0"/>
        <w:ind w:right="1133"/>
        <w:jc w:val="left"/>
        <w:rPr>
          <w:b w:val="0"/>
          <w:bCs w:val="0"/>
        </w:rPr>
      </w:pPr>
      <w:r>
        <w:rPr/>
        <w:t>（一）出售重大资产情况</w:t>
      </w:r>
      <w:r>
        <w:rPr>
          <w:b w:val="0"/>
          <w:bCs w:val="0"/>
        </w:rPr>
      </w:r>
    </w:p>
    <w:p>
      <w:pPr>
        <w:pStyle w:val="BodyText"/>
        <w:spacing w:line="240" w:lineRule="auto" w:before="76"/>
        <w:ind w:right="1133"/>
        <w:jc w:val="left"/>
        <w:rPr>
          <w:rFonts w:ascii="宋体" w:hAnsi="宋体" w:cs="宋体" w:eastAsia="宋体" w:hint="default"/>
        </w:rPr>
      </w:pPr>
      <w:r>
        <w:rPr>
          <w:rFonts w:ascii="宋体" w:hAnsi="宋体" w:cs="宋体" w:eastAsia="宋体" w:hint="default"/>
          <w:w w:val="100"/>
        </w:rPr>
        <w:t> </w:t>
      </w:r>
      <w:r>
        <w:rPr/>
        <w:t>□ 适用 </w:t>
      </w:r>
      <w:r>
        <w:rPr>
          <w:rFonts w:ascii="宋体" w:hAnsi="宋体" w:cs="宋体" w:eastAsia="宋体" w:hint="default"/>
        </w:rPr>
      </w:r>
      <w:r>
        <w:rPr/>
        <w:t>√</w:t>
      </w:r>
      <w:r>
        <w:rPr>
          <w:spacing w:val="-2"/>
        </w:rPr>
        <w:t> </w:t>
      </w:r>
      <w:r>
        <w:rPr/>
        <w:t>不适用</w:t>
      </w:r>
      <w:r>
        <w:rPr>
          <w:rFonts w:ascii="宋体" w:hAnsi="宋体" w:cs="宋体" w:eastAsia="宋体" w:hint="default"/>
        </w:rPr>
        <w:t> </w:t>
      </w:r>
    </w:p>
    <w:p>
      <w:pPr>
        <w:pStyle w:val="BodyText"/>
        <w:spacing w:line="240" w:lineRule="auto" w:before="80"/>
        <w:ind w:right="1133"/>
        <w:jc w:val="left"/>
        <w:rPr>
          <w:rFonts w:ascii="宋体" w:hAnsi="宋体" w:cs="宋体" w:eastAsia="宋体" w:hint="default"/>
        </w:rPr>
      </w:pPr>
      <w:r>
        <w:rPr>
          <w:rFonts w:ascii="宋体" w:hAnsi="宋体" w:cs="宋体" w:eastAsia="宋体" w:hint="default"/>
          <w:w w:val="100"/>
        </w:rPr>
        <w:t> </w:t>
      </w:r>
      <w:r>
        <w:rPr/>
        <w:t>公司报告期未出售重大资产。</w:t>
      </w:r>
      <w:r>
        <w:rPr>
          <w:rFonts w:ascii="宋体" w:hAnsi="宋体" w:cs="宋体" w:eastAsia="宋体" w:hint="default"/>
        </w:rPr>
        <w:t> </w:t>
      </w:r>
    </w:p>
    <w:p>
      <w:pPr>
        <w:pStyle w:val="Heading3"/>
        <w:spacing w:line="240" w:lineRule="auto" w:before="154"/>
        <w:ind w:right="1133"/>
        <w:jc w:val="left"/>
        <w:rPr>
          <w:rFonts w:ascii="宋体" w:hAnsi="宋体" w:cs="宋体" w:eastAsia="宋体" w:hint="default"/>
          <w:b w:val="0"/>
          <w:bCs w:val="0"/>
        </w:rPr>
      </w:pPr>
      <w:r>
        <w:rPr/>
        <w:t>（二）出售重大股权情况</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59"/>
        <w:ind w:right="1133"/>
        <w:jc w:val="left"/>
        <w:rPr>
          <w:rFonts w:ascii="宋体" w:hAnsi="宋体" w:cs="宋体" w:eastAsia="宋体" w:hint="default"/>
        </w:rPr>
      </w:pPr>
      <w:r>
        <w:rPr>
          <w:rFonts w:ascii="宋体" w:hAnsi="宋体" w:cs="宋体" w:eastAsia="宋体" w:hint="default"/>
          <w:w w:val="100"/>
        </w:rPr>
        <w:t> </w:t>
      </w:r>
      <w:r>
        <w:rPr/>
        <w:t>□ 适用 </w:t>
      </w:r>
      <w:r>
        <w:rPr>
          <w:rFonts w:ascii="宋体" w:hAnsi="宋体" w:cs="宋体" w:eastAsia="宋体" w:hint="default"/>
        </w:rPr>
      </w:r>
      <w:r>
        <w:rPr/>
        <w:t>√</w:t>
      </w:r>
      <w:r>
        <w:rPr>
          <w:spacing w:val="-2"/>
        </w:rPr>
        <w:t> </w:t>
      </w:r>
      <w:r>
        <w:rPr/>
        <w:t>不适用</w:t>
      </w:r>
      <w:r>
        <w:rPr>
          <w:rFonts w:ascii="宋体" w:hAnsi="宋体" w:cs="宋体" w:eastAsia="宋体" w:hint="default"/>
        </w:rPr>
        <w:t> </w:t>
      </w:r>
    </w:p>
    <w:p>
      <w:pPr>
        <w:spacing w:after="0" w:line="240" w:lineRule="auto"/>
        <w:jc w:val="left"/>
        <w:rPr>
          <w:rFonts w:ascii="宋体" w:hAnsi="宋体" w:cs="宋体" w:eastAsia="宋体" w:hint="default"/>
        </w:rPr>
        <w:sectPr>
          <w:pgSz w:w="11910" w:h="16840"/>
          <w:pgMar w:header="880" w:footer="975" w:top="1100" w:bottom="1160" w:left="980" w:right="0"/>
        </w:sectPr>
      </w:pPr>
    </w:p>
    <w:p>
      <w:pPr>
        <w:spacing w:line="240" w:lineRule="auto" w:before="9"/>
        <w:rPr>
          <w:rFonts w:ascii="宋体" w:hAnsi="宋体" w:cs="宋体" w:eastAsia="宋体" w:hint="default"/>
          <w:sz w:val="19"/>
          <w:szCs w:val="19"/>
        </w:rPr>
      </w:pPr>
    </w:p>
    <w:p>
      <w:pPr>
        <w:pStyle w:val="Heading2"/>
        <w:spacing w:line="240" w:lineRule="auto"/>
        <w:ind w:right="1133"/>
        <w:jc w:val="left"/>
        <w:rPr>
          <w:b w:val="0"/>
          <w:bCs w:val="0"/>
        </w:rPr>
      </w:pPr>
      <w:r>
        <w:rPr/>
        <w:t>六、主要控股参股公司分析</w:t>
      </w:r>
      <w:r>
        <w:rPr>
          <w:b w:val="0"/>
          <w:bCs w:val="0"/>
        </w:rPr>
      </w:r>
    </w:p>
    <w:p>
      <w:pPr>
        <w:pStyle w:val="BodyText"/>
        <w:spacing w:line="240" w:lineRule="auto" w:before="143"/>
        <w:ind w:left="258" w:right="1133"/>
        <w:jc w:val="left"/>
        <w:rPr>
          <w:rFonts w:ascii="宋体" w:hAnsi="宋体" w:cs="宋体" w:eastAsia="宋体" w:hint="default"/>
        </w:rPr>
      </w:pPr>
      <w:r>
        <w:rPr/>
        <w:t>√ 适用 </w:t>
      </w:r>
      <w:r>
        <w:rPr>
          <w:rFonts w:ascii="宋体" w:hAnsi="宋体" w:cs="宋体" w:eastAsia="宋体" w:hint="default"/>
        </w:rPr>
      </w:r>
      <w:r>
        <w:rPr>
          <w:spacing w:val="-3"/>
        </w:rPr>
        <w:t>□</w:t>
      </w:r>
      <w:r>
        <w:rPr/>
        <w:t> 不适用</w:t>
      </w:r>
      <w:r>
        <w:rPr>
          <w:rFonts w:ascii="宋体" w:hAnsi="宋体" w:cs="宋体" w:eastAsia="宋体" w:hint="default"/>
        </w:rPr>
        <w:t> </w:t>
      </w:r>
    </w:p>
    <w:p>
      <w:pPr>
        <w:pStyle w:val="Heading3"/>
        <w:spacing w:line="240" w:lineRule="auto" w:before="157"/>
        <w:ind w:right="1133"/>
        <w:jc w:val="left"/>
        <w:rPr>
          <w:rFonts w:ascii="宋体" w:hAnsi="宋体" w:cs="宋体" w:eastAsia="宋体" w:hint="default"/>
          <w:b w:val="0"/>
          <w:bCs w:val="0"/>
        </w:rPr>
      </w:pPr>
      <w:r>
        <w:rPr/>
        <w:t>（一）主要子公司及对公司净利润影响达</w:t>
      </w:r>
      <w:r>
        <w:rPr>
          <w:spacing w:val="-55"/>
        </w:rPr>
        <w:t> </w:t>
      </w:r>
      <w:r>
        <w:rPr>
          <w:rFonts w:ascii="宋体" w:hAnsi="宋体" w:cs="宋体" w:eastAsia="宋体" w:hint="default"/>
        </w:rPr>
        <w:t>10%</w:t>
      </w:r>
      <w:r>
        <w:rPr/>
        <w:t>以上的子公司</w:t>
      </w:r>
      <w:r>
        <w:rPr>
          <w:rFonts w:ascii="宋体" w:hAnsi="宋体" w:cs="宋体" w:eastAsia="宋体" w:hint="default"/>
        </w:rPr>
        <w:t>(</w:t>
      </w:r>
      <w:r>
        <w:rPr/>
        <w:t>没有参股公司</w:t>
      </w:r>
      <w:r>
        <w:rPr>
          <w:rFonts w:ascii="宋体" w:hAnsi="宋体" w:cs="宋体" w:eastAsia="宋体" w:hint="default"/>
        </w:rPr>
        <w:t>)</w:t>
      </w:r>
      <w:r>
        <w:rPr/>
        <w:t>情况：</w:t>
      </w:r>
      <w:r>
        <w:rPr>
          <w:rFonts w:ascii="宋体" w:hAnsi="宋体" w:cs="宋体" w:eastAsia="宋体" w:hint="default"/>
          <w:w w:val="99"/>
        </w:rPr>
        <w:t>         </w:t>
      </w:r>
      <w:r>
        <w:rPr>
          <w:rFonts w:ascii="宋体" w:hAnsi="宋体" w:cs="宋体" w:eastAsia="宋体" w:hint="default"/>
          <w:spacing w:val="-2"/>
          <w:w w:val="99"/>
        </w:rPr>
        <w:t> </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57"/>
        <w:ind w:right="1133"/>
        <w:jc w:val="left"/>
        <w:rPr>
          <w:rFonts w:ascii="宋体" w:hAnsi="宋体" w:cs="宋体" w:eastAsia="宋体" w:hint="default"/>
        </w:rPr>
      </w:pP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t>单位：万元</w:t>
      </w:r>
      <w:r>
        <w:rPr>
          <w:rFonts w:ascii="宋体" w:hAnsi="宋体" w:cs="宋体" w:eastAsia="宋体" w:hint="default"/>
        </w:rPr>
        <w:t> </w:t>
      </w:r>
    </w:p>
    <w:p>
      <w:pPr>
        <w:spacing w:line="240" w:lineRule="auto" w:before="12"/>
        <w:rPr>
          <w:rFonts w:ascii="宋体" w:hAnsi="宋体" w:cs="宋体" w:eastAsia="宋体" w:hint="default"/>
          <w:sz w:val="6"/>
          <w:szCs w:val="6"/>
        </w:rPr>
      </w:pPr>
    </w:p>
    <w:tbl>
      <w:tblPr>
        <w:tblW w:w="0" w:type="auto"/>
        <w:jc w:val="left"/>
        <w:tblInd w:w="148" w:type="dxa"/>
        <w:tblLayout w:type="fixed"/>
        <w:tblCellMar>
          <w:top w:w="0" w:type="dxa"/>
          <w:left w:w="0" w:type="dxa"/>
          <w:bottom w:w="0" w:type="dxa"/>
          <w:right w:w="0" w:type="dxa"/>
        </w:tblCellMar>
        <w:tblLook w:val="01E0"/>
      </w:tblPr>
      <w:tblGrid>
        <w:gridCol w:w="1560"/>
        <w:gridCol w:w="850"/>
        <w:gridCol w:w="1277"/>
        <w:gridCol w:w="991"/>
        <w:gridCol w:w="994"/>
        <w:gridCol w:w="991"/>
        <w:gridCol w:w="1135"/>
        <w:gridCol w:w="992"/>
        <w:gridCol w:w="991"/>
      </w:tblGrid>
      <w:tr>
        <w:trPr>
          <w:trHeight w:val="401" w:hRule="exact"/>
        </w:trPr>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15" w:right="0"/>
              <w:jc w:val="left"/>
              <w:rPr>
                <w:rFonts w:ascii="宋体" w:hAnsi="宋体" w:cs="宋体" w:eastAsia="宋体" w:hint="default"/>
                <w:sz w:val="18"/>
                <w:szCs w:val="18"/>
              </w:rPr>
            </w:pPr>
            <w:r>
              <w:rPr>
                <w:rFonts w:ascii="宋体" w:hAnsi="宋体" w:cs="宋体" w:eastAsia="宋体" w:hint="default"/>
                <w:sz w:val="18"/>
                <w:szCs w:val="18"/>
              </w:rPr>
              <w:t>公司名称</w:t>
            </w:r>
            <w:r>
              <w:rPr>
                <w:rFonts w:ascii="宋体" w:hAnsi="宋体" w:cs="宋体" w:eastAsia="宋体" w:hint="default"/>
                <w:sz w:val="18"/>
                <w:szCs w:val="18"/>
              </w:rPr>
              <w:t> </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 w:right="-31"/>
              <w:jc w:val="left"/>
              <w:rPr>
                <w:rFonts w:ascii="宋体" w:hAnsi="宋体" w:cs="宋体" w:eastAsia="宋体" w:hint="default"/>
                <w:sz w:val="18"/>
                <w:szCs w:val="18"/>
              </w:rPr>
            </w:pPr>
            <w:r>
              <w:rPr>
                <w:rFonts w:ascii="宋体" w:hAnsi="宋体" w:cs="宋体" w:eastAsia="宋体" w:hint="default"/>
                <w:sz w:val="18"/>
                <w:szCs w:val="18"/>
              </w:rPr>
              <w:t>公司类型</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73" w:right="0"/>
              <w:jc w:val="left"/>
              <w:rPr>
                <w:rFonts w:ascii="宋体" w:hAnsi="宋体" w:cs="宋体" w:eastAsia="宋体" w:hint="default"/>
                <w:sz w:val="18"/>
                <w:szCs w:val="18"/>
              </w:rPr>
            </w:pPr>
            <w:r>
              <w:rPr>
                <w:rFonts w:ascii="宋体" w:hAnsi="宋体" w:cs="宋体" w:eastAsia="宋体" w:hint="default"/>
                <w:sz w:val="18"/>
                <w:szCs w:val="18"/>
              </w:rPr>
              <w:t>主要业务</w:t>
            </w:r>
            <w:r>
              <w:rPr>
                <w:rFonts w:ascii="宋体" w:hAnsi="宋体" w:cs="宋体" w:eastAsia="宋体" w:hint="default"/>
                <w:sz w:val="18"/>
                <w:szCs w:val="18"/>
              </w:rPr>
              <w:t> </w:t>
            </w:r>
          </w:p>
        </w:tc>
        <w:tc>
          <w:tcPr>
            <w:tcW w:w="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 w:right="0"/>
              <w:jc w:val="center"/>
              <w:rPr>
                <w:rFonts w:ascii="宋体" w:hAnsi="宋体" w:cs="宋体" w:eastAsia="宋体" w:hint="default"/>
                <w:sz w:val="18"/>
                <w:szCs w:val="18"/>
              </w:rPr>
            </w:pPr>
            <w:r>
              <w:rPr>
                <w:rFonts w:ascii="宋体" w:hAnsi="宋体" w:cs="宋体" w:eastAsia="宋体" w:hint="default"/>
                <w:sz w:val="18"/>
                <w:szCs w:val="18"/>
              </w:rPr>
              <w:t>注册资本</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7" w:right="0"/>
              <w:jc w:val="center"/>
              <w:rPr>
                <w:rFonts w:ascii="宋体" w:hAnsi="宋体" w:cs="宋体" w:eastAsia="宋体" w:hint="default"/>
                <w:sz w:val="18"/>
                <w:szCs w:val="18"/>
              </w:rPr>
            </w:pPr>
            <w:r>
              <w:rPr>
                <w:rFonts w:ascii="宋体" w:hAnsi="宋体" w:cs="宋体" w:eastAsia="宋体" w:hint="default"/>
                <w:sz w:val="18"/>
                <w:szCs w:val="18"/>
              </w:rPr>
              <w:t>总资产</w:t>
            </w:r>
            <w:r>
              <w:rPr>
                <w:rFonts w:ascii="宋体" w:hAnsi="宋体" w:cs="宋体" w:eastAsia="宋体" w:hint="default"/>
                <w:sz w:val="18"/>
                <w:szCs w:val="18"/>
              </w:rPr>
              <w:t> </w:t>
            </w:r>
          </w:p>
        </w:tc>
        <w:tc>
          <w:tcPr>
            <w:tcW w:w="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0" w:right="0"/>
              <w:jc w:val="center"/>
              <w:rPr>
                <w:rFonts w:ascii="宋体" w:hAnsi="宋体" w:cs="宋体" w:eastAsia="宋体" w:hint="default"/>
                <w:sz w:val="18"/>
                <w:szCs w:val="18"/>
              </w:rPr>
            </w:pPr>
            <w:r>
              <w:rPr>
                <w:rFonts w:ascii="宋体" w:hAnsi="宋体" w:cs="宋体" w:eastAsia="宋体" w:hint="default"/>
                <w:sz w:val="18"/>
                <w:szCs w:val="18"/>
              </w:rPr>
              <w:t>净资产</w:t>
            </w:r>
            <w:r>
              <w:rPr>
                <w:rFonts w:ascii="宋体" w:hAnsi="宋体" w:cs="宋体" w:eastAsia="宋体" w:hint="default"/>
                <w:sz w:val="18"/>
                <w:szCs w:val="18"/>
              </w:rPr>
              <w:t> </w:t>
            </w:r>
          </w:p>
        </w:tc>
        <w:tc>
          <w:tcPr>
            <w:tcW w:w="11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7" w:right="0"/>
              <w:jc w:val="center"/>
              <w:rPr>
                <w:rFonts w:ascii="宋体" w:hAnsi="宋体" w:cs="宋体" w:eastAsia="宋体" w:hint="default"/>
                <w:sz w:val="18"/>
                <w:szCs w:val="18"/>
              </w:rPr>
            </w:pPr>
            <w:r>
              <w:rPr>
                <w:rFonts w:ascii="宋体" w:hAnsi="宋体" w:cs="宋体" w:eastAsia="宋体" w:hint="default"/>
                <w:sz w:val="18"/>
                <w:szCs w:val="18"/>
              </w:rPr>
              <w:t>营业收入</w:t>
            </w:r>
            <w:r>
              <w:rPr>
                <w:rFonts w:ascii="宋体" w:hAnsi="宋体" w:cs="宋体" w:eastAsia="宋体" w:hint="default"/>
                <w:sz w:val="18"/>
                <w:szCs w:val="18"/>
              </w:rPr>
              <w:t> </w:t>
            </w:r>
          </w:p>
        </w:tc>
        <w:tc>
          <w:tcPr>
            <w:tcW w:w="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2" w:right="0"/>
              <w:jc w:val="center"/>
              <w:rPr>
                <w:rFonts w:ascii="宋体" w:hAnsi="宋体" w:cs="宋体" w:eastAsia="宋体" w:hint="default"/>
                <w:sz w:val="18"/>
                <w:szCs w:val="18"/>
              </w:rPr>
            </w:pPr>
            <w:r>
              <w:rPr>
                <w:rFonts w:ascii="宋体" w:hAnsi="宋体" w:cs="宋体" w:eastAsia="宋体" w:hint="default"/>
                <w:sz w:val="18"/>
                <w:szCs w:val="18"/>
              </w:rPr>
              <w:t>营业利润</w:t>
            </w:r>
            <w:r>
              <w:rPr>
                <w:rFonts w:ascii="宋体" w:hAnsi="宋体" w:cs="宋体" w:eastAsia="宋体" w:hint="default"/>
                <w:sz w:val="18"/>
                <w:szCs w:val="18"/>
              </w:rPr>
              <w:t> </w:t>
            </w:r>
          </w:p>
        </w:tc>
        <w:tc>
          <w:tcPr>
            <w:tcW w:w="9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9" w:right="0"/>
              <w:jc w:val="center"/>
              <w:rPr>
                <w:rFonts w:ascii="宋体" w:hAnsi="宋体" w:cs="宋体" w:eastAsia="宋体" w:hint="default"/>
                <w:sz w:val="18"/>
                <w:szCs w:val="18"/>
              </w:rPr>
            </w:pPr>
            <w:r>
              <w:rPr>
                <w:rFonts w:ascii="宋体" w:hAnsi="宋体" w:cs="宋体" w:eastAsia="宋体" w:hint="default"/>
                <w:sz w:val="18"/>
                <w:szCs w:val="18"/>
              </w:rPr>
              <w:t>净利润</w:t>
            </w:r>
            <w:r>
              <w:rPr>
                <w:rFonts w:ascii="宋体" w:hAnsi="宋体" w:cs="宋体" w:eastAsia="宋体" w:hint="default"/>
                <w:sz w:val="18"/>
                <w:szCs w:val="18"/>
              </w:rPr>
              <w:t> </w:t>
            </w:r>
          </w:p>
        </w:tc>
      </w:tr>
      <w:tr>
        <w:trPr>
          <w:trHeight w:val="715"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84"/>
              <w:jc w:val="left"/>
              <w:rPr>
                <w:rFonts w:ascii="宋体" w:hAnsi="宋体" w:cs="宋体" w:eastAsia="宋体" w:hint="default"/>
                <w:sz w:val="18"/>
                <w:szCs w:val="18"/>
              </w:rPr>
            </w:pPr>
            <w:r>
              <w:rPr>
                <w:rFonts w:ascii="宋体" w:hAnsi="宋体" w:cs="宋体" w:eastAsia="宋体" w:hint="default"/>
                <w:sz w:val="18"/>
                <w:szCs w:val="18"/>
              </w:rPr>
              <w:t>北京创世漫道科技 有限公司</w:t>
            </w:r>
            <w:r>
              <w:rPr>
                <w:rFonts w:ascii="宋体" w:hAnsi="宋体" w:cs="宋体" w:eastAsia="宋体" w:hint="default"/>
                <w:sz w:val="18"/>
                <w:szCs w:val="18"/>
              </w:rPr>
              <w:t> </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子公司</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短信服务</w:t>
            </w:r>
            <w:r>
              <w:rPr>
                <w:rFonts w:ascii="宋体" w:hAnsi="宋体" w:cs="宋体" w:eastAsia="宋体" w:hint="default"/>
                <w:sz w:val="18"/>
                <w:szCs w:val="18"/>
              </w:rPr>
              <w:t> </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86" w:right="-7"/>
              <w:jc w:val="center"/>
              <w:rPr>
                <w:rFonts w:ascii="宋体" w:hAnsi="宋体" w:cs="宋体" w:eastAsia="宋体" w:hint="default"/>
                <w:sz w:val="18"/>
                <w:szCs w:val="18"/>
              </w:rPr>
            </w:pPr>
            <w:r>
              <w:rPr>
                <w:rFonts w:ascii="宋体"/>
                <w:sz w:val="18"/>
              </w:rPr>
              <w:t>15,000.00 </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86" w:right="-4"/>
              <w:jc w:val="center"/>
              <w:rPr>
                <w:rFonts w:ascii="宋体" w:hAnsi="宋体" w:cs="宋体" w:eastAsia="宋体" w:hint="default"/>
                <w:sz w:val="18"/>
                <w:szCs w:val="18"/>
              </w:rPr>
            </w:pPr>
            <w:r>
              <w:rPr>
                <w:rFonts w:ascii="宋体"/>
                <w:sz w:val="18"/>
              </w:rPr>
              <w:t>65,272.91 </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86" w:right="-7"/>
              <w:jc w:val="center"/>
              <w:rPr>
                <w:rFonts w:ascii="宋体" w:hAnsi="宋体" w:cs="宋体" w:eastAsia="宋体" w:hint="default"/>
                <w:sz w:val="18"/>
                <w:szCs w:val="18"/>
              </w:rPr>
            </w:pPr>
            <w:r>
              <w:rPr>
                <w:rFonts w:ascii="宋体"/>
                <w:sz w:val="18"/>
              </w:rPr>
              <w:t>40,475.90 </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87" w:right="0"/>
              <w:jc w:val="center"/>
              <w:rPr>
                <w:rFonts w:ascii="宋体" w:hAnsi="宋体" w:cs="宋体" w:eastAsia="宋体" w:hint="default"/>
                <w:sz w:val="18"/>
                <w:szCs w:val="18"/>
              </w:rPr>
            </w:pPr>
            <w:r>
              <w:rPr>
                <w:rFonts w:ascii="宋体"/>
                <w:sz w:val="18"/>
              </w:rPr>
              <w:t>78,100.18 </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86" w:right="-7"/>
              <w:jc w:val="center"/>
              <w:rPr>
                <w:rFonts w:ascii="宋体" w:hAnsi="宋体" w:cs="宋体" w:eastAsia="宋体" w:hint="default"/>
                <w:sz w:val="18"/>
                <w:szCs w:val="18"/>
              </w:rPr>
            </w:pPr>
            <w:r>
              <w:rPr>
                <w:rFonts w:ascii="宋体"/>
                <w:sz w:val="18"/>
              </w:rPr>
              <w:t>-1,706.18 </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86" w:right="-7"/>
              <w:jc w:val="center"/>
              <w:rPr>
                <w:rFonts w:ascii="宋体" w:hAnsi="宋体" w:cs="宋体" w:eastAsia="宋体" w:hint="default"/>
                <w:sz w:val="18"/>
                <w:szCs w:val="18"/>
              </w:rPr>
            </w:pPr>
            <w:r>
              <w:rPr>
                <w:rFonts w:ascii="宋体"/>
                <w:sz w:val="18"/>
              </w:rPr>
              <w:t>-1,306.68 </w:t>
            </w:r>
          </w:p>
        </w:tc>
      </w:tr>
      <w:tr>
        <w:trPr>
          <w:trHeight w:val="713"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24" w:right="84"/>
              <w:jc w:val="left"/>
              <w:rPr>
                <w:rFonts w:ascii="宋体" w:hAnsi="宋体" w:cs="宋体" w:eastAsia="宋体" w:hint="default"/>
                <w:sz w:val="18"/>
                <w:szCs w:val="18"/>
              </w:rPr>
            </w:pPr>
            <w:r>
              <w:rPr>
                <w:rFonts w:ascii="宋体" w:hAnsi="宋体" w:cs="宋体" w:eastAsia="宋体" w:hint="default"/>
                <w:sz w:val="18"/>
                <w:szCs w:val="18"/>
              </w:rPr>
              <w:t>广东长实通信科技 有限公司</w:t>
            </w:r>
            <w:r>
              <w:rPr>
                <w:rFonts w:ascii="宋体" w:hAnsi="宋体" w:cs="宋体" w:eastAsia="宋体" w:hint="default"/>
                <w:sz w:val="18"/>
                <w:szCs w:val="18"/>
              </w:rPr>
              <w:t> </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子公司</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通信网络维护</w:t>
            </w:r>
            <w:r>
              <w:rPr>
                <w:rFonts w:ascii="宋体" w:hAnsi="宋体" w:cs="宋体" w:eastAsia="宋体" w:hint="default"/>
                <w:sz w:val="18"/>
                <w:szCs w:val="18"/>
              </w:rPr>
              <w:t> </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86" w:right="-7"/>
              <w:jc w:val="center"/>
              <w:rPr>
                <w:rFonts w:ascii="宋体" w:hAnsi="宋体" w:cs="宋体" w:eastAsia="宋体" w:hint="default"/>
                <w:sz w:val="18"/>
                <w:szCs w:val="18"/>
              </w:rPr>
            </w:pPr>
            <w:r>
              <w:rPr>
                <w:rFonts w:ascii="宋体"/>
                <w:sz w:val="18"/>
              </w:rPr>
              <w:t>10,000.00 </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sz w:val="18"/>
              </w:rPr>
              <w:t>101,461.79</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86" w:right="-7"/>
              <w:jc w:val="center"/>
              <w:rPr>
                <w:rFonts w:ascii="宋体" w:hAnsi="宋体" w:cs="宋体" w:eastAsia="宋体" w:hint="default"/>
                <w:sz w:val="18"/>
                <w:szCs w:val="18"/>
              </w:rPr>
            </w:pPr>
            <w:r>
              <w:rPr>
                <w:rFonts w:ascii="宋体"/>
                <w:sz w:val="18"/>
              </w:rPr>
              <w:t>25,477.53 </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90" w:right="0"/>
              <w:jc w:val="center"/>
              <w:rPr>
                <w:rFonts w:ascii="宋体" w:hAnsi="宋体" w:cs="宋体" w:eastAsia="宋体" w:hint="default"/>
                <w:sz w:val="18"/>
                <w:szCs w:val="18"/>
              </w:rPr>
            </w:pPr>
            <w:r>
              <w:rPr>
                <w:rFonts w:ascii="宋体"/>
                <w:sz w:val="18"/>
              </w:rPr>
              <w:t>152,297.56 </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sz w:val="18"/>
              </w:rPr>
              <w:t>-11,854.44</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sz w:val="18"/>
              </w:rPr>
              <w:t>-12,165.75</w:t>
            </w:r>
          </w:p>
        </w:tc>
      </w:tr>
      <w:tr>
        <w:trPr>
          <w:trHeight w:val="715"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4" w:right="84"/>
              <w:jc w:val="left"/>
              <w:rPr>
                <w:rFonts w:ascii="宋体" w:hAnsi="宋体" w:cs="宋体" w:eastAsia="宋体" w:hint="default"/>
                <w:sz w:val="18"/>
                <w:szCs w:val="18"/>
              </w:rPr>
            </w:pPr>
            <w:r>
              <w:rPr>
                <w:rFonts w:ascii="宋体" w:hAnsi="宋体" w:cs="宋体" w:eastAsia="宋体" w:hint="default"/>
                <w:sz w:val="18"/>
                <w:szCs w:val="18"/>
              </w:rPr>
              <w:t>北京中天嘉华信息 技术有限公司</w:t>
            </w:r>
            <w:r>
              <w:rPr>
                <w:rFonts w:ascii="宋体" w:hAnsi="宋体" w:cs="宋体" w:eastAsia="宋体" w:hint="default"/>
                <w:sz w:val="18"/>
                <w:szCs w:val="18"/>
              </w:rPr>
              <w:t> </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子公司</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金融服务</w:t>
            </w:r>
            <w:r>
              <w:rPr>
                <w:rFonts w:ascii="宋体" w:hAnsi="宋体" w:cs="宋体" w:eastAsia="宋体" w:hint="default"/>
                <w:sz w:val="18"/>
                <w:szCs w:val="18"/>
              </w:rPr>
              <w:t> </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92" w:right="0"/>
              <w:jc w:val="center"/>
              <w:rPr>
                <w:rFonts w:ascii="宋体" w:hAnsi="宋体" w:cs="宋体" w:eastAsia="宋体" w:hint="default"/>
                <w:sz w:val="18"/>
                <w:szCs w:val="18"/>
              </w:rPr>
            </w:pPr>
            <w:r>
              <w:rPr>
                <w:rFonts w:ascii="宋体"/>
                <w:sz w:val="18"/>
              </w:rPr>
              <w:t>5,000.00 </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86" w:right="-4"/>
              <w:jc w:val="center"/>
              <w:rPr>
                <w:rFonts w:ascii="宋体" w:hAnsi="宋体" w:cs="宋体" w:eastAsia="宋体" w:hint="default"/>
                <w:sz w:val="18"/>
                <w:szCs w:val="18"/>
              </w:rPr>
            </w:pPr>
            <w:r>
              <w:rPr>
                <w:rFonts w:ascii="宋体"/>
                <w:sz w:val="18"/>
              </w:rPr>
              <w:t>56,872.58 </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86" w:right="-7"/>
              <w:jc w:val="center"/>
              <w:rPr>
                <w:rFonts w:ascii="宋体" w:hAnsi="宋体" w:cs="宋体" w:eastAsia="宋体" w:hint="default"/>
                <w:sz w:val="18"/>
                <w:szCs w:val="18"/>
              </w:rPr>
            </w:pPr>
            <w:r>
              <w:rPr>
                <w:rFonts w:ascii="宋体"/>
                <w:sz w:val="18"/>
              </w:rPr>
              <w:t>48,125.35 </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87" w:right="0"/>
              <w:jc w:val="center"/>
              <w:rPr>
                <w:rFonts w:ascii="宋体" w:hAnsi="宋体" w:cs="宋体" w:eastAsia="宋体" w:hint="default"/>
                <w:sz w:val="18"/>
                <w:szCs w:val="18"/>
              </w:rPr>
            </w:pPr>
            <w:r>
              <w:rPr>
                <w:rFonts w:ascii="宋体"/>
                <w:sz w:val="18"/>
              </w:rPr>
              <w:t>87,598.39 </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86" w:right="-7"/>
              <w:jc w:val="center"/>
              <w:rPr>
                <w:rFonts w:ascii="宋体" w:hAnsi="宋体" w:cs="宋体" w:eastAsia="宋体" w:hint="default"/>
                <w:sz w:val="18"/>
                <w:szCs w:val="18"/>
              </w:rPr>
            </w:pPr>
            <w:r>
              <w:rPr>
                <w:rFonts w:ascii="宋体"/>
                <w:sz w:val="18"/>
              </w:rPr>
              <w:t>19,497.84 </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86" w:right="-7"/>
              <w:jc w:val="center"/>
              <w:rPr>
                <w:rFonts w:ascii="宋体" w:hAnsi="宋体" w:cs="宋体" w:eastAsia="宋体" w:hint="default"/>
                <w:sz w:val="18"/>
                <w:szCs w:val="18"/>
              </w:rPr>
            </w:pPr>
            <w:r>
              <w:rPr>
                <w:rFonts w:ascii="宋体"/>
                <w:sz w:val="18"/>
              </w:rPr>
              <w:t>16,921.50 </w:t>
            </w:r>
          </w:p>
        </w:tc>
      </w:tr>
    </w:tbl>
    <w:p>
      <w:pPr>
        <w:pStyle w:val="BodyText"/>
        <w:spacing w:line="240" w:lineRule="auto" w:before="48"/>
        <w:ind w:right="1133"/>
        <w:jc w:val="left"/>
        <w:rPr>
          <w:rFonts w:ascii="宋体" w:hAnsi="宋体" w:cs="宋体" w:eastAsia="宋体" w:hint="default"/>
        </w:rPr>
      </w:pPr>
      <w:r>
        <w:rPr/>
        <w:t>注：上表中净利润为子公司合并口径数。</w:t>
      </w:r>
      <w:r>
        <w:rPr>
          <w:rFonts w:ascii="宋体" w:hAnsi="宋体" w:cs="宋体" w:eastAsia="宋体" w:hint="default"/>
        </w:rPr>
        <w:t> </w:t>
      </w:r>
    </w:p>
    <w:p>
      <w:pPr>
        <w:pStyle w:val="Heading3"/>
        <w:spacing w:line="240" w:lineRule="auto" w:before="157"/>
        <w:ind w:right="1133"/>
        <w:jc w:val="left"/>
        <w:rPr>
          <w:rFonts w:ascii="宋体" w:hAnsi="宋体" w:cs="宋体" w:eastAsia="宋体" w:hint="default"/>
          <w:b w:val="0"/>
          <w:bCs w:val="0"/>
        </w:rPr>
      </w:pPr>
      <w:r>
        <w:rPr/>
        <w:t>（二）报告期内取得和处置子公司的情况</w:t>
      </w:r>
      <w:r>
        <w:rPr>
          <w:rFonts w:ascii="宋体" w:hAnsi="宋体" w:cs="宋体" w:eastAsia="宋体" w:hint="default"/>
          <w:w w:val="99"/>
        </w:rPr>
        <w:t> </w:t>
      </w:r>
      <w:r>
        <w:rPr>
          <w:rFonts w:ascii="宋体" w:hAnsi="宋体" w:cs="宋体" w:eastAsia="宋体" w:hint="default"/>
          <w:b w:val="0"/>
          <w:bCs w:val="0"/>
        </w:rPr>
      </w:r>
    </w:p>
    <w:p>
      <w:pPr>
        <w:spacing w:line="240" w:lineRule="auto" w:before="5"/>
        <w:rPr>
          <w:rFonts w:ascii="宋体" w:hAnsi="宋体" w:cs="宋体" w:eastAsia="宋体" w:hint="default"/>
          <w:b/>
          <w:bCs/>
          <w:sz w:val="21"/>
          <w:szCs w:val="21"/>
        </w:rPr>
      </w:pPr>
    </w:p>
    <w:p>
      <w:pPr>
        <w:pStyle w:val="BodyText"/>
        <w:spacing w:line="240" w:lineRule="auto"/>
        <w:ind w:left="467" w:right="1133"/>
        <w:jc w:val="left"/>
        <w:rPr>
          <w:rFonts w:ascii="宋体" w:hAnsi="宋体" w:cs="宋体" w:eastAsia="宋体" w:hint="default"/>
        </w:rPr>
      </w:pPr>
      <w:r>
        <w:rPr/>
        <w:t>√ 适用 </w:t>
      </w:r>
      <w:r>
        <w:rPr>
          <w:rFonts w:ascii="宋体" w:hAnsi="宋体" w:cs="宋体" w:eastAsia="宋体" w:hint="default"/>
        </w:rPr>
      </w:r>
      <w:r>
        <w:rPr>
          <w:spacing w:val="-3"/>
        </w:rPr>
        <w:t>□</w:t>
      </w:r>
      <w:r>
        <w:rPr/>
        <w:t> 不适用</w:t>
      </w:r>
      <w:r>
        <w:rPr>
          <w:rFonts w:ascii="宋体" w:hAnsi="宋体" w:cs="宋体" w:eastAsia="宋体" w:hint="default"/>
        </w:rPr>
        <w:t> </w:t>
      </w:r>
    </w:p>
    <w:p>
      <w:pPr>
        <w:spacing w:line="240" w:lineRule="auto" w:before="10"/>
        <w:rPr>
          <w:rFonts w:ascii="宋体" w:hAnsi="宋体" w:cs="宋体" w:eastAsia="宋体" w:hint="default"/>
          <w:sz w:val="6"/>
          <w:szCs w:val="6"/>
        </w:rPr>
      </w:pPr>
    </w:p>
    <w:tbl>
      <w:tblPr>
        <w:tblW w:w="0" w:type="auto"/>
        <w:jc w:val="left"/>
        <w:tblInd w:w="148" w:type="dxa"/>
        <w:tblLayout w:type="fixed"/>
        <w:tblCellMar>
          <w:top w:w="0" w:type="dxa"/>
          <w:left w:w="0" w:type="dxa"/>
          <w:bottom w:w="0" w:type="dxa"/>
          <w:right w:w="0" w:type="dxa"/>
        </w:tblCellMar>
        <w:tblLook w:val="01E0"/>
      </w:tblPr>
      <w:tblGrid>
        <w:gridCol w:w="3263"/>
        <w:gridCol w:w="3260"/>
        <w:gridCol w:w="3049"/>
      </w:tblGrid>
      <w:tr>
        <w:trPr>
          <w:trHeight w:val="403" w:hRule="exact"/>
        </w:trPr>
        <w:tc>
          <w:tcPr>
            <w:tcW w:w="32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7" w:right="0"/>
              <w:jc w:val="center"/>
              <w:rPr>
                <w:rFonts w:ascii="宋体" w:hAnsi="宋体" w:cs="宋体" w:eastAsia="宋体" w:hint="default"/>
                <w:sz w:val="18"/>
                <w:szCs w:val="18"/>
              </w:rPr>
            </w:pPr>
            <w:r>
              <w:rPr>
                <w:rFonts w:ascii="宋体" w:hAnsi="宋体" w:cs="宋体" w:eastAsia="宋体" w:hint="default"/>
                <w:sz w:val="18"/>
                <w:szCs w:val="18"/>
              </w:rPr>
              <w:t>公司名称</w:t>
            </w:r>
            <w:r>
              <w:rPr>
                <w:rFonts w:ascii="宋体" w:hAnsi="宋体" w:cs="宋体" w:eastAsia="宋体" w:hint="default"/>
                <w:sz w:val="18"/>
                <w:szCs w:val="18"/>
              </w:rPr>
              <w:t> </w:t>
            </w:r>
          </w:p>
        </w:tc>
        <w:tc>
          <w:tcPr>
            <w:tcW w:w="32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64" w:right="0"/>
              <w:jc w:val="left"/>
              <w:rPr>
                <w:rFonts w:ascii="宋体" w:hAnsi="宋体" w:cs="宋体" w:eastAsia="宋体" w:hint="default"/>
                <w:sz w:val="18"/>
                <w:szCs w:val="18"/>
              </w:rPr>
            </w:pPr>
            <w:r>
              <w:rPr>
                <w:rFonts w:ascii="宋体" w:hAnsi="宋体" w:cs="宋体" w:eastAsia="宋体" w:hint="default"/>
                <w:sz w:val="18"/>
                <w:szCs w:val="18"/>
              </w:rPr>
              <w:t>报告期内取得和处置子公司方式</w:t>
            </w:r>
            <w:r>
              <w:rPr>
                <w:rFonts w:ascii="宋体" w:hAnsi="宋体" w:cs="宋体" w:eastAsia="宋体" w:hint="default"/>
                <w:sz w:val="18"/>
                <w:szCs w:val="18"/>
              </w:rPr>
              <w:t> </w:t>
            </w:r>
          </w:p>
        </w:tc>
        <w:tc>
          <w:tcPr>
            <w:tcW w:w="30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50" w:right="0"/>
              <w:jc w:val="left"/>
              <w:rPr>
                <w:rFonts w:ascii="宋体" w:hAnsi="宋体" w:cs="宋体" w:eastAsia="宋体" w:hint="default"/>
                <w:sz w:val="18"/>
                <w:szCs w:val="18"/>
              </w:rPr>
            </w:pPr>
            <w:r>
              <w:rPr>
                <w:rFonts w:ascii="宋体" w:hAnsi="宋体" w:cs="宋体" w:eastAsia="宋体" w:hint="default"/>
                <w:sz w:val="18"/>
                <w:szCs w:val="18"/>
              </w:rPr>
              <w:t>对整体生产经营和业绩的影响</w:t>
            </w:r>
            <w:r>
              <w:rPr>
                <w:rFonts w:ascii="宋体" w:hAnsi="宋体" w:cs="宋体" w:eastAsia="宋体" w:hint="default"/>
                <w:sz w:val="18"/>
                <w:szCs w:val="18"/>
              </w:rPr>
              <w:t> </w:t>
            </w:r>
          </w:p>
        </w:tc>
      </w:tr>
      <w:tr>
        <w:trPr>
          <w:trHeight w:val="401" w:hRule="exact"/>
        </w:trPr>
        <w:tc>
          <w:tcPr>
            <w:tcW w:w="3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南京石鼓文信息技术有限公司</w:t>
            </w:r>
            <w:r>
              <w:rPr>
                <w:rFonts w:ascii="宋体" w:hAnsi="宋体" w:cs="宋体" w:eastAsia="宋体" w:hint="default"/>
                <w:sz w:val="18"/>
                <w:szCs w:val="18"/>
              </w:rPr>
              <w:t> </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支付现金收购</w:t>
            </w:r>
            <w:r>
              <w:rPr>
                <w:rFonts w:ascii="宋体" w:hAnsi="宋体" w:cs="宋体" w:eastAsia="宋体" w:hint="default"/>
                <w:sz w:val="18"/>
                <w:szCs w:val="18"/>
              </w:rPr>
              <w:t> </w:t>
            </w:r>
          </w:p>
        </w:tc>
        <w:tc>
          <w:tcPr>
            <w:tcW w:w="3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报告期净利润为</w:t>
            </w:r>
            <w:r>
              <w:rPr>
                <w:rFonts w:ascii="宋体" w:hAnsi="宋体" w:cs="宋体" w:eastAsia="宋体" w:hint="default"/>
                <w:sz w:val="18"/>
                <w:szCs w:val="18"/>
              </w:rPr>
              <w:t>-4.37</w:t>
            </w:r>
            <w:r>
              <w:rPr>
                <w:rFonts w:ascii="宋体" w:hAnsi="宋体" w:cs="宋体" w:eastAsia="宋体" w:hint="default"/>
                <w:spacing w:val="-48"/>
                <w:sz w:val="18"/>
                <w:szCs w:val="18"/>
              </w:rPr>
              <w:t> </w:t>
            </w:r>
            <w:r>
              <w:rPr>
                <w:rFonts w:ascii="宋体" w:hAnsi="宋体" w:cs="宋体" w:eastAsia="宋体" w:hint="default"/>
                <w:sz w:val="18"/>
                <w:szCs w:val="18"/>
              </w:rPr>
              <w:t>万元</w:t>
            </w:r>
            <w:r>
              <w:rPr>
                <w:rFonts w:ascii="宋体" w:hAnsi="宋体" w:cs="宋体" w:eastAsia="宋体" w:hint="default"/>
                <w:sz w:val="18"/>
                <w:szCs w:val="18"/>
              </w:rPr>
              <w:t> </w:t>
            </w:r>
          </w:p>
        </w:tc>
      </w:tr>
      <w:tr>
        <w:trPr>
          <w:trHeight w:val="403" w:hRule="exact"/>
        </w:trPr>
        <w:tc>
          <w:tcPr>
            <w:tcW w:w="3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hyperlink r:id="rId28">
              <w:r>
                <w:rPr>
                  <w:rFonts w:ascii="宋体" w:hAnsi="宋体" w:cs="宋体" w:eastAsia="宋体" w:hint="default"/>
                  <w:sz w:val="18"/>
                  <w:szCs w:val="18"/>
                </w:rPr>
                <w:t>赣江新区嘉盈信息技术服务有限公司</w:t>
              </w:r>
            </w:hyperlink>
            <w:r>
              <w:rPr>
                <w:rFonts w:ascii="宋体" w:hAnsi="宋体" w:cs="宋体" w:eastAsia="宋体" w:hint="default"/>
                <w:sz w:val="18"/>
                <w:szCs w:val="18"/>
              </w:rPr>
              <w:t> </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新设成立</w:t>
            </w:r>
            <w:r>
              <w:rPr>
                <w:rFonts w:ascii="宋体" w:hAnsi="宋体" w:cs="宋体" w:eastAsia="宋体" w:hint="default"/>
                <w:sz w:val="18"/>
                <w:szCs w:val="18"/>
              </w:rPr>
              <w:t> </w:t>
            </w:r>
          </w:p>
        </w:tc>
        <w:tc>
          <w:tcPr>
            <w:tcW w:w="3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尚未开展业务产生收益。</w:t>
            </w:r>
            <w:r>
              <w:rPr>
                <w:rFonts w:ascii="宋体" w:hAnsi="宋体" w:cs="宋体" w:eastAsia="宋体" w:hint="default"/>
                <w:sz w:val="18"/>
                <w:szCs w:val="18"/>
              </w:rPr>
              <w:t> </w:t>
            </w:r>
          </w:p>
        </w:tc>
      </w:tr>
      <w:tr>
        <w:trPr>
          <w:trHeight w:val="401" w:hRule="exact"/>
        </w:trPr>
        <w:tc>
          <w:tcPr>
            <w:tcW w:w="3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合肥御聚信息技术有限公司</w:t>
            </w:r>
            <w:r>
              <w:rPr>
                <w:rFonts w:ascii="宋体" w:hAnsi="宋体" w:cs="宋体" w:eastAsia="宋体" w:hint="default"/>
                <w:sz w:val="18"/>
                <w:szCs w:val="18"/>
              </w:rPr>
              <w:t> </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注销</w:t>
            </w:r>
            <w:r>
              <w:rPr>
                <w:rFonts w:ascii="宋体" w:hAnsi="宋体" w:cs="宋体" w:eastAsia="宋体" w:hint="default"/>
                <w:sz w:val="18"/>
                <w:szCs w:val="18"/>
              </w:rPr>
              <w:t> </w:t>
            </w:r>
          </w:p>
        </w:tc>
        <w:tc>
          <w:tcPr>
            <w:tcW w:w="3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未开展业务，未产生收益。</w:t>
            </w:r>
            <w:r>
              <w:rPr>
                <w:rFonts w:ascii="宋体" w:hAnsi="宋体" w:cs="宋体" w:eastAsia="宋体" w:hint="default"/>
                <w:sz w:val="18"/>
                <w:szCs w:val="18"/>
              </w:rPr>
              <w:t> </w:t>
            </w:r>
          </w:p>
        </w:tc>
      </w:tr>
      <w:tr>
        <w:trPr>
          <w:trHeight w:val="403" w:hRule="exact"/>
        </w:trPr>
        <w:tc>
          <w:tcPr>
            <w:tcW w:w="32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霍尔果斯长实云谷信息科技有限公司</w:t>
            </w:r>
            <w:r>
              <w:rPr>
                <w:rFonts w:ascii="宋体" w:hAnsi="宋体" w:cs="宋体" w:eastAsia="宋体" w:hint="default"/>
                <w:sz w:val="18"/>
                <w:szCs w:val="18"/>
              </w:rPr>
              <w:t> </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注销</w:t>
            </w:r>
            <w:r>
              <w:rPr>
                <w:rFonts w:ascii="宋体" w:hAnsi="宋体" w:cs="宋体" w:eastAsia="宋体" w:hint="default"/>
                <w:sz w:val="18"/>
                <w:szCs w:val="18"/>
              </w:rPr>
              <w:t> </w:t>
            </w:r>
          </w:p>
        </w:tc>
        <w:tc>
          <w:tcPr>
            <w:tcW w:w="3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未开展业务，未产生收益。</w:t>
            </w:r>
            <w:r>
              <w:rPr>
                <w:rFonts w:ascii="宋体" w:hAnsi="宋体" w:cs="宋体" w:eastAsia="宋体" w:hint="default"/>
                <w:sz w:val="18"/>
                <w:szCs w:val="18"/>
              </w:rPr>
              <w:t> </w:t>
            </w:r>
          </w:p>
        </w:tc>
      </w:tr>
    </w:tbl>
    <w:p>
      <w:pPr>
        <w:spacing w:line="240" w:lineRule="auto" w:before="6"/>
        <w:rPr>
          <w:rFonts w:ascii="宋体" w:hAnsi="宋体" w:cs="宋体" w:eastAsia="宋体" w:hint="default"/>
          <w:sz w:val="5"/>
          <w:szCs w:val="5"/>
        </w:rPr>
      </w:pPr>
    </w:p>
    <w:p>
      <w:pPr>
        <w:pStyle w:val="Heading3"/>
        <w:spacing w:line="240" w:lineRule="auto"/>
        <w:ind w:right="1133"/>
        <w:jc w:val="left"/>
        <w:rPr>
          <w:rFonts w:ascii="宋体" w:hAnsi="宋体" w:cs="宋体" w:eastAsia="宋体" w:hint="default"/>
          <w:b w:val="0"/>
          <w:bCs w:val="0"/>
        </w:rPr>
      </w:pPr>
      <w:r>
        <w:rPr/>
        <w:t>（三）主要控股参股公司情况说明</w:t>
      </w:r>
      <w:r>
        <w:rPr>
          <w:rFonts w:ascii="宋体" w:hAnsi="宋体" w:cs="宋体" w:eastAsia="宋体" w:hint="default"/>
          <w:w w:val="99"/>
        </w:rPr>
        <w:t> </w:t>
      </w:r>
      <w:r>
        <w:rPr>
          <w:rFonts w:ascii="宋体" w:hAnsi="宋体" w:cs="宋体" w:eastAsia="宋体" w:hint="default"/>
          <w:b w:val="0"/>
          <w:bCs w:val="0"/>
        </w:rPr>
      </w:r>
    </w:p>
    <w:p>
      <w:pPr>
        <w:pStyle w:val="BodyText"/>
        <w:spacing w:line="273" w:lineRule="auto" w:before="157"/>
        <w:ind w:right="1126" w:firstLine="358"/>
        <w:jc w:val="both"/>
        <w:rPr>
          <w:rFonts w:ascii="宋体" w:hAnsi="宋体" w:cs="宋体" w:eastAsia="宋体" w:hint="default"/>
        </w:rPr>
      </w:pPr>
      <w:r>
        <w:rPr>
          <w:rFonts w:ascii="宋体" w:hAnsi="宋体" w:cs="宋体" w:eastAsia="宋体" w:hint="default"/>
          <w:spacing w:val="-3"/>
        </w:rPr>
        <w:t>1</w:t>
      </w:r>
      <w:r>
        <w:rPr>
          <w:spacing w:val="-3"/>
        </w:rPr>
        <w:t>、报告期内，市场对营销类短信的管控力度增加，导致此类短信的发送规模大幅下降，创世漫道实现</w:t>
      </w:r>
      <w:r>
        <w:rPr>
          <w:w w:val="100"/>
        </w:rPr>
        <w:t> </w:t>
      </w:r>
      <w:r>
        <w:rPr/>
        <w:t>营收同比降幅</w:t>
      </w:r>
      <w:r>
        <w:rPr>
          <w:rFonts w:ascii="宋体" w:hAnsi="宋体" w:cs="宋体" w:eastAsia="宋体" w:hint="default"/>
        </w:rPr>
        <w:t>9.54%</w:t>
      </w:r>
      <w:r>
        <w:rPr/>
        <w:t>；因两家运营商于本期二季度将较低的通道资费大幅提高，创世漫道营业成本同比增</w:t>
      </w:r>
      <w:r>
        <w:rPr>
          <w:spacing w:val="-30"/>
        </w:rPr>
        <w:t> </w:t>
      </w:r>
      <w:r>
        <w:rPr>
          <w:spacing w:val="-30"/>
        </w:rPr>
      </w:r>
      <w:r>
        <w:rPr/>
        <w:t>幅</w:t>
      </w:r>
      <w:r>
        <w:rPr>
          <w:rFonts w:ascii="宋体" w:hAnsi="宋体" w:cs="宋体" w:eastAsia="宋体" w:hint="default"/>
        </w:rPr>
        <w:t>3.34%</w:t>
      </w:r>
      <w:r>
        <w:rPr/>
        <w:t>；创世漫道主要费用销售费用同比降幅</w:t>
      </w:r>
      <w:r>
        <w:rPr>
          <w:rFonts w:ascii="宋体" w:hAnsi="宋体" w:cs="宋体" w:eastAsia="宋体" w:hint="default"/>
        </w:rPr>
        <w:t>48.29%</w:t>
      </w:r>
      <w:r>
        <w:rPr/>
        <w:t>、管理费用同比降幅</w:t>
      </w:r>
      <w:r>
        <w:rPr>
          <w:rFonts w:ascii="宋体" w:hAnsi="宋体" w:cs="宋体" w:eastAsia="宋体" w:hint="default"/>
        </w:rPr>
        <w:t>15.67%</w:t>
      </w:r>
      <w:r>
        <w:rPr/>
        <w:t>；因成本上升，创世漫</w:t>
      </w:r>
      <w:r>
        <w:rPr>
          <w:spacing w:val="-30"/>
        </w:rPr>
        <w:t> </w:t>
      </w:r>
      <w:r>
        <w:rPr>
          <w:spacing w:val="-30"/>
        </w:rPr>
      </w:r>
      <w:r>
        <w:rPr/>
        <w:t>道实现净利润同比降幅</w:t>
      </w:r>
      <w:r>
        <w:rPr>
          <w:rFonts w:ascii="宋体" w:hAnsi="宋体" w:cs="宋体" w:eastAsia="宋体" w:hint="default"/>
        </w:rPr>
        <w:t>115.32%</w:t>
      </w:r>
      <w:r>
        <w:rPr/>
        <w:t>。</w:t>
      </w:r>
      <w:r>
        <w:rPr>
          <w:rFonts w:ascii="宋体" w:hAnsi="宋体" w:cs="宋体" w:eastAsia="宋体" w:hint="default"/>
        </w:rPr>
        <w:t> </w:t>
      </w:r>
    </w:p>
    <w:p>
      <w:pPr>
        <w:pStyle w:val="BodyText"/>
        <w:spacing w:line="273" w:lineRule="auto" w:before="127"/>
        <w:ind w:right="1126" w:firstLine="358"/>
        <w:jc w:val="both"/>
        <w:rPr>
          <w:rFonts w:ascii="宋体" w:hAnsi="宋体" w:cs="宋体" w:eastAsia="宋体" w:hint="default"/>
        </w:rPr>
      </w:pPr>
      <w:r>
        <w:rPr>
          <w:rFonts w:ascii="宋体" w:hAnsi="宋体" w:cs="宋体" w:eastAsia="宋体" w:hint="default"/>
          <w:spacing w:val="-6"/>
        </w:rPr>
        <w:t>2</w:t>
      </w:r>
      <w:r>
        <w:rPr>
          <w:spacing w:val="-6"/>
        </w:rPr>
        <w:t>、报告期内，因主要客户中国移动、中国铁塔业务及新客户中移铁通业务及</w:t>
      </w:r>
      <w:r>
        <w:rPr>
          <w:rFonts w:ascii="宋体" w:hAnsi="宋体" w:cs="宋体" w:eastAsia="宋体" w:hint="default"/>
          <w:spacing w:val="-6"/>
        </w:rPr>
        <w:t>IDC</w:t>
      </w:r>
      <w:r>
        <w:rPr>
          <w:spacing w:val="-6"/>
        </w:rPr>
        <w:t>机房维护业务等增加，</w:t>
      </w:r>
      <w:r>
        <w:rPr>
          <w:w w:val="100"/>
        </w:rPr>
        <w:t> </w:t>
      </w:r>
      <w:r>
        <w:rPr>
          <w:spacing w:val="-2"/>
        </w:rPr>
        <w:t>受行业环境影响，在</w:t>
      </w:r>
      <w:r>
        <w:rPr>
          <w:rFonts w:ascii="宋体" w:hAnsi="宋体" w:cs="宋体" w:eastAsia="宋体" w:hint="default"/>
          <w:spacing w:val="-2"/>
        </w:rPr>
        <w:t>2019</w:t>
      </w:r>
      <w:r>
        <w:rPr>
          <w:spacing w:val="-2"/>
        </w:rPr>
        <w:t>年新中标的维护合同折扣率较</w:t>
      </w:r>
      <w:r>
        <w:rPr>
          <w:rFonts w:ascii="宋体" w:hAnsi="宋体" w:cs="宋体" w:eastAsia="宋体" w:hint="default"/>
          <w:spacing w:val="-2"/>
        </w:rPr>
        <w:t>2018</w:t>
      </w:r>
      <w:r>
        <w:rPr>
          <w:spacing w:val="-2"/>
        </w:rPr>
        <w:t>年有所下降，代维业务退出省份较多，部分工</w:t>
      </w:r>
      <w:r>
        <w:rPr>
          <w:spacing w:val="-38"/>
        </w:rPr>
        <w:t> </w:t>
      </w:r>
      <w:r>
        <w:rPr>
          <w:spacing w:val="-38"/>
        </w:rPr>
      </w:r>
      <w:r>
        <w:rPr>
          <w:spacing w:val="-2"/>
        </w:rPr>
        <w:t>程类项目在</w:t>
      </w:r>
      <w:r>
        <w:rPr>
          <w:rFonts w:ascii="宋体" w:hAnsi="宋体" w:cs="宋体" w:eastAsia="宋体" w:hint="default"/>
          <w:spacing w:val="-2"/>
        </w:rPr>
        <w:t>2018</w:t>
      </w:r>
      <w:r>
        <w:rPr>
          <w:spacing w:val="-2"/>
        </w:rPr>
        <w:t>年完工后，在</w:t>
      </w:r>
      <w:r>
        <w:rPr>
          <w:rFonts w:ascii="宋体" w:hAnsi="宋体" w:cs="宋体" w:eastAsia="宋体" w:hint="default"/>
          <w:spacing w:val="-2"/>
        </w:rPr>
        <w:t>2019</w:t>
      </w:r>
      <w:r>
        <w:rPr>
          <w:spacing w:val="-2"/>
        </w:rPr>
        <w:t>年并未中标同类型项目，长实通信实现营收同比降幅</w:t>
      </w:r>
      <w:r>
        <w:rPr>
          <w:rFonts w:ascii="宋体" w:hAnsi="宋体" w:cs="宋体" w:eastAsia="宋体" w:hint="default"/>
          <w:spacing w:val="-2"/>
        </w:rPr>
        <w:t>15.38%</w:t>
      </w:r>
      <w:r>
        <w:rPr>
          <w:spacing w:val="-2"/>
        </w:rPr>
        <w:t>；当期维护</w:t>
      </w:r>
      <w:r>
        <w:rPr>
          <w:spacing w:val="-29"/>
        </w:rPr>
        <w:t> </w:t>
      </w:r>
      <w:r>
        <w:rPr>
          <w:spacing w:val="-29"/>
        </w:rPr>
      </w:r>
      <w:r>
        <w:rPr/>
        <w:t>业务中标单价有所下降，运营商结算时对代维公司的考核维度增加，长实通信营业成本同比降幅</w:t>
      </w:r>
      <w:r>
        <w:rPr>
          <w:rFonts w:ascii="宋体" w:hAnsi="宋体" w:cs="宋体" w:eastAsia="宋体" w:hint="default"/>
        </w:rPr>
        <w:t>9.57%</w:t>
      </w:r>
      <w:r>
        <w:rPr/>
        <w:t>；</w:t>
      </w:r>
      <w:r>
        <w:rPr>
          <w:spacing w:val="-27"/>
        </w:rPr>
        <w:t> </w:t>
      </w:r>
      <w:r>
        <w:rPr/>
        <w:t>因减少人工工资、研发投入、办公等费用，长实通信主要费用管理费用同比降幅</w:t>
      </w:r>
      <w:r>
        <w:rPr>
          <w:rFonts w:ascii="宋体" w:hAnsi="宋体" w:cs="宋体" w:eastAsia="宋体" w:hint="default"/>
        </w:rPr>
        <w:t>8.56%</w:t>
      </w:r>
      <w:r>
        <w:rPr/>
        <w:t>。</w:t>
      </w:r>
      <w:r>
        <w:rPr>
          <w:rFonts w:ascii="宋体" w:hAnsi="宋体" w:cs="宋体" w:eastAsia="宋体" w:hint="default"/>
        </w:rPr>
        <w:t> </w:t>
      </w:r>
    </w:p>
    <w:p>
      <w:pPr>
        <w:pStyle w:val="BodyText"/>
        <w:spacing w:line="273" w:lineRule="auto" w:before="127"/>
        <w:ind w:right="1126" w:firstLine="358"/>
        <w:jc w:val="both"/>
        <w:rPr>
          <w:rFonts w:ascii="宋体" w:hAnsi="宋体" w:cs="宋体" w:eastAsia="宋体" w:hint="default"/>
        </w:rPr>
      </w:pPr>
      <w:r>
        <w:rPr>
          <w:rFonts w:ascii="宋体" w:hAnsi="宋体" w:cs="宋体" w:eastAsia="宋体" w:hint="default"/>
          <w:spacing w:val="-1"/>
        </w:rPr>
        <w:t>3</w:t>
      </w:r>
      <w:r>
        <w:rPr>
          <w:spacing w:val="-1"/>
        </w:rPr>
        <w:t>、报告期内</w:t>
      </w:r>
      <w:r>
        <w:rPr>
          <w:rFonts w:ascii="宋体" w:hAnsi="宋体" w:cs="宋体" w:eastAsia="宋体" w:hint="default"/>
          <w:spacing w:val="-1"/>
        </w:rPr>
        <w:t>,</w:t>
      </w:r>
      <w:r>
        <w:rPr>
          <w:spacing w:val="-1"/>
        </w:rPr>
        <w:t>随着金融行业对金融服务外包的需求增加公司此类收入规模增长，嘉华信息</w:t>
      </w:r>
      <w:r>
        <w:rPr>
          <w:rFonts w:ascii="宋体" w:hAnsi="宋体" w:cs="宋体" w:eastAsia="宋体" w:hint="default"/>
          <w:spacing w:val="-1"/>
        </w:rPr>
        <w:t>2019</w:t>
      </w:r>
      <w:r>
        <w:rPr>
          <w:spacing w:val="-1"/>
        </w:rPr>
        <w:t>年全年</w:t>
      </w:r>
      <w:r>
        <w:rPr>
          <w:w w:val="100"/>
        </w:rPr>
        <w:t> </w:t>
      </w:r>
      <w:r>
        <w:rPr/>
        <w:t>实现营收同比</w:t>
      </w:r>
      <w:r>
        <w:rPr>
          <w:rFonts w:ascii="宋体" w:hAnsi="宋体" w:cs="宋体" w:eastAsia="宋体" w:hint="default"/>
        </w:rPr>
        <w:t>2018</w:t>
      </w:r>
      <w:r>
        <w:rPr/>
        <w:t>年全年增长</w:t>
      </w:r>
      <w:r>
        <w:rPr>
          <w:rFonts w:ascii="宋体" w:hAnsi="宋体" w:cs="宋体" w:eastAsia="宋体" w:hint="default"/>
        </w:rPr>
        <w:t>34.93%</w:t>
      </w:r>
      <w:r>
        <w:rPr/>
        <w:t>，营业成本增加</w:t>
      </w:r>
      <w:r>
        <w:rPr>
          <w:rFonts w:ascii="宋体" w:hAnsi="宋体" w:cs="宋体" w:eastAsia="宋体" w:hint="default"/>
        </w:rPr>
        <w:t>,</w:t>
      </w:r>
      <w:r>
        <w:rPr>
          <w:rFonts w:ascii="宋体" w:hAnsi="宋体" w:cs="宋体" w:eastAsia="宋体" w:hint="default"/>
          <w:spacing w:val="-29"/>
        </w:rPr>
        <w:t> </w:t>
      </w:r>
      <w:r>
        <w:rPr/>
        <w:t>控制费用支出期间费用比上年同期下降</w:t>
      </w:r>
      <w:r>
        <w:rPr>
          <w:rFonts w:ascii="宋体" w:hAnsi="宋体" w:cs="宋体" w:eastAsia="宋体" w:hint="default"/>
        </w:rPr>
        <w:t>3.48%,</w:t>
      </w:r>
      <w:r>
        <w:rPr/>
        <w:t>实现</w:t>
      </w:r>
      <w:r>
        <w:rPr>
          <w:w w:val="100"/>
        </w:rPr>
        <w:t> </w:t>
      </w:r>
      <w:r>
        <w:rPr/>
        <w:t>净利润同比增幅</w:t>
      </w:r>
      <w:r>
        <w:rPr>
          <w:spacing w:val="-5"/>
        </w:rPr>
        <w:t> </w:t>
      </w:r>
      <w:r>
        <w:rPr>
          <w:rFonts w:ascii="宋体" w:hAnsi="宋体" w:cs="宋体" w:eastAsia="宋体" w:hint="default"/>
          <w:spacing w:val="-5"/>
        </w:rPr>
      </w:r>
      <w:r>
        <w:rPr>
          <w:rFonts w:ascii="宋体" w:hAnsi="宋体" w:cs="宋体" w:eastAsia="宋体" w:hint="default"/>
        </w:rPr>
        <w:t>19.66%</w:t>
      </w:r>
      <w:r>
        <w:rPr/>
        <w:t>。</w:t>
      </w:r>
      <w:r>
        <w:rPr>
          <w:rFonts w:ascii="宋体" w:hAnsi="宋体" w:cs="宋体" w:eastAsia="宋体" w:hint="default"/>
        </w:rPr>
        <w:t> </w:t>
      </w:r>
    </w:p>
    <w:p>
      <w:pPr>
        <w:pStyle w:val="Heading2"/>
        <w:spacing w:line="240" w:lineRule="auto" w:before="102"/>
        <w:ind w:right="1133"/>
        <w:jc w:val="left"/>
        <w:rPr>
          <w:b w:val="0"/>
          <w:bCs w:val="0"/>
        </w:rPr>
      </w:pPr>
      <w:r>
        <w:rPr/>
        <w:t>七、公司控制的结构化主体情况</w:t>
      </w:r>
      <w:r>
        <w:rPr>
          <w:b w:val="0"/>
          <w:bCs w:val="0"/>
        </w:rPr>
      </w:r>
    </w:p>
    <w:p>
      <w:pPr>
        <w:pStyle w:val="BodyText"/>
        <w:spacing w:line="240" w:lineRule="auto" w:before="143"/>
        <w:ind w:left="510" w:right="1133"/>
        <w:jc w:val="left"/>
        <w:rPr>
          <w:rFonts w:ascii="宋体" w:hAnsi="宋体" w:cs="宋体" w:eastAsia="宋体" w:hint="default"/>
        </w:rPr>
      </w:pPr>
      <w:r>
        <w:rPr/>
        <w:t>□ 适用 </w:t>
      </w:r>
      <w:r>
        <w:rPr>
          <w:rFonts w:ascii="宋体" w:hAnsi="宋体" w:cs="宋体" w:eastAsia="宋体" w:hint="default"/>
        </w:rPr>
      </w:r>
      <w:r>
        <w:rPr>
          <w:spacing w:val="-3"/>
        </w:rPr>
        <w:t>√</w:t>
      </w:r>
      <w:r>
        <w:rPr/>
        <w:t> 不适用</w:t>
      </w:r>
      <w:r>
        <w:rPr>
          <w:rFonts w:ascii="宋体" w:hAnsi="宋体" w:cs="宋体" w:eastAsia="宋体" w:hint="default"/>
        </w:rPr>
        <w:t> </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2"/>
          <w:szCs w:val="22"/>
        </w:rPr>
      </w:pPr>
    </w:p>
    <w:p>
      <w:pPr>
        <w:pStyle w:val="BodyText"/>
        <w:spacing w:line="240" w:lineRule="auto" w:before="36"/>
        <w:ind w:left="510" w:right="0"/>
        <w:jc w:val="left"/>
        <w:rPr>
          <w:rFonts w:ascii="宋体" w:hAnsi="宋体" w:cs="宋体" w:eastAsia="宋体" w:hint="default"/>
        </w:rPr>
      </w:pPr>
      <w:r>
        <w:rPr>
          <w:rFonts w:ascii="宋体"/>
          <w:w w:val="100"/>
        </w:rPr>
        <w:t> </w:t>
      </w:r>
    </w:p>
    <w:p>
      <w:pPr>
        <w:spacing w:after="0" w:line="240" w:lineRule="auto"/>
        <w:jc w:val="left"/>
        <w:rPr>
          <w:rFonts w:ascii="宋体" w:hAnsi="宋体" w:cs="宋体" w:eastAsia="宋体" w:hint="default"/>
        </w:rPr>
        <w:sectPr>
          <w:pgSz w:w="11910" w:h="16840"/>
          <w:pgMar w:header="880" w:footer="975" w:top="110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1"/>
          <w:szCs w:val="21"/>
        </w:rPr>
      </w:pPr>
    </w:p>
    <w:p>
      <w:pPr>
        <w:pStyle w:val="Heading2"/>
        <w:tabs>
          <w:tab w:pos="4370" w:val="left" w:leader="none"/>
        </w:tabs>
        <w:spacing w:line="240" w:lineRule="auto"/>
        <w:ind w:left="3405" w:right="1133"/>
        <w:jc w:val="left"/>
        <w:rPr>
          <w:b w:val="0"/>
          <w:bCs w:val="0"/>
        </w:rPr>
      </w:pPr>
      <w:r>
        <w:rPr>
          <w:w w:val="95"/>
        </w:rPr>
        <w:t>第三节</w:t>
        <w:tab/>
      </w:r>
      <w:r>
        <w:rPr/>
        <w:t>公司未来发展的展望</w:t>
      </w:r>
      <w:r>
        <w:rPr>
          <w:b w:val="0"/>
          <w:bCs w:val="0"/>
        </w:rPr>
      </w:r>
    </w:p>
    <w:p>
      <w:pPr>
        <w:spacing w:line="240" w:lineRule="auto" w:before="4"/>
        <w:rPr>
          <w:rFonts w:ascii="宋体" w:hAnsi="宋体" w:cs="宋体" w:eastAsia="宋体" w:hint="default"/>
          <w:b/>
          <w:bCs/>
          <w:sz w:val="29"/>
          <w:szCs w:val="29"/>
        </w:rPr>
      </w:pPr>
    </w:p>
    <w:p>
      <w:pPr>
        <w:spacing w:line="307" w:lineRule="auto" w:before="0"/>
        <w:ind w:left="573" w:right="4490" w:firstLine="2"/>
        <w:jc w:val="left"/>
        <w:rPr>
          <w:rFonts w:ascii="宋体" w:hAnsi="宋体" w:cs="宋体" w:eastAsia="宋体" w:hint="default"/>
          <w:sz w:val="21"/>
          <w:szCs w:val="21"/>
        </w:rPr>
      </w:pPr>
      <w:r>
        <w:rPr>
          <w:rFonts w:ascii="宋体" w:hAnsi="宋体" w:cs="宋体" w:eastAsia="宋体" w:hint="default"/>
          <w:b/>
          <w:bCs/>
          <w:sz w:val="21"/>
          <w:szCs w:val="21"/>
        </w:rPr>
        <w:t>一、行业格局和趋势</w:t>
      </w:r>
      <w:r>
        <w:rPr>
          <w:rFonts w:ascii="宋体" w:hAnsi="宋体" w:cs="宋体" w:eastAsia="宋体" w:hint="default"/>
          <w:b/>
          <w:bCs/>
          <w:w w:val="99"/>
          <w:sz w:val="21"/>
          <w:szCs w:val="21"/>
        </w:rPr>
        <w:t> </w:t>
      </w:r>
      <w:r>
        <w:rPr>
          <w:rFonts w:ascii="宋体" w:hAnsi="宋体" w:cs="宋体" w:eastAsia="宋体" w:hint="default"/>
          <w:spacing w:val="-2"/>
          <w:sz w:val="21"/>
          <w:szCs w:val="21"/>
        </w:rPr>
        <w:t>参见“经营情况讨论与分析”中的“一、概述”相关内容。</w:t>
      </w:r>
    </w:p>
    <w:p>
      <w:pPr>
        <w:pStyle w:val="Heading3"/>
        <w:spacing w:line="240" w:lineRule="auto" w:before="96"/>
        <w:ind w:left="575" w:right="1133"/>
        <w:jc w:val="left"/>
        <w:rPr>
          <w:rFonts w:ascii="宋体" w:hAnsi="宋体" w:cs="宋体" w:eastAsia="宋体" w:hint="default"/>
          <w:b w:val="0"/>
          <w:bCs w:val="0"/>
        </w:rPr>
      </w:pPr>
      <w:r>
        <w:rPr/>
        <w:t>二、公司发展战略</w:t>
      </w:r>
      <w:r>
        <w:rPr>
          <w:rFonts w:ascii="宋体" w:hAnsi="宋体" w:cs="宋体" w:eastAsia="宋体" w:hint="default"/>
          <w:w w:val="99"/>
        </w:rPr>
        <w:t> </w:t>
      </w:r>
      <w:r>
        <w:rPr>
          <w:rFonts w:ascii="宋体" w:hAnsi="宋体" w:cs="宋体" w:eastAsia="宋体" w:hint="default"/>
          <w:b w:val="0"/>
          <w:bCs w:val="0"/>
        </w:rPr>
      </w:r>
    </w:p>
    <w:p>
      <w:pPr>
        <w:spacing w:line="240" w:lineRule="auto" w:before="10"/>
        <w:rPr>
          <w:rFonts w:ascii="宋体" w:hAnsi="宋体" w:cs="宋体" w:eastAsia="宋体" w:hint="default"/>
          <w:b/>
          <w:bCs/>
          <w:sz w:val="14"/>
          <w:szCs w:val="14"/>
        </w:rPr>
      </w:pPr>
    </w:p>
    <w:p>
      <w:pPr>
        <w:spacing w:line="316" w:lineRule="auto" w:before="0"/>
        <w:ind w:left="573" w:right="4490" w:firstLine="2"/>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一</w:t>
      </w:r>
      <w:r>
        <w:rPr>
          <w:rFonts w:ascii="宋体" w:hAnsi="宋体" w:cs="宋体" w:eastAsia="宋体" w:hint="default"/>
          <w:b/>
          <w:bCs/>
          <w:sz w:val="21"/>
          <w:szCs w:val="21"/>
        </w:rPr>
        <w:t>)</w:t>
      </w:r>
      <w:r>
        <w:rPr>
          <w:rFonts w:ascii="宋体" w:hAnsi="宋体" w:cs="宋体" w:eastAsia="宋体" w:hint="default"/>
          <w:b/>
          <w:bCs/>
          <w:spacing w:val="-2"/>
          <w:sz w:val="21"/>
          <w:szCs w:val="21"/>
        </w:rPr>
        <w:t> </w:t>
      </w:r>
      <w:r>
        <w:rPr>
          <w:rFonts w:ascii="宋体" w:hAnsi="宋体" w:cs="宋体" w:eastAsia="宋体" w:hint="default"/>
          <w:b/>
          <w:bCs/>
          <w:sz w:val="21"/>
          <w:szCs w:val="21"/>
        </w:rPr>
        <w:t>行业壁垒</w:t>
      </w:r>
      <w:r>
        <w:rPr>
          <w:rFonts w:ascii="宋体" w:hAnsi="宋体" w:cs="宋体" w:eastAsia="宋体" w:hint="default"/>
          <w:b/>
          <w:bCs/>
          <w:w w:val="99"/>
          <w:sz w:val="21"/>
          <w:szCs w:val="21"/>
        </w:rPr>
        <w:t> </w:t>
      </w:r>
      <w:r>
        <w:rPr>
          <w:rFonts w:ascii="宋体" w:hAnsi="宋体" w:cs="宋体" w:eastAsia="宋体" w:hint="default"/>
          <w:sz w:val="21"/>
          <w:szCs w:val="21"/>
        </w:rPr>
        <w:t>参见“经营情况讨论与分析”中的“一、概述”相关内容。</w:t>
      </w:r>
      <w:r>
        <w:rPr>
          <w:rFonts w:ascii="宋体" w:hAnsi="宋体" w:cs="宋体" w:eastAsia="宋体" w:hint="default"/>
          <w:w w:val="100"/>
          <w:sz w:val="21"/>
          <w:szCs w:val="21"/>
        </w:rPr>
        <w:t> </w:t>
      </w:r>
      <w:r>
        <w:rPr>
          <w:rFonts w:ascii="宋体" w:hAnsi="宋体" w:cs="宋体" w:eastAsia="宋体" w:hint="default"/>
          <w:b/>
          <w:bCs/>
          <w:sz w:val="21"/>
          <w:szCs w:val="21"/>
        </w:rPr>
        <w:t>(</w:t>
      </w:r>
      <w:r>
        <w:rPr>
          <w:rFonts w:ascii="宋体" w:hAnsi="宋体" w:cs="宋体" w:eastAsia="宋体" w:hint="default"/>
          <w:b/>
          <w:bCs/>
          <w:sz w:val="21"/>
          <w:szCs w:val="21"/>
        </w:rPr>
        <w:t>二</w:t>
      </w:r>
      <w:r>
        <w:rPr>
          <w:rFonts w:ascii="宋体" w:hAnsi="宋体" w:cs="宋体" w:eastAsia="宋体" w:hint="default"/>
          <w:b/>
          <w:bCs/>
          <w:sz w:val="21"/>
          <w:szCs w:val="21"/>
        </w:rPr>
        <w:t>)</w:t>
      </w:r>
      <w:r>
        <w:rPr>
          <w:rFonts w:ascii="宋体" w:hAnsi="宋体" w:cs="宋体" w:eastAsia="宋体" w:hint="default"/>
          <w:b/>
          <w:bCs/>
          <w:spacing w:val="-3"/>
          <w:sz w:val="21"/>
          <w:szCs w:val="21"/>
        </w:rPr>
        <w:t> </w:t>
      </w:r>
      <w:r>
        <w:rPr>
          <w:rFonts w:ascii="宋体" w:hAnsi="宋体" w:cs="宋体" w:eastAsia="宋体" w:hint="default"/>
          <w:b/>
          <w:bCs/>
          <w:sz w:val="21"/>
          <w:szCs w:val="21"/>
        </w:rPr>
        <w:t>发展战略</w:t>
      </w:r>
      <w:r>
        <w:rPr>
          <w:rFonts w:ascii="宋体" w:hAnsi="宋体" w:cs="宋体" w:eastAsia="宋体" w:hint="default"/>
          <w:b/>
          <w:bCs/>
          <w:w w:val="99"/>
          <w:sz w:val="21"/>
          <w:szCs w:val="21"/>
        </w:rPr>
        <w:t> </w:t>
      </w:r>
      <w:r>
        <w:rPr>
          <w:rFonts w:ascii="宋体" w:hAnsi="宋体" w:cs="宋体" w:eastAsia="宋体" w:hint="default"/>
          <w:sz w:val="21"/>
          <w:szCs w:val="21"/>
        </w:rPr>
      </w:r>
    </w:p>
    <w:p>
      <w:pPr>
        <w:spacing w:line="376" w:lineRule="auto" w:before="90"/>
        <w:ind w:left="575" w:right="4490" w:hanging="3"/>
        <w:jc w:val="left"/>
        <w:rPr>
          <w:rFonts w:ascii="宋体" w:hAnsi="宋体" w:cs="宋体" w:eastAsia="宋体" w:hint="default"/>
          <w:sz w:val="21"/>
          <w:szCs w:val="21"/>
        </w:rPr>
      </w:pPr>
      <w:r>
        <w:rPr>
          <w:rFonts w:ascii="宋体" w:hAnsi="宋体" w:cs="宋体" w:eastAsia="宋体" w:hint="default"/>
          <w:sz w:val="21"/>
          <w:szCs w:val="21"/>
        </w:rPr>
        <w:t>参见“经营情况讨论与分析”中的“一、概述”相关内容。</w:t>
      </w:r>
      <w:r>
        <w:rPr>
          <w:rFonts w:ascii="宋体" w:hAnsi="宋体" w:cs="宋体" w:eastAsia="宋体" w:hint="default"/>
          <w:w w:val="100"/>
          <w:sz w:val="21"/>
          <w:szCs w:val="21"/>
        </w:rPr>
        <w:t> </w:t>
      </w:r>
      <w:r>
        <w:rPr>
          <w:rFonts w:ascii="宋体" w:hAnsi="宋体" w:cs="宋体" w:eastAsia="宋体" w:hint="default"/>
          <w:b/>
          <w:bCs/>
          <w:sz w:val="21"/>
          <w:szCs w:val="21"/>
        </w:rPr>
        <w:t>三、经营计划</w:t>
      </w:r>
      <w:r>
        <w:rPr>
          <w:rFonts w:ascii="宋体" w:hAnsi="宋体" w:cs="宋体" w:eastAsia="宋体" w:hint="default"/>
          <w:b/>
          <w:bCs/>
          <w:w w:val="99"/>
          <w:sz w:val="21"/>
          <w:szCs w:val="21"/>
        </w:rPr>
        <w:t> </w:t>
      </w:r>
      <w:r>
        <w:rPr>
          <w:rFonts w:ascii="宋体" w:hAnsi="宋体" w:cs="宋体" w:eastAsia="宋体" w:hint="default"/>
          <w:sz w:val="21"/>
          <w:szCs w:val="21"/>
        </w:rPr>
      </w:r>
    </w:p>
    <w:p>
      <w:pPr>
        <w:pStyle w:val="Heading3"/>
        <w:spacing w:line="240" w:lineRule="auto" w:before="73"/>
        <w:ind w:left="575" w:right="1133"/>
        <w:jc w:val="left"/>
        <w:rPr>
          <w:rFonts w:ascii="宋体" w:hAnsi="宋体" w:cs="宋体" w:eastAsia="宋体" w:hint="default"/>
          <w:b w:val="0"/>
          <w:bCs w:val="0"/>
        </w:rPr>
      </w:pPr>
      <w:r>
        <w:rPr>
          <w:rFonts w:ascii="宋体" w:hAnsi="宋体" w:cs="宋体" w:eastAsia="宋体" w:hint="default"/>
        </w:rPr>
        <w:t>(</w:t>
      </w:r>
      <w:r>
        <w:rPr/>
        <w:t>一</w:t>
      </w:r>
      <w:r>
        <w:rPr>
          <w:rFonts w:ascii="宋体" w:hAnsi="宋体" w:cs="宋体" w:eastAsia="宋体" w:hint="default"/>
        </w:rPr>
        <w:t>)</w:t>
      </w:r>
      <w:r>
        <w:rPr>
          <w:rFonts w:ascii="宋体" w:hAnsi="宋体" w:cs="宋体" w:eastAsia="宋体" w:hint="default"/>
          <w:spacing w:val="-2"/>
        </w:rPr>
        <w:t> </w:t>
      </w:r>
      <w:r>
        <w:rPr/>
        <w:t>公司</w:t>
      </w:r>
      <w:r>
        <w:rPr>
          <w:spacing w:val="-55"/>
        </w:rPr>
        <w:t> </w:t>
      </w:r>
      <w:r>
        <w:rPr>
          <w:rFonts w:ascii="宋体" w:hAnsi="宋体" w:cs="宋体" w:eastAsia="宋体" w:hint="default"/>
        </w:rPr>
        <w:t>2020</w:t>
      </w:r>
      <w:r>
        <w:rPr>
          <w:rFonts w:ascii="宋体" w:hAnsi="宋体" w:cs="宋体" w:eastAsia="宋体" w:hint="default"/>
          <w:spacing w:val="-55"/>
        </w:rPr>
        <w:t> </w:t>
      </w:r>
      <w:r>
        <w:rPr/>
        <w:t>年度经营计划</w:t>
      </w:r>
      <w:r>
        <w:rPr>
          <w:rFonts w:ascii="宋体" w:hAnsi="宋体" w:cs="宋体" w:eastAsia="宋体" w:hint="default"/>
          <w:w w:val="99"/>
        </w:rPr>
        <w:t> </w:t>
      </w:r>
      <w:r>
        <w:rPr>
          <w:rFonts w:ascii="宋体" w:hAnsi="宋体" w:cs="宋体" w:eastAsia="宋体" w:hint="default"/>
          <w:b w:val="0"/>
          <w:bCs w:val="0"/>
        </w:rPr>
      </w:r>
    </w:p>
    <w:p>
      <w:pPr>
        <w:spacing w:line="240" w:lineRule="auto" w:before="10"/>
        <w:rPr>
          <w:rFonts w:ascii="宋体" w:hAnsi="宋体" w:cs="宋体" w:eastAsia="宋体" w:hint="default"/>
          <w:b/>
          <w:bCs/>
          <w:sz w:val="14"/>
          <w:szCs w:val="14"/>
        </w:rPr>
      </w:pPr>
    </w:p>
    <w:p>
      <w:pPr>
        <w:pStyle w:val="BodyText"/>
        <w:spacing w:line="273" w:lineRule="auto"/>
        <w:ind w:right="819" w:firstLine="420"/>
        <w:jc w:val="left"/>
        <w:rPr>
          <w:rFonts w:ascii="宋体" w:hAnsi="宋体" w:cs="宋体" w:eastAsia="宋体" w:hint="default"/>
        </w:rPr>
      </w:pPr>
      <w:r>
        <w:rPr>
          <w:rFonts w:ascii="宋体" w:hAnsi="宋体" w:cs="宋体" w:eastAsia="宋体" w:hint="default"/>
        </w:rPr>
        <w:t>2020</w:t>
      </w:r>
      <w:r>
        <w:rPr>
          <w:rFonts w:ascii="宋体" w:hAnsi="宋体" w:cs="宋体" w:eastAsia="宋体" w:hint="default"/>
          <w:spacing w:val="-29"/>
        </w:rPr>
        <w:t> </w:t>
      </w:r>
      <w:r>
        <w:rPr>
          <w:spacing w:val="-4"/>
        </w:rPr>
        <w:t>年公司将在保持现有业务规模和客户基础上进一步对客户需求进行深度挖掘，一方面努力扩大市</w:t>
      </w:r>
      <w:r>
        <w:rPr>
          <w:w w:val="100"/>
        </w:rPr>
        <w:t> </w:t>
      </w:r>
      <w:r>
        <w:rPr>
          <w:spacing w:val="-2"/>
        </w:rPr>
        <w:t>场份额增加客户数量，另一方面为客户创造更多的增值服务，使客户价值最大化。对国内外行业相关动态</w:t>
      </w:r>
      <w:r>
        <w:rPr>
          <w:spacing w:val="-45"/>
        </w:rPr>
        <w:t> </w:t>
      </w:r>
      <w:r>
        <w:rPr>
          <w:spacing w:val="-45"/>
        </w:rPr>
      </w:r>
      <w:r>
        <w:rPr>
          <w:spacing w:val="-2"/>
        </w:rPr>
        <w:t>持续保持关注，加大技术研发投入，进行技术创新，为客户创造更好更便捷的服务和客户体验。同时，在</w:t>
      </w:r>
      <w:r>
        <w:rPr>
          <w:spacing w:val="-43"/>
        </w:rPr>
        <w:t> </w:t>
      </w:r>
      <w:r>
        <w:rPr>
          <w:spacing w:val="-43"/>
        </w:rPr>
      </w:r>
      <w:r>
        <w:rPr/>
        <w:t>电信市场整体资费下降、行业毛利持续走低的大环境背景下，公司将加强经营管理力度，努力降低成本，</w:t>
      </w:r>
      <w:r>
        <w:rPr>
          <w:spacing w:val="-24"/>
        </w:rPr>
        <w:t> </w:t>
      </w:r>
      <w:r>
        <w:rPr>
          <w:spacing w:val="-24"/>
        </w:rPr>
      </w:r>
      <w:r>
        <w:rPr/>
        <w:t>严格控制费用支出，做到开源和节流两手抓，减支和增效齐头并举的局面。</w:t>
      </w:r>
      <w:r>
        <w:rPr>
          <w:rFonts w:ascii="宋体" w:hAnsi="宋体" w:cs="宋体" w:eastAsia="宋体" w:hint="default"/>
        </w:rPr>
        <w:t> </w:t>
      </w:r>
    </w:p>
    <w:p>
      <w:pPr>
        <w:pStyle w:val="BodyText"/>
        <w:spacing w:line="273" w:lineRule="auto" w:before="163"/>
        <w:ind w:right="1123" w:firstLine="420"/>
        <w:jc w:val="left"/>
        <w:rPr>
          <w:rFonts w:ascii="宋体" w:hAnsi="宋体" w:cs="宋体" w:eastAsia="宋体" w:hint="default"/>
        </w:rPr>
      </w:pPr>
      <w:r>
        <w:rPr>
          <w:rFonts w:ascii="宋体" w:hAnsi="宋体" w:cs="宋体" w:eastAsia="宋体" w:hint="default"/>
        </w:rPr>
        <w:t>1</w:t>
      </w:r>
      <w:r>
        <w:rPr/>
        <w:t>、</w:t>
      </w:r>
      <w:r>
        <w:rPr>
          <w:rFonts w:ascii="宋体" w:hAnsi="宋体" w:cs="宋体" w:eastAsia="宋体" w:hint="default"/>
        </w:rPr>
        <w:t>2020</w:t>
      </w:r>
      <w:r>
        <w:rPr>
          <w:rFonts w:ascii="宋体" w:hAnsi="宋体" w:cs="宋体" w:eastAsia="宋体" w:hint="default"/>
          <w:spacing w:val="-29"/>
        </w:rPr>
        <w:t> </w:t>
      </w:r>
      <w:r>
        <w:rPr/>
        <w:t>年创世漫道在继续跟进开发规模客户，拓宽信息技术服务领域以短信发送为主，加大对中小</w:t>
      </w:r>
      <w:r>
        <w:rPr>
          <w:w w:val="100"/>
        </w:rPr>
        <w:t> </w:t>
      </w:r>
      <w:r>
        <w:rPr/>
        <w:t>客户的拓展，努力提升高盈利能力。</w:t>
      </w:r>
      <w:r>
        <w:rPr>
          <w:rFonts w:ascii="宋体" w:hAnsi="宋体" w:cs="宋体" w:eastAsia="宋体" w:hint="default"/>
        </w:rPr>
        <w:t> </w:t>
      </w:r>
    </w:p>
    <w:p>
      <w:pPr>
        <w:pStyle w:val="BodyText"/>
        <w:spacing w:line="273" w:lineRule="auto" w:before="163"/>
        <w:ind w:right="1126" w:firstLine="420"/>
        <w:jc w:val="both"/>
        <w:rPr>
          <w:rFonts w:ascii="宋体" w:hAnsi="宋体" w:cs="宋体" w:eastAsia="宋体" w:hint="default"/>
        </w:rPr>
      </w:pPr>
      <w:r>
        <w:rPr>
          <w:rFonts w:ascii="宋体" w:hAnsi="宋体" w:cs="宋体" w:eastAsia="宋体" w:hint="default"/>
        </w:rPr>
        <w:t>2</w:t>
      </w:r>
      <w:r>
        <w:rPr/>
        <w:t>、</w:t>
      </w:r>
      <w:r>
        <w:rPr>
          <w:rFonts w:ascii="宋体" w:hAnsi="宋体" w:cs="宋体" w:eastAsia="宋体" w:hint="default"/>
        </w:rPr>
        <w:t>2020</w:t>
      </w:r>
      <w:r>
        <w:rPr>
          <w:rFonts w:ascii="宋体" w:hAnsi="宋体" w:cs="宋体" w:eastAsia="宋体" w:hint="default"/>
          <w:spacing w:val="-29"/>
        </w:rPr>
        <w:t> </w:t>
      </w:r>
      <w:r>
        <w:rPr/>
        <w:t>年嘉华信息将进一步保持彩短信客户持续增长，进一步提高了企业向供应商采购时的议价能</w:t>
      </w:r>
      <w:r>
        <w:rPr>
          <w:w w:val="100"/>
        </w:rPr>
        <w:t> </w:t>
      </w:r>
      <w:r>
        <w:rPr>
          <w:spacing w:val="-2"/>
        </w:rPr>
        <w:t>力。同时，充分发挥了自身优势，快速拓展金融服务外包业务，在细分市场和区域内形成了一定的品牌效</w:t>
      </w:r>
      <w:r>
        <w:rPr>
          <w:spacing w:val="-47"/>
        </w:rPr>
        <w:t> </w:t>
      </w:r>
      <w:r>
        <w:rPr>
          <w:spacing w:val="-47"/>
        </w:rPr>
      </w:r>
      <w:r>
        <w:rPr/>
        <w:t>应，从事金融服务外包的员工规模持续扩大帮助客户实现业务快速发展。</w:t>
      </w:r>
      <w:r>
        <w:rPr>
          <w:rFonts w:ascii="宋体" w:hAnsi="宋体" w:cs="宋体" w:eastAsia="宋体" w:hint="default"/>
        </w:rPr>
        <w:t> </w:t>
      </w:r>
    </w:p>
    <w:p>
      <w:pPr>
        <w:pStyle w:val="BodyText"/>
        <w:spacing w:line="273" w:lineRule="auto" w:before="163"/>
        <w:ind w:right="1123" w:firstLine="420"/>
        <w:jc w:val="left"/>
        <w:rPr>
          <w:rFonts w:ascii="宋体" w:hAnsi="宋体" w:cs="宋体" w:eastAsia="宋体" w:hint="default"/>
        </w:rPr>
      </w:pPr>
      <w:r>
        <w:rPr>
          <w:rFonts w:ascii="宋体" w:hAnsi="宋体" w:cs="宋体" w:eastAsia="宋体" w:hint="default"/>
        </w:rPr>
        <w:t>3</w:t>
      </w:r>
      <w:r>
        <w:rPr/>
        <w:t>、</w:t>
      </w:r>
      <w:r>
        <w:rPr>
          <w:rFonts w:ascii="宋体" w:hAnsi="宋体" w:cs="宋体" w:eastAsia="宋体" w:hint="default"/>
        </w:rPr>
        <w:t>2020</w:t>
      </w:r>
      <w:r>
        <w:rPr>
          <w:rFonts w:ascii="宋体" w:hAnsi="宋体" w:cs="宋体" w:eastAsia="宋体" w:hint="default"/>
          <w:spacing w:val="-29"/>
        </w:rPr>
        <w:t> </w:t>
      </w:r>
      <w:r>
        <w:rPr/>
        <w:t>年长实通信将以客户需求为重，立足于信息通信基础设施（设备）维护，深度挖掘维护服务</w:t>
      </w:r>
      <w:r>
        <w:rPr>
          <w:w w:val="100"/>
        </w:rPr>
        <w:t> </w:t>
      </w:r>
      <w:r>
        <w:rPr/>
        <w:t>潜力，寻找新的业务增长点。</w:t>
      </w:r>
      <w:r>
        <w:rPr>
          <w:rFonts w:ascii="宋体" w:hAnsi="宋体" w:cs="宋体" w:eastAsia="宋体" w:hint="default"/>
          <w:spacing w:val="-3"/>
        </w:rPr>
        <w:t> </w:t>
      </w:r>
      <w:r>
        <w:rPr>
          <w:rFonts w:ascii="宋体" w:hAnsi="宋体" w:cs="宋体" w:eastAsia="宋体" w:hint="default"/>
        </w:rPr>
        <w:t> </w:t>
      </w:r>
    </w:p>
    <w:p>
      <w:pPr>
        <w:spacing w:line="326" w:lineRule="auto" w:before="163"/>
        <w:ind w:left="573" w:right="1133" w:firstLine="2"/>
        <w:jc w:val="left"/>
        <w:rPr>
          <w:rFonts w:ascii="宋体" w:hAnsi="宋体" w:cs="宋体" w:eastAsia="宋体" w:hint="default"/>
          <w:sz w:val="21"/>
          <w:szCs w:val="21"/>
        </w:rPr>
      </w:pPr>
      <w:r>
        <w:rPr>
          <w:rFonts w:ascii="宋体" w:hAnsi="宋体" w:cs="宋体" w:eastAsia="宋体" w:hint="default"/>
          <w:b/>
          <w:bCs/>
          <w:w w:val="99"/>
          <w:sz w:val="21"/>
          <w:szCs w:val="21"/>
        </w:rPr>
        <w:t> </w:t>
      </w:r>
      <w:r>
        <w:rPr>
          <w:rFonts w:ascii="宋体" w:hAnsi="宋体" w:cs="宋体" w:eastAsia="宋体" w:hint="default"/>
          <w:b/>
          <w:bCs/>
          <w:sz w:val="21"/>
          <w:szCs w:val="21"/>
        </w:rPr>
        <w:t>(</w:t>
      </w:r>
      <w:r>
        <w:rPr>
          <w:rFonts w:ascii="宋体" w:hAnsi="宋体" w:cs="宋体" w:eastAsia="宋体" w:hint="default"/>
          <w:b/>
          <w:bCs/>
          <w:sz w:val="21"/>
          <w:szCs w:val="21"/>
        </w:rPr>
        <w:t>二</w:t>
      </w:r>
      <w:r>
        <w:rPr>
          <w:rFonts w:ascii="宋体" w:hAnsi="宋体" w:cs="宋体" w:eastAsia="宋体" w:hint="default"/>
          <w:b/>
          <w:bCs/>
          <w:sz w:val="21"/>
          <w:szCs w:val="21"/>
        </w:rPr>
        <w:t>)</w:t>
      </w:r>
      <w:r>
        <w:rPr>
          <w:rFonts w:ascii="宋体" w:hAnsi="宋体" w:cs="宋体" w:eastAsia="宋体" w:hint="default"/>
          <w:b/>
          <w:bCs/>
          <w:spacing w:val="-2"/>
          <w:sz w:val="21"/>
          <w:szCs w:val="21"/>
        </w:rPr>
        <w:t> </w:t>
      </w:r>
      <w:r>
        <w:rPr>
          <w:rFonts w:ascii="宋体" w:hAnsi="宋体" w:cs="宋体" w:eastAsia="宋体" w:hint="default"/>
          <w:b/>
          <w:bCs/>
          <w:sz w:val="21"/>
          <w:szCs w:val="21"/>
        </w:rPr>
        <w:t>公司</w:t>
      </w:r>
      <w:r>
        <w:rPr>
          <w:rFonts w:ascii="宋体" w:hAnsi="宋体" w:cs="宋体" w:eastAsia="宋体" w:hint="default"/>
          <w:b/>
          <w:bCs/>
          <w:spacing w:val="-54"/>
          <w:sz w:val="21"/>
          <w:szCs w:val="21"/>
        </w:rPr>
        <w:t> </w:t>
      </w:r>
      <w:r>
        <w:rPr>
          <w:rFonts w:ascii="宋体" w:hAnsi="宋体" w:cs="宋体" w:eastAsia="宋体" w:hint="default"/>
          <w:b/>
          <w:bCs/>
          <w:sz w:val="21"/>
          <w:szCs w:val="21"/>
        </w:rPr>
        <w:t>2020</w:t>
      </w:r>
      <w:r>
        <w:rPr>
          <w:rFonts w:ascii="宋体" w:hAnsi="宋体" w:cs="宋体" w:eastAsia="宋体" w:hint="default"/>
          <w:b/>
          <w:bCs/>
          <w:spacing w:val="-54"/>
          <w:sz w:val="21"/>
          <w:szCs w:val="21"/>
        </w:rPr>
        <w:t> </w:t>
      </w:r>
      <w:r>
        <w:rPr>
          <w:rFonts w:ascii="宋体" w:hAnsi="宋体" w:cs="宋体" w:eastAsia="宋体" w:hint="default"/>
          <w:b/>
          <w:bCs/>
          <w:sz w:val="21"/>
          <w:szCs w:val="21"/>
        </w:rPr>
        <w:t>年度经营目标</w:t>
      </w:r>
      <w:r>
        <w:rPr>
          <w:rFonts w:ascii="宋体" w:hAnsi="宋体" w:cs="宋体" w:eastAsia="宋体" w:hint="default"/>
          <w:b/>
          <w:bCs/>
          <w:w w:val="99"/>
          <w:sz w:val="21"/>
          <w:szCs w:val="21"/>
        </w:rPr>
        <w:t> </w:t>
      </w:r>
      <w:r>
        <w:rPr>
          <w:rFonts w:ascii="宋体" w:hAnsi="宋体" w:cs="宋体" w:eastAsia="宋体" w:hint="default"/>
          <w:sz w:val="21"/>
          <w:szCs w:val="21"/>
        </w:rPr>
        <w:t>1</w:t>
      </w:r>
      <w:r>
        <w:rPr>
          <w:rFonts w:ascii="宋体" w:hAnsi="宋体" w:cs="宋体" w:eastAsia="宋体" w:hint="default"/>
          <w:sz w:val="21"/>
          <w:szCs w:val="21"/>
        </w:rPr>
        <w:t>、努力提升营业收入，扩大市场份额和影响力，保持公司营业总收入的稳步上升，保持良好的财务</w:t>
      </w:r>
    </w:p>
    <w:p>
      <w:pPr>
        <w:pStyle w:val="BodyText"/>
        <w:spacing w:line="236" w:lineRule="exact"/>
        <w:ind w:right="1133"/>
        <w:jc w:val="left"/>
        <w:rPr>
          <w:rFonts w:ascii="宋体" w:hAnsi="宋体" w:cs="宋体" w:eastAsia="宋体" w:hint="default"/>
        </w:rPr>
      </w:pPr>
      <w:r>
        <w:rPr/>
        <w:t>状况。</w:t>
      </w:r>
      <w:r>
        <w:rPr>
          <w:rFonts w:ascii="宋体" w:hAnsi="宋体" w:cs="宋体" w:eastAsia="宋体" w:hint="default"/>
        </w:rPr>
        <w:t> </w:t>
      </w:r>
    </w:p>
    <w:p>
      <w:pPr>
        <w:pStyle w:val="BodyText"/>
        <w:spacing w:line="240" w:lineRule="auto" w:before="99"/>
        <w:ind w:left="573" w:right="1133"/>
        <w:jc w:val="left"/>
        <w:rPr>
          <w:rFonts w:ascii="宋体" w:hAnsi="宋体" w:cs="宋体" w:eastAsia="宋体" w:hint="default"/>
        </w:rPr>
      </w:pPr>
      <w:r>
        <w:rPr>
          <w:rFonts w:ascii="宋体" w:hAnsi="宋体" w:cs="宋体" w:eastAsia="宋体" w:hint="default"/>
        </w:rPr>
        <w:t>2</w:t>
      </w:r>
      <w:r>
        <w:rPr/>
        <w:t>、实现主营业务信息智能传输、通信网络维护和金融服务外包营收和盈利的双增长。</w:t>
      </w:r>
      <w:r>
        <w:rPr>
          <w:rFonts w:ascii="宋体" w:hAnsi="宋体" w:cs="宋体" w:eastAsia="宋体" w:hint="default"/>
        </w:rPr>
        <w:t> </w:t>
      </w:r>
    </w:p>
    <w:p>
      <w:pPr>
        <w:pStyle w:val="BodyText"/>
        <w:spacing w:line="273" w:lineRule="auto" w:before="97"/>
        <w:ind w:right="1124" w:firstLine="420"/>
        <w:jc w:val="left"/>
        <w:rPr>
          <w:rFonts w:ascii="宋体" w:hAnsi="宋体" w:cs="宋体" w:eastAsia="宋体" w:hint="default"/>
        </w:rPr>
      </w:pPr>
      <w:r>
        <w:rPr>
          <w:rFonts w:ascii="宋体" w:hAnsi="宋体" w:cs="宋体" w:eastAsia="宋体" w:hint="default"/>
        </w:rPr>
        <w:t>3</w:t>
      </w:r>
      <w:r>
        <w:rPr/>
        <w:t>、为了继续提升技术水平，提高服务质量，满足客户需求，</w:t>
      </w:r>
      <w:r>
        <w:rPr>
          <w:rFonts w:ascii="宋体" w:hAnsi="宋体" w:cs="宋体" w:eastAsia="宋体" w:hint="default"/>
        </w:rPr>
        <w:t>2020</w:t>
      </w:r>
      <w:r>
        <w:rPr>
          <w:rFonts w:ascii="宋体" w:hAnsi="宋体" w:cs="宋体" w:eastAsia="宋体" w:hint="default"/>
          <w:spacing w:val="-30"/>
        </w:rPr>
        <w:t> </w:t>
      </w:r>
      <w:r>
        <w:rPr/>
        <w:t>年创世漫道、长实通信、嘉华信息</w:t>
      </w:r>
      <w:r>
        <w:rPr>
          <w:w w:val="100"/>
        </w:rPr>
        <w:t> </w:t>
      </w:r>
      <w:r>
        <w:rPr/>
        <w:t>的研发计划主要内容如下：</w:t>
      </w:r>
      <w:r>
        <w:rPr>
          <w:rFonts w:ascii="宋体" w:hAnsi="宋体" w:cs="宋体" w:eastAsia="宋体" w:hint="default"/>
        </w:rPr>
        <w:t> </w:t>
      </w:r>
    </w:p>
    <w:p>
      <w:pPr>
        <w:pStyle w:val="BodyText"/>
        <w:spacing w:line="273" w:lineRule="auto" w:before="67"/>
        <w:ind w:right="1119" w:firstLine="420"/>
        <w:jc w:val="left"/>
        <w:rPr>
          <w:rFonts w:ascii="宋体" w:hAnsi="宋体" w:cs="宋体" w:eastAsia="宋体" w:hint="default"/>
        </w:rPr>
      </w:pPr>
      <w:r>
        <w:rPr>
          <w:rFonts w:ascii="宋体" w:hAnsi="宋体" w:cs="宋体" w:eastAsia="宋体" w:hint="default"/>
        </w:rPr>
        <w:t>(1)</w:t>
      </w:r>
      <w:r>
        <w:rPr>
          <w:rFonts w:ascii="宋体" w:hAnsi="宋体" w:cs="宋体" w:eastAsia="宋体" w:hint="default"/>
          <w:spacing w:val="-25"/>
        </w:rPr>
        <w:t> </w:t>
      </w:r>
      <w:r>
        <w:rPr/>
        <w:t>为增强信息传输的技术能力，将继续核心程序的研发、重要程序的升级、工具与自动化平台的研</w:t>
      </w:r>
      <w:r>
        <w:rPr>
          <w:w w:val="100"/>
        </w:rPr>
        <w:t> </w:t>
      </w:r>
      <w:r>
        <w:rPr/>
        <w:t>发、网关开发等，进一步提高系统的效率、安全性和服务能力。</w:t>
      </w:r>
      <w:r>
        <w:rPr>
          <w:rFonts w:ascii="宋体" w:hAnsi="宋体" w:cs="宋体" w:eastAsia="宋体" w:hint="default"/>
        </w:rPr>
        <w:t> </w:t>
      </w:r>
    </w:p>
    <w:p>
      <w:pPr>
        <w:pStyle w:val="BodyText"/>
        <w:spacing w:line="273" w:lineRule="auto" w:before="70"/>
        <w:ind w:right="1015" w:firstLine="420"/>
        <w:jc w:val="left"/>
        <w:rPr>
          <w:rFonts w:ascii="宋体" w:hAnsi="宋体" w:cs="宋体" w:eastAsia="宋体" w:hint="default"/>
        </w:rPr>
      </w:pPr>
      <w:r>
        <w:rPr>
          <w:rFonts w:ascii="宋体" w:hAnsi="宋体" w:cs="宋体" w:eastAsia="宋体" w:hint="default"/>
        </w:rPr>
        <w:t>(2)</w:t>
      </w:r>
      <w:r>
        <w:rPr>
          <w:rFonts w:ascii="宋体" w:hAnsi="宋体" w:cs="宋体" w:eastAsia="宋体" w:hint="default"/>
          <w:spacing w:val="79"/>
        </w:rPr>
        <w:t> </w:t>
      </w:r>
      <w:r>
        <w:rPr/>
        <w:t>为了增强网络维护的技术能力，将继续开展企业信息化研究、通信网络维护公共服务平台研究、</w:t>
      </w:r>
      <w:r>
        <w:rPr>
          <w:w w:val="100"/>
        </w:rPr>
        <w:t> </w:t>
      </w:r>
      <w:r>
        <w:rPr>
          <w:spacing w:val="-2"/>
        </w:rPr>
        <w:t>无人机应用研究、安全生产智能告警研究等，进一步提升网络维护工作效率、提高精细化管理水平、降低</w:t>
      </w:r>
      <w:r>
        <w:rPr>
          <w:spacing w:val="-47"/>
        </w:rPr>
        <w:t> </w:t>
      </w:r>
      <w:r>
        <w:rPr>
          <w:spacing w:val="-47"/>
        </w:rPr>
      </w:r>
      <w:r>
        <w:rPr/>
        <w:t>成本和保障安全生产。</w:t>
      </w:r>
      <w:r>
        <w:rPr>
          <w:rFonts w:ascii="宋体" w:hAnsi="宋体" w:cs="宋体" w:eastAsia="宋体" w:hint="default"/>
        </w:rPr>
        <w:t> </w:t>
      </w:r>
    </w:p>
    <w:p>
      <w:pPr>
        <w:pStyle w:val="BodyText"/>
        <w:spacing w:line="273" w:lineRule="auto" w:before="48"/>
        <w:ind w:right="1122" w:firstLine="420"/>
        <w:jc w:val="left"/>
      </w:pPr>
      <w:r>
        <w:rPr/>
        <w:t>上述经营计划、经营目标并不代表公司对 </w:t>
      </w:r>
      <w:r>
        <w:rPr>
          <w:rFonts w:ascii="宋体" w:hAnsi="宋体" w:cs="宋体" w:eastAsia="宋体" w:hint="default"/>
        </w:rPr>
        <w:t>2020</w:t>
      </w:r>
      <w:r>
        <w:rPr>
          <w:rFonts w:ascii="宋体" w:hAnsi="宋体" w:cs="宋体" w:eastAsia="宋体" w:hint="default"/>
          <w:spacing w:val="-28"/>
        </w:rPr>
        <w:t> </w:t>
      </w:r>
      <w:r>
        <w:rPr/>
        <w:t>年度的盈利预测，不构成公司对投资者的业绩承诺，</w:t>
      </w:r>
      <w:r>
        <w:rPr>
          <w:w w:val="100"/>
        </w:rPr>
        <w:t> </w:t>
      </w:r>
      <w:r>
        <w:rPr>
          <w:spacing w:val="-2"/>
        </w:rPr>
        <w:t>能否实现取决于市场状况变化、经营团队的努力程度等多种因素，存在很大的不确定性，请投资者对此保</w:t>
      </w:r>
    </w:p>
    <w:p>
      <w:pPr>
        <w:spacing w:after="0" w:line="273" w:lineRule="auto"/>
        <w:jc w:val="left"/>
        <w:sectPr>
          <w:pgSz w:w="11910" w:h="16840"/>
          <w:pgMar w:header="880" w:footer="975" w:top="1100" w:bottom="1160" w:left="980" w:right="0"/>
        </w:sectPr>
      </w:pPr>
    </w:p>
    <w:p>
      <w:pPr>
        <w:spacing w:line="240" w:lineRule="auto" w:before="11"/>
        <w:rPr>
          <w:rFonts w:ascii="宋体" w:hAnsi="宋体" w:cs="宋体" w:eastAsia="宋体" w:hint="default"/>
          <w:sz w:val="20"/>
          <w:szCs w:val="20"/>
        </w:rPr>
      </w:pPr>
    </w:p>
    <w:p>
      <w:pPr>
        <w:pStyle w:val="BodyText"/>
        <w:spacing w:line="340" w:lineRule="auto" w:before="36"/>
        <w:ind w:left="573" w:right="1133" w:hanging="421"/>
        <w:jc w:val="left"/>
      </w:pPr>
      <w:r>
        <w:rPr/>
        <w:t>持足够的风险意识，应当理解经营计划、目标与业绩承诺之间的差异。</w:t>
      </w:r>
      <w:r>
        <w:rPr>
          <w:rFonts w:ascii="宋体" w:hAnsi="宋体" w:cs="宋体" w:eastAsia="宋体" w:hint="default"/>
          <w:w w:val="100"/>
        </w:rPr>
        <w:t> </w:t>
      </w:r>
      <w:r>
        <w:rPr/>
        <w:t>为达到上述经营目标拟采取下列策略和行动：</w:t>
      </w:r>
      <w:r>
        <w:rPr>
          <w:rFonts w:ascii="宋体" w:hAnsi="宋体" w:cs="宋体" w:eastAsia="宋体" w:hint="default"/>
          <w:w w:val="100"/>
        </w:rPr>
        <w:t> </w:t>
      </w:r>
      <w:r>
        <w:rPr>
          <w:rFonts w:ascii="宋体" w:hAnsi="宋体" w:cs="宋体" w:eastAsia="宋体" w:hint="default"/>
        </w:rPr>
        <w:t>1</w:t>
      </w:r>
      <w:r>
        <w:rPr/>
        <w:t>、继续提高技术服务水准，建立完善现代化信息智能传输的运维系统，拓展受制于投诉率的商业短</w:t>
      </w:r>
    </w:p>
    <w:p>
      <w:pPr>
        <w:pStyle w:val="BodyText"/>
        <w:spacing w:line="226" w:lineRule="exact"/>
        <w:ind w:right="819"/>
        <w:jc w:val="left"/>
      </w:pPr>
      <w:r>
        <w:rPr/>
        <w:t>信市场，增加现有电子商务、互联网、金融及物流行业客户业务，引进新客户，提升触发类和有真实需求</w:t>
      </w:r>
    </w:p>
    <w:p>
      <w:pPr>
        <w:pStyle w:val="BodyText"/>
        <w:spacing w:line="324" w:lineRule="auto" w:before="37"/>
        <w:ind w:left="573" w:right="1133" w:hanging="421"/>
        <w:jc w:val="left"/>
      </w:pPr>
      <w:r>
        <w:rPr/>
        <w:t>的短信发送量，保障客户数量及业务量上行，增加信息传输的营收。</w:t>
      </w:r>
      <w:r>
        <w:rPr>
          <w:rFonts w:ascii="宋体" w:hAnsi="宋体" w:cs="宋体" w:eastAsia="宋体" w:hint="default"/>
          <w:w w:val="100"/>
        </w:rPr>
        <w:t> </w:t>
      </w:r>
      <w:r>
        <w:rPr>
          <w:rFonts w:ascii="宋体" w:hAnsi="宋体" w:cs="宋体" w:eastAsia="宋体" w:hint="default"/>
        </w:rPr>
        <w:t>2</w:t>
      </w:r>
      <w:r>
        <w:rPr/>
        <w:t>、继续扩大信息传输业务的市场规模，增强市场竞争力，同时拓展以大数据和人工智能为核心的金</w:t>
      </w:r>
    </w:p>
    <w:p>
      <w:pPr>
        <w:pStyle w:val="BodyText"/>
        <w:spacing w:line="239" w:lineRule="exact"/>
        <w:ind w:right="1133"/>
        <w:jc w:val="left"/>
        <w:rPr>
          <w:rFonts w:ascii="宋体" w:hAnsi="宋体" w:cs="宋体" w:eastAsia="宋体" w:hint="default"/>
        </w:rPr>
      </w:pPr>
      <w:r>
        <w:rPr/>
        <w:t>融科技领域业务。</w:t>
      </w:r>
      <w:r>
        <w:rPr>
          <w:rFonts w:ascii="宋体" w:hAnsi="宋体" w:cs="宋体" w:eastAsia="宋体" w:hint="default"/>
        </w:rPr>
        <w:t> </w:t>
      </w:r>
    </w:p>
    <w:p>
      <w:pPr>
        <w:pStyle w:val="BodyText"/>
        <w:spacing w:line="273" w:lineRule="auto" w:before="99"/>
        <w:ind w:right="1133" w:firstLine="420"/>
        <w:jc w:val="left"/>
        <w:rPr>
          <w:rFonts w:ascii="宋体" w:hAnsi="宋体" w:cs="宋体" w:eastAsia="宋体" w:hint="default"/>
        </w:rPr>
      </w:pPr>
      <w:r>
        <w:rPr>
          <w:rFonts w:ascii="宋体" w:hAnsi="宋体" w:cs="宋体" w:eastAsia="宋体" w:hint="default"/>
        </w:rPr>
        <w:t>3</w:t>
      </w:r>
      <w:r>
        <w:rPr/>
        <w:t>、继续提高云平台的智能，增加主动的、目标的、交互的信息传输，布局各省市接入，应对短信单</w:t>
      </w:r>
      <w:r>
        <w:rPr>
          <w:w w:val="100"/>
        </w:rPr>
        <w:t> </w:t>
      </w:r>
      <w:r>
        <w:rPr/>
        <w:t>价下降趋势，控制成本与对手竞争。</w:t>
      </w:r>
      <w:r>
        <w:rPr>
          <w:rFonts w:ascii="宋体" w:hAnsi="宋体" w:cs="宋体" w:eastAsia="宋体" w:hint="default"/>
        </w:rPr>
        <w:t> </w:t>
      </w:r>
    </w:p>
    <w:p>
      <w:pPr>
        <w:pStyle w:val="BodyText"/>
        <w:spacing w:line="273" w:lineRule="auto" w:before="70"/>
        <w:ind w:right="1128" w:firstLine="420"/>
        <w:jc w:val="both"/>
        <w:rPr>
          <w:rFonts w:ascii="宋体" w:hAnsi="宋体" w:cs="宋体" w:eastAsia="宋体" w:hint="default"/>
        </w:rPr>
      </w:pPr>
      <w:r>
        <w:rPr>
          <w:rFonts w:ascii="宋体" w:hAnsi="宋体" w:cs="宋体" w:eastAsia="宋体" w:hint="default"/>
        </w:rPr>
        <w:t>4</w:t>
      </w:r>
      <w:r>
        <w:rPr/>
        <w:t>、培训员工一专多能，提升技术水平，提高通信网络维护的质量、效率，保障综合代维的现有客户</w:t>
      </w:r>
      <w:r>
        <w:rPr>
          <w:w w:val="100"/>
        </w:rPr>
        <w:t> </w:t>
      </w:r>
      <w:r>
        <w:rPr>
          <w:spacing w:val="-5"/>
        </w:rPr>
        <w:t>业务量，寻求合作新客户，以让客户满意保证维护业务的中标合同；同时拓展与维护相关的工程业务、</w:t>
      </w:r>
      <w:r>
        <w:rPr>
          <w:rFonts w:ascii="宋体" w:hAnsi="宋体" w:cs="宋体" w:eastAsia="宋体" w:hint="default"/>
          <w:spacing w:val="-5"/>
        </w:rPr>
        <w:t>IDC</w:t>
      </w:r>
      <w:r>
        <w:rPr>
          <w:rFonts w:ascii="宋体" w:hAnsi="宋体" w:cs="宋体" w:eastAsia="宋体" w:hint="default"/>
          <w:spacing w:val="-4"/>
        </w:rPr>
        <w:t> </w:t>
      </w:r>
      <w:r>
        <w:rPr/>
        <w:t>机房建设及维护业务。</w:t>
      </w:r>
      <w:r>
        <w:rPr>
          <w:rFonts w:ascii="宋体" w:hAnsi="宋体" w:cs="宋体" w:eastAsia="宋体" w:hint="default"/>
        </w:rPr>
        <w:t> </w:t>
      </w:r>
    </w:p>
    <w:p>
      <w:pPr>
        <w:pStyle w:val="BodyText"/>
        <w:spacing w:line="240" w:lineRule="auto" w:before="70"/>
        <w:ind w:left="573" w:right="1133"/>
        <w:jc w:val="left"/>
        <w:rPr>
          <w:rFonts w:ascii="宋体" w:hAnsi="宋体" w:cs="宋体" w:eastAsia="宋体" w:hint="default"/>
        </w:rPr>
      </w:pPr>
      <w:r>
        <w:rPr>
          <w:rFonts w:ascii="宋体" w:hAnsi="宋体" w:cs="宋体" w:eastAsia="宋体" w:hint="default"/>
        </w:rPr>
        <w:t>5</w:t>
      </w:r>
      <w:r>
        <w:rPr/>
        <w:t>、运用网络维护的技术优势、客户资源，做好</w:t>
      </w:r>
      <w:r>
        <w:rPr>
          <w:spacing w:val="-56"/>
        </w:rPr>
        <w:t> </w:t>
      </w:r>
      <w:r>
        <w:rPr>
          <w:rFonts w:ascii="宋体" w:hAnsi="宋体" w:cs="宋体" w:eastAsia="宋体" w:hint="default"/>
        </w:rPr>
        <w:t>IDC</w:t>
      </w:r>
      <w:r>
        <w:rPr>
          <w:rFonts w:ascii="宋体" w:hAnsi="宋体" w:cs="宋体" w:eastAsia="宋体" w:hint="default"/>
          <w:spacing w:val="-57"/>
        </w:rPr>
        <w:t> </w:t>
      </w:r>
      <w:r>
        <w:rPr/>
        <w:t>机房技术服务。</w:t>
      </w:r>
      <w:r>
        <w:rPr>
          <w:rFonts w:ascii="宋体" w:hAnsi="宋体" w:cs="宋体" w:eastAsia="宋体" w:hint="default"/>
        </w:rPr>
        <w:t> </w:t>
      </w:r>
    </w:p>
    <w:p>
      <w:pPr>
        <w:pStyle w:val="BodyText"/>
        <w:spacing w:line="240" w:lineRule="auto" w:before="99"/>
        <w:ind w:left="573" w:right="1133"/>
        <w:jc w:val="left"/>
        <w:rPr>
          <w:rFonts w:ascii="宋体" w:hAnsi="宋体" w:cs="宋体" w:eastAsia="宋体" w:hint="default"/>
        </w:rPr>
      </w:pPr>
      <w:r>
        <w:rPr>
          <w:rFonts w:ascii="宋体" w:hAnsi="宋体" w:cs="宋体" w:eastAsia="宋体" w:hint="default"/>
        </w:rPr>
        <w:t>6</w:t>
      </w:r>
      <w:r>
        <w:rPr/>
        <w:t>、通过技术进步，稳定人才团队，增强竞争力，以控制好成本、费用。</w:t>
      </w:r>
      <w:r>
        <w:rPr>
          <w:rFonts w:ascii="宋体" w:hAnsi="宋体" w:cs="宋体" w:eastAsia="宋体" w:hint="default"/>
        </w:rPr>
        <w:t> </w:t>
      </w:r>
    </w:p>
    <w:p>
      <w:pPr>
        <w:spacing w:line="240" w:lineRule="auto" w:before="8"/>
        <w:rPr>
          <w:rFonts w:ascii="宋体" w:hAnsi="宋体" w:cs="宋体" w:eastAsia="宋体" w:hint="default"/>
          <w:sz w:val="14"/>
          <w:szCs w:val="14"/>
        </w:rPr>
      </w:pPr>
    </w:p>
    <w:p>
      <w:pPr>
        <w:pStyle w:val="Heading3"/>
        <w:spacing w:line="240" w:lineRule="auto" w:before="0"/>
        <w:ind w:left="575" w:right="1133"/>
        <w:jc w:val="left"/>
        <w:rPr>
          <w:rFonts w:ascii="宋体" w:hAnsi="宋体" w:cs="宋体" w:eastAsia="宋体" w:hint="default"/>
          <w:b w:val="0"/>
          <w:bCs w:val="0"/>
        </w:rPr>
      </w:pPr>
      <w:r>
        <w:rPr>
          <w:rFonts w:ascii="宋体" w:hAnsi="宋体" w:cs="宋体" w:eastAsia="宋体" w:hint="default"/>
        </w:rPr>
        <w:t>(</w:t>
      </w:r>
      <w:r>
        <w:rPr/>
        <w:t>三</w:t>
      </w:r>
      <w:r>
        <w:rPr>
          <w:rFonts w:ascii="宋体" w:hAnsi="宋体" w:cs="宋体" w:eastAsia="宋体" w:hint="default"/>
        </w:rPr>
        <w:t>)</w:t>
      </w:r>
      <w:r>
        <w:rPr/>
        <w:t>资金需求</w:t>
      </w:r>
      <w:r>
        <w:rPr>
          <w:rFonts w:ascii="宋体" w:hAnsi="宋体" w:cs="宋体" w:eastAsia="宋体" w:hint="default"/>
          <w:w w:val="99"/>
        </w:rPr>
        <w:t> </w:t>
      </w:r>
      <w:r>
        <w:rPr>
          <w:rFonts w:ascii="宋体" w:hAnsi="宋体" w:cs="宋体" w:eastAsia="宋体" w:hint="default"/>
          <w:b w:val="0"/>
          <w:bCs w:val="0"/>
        </w:rPr>
      </w:r>
    </w:p>
    <w:p>
      <w:pPr>
        <w:pStyle w:val="BodyText"/>
        <w:spacing w:line="273" w:lineRule="auto" w:before="78"/>
        <w:ind w:right="1025" w:firstLine="420"/>
        <w:jc w:val="both"/>
        <w:rPr>
          <w:rFonts w:ascii="宋体" w:hAnsi="宋体" w:cs="宋体" w:eastAsia="宋体" w:hint="default"/>
        </w:rPr>
      </w:pPr>
      <w:r>
        <w:rPr>
          <w:spacing w:val="-2"/>
        </w:rPr>
        <w:t>公司资金来源：一是自有资金，即：公司信息传输服务业务、通信网络维护业务等提供服务收到的现</w:t>
      </w:r>
      <w:r>
        <w:rPr>
          <w:w w:val="100"/>
        </w:rPr>
        <w:t> </w:t>
      </w:r>
      <w:r>
        <w:rPr>
          <w:spacing w:val="-2"/>
        </w:rPr>
        <w:t>金；二是经营负债，系创世漫道的预收款；三是银行借贷，系长实通信经营所需的周转资金、开展业务所</w:t>
      </w:r>
      <w:r>
        <w:rPr>
          <w:spacing w:val="-43"/>
        </w:rPr>
        <w:t> </w:t>
      </w:r>
      <w:r>
        <w:rPr>
          <w:spacing w:val="-43"/>
        </w:rPr>
      </w:r>
      <w:r>
        <w:rPr>
          <w:spacing w:val="-2"/>
          <w:w w:val="100"/>
        </w:rPr>
        <w:t>需银行开具的保函。四、公开发行可转换公司债券。公司资金来源将以自有资金为主，债务融资为补充。</w:t>
      </w:r>
      <w:r>
        <w:rPr>
          <w:rFonts w:ascii="宋体" w:hAnsi="宋体" w:cs="宋体" w:eastAsia="宋体" w:hint="default"/>
          <w:w w:val="100"/>
        </w:rPr>
        <w:t> </w:t>
      </w:r>
    </w:p>
    <w:p>
      <w:pPr>
        <w:pStyle w:val="BodyText"/>
        <w:spacing w:line="307" w:lineRule="auto" w:before="48"/>
        <w:ind w:left="573" w:right="819"/>
        <w:jc w:val="left"/>
      </w:pPr>
      <w:r>
        <w:rPr/>
        <w:t>公司资金成本主要由股东分红及银行借款利息、债券利息构成。</w:t>
      </w:r>
      <w:r>
        <w:rPr>
          <w:rFonts w:ascii="宋体" w:hAnsi="宋体" w:cs="宋体" w:eastAsia="宋体" w:hint="default"/>
          <w:w w:val="100"/>
        </w:rPr>
        <w:t> </w:t>
      </w:r>
      <w:r>
        <w:rPr/>
        <w:t>公司资金使用情况：主要用于公司主营业务发展、股东分红、正常经营运转、对外投资、研发投入、</w:t>
      </w:r>
    </w:p>
    <w:p>
      <w:pPr>
        <w:pStyle w:val="BodyText"/>
        <w:spacing w:line="253" w:lineRule="exact"/>
        <w:ind w:right="1133"/>
        <w:jc w:val="left"/>
        <w:rPr>
          <w:rFonts w:ascii="宋体" w:hAnsi="宋体" w:cs="宋体" w:eastAsia="宋体" w:hint="default"/>
        </w:rPr>
      </w:pPr>
      <w:r>
        <w:rPr/>
        <w:t>偿还银行借款等。</w:t>
      </w:r>
      <w:r>
        <w:rPr>
          <w:rFonts w:ascii="宋体" w:hAnsi="宋体" w:cs="宋体" w:eastAsia="宋体" w:hint="default"/>
        </w:rPr>
        <w:t> </w:t>
      </w:r>
    </w:p>
    <w:p>
      <w:pPr>
        <w:pStyle w:val="BodyText"/>
        <w:spacing w:line="307" w:lineRule="auto" w:before="75"/>
        <w:ind w:left="573" w:right="1133" w:firstLine="2"/>
        <w:jc w:val="left"/>
      </w:pPr>
      <w:r>
        <w:rPr>
          <w:rFonts w:ascii="宋体" w:hAnsi="宋体" w:cs="宋体" w:eastAsia="宋体" w:hint="default"/>
          <w:b/>
          <w:bCs/>
        </w:rPr>
        <w:t>四、可能面对的风险</w:t>
      </w:r>
      <w:r>
        <w:rPr>
          <w:rFonts w:ascii="宋体" w:hAnsi="宋体" w:cs="宋体" w:eastAsia="宋体" w:hint="default"/>
          <w:b/>
          <w:bCs/>
          <w:w w:val="99"/>
        </w:rPr>
        <w:t> </w:t>
      </w:r>
      <w:r>
        <w:rPr>
          <w:spacing w:val="-2"/>
        </w:rPr>
        <w:t>商誉减值、信息服务的客户集中度上升、流失及新技术替代、通信网络维护的技术竞争和客户依赖是</w:t>
      </w:r>
    </w:p>
    <w:p>
      <w:pPr>
        <w:pStyle w:val="BodyText"/>
        <w:spacing w:line="254" w:lineRule="exact"/>
        <w:ind w:right="819"/>
        <w:jc w:val="left"/>
      </w:pPr>
      <w:r>
        <w:rPr>
          <w:spacing w:val="-4"/>
        </w:rPr>
        <w:t>对公司未来发展战略和经营目标的实现产生不利影响的风险因素。因 </w:t>
      </w:r>
      <w:r>
        <w:rPr>
          <w:rFonts w:ascii="宋体" w:hAnsi="宋体" w:cs="宋体" w:eastAsia="宋体" w:hint="default"/>
        </w:rPr>
        <w:t>2018</w:t>
      </w:r>
      <w:r>
        <w:rPr>
          <w:rFonts w:ascii="宋体" w:hAnsi="宋体" w:cs="宋体" w:eastAsia="宋体" w:hint="default"/>
          <w:spacing w:val="-33"/>
        </w:rPr>
        <w:t> </w:t>
      </w:r>
      <w:r>
        <w:rPr>
          <w:spacing w:val="-6"/>
        </w:rPr>
        <w:t>年重组，公司面临的商誉减值、</w:t>
      </w:r>
    </w:p>
    <w:p>
      <w:pPr>
        <w:pStyle w:val="BodyText"/>
        <w:spacing w:line="240" w:lineRule="auto" w:before="37"/>
        <w:ind w:right="1133"/>
        <w:jc w:val="left"/>
        <w:rPr>
          <w:rFonts w:ascii="宋体" w:hAnsi="宋体" w:cs="宋体" w:eastAsia="宋体" w:hint="default"/>
        </w:rPr>
      </w:pPr>
      <w:r>
        <w:rPr/>
        <w:t>信息服务的客户集中度上升、流失及新技术替代风险以及嘉华信息业绩承诺能否实现的风险因素。</w:t>
      </w:r>
      <w:r>
        <w:rPr>
          <w:rFonts w:ascii="宋体" w:hAnsi="宋体" w:cs="宋体" w:eastAsia="宋体" w:hint="default"/>
        </w:rPr>
        <w:t> </w:t>
      </w:r>
    </w:p>
    <w:p>
      <w:pPr>
        <w:pStyle w:val="BodyText"/>
        <w:spacing w:line="273" w:lineRule="auto" w:before="130"/>
        <w:ind w:right="1126" w:firstLine="420"/>
        <w:jc w:val="both"/>
      </w:pPr>
      <w:r>
        <w:rPr>
          <w:spacing w:val="-3"/>
        </w:rPr>
        <w:t>（一）公司商誉是因</w:t>
      </w:r>
      <w:r>
        <w:rPr>
          <w:spacing w:val="-54"/>
        </w:rPr>
        <w:t> </w:t>
      </w:r>
      <w:r>
        <w:rPr>
          <w:rFonts w:ascii="宋体" w:hAnsi="宋体" w:cs="宋体" w:eastAsia="宋体" w:hint="default"/>
        </w:rPr>
        <w:t>2014</w:t>
      </w:r>
      <w:r>
        <w:rPr>
          <w:rFonts w:ascii="宋体" w:hAnsi="宋体" w:cs="宋体" w:eastAsia="宋体" w:hint="default"/>
          <w:spacing w:val="-56"/>
        </w:rPr>
        <w:t> </w:t>
      </w:r>
      <w:r>
        <w:rPr/>
        <w:t>年重组收购创世漫道、</w:t>
      </w:r>
      <w:r>
        <w:rPr>
          <w:rFonts w:ascii="宋体" w:hAnsi="宋体" w:cs="宋体" w:eastAsia="宋体" w:hint="default"/>
        </w:rPr>
        <w:t>2015</w:t>
      </w:r>
      <w:r>
        <w:rPr>
          <w:rFonts w:ascii="宋体" w:hAnsi="宋体" w:cs="宋体" w:eastAsia="宋体" w:hint="default"/>
          <w:spacing w:val="-54"/>
        </w:rPr>
        <w:t> </w:t>
      </w:r>
      <w:r>
        <w:rPr/>
        <w:t>年重大资产购买收购长实通信、</w:t>
      </w:r>
      <w:r>
        <w:rPr>
          <w:rFonts w:ascii="宋体" w:hAnsi="宋体" w:cs="宋体" w:eastAsia="宋体" w:hint="default"/>
        </w:rPr>
        <w:t>2018</w:t>
      </w:r>
      <w:r>
        <w:rPr>
          <w:rFonts w:ascii="宋体" w:hAnsi="宋体" w:cs="宋体" w:eastAsia="宋体" w:hint="default"/>
          <w:spacing w:val="-56"/>
        </w:rPr>
        <w:t> </w:t>
      </w:r>
      <w:r>
        <w:rPr/>
        <w:t>年重组收</w:t>
      </w:r>
      <w:r>
        <w:rPr>
          <w:w w:val="100"/>
        </w:rPr>
        <w:t> </w:t>
      </w:r>
      <w:r>
        <w:rPr>
          <w:spacing w:val="-3"/>
        </w:rPr>
        <w:t>购嘉华信息形成，截至本期末公司非流动资产商誉占最近一年经审计净资产的比例达到 </w:t>
      </w:r>
      <w:r>
        <w:rPr>
          <w:rFonts w:ascii="宋体" w:hAnsi="宋体" w:cs="宋体" w:eastAsia="宋体" w:hint="default"/>
          <w:spacing w:val="-6"/>
        </w:rPr>
        <w:t>76.18%</w:t>
      </w:r>
      <w:r>
        <w:rPr>
          <w:spacing w:val="-6"/>
        </w:rPr>
        <w:t>，根据《企</w:t>
      </w:r>
      <w:r>
        <w:rPr>
          <w:spacing w:val="-59"/>
        </w:rPr>
        <w:t> </w:t>
      </w:r>
      <w:r>
        <w:rPr>
          <w:spacing w:val="-59"/>
        </w:rPr>
      </w:r>
      <w:r>
        <w:rPr>
          <w:spacing w:val="-2"/>
        </w:rPr>
        <w:t>业会计准则》规定，该等形成的商誉将不作摊销处理，需要在未来每年各会计年末进行减值测试。报告期</w:t>
      </w:r>
      <w:r>
        <w:rPr>
          <w:spacing w:val="-46"/>
        </w:rPr>
        <w:t> </w:t>
      </w:r>
      <w:r>
        <w:rPr>
          <w:spacing w:val="-46"/>
        </w:rPr>
      </w:r>
      <w:r>
        <w:rPr>
          <w:spacing w:val="-2"/>
        </w:rPr>
        <w:t>公司谨慎编制了未来的盈利预测数据，并聘请具有证券业务资格的北京国融兴华资产评估有限责任公司对</w:t>
      </w:r>
      <w:r>
        <w:rPr>
          <w:spacing w:val="-43"/>
        </w:rPr>
        <w:t> </w:t>
      </w:r>
      <w:r>
        <w:rPr>
          <w:spacing w:val="-43"/>
        </w:rPr>
      </w:r>
      <w:r>
        <w:rPr>
          <w:spacing w:val="-2"/>
        </w:rPr>
        <w:t>分摊商誉资产组的未来可收回金额进行了评估，经过评估公司商誉发生减值迹象。经测试后，</w:t>
      </w:r>
      <w:r>
        <w:rPr>
          <w:spacing w:val="-2"/>
          <w:sz w:val="18"/>
          <w:szCs w:val="18"/>
        </w:rPr>
        <w:t>创</w:t>
      </w:r>
      <w:r>
        <w:rPr>
          <w:spacing w:val="-2"/>
        </w:rPr>
        <w:t>世漫道减</w:t>
      </w:r>
      <w:r>
        <w:rPr>
          <w:spacing w:val="-16"/>
        </w:rPr>
        <w:t> </w:t>
      </w:r>
      <w:r>
        <w:rPr>
          <w:spacing w:val="-16"/>
        </w:rPr>
      </w:r>
      <w:r>
        <w:rPr/>
        <w:t>值</w:t>
      </w:r>
      <w:r>
        <w:rPr>
          <w:spacing w:val="-33"/>
        </w:rPr>
        <w:t> </w:t>
      </w:r>
      <w:r>
        <w:rPr>
          <w:rFonts w:ascii="宋体" w:hAnsi="宋体" w:cs="宋体" w:eastAsia="宋体" w:hint="default"/>
        </w:rPr>
        <w:t>46,344.00</w:t>
      </w:r>
      <w:r>
        <w:rPr>
          <w:rFonts w:ascii="宋体" w:hAnsi="宋体" w:cs="宋体" w:eastAsia="宋体" w:hint="default"/>
          <w:spacing w:val="-33"/>
        </w:rPr>
        <w:t> </w:t>
      </w:r>
      <w:r>
        <w:rPr/>
        <w:t>万元，长实通信减值</w:t>
      </w:r>
      <w:r>
        <w:rPr>
          <w:spacing w:val="-35"/>
        </w:rPr>
        <w:t> </w:t>
      </w:r>
      <w:r>
        <w:rPr>
          <w:rFonts w:ascii="宋体" w:hAnsi="宋体" w:cs="宋体" w:eastAsia="宋体" w:hint="default"/>
        </w:rPr>
        <w:t>73,926.00</w:t>
      </w:r>
      <w:r>
        <w:rPr>
          <w:rFonts w:ascii="宋体" w:hAnsi="宋体" w:cs="宋体" w:eastAsia="宋体" w:hint="default"/>
          <w:spacing w:val="-36"/>
        </w:rPr>
        <w:t> </w:t>
      </w:r>
      <w:r>
        <w:rPr/>
        <w:t>元</w:t>
      </w:r>
      <w:r>
        <w:rPr>
          <w:rFonts w:ascii="宋体" w:hAnsi="宋体" w:cs="宋体" w:eastAsia="宋体" w:hint="default"/>
        </w:rPr>
        <w:t>,</w:t>
      </w:r>
      <w:r>
        <w:rPr/>
        <w:t>中天嘉华商誉无减值。如果嘉华信息未来经营中不能较</w:t>
      </w:r>
      <w:r>
        <w:rPr>
          <w:w w:val="100"/>
        </w:rPr>
        <w:t> </w:t>
      </w:r>
      <w:r>
        <w:rPr>
          <w:spacing w:val="-2"/>
        </w:rPr>
        <w:t>好地实现盈利，商誉将面临计提资产减值的风险，对公司未来经营业绩产生重大不利影响。具体评估信息</w:t>
      </w:r>
      <w:r>
        <w:rPr>
          <w:spacing w:val="-44"/>
        </w:rPr>
        <w:t> </w:t>
      </w:r>
      <w:r>
        <w:rPr>
          <w:spacing w:val="-44"/>
        </w:rPr>
      </w:r>
      <w:r>
        <w:rPr/>
        <w:t>详见国融兴华出具的“国融兴华评报字</w:t>
      </w:r>
      <w:r>
        <w:rPr>
          <w:rFonts w:ascii="宋体" w:hAnsi="宋体" w:cs="宋体" w:eastAsia="宋体" w:hint="default"/>
        </w:rPr>
        <w:t>[2020]</w:t>
      </w:r>
      <w:r>
        <w:rPr/>
        <w:t>第</w:t>
      </w:r>
      <w:r>
        <w:rPr>
          <w:spacing w:val="-57"/>
        </w:rPr>
        <w:t> </w:t>
      </w:r>
      <w:r>
        <w:rPr>
          <w:rFonts w:ascii="宋体" w:hAnsi="宋体" w:cs="宋体" w:eastAsia="宋体" w:hint="default"/>
        </w:rPr>
        <w:t>030013</w:t>
      </w:r>
      <w:r>
        <w:rPr>
          <w:rFonts w:ascii="宋体" w:hAnsi="宋体" w:cs="宋体" w:eastAsia="宋体" w:hint="default"/>
          <w:spacing w:val="-59"/>
        </w:rPr>
        <w:t> </w:t>
      </w:r>
      <w:r>
        <w:rPr/>
        <w:t>号、国融兴华评报字</w:t>
      </w:r>
      <w:r>
        <w:rPr>
          <w:rFonts w:ascii="宋体" w:hAnsi="宋体" w:cs="宋体" w:eastAsia="宋体" w:hint="default"/>
        </w:rPr>
        <w:t>[2020]</w:t>
      </w:r>
      <w:r>
        <w:rPr/>
        <w:t>第</w:t>
      </w:r>
      <w:r>
        <w:rPr>
          <w:spacing w:val="-57"/>
        </w:rPr>
        <w:t> </w:t>
      </w:r>
      <w:r>
        <w:rPr>
          <w:rFonts w:ascii="宋体" w:hAnsi="宋体" w:cs="宋体" w:eastAsia="宋体" w:hint="default"/>
        </w:rPr>
        <w:t>030012</w:t>
      </w:r>
      <w:r>
        <w:rPr>
          <w:rFonts w:ascii="宋体" w:hAnsi="宋体" w:cs="宋体" w:eastAsia="宋体" w:hint="default"/>
          <w:spacing w:val="-56"/>
        </w:rPr>
        <w:t> </w:t>
      </w:r>
      <w:r>
        <w:rPr>
          <w:spacing w:val="-4"/>
        </w:rPr>
        <w:t>号、国融兴</w:t>
      </w:r>
    </w:p>
    <w:p>
      <w:pPr>
        <w:pStyle w:val="BodyText"/>
        <w:spacing w:line="273" w:lineRule="auto" w:before="7"/>
        <w:ind w:right="1122"/>
        <w:jc w:val="left"/>
        <w:rPr>
          <w:rFonts w:ascii="宋体" w:hAnsi="宋体" w:cs="宋体" w:eastAsia="宋体" w:hint="default"/>
        </w:rPr>
      </w:pPr>
      <w:r>
        <w:rPr/>
        <w:t>华评报字</w:t>
      </w:r>
      <w:r>
        <w:rPr>
          <w:rFonts w:ascii="宋体" w:hAnsi="宋体" w:cs="宋体" w:eastAsia="宋体" w:hint="default"/>
        </w:rPr>
        <w:t>[2020]</w:t>
      </w:r>
      <w:r>
        <w:rPr/>
        <w:t>第 </w:t>
      </w:r>
      <w:r>
        <w:rPr>
          <w:rFonts w:ascii="宋体" w:hAnsi="宋体" w:cs="宋体" w:eastAsia="宋体" w:hint="default"/>
        </w:rPr>
        <w:t>030014</w:t>
      </w:r>
      <w:r>
        <w:rPr>
          <w:rFonts w:ascii="宋体" w:hAnsi="宋体" w:cs="宋体" w:eastAsia="宋体" w:hint="default"/>
          <w:spacing w:val="-28"/>
        </w:rPr>
        <w:t> </w:t>
      </w:r>
      <w:r>
        <w:rPr/>
        <w:t>号”评估报告。如果创世漫道、长实通信、嘉华信息未来经营中不能较好地实</w:t>
      </w:r>
      <w:r>
        <w:rPr>
          <w:w w:val="100"/>
        </w:rPr>
        <w:t> </w:t>
      </w:r>
      <w:r>
        <w:rPr/>
        <w:t>现盈利，商誉将面临再次计提资产减值的风险，对公司未来经营业绩产生重大不利影响。</w:t>
      </w:r>
      <w:r>
        <w:rPr>
          <w:rFonts w:ascii="宋体" w:hAnsi="宋体" w:cs="宋体" w:eastAsia="宋体" w:hint="default"/>
        </w:rPr>
        <w:t> </w:t>
      </w:r>
    </w:p>
    <w:p>
      <w:pPr>
        <w:pStyle w:val="BodyText"/>
        <w:spacing w:line="273" w:lineRule="auto" w:before="46"/>
        <w:ind w:right="819" w:firstLine="420"/>
        <w:jc w:val="left"/>
        <w:rPr>
          <w:rFonts w:ascii="宋体" w:hAnsi="宋体" w:cs="宋体" w:eastAsia="宋体" w:hint="default"/>
        </w:rPr>
      </w:pPr>
      <w:r>
        <w:rPr>
          <w:spacing w:val="-7"/>
        </w:rPr>
        <w:t>应对措施：遵循公司发展战略，按照业务规划，落实经营计划，实现经营目标。公司将与运营商合作，</w:t>
      </w:r>
      <w:r>
        <w:rPr>
          <w:w w:val="100"/>
        </w:rPr>
        <w:t> </w:t>
      </w:r>
      <w:r>
        <w:rPr/>
        <w:t>寻求优价、优惠短信通道，适时调整短信服务价格，以稳定信息传输业务盈利能力并争取逐步有所提高；</w:t>
      </w:r>
      <w:r>
        <w:rPr>
          <w:spacing w:val="-24"/>
        </w:rPr>
        <w:t> </w:t>
      </w:r>
      <w:r>
        <w:rPr>
          <w:spacing w:val="-24"/>
        </w:rPr>
      </w:r>
      <w:r>
        <w:rPr/>
        <w:t>公司将控制维护业务人工成本，增加毛利率较高的</w:t>
      </w:r>
      <w:r>
        <w:rPr>
          <w:spacing w:val="-62"/>
        </w:rPr>
        <w:t> </w:t>
      </w:r>
      <w:r>
        <w:rPr>
          <w:rFonts w:ascii="宋体" w:hAnsi="宋体" w:cs="宋体" w:eastAsia="宋体" w:hint="default"/>
        </w:rPr>
        <w:t>IDC</w:t>
      </w:r>
      <w:r>
        <w:rPr>
          <w:rFonts w:ascii="宋体" w:hAnsi="宋体" w:cs="宋体" w:eastAsia="宋体" w:hint="default"/>
          <w:spacing w:val="-60"/>
        </w:rPr>
        <w:t> </w:t>
      </w:r>
      <w:r>
        <w:rPr/>
        <w:t>机房维护、有关工程等业务，稳定通信网络维护业</w:t>
      </w:r>
      <w:r>
        <w:rPr>
          <w:w w:val="100"/>
        </w:rPr>
        <w:t> </w:t>
      </w:r>
      <w:r>
        <w:rPr/>
        <w:t>务盈利能力；公司将严控费用，加大应收账款回收，提升盈利，力争实现年度业绩同比增长。</w:t>
      </w:r>
      <w:r>
        <w:rPr>
          <w:rFonts w:ascii="宋体" w:hAnsi="宋体" w:cs="宋体" w:eastAsia="宋体" w:hint="default"/>
        </w:rPr>
        <w:t> </w:t>
      </w:r>
    </w:p>
    <w:p>
      <w:pPr>
        <w:pStyle w:val="BodyText"/>
        <w:spacing w:line="240" w:lineRule="auto" w:before="101"/>
        <w:ind w:left="573" w:right="819"/>
        <w:jc w:val="left"/>
      </w:pPr>
      <w:r>
        <w:rPr/>
        <w:t>（二）业绩承诺实现风险。交易对方刘英魁以及嘉语春华、嘉惠秋实对 </w:t>
      </w:r>
      <w:r>
        <w:rPr>
          <w:rFonts w:ascii="宋体" w:hAnsi="宋体" w:cs="宋体" w:eastAsia="宋体" w:hint="default"/>
        </w:rPr>
        <w:t>2018</w:t>
      </w:r>
      <w:r>
        <w:rPr>
          <w:rFonts w:ascii="宋体" w:hAnsi="宋体" w:cs="宋体" w:eastAsia="宋体" w:hint="default"/>
          <w:spacing w:val="-31"/>
        </w:rPr>
        <w:t> </w:t>
      </w:r>
      <w:r>
        <w:rPr/>
        <w:t>年重组标的资产嘉华信</w:t>
      </w:r>
    </w:p>
    <w:p>
      <w:pPr>
        <w:pStyle w:val="BodyText"/>
        <w:spacing w:line="240" w:lineRule="auto" w:before="37"/>
        <w:ind w:right="819"/>
        <w:jc w:val="left"/>
      </w:pPr>
      <w:r>
        <w:rPr>
          <w:spacing w:val="-4"/>
        </w:rPr>
        <w:t>息业绩作出具体承诺，承诺</w:t>
      </w:r>
      <w:r>
        <w:rPr>
          <w:spacing w:val="-42"/>
        </w:rPr>
        <w:t> </w:t>
      </w:r>
      <w:r>
        <w:rPr>
          <w:rFonts w:ascii="宋体" w:hAnsi="宋体" w:cs="宋体" w:eastAsia="宋体" w:hint="default"/>
        </w:rPr>
        <w:t>2018</w:t>
      </w:r>
      <w:r>
        <w:rPr>
          <w:rFonts w:ascii="宋体" w:hAnsi="宋体" w:cs="宋体" w:eastAsia="宋体" w:hint="default"/>
          <w:spacing w:val="-41"/>
        </w:rPr>
        <w:t> </w:t>
      </w:r>
      <w:r>
        <w:rPr>
          <w:spacing w:val="-5"/>
        </w:rPr>
        <w:t>年度、</w:t>
      </w:r>
      <w:r>
        <w:rPr>
          <w:rFonts w:ascii="宋体" w:hAnsi="宋体" w:cs="宋体" w:eastAsia="宋体" w:hint="default"/>
          <w:spacing w:val="-5"/>
        </w:rPr>
        <w:t>2019</w:t>
      </w:r>
      <w:r>
        <w:rPr>
          <w:rFonts w:ascii="宋体" w:hAnsi="宋体" w:cs="宋体" w:eastAsia="宋体" w:hint="default"/>
          <w:spacing w:val="-42"/>
        </w:rPr>
        <w:t> </w:t>
      </w:r>
      <w:r>
        <w:rPr/>
        <w:t>年度和</w:t>
      </w:r>
      <w:r>
        <w:rPr>
          <w:spacing w:val="-42"/>
        </w:rPr>
        <w:t> </w:t>
      </w:r>
      <w:r>
        <w:rPr>
          <w:rFonts w:ascii="宋体" w:hAnsi="宋体" w:cs="宋体" w:eastAsia="宋体" w:hint="default"/>
        </w:rPr>
        <w:t>2020</w:t>
      </w:r>
      <w:r>
        <w:rPr>
          <w:rFonts w:ascii="宋体" w:hAnsi="宋体" w:cs="宋体" w:eastAsia="宋体" w:hint="default"/>
          <w:spacing w:val="-42"/>
        </w:rPr>
        <w:t> </w:t>
      </w:r>
      <w:r>
        <w:rPr>
          <w:spacing w:val="-3"/>
        </w:rPr>
        <w:t>年度合并嘉华信息报表的、扣除非经常性损益后</w:t>
      </w:r>
    </w:p>
    <w:p>
      <w:pPr>
        <w:spacing w:after="0" w:line="240" w:lineRule="auto"/>
        <w:jc w:val="left"/>
        <w:sectPr>
          <w:pgSz w:w="11910" w:h="16840"/>
          <w:pgMar w:header="880" w:footer="975" w:top="1100" w:bottom="1160" w:left="980" w:right="0"/>
        </w:sectPr>
      </w:pPr>
    </w:p>
    <w:p>
      <w:pPr>
        <w:spacing w:line="240" w:lineRule="auto" w:before="11"/>
        <w:rPr>
          <w:rFonts w:ascii="宋体" w:hAnsi="宋体" w:cs="宋体" w:eastAsia="宋体" w:hint="default"/>
          <w:sz w:val="20"/>
          <w:szCs w:val="20"/>
        </w:rPr>
      </w:pPr>
    </w:p>
    <w:p>
      <w:pPr>
        <w:pStyle w:val="BodyText"/>
        <w:spacing w:line="273" w:lineRule="auto" w:before="36"/>
        <w:ind w:right="1126"/>
        <w:jc w:val="both"/>
        <w:rPr>
          <w:rFonts w:ascii="宋体" w:hAnsi="宋体" w:cs="宋体" w:eastAsia="宋体" w:hint="default"/>
        </w:rPr>
      </w:pPr>
      <w:r>
        <w:rPr/>
        <w:t>归属于上市公司股东的净利润不低于</w:t>
      </w:r>
      <w:r>
        <w:rPr>
          <w:spacing w:val="-46"/>
        </w:rPr>
        <w:t> </w:t>
      </w:r>
      <w:r>
        <w:rPr>
          <w:rFonts w:ascii="宋体" w:hAnsi="宋体" w:cs="宋体" w:eastAsia="宋体" w:hint="default"/>
        </w:rPr>
        <w:t>13,400</w:t>
      </w:r>
      <w:r>
        <w:rPr>
          <w:rFonts w:ascii="宋体" w:hAnsi="宋体" w:cs="宋体" w:eastAsia="宋体" w:hint="default"/>
          <w:spacing w:val="-49"/>
        </w:rPr>
        <w:t> </w:t>
      </w:r>
      <w:r>
        <w:rPr>
          <w:spacing w:val="-5"/>
        </w:rPr>
        <w:t>万元、</w:t>
      </w:r>
      <w:r>
        <w:rPr>
          <w:rFonts w:ascii="宋体" w:hAnsi="宋体" w:cs="宋体" w:eastAsia="宋体" w:hint="default"/>
          <w:spacing w:val="-5"/>
        </w:rPr>
        <w:t>16,700</w:t>
      </w:r>
      <w:r>
        <w:rPr>
          <w:rFonts w:ascii="宋体" w:hAnsi="宋体" w:cs="宋体" w:eastAsia="宋体" w:hint="default"/>
          <w:spacing w:val="-47"/>
        </w:rPr>
        <w:t> </w:t>
      </w:r>
      <w:r>
        <w:rPr/>
        <w:t>万元及</w:t>
      </w:r>
      <w:r>
        <w:rPr>
          <w:spacing w:val="-46"/>
        </w:rPr>
        <w:t> </w:t>
      </w:r>
      <w:r>
        <w:rPr>
          <w:rFonts w:ascii="宋体" w:hAnsi="宋体" w:cs="宋体" w:eastAsia="宋体" w:hint="default"/>
        </w:rPr>
        <w:t>20,100</w:t>
      </w:r>
      <w:r>
        <w:rPr>
          <w:rFonts w:ascii="宋体" w:hAnsi="宋体" w:cs="宋体" w:eastAsia="宋体" w:hint="default"/>
          <w:spacing w:val="-47"/>
        </w:rPr>
        <w:t> </w:t>
      </w:r>
      <w:r>
        <w:rPr>
          <w:spacing w:val="-5"/>
        </w:rPr>
        <w:t>万元。该承诺期内的净利润是交</w:t>
      </w:r>
      <w:r>
        <w:rPr>
          <w:spacing w:val="-103"/>
        </w:rPr>
        <w:t> </w:t>
      </w:r>
      <w:r>
        <w:rPr>
          <w:spacing w:val="-103"/>
        </w:rPr>
      </w:r>
      <w:r>
        <w:rPr>
          <w:spacing w:val="-2"/>
        </w:rPr>
        <w:t>易对方及评估机构基于合理的基础和假设前提对嘉华信息的盈利预测。该盈利预测遵循了谨慎性原则，但</w:t>
      </w:r>
      <w:r>
        <w:rPr>
          <w:spacing w:val="-43"/>
        </w:rPr>
        <w:t> </w:t>
      </w:r>
      <w:r>
        <w:rPr>
          <w:spacing w:val="-43"/>
        </w:rPr>
      </w:r>
      <w:r>
        <w:rPr>
          <w:spacing w:val="-2"/>
        </w:rPr>
        <w:t>未来宏观经济环境的变化、行业发展趋势的变化、行业监管政策的变化、嘉华信息自身管理层的经营决策</w:t>
      </w:r>
      <w:r>
        <w:rPr>
          <w:spacing w:val="-43"/>
        </w:rPr>
        <w:t> </w:t>
      </w:r>
      <w:r>
        <w:rPr>
          <w:spacing w:val="-43"/>
        </w:rPr>
      </w:r>
      <w:r>
        <w:rPr>
          <w:spacing w:val="-2"/>
        </w:rPr>
        <w:t>与经营管理能力等因素都将对盈利预测的实现带来一定不确定性，仍可能出现实际经营成果与盈利预测存</w:t>
      </w:r>
      <w:r>
        <w:rPr>
          <w:spacing w:val="-42"/>
        </w:rPr>
        <w:t> </w:t>
      </w:r>
      <w:r>
        <w:rPr>
          <w:spacing w:val="-42"/>
        </w:rPr>
      </w:r>
      <w:r>
        <w:rPr/>
        <w:t>在一定差异的情况，存在承诺期内嘉华信息实际净利润达不到承诺净利润的风险。</w:t>
      </w:r>
      <w:r>
        <w:rPr>
          <w:rFonts w:ascii="宋体" w:hAnsi="宋体" w:cs="宋体" w:eastAsia="宋体" w:hint="default"/>
        </w:rPr>
        <w:t> </w:t>
      </w:r>
    </w:p>
    <w:p>
      <w:pPr>
        <w:pStyle w:val="BodyText"/>
        <w:spacing w:line="273" w:lineRule="auto" w:before="48"/>
        <w:ind w:right="1126" w:firstLine="420"/>
        <w:jc w:val="both"/>
        <w:rPr>
          <w:rFonts w:ascii="宋体" w:hAnsi="宋体" w:cs="宋体" w:eastAsia="宋体" w:hint="default"/>
        </w:rPr>
      </w:pPr>
      <w:r>
        <w:rPr>
          <w:spacing w:val="-2"/>
        </w:rPr>
        <w:t>应对措施：嘉华信息将关注宏观经济环境、行业发展趋势及监管政策变化，提升管理层的经营决策和</w:t>
      </w:r>
      <w:r>
        <w:rPr>
          <w:w w:val="100"/>
        </w:rPr>
        <w:t> </w:t>
      </w:r>
      <w:r>
        <w:rPr>
          <w:spacing w:val="-2"/>
        </w:rPr>
        <w:t>管理能力，保持核心团队的稳定和积极性、创造性，及早谋划布局，围绕发展战略，做好业务规划和经营</w:t>
      </w:r>
      <w:r>
        <w:rPr>
          <w:spacing w:val="-43"/>
        </w:rPr>
        <w:t> </w:t>
      </w:r>
      <w:r>
        <w:rPr>
          <w:spacing w:val="-43"/>
        </w:rPr>
      </w:r>
      <w:r>
        <w:rPr/>
        <w:t>计划，实现经营目标，达到更多盈利。</w:t>
      </w:r>
      <w:r>
        <w:rPr>
          <w:rFonts w:ascii="宋体" w:hAnsi="宋体" w:cs="宋体" w:eastAsia="宋体" w:hint="default"/>
        </w:rPr>
        <w:t> </w:t>
      </w:r>
    </w:p>
    <w:p>
      <w:pPr>
        <w:pStyle w:val="BodyText"/>
        <w:spacing w:line="307" w:lineRule="auto" w:before="161"/>
        <w:ind w:left="573" w:right="1133"/>
        <w:jc w:val="left"/>
      </w:pPr>
      <w:r>
        <w:rPr>
          <w:rFonts w:ascii="宋体" w:hAnsi="宋体" w:cs="宋体" w:eastAsia="宋体" w:hint="default"/>
        </w:rPr>
        <w:t>(</w:t>
      </w:r>
      <w:r>
        <w:rPr/>
        <w:t>三</w:t>
      </w:r>
      <w:r>
        <w:rPr>
          <w:rFonts w:ascii="宋体" w:hAnsi="宋体" w:cs="宋体" w:eastAsia="宋体" w:hint="default"/>
        </w:rPr>
        <w:t>)</w:t>
      </w:r>
      <w:r>
        <w:rPr>
          <w:rFonts w:ascii="宋体" w:hAnsi="宋体" w:cs="宋体" w:eastAsia="宋体" w:hint="default"/>
          <w:spacing w:val="-3"/>
        </w:rPr>
        <w:t> </w:t>
      </w:r>
      <w:r>
        <w:rPr/>
        <w:t>信息服务业的风险因素。</w:t>
      </w:r>
      <w:r>
        <w:rPr>
          <w:rFonts w:ascii="宋体" w:hAnsi="宋体" w:cs="宋体" w:eastAsia="宋体" w:hint="default"/>
          <w:w w:val="100"/>
        </w:rPr>
        <w:t> </w:t>
      </w:r>
      <w:r>
        <w:rPr>
          <w:rFonts w:ascii="宋体" w:hAnsi="宋体" w:cs="宋体" w:eastAsia="宋体" w:hint="default"/>
        </w:rPr>
        <w:t>1</w:t>
      </w:r>
      <w:r>
        <w:rPr/>
        <w:t>、客户集中度上升风险。基于创世漫道在企业移动信息服务行业的领先地位、良好服务，创世漫道</w:t>
      </w:r>
    </w:p>
    <w:p>
      <w:pPr>
        <w:pStyle w:val="BodyText"/>
        <w:spacing w:line="253" w:lineRule="exact"/>
        <w:ind w:right="0"/>
        <w:jc w:val="both"/>
      </w:pPr>
      <w:r>
        <w:rPr/>
        <w:t>与主要客户之间的合作关系保持稳定，由于部分优质客户自身业务快速发展使得客户集中度有所增加，由</w:t>
      </w:r>
    </w:p>
    <w:p>
      <w:pPr>
        <w:pStyle w:val="BodyText"/>
        <w:spacing w:line="273" w:lineRule="auto" w:before="37"/>
        <w:ind w:right="1126"/>
        <w:jc w:val="both"/>
        <w:rPr>
          <w:rFonts w:ascii="宋体" w:hAnsi="宋体" w:cs="宋体" w:eastAsia="宋体" w:hint="default"/>
        </w:rPr>
      </w:pPr>
      <w:r>
        <w:rPr>
          <w:spacing w:val="-2"/>
        </w:rPr>
        <w:t>于行业惯例，创世漫道与主要客户签约合作期限较短且主要客户与包括创世漫道在内的多个信息服务提供</w:t>
      </w:r>
      <w:r>
        <w:rPr>
          <w:spacing w:val="-43"/>
        </w:rPr>
        <w:t> </w:t>
      </w:r>
      <w:r>
        <w:rPr>
          <w:spacing w:val="-43"/>
        </w:rPr>
      </w:r>
      <w:r>
        <w:rPr>
          <w:spacing w:val="-2"/>
        </w:rPr>
        <w:t>商合作，尽管创世漫道与主要客户持续保持合作关系，如果未来因宏观经济变动、市场竞争恶化或未能满</w:t>
      </w:r>
      <w:r>
        <w:rPr>
          <w:spacing w:val="-42"/>
        </w:rPr>
        <w:t> </w:t>
      </w:r>
      <w:r>
        <w:rPr>
          <w:spacing w:val="-42"/>
        </w:rPr>
      </w:r>
      <w:r>
        <w:rPr/>
        <w:t>足主要客户服务需求等因素导致重要客户流失，将会影响创世漫道未来的经营发展和盈利增长。</w:t>
      </w:r>
      <w:r>
        <w:rPr>
          <w:rFonts w:ascii="宋体" w:hAnsi="宋体" w:cs="宋体" w:eastAsia="宋体" w:hint="default"/>
        </w:rPr>
        <w:t> </w:t>
      </w:r>
    </w:p>
    <w:p>
      <w:pPr>
        <w:pStyle w:val="BodyText"/>
        <w:spacing w:line="273" w:lineRule="auto" w:before="48"/>
        <w:ind w:right="1126" w:firstLine="420"/>
        <w:jc w:val="both"/>
        <w:rPr>
          <w:rFonts w:ascii="宋体" w:hAnsi="宋体" w:cs="宋体" w:eastAsia="宋体" w:hint="default"/>
        </w:rPr>
      </w:pPr>
      <w:r>
        <w:rPr>
          <w:rFonts w:ascii="宋体" w:hAnsi="宋体" w:cs="宋体" w:eastAsia="宋体" w:hint="default"/>
        </w:rPr>
        <w:t>2</w:t>
      </w:r>
      <w:r>
        <w:rPr/>
        <w:t>、新技术替代风险。随着信息技术和通信技术的迅速发展，企业移动信息服务行业呈现出技术更新</w:t>
      </w:r>
      <w:r>
        <w:rPr>
          <w:w w:val="100"/>
        </w:rPr>
        <w:t> </w:t>
      </w:r>
      <w:r>
        <w:rPr>
          <w:spacing w:val="-2"/>
        </w:rPr>
        <w:t>快、产品换代周期短的特征，</w:t>
      </w:r>
      <w:r>
        <w:rPr>
          <w:rFonts w:ascii="宋体" w:hAnsi="宋体" w:cs="宋体" w:eastAsia="宋体" w:hint="default"/>
          <w:spacing w:val="-2"/>
        </w:rPr>
        <w:t>4G</w:t>
      </w:r>
      <w:r>
        <w:rPr>
          <w:spacing w:val="-2"/>
        </w:rPr>
        <w:t>、大数据、人工智能、移动互联网等技术的商业应用对移动信息服务行业</w:t>
      </w:r>
      <w:r>
        <w:rPr>
          <w:spacing w:val="-40"/>
        </w:rPr>
        <w:t> </w:t>
      </w:r>
      <w:r>
        <w:rPr>
          <w:spacing w:val="-40"/>
        </w:rPr>
      </w:r>
      <w:r>
        <w:rPr>
          <w:spacing w:val="-2"/>
        </w:rPr>
        <w:t>的技术创新和产品服务升级提出更高要求，未来创世漫道若不能根据相关技术的发展对其业务及服务进行</w:t>
      </w:r>
      <w:r>
        <w:rPr>
          <w:spacing w:val="-42"/>
        </w:rPr>
        <w:t> </w:t>
      </w:r>
      <w:r>
        <w:rPr>
          <w:spacing w:val="-42"/>
        </w:rPr>
      </w:r>
      <w:r>
        <w:rPr/>
        <w:t>持续的更新和升级，将对公司移动信息传输的市场竞争能力带来不利影响。</w:t>
      </w:r>
      <w:r>
        <w:rPr>
          <w:rFonts w:ascii="宋体" w:hAnsi="宋体" w:cs="宋体" w:eastAsia="宋体" w:hint="default"/>
        </w:rPr>
        <w:t> </w:t>
      </w:r>
    </w:p>
    <w:p>
      <w:pPr>
        <w:pStyle w:val="BodyText"/>
        <w:spacing w:line="273" w:lineRule="auto" w:before="48"/>
        <w:ind w:right="1126" w:firstLine="420"/>
        <w:jc w:val="both"/>
        <w:rPr>
          <w:rFonts w:ascii="宋体" w:hAnsi="宋体" w:cs="宋体" w:eastAsia="宋体" w:hint="default"/>
        </w:rPr>
      </w:pPr>
      <w:r>
        <w:rPr>
          <w:spacing w:val="-2"/>
        </w:rPr>
        <w:t>应对措施：提升信息服务质量、加强与运营商的合作，更好更快的为客户服务，并申请各类资质，增</w:t>
      </w:r>
      <w:r>
        <w:rPr>
          <w:w w:val="100"/>
        </w:rPr>
        <w:t> </w:t>
      </w:r>
      <w:r>
        <w:rPr>
          <w:spacing w:val="-2"/>
        </w:rPr>
        <w:t>强公司竞争能力，同时拓展业务领域，扩大客户群，降低客户集中度，防范大客户依赖风险。创世漫道开</w:t>
      </w:r>
      <w:r>
        <w:rPr>
          <w:spacing w:val="-43"/>
        </w:rPr>
        <w:t> </w:t>
      </w:r>
      <w:r>
        <w:rPr>
          <w:spacing w:val="-43"/>
        </w:rPr>
      </w:r>
      <w:r>
        <w:rPr/>
        <w:t>展移动信息服务业务以来，</w:t>
      </w:r>
      <w:r>
        <w:rPr>
          <w:spacing w:val="69"/>
        </w:rPr>
        <w:t> </w:t>
      </w:r>
      <w:r>
        <w:rPr>
          <w:rFonts w:ascii="宋体" w:hAnsi="宋体" w:cs="宋体" w:eastAsia="宋体" w:hint="default"/>
          <w:spacing w:val="69"/>
        </w:rPr>
      </w:r>
      <w:r>
        <w:rPr/>
        <w:t>一直高度关注技术发展的最新趋势，并依据移动信息服务市场变化，适时将</w:t>
      </w:r>
      <w:r>
        <w:rPr>
          <w:spacing w:val="-95"/>
        </w:rPr>
        <w:t> </w:t>
      </w:r>
      <w:r>
        <w:rPr>
          <w:spacing w:val="-95"/>
        </w:rPr>
      </w:r>
      <w:r>
        <w:rPr>
          <w:spacing w:val="-2"/>
        </w:rPr>
        <w:t>新的技术成果运用于业务实践中，优化业务技术以满足不同客户的个性化需求，化解新技术替代风险。采</w:t>
      </w:r>
      <w:r>
        <w:rPr>
          <w:spacing w:val="-42"/>
        </w:rPr>
        <w:t> </w:t>
      </w:r>
      <w:r>
        <w:rPr>
          <w:spacing w:val="-42"/>
        </w:rPr>
      </w:r>
      <w:r>
        <w:rPr>
          <w:spacing w:val="-2"/>
        </w:rPr>
        <w:t>取上述应对措施后，创世漫道在客户群不断扩大、新技术应用迅速发展中，业务发展快，营收和盈利双增</w:t>
      </w:r>
      <w:r>
        <w:rPr>
          <w:spacing w:val="-50"/>
        </w:rPr>
        <w:t> </w:t>
      </w:r>
      <w:r>
        <w:rPr>
          <w:spacing w:val="-50"/>
        </w:rPr>
      </w:r>
      <w:r>
        <w:rPr/>
        <w:t>长，将增加未来公司的业绩。</w:t>
      </w:r>
      <w:r>
        <w:rPr>
          <w:rFonts w:ascii="宋体" w:hAnsi="宋体" w:cs="宋体" w:eastAsia="宋体" w:hint="default"/>
        </w:rPr>
        <w:t> </w:t>
      </w:r>
    </w:p>
    <w:p>
      <w:pPr>
        <w:pStyle w:val="BodyText"/>
        <w:spacing w:line="326" w:lineRule="auto" w:before="161"/>
        <w:ind w:left="573" w:right="1133"/>
        <w:jc w:val="left"/>
      </w:pPr>
      <w:r>
        <w:rPr>
          <w:rFonts w:ascii="宋体" w:hAnsi="宋体" w:cs="宋体" w:eastAsia="宋体" w:hint="default"/>
        </w:rPr>
        <w:t>(</w:t>
      </w:r>
      <w:r>
        <w:rPr/>
        <w:t>四</w:t>
      </w:r>
      <w:r>
        <w:rPr>
          <w:rFonts w:ascii="宋体" w:hAnsi="宋体" w:cs="宋体" w:eastAsia="宋体" w:hint="default"/>
        </w:rPr>
        <w:t>)</w:t>
      </w:r>
      <w:r>
        <w:rPr>
          <w:rFonts w:ascii="宋体" w:hAnsi="宋体" w:cs="宋体" w:eastAsia="宋体" w:hint="default"/>
          <w:spacing w:val="-3"/>
        </w:rPr>
        <w:t> </w:t>
      </w:r>
      <w:r>
        <w:rPr/>
        <w:t>通信网络维护业务的风险因素</w:t>
      </w:r>
      <w:r>
        <w:rPr>
          <w:rFonts w:ascii="宋体" w:hAnsi="宋体" w:cs="宋体" w:eastAsia="宋体" w:hint="default"/>
          <w:w w:val="100"/>
        </w:rPr>
        <w:t> </w:t>
      </w:r>
      <w:r>
        <w:rPr>
          <w:rFonts w:ascii="宋体" w:hAnsi="宋体" w:cs="宋体" w:eastAsia="宋体" w:hint="default"/>
        </w:rPr>
        <w:t>1</w:t>
      </w:r>
      <w:r>
        <w:rPr/>
        <w:t>、技术竞争加剧的风险。随着通信网络技术的快速进步，电信运营商等客户在招标、代维质量考核</w:t>
      </w:r>
    </w:p>
    <w:p>
      <w:pPr>
        <w:pStyle w:val="BodyText"/>
        <w:spacing w:line="236" w:lineRule="exact"/>
        <w:ind w:right="0"/>
        <w:jc w:val="both"/>
      </w:pPr>
      <w:r>
        <w:rPr/>
        <w:t>中不断提出个性化、复杂化的需求，促使通信维护行业的技术竞争加剧。未来只有经验丰富，技术领先，</w:t>
      </w:r>
    </w:p>
    <w:p>
      <w:pPr>
        <w:pStyle w:val="BodyText"/>
        <w:spacing w:line="273" w:lineRule="auto" w:before="37"/>
        <w:ind w:right="1126"/>
        <w:jc w:val="both"/>
        <w:rPr>
          <w:rFonts w:ascii="宋体" w:hAnsi="宋体" w:cs="宋体" w:eastAsia="宋体" w:hint="default"/>
        </w:rPr>
      </w:pPr>
      <w:r>
        <w:rPr>
          <w:spacing w:val="-2"/>
        </w:rPr>
        <w:t>具备了跨区域综合服务能力的通信技术服务商在竞争中才可能处于领先地位。如果公司通信维护业务后续</w:t>
      </w:r>
      <w:r>
        <w:rPr>
          <w:spacing w:val="-43"/>
        </w:rPr>
        <w:t> </w:t>
      </w:r>
      <w:r>
        <w:rPr>
          <w:spacing w:val="-43"/>
        </w:rPr>
      </w:r>
      <w:r>
        <w:rPr/>
        <w:t>在技术研发、服务质量、市场优化等方面无法得到持续增强，将会在竞争中处于不利的地位。</w:t>
      </w:r>
      <w:r>
        <w:rPr>
          <w:rFonts w:ascii="宋体" w:hAnsi="宋体" w:cs="宋体" w:eastAsia="宋体" w:hint="default"/>
        </w:rPr>
        <w:t> </w:t>
      </w:r>
    </w:p>
    <w:p>
      <w:pPr>
        <w:pStyle w:val="BodyText"/>
        <w:spacing w:line="273" w:lineRule="auto" w:before="70"/>
        <w:ind w:right="1128" w:firstLine="420"/>
        <w:jc w:val="both"/>
        <w:rPr>
          <w:rFonts w:ascii="宋体" w:hAnsi="宋体" w:cs="宋体" w:eastAsia="宋体" w:hint="default"/>
        </w:rPr>
      </w:pPr>
      <w:r>
        <w:rPr>
          <w:rFonts w:ascii="宋体" w:hAnsi="宋体" w:cs="宋体" w:eastAsia="宋体" w:hint="default"/>
        </w:rPr>
        <w:t>2</w:t>
      </w:r>
      <w:r>
        <w:rPr/>
        <w:t>、客户依赖的风险。公司通信网络维护业务的客户群主要为中国移动、中国电信、中国联通三大运</w:t>
      </w:r>
      <w:r>
        <w:rPr>
          <w:w w:val="100"/>
        </w:rPr>
        <w:t> </w:t>
      </w:r>
      <w:r>
        <w:rPr/>
        <w:t>营商和铁塔公司，客户集中度较高。</w:t>
      </w:r>
      <w:r>
        <w:rPr>
          <w:rFonts w:ascii="宋体" w:hAnsi="宋体" w:cs="宋体" w:eastAsia="宋体" w:hint="default"/>
        </w:rPr>
        <w:t>2017</w:t>
      </w:r>
      <w:r>
        <w:rPr>
          <w:rFonts w:ascii="宋体" w:hAnsi="宋体" w:cs="宋体" w:eastAsia="宋体" w:hint="default"/>
          <w:spacing w:val="-46"/>
        </w:rPr>
        <w:t> </w:t>
      </w:r>
      <w:r>
        <w:rPr/>
        <w:t>年、</w:t>
      </w:r>
      <w:r>
        <w:rPr>
          <w:rFonts w:ascii="宋体" w:hAnsi="宋体" w:cs="宋体" w:eastAsia="宋体" w:hint="default"/>
        </w:rPr>
        <w:t>2018</w:t>
      </w:r>
      <w:r>
        <w:rPr>
          <w:rFonts w:ascii="宋体" w:hAnsi="宋体" w:cs="宋体" w:eastAsia="宋体" w:hint="default"/>
          <w:spacing w:val="-46"/>
        </w:rPr>
        <w:t> </w:t>
      </w:r>
      <w:r>
        <w:rPr/>
        <w:t>年、</w:t>
      </w:r>
      <w:r>
        <w:rPr>
          <w:rFonts w:ascii="宋体" w:hAnsi="宋体" w:cs="宋体" w:eastAsia="宋体" w:hint="default"/>
        </w:rPr>
        <w:t>2019</w:t>
      </w:r>
      <w:r>
        <w:rPr>
          <w:rFonts w:ascii="宋体" w:hAnsi="宋体" w:cs="宋体" w:eastAsia="宋体" w:hint="default"/>
          <w:spacing w:val="-44"/>
        </w:rPr>
        <w:t> </w:t>
      </w:r>
      <w:r>
        <w:rPr/>
        <w:t>年，长实通信营业收入中来自三大运营商和</w:t>
      </w:r>
      <w:r>
        <w:rPr>
          <w:w w:val="100"/>
        </w:rPr>
        <w:t> </w:t>
      </w:r>
      <w:r>
        <w:rPr/>
        <w:t>铁塔公司的占比分别为</w:t>
      </w:r>
      <w:r>
        <w:rPr>
          <w:spacing w:val="-19"/>
        </w:rPr>
        <w:t> </w:t>
      </w:r>
      <w:r>
        <w:rPr>
          <w:rFonts w:ascii="宋体" w:hAnsi="宋体" w:cs="宋体" w:eastAsia="宋体" w:hint="default"/>
          <w:spacing w:val="-3"/>
        </w:rPr>
        <w:t>73.19%</w:t>
      </w:r>
      <w:r>
        <w:rPr>
          <w:spacing w:val="-3"/>
        </w:rPr>
        <w:t>、</w:t>
      </w:r>
      <w:r>
        <w:rPr>
          <w:rFonts w:ascii="宋体" w:hAnsi="宋体" w:cs="宋体" w:eastAsia="宋体" w:hint="default"/>
          <w:spacing w:val="-3"/>
        </w:rPr>
        <w:t>68.72%</w:t>
      </w:r>
      <w:r>
        <w:rPr>
          <w:spacing w:val="-3"/>
        </w:rPr>
        <w:t>、</w:t>
      </w:r>
      <w:r>
        <w:rPr>
          <w:rFonts w:ascii="宋体" w:hAnsi="宋体" w:cs="宋体" w:eastAsia="宋体" w:hint="default"/>
          <w:spacing w:val="-3"/>
        </w:rPr>
        <w:t>79.62%</w:t>
      </w:r>
      <w:r>
        <w:rPr>
          <w:spacing w:val="-3"/>
        </w:rPr>
        <w:t>。三大运营商和铁塔公司通常采用招标的方式进行通信服</w:t>
      </w:r>
      <w:r>
        <w:rPr>
          <w:spacing w:val="-90"/>
        </w:rPr>
        <w:t> </w:t>
      </w:r>
      <w:r>
        <w:rPr>
          <w:spacing w:val="-90"/>
        </w:rPr>
      </w:r>
      <w:r>
        <w:rPr>
          <w:spacing w:val="-2"/>
        </w:rPr>
        <w:t>务采购，一般</w:t>
      </w:r>
      <w:r>
        <w:rPr>
          <w:spacing w:val="-33"/>
        </w:rPr>
        <w:t> </w:t>
      </w:r>
      <w:r>
        <w:rPr>
          <w:rFonts w:ascii="宋体" w:hAnsi="宋体" w:cs="宋体" w:eastAsia="宋体" w:hint="default"/>
        </w:rPr>
        <w:t>2-3</w:t>
      </w:r>
      <w:r>
        <w:rPr>
          <w:rFonts w:ascii="宋体" w:hAnsi="宋体" w:cs="宋体" w:eastAsia="宋体" w:hint="default"/>
          <w:spacing w:val="-33"/>
        </w:rPr>
        <w:t> </w:t>
      </w:r>
      <w:r>
        <w:rPr>
          <w:spacing w:val="-2"/>
        </w:rPr>
        <w:t>年进行一次辖区内的统一招标，确定代维服务商。如果上述主要客户的经营策略、服务</w:t>
      </w:r>
      <w:r>
        <w:rPr>
          <w:spacing w:val="-94"/>
        </w:rPr>
        <w:t> </w:t>
      </w:r>
      <w:r>
        <w:rPr>
          <w:spacing w:val="-94"/>
        </w:rPr>
      </w:r>
      <w:r>
        <w:rPr/>
        <w:t>商准入条件、盈利水平等情况发生重大不利变化，都有可能对公司造成不利影响。</w:t>
      </w:r>
      <w:r>
        <w:rPr>
          <w:rFonts w:ascii="宋体" w:hAnsi="宋体" w:cs="宋体" w:eastAsia="宋体" w:hint="default"/>
        </w:rPr>
        <w:t> </w:t>
      </w:r>
    </w:p>
    <w:p>
      <w:pPr>
        <w:pStyle w:val="BodyText"/>
        <w:spacing w:line="273" w:lineRule="auto" w:before="48"/>
        <w:ind w:right="1126" w:firstLine="420"/>
        <w:jc w:val="both"/>
        <w:rPr>
          <w:rFonts w:ascii="宋体" w:hAnsi="宋体" w:cs="宋体" w:eastAsia="宋体" w:hint="default"/>
        </w:rPr>
      </w:pPr>
      <w:r>
        <w:rPr>
          <w:spacing w:val="-3"/>
        </w:rPr>
        <w:t>应对措施：继续进行技术研发，提高技术运用能力，培养代维人员的良好技能素养，充分发挥综合代</w:t>
      </w:r>
      <w:r>
        <w:rPr>
          <w:w w:val="100"/>
        </w:rPr>
        <w:t> </w:t>
      </w:r>
      <w:r>
        <w:rPr>
          <w:spacing w:val="-2"/>
        </w:rPr>
        <w:t>维的技术、人才、服务、质量优势和跨省区、全方位开展业务的优势，防范技术竞争加剧风险。长实通信</w:t>
      </w:r>
      <w:r>
        <w:rPr>
          <w:spacing w:val="-45"/>
        </w:rPr>
        <w:t> </w:t>
      </w:r>
      <w:r>
        <w:rPr>
          <w:spacing w:val="-45"/>
        </w:rPr>
      </w:r>
      <w:r>
        <w:rPr>
          <w:spacing w:val="-2"/>
        </w:rPr>
        <w:t>始终注重与电信运营商保持良好的沟通，及时了解电信运营商的采购政策、资质要求、服务规范等，并在</w:t>
      </w:r>
      <w:r>
        <w:rPr>
          <w:spacing w:val="-47"/>
        </w:rPr>
        <w:t> </w:t>
      </w:r>
      <w:r>
        <w:rPr>
          <w:spacing w:val="-47"/>
        </w:rPr>
      </w:r>
      <w:r>
        <w:rPr>
          <w:spacing w:val="-2"/>
        </w:rPr>
        <w:t>长期业务开展过程中，始终致力于加强电信运营商的信赖程度，不断提高服务标准和水平，从而能够持续</w:t>
      </w:r>
      <w:r>
        <w:rPr>
          <w:spacing w:val="-44"/>
        </w:rPr>
        <w:t> </w:t>
      </w:r>
      <w:r>
        <w:rPr>
          <w:spacing w:val="-44"/>
        </w:rPr>
      </w:r>
      <w:r>
        <w:rPr/>
        <w:t>地获得与电信运营商的合作机会，化解客户认可的风险。</w:t>
      </w:r>
      <w:r>
        <w:rPr>
          <w:rFonts w:ascii="宋体" w:hAnsi="宋体" w:cs="宋体" w:eastAsia="宋体" w:hint="default"/>
        </w:rPr>
        <w:t> </w:t>
      </w:r>
    </w:p>
    <w:p>
      <w:pPr>
        <w:pStyle w:val="BodyText"/>
        <w:spacing w:line="240" w:lineRule="auto" w:before="48"/>
        <w:ind w:left="573" w:right="1133"/>
        <w:jc w:val="left"/>
        <w:rPr>
          <w:rFonts w:ascii="宋体" w:hAnsi="宋体" w:cs="宋体" w:eastAsia="宋体" w:hint="default"/>
        </w:rPr>
      </w:pPr>
      <w:r>
        <w:rPr>
          <w:rFonts w:ascii="宋体" w:hAnsi="宋体" w:cs="宋体" w:eastAsia="宋体" w:hint="default"/>
        </w:rPr>
        <w:t>(</w:t>
      </w:r>
      <w:r>
        <w:rPr/>
        <w:t>五</w:t>
      </w:r>
      <w:r>
        <w:rPr>
          <w:rFonts w:ascii="宋体" w:hAnsi="宋体" w:cs="宋体" w:eastAsia="宋体" w:hint="default"/>
        </w:rPr>
        <w:t>)</w:t>
      </w:r>
      <w:r>
        <w:rPr/>
        <w:t>公司将按照应对措施防范上述风险因素酿成风险。</w:t>
      </w:r>
      <w:r>
        <w:rPr>
          <w:rFonts w:ascii="宋体" w:hAnsi="宋体" w:cs="宋体" w:eastAsia="宋体" w:hint="default"/>
        </w:rPr>
        <w:t> </w:t>
      </w:r>
    </w:p>
    <w:p>
      <w:pPr>
        <w:pStyle w:val="BodyText"/>
        <w:spacing w:line="240" w:lineRule="auto" w:before="75"/>
        <w:ind w:left="573" w:right="0"/>
        <w:jc w:val="left"/>
        <w:rPr>
          <w:rFonts w:ascii="宋体" w:hAnsi="宋体" w:cs="宋体" w:eastAsia="宋体" w:hint="default"/>
        </w:rPr>
      </w:pPr>
      <w:r>
        <w:rPr>
          <w:rFonts w:ascii="宋体"/>
          <w:w w:val="100"/>
        </w:rPr>
        <w:t> </w:t>
      </w:r>
    </w:p>
    <w:p>
      <w:pPr>
        <w:pStyle w:val="BodyText"/>
        <w:spacing w:line="240" w:lineRule="auto" w:before="78"/>
        <w:ind w:left="573" w:right="0"/>
        <w:jc w:val="left"/>
        <w:rPr>
          <w:rFonts w:ascii="宋体" w:hAnsi="宋体" w:cs="宋体" w:eastAsia="宋体" w:hint="default"/>
        </w:rPr>
      </w:pPr>
      <w:r>
        <w:rPr>
          <w:rFonts w:ascii="宋体"/>
          <w:w w:val="100"/>
        </w:rPr>
        <w:t> </w:t>
      </w:r>
    </w:p>
    <w:p>
      <w:pPr>
        <w:spacing w:after="0" w:line="240" w:lineRule="auto"/>
        <w:jc w:val="left"/>
        <w:rPr>
          <w:rFonts w:ascii="宋体" w:hAnsi="宋体" w:cs="宋体" w:eastAsia="宋体" w:hint="default"/>
        </w:rPr>
        <w:sectPr>
          <w:pgSz w:w="11910" w:h="16840"/>
          <w:pgMar w:header="880" w:footer="975" w:top="1100" w:bottom="1160" w:left="980" w:right="0"/>
        </w:sect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6"/>
          <w:szCs w:val="26"/>
        </w:rPr>
      </w:pPr>
    </w:p>
    <w:p>
      <w:pPr>
        <w:pStyle w:val="Heading2"/>
        <w:tabs>
          <w:tab w:pos="3648" w:val="left" w:leader="none"/>
        </w:tabs>
        <w:spacing w:line="240" w:lineRule="auto"/>
        <w:ind w:left="2682" w:right="1133"/>
        <w:jc w:val="left"/>
        <w:rPr>
          <w:b w:val="0"/>
          <w:bCs w:val="0"/>
        </w:rPr>
      </w:pPr>
      <w:r>
        <w:rPr>
          <w:w w:val="95"/>
        </w:rPr>
        <w:t>第四节</w:t>
        <w:tab/>
      </w:r>
      <w:r>
        <w:rPr/>
        <w:t>接待调研、沟通、采访等活动情况</w:t>
      </w:r>
      <w:r>
        <w:rPr>
          <w:b w:val="0"/>
          <w:bCs w:val="0"/>
        </w:rPr>
      </w:r>
    </w:p>
    <w:p>
      <w:pPr>
        <w:spacing w:line="240" w:lineRule="auto" w:before="4"/>
        <w:rPr>
          <w:rFonts w:ascii="宋体" w:hAnsi="宋体" w:cs="宋体" w:eastAsia="宋体" w:hint="default"/>
          <w:b/>
          <w:bCs/>
          <w:sz w:val="29"/>
          <w:szCs w:val="29"/>
        </w:rPr>
      </w:pPr>
    </w:p>
    <w:p>
      <w:pPr>
        <w:pStyle w:val="Heading3"/>
        <w:spacing w:line="240" w:lineRule="auto" w:before="0"/>
        <w:ind w:right="1133"/>
        <w:jc w:val="left"/>
        <w:rPr>
          <w:b w:val="0"/>
          <w:bCs w:val="0"/>
        </w:rPr>
      </w:pPr>
      <w:r>
        <w:rPr/>
        <w:t>一、报告期内接待调研、沟通、采访等活动登记表</w:t>
      </w:r>
      <w:r>
        <w:rPr>
          <w:b w:val="0"/>
          <w:bCs w:val="0"/>
        </w:rPr>
      </w:r>
    </w:p>
    <w:p>
      <w:pPr>
        <w:pStyle w:val="BodyText"/>
        <w:spacing w:line="240" w:lineRule="auto" w:before="75"/>
        <w:ind w:right="1133"/>
        <w:jc w:val="left"/>
        <w:rPr>
          <w:rFonts w:ascii="宋体" w:hAnsi="宋体" w:cs="宋体" w:eastAsia="宋体" w:hint="default"/>
        </w:rPr>
      </w:pPr>
      <w:r>
        <w:rPr/>
        <w:t>√ 适用 </w:t>
      </w:r>
      <w:r>
        <w:rPr>
          <w:rFonts w:ascii="宋体" w:hAnsi="宋体" w:cs="宋体" w:eastAsia="宋体" w:hint="default"/>
        </w:rPr>
      </w:r>
      <w:r>
        <w:rPr>
          <w:spacing w:val="-3"/>
        </w:rPr>
        <w:t>□</w:t>
      </w:r>
      <w:r>
        <w:rPr/>
        <w:t> 不适用</w:t>
      </w:r>
      <w:r>
        <w:rPr>
          <w:rFonts w:ascii="宋体" w:hAnsi="宋体" w:cs="宋体" w:eastAsia="宋体" w:hint="default"/>
        </w:rPr>
        <w:t> </w:t>
      </w:r>
    </w:p>
    <w:p>
      <w:pPr>
        <w:spacing w:line="240" w:lineRule="auto" w:before="12"/>
        <w:rPr>
          <w:rFonts w:ascii="宋体" w:hAnsi="宋体" w:cs="宋体" w:eastAsia="宋体" w:hint="default"/>
          <w:sz w:val="6"/>
          <w:szCs w:val="6"/>
        </w:rPr>
      </w:pPr>
    </w:p>
    <w:tbl>
      <w:tblPr>
        <w:tblW w:w="0" w:type="auto"/>
        <w:jc w:val="left"/>
        <w:tblInd w:w="148" w:type="dxa"/>
        <w:tblLayout w:type="fixed"/>
        <w:tblCellMar>
          <w:top w:w="0" w:type="dxa"/>
          <w:left w:w="0" w:type="dxa"/>
          <w:bottom w:w="0" w:type="dxa"/>
          <w:right w:w="0" w:type="dxa"/>
        </w:tblCellMar>
        <w:tblLook w:val="01E0"/>
      </w:tblPr>
      <w:tblGrid>
        <w:gridCol w:w="1702"/>
        <w:gridCol w:w="850"/>
        <w:gridCol w:w="853"/>
        <w:gridCol w:w="312"/>
        <w:gridCol w:w="5924"/>
      </w:tblGrid>
      <w:tr>
        <w:trPr>
          <w:trHeight w:val="634"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485" w:right="0"/>
              <w:jc w:val="left"/>
              <w:rPr>
                <w:rFonts w:ascii="宋体" w:hAnsi="宋体" w:cs="宋体" w:eastAsia="宋体" w:hint="default"/>
                <w:sz w:val="18"/>
                <w:szCs w:val="18"/>
              </w:rPr>
            </w:pPr>
            <w:r>
              <w:rPr>
                <w:rFonts w:ascii="宋体" w:hAnsi="宋体" w:cs="宋体" w:eastAsia="宋体" w:hint="default"/>
                <w:sz w:val="18"/>
                <w:szCs w:val="18"/>
              </w:rPr>
              <w:t>接待时间</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接待方式</w:t>
            </w:r>
          </w:p>
        </w:tc>
        <w:tc>
          <w:tcPr>
            <w:tcW w:w="8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10"/>
              <w:ind w:left="240" w:right="62" w:hanging="180"/>
              <w:jc w:val="left"/>
              <w:rPr>
                <w:rFonts w:ascii="宋体" w:hAnsi="宋体" w:cs="宋体" w:eastAsia="宋体" w:hint="default"/>
                <w:sz w:val="18"/>
                <w:szCs w:val="18"/>
              </w:rPr>
            </w:pPr>
            <w:r>
              <w:rPr>
                <w:rFonts w:ascii="宋体" w:hAnsi="宋体" w:cs="宋体" w:eastAsia="宋体" w:hint="default"/>
                <w:sz w:val="18"/>
                <w:szCs w:val="18"/>
              </w:rPr>
              <w:t>接待对象 类型</w:t>
            </w:r>
          </w:p>
        </w:tc>
        <w:tc>
          <w:tcPr>
            <w:tcW w:w="623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调研的基本情况索引</w:t>
            </w:r>
          </w:p>
        </w:tc>
      </w:tr>
      <w:tr>
        <w:trPr>
          <w:trHeight w:val="634"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实地调研</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机构</w:t>
            </w:r>
          </w:p>
        </w:tc>
        <w:tc>
          <w:tcPr>
            <w:tcW w:w="623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公司情况介绍、可转债项目情况、基站站址项目的运营模式，以及未来发展。</w:t>
            </w:r>
          </w:p>
          <w:p>
            <w:pPr>
              <w:pStyle w:val="TableParagraph"/>
              <w:spacing w:line="240" w:lineRule="auto" w:before="76"/>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未提供资料</w:t>
            </w:r>
            <w:r>
              <w:rPr>
                <w:rFonts w:ascii="Times New Roman" w:hAnsi="Times New Roman" w:cs="Times New Roman" w:eastAsia="Times New Roman" w:hint="default"/>
                <w:sz w:val="18"/>
                <w:szCs w:val="18"/>
              </w:rPr>
              <w:t>)</w:t>
            </w:r>
          </w:p>
        </w:tc>
      </w:tr>
      <w:tr>
        <w:trPr>
          <w:trHeight w:val="634"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14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实地调研</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机构</w:t>
            </w:r>
          </w:p>
        </w:tc>
        <w:tc>
          <w:tcPr>
            <w:tcW w:w="623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年经营分析、金融科技服务情况、公司愿景与规划、商誉等情况。</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未提供资料</w:t>
            </w:r>
            <w:r>
              <w:rPr>
                <w:rFonts w:ascii="Times New Roman" w:hAnsi="Times New Roman" w:cs="Times New Roman" w:eastAsia="Times New Roman" w:hint="default"/>
                <w:sz w:val="18"/>
                <w:szCs w:val="18"/>
              </w:rPr>
              <w:t>)</w:t>
            </w:r>
          </w:p>
        </w:tc>
      </w:tr>
      <w:tr>
        <w:trPr>
          <w:trHeight w:val="949" w:hRule="exact"/>
        </w:trPr>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15 </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网络形式</w:t>
            </w:r>
          </w:p>
        </w:tc>
        <w:tc>
          <w:tcPr>
            <w:tcW w:w="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其他</w:t>
            </w:r>
          </w:p>
        </w:tc>
        <w:tc>
          <w:tcPr>
            <w:tcW w:w="6236" w:type="dxa"/>
            <w:gridSpan w:val="2"/>
            <w:tcBorders>
              <w:top w:val="single" w:sz="4" w:space="0" w:color="000000"/>
              <w:left w:val="single" w:sz="4" w:space="0" w:color="000000"/>
              <w:bottom w:val="single" w:sz="4" w:space="0" w:color="000000"/>
              <w:right w:val="single" w:sz="4" w:space="0" w:color="000000"/>
            </w:tcBorders>
          </w:tcPr>
          <w:p>
            <w:pPr>
              <w:pStyle w:val="TableParagraph"/>
              <w:spacing w:line="309" w:lineRule="auto" w:before="13"/>
              <w:ind w:left="23" w:right="20"/>
              <w:jc w:val="left"/>
              <w:rPr>
                <w:rFonts w:ascii="Times New Roman" w:hAnsi="Times New Roman" w:cs="Times New Roman" w:eastAsia="Times New Roman" w:hint="default"/>
                <w:sz w:val="18"/>
                <w:szCs w:val="18"/>
              </w:rPr>
            </w:pPr>
            <w:r>
              <w:rPr>
                <w:rFonts w:ascii="宋体" w:hAnsi="宋体" w:cs="宋体" w:eastAsia="宋体" w:hint="default"/>
                <w:sz w:val="18"/>
                <w:szCs w:val="18"/>
              </w:rPr>
              <w:t>与参加河北辖区上市公司</w:t>
            </w:r>
            <w:r>
              <w:rPr>
                <w:rFonts w:ascii="宋体" w:hAnsi="宋体" w:cs="宋体" w:eastAsia="宋体" w:hint="default"/>
                <w:spacing w:val="-60"/>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6"/>
                <w:sz w:val="18"/>
                <w:szCs w:val="18"/>
              </w:rPr>
              <w:t> </w:t>
            </w:r>
            <w:r>
              <w:rPr>
                <w:rFonts w:ascii="宋体" w:hAnsi="宋体" w:cs="宋体" w:eastAsia="宋体" w:hint="default"/>
                <w:sz w:val="18"/>
                <w:szCs w:val="18"/>
              </w:rPr>
              <w:t>年度投资者网上集体接待日活动的投资者就公司 经营业绩、公司治理、经营状况、发展战略等问题等事项进行交流。 </w:t>
            </w:r>
            <w:r>
              <w:rPr>
                <w:rFonts w:ascii="Times New Roman" w:hAnsi="Times New Roman" w:cs="Times New Roman" w:eastAsia="Times New Roman" w:hint="default"/>
                <w:sz w:val="18"/>
                <w:szCs w:val="18"/>
              </w:rPr>
              <w:t>(</w:t>
            </w:r>
            <w:r>
              <w:rPr>
                <w:rFonts w:ascii="宋体" w:hAnsi="宋体" w:cs="宋体" w:eastAsia="宋体" w:hint="default"/>
                <w:sz w:val="18"/>
                <w:szCs w:val="18"/>
              </w:rPr>
              <w:t>未提供资料</w:t>
            </w:r>
            <w:r>
              <w:rPr>
                <w:rFonts w:ascii="Times New Roman" w:hAnsi="Times New Roman" w:cs="Times New Roman" w:eastAsia="Times New Roman" w:hint="default"/>
                <w:sz w:val="18"/>
                <w:szCs w:val="18"/>
              </w:rPr>
              <w:t>)</w:t>
            </w:r>
          </w:p>
        </w:tc>
      </w:tr>
      <w:tr>
        <w:trPr>
          <w:trHeight w:val="322" w:hRule="exact"/>
        </w:trPr>
        <w:tc>
          <w:tcPr>
            <w:tcW w:w="964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注：深交所互动易本公司专页网址</w:t>
            </w:r>
            <w:r>
              <w:rPr>
                <w:rFonts w:ascii="宋体" w:hAnsi="宋体" w:cs="宋体" w:eastAsia="宋体" w:hint="default"/>
                <w:spacing w:val="-57"/>
                <w:sz w:val="18"/>
                <w:szCs w:val="18"/>
              </w:rPr>
              <w:t> </w:t>
            </w:r>
            <w:r>
              <w:rPr>
                <w:rFonts w:ascii="Times New Roman" w:hAnsi="Times New Roman" w:cs="Times New Roman" w:eastAsia="Times New Roman" w:hint="default"/>
                <w:spacing w:val="-57"/>
                <w:sz w:val="18"/>
                <w:szCs w:val="18"/>
              </w:rPr>
            </w:r>
            <w:hyperlink r:id="rId29">
              <w:r>
                <w:rPr>
                  <w:rFonts w:ascii="Times New Roman" w:hAnsi="Times New Roman" w:cs="Times New Roman" w:eastAsia="Times New Roman" w:hint="default"/>
                  <w:sz w:val="18"/>
                  <w:szCs w:val="18"/>
                  <w:u w:val="single" w:color="000000"/>
                </w:rPr>
                <w:t>http://irm.cninfo.com.cn/ssessgs/S000889/</w:t>
              </w:r>
              <w:r>
                <w:rPr>
                  <w:rFonts w:ascii="Times New Roman" w:hAnsi="Times New Roman" w:cs="Times New Roman" w:eastAsia="Times New Roman" w:hint="default"/>
                  <w:sz w:val="18"/>
                  <w:szCs w:val="18"/>
                </w:rPr>
              </w:r>
            </w:hyperlink>
          </w:p>
        </w:tc>
      </w:tr>
      <w:tr>
        <w:trPr>
          <w:trHeight w:val="322" w:hRule="exact"/>
        </w:trPr>
        <w:tc>
          <w:tcPr>
            <w:tcW w:w="371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接待次数</w:t>
            </w:r>
          </w:p>
        </w:tc>
        <w:tc>
          <w:tcPr>
            <w:tcW w:w="5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9"/>
              <w:jc w:val="right"/>
              <w:rPr>
                <w:rFonts w:ascii="Times New Roman" w:hAnsi="Times New Roman" w:cs="Times New Roman" w:eastAsia="Times New Roman" w:hint="default"/>
                <w:sz w:val="21"/>
                <w:szCs w:val="21"/>
              </w:rPr>
            </w:pPr>
            <w:r>
              <w:rPr>
                <w:rFonts w:ascii="Times New Roman"/>
                <w:sz w:val="21"/>
              </w:rPr>
              <w:t>19</w:t>
            </w:r>
          </w:p>
        </w:tc>
      </w:tr>
      <w:tr>
        <w:trPr>
          <w:trHeight w:val="322" w:hRule="exact"/>
        </w:trPr>
        <w:tc>
          <w:tcPr>
            <w:tcW w:w="371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接待机构数量</w:t>
            </w:r>
          </w:p>
        </w:tc>
        <w:tc>
          <w:tcPr>
            <w:tcW w:w="5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9"/>
              <w:jc w:val="right"/>
              <w:rPr>
                <w:rFonts w:ascii="Times New Roman" w:hAnsi="Times New Roman" w:cs="Times New Roman" w:eastAsia="Times New Roman" w:hint="default"/>
                <w:sz w:val="21"/>
                <w:szCs w:val="21"/>
              </w:rPr>
            </w:pPr>
            <w:r>
              <w:rPr>
                <w:rFonts w:ascii="Times New Roman"/>
                <w:sz w:val="21"/>
              </w:rPr>
              <w:t>52</w:t>
            </w:r>
          </w:p>
        </w:tc>
      </w:tr>
      <w:tr>
        <w:trPr>
          <w:trHeight w:val="322" w:hRule="exact"/>
        </w:trPr>
        <w:tc>
          <w:tcPr>
            <w:tcW w:w="371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接待个人数量</w:t>
            </w:r>
          </w:p>
        </w:tc>
        <w:tc>
          <w:tcPr>
            <w:tcW w:w="5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9"/>
              <w:jc w:val="right"/>
              <w:rPr>
                <w:rFonts w:ascii="Times New Roman" w:hAnsi="Times New Roman" w:cs="Times New Roman" w:eastAsia="Times New Roman" w:hint="default"/>
                <w:sz w:val="21"/>
                <w:szCs w:val="21"/>
              </w:rPr>
            </w:pPr>
            <w:r>
              <w:rPr>
                <w:rFonts w:ascii="Times New Roman"/>
                <w:w w:val="100"/>
                <w:sz w:val="21"/>
              </w:rPr>
              <w:t>0</w:t>
            </w:r>
          </w:p>
        </w:tc>
      </w:tr>
      <w:tr>
        <w:trPr>
          <w:trHeight w:val="323" w:hRule="exact"/>
        </w:trPr>
        <w:tc>
          <w:tcPr>
            <w:tcW w:w="371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接待其他对象数量</w:t>
            </w:r>
          </w:p>
        </w:tc>
        <w:tc>
          <w:tcPr>
            <w:tcW w:w="5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9"/>
              <w:jc w:val="right"/>
              <w:rPr>
                <w:rFonts w:ascii="Times New Roman" w:hAnsi="Times New Roman" w:cs="Times New Roman" w:eastAsia="Times New Roman" w:hint="default"/>
                <w:sz w:val="21"/>
                <w:szCs w:val="21"/>
              </w:rPr>
            </w:pPr>
            <w:r>
              <w:rPr>
                <w:rFonts w:ascii="Times New Roman"/>
                <w:w w:val="100"/>
                <w:sz w:val="21"/>
              </w:rPr>
              <w:t>0</w:t>
            </w:r>
          </w:p>
        </w:tc>
      </w:tr>
      <w:tr>
        <w:trPr>
          <w:trHeight w:val="323" w:hRule="exact"/>
        </w:trPr>
        <w:tc>
          <w:tcPr>
            <w:tcW w:w="371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是否披露、透露或泄露未公开重大信息</w:t>
            </w:r>
          </w:p>
        </w:tc>
        <w:tc>
          <w:tcPr>
            <w:tcW w:w="5924" w:type="dxa"/>
            <w:tcBorders>
              <w:top w:val="single" w:sz="4" w:space="0" w:color="000000"/>
              <w:left w:val="single" w:sz="4" w:space="0" w:color="000000"/>
              <w:bottom w:val="single" w:sz="4" w:space="0" w:color="000000"/>
              <w:right w:val="single" w:sz="4" w:space="0" w:color="000000"/>
            </w:tcBorders>
          </w:tcPr>
          <w:p>
            <w:pPr>
              <w:pStyle w:val="TableParagraph"/>
              <w:spacing w:line="264" w:lineRule="exact"/>
              <w:ind w:right="19"/>
              <w:jc w:val="right"/>
              <w:rPr>
                <w:rFonts w:ascii="宋体" w:hAnsi="宋体" w:cs="宋体" w:eastAsia="宋体" w:hint="default"/>
                <w:sz w:val="21"/>
                <w:szCs w:val="21"/>
              </w:rPr>
            </w:pPr>
            <w:r>
              <w:rPr>
                <w:rFonts w:ascii="宋体" w:hAnsi="宋体" w:cs="宋体" w:eastAsia="宋体" w:hint="default"/>
                <w:w w:val="100"/>
                <w:sz w:val="21"/>
                <w:szCs w:val="21"/>
              </w:rPr>
              <w:t>否</w:t>
            </w:r>
          </w:p>
        </w:tc>
      </w:tr>
    </w:tbl>
    <w:p>
      <w:pPr>
        <w:spacing w:after="0" w:line="264" w:lineRule="exact"/>
        <w:jc w:val="right"/>
        <w:rPr>
          <w:rFonts w:ascii="宋体" w:hAnsi="宋体" w:cs="宋体" w:eastAsia="宋体" w:hint="default"/>
          <w:sz w:val="21"/>
          <w:szCs w:val="21"/>
        </w:rPr>
        <w:sectPr>
          <w:pgSz w:w="11910" w:h="16840"/>
          <w:pgMar w:header="880" w:footer="975" w:top="1100" w:bottom="1160" w:left="980" w:right="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8"/>
          <w:szCs w:val="28"/>
        </w:rPr>
      </w:pPr>
    </w:p>
    <w:p>
      <w:pPr>
        <w:pStyle w:val="Heading1"/>
        <w:tabs>
          <w:tab w:pos="1286" w:val="left" w:leader="none"/>
        </w:tabs>
        <w:spacing w:line="240" w:lineRule="auto"/>
        <w:ind w:right="983"/>
        <w:jc w:val="center"/>
        <w:rPr>
          <w:b w:val="0"/>
          <w:bCs w:val="0"/>
        </w:rPr>
      </w:pPr>
      <w:bookmarkStart w:name="_bookmark4" w:id="5"/>
      <w:bookmarkEnd w:id="5"/>
      <w:r>
        <w:rPr>
          <w:b w:val="0"/>
          <w:bCs w:val="0"/>
        </w:rPr>
      </w:r>
      <w:r>
        <w:rPr>
          <w:w w:val="95"/>
        </w:rPr>
        <w:t>第五章</w:t>
        <w:tab/>
      </w:r>
      <w:r>
        <w:rPr/>
        <w:t>重要事项</w:t>
      </w:r>
      <w:r>
        <w:rPr>
          <w:b w:val="0"/>
          <w:bCs w:val="0"/>
        </w:rPr>
      </w:r>
    </w:p>
    <w:p>
      <w:pPr>
        <w:spacing w:line="240" w:lineRule="auto" w:before="11"/>
        <w:rPr>
          <w:rFonts w:ascii="宋体" w:hAnsi="宋体" w:cs="宋体" w:eastAsia="宋体" w:hint="default"/>
          <w:b/>
          <w:bCs/>
          <w:sz w:val="22"/>
          <w:szCs w:val="22"/>
        </w:rPr>
      </w:pPr>
    </w:p>
    <w:p>
      <w:pPr>
        <w:pStyle w:val="Heading2"/>
        <w:tabs>
          <w:tab w:pos="964" w:val="left" w:leader="none"/>
        </w:tabs>
        <w:spacing w:line="240" w:lineRule="auto" w:before="0"/>
        <w:ind w:left="0" w:right="981"/>
        <w:jc w:val="center"/>
        <w:rPr>
          <w:b w:val="0"/>
          <w:bCs w:val="0"/>
        </w:rPr>
      </w:pPr>
      <w:r>
        <w:rPr>
          <w:w w:val="95"/>
        </w:rPr>
        <w:t>第一节</w:t>
        <w:tab/>
      </w:r>
      <w:r>
        <w:rPr/>
        <w:t>公司普通股利润分配及资本公积金转增股本情况</w:t>
      </w:r>
      <w:r>
        <w:rPr>
          <w:b w:val="0"/>
          <w:bCs w:val="0"/>
        </w:rPr>
      </w:r>
    </w:p>
    <w:p>
      <w:pPr>
        <w:spacing w:line="240" w:lineRule="auto" w:before="9"/>
        <w:rPr>
          <w:rFonts w:ascii="宋体" w:hAnsi="宋体" w:cs="宋体" w:eastAsia="宋体" w:hint="default"/>
          <w:b/>
          <w:bCs/>
          <w:sz w:val="24"/>
          <w:szCs w:val="24"/>
        </w:rPr>
      </w:pPr>
    </w:p>
    <w:p>
      <w:pPr>
        <w:pStyle w:val="BodyText"/>
        <w:spacing w:line="240" w:lineRule="auto"/>
        <w:ind w:right="1133"/>
        <w:jc w:val="left"/>
      </w:pPr>
      <w:r>
        <w:rPr/>
        <w:t>一、报告期内普通股利润分配政策，特别是现金分红政策的制定、执行或调整情况</w:t>
      </w:r>
    </w:p>
    <w:p>
      <w:pPr>
        <w:pStyle w:val="BodyText"/>
        <w:spacing w:line="240" w:lineRule="auto" w:before="157"/>
        <w:ind w:right="1133"/>
        <w:jc w:val="left"/>
        <w:rPr>
          <w:rFonts w:ascii="宋体" w:hAnsi="宋体" w:cs="宋体" w:eastAsia="宋体" w:hint="default"/>
        </w:rPr>
      </w:pPr>
      <w:r>
        <w:rPr/>
        <w:t>□ 适用 </w:t>
      </w:r>
      <w:r>
        <w:rPr>
          <w:rFonts w:ascii="宋体" w:hAnsi="宋体" w:cs="宋体" w:eastAsia="宋体" w:hint="default"/>
        </w:rPr>
      </w:r>
      <w:r>
        <w:rPr>
          <w:spacing w:val="-3"/>
        </w:rPr>
        <w:t>√</w:t>
      </w:r>
      <w:r>
        <w:rPr/>
        <w:t> 不适用</w:t>
      </w:r>
      <w:r>
        <w:rPr>
          <w:rFonts w:ascii="宋体" w:hAnsi="宋体" w:cs="宋体" w:eastAsia="宋体" w:hint="default"/>
        </w:rPr>
        <w:t> </w:t>
      </w:r>
    </w:p>
    <w:p>
      <w:pPr>
        <w:pStyle w:val="BodyText"/>
        <w:spacing w:line="240" w:lineRule="auto" w:before="78"/>
        <w:ind w:right="1133"/>
        <w:jc w:val="left"/>
        <w:rPr>
          <w:rFonts w:ascii="宋体" w:hAnsi="宋体" w:cs="宋体" w:eastAsia="宋体" w:hint="default"/>
        </w:rPr>
      </w:pPr>
      <w:r>
        <w:rPr>
          <w:spacing w:val="-10"/>
          <w:w w:val="100"/>
        </w:rPr>
        <w:t>公司</w:t>
      </w:r>
      <w:r>
        <w:rPr>
          <w:w w:val="100"/>
        </w:rPr>
        <w:t>近</w:t>
      </w:r>
      <w:r>
        <w:rPr>
          <w:spacing w:val="-64"/>
        </w:rPr>
        <w:t> </w:t>
      </w:r>
      <w:r>
        <w:rPr>
          <w:rFonts w:ascii="宋体" w:hAnsi="宋体" w:cs="宋体" w:eastAsia="宋体" w:hint="default"/>
          <w:w w:val="100"/>
        </w:rPr>
        <w:t>3</w:t>
      </w:r>
      <w:r>
        <w:rPr>
          <w:rFonts w:ascii="宋体" w:hAnsi="宋体" w:cs="宋体" w:eastAsia="宋体" w:hint="default"/>
          <w:spacing w:val="-60"/>
        </w:rPr>
        <w:t> </w:t>
      </w:r>
      <w:r>
        <w:rPr>
          <w:spacing w:val="-10"/>
          <w:w w:val="100"/>
        </w:rPr>
        <w:t>年（包</w:t>
      </w:r>
      <w:r>
        <w:rPr>
          <w:spacing w:val="-8"/>
          <w:w w:val="100"/>
        </w:rPr>
        <w:t>括</w:t>
      </w:r>
      <w:r>
        <w:rPr>
          <w:spacing w:val="-10"/>
          <w:w w:val="100"/>
        </w:rPr>
        <w:t>本报告</w:t>
      </w:r>
      <w:r>
        <w:rPr>
          <w:spacing w:val="-8"/>
          <w:w w:val="100"/>
        </w:rPr>
        <w:t>期</w:t>
      </w:r>
      <w:r>
        <w:rPr>
          <w:spacing w:val="-10"/>
          <w:w w:val="100"/>
        </w:rPr>
        <w:t>）的普通股股利</w:t>
      </w:r>
      <w:r>
        <w:rPr>
          <w:spacing w:val="-8"/>
          <w:w w:val="100"/>
        </w:rPr>
        <w:t>分</w:t>
      </w:r>
      <w:r>
        <w:rPr>
          <w:spacing w:val="-10"/>
          <w:w w:val="100"/>
        </w:rPr>
        <w:t>配方案</w:t>
      </w:r>
      <w:r>
        <w:rPr>
          <w:spacing w:val="-8"/>
          <w:w w:val="100"/>
        </w:rPr>
        <w:t>（</w:t>
      </w:r>
      <w:r>
        <w:rPr>
          <w:spacing w:val="-10"/>
          <w:w w:val="100"/>
        </w:rPr>
        <w:t>预案</w:t>
      </w:r>
      <w:r>
        <w:rPr>
          <w:spacing w:val="-111"/>
          <w:w w:val="100"/>
        </w:rPr>
        <w:t>）</w:t>
      </w:r>
      <w:r>
        <w:rPr>
          <w:spacing w:val="-10"/>
          <w:w w:val="100"/>
        </w:rPr>
        <w:t>、资本公积</w:t>
      </w:r>
      <w:r>
        <w:rPr>
          <w:spacing w:val="-8"/>
          <w:w w:val="100"/>
        </w:rPr>
        <w:t>金</w:t>
      </w:r>
      <w:r>
        <w:rPr>
          <w:spacing w:val="-10"/>
          <w:w w:val="100"/>
        </w:rPr>
        <w:t>转增</w:t>
      </w:r>
      <w:r>
        <w:rPr>
          <w:spacing w:val="-8"/>
          <w:w w:val="100"/>
        </w:rPr>
        <w:t>股</w:t>
      </w:r>
      <w:r>
        <w:rPr>
          <w:spacing w:val="-10"/>
          <w:w w:val="100"/>
        </w:rPr>
        <w:t>本方案（预案）</w:t>
      </w:r>
      <w:r>
        <w:rPr>
          <w:spacing w:val="-8"/>
          <w:w w:val="100"/>
        </w:rPr>
        <w:t>情</w:t>
      </w:r>
      <w:r>
        <w:rPr>
          <w:spacing w:val="-9"/>
          <w:w w:val="100"/>
        </w:rPr>
        <w:t>况</w:t>
      </w:r>
      <w:r>
        <w:rPr>
          <w:rFonts w:ascii="宋体" w:hAnsi="宋体" w:cs="宋体" w:eastAsia="宋体" w:hint="default"/>
          <w:w w:val="100"/>
        </w:rPr>
        <w:t> </w:t>
      </w:r>
    </w:p>
    <w:p>
      <w:pPr>
        <w:spacing w:line="240" w:lineRule="auto" w:before="12"/>
        <w:rPr>
          <w:rFonts w:ascii="宋体" w:hAnsi="宋体" w:cs="宋体" w:eastAsia="宋体" w:hint="default"/>
          <w:sz w:val="6"/>
          <w:szCs w:val="6"/>
        </w:rPr>
      </w:pPr>
    </w:p>
    <w:tbl>
      <w:tblPr>
        <w:tblW w:w="0" w:type="auto"/>
        <w:jc w:val="left"/>
        <w:tblInd w:w="145" w:type="dxa"/>
        <w:tblLayout w:type="fixed"/>
        <w:tblCellMar>
          <w:top w:w="0" w:type="dxa"/>
          <w:left w:w="0" w:type="dxa"/>
          <w:bottom w:w="0" w:type="dxa"/>
          <w:right w:w="0" w:type="dxa"/>
        </w:tblCellMar>
        <w:tblLook w:val="01E0"/>
      </w:tblPr>
      <w:tblGrid>
        <w:gridCol w:w="3121"/>
        <w:gridCol w:w="6661"/>
      </w:tblGrid>
      <w:tr>
        <w:trPr>
          <w:trHeight w:val="341" w:hRule="exact"/>
        </w:trPr>
        <w:tc>
          <w:tcPr>
            <w:tcW w:w="3121"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72" w:lineRule="exact"/>
              <w:ind w:left="2" w:right="0"/>
              <w:jc w:val="center"/>
              <w:rPr>
                <w:rFonts w:ascii="宋体" w:hAnsi="宋体" w:cs="宋体" w:eastAsia="宋体" w:hint="default"/>
                <w:sz w:val="21"/>
                <w:szCs w:val="21"/>
              </w:rPr>
            </w:pPr>
            <w:r>
              <w:rPr>
                <w:rFonts w:ascii="宋体" w:hAnsi="宋体" w:cs="宋体" w:eastAsia="宋体" w:hint="default"/>
                <w:sz w:val="21"/>
                <w:szCs w:val="21"/>
              </w:rPr>
              <w:t>分配年度</w:t>
            </w:r>
          </w:p>
        </w:tc>
        <w:tc>
          <w:tcPr>
            <w:tcW w:w="6661"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72" w:lineRule="exact"/>
              <w:ind w:left="4" w:right="0"/>
              <w:jc w:val="center"/>
              <w:rPr>
                <w:rFonts w:ascii="宋体" w:hAnsi="宋体" w:cs="宋体" w:eastAsia="宋体" w:hint="default"/>
                <w:sz w:val="21"/>
                <w:szCs w:val="21"/>
              </w:rPr>
            </w:pPr>
            <w:r>
              <w:rPr>
                <w:rFonts w:ascii="宋体" w:hAnsi="宋体" w:cs="宋体" w:eastAsia="宋体" w:hint="default"/>
                <w:sz w:val="21"/>
                <w:szCs w:val="21"/>
              </w:rPr>
              <w:t>分配方案</w:t>
            </w:r>
          </w:p>
        </w:tc>
      </w:tr>
      <w:tr>
        <w:trPr>
          <w:trHeight w:val="401" w:hRule="exact"/>
        </w:trPr>
        <w:tc>
          <w:tcPr>
            <w:tcW w:w="3121" w:type="dxa"/>
            <w:tcBorders>
              <w:top w:val="single" w:sz="10" w:space="0" w:color="000000"/>
              <w:left w:val="single" w:sz="6" w:space="0" w:color="000000"/>
              <w:bottom w:val="single" w:sz="6" w:space="0" w:color="000000"/>
              <w:right w:val="single" w:sz="6" w:space="0" w:color="000000"/>
            </w:tcBorders>
          </w:tcPr>
          <w:p>
            <w:pPr>
              <w:pStyle w:val="TableParagraph"/>
              <w:spacing w:line="290" w:lineRule="exact"/>
              <w:ind w:left="4"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2019</w:t>
            </w:r>
            <w:r>
              <w:rPr>
                <w:rFonts w:ascii="宋体" w:hAnsi="宋体" w:cs="宋体" w:eastAsia="宋体" w:hint="default"/>
                <w:sz w:val="21"/>
                <w:szCs w:val="21"/>
              </w:rPr>
              <w:t>年</w:t>
            </w:r>
          </w:p>
        </w:tc>
        <w:tc>
          <w:tcPr>
            <w:tcW w:w="6661" w:type="dxa"/>
            <w:tcBorders>
              <w:top w:val="single" w:sz="10" w:space="0" w:color="000000"/>
              <w:left w:val="single" w:sz="6" w:space="0" w:color="000000"/>
              <w:bottom w:val="single" w:sz="6" w:space="0" w:color="000000"/>
              <w:right w:val="single" w:sz="6" w:space="0" w:color="000000"/>
            </w:tcBorders>
          </w:tcPr>
          <w:p>
            <w:pPr>
              <w:pStyle w:val="TableParagraph"/>
              <w:spacing w:line="240" w:lineRule="auto" w:before="23"/>
              <w:ind w:left="2" w:right="0"/>
              <w:jc w:val="left"/>
              <w:rPr>
                <w:rFonts w:ascii="宋体" w:hAnsi="宋体" w:cs="宋体" w:eastAsia="宋体" w:hint="default"/>
                <w:sz w:val="21"/>
                <w:szCs w:val="21"/>
              </w:rPr>
            </w:pPr>
            <w:r>
              <w:rPr>
                <w:rFonts w:ascii="宋体" w:hAnsi="宋体" w:cs="宋体" w:eastAsia="宋体" w:hint="default"/>
                <w:sz w:val="21"/>
                <w:szCs w:val="21"/>
              </w:rPr>
              <w:t>资本公积金转增股本，每</w:t>
            </w:r>
            <w:r>
              <w:rPr>
                <w:rFonts w:ascii="Times New Roman" w:hAnsi="Times New Roman" w:cs="Times New Roman" w:eastAsia="Times New Roman" w:hint="default"/>
                <w:sz w:val="21"/>
                <w:szCs w:val="21"/>
              </w:rPr>
              <w:t>10</w:t>
            </w:r>
            <w:r>
              <w:rPr>
                <w:rFonts w:ascii="宋体" w:hAnsi="宋体" w:cs="宋体" w:eastAsia="宋体" w:hint="default"/>
                <w:sz w:val="21"/>
                <w:szCs w:val="21"/>
              </w:rPr>
              <w:t>股转增</w:t>
            </w:r>
            <w:r>
              <w:rPr>
                <w:rFonts w:ascii="Times New Roman" w:hAnsi="Times New Roman" w:cs="Times New Roman" w:eastAsia="Times New Roman" w:hint="default"/>
                <w:sz w:val="21"/>
                <w:szCs w:val="21"/>
              </w:rPr>
              <w:t>4</w:t>
            </w:r>
            <w:r>
              <w:rPr>
                <w:rFonts w:ascii="宋体" w:hAnsi="宋体" w:cs="宋体" w:eastAsia="宋体" w:hint="default"/>
                <w:sz w:val="21"/>
                <w:szCs w:val="21"/>
              </w:rPr>
              <w:t>股，不派发现金红利，不送红股。</w:t>
            </w:r>
          </w:p>
        </w:tc>
      </w:tr>
      <w:tr>
        <w:trPr>
          <w:trHeight w:val="394" w:hRule="exact"/>
        </w:trPr>
        <w:tc>
          <w:tcPr>
            <w:tcW w:w="3121" w:type="dxa"/>
            <w:tcBorders>
              <w:top w:val="single" w:sz="6" w:space="0" w:color="000000"/>
              <w:left w:val="single" w:sz="6" w:space="0" w:color="000000"/>
              <w:bottom w:val="single" w:sz="6" w:space="0" w:color="000000"/>
              <w:right w:val="single" w:sz="6" w:space="0" w:color="000000"/>
            </w:tcBorders>
          </w:tcPr>
          <w:p>
            <w:pPr>
              <w:pStyle w:val="TableParagraph"/>
              <w:spacing w:line="288" w:lineRule="exact"/>
              <w:ind w:left="4"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2018</w:t>
            </w:r>
            <w:r>
              <w:rPr>
                <w:rFonts w:ascii="宋体" w:hAnsi="宋体" w:cs="宋体" w:eastAsia="宋体" w:hint="default"/>
                <w:sz w:val="21"/>
                <w:szCs w:val="21"/>
              </w:rPr>
              <w:t>年</w:t>
            </w:r>
          </w:p>
        </w:tc>
        <w:tc>
          <w:tcPr>
            <w:tcW w:w="66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1"/>
              <w:ind w:left="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10</w:t>
            </w:r>
            <w:r>
              <w:rPr>
                <w:rFonts w:ascii="宋体" w:hAnsi="宋体" w:cs="宋体" w:eastAsia="宋体" w:hint="default"/>
                <w:sz w:val="21"/>
                <w:szCs w:val="21"/>
              </w:rPr>
              <w:t>派</w:t>
            </w:r>
            <w:r>
              <w:rPr>
                <w:rFonts w:ascii="Times New Roman" w:hAnsi="Times New Roman" w:cs="Times New Roman" w:eastAsia="Times New Roman" w:hint="default"/>
                <w:sz w:val="21"/>
                <w:szCs w:val="21"/>
              </w:rPr>
              <w:t>0.38</w:t>
            </w:r>
            <w:r>
              <w:rPr>
                <w:rFonts w:ascii="宋体" w:hAnsi="宋体" w:cs="宋体" w:eastAsia="宋体" w:hint="default"/>
                <w:sz w:val="21"/>
                <w:szCs w:val="21"/>
              </w:rPr>
              <w:t>元</w:t>
            </w:r>
            <w:r>
              <w:rPr>
                <w:rFonts w:ascii="Times New Roman" w:hAnsi="Times New Roman" w:cs="Times New Roman" w:eastAsia="Times New Roman" w:hint="default"/>
                <w:sz w:val="21"/>
                <w:szCs w:val="21"/>
              </w:rPr>
              <w:t>(</w:t>
            </w:r>
            <w:r>
              <w:rPr>
                <w:rFonts w:ascii="宋体" w:hAnsi="宋体" w:cs="宋体" w:eastAsia="宋体" w:hint="default"/>
                <w:sz w:val="21"/>
                <w:szCs w:val="21"/>
              </w:rPr>
              <w:t>含税</w:t>
            </w:r>
            <w:r>
              <w:rPr>
                <w:rFonts w:ascii="Times New Roman" w:hAnsi="Times New Roman" w:cs="Times New Roman" w:eastAsia="Times New Roman" w:hint="default"/>
                <w:sz w:val="21"/>
                <w:szCs w:val="21"/>
              </w:rPr>
              <w:t>)</w:t>
            </w:r>
            <w:r>
              <w:rPr>
                <w:rFonts w:ascii="宋体" w:hAnsi="宋体" w:cs="宋体" w:eastAsia="宋体" w:hint="default"/>
                <w:sz w:val="21"/>
                <w:szCs w:val="21"/>
              </w:rPr>
              <w:t>，不送股，不进行资本公积金转增股本。</w:t>
            </w:r>
          </w:p>
        </w:tc>
      </w:tr>
      <w:tr>
        <w:trPr>
          <w:trHeight w:val="397" w:hRule="exact"/>
        </w:trPr>
        <w:tc>
          <w:tcPr>
            <w:tcW w:w="3121" w:type="dxa"/>
            <w:tcBorders>
              <w:top w:val="single" w:sz="6" w:space="0" w:color="000000"/>
              <w:left w:val="single" w:sz="6" w:space="0" w:color="000000"/>
              <w:bottom w:val="single" w:sz="6" w:space="0" w:color="000000"/>
              <w:right w:val="single" w:sz="6" w:space="0" w:color="000000"/>
            </w:tcBorders>
          </w:tcPr>
          <w:p>
            <w:pPr>
              <w:pStyle w:val="TableParagraph"/>
              <w:spacing w:line="290" w:lineRule="exact"/>
              <w:ind w:left="4"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2017</w:t>
            </w:r>
            <w:r>
              <w:rPr>
                <w:rFonts w:ascii="宋体" w:hAnsi="宋体" w:cs="宋体" w:eastAsia="宋体" w:hint="default"/>
                <w:sz w:val="21"/>
                <w:szCs w:val="21"/>
              </w:rPr>
              <w:t>年</w:t>
            </w:r>
          </w:p>
        </w:tc>
        <w:tc>
          <w:tcPr>
            <w:tcW w:w="666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4"/>
              <w:ind w:left="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10</w:t>
            </w:r>
            <w:r>
              <w:rPr>
                <w:rFonts w:ascii="宋体" w:hAnsi="宋体" w:cs="宋体" w:eastAsia="宋体" w:hint="default"/>
                <w:sz w:val="21"/>
                <w:szCs w:val="21"/>
              </w:rPr>
              <w:t>派</w:t>
            </w:r>
            <w:r>
              <w:rPr>
                <w:rFonts w:ascii="Times New Roman" w:hAnsi="Times New Roman" w:cs="Times New Roman" w:eastAsia="Times New Roman" w:hint="default"/>
                <w:sz w:val="21"/>
                <w:szCs w:val="21"/>
              </w:rPr>
              <w:t>0.37</w:t>
            </w:r>
            <w:r>
              <w:rPr>
                <w:rFonts w:ascii="宋体" w:hAnsi="宋体" w:cs="宋体" w:eastAsia="宋体" w:hint="default"/>
                <w:sz w:val="21"/>
                <w:szCs w:val="21"/>
              </w:rPr>
              <w:t>元</w:t>
            </w:r>
            <w:r>
              <w:rPr>
                <w:rFonts w:ascii="Times New Roman" w:hAnsi="Times New Roman" w:cs="Times New Roman" w:eastAsia="Times New Roman" w:hint="default"/>
                <w:sz w:val="21"/>
                <w:szCs w:val="21"/>
              </w:rPr>
              <w:t>(</w:t>
            </w:r>
            <w:r>
              <w:rPr>
                <w:rFonts w:ascii="宋体" w:hAnsi="宋体" w:cs="宋体" w:eastAsia="宋体" w:hint="default"/>
                <w:sz w:val="21"/>
                <w:szCs w:val="21"/>
              </w:rPr>
              <w:t>含税</w:t>
            </w:r>
            <w:r>
              <w:rPr>
                <w:rFonts w:ascii="Times New Roman" w:hAnsi="Times New Roman" w:cs="Times New Roman" w:eastAsia="Times New Roman" w:hint="default"/>
                <w:sz w:val="21"/>
                <w:szCs w:val="21"/>
              </w:rPr>
              <w:t>)</w:t>
            </w:r>
            <w:r>
              <w:rPr>
                <w:rFonts w:ascii="宋体" w:hAnsi="宋体" w:cs="宋体" w:eastAsia="宋体" w:hint="default"/>
                <w:sz w:val="21"/>
                <w:szCs w:val="21"/>
              </w:rPr>
              <w:t>，不送股，不进行资本公积金转增股本。</w:t>
            </w:r>
          </w:p>
        </w:tc>
      </w:tr>
    </w:tbl>
    <w:p>
      <w:pPr>
        <w:spacing w:line="240" w:lineRule="auto" w:before="1"/>
        <w:rPr>
          <w:rFonts w:ascii="宋体" w:hAnsi="宋体" w:cs="宋体" w:eastAsia="宋体" w:hint="default"/>
          <w:sz w:val="23"/>
          <w:szCs w:val="23"/>
        </w:rPr>
      </w:pPr>
    </w:p>
    <w:p>
      <w:pPr>
        <w:pStyle w:val="BodyText"/>
        <w:spacing w:line="240" w:lineRule="auto" w:before="36"/>
        <w:ind w:right="0"/>
        <w:jc w:val="both"/>
      </w:pPr>
      <w:r>
        <w:rPr/>
        <w:t>公司近三年（包括本报告期）普通股现金分红情况表（单位：元）</w:t>
      </w:r>
    </w:p>
    <w:p>
      <w:pPr>
        <w:pStyle w:val="BodyText"/>
        <w:spacing w:line="240" w:lineRule="auto" w:before="80"/>
        <w:ind w:left="573" w:right="819"/>
        <w:jc w:val="left"/>
      </w:pPr>
      <w:r>
        <w:rPr>
          <w:rFonts w:ascii="Times New Roman" w:hAnsi="Times New Roman" w:cs="Times New Roman" w:eastAsia="Times New Roman" w:hint="default"/>
        </w:rPr>
        <w:t>2020</w:t>
      </w:r>
      <w:r>
        <w:rPr>
          <w:rFonts w:ascii="Times New Roman" w:hAnsi="Times New Roman" w:cs="Times New Roman" w:eastAsia="Times New Roman" w:hint="default"/>
          <w:spacing w:val="2"/>
        </w:rPr>
        <w:t> </w:t>
      </w:r>
      <w:r>
        <w:rPr/>
        <w:t>年</w:t>
      </w:r>
      <w:r>
        <w:rPr>
          <w:spacing w:val="-50"/>
        </w:rPr>
        <w:t> </w:t>
      </w:r>
      <w:r>
        <w:rPr>
          <w:rFonts w:ascii="Times New Roman" w:hAnsi="Times New Roman" w:cs="Times New Roman" w:eastAsia="Times New Roman" w:hint="default"/>
        </w:rPr>
        <w:t>4</w:t>
      </w:r>
      <w:r>
        <w:rPr>
          <w:rFonts w:ascii="Times New Roman" w:hAnsi="Times New Roman" w:cs="Times New Roman" w:eastAsia="Times New Roman" w:hint="default"/>
          <w:spacing w:val="2"/>
        </w:rPr>
        <w:t> </w:t>
      </w:r>
      <w:r>
        <w:rPr/>
        <w:t>月</w:t>
      </w:r>
      <w:r>
        <w:rPr>
          <w:spacing w:val="-50"/>
        </w:rPr>
        <w:t> </w:t>
      </w:r>
      <w:r>
        <w:rPr>
          <w:rFonts w:ascii="Times New Roman" w:hAnsi="Times New Roman" w:cs="Times New Roman" w:eastAsia="Times New Roman" w:hint="default"/>
        </w:rPr>
        <w:t>26 </w:t>
      </w:r>
      <w:r>
        <w:rPr/>
        <w:t>日，公司召开第八届董事会</w:t>
      </w:r>
      <w:r>
        <w:rPr>
          <w:spacing w:val="-50"/>
        </w:rPr>
        <w:t> </w:t>
      </w:r>
      <w:r>
        <w:rPr>
          <w:rFonts w:ascii="Times New Roman" w:hAnsi="Times New Roman" w:cs="Times New Roman" w:eastAsia="Times New Roman" w:hint="default"/>
        </w:rPr>
        <w:t>2020 </w:t>
      </w:r>
      <w:r>
        <w:rPr/>
        <w:t>年第二次会议，审议通过了</w:t>
      </w:r>
      <w:r>
        <w:rPr>
          <w:spacing w:val="-53"/>
        </w:rPr>
        <w:t> </w:t>
      </w:r>
      <w:r>
        <w:rPr>
          <w:rFonts w:ascii="Times New Roman" w:hAnsi="Times New Roman" w:cs="Times New Roman" w:eastAsia="Times New Roman" w:hint="default"/>
        </w:rPr>
        <w:t>2019</w:t>
      </w:r>
      <w:r>
        <w:rPr>
          <w:rFonts w:ascii="Times New Roman" w:hAnsi="Times New Roman" w:cs="Times New Roman" w:eastAsia="Times New Roman" w:hint="default"/>
          <w:spacing w:val="2"/>
        </w:rPr>
        <w:t> </w:t>
      </w:r>
      <w:r>
        <w:rPr/>
        <w:t>年度利润分配及资</w:t>
      </w:r>
    </w:p>
    <w:p>
      <w:pPr>
        <w:pStyle w:val="BodyText"/>
        <w:spacing w:line="240" w:lineRule="auto" w:before="21"/>
        <w:ind w:right="0"/>
        <w:jc w:val="both"/>
      </w:pPr>
      <w:r>
        <w:rPr/>
        <w:t>本公积金转增股本预案，以</w:t>
      </w:r>
      <w:r>
        <w:rPr>
          <w:spacing w:val="-44"/>
        </w:rPr>
        <w:t> </w:t>
      </w:r>
      <w:r>
        <w:rPr>
          <w:rFonts w:ascii="Times New Roman" w:hAnsi="Times New Roman" w:cs="Times New Roman" w:eastAsia="Times New Roman" w:hint="default"/>
        </w:rPr>
        <w:t>2019</w:t>
      </w:r>
      <w:r>
        <w:rPr>
          <w:rFonts w:ascii="Times New Roman" w:hAnsi="Times New Roman" w:cs="Times New Roman" w:eastAsia="Times New Roman" w:hint="default"/>
          <w:spacing w:val="9"/>
        </w:rPr>
        <w:t> </w:t>
      </w:r>
      <w:r>
        <w:rPr/>
        <w:t>年</w:t>
      </w:r>
      <w:r>
        <w:rPr>
          <w:spacing w:val="-44"/>
        </w:rPr>
        <w:t> </w:t>
      </w:r>
      <w:r>
        <w:rPr>
          <w:rFonts w:ascii="Times New Roman" w:hAnsi="Times New Roman" w:cs="Times New Roman" w:eastAsia="Times New Roman" w:hint="default"/>
        </w:rPr>
        <w:t>12</w:t>
      </w:r>
      <w:r>
        <w:rPr>
          <w:rFonts w:ascii="Times New Roman" w:hAnsi="Times New Roman" w:cs="Times New Roman" w:eastAsia="Times New Roman" w:hint="default"/>
          <w:spacing w:val="7"/>
        </w:rPr>
        <w:t> </w:t>
      </w:r>
      <w:r>
        <w:rPr/>
        <w:t>月</w:t>
      </w:r>
      <w:r>
        <w:rPr>
          <w:spacing w:val="-48"/>
        </w:rPr>
        <w:t> </w:t>
      </w:r>
      <w:r>
        <w:rPr>
          <w:rFonts w:ascii="Times New Roman" w:hAnsi="Times New Roman" w:cs="Times New Roman" w:eastAsia="Times New Roman" w:hint="default"/>
        </w:rPr>
        <w:t>31</w:t>
      </w:r>
      <w:r>
        <w:rPr>
          <w:rFonts w:ascii="Times New Roman" w:hAnsi="Times New Roman" w:cs="Times New Roman" w:eastAsia="Times New Roman" w:hint="default"/>
          <w:spacing w:val="7"/>
        </w:rPr>
        <w:t> </w:t>
      </w:r>
      <w:r>
        <w:rPr/>
        <w:t>日的公司总股本</w:t>
      </w:r>
      <w:r>
        <w:rPr>
          <w:spacing w:val="-44"/>
        </w:rPr>
        <w:t> </w:t>
      </w:r>
      <w:r>
        <w:rPr>
          <w:rFonts w:ascii="Times New Roman" w:hAnsi="Times New Roman" w:cs="Times New Roman" w:eastAsia="Times New Roman" w:hint="default"/>
        </w:rPr>
        <w:t>669,101,883</w:t>
      </w:r>
      <w:r>
        <w:rPr>
          <w:rFonts w:ascii="Times New Roman" w:hAnsi="Times New Roman" w:cs="Times New Roman" w:eastAsia="Times New Roman" w:hint="default"/>
          <w:spacing w:val="4"/>
        </w:rPr>
        <w:t> </w:t>
      </w:r>
      <w:r>
        <w:rPr/>
        <w:t>股扣除已回购股份</w:t>
      </w:r>
      <w:r>
        <w:rPr>
          <w:spacing w:val="-44"/>
        </w:rPr>
        <w:t> </w:t>
      </w:r>
      <w:r>
        <w:rPr>
          <w:rFonts w:ascii="Times New Roman" w:hAnsi="Times New Roman" w:cs="Times New Roman" w:eastAsia="Times New Roman" w:hint="default"/>
        </w:rPr>
        <w:t>1,128,800</w:t>
      </w:r>
      <w:r>
        <w:rPr>
          <w:rFonts w:ascii="Times New Roman" w:hAnsi="Times New Roman" w:cs="Times New Roman" w:eastAsia="Times New Roman" w:hint="default"/>
          <w:spacing w:val="4"/>
        </w:rPr>
        <w:t> </w:t>
      </w:r>
      <w:r>
        <w:rPr/>
        <w:t>股</w:t>
      </w:r>
    </w:p>
    <w:p>
      <w:pPr>
        <w:pStyle w:val="BodyText"/>
        <w:spacing w:line="264" w:lineRule="auto" w:before="21"/>
        <w:ind w:right="1126"/>
        <w:jc w:val="both"/>
      </w:pPr>
      <w:r>
        <w:rPr/>
        <w:t>后的</w:t>
      </w:r>
      <w:r>
        <w:rPr>
          <w:spacing w:val="-45"/>
        </w:rPr>
        <w:t> </w:t>
      </w:r>
      <w:r>
        <w:rPr>
          <w:rFonts w:ascii="Times New Roman" w:hAnsi="Times New Roman" w:cs="Times New Roman" w:eastAsia="Times New Roman" w:hint="default"/>
        </w:rPr>
        <w:t>667,973,083</w:t>
      </w:r>
      <w:r>
        <w:rPr>
          <w:rFonts w:ascii="Times New Roman" w:hAnsi="Times New Roman" w:cs="Times New Roman" w:eastAsia="Times New Roman" w:hint="default"/>
          <w:spacing w:val="7"/>
        </w:rPr>
        <w:t> </w:t>
      </w:r>
      <w:r>
        <w:rPr>
          <w:spacing w:val="-3"/>
        </w:rPr>
        <w:t>为基数，以资本公积金向全体股东每</w:t>
      </w:r>
      <w:r>
        <w:rPr>
          <w:spacing w:val="-46"/>
        </w:rPr>
        <w:t> </w:t>
      </w:r>
      <w:r>
        <w:rPr>
          <w:rFonts w:ascii="Times New Roman" w:hAnsi="Times New Roman" w:cs="Times New Roman" w:eastAsia="Times New Roman" w:hint="default"/>
        </w:rPr>
        <w:t>10</w:t>
      </w:r>
      <w:r>
        <w:rPr>
          <w:rFonts w:ascii="Times New Roman" w:hAnsi="Times New Roman" w:cs="Times New Roman" w:eastAsia="Times New Roman" w:hint="default"/>
          <w:spacing w:val="3"/>
        </w:rPr>
        <w:t> </w:t>
      </w:r>
      <w:r>
        <w:rPr/>
        <w:t>股转增</w:t>
      </w:r>
      <w:r>
        <w:rPr>
          <w:spacing w:val="14"/>
        </w:rPr>
        <w:t> </w:t>
      </w:r>
      <w:r>
        <w:rPr>
          <w:rFonts w:ascii="Times New Roman" w:hAnsi="Times New Roman" w:cs="Times New Roman" w:eastAsia="Times New Roman" w:hint="default"/>
        </w:rPr>
        <w:t>4</w:t>
      </w:r>
      <w:r>
        <w:rPr>
          <w:rFonts w:ascii="Times New Roman" w:hAnsi="Times New Roman" w:cs="Times New Roman" w:eastAsia="Times New Roman" w:hint="default"/>
          <w:spacing w:val="3"/>
        </w:rPr>
        <w:t> </w:t>
      </w:r>
      <w:r>
        <w:rPr>
          <w:spacing w:val="-5"/>
        </w:rPr>
        <w:t>股，不派发现金红利，不送红股。如本</w:t>
      </w:r>
      <w:r>
        <w:rPr>
          <w:spacing w:val="-102"/>
        </w:rPr>
        <w:t> </w:t>
      </w:r>
      <w:r>
        <w:rPr>
          <w:spacing w:val="-102"/>
        </w:rPr>
      </w:r>
      <w:r>
        <w:rPr>
          <w:spacing w:val="-2"/>
        </w:rPr>
        <w:t>次资本公积金转增股本预案经董事会、股东大会审议通过后至实施前公司总股本发生变动，将按照现有分</w:t>
      </w:r>
      <w:r>
        <w:rPr>
          <w:spacing w:val="-43"/>
        </w:rPr>
        <w:t> </w:t>
      </w:r>
      <w:r>
        <w:rPr>
          <w:spacing w:val="-43"/>
        </w:rPr>
      </w:r>
      <w:r>
        <w:rPr/>
        <w:t>配比例不变的原则对分配总额进行调整。</w:t>
      </w:r>
    </w:p>
    <w:p>
      <w:pPr>
        <w:spacing w:line="240" w:lineRule="auto" w:before="2"/>
        <w:rPr>
          <w:rFonts w:ascii="宋体" w:hAnsi="宋体" w:cs="宋体" w:eastAsia="宋体" w:hint="default"/>
          <w:sz w:val="5"/>
          <w:szCs w:val="5"/>
        </w:rPr>
      </w:pPr>
    </w:p>
    <w:tbl>
      <w:tblPr>
        <w:tblW w:w="0" w:type="auto"/>
        <w:jc w:val="left"/>
        <w:tblInd w:w="149" w:type="dxa"/>
        <w:tblLayout w:type="fixed"/>
        <w:tblCellMar>
          <w:top w:w="0" w:type="dxa"/>
          <w:left w:w="0" w:type="dxa"/>
          <w:bottom w:w="0" w:type="dxa"/>
          <w:right w:w="0" w:type="dxa"/>
        </w:tblCellMar>
        <w:tblLook w:val="01E0"/>
      </w:tblPr>
      <w:tblGrid>
        <w:gridCol w:w="851"/>
        <w:gridCol w:w="1274"/>
        <w:gridCol w:w="1702"/>
        <w:gridCol w:w="1135"/>
        <w:gridCol w:w="992"/>
        <w:gridCol w:w="1222"/>
        <w:gridCol w:w="1330"/>
        <w:gridCol w:w="1063"/>
      </w:tblGrid>
      <w:tr>
        <w:trPr>
          <w:trHeight w:val="2588" w:hRule="exact"/>
        </w:trPr>
        <w:tc>
          <w:tcPr>
            <w:tcW w:w="8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58" w:right="-28"/>
              <w:jc w:val="left"/>
              <w:rPr>
                <w:rFonts w:ascii="宋体" w:hAnsi="宋体" w:cs="宋体" w:eastAsia="宋体" w:hint="default"/>
                <w:sz w:val="18"/>
                <w:szCs w:val="18"/>
              </w:rPr>
            </w:pPr>
            <w:r>
              <w:rPr>
                <w:rFonts w:ascii="宋体" w:hAnsi="宋体" w:cs="宋体" w:eastAsia="宋体" w:hint="default"/>
                <w:sz w:val="18"/>
                <w:szCs w:val="18"/>
              </w:rPr>
              <w:t>分红年度</w:t>
            </w:r>
            <w:r>
              <w:rPr>
                <w:rFonts w:ascii="宋体" w:hAnsi="宋体" w:cs="宋体" w:eastAsia="宋体" w:hint="default"/>
                <w:sz w:val="18"/>
                <w:szCs w:val="18"/>
              </w:rPr>
              <w:t> </w:t>
            </w:r>
          </w:p>
        </w:tc>
        <w:tc>
          <w:tcPr>
            <w:tcW w:w="12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现金分红金额</w:t>
            </w:r>
          </w:p>
          <w:p>
            <w:pPr>
              <w:pStyle w:val="TableParagraph"/>
              <w:spacing w:line="240" w:lineRule="auto" w:before="77"/>
              <w:ind w:left="92" w:right="0"/>
              <w:jc w:val="center"/>
              <w:rPr>
                <w:rFonts w:ascii="宋体" w:hAnsi="宋体" w:cs="宋体" w:eastAsia="宋体" w:hint="default"/>
                <w:sz w:val="18"/>
                <w:szCs w:val="18"/>
              </w:rPr>
            </w:pPr>
            <w:r>
              <w:rPr>
                <w:rFonts w:ascii="宋体" w:hAnsi="宋体" w:cs="宋体" w:eastAsia="宋体" w:hint="default"/>
                <w:sz w:val="18"/>
                <w:szCs w:val="18"/>
              </w:rPr>
              <w:t>（含税）</w:t>
            </w:r>
            <w:r>
              <w:rPr>
                <w:rFonts w:ascii="宋体" w:hAnsi="宋体" w:cs="宋体" w:eastAsia="宋体" w:hint="default"/>
                <w:sz w:val="18"/>
                <w:szCs w:val="18"/>
              </w:rPr>
              <w:t> </w:t>
            </w:r>
          </w:p>
        </w:tc>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4"/>
              <w:ind w:left="35" w:right="34"/>
              <w:jc w:val="center"/>
              <w:rPr>
                <w:rFonts w:ascii="宋体" w:hAnsi="宋体" w:cs="宋体" w:eastAsia="宋体" w:hint="default"/>
                <w:sz w:val="18"/>
                <w:szCs w:val="18"/>
              </w:rPr>
            </w:pPr>
            <w:r>
              <w:rPr>
                <w:rFonts w:ascii="宋体" w:hAnsi="宋体" w:cs="宋体" w:eastAsia="宋体" w:hint="default"/>
                <w:sz w:val="18"/>
                <w:szCs w:val="18"/>
              </w:rPr>
              <w:t>分红年度合并报表中 归属于上市公司普通 股股东的净利润</w:t>
            </w:r>
            <w:r>
              <w:rPr>
                <w:rFonts w:ascii="宋体" w:hAnsi="宋体" w:cs="宋体" w:eastAsia="宋体" w:hint="default"/>
                <w:sz w:val="18"/>
                <w:szCs w:val="18"/>
              </w:rPr>
              <w:t> </w:t>
            </w:r>
          </w:p>
        </w:tc>
        <w:tc>
          <w:tcPr>
            <w:tcW w:w="11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12" w:right="110"/>
              <w:jc w:val="center"/>
              <w:rPr>
                <w:rFonts w:ascii="宋体" w:hAnsi="宋体" w:cs="宋体" w:eastAsia="宋体" w:hint="default"/>
                <w:sz w:val="18"/>
                <w:szCs w:val="18"/>
              </w:rPr>
            </w:pPr>
            <w:r>
              <w:rPr>
                <w:rFonts w:ascii="宋体" w:hAnsi="宋体" w:cs="宋体" w:eastAsia="宋体" w:hint="default"/>
                <w:sz w:val="18"/>
                <w:szCs w:val="18"/>
              </w:rPr>
              <w:t>现金分红金 额占合并报 表中归属于 上市公司普 通股股东的 净利润的比 率</w:t>
            </w:r>
            <w:r>
              <w:rPr>
                <w:rFonts w:ascii="宋体" w:hAnsi="宋体" w:cs="宋体" w:eastAsia="宋体" w:hint="default"/>
                <w:sz w:val="18"/>
                <w:szCs w:val="18"/>
              </w:rPr>
              <w:t> </w:t>
            </w:r>
          </w:p>
        </w:tc>
        <w:tc>
          <w:tcPr>
            <w:tcW w:w="9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40" w:right="0"/>
              <w:jc w:val="both"/>
              <w:rPr>
                <w:rFonts w:ascii="宋体" w:hAnsi="宋体" w:cs="宋体" w:eastAsia="宋体" w:hint="default"/>
                <w:sz w:val="18"/>
                <w:szCs w:val="18"/>
              </w:rPr>
            </w:pPr>
            <w:r>
              <w:rPr>
                <w:rFonts w:ascii="宋体" w:hAnsi="宋体" w:cs="宋体" w:eastAsia="宋体" w:hint="default"/>
                <w:sz w:val="18"/>
                <w:szCs w:val="18"/>
              </w:rPr>
              <w:t>以其他方式</w:t>
            </w:r>
          </w:p>
          <w:p>
            <w:pPr>
              <w:pStyle w:val="TableParagraph"/>
              <w:spacing w:line="319" w:lineRule="auto" w:before="76"/>
              <w:ind w:left="40" w:right="37"/>
              <w:jc w:val="both"/>
              <w:rPr>
                <w:rFonts w:ascii="宋体" w:hAnsi="宋体" w:cs="宋体" w:eastAsia="宋体" w:hint="default"/>
                <w:sz w:val="18"/>
                <w:szCs w:val="18"/>
              </w:rPr>
            </w:pPr>
            <w:r>
              <w:rPr>
                <w:rFonts w:ascii="宋体" w:hAnsi="宋体" w:cs="宋体" w:eastAsia="宋体" w:hint="default"/>
                <w:sz w:val="18"/>
                <w:szCs w:val="18"/>
              </w:rPr>
              <w:t>（如回购股 份）现金分 红的金额</w:t>
            </w:r>
            <w:r>
              <w:rPr>
                <w:rFonts w:ascii="宋体" w:hAnsi="宋体" w:cs="宋体" w:eastAsia="宋体" w:hint="default"/>
                <w:sz w:val="18"/>
                <w:szCs w:val="18"/>
              </w:rPr>
              <w:t> </w:t>
            </w:r>
          </w:p>
        </w:tc>
        <w:tc>
          <w:tcPr>
            <w:tcW w:w="12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67" w:right="-26"/>
              <w:jc w:val="both"/>
              <w:rPr>
                <w:rFonts w:ascii="宋体" w:hAnsi="宋体" w:cs="宋体" w:eastAsia="宋体" w:hint="default"/>
                <w:sz w:val="18"/>
                <w:szCs w:val="18"/>
              </w:rPr>
            </w:pPr>
            <w:r>
              <w:rPr>
                <w:rFonts w:ascii="宋体" w:hAnsi="宋体" w:cs="宋体" w:eastAsia="宋体" w:hint="default"/>
                <w:sz w:val="18"/>
                <w:szCs w:val="18"/>
              </w:rPr>
              <w:t>以其他方式现 金分红金额占 合并报表中归 属于上市公司 普通股股东的 净利润的比例</w:t>
            </w:r>
            <w:r>
              <w:rPr>
                <w:rFonts w:ascii="宋体" w:hAnsi="宋体" w:cs="宋体" w:eastAsia="宋体" w:hint="default"/>
                <w:sz w:val="18"/>
                <w:szCs w:val="18"/>
              </w:rPr>
              <w:t> </w:t>
            </w:r>
          </w:p>
        </w:tc>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119" w:right="0"/>
              <w:jc w:val="left"/>
              <w:rPr>
                <w:rFonts w:ascii="宋体" w:hAnsi="宋体" w:cs="宋体" w:eastAsia="宋体" w:hint="default"/>
                <w:sz w:val="18"/>
                <w:szCs w:val="18"/>
              </w:rPr>
            </w:pPr>
            <w:r>
              <w:rPr>
                <w:rFonts w:ascii="宋体" w:hAnsi="宋体" w:cs="宋体" w:eastAsia="宋体" w:hint="default"/>
                <w:sz w:val="18"/>
                <w:szCs w:val="18"/>
              </w:rPr>
              <w:t>现金分红总额</w:t>
            </w:r>
          </w:p>
          <w:p>
            <w:pPr>
              <w:pStyle w:val="TableParagraph"/>
              <w:spacing w:line="240" w:lineRule="auto" w:before="77"/>
              <w:ind w:left="28" w:right="0"/>
              <w:jc w:val="left"/>
              <w:rPr>
                <w:rFonts w:ascii="宋体" w:hAnsi="宋体" w:cs="宋体" w:eastAsia="宋体" w:hint="default"/>
                <w:sz w:val="18"/>
                <w:szCs w:val="18"/>
              </w:rPr>
            </w:pPr>
            <w:r>
              <w:rPr>
                <w:rFonts w:ascii="宋体" w:hAnsi="宋体" w:cs="宋体" w:eastAsia="宋体" w:hint="default"/>
                <w:sz w:val="18"/>
                <w:szCs w:val="18"/>
              </w:rPr>
              <w:t>（含其他方式）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3" w:right="19" w:hanging="3"/>
              <w:jc w:val="center"/>
              <w:rPr>
                <w:rFonts w:ascii="宋体" w:hAnsi="宋体" w:cs="宋体" w:eastAsia="宋体" w:hint="default"/>
                <w:sz w:val="18"/>
                <w:szCs w:val="18"/>
              </w:rPr>
            </w:pPr>
            <w:r>
              <w:rPr>
                <w:rFonts w:ascii="宋体" w:hAnsi="宋体" w:cs="宋体" w:eastAsia="宋体" w:hint="default"/>
                <w:sz w:val="18"/>
                <w:szCs w:val="18"/>
              </w:rPr>
              <w:t>现金分红总 </w:t>
            </w:r>
            <w:r>
              <w:rPr>
                <w:rFonts w:ascii="宋体" w:hAnsi="宋体" w:cs="宋体" w:eastAsia="宋体" w:hint="default"/>
                <w:spacing w:val="-12"/>
                <w:sz w:val="18"/>
                <w:szCs w:val="18"/>
              </w:rPr>
              <w:t>额（含其他方</w:t>
            </w:r>
            <w:r>
              <w:rPr>
                <w:rFonts w:ascii="宋体" w:hAnsi="宋体" w:cs="宋体" w:eastAsia="宋体" w:hint="default"/>
                <w:sz w:val="18"/>
                <w:szCs w:val="18"/>
              </w:rPr>
              <w:t> </w:t>
            </w:r>
            <w:r>
              <w:rPr>
                <w:rFonts w:ascii="宋体" w:hAnsi="宋体" w:cs="宋体" w:eastAsia="宋体" w:hint="default"/>
                <w:spacing w:val="-12"/>
                <w:sz w:val="18"/>
                <w:szCs w:val="18"/>
              </w:rPr>
              <w:t>式）占合并报</w:t>
            </w:r>
            <w:r>
              <w:rPr>
                <w:rFonts w:ascii="宋体" w:hAnsi="宋体" w:cs="宋体" w:eastAsia="宋体" w:hint="default"/>
                <w:sz w:val="18"/>
                <w:szCs w:val="18"/>
              </w:rPr>
              <w:t> 表中归属于 上市公司普 通股股东的 净利润的比 率</w:t>
            </w:r>
            <w:r>
              <w:rPr>
                <w:rFonts w:ascii="宋体" w:hAnsi="宋体" w:cs="宋体" w:eastAsia="宋体" w:hint="default"/>
                <w:sz w:val="18"/>
                <w:szCs w:val="18"/>
              </w:rPr>
              <w:t> </w:t>
            </w:r>
          </w:p>
        </w:tc>
      </w:tr>
      <w:tr>
        <w:trPr>
          <w:trHeight w:val="401" w:hRule="exact"/>
        </w:trPr>
        <w:tc>
          <w:tcPr>
            <w:tcW w:w="8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3"/>
                <w:sz w:val="18"/>
                <w:szCs w:val="18"/>
              </w:rPr>
              <w:t> </w:t>
            </w:r>
            <w:r>
              <w:rPr>
                <w:rFonts w:ascii="宋体" w:hAnsi="宋体" w:cs="宋体" w:eastAsia="宋体" w:hint="default"/>
                <w:spacing w:val="-3"/>
                <w:sz w:val="18"/>
                <w:szCs w:val="18"/>
              </w:rPr>
              <w:t>年</w:t>
            </w:r>
            <w:r>
              <w:rPr>
                <w:rFonts w:ascii="宋体" w:hAnsi="宋体" w:cs="宋体" w:eastAsia="宋体" w:hint="default"/>
                <w:sz w:val="18"/>
                <w:szCs w:val="18"/>
              </w:rPr>
              <w:t> </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pacing w:val="-1"/>
                <w:sz w:val="18"/>
              </w:rPr>
              <w:t>-1,240,168,787.93</w:t>
            </w:r>
          </w:p>
        </w:tc>
        <w:tc>
          <w:tcPr>
            <w:tcW w:w="1135" w:type="dxa"/>
            <w:tcBorders>
              <w:top w:val="single" w:sz="4" w:space="0" w:color="000000"/>
              <w:left w:val="single" w:sz="4" w:space="0" w:color="000000"/>
              <w:bottom w:val="single" w:sz="4" w:space="0" w:color="000000"/>
              <w:right w:val="single" w:sz="4" w:space="0" w:color="000000"/>
            </w:tcBorders>
          </w:tcPr>
          <w:p>
            <w:pP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宋体" w:hAnsi="宋体" w:cs="宋体" w:eastAsia="宋体" w:hint="default"/>
                <w:sz w:val="18"/>
                <w:szCs w:val="18"/>
              </w:rPr>
            </w:pPr>
            <w:r>
              <w:rPr>
                <w:rFonts w:ascii="宋体"/>
                <w:spacing w:val="-1"/>
                <w:sz w:val="18"/>
              </w:rPr>
              <w:t>14,433,271</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z w:val="18"/>
              </w:rPr>
              <w:t>1.16%</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pacing w:val="-1"/>
                <w:sz w:val="18"/>
              </w:rPr>
              <w:t>14,433,271</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z w:val="18"/>
              </w:rPr>
              <w:t>1.16%</w:t>
            </w:r>
          </w:p>
        </w:tc>
      </w:tr>
      <w:tr>
        <w:trPr>
          <w:trHeight w:val="403" w:hRule="exact"/>
        </w:trPr>
        <w:tc>
          <w:tcPr>
            <w:tcW w:w="8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3"/>
                <w:sz w:val="18"/>
                <w:szCs w:val="18"/>
              </w:rPr>
              <w:t> </w:t>
            </w:r>
            <w:r>
              <w:rPr>
                <w:rFonts w:ascii="宋体" w:hAnsi="宋体" w:cs="宋体" w:eastAsia="宋体" w:hint="default"/>
                <w:spacing w:val="-3"/>
                <w:sz w:val="18"/>
                <w:szCs w:val="18"/>
              </w:rPr>
              <w:t>年</w:t>
            </w:r>
            <w:r>
              <w:rPr>
                <w:rFonts w:ascii="宋体" w:hAnsi="宋体" w:cs="宋体" w:eastAsia="宋体" w:hint="default"/>
                <w:sz w:val="18"/>
                <w:szCs w:val="18"/>
              </w:rPr>
              <w:t> </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宋体" w:hAnsi="宋体" w:cs="宋体" w:eastAsia="宋体" w:hint="default"/>
                <w:sz w:val="18"/>
                <w:szCs w:val="18"/>
              </w:rPr>
            </w:pPr>
            <w:r>
              <w:rPr>
                <w:rFonts w:ascii="宋体"/>
                <w:spacing w:val="-1"/>
                <w:sz w:val="18"/>
              </w:rPr>
              <w:t>25,382,977.15</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pacing w:val="-1"/>
                <w:sz w:val="18"/>
              </w:rPr>
              <w:t>252,883,527.21</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pacing w:val="-1"/>
                <w:sz w:val="18"/>
              </w:rPr>
              <w:t>10.04%</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pacing w:val="-1"/>
                <w:sz w:val="18"/>
              </w:rPr>
              <w:t>25,382,977.15</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pacing w:val="-1"/>
                <w:sz w:val="18"/>
              </w:rPr>
              <w:t>10.04%</w:t>
            </w:r>
          </w:p>
        </w:tc>
      </w:tr>
      <w:tr>
        <w:trPr>
          <w:trHeight w:val="401" w:hRule="exact"/>
        </w:trPr>
        <w:tc>
          <w:tcPr>
            <w:tcW w:w="8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43"/>
                <w:sz w:val="18"/>
                <w:szCs w:val="18"/>
              </w:rPr>
              <w:t> </w:t>
            </w:r>
            <w:r>
              <w:rPr>
                <w:rFonts w:ascii="宋体" w:hAnsi="宋体" w:cs="宋体" w:eastAsia="宋体" w:hint="default"/>
                <w:spacing w:val="-3"/>
                <w:sz w:val="18"/>
                <w:szCs w:val="18"/>
              </w:rPr>
              <w:t>年</w:t>
            </w:r>
            <w:r>
              <w:rPr>
                <w:rFonts w:ascii="宋体" w:hAnsi="宋体" w:cs="宋体" w:eastAsia="宋体" w:hint="default"/>
                <w:sz w:val="18"/>
                <w:szCs w:val="18"/>
              </w:rPr>
              <w:t> </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宋体" w:hAnsi="宋体" w:cs="宋体" w:eastAsia="宋体" w:hint="default"/>
                <w:sz w:val="18"/>
                <w:szCs w:val="18"/>
              </w:rPr>
            </w:pPr>
            <w:r>
              <w:rPr>
                <w:rFonts w:ascii="宋体"/>
                <w:spacing w:val="-1"/>
                <w:sz w:val="18"/>
              </w:rPr>
              <w:t>23,007,591.08</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pacing w:val="-1"/>
                <w:sz w:val="18"/>
              </w:rPr>
              <w:t>228,581,216.75</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pacing w:val="-1"/>
                <w:sz w:val="18"/>
              </w:rPr>
              <w:t>10.07%</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12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pacing w:val="-1"/>
                <w:sz w:val="18"/>
              </w:rPr>
              <w:t>23,007,591.08</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pacing w:val="-1"/>
                <w:sz w:val="18"/>
              </w:rPr>
              <w:t>10.07%</w:t>
            </w:r>
          </w:p>
        </w:tc>
      </w:tr>
    </w:tbl>
    <w:p>
      <w:pPr>
        <w:spacing w:line="240" w:lineRule="auto" w:before="8"/>
        <w:rPr>
          <w:rFonts w:ascii="宋体" w:hAnsi="宋体" w:cs="宋体" w:eastAsia="宋体" w:hint="default"/>
          <w:sz w:val="14"/>
          <w:szCs w:val="14"/>
        </w:rPr>
      </w:pPr>
    </w:p>
    <w:p>
      <w:pPr>
        <w:pStyle w:val="BodyText"/>
        <w:spacing w:line="240" w:lineRule="auto" w:before="36"/>
        <w:ind w:right="1133"/>
        <w:jc w:val="left"/>
      </w:pPr>
      <w:r>
        <w:rPr/>
        <w:t>公司报告期内盈利且母公司可供普通股股东分配利润为正但未提出普通股现金红利分配预案</w:t>
      </w:r>
    </w:p>
    <w:p>
      <w:pPr>
        <w:pStyle w:val="BodyText"/>
        <w:spacing w:line="376" w:lineRule="auto" w:before="78"/>
        <w:ind w:right="5542"/>
        <w:jc w:val="left"/>
      </w:pPr>
      <w:r>
        <w:rPr/>
        <w:t>□ 适用 </w:t>
      </w:r>
      <w:r>
        <w:rPr>
          <w:rFonts w:ascii="宋体" w:hAnsi="宋体" w:cs="宋体" w:eastAsia="宋体" w:hint="default"/>
        </w:rPr>
      </w:r>
      <w:r>
        <w:rPr>
          <w:spacing w:val="-3"/>
        </w:rPr>
        <w:t>√</w:t>
      </w:r>
      <w:r>
        <w:rPr/>
        <w:t> 不适用</w:t>
      </w:r>
      <w:r>
        <w:rPr>
          <w:rFonts w:ascii="宋体" w:hAnsi="宋体" w:cs="宋体" w:eastAsia="宋体" w:hint="default"/>
          <w:w w:val="100"/>
        </w:rPr>
        <w:t> </w:t>
      </w:r>
      <w:r>
        <w:rPr>
          <w:spacing w:val="-2"/>
        </w:rPr>
        <w:t>二、本报告期利润分配及资本公积金转增股本预案</w:t>
      </w:r>
    </w:p>
    <w:p>
      <w:pPr>
        <w:pStyle w:val="BodyText"/>
        <w:spacing w:line="231" w:lineRule="exact"/>
        <w:ind w:right="1133"/>
        <w:jc w:val="left"/>
        <w:rPr>
          <w:rFonts w:ascii="宋体" w:hAnsi="宋体" w:cs="宋体" w:eastAsia="宋体" w:hint="default"/>
        </w:rPr>
      </w:pPr>
      <w:r>
        <w:rPr/>
        <w:t>√ 适用 </w:t>
      </w:r>
      <w:r>
        <w:rPr>
          <w:rFonts w:ascii="宋体" w:hAnsi="宋体" w:cs="宋体" w:eastAsia="宋体" w:hint="default"/>
        </w:rPr>
      </w:r>
      <w:r>
        <w:rPr>
          <w:spacing w:val="-3"/>
        </w:rPr>
        <w:t>□</w:t>
      </w:r>
      <w:r>
        <w:rPr/>
        <w:t> 不适用</w:t>
      </w:r>
      <w:r>
        <w:rPr>
          <w:rFonts w:ascii="宋体" w:hAnsi="宋体" w:cs="宋体" w:eastAsia="宋体" w:hint="default"/>
        </w:rPr>
        <w:t> </w:t>
      </w:r>
    </w:p>
    <w:p>
      <w:pPr>
        <w:spacing w:line="240" w:lineRule="auto" w:before="12"/>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4677"/>
        <w:gridCol w:w="4892"/>
      </w:tblGrid>
      <w:tr>
        <w:trPr>
          <w:trHeight w:val="403" w:hRule="exact"/>
        </w:trPr>
        <w:tc>
          <w:tcPr>
            <w:tcW w:w="4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股送红股数（股）</w:t>
            </w:r>
          </w:p>
        </w:tc>
        <w:tc>
          <w:tcPr>
            <w:tcW w:w="4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4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4"/>
                <w:sz w:val="18"/>
                <w:szCs w:val="18"/>
              </w:rPr>
              <w:t> </w:t>
            </w:r>
            <w:r>
              <w:rPr>
                <w:rFonts w:ascii="Times New Roman" w:hAnsi="Times New Roman" w:cs="Times New Roman" w:eastAsia="Times New Roman" w:hint="default"/>
                <w:spacing w:val="1"/>
                <w:sz w:val="18"/>
                <w:szCs w:val="18"/>
              </w:rPr>
              <w:t>1</w:t>
            </w:r>
            <w:r>
              <w:rPr>
                <w:rFonts w:ascii="Times New Roman" w:hAnsi="Times New Roman" w:cs="Times New Roman" w:eastAsia="Times New Roman" w:hint="default"/>
                <w:sz w:val="18"/>
                <w:szCs w:val="18"/>
              </w:rPr>
              <w:t>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股派息数（元</w:t>
            </w:r>
            <w:r>
              <w:rPr>
                <w:rFonts w:ascii="宋体" w:hAnsi="宋体" w:cs="宋体" w:eastAsia="宋体" w:hint="default"/>
                <w:spacing w:val="-92"/>
                <w:sz w:val="18"/>
                <w:szCs w:val="18"/>
              </w:rPr>
              <w:t>）</w:t>
            </w:r>
            <w:r>
              <w:rPr>
                <w:rFonts w:ascii="宋体" w:hAnsi="宋体" w:cs="宋体" w:eastAsia="宋体" w:hint="default"/>
                <w:sz w:val="18"/>
                <w:szCs w:val="18"/>
              </w:rPr>
              <w:t>（含税）</w:t>
            </w:r>
          </w:p>
        </w:tc>
        <w:tc>
          <w:tcPr>
            <w:tcW w:w="4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4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股转增数（股）</w:t>
            </w:r>
          </w:p>
        </w:tc>
        <w:tc>
          <w:tcPr>
            <w:tcW w:w="4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3"/>
              <w:jc w:val="right"/>
              <w:rPr>
                <w:rFonts w:ascii="Times New Roman" w:hAnsi="Times New Roman" w:cs="Times New Roman" w:eastAsia="Times New Roman" w:hint="default"/>
                <w:sz w:val="18"/>
                <w:szCs w:val="18"/>
              </w:rPr>
            </w:pPr>
            <w:r>
              <w:rPr>
                <w:rFonts w:ascii="Times New Roman"/>
                <w:sz w:val="18"/>
              </w:rPr>
              <w:t>4</w:t>
            </w:r>
          </w:p>
        </w:tc>
      </w:tr>
      <w:tr>
        <w:trPr>
          <w:trHeight w:val="403" w:hRule="exact"/>
        </w:trPr>
        <w:tc>
          <w:tcPr>
            <w:tcW w:w="4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分配预案的股本基数（股）</w:t>
            </w:r>
          </w:p>
        </w:tc>
        <w:tc>
          <w:tcPr>
            <w:tcW w:w="4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667,973,083</w:t>
            </w:r>
          </w:p>
        </w:tc>
      </w:tr>
    </w:tbl>
    <w:p>
      <w:pPr>
        <w:spacing w:after="0" w:line="240" w:lineRule="auto"/>
        <w:jc w:val="right"/>
        <w:rPr>
          <w:rFonts w:ascii="Times New Roman" w:hAnsi="Times New Roman" w:cs="Times New Roman" w:eastAsia="Times New Roman" w:hint="default"/>
          <w:sz w:val="18"/>
          <w:szCs w:val="18"/>
        </w:rPr>
        <w:sectPr>
          <w:pgSz w:w="11910" w:h="16840"/>
          <w:pgMar w:header="880" w:footer="975" w:top="1100" w:bottom="1160" w:left="980" w:right="0"/>
        </w:sectPr>
      </w:pPr>
    </w:p>
    <w:p>
      <w:pPr>
        <w:spacing w:line="240" w:lineRule="auto" w:before="8"/>
        <w:rPr>
          <w:rFonts w:ascii="宋体" w:hAnsi="宋体" w:cs="宋体" w:eastAsia="宋体" w:hint="default"/>
          <w:sz w:val="24"/>
          <w:szCs w:val="24"/>
        </w:rPr>
      </w:pPr>
    </w:p>
    <w:tbl>
      <w:tblPr>
        <w:tblW w:w="0" w:type="auto"/>
        <w:jc w:val="left"/>
        <w:tblInd w:w="247" w:type="dxa"/>
        <w:tblLayout w:type="fixed"/>
        <w:tblCellMar>
          <w:top w:w="0" w:type="dxa"/>
          <w:left w:w="0" w:type="dxa"/>
          <w:bottom w:w="0" w:type="dxa"/>
          <w:right w:w="0" w:type="dxa"/>
        </w:tblCellMar>
        <w:tblLook w:val="01E0"/>
      </w:tblPr>
      <w:tblGrid>
        <w:gridCol w:w="4679"/>
        <w:gridCol w:w="4892"/>
      </w:tblGrid>
      <w:tr>
        <w:trPr>
          <w:trHeight w:val="402" w:hRule="exact"/>
        </w:trPr>
        <w:tc>
          <w:tcPr>
            <w:tcW w:w="46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现金分红金额（元</w:t>
            </w:r>
            <w:r>
              <w:rPr>
                <w:rFonts w:ascii="宋体" w:hAnsi="宋体" w:cs="宋体" w:eastAsia="宋体" w:hint="default"/>
                <w:spacing w:val="-92"/>
                <w:sz w:val="18"/>
                <w:szCs w:val="18"/>
              </w:rPr>
              <w:t>）</w:t>
            </w:r>
            <w:r>
              <w:rPr>
                <w:rFonts w:ascii="宋体" w:hAnsi="宋体" w:cs="宋体" w:eastAsia="宋体" w:hint="default"/>
                <w:sz w:val="18"/>
                <w:szCs w:val="18"/>
              </w:rPr>
              <w:t>（含税）</w:t>
            </w:r>
          </w:p>
        </w:tc>
        <w:tc>
          <w:tcPr>
            <w:tcW w:w="4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0.00</w:t>
            </w:r>
          </w:p>
        </w:tc>
      </w:tr>
      <w:tr>
        <w:trPr>
          <w:trHeight w:val="402" w:hRule="exact"/>
        </w:trPr>
        <w:tc>
          <w:tcPr>
            <w:tcW w:w="46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以其他方式（如回购股份）现金分红金额（元）</w:t>
            </w:r>
          </w:p>
        </w:tc>
        <w:tc>
          <w:tcPr>
            <w:tcW w:w="4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21"/>
              <w:jc w:val="right"/>
              <w:rPr>
                <w:rFonts w:ascii="Times New Roman" w:hAnsi="Times New Roman" w:cs="Times New Roman" w:eastAsia="Times New Roman" w:hint="default"/>
                <w:sz w:val="18"/>
                <w:szCs w:val="18"/>
              </w:rPr>
            </w:pPr>
            <w:r>
              <w:rPr>
                <w:rFonts w:ascii="Times New Roman"/>
                <w:spacing w:val="-1"/>
                <w:sz w:val="18"/>
              </w:rPr>
              <w:t>14,433,271</w:t>
            </w:r>
          </w:p>
        </w:tc>
      </w:tr>
      <w:tr>
        <w:trPr>
          <w:trHeight w:val="402" w:hRule="exact"/>
        </w:trPr>
        <w:tc>
          <w:tcPr>
            <w:tcW w:w="46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现金分红总额（含其他方式</w:t>
            </w:r>
            <w:r>
              <w:rPr>
                <w:rFonts w:ascii="宋体" w:hAnsi="宋体" w:cs="宋体" w:eastAsia="宋体" w:hint="default"/>
                <w:spacing w:val="-92"/>
                <w:sz w:val="18"/>
                <w:szCs w:val="18"/>
              </w:rPr>
              <w:t>）</w:t>
            </w:r>
            <w:r>
              <w:rPr>
                <w:rFonts w:ascii="宋体" w:hAnsi="宋体" w:cs="宋体" w:eastAsia="宋体" w:hint="default"/>
                <w:spacing w:val="2"/>
                <w:sz w:val="18"/>
                <w:szCs w:val="18"/>
              </w:rPr>
              <w:t>（</w:t>
            </w:r>
            <w:r>
              <w:rPr>
                <w:rFonts w:ascii="宋体" w:hAnsi="宋体" w:cs="宋体" w:eastAsia="宋体" w:hint="default"/>
                <w:sz w:val="18"/>
                <w:szCs w:val="18"/>
              </w:rPr>
              <w:t>元）</w:t>
            </w:r>
          </w:p>
        </w:tc>
        <w:tc>
          <w:tcPr>
            <w:tcW w:w="4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14,433,271</w:t>
            </w:r>
          </w:p>
        </w:tc>
      </w:tr>
      <w:tr>
        <w:trPr>
          <w:trHeight w:val="402" w:hRule="exact"/>
        </w:trPr>
        <w:tc>
          <w:tcPr>
            <w:tcW w:w="46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z w:val="18"/>
                <w:szCs w:val="18"/>
              </w:rPr>
              <w:t>可分配利润（元）</w:t>
            </w:r>
          </w:p>
        </w:tc>
        <w:tc>
          <w:tcPr>
            <w:tcW w:w="4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2"/>
              <w:jc w:val="right"/>
              <w:rPr>
                <w:rFonts w:ascii="Times New Roman" w:hAnsi="Times New Roman" w:cs="Times New Roman" w:eastAsia="Times New Roman" w:hint="default"/>
                <w:sz w:val="18"/>
                <w:szCs w:val="18"/>
              </w:rPr>
            </w:pPr>
            <w:r>
              <w:rPr>
                <w:rFonts w:ascii="Times New Roman"/>
                <w:spacing w:val="-1"/>
                <w:sz w:val="18"/>
              </w:rPr>
              <w:t>-205,526,510.82</w:t>
            </w:r>
          </w:p>
        </w:tc>
      </w:tr>
      <w:tr>
        <w:trPr>
          <w:trHeight w:val="408" w:hRule="exact"/>
        </w:trPr>
        <w:tc>
          <w:tcPr>
            <w:tcW w:w="46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现金分红总额（含其他方式）占利润分配总额的比例</w:t>
            </w:r>
          </w:p>
        </w:tc>
        <w:tc>
          <w:tcPr>
            <w:tcW w:w="48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1.16</w:t>
            </w:r>
          </w:p>
        </w:tc>
      </w:tr>
      <w:tr>
        <w:trPr>
          <w:trHeight w:val="396" w:hRule="exact"/>
        </w:trPr>
        <w:tc>
          <w:tcPr>
            <w:tcW w:w="957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本次现金分红情况</w:t>
            </w:r>
          </w:p>
        </w:tc>
      </w:tr>
      <w:tr>
        <w:trPr>
          <w:trHeight w:val="402" w:hRule="exact"/>
        </w:trPr>
        <w:tc>
          <w:tcPr>
            <w:tcW w:w="957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r>
      <w:tr>
        <w:trPr>
          <w:trHeight w:val="402" w:hRule="exact"/>
        </w:trPr>
        <w:tc>
          <w:tcPr>
            <w:tcW w:w="957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890" w:right="0"/>
              <w:jc w:val="left"/>
              <w:rPr>
                <w:rFonts w:ascii="宋体" w:hAnsi="宋体" w:cs="宋体" w:eastAsia="宋体" w:hint="default"/>
                <w:sz w:val="18"/>
                <w:szCs w:val="18"/>
              </w:rPr>
            </w:pPr>
            <w:r>
              <w:rPr>
                <w:rFonts w:ascii="宋体" w:hAnsi="宋体" w:cs="宋体" w:eastAsia="宋体" w:hint="default"/>
                <w:sz w:val="18"/>
                <w:szCs w:val="18"/>
              </w:rPr>
              <w:t>利润分配或资本公积金转增预案的详细情况说明</w:t>
            </w:r>
          </w:p>
        </w:tc>
      </w:tr>
      <w:tr>
        <w:trPr>
          <w:trHeight w:val="3754" w:hRule="exact"/>
        </w:trPr>
        <w:tc>
          <w:tcPr>
            <w:tcW w:w="9571" w:type="dxa"/>
            <w:gridSpan w:val="2"/>
            <w:tcBorders>
              <w:top w:val="single" w:sz="4" w:space="0" w:color="000000"/>
              <w:left w:val="single" w:sz="4" w:space="0" w:color="000000"/>
              <w:bottom w:val="single" w:sz="4" w:space="0" w:color="000000"/>
              <w:right w:val="single" w:sz="4" w:space="0" w:color="000000"/>
            </w:tcBorders>
          </w:tcPr>
          <w:p>
            <w:pPr>
              <w:pStyle w:val="TableParagraph"/>
              <w:spacing w:line="300" w:lineRule="auto" w:before="10"/>
              <w:ind w:left="24" w:right="22" w:firstLine="454"/>
              <w:jc w:val="both"/>
              <w:rPr>
                <w:rFonts w:ascii="宋体" w:hAnsi="宋体" w:cs="宋体" w:eastAsia="宋体" w:hint="default"/>
                <w:sz w:val="18"/>
                <w:szCs w:val="18"/>
              </w:rPr>
            </w:pPr>
            <w:r>
              <w:rPr>
                <w:rFonts w:ascii="宋体" w:hAnsi="宋体" w:cs="宋体" w:eastAsia="宋体" w:hint="default"/>
                <w:sz w:val="18"/>
                <w:szCs w:val="18"/>
              </w:rPr>
              <w:t>经亚太（集团）会计师事务所</w:t>
            </w:r>
            <w:r>
              <w:rPr>
                <w:rFonts w:ascii="Times New Roman" w:hAnsi="Times New Roman" w:cs="Times New Roman" w:eastAsia="Times New Roman" w:hint="default"/>
                <w:sz w:val="18"/>
                <w:szCs w:val="18"/>
              </w:rPr>
              <w:t>(</w:t>
            </w:r>
            <w:r>
              <w:rPr>
                <w:rFonts w:ascii="宋体" w:hAnsi="宋体" w:cs="宋体" w:eastAsia="宋体" w:hint="default"/>
                <w:sz w:val="18"/>
                <w:szCs w:val="18"/>
              </w:rPr>
              <w:t>特殊普通合伙</w:t>
            </w:r>
            <w:r>
              <w:rPr>
                <w:rFonts w:ascii="Times New Roman" w:hAnsi="Times New Roman" w:cs="Times New Roman" w:eastAsia="Times New Roman" w:hint="default"/>
                <w:sz w:val="18"/>
                <w:szCs w:val="18"/>
              </w:rPr>
              <w:t>)</w:t>
            </w:r>
            <w:r>
              <w:rPr>
                <w:rFonts w:ascii="宋体" w:hAnsi="宋体" w:cs="宋体" w:eastAsia="宋体" w:hint="default"/>
                <w:sz w:val="18"/>
                <w:szCs w:val="18"/>
              </w:rPr>
              <w:t>审计，报告期公司实现净利润为</w:t>
            </w:r>
            <w:r>
              <w:rPr>
                <w:rFonts w:ascii="Times New Roman" w:hAnsi="Times New Roman" w:cs="Times New Roman" w:eastAsia="Times New Roman" w:hint="default"/>
                <w:sz w:val="18"/>
                <w:szCs w:val="18"/>
              </w:rPr>
              <w:t>-1,240,168,787.93</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元，未提取法定盈余 公积，加上上年度结存未分配利润</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1,060,014,181.10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元，减去</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年进行的上年度分红</w:t>
            </w:r>
            <w:r>
              <w:rPr>
                <w:rFonts w:ascii="Times New Roman" w:hAnsi="Times New Roman" w:cs="Times New Roman" w:eastAsia="Times New Roman" w:hint="default"/>
                <w:sz w:val="18"/>
                <w:szCs w:val="18"/>
              </w:rPr>
              <w:t>-25,371,903.99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年公司实 际可供股东分配的利润为</w:t>
            </w:r>
            <w:r>
              <w:rPr>
                <w:rFonts w:ascii="Times New Roman" w:hAnsi="Times New Roman" w:cs="Times New Roman" w:eastAsia="Times New Roman" w:hint="default"/>
                <w:sz w:val="18"/>
                <w:szCs w:val="18"/>
              </w:rPr>
              <w:t>-205,526,510.82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元。鉴于公司母公司报表未分配利润为负数，不符合《公司章程》规定的分红条 件。经亚太（集团）会计师事务所</w:t>
            </w:r>
            <w:r>
              <w:rPr>
                <w:rFonts w:ascii="Times New Roman" w:hAnsi="Times New Roman" w:cs="Times New Roman" w:eastAsia="Times New Roman" w:hint="default"/>
                <w:sz w:val="18"/>
                <w:szCs w:val="18"/>
              </w:rPr>
              <w:t>(</w:t>
            </w:r>
            <w:r>
              <w:rPr>
                <w:rFonts w:ascii="宋体" w:hAnsi="宋体" w:cs="宋体" w:eastAsia="宋体" w:hint="default"/>
                <w:sz w:val="18"/>
                <w:szCs w:val="18"/>
              </w:rPr>
              <w:t>特殊普通合伙</w:t>
            </w:r>
            <w:r>
              <w:rPr>
                <w:rFonts w:ascii="Times New Roman" w:hAnsi="Times New Roman" w:cs="Times New Roman" w:eastAsia="Times New Roman" w:hint="default"/>
                <w:sz w:val="18"/>
                <w:szCs w:val="18"/>
              </w:rPr>
              <w:t>)</w:t>
            </w:r>
            <w:r>
              <w:rPr>
                <w:rFonts w:ascii="宋体" w:hAnsi="宋体" w:cs="宋体" w:eastAsia="宋体" w:hint="default"/>
                <w:sz w:val="18"/>
                <w:szCs w:val="18"/>
              </w:rPr>
              <w:t>审计，</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日资本公积为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1,769,042,910.62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元，考虑到公司</w:t>
            </w:r>
          </w:p>
          <w:p>
            <w:pPr>
              <w:pStyle w:val="TableParagraph"/>
              <w:spacing w:line="240" w:lineRule="auto" w:before="13"/>
              <w:ind w:left="24" w:right="0"/>
              <w:jc w:val="left"/>
              <w:rPr>
                <w:rFonts w:ascii="宋体" w:hAnsi="宋体" w:cs="宋体" w:eastAsia="宋体" w:hint="default"/>
                <w:sz w:val="18"/>
                <w:szCs w:val="18"/>
              </w:rPr>
            </w:pPr>
            <w:r>
              <w:rPr>
                <w:rFonts w:ascii="宋体" w:hAnsi="宋体" w:cs="宋体" w:eastAsia="宋体" w:hint="default"/>
                <w:sz w:val="18"/>
                <w:szCs w:val="18"/>
              </w:rPr>
              <w:t>目前资本公积金较为充足，为优化公司股本结构和增强股票流动性，董事会拟定本年度利润分配预案为：以</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月</w:t>
            </w:r>
          </w:p>
          <w:p>
            <w:pPr>
              <w:pStyle w:val="TableParagraph"/>
              <w:spacing w:line="240" w:lineRule="auto" w:before="63"/>
              <w:ind w:left="24"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31 </w:t>
            </w:r>
            <w:r>
              <w:rPr>
                <w:rFonts w:ascii="宋体" w:hAnsi="宋体" w:cs="宋体" w:eastAsia="宋体" w:hint="default"/>
                <w:sz w:val="18"/>
                <w:szCs w:val="18"/>
              </w:rPr>
              <w:t>日的公司总股本</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669,101,883 </w:t>
            </w:r>
            <w:r>
              <w:rPr>
                <w:rFonts w:ascii="宋体" w:hAnsi="宋体" w:cs="宋体" w:eastAsia="宋体" w:hint="default"/>
                <w:sz w:val="18"/>
                <w:szCs w:val="18"/>
              </w:rPr>
              <w:t>股扣除已回购股份</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1,128,800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股后的</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667,973,083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为基数，以资本公积金向全体股东每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p>
          <w:p>
            <w:pPr>
              <w:pStyle w:val="TableParagraph"/>
              <w:spacing w:line="240" w:lineRule="auto" w:before="63"/>
              <w:ind w:left="24" w:right="0"/>
              <w:jc w:val="left"/>
              <w:rPr>
                <w:rFonts w:ascii="宋体" w:hAnsi="宋体" w:cs="宋体" w:eastAsia="宋体" w:hint="default"/>
                <w:sz w:val="18"/>
                <w:szCs w:val="18"/>
              </w:rPr>
            </w:pPr>
            <w:r>
              <w:rPr>
                <w:rFonts w:ascii="宋体" w:hAnsi="宋体" w:cs="宋体" w:eastAsia="宋体" w:hint="default"/>
                <w:sz w:val="18"/>
                <w:szCs w:val="18"/>
              </w:rPr>
              <w:t>股转增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股，不派发现金红利，不送红股。</w:t>
            </w:r>
          </w:p>
          <w:p>
            <w:pPr>
              <w:pStyle w:val="TableParagraph"/>
              <w:spacing w:line="309" w:lineRule="auto" w:before="63"/>
              <w:ind w:left="24" w:right="84" w:firstLine="454"/>
              <w:jc w:val="both"/>
              <w:rPr>
                <w:rFonts w:ascii="宋体" w:hAnsi="宋体" w:cs="宋体" w:eastAsia="宋体" w:hint="default"/>
                <w:sz w:val="18"/>
                <w:szCs w:val="18"/>
              </w:rPr>
            </w:pPr>
            <w:r>
              <w:rPr>
                <w:rFonts w:ascii="宋体" w:hAnsi="宋体" w:cs="宋体" w:eastAsia="宋体" w:hint="default"/>
                <w:sz w:val="18"/>
                <w:szCs w:val="18"/>
              </w:rPr>
              <w:t>本方案实施后，公司总股本将由</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669,101,883</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股变更为</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936,291,116</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股（具体股数以实施完毕后中国证券登记结算有 </w:t>
            </w:r>
            <w:r>
              <w:rPr>
                <w:rFonts w:ascii="宋体" w:hAnsi="宋体" w:cs="宋体" w:eastAsia="宋体" w:hint="default"/>
                <w:spacing w:val="-2"/>
                <w:sz w:val="18"/>
                <w:szCs w:val="18"/>
              </w:rPr>
              <w:t>限公司深圳分公司确认的股数为准）。如本次资本公积金转增股本预案经董事会、股东大会审议通过后至实施前公司总股</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本发生变动，将按照现有分配比例不变的原则对分配总额进行调整。</w:t>
            </w:r>
          </w:p>
          <w:p>
            <w:pPr>
              <w:pStyle w:val="TableParagraph"/>
              <w:spacing w:line="316" w:lineRule="auto" w:before="24"/>
              <w:ind w:left="24" w:right="83" w:firstLine="454"/>
              <w:jc w:val="both"/>
              <w:rPr>
                <w:rFonts w:ascii="宋体" w:hAnsi="宋体" w:cs="宋体" w:eastAsia="宋体" w:hint="default"/>
                <w:sz w:val="18"/>
                <w:szCs w:val="18"/>
              </w:rPr>
            </w:pPr>
            <w:r>
              <w:rPr>
                <w:rFonts w:ascii="宋体" w:hAnsi="宋体" w:cs="宋体" w:eastAsia="宋体" w:hint="default"/>
                <w:sz w:val="18"/>
                <w:szCs w:val="18"/>
              </w:rPr>
              <w:t>本次利润分配及资本公积金转增预案符合公司章程规定，听取了独立董事意见，充分保护中小股东的合法权益。本 次利润分配预案及资本公积金转增预案尚需提请公司股东大会审议。</w:t>
            </w:r>
          </w:p>
        </w:tc>
      </w:tr>
    </w:tbl>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9"/>
          <w:szCs w:val="29"/>
        </w:rPr>
      </w:pPr>
    </w:p>
    <w:p>
      <w:pPr>
        <w:pStyle w:val="Heading2"/>
        <w:spacing w:line="240" w:lineRule="auto"/>
        <w:ind w:left="252" w:right="0" w:firstLine="3433"/>
        <w:jc w:val="left"/>
        <w:rPr>
          <w:b w:val="0"/>
          <w:bCs w:val="0"/>
        </w:rPr>
      </w:pPr>
      <w:r>
        <w:rPr/>
        <w:t>第二节</w:t>
      </w:r>
      <w:r>
        <w:rPr>
          <w:spacing w:val="-2"/>
        </w:rPr>
        <w:t> </w:t>
      </w:r>
      <w:r>
        <w:rPr/>
        <w:t>承诺事项履行情况</w:t>
      </w:r>
      <w:r>
        <w:rPr>
          <w:b w:val="0"/>
          <w:bCs w:val="0"/>
        </w:rPr>
      </w:r>
    </w:p>
    <w:p>
      <w:pPr>
        <w:spacing w:line="240" w:lineRule="auto" w:before="10"/>
        <w:rPr>
          <w:rFonts w:ascii="宋体" w:hAnsi="宋体" w:cs="宋体" w:eastAsia="宋体" w:hint="default"/>
          <w:b/>
          <w:bCs/>
          <w:sz w:val="24"/>
          <w:szCs w:val="24"/>
        </w:rPr>
      </w:pPr>
    </w:p>
    <w:p>
      <w:pPr>
        <w:pStyle w:val="Heading3"/>
        <w:spacing w:line="273" w:lineRule="auto" w:before="0"/>
        <w:ind w:left="252" w:right="0"/>
        <w:jc w:val="left"/>
        <w:rPr>
          <w:b w:val="0"/>
          <w:bCs w:val="0"/>
        </w:rPr>
      </w:pPr>
      <w:r>
        <w:rPr>
          <w:spacing w:val="-2"/>
        </w:rPr>
        <w:t>一、公司实际控制人、股东、关联方、收购人以及公司等承诺相关方在报告期内履行完毕及截至报告期末</w:t>
      </w:r>
      <w:r>
        <w:rPr>
          <w:spacing w:val="-80"/>
        </w:rPr>
        <w:t> </w:t>
      </w:r>
      <w:r>
        <w:rPr>
          <w:spacing w:val="-80"/>
        </w:rPr>
      </w:r>
      <w:r>
        <w:rPr/>
        <w:t>尚未履行完毕的承诺事项</w:t>
      </w:r>
      <w:r>
        <w:rPr>
          <w:b w:val="0"/>
          <w:bCs w:val="0"/>
        </w:rPr>
      </w:r>
    </w:p>
    <w:p>
      <w:pPr>
        <w:pStyle w:val="BodyText"/>
        <w:spacing w:line="240" w:lineRule="auto" w:before="127"/>
        <w:ind w:left="252" w:right="0"/>
        <w:jc w:val="left"/>
        <w:rPr>
          <w:rFonts w:ascii="宋体" w:hAnsi="宋体" w:cs="宋体" w:eastAsia="宋体" w:hint="default"/>
        </w:rPr>
      </w:pPr>
      <w:r>
        <w:rPr>
          <w:rFonts w:ascii="宋体" w:hAnsi="宋体" w:cs="宋体" w:eastAsia="宋体" w:hint="default"/>
        </w:rPr>
        <w:t>(</w:t>
      </w:r>
      <w:r>
        <w:rPr/>
        <w:t>一</w:t>
      </w:r>
      <w:r>
        <w:rPr>
          <w:rFonts w:ascii="宋体" w:hAnsi="宋体" w:cs="宋体" w:eastAsia="宋体" w:hint="default"/>
        </w:rPr>
        <w:t>)</w:t>
      </w:r>
      <w:r>
        <w:rPr>
          <w:rFonts w:ascii="宋体" w:hAnsi="宋体" w:cs="宋体" w:eastAsia="宋体" w:hint="default"/>
          <w:spacing w:val="-9"/>
        </w:rPr>
        <w:t> </w:t>
      </w:r>
      <w:r>
        <w:rPr/>
        <w:t>公司股东、关联方在报告期内履行完毕及截至报告期末尚未履行完毕的承诺事项</w:t>
      </w:r>
      <w:r>
        <w:rPr>
          <w:rFonts w:ascii="宋体" w:hAnsi="宋体" w:cs="宋体" w:eastAsia="宋体" w:hint="default"/>
        </w:rPr>
        <w:t> </w:t>
      </w:r>
    </w:p>
    <w:p>
      <w:pPr>
        <w:spacing w:line="240" w:lineRule="auto" w:before="12"/>
        <w:rPr>
          <w:rFonts w:ascii="宋体" w:hAnsi="宋体" w:cs="宋体" w:eastAsia="宋体" w:hint="default"/>
          <w:sz w:val="6"/>
          <w:szCs w:val="6"/>
        </w:rPr>
      </w:pPr>
    </w:p>
    <w:tbl>
      <w:tblPr>
        <w:tblW w:w="0" w:type="auto"/>
        <w:jc w:val="left"/>
        <w:tblInd w:w="106" w:type="dxa"/>
        <w:tblLayout w:type="fixed"/>
        <w:tblCellMar>
          <w:top w:w="0" w:type="dxa"/>
          <w:left w:w="0" w:type="dxa"/>
          <w:bottom w:w="0" w:type="dxa"/>
          <w:right w:w="0" w:type="dxa"/>
        </w:tblCellMar>
        <w:tblLook w:val="01E0"/>
      </w:tblPr>
      <w:tblGrid>
        <w:gridCol w:w="708"/>
        <w:gridCol w:w="852"/>
        <w:gridCol w:w="708"/>
        <w:gridCol w:w="5245"/>
        <w:gridCol w:w="852"/>
        <w:gridCol w:w="708"/>
        <w:gridCol w:w="850"/>
      </w:tblGrid>
      <w:tr>
        <w:trPr>
          <w:trHeight w:val="528" w:hRule="exact"/>
        </w:trPr>
        <w:tc>
          <w:tcPr>
            <w:tcW w:w="7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4" w:lineRule="auto"/>
              <w:ind w:left="168" w:right="168"/>
              <w:jc w:val="left"/>
              <w:rPr>
                <w:rFonts w:ascii="宋体" w:hAnsi="宋体" w:cs="宋体" w:eastAsia="宋体" w:hint="default"/>
                <w:sz w:val="18"/>
                <w:szCs w:val="18"/>
              </w:rPr>
            </w:pPr>
            <w:r>
              <w:rPr>
                <w:rFonts w:ascii="宋体" w:hAnsi="宋体" w:cs="宋体" w:eastAsia="宋体" w:hint="default"/>
                <w:sz w:val="18"/>
                <w:szCs w:val="18"/>
              </w:rPr>
              <w:t>承诺 事由</w:t>
            </w:r>
          </w:p>
        </w:tc>
        <w:tc>
          <w:tcPr>
            <w:tcW w:w="8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8"/>
              <w:ind w:left="153" w:right="0"/>
              <w:jc w:val="left"/>
              <w:rPr>
                <w:rFonts w:ascii="宋体" w:hAnsi="宋体" w:cs="宋体" w:eastAsia="宋体" w:hint="default"/>
                <w:sz w:val="18"/>
                <w:szCs w:val="18"/>
              </w:rPr>
            </w:pPr>
            <w:r>
              <w:rPr>
                <w:rFonts w:ascii="宋体" w:hAnsi="宋体" w:cs="宋体" w:eastAsia="宋体" w:hint="default"/>
                <w:sz w:val="18"/>
                <w:szCs w:val="18"/>
              </w:rPr>
              <w:t>承诺方</w:t>
            </w:r>
          </w:p>
        </w:tc>
        <w:tc>
          <w:tcPr>
            <w:tcW w:w="7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4" w:lineRule="auto"/>
              <w:ind w:left="167" w:right="168"/>
              <w:jc w:val="left"/>
              <w:rPr>
                <w:rFonts w:ascii="宋体" w:hAnsi="宋体" w:cs="宋体" w:eastAsia="宋体" w:hint="default"/>
                <w:sz w:val="18"/>
                <w:szCs w:val="18"/>
              </w:rPr>
            </w:pPr>
            <w:r>
              <w:rPr>
                <w:rFonts w:ascii="宋体" w:hAnsi="宋体" w:cs="宋体" w:eastAsia="宋体" w:hint="default"/>
                <w:sz w:val="18"/>
                <w:szCs w:val="18"/>
              </w:rPr>
              <w:t>承诺 类型</w:t>
            </w:r>
          </w:p>
        </w:tc>
        <w:tc>
          <w:tcPr>
            <w:tcW w:w="524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8"/>
              <w:ind w:left="2" w:right="0"/>
              <w:jc w:val="center"/>
              <w:rPr>
                <w:rFonts w:ascii="宋体" w:hAnsi="宋体" w:cs="宋体" w:eastAsia="宋体" w:hint="default"/>
                <w:sz w:val="18"/>
                <w:szCs w:val="18"/>
              </w:rPr>
            </w:pPr>
            <w:r>
              <w:rPr>
                <w:rFonts w:ascii="宋体" w:hAnsi="宋体" w:cs="宋体" w:eastAsia="宋体" w:hint="default"/>
                <w:sz w:val="18"/>
                <w:szCs w:val="18"/>
              </w:rPr>
              <w:t>承诺内容</w:t>
            </w:r>
          </w:p>
        </w:tc>
        <w:tc>
          <w:tcPr>
            <w:tcW w:w="8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4" w:lineRule="auto"/>
              <w:ind w:left="242" w:right="239"/>
              <w:jc w:val="left"/>
              <w:rPr>
                <w:rFonts w:ascii="宋体" w:hAnsi="宋体" w:cs="宋体" w:eastAsia="宋体" w:hint="default"/>
                <w:sz w:val="18"/>
                <w:szCs w:val="18"/>
              </w:rPr>
            </w:pPr>
            <w:r>
              <w:rPr>
                <w:rFonts w:ascii="宋体" w:hAnsi="宋体" w:cs="宋体" w:eastAsia="宋体" w:hint="default"/>
                <w:sz w:val="18"/>
                <w:szCs w:val="18"/>
              </w:rPr>
              <w:t>承诺 时间</w:t>
            </w:r>
          </w:p>
        </w:tc>
        <w:tc>
          <w:tcPr>
            <w:tcW w:w="7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4" w:lineRule="auto"/>
              <w:ind w:left="168" w:right="168"/>
              <w:jc w:val="left"/>
              <w:rPr>
                <w:rFonts w:ascii="宋体" w:hAnsi="宋体" w:cs="宋体" w:eastAsia="宋体" w:hint="default"/>
                <w:sz w:val="18"/>
                <w:szCs w:val="18"/>
              </w:rPr>
            </w:pPr>
            <w:r>
              <w:rPr>
                <w:rFonts w:ascii="宋体" w:hAnsi="宋体" w:cs="宋体" w:eastAsia="宋体" w:hint="default"/>
                <w:sz w:val="18"/>
                <w:szCs w:val="18"/>
              </w:rPr>
              <w:t>承诺 期限</w:t>
            </w:r>
          </w:p>
        </w:tc>
        <w:tc>
          <w:tcPr>
            <w:tcW w:w="8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4" w:lineRule="auto"/>
              <w:ind w:left="331" w:right="146" w:hanging="180"/>
              <w:jc w:val="left"/>
              <w:rPr>
                <w:rFonts w:ascii="宋体" w:hAnsi="宋体" w:cs="宋体" w:eastAsia="宋体" w:hint="default"/>
                <w:sz w:val="18"/>
                <w:szCs w:val="18"/>
              </w:rPr>
            </w:pPr>
            <w:r>
              <w:rPr>
                <w:rFonts w:ascii="宋体" w:hAnsi="宋体" w:cs="宋体" w:eastAsia="宋体" w:hint="default"/>
                <w:sz w:val="18"/>
                <w:szCs w:val="18"/>
              </w:rPr>
              <w:t>履行情 况</w:t>
            </w:r>
          </w:p>
        </w:tc>
      </w:tr>
      <w:tr>
        <w:trPr>
          <w:trHeight w:val="286" w:hRule="exact"/>
        </w:trPr>
        <w:tc>
          <w:tcPr>
            <w:tcW w:w="708" w:type="dxa"/>
            <w:tcBorders>
              <w:top w:val="single" w:sz="4" w:space="0" w:color="000000"/>
              <w:left w:val="single" w:sz="4" w:space="0" w:color="000000"/>
              <w:bottom w:val="nil" w:sz="6" w:space="0" w:color="auto"/>
              <w:right w:val="single" w:sz="4" w:space="0" w:color="000000"/>
            </w:tcBorders>
          </w:tcPr>
          <w:p>
            <w:pPr/>
          </w:p>
        </w:tc>
        <w:tc>
          <w:tcPr>
            <w:tcW w:w="852"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524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、与公司在业务、资产、人员、机构、财务等方面做到分开。</w:t>
            </w:r>
          </w:p>
        </w:tc>
        <w:tc>
          <w:tcPr>
            <w:tcW w:w="852"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r>
      <w:tr>
        <w:trPr>
          <w:trHeight w:val="259"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8" w:lineRule="exact"/>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、在控制公司权益期间，将尽量减少并规范与公司的关联交易。</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105" w:right="0"/>
              <w:jc w:val="left"/>
              <w:rPr>
                <w:rFonts w:ascii="宋体" w:hAnsi="宋体" w:cs="宋体" w:eastAsia="宋体" w:hint="default"/>
                <w:sz w:val="18"/>
                <w:szCs w:val="18"/>
              </w:rPr>
            </w:pPr>
            <w:r>
              <w:rPr>
                <w:rFonts w:ascii="宋体" w:hAnsi="宋体" w:cs="宋体" w:eastAsia="宋体" w:hint="default"/>
                <w:sz w:val="18"/>
                <w:szCs w:val="18"/>
              </w:rPr>
              <w:t>若有不可避免的关联交易，将与公司依法签订协议，履行合法程</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105" w:right="0"/>
              <w:jc w:val="left"/>
              <w:rPr>
                <w:rFonts w:ascii="宋体" w:hAnsi="宋体" w:cs="宋体" w:eastAsia="宋体" w:hint="default"/>
                <w:sz w:val="18"/>
                <w:szCs w:val="18"/>
              </w:rPr>
            </w:pPr>
            <w:r>
              <w:rPr>
                <w:rFonts w:ascii="宋体" w:hAnsi="宋体" w:cs="宋体" w:eastAsia="宋体" w:hint="default"/>
                <w:sz w:val="18"/>
                <w:szCs w:val="18"/>
              </w:rPr>
              <w:t>序，保证不通过关联交易损害公司及其他股东的合法权益。</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4"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3" w:right="0"/>
              <w:jc w:val="left"/>
              <w:rPr>
                <w:rFonts w:ascii="宋体" w:hAnsi="宋体" w:cs="宋体" w:eastAsia="宋体" w:hint="default"/>
                <w:sz w:val="18"/>
                <w:szCs w:val="18"/>
              </w:rPr>
            </w:pPr>
            <w:r>
              <w:rPr>
                <w:rFonts w:ascii="宋体" w:hAnsi="宋体" w:cs="宋体" w:eastAsia="宋体" w:hint="default"/>
                <w:sz w:val="18"/>
                <w:szCs w:val="18"/>
              </w:rPr>
              <w:t>权</w:t>
            </w:r>
            <w:r>
              <w:rPr>
                <w:rFonts w:ascii="宋体" w:hAnsi="宋体" w:cs="宋体" w:eastAsia="宋体" w:hint="default"/>
                <w:spacing w:val="42"/>
                <w:sz w:val="18"/>
                <w:szCs w:val="18"/>
              </w:rPr>
              <w:t> </w:t>
            </w:r>
            <w:r>
              <w:rPr>
                <w:rFonts w:ascii="宋体" w:hAnsi="宋体" w:cs="宋体" w:eastAsia="宋体" w:hint="default"/>
                <w:sz w:val="18"/>
                <w:szCs w:val="18"/>
              </w:rPr>
              <w:t>益</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pacing w:val="32"/>
                <w:sz w:val="18"/>
                <w:szCs w:val="18"/>
              </w:rPr>
              <w:t>公司原</w:t>
            </w:r>
            <w:r>
              <w:rPr>
                <w:rFonts w:ascii="宋体" w:hAnsi="宋体" w:cs="宋体" w:eastAsia="宋体" w:hint="default"/>
                <w:spacing w:val="-42"/>
                <w:sz w:val="18"/>
                <w:szCs w:val="18"/>
              </w:rPr>
              <w:t> </w:t>
            </w:r>
            <w:r>
              <w:rPr>
                <w:rFonts w:ascii="宋体" w:hAnsi="宋体" w:cs="宋体" w:eastAsia="宋体" w:hint="default"/>
                <w:sz w:val="18"/>
                <w:szCs w:val="18"/>
              </w:rPr>
            </w: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105" w:right="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、将不通过除公司以外的经营主体在秦皇岛地区新建或收购与</w:t>
            </w:r>
            <w:r>
              <w:rPr>
                <w:rFonts w:ascii="宋体" w:hAnsi="宋体" w:cs="宋体" w:eastAsia="宋体" w:hint="default"/>
                <w:sz w:val="18"/>
                <w:szCs w:val="18"/>
              </w:rPr>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1041"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103" w:right="0"/>
              <w:jc w:val="left"/>
              <w:rPr>
                <w:rFonts w:ascii="宋体" w:hAnsi="宋体" w:cs="宋体" w:eastAsia="宋体" w:hint="default"/>
                <w:sz w:val="18"/>
                <w:szCs w:val="18"/>
              </w:rPr>
            </w:pPr>
            <w:r>
              <w:rPr>
                <w:rFonts w:ascii="宋体" w:hAnsi="宋体" w:cs="宋体" w:eastAsia="宋体" w:hint="default"/>
                <w:sz w:val="18"/>
                <w:szCs w:val="18"/>
              </w:rPr>
              <w:t>变</w:t>
            </w:r>
            <w:r>
              <w:rPr>
                <w:rFonts w:ascii="宋体" w:hAnsi="宋体" w:cs="宋体" w:eastAsia="宋体" w:hint="default"/>
                <w:spacing w:val="42"/>
                <w:sz w:val="18"/>
                <w:szCs w:val="18"/>
              </w:rPr>
              <w:t> </w:t>
            </w:r>
            <w:r>
              <w:rPr>
                <w:rFonts w:ascii="宋体" w:hAnsi="宋体" w:cs="宋体" w:eastAsia="宋体" w:hint="default"/>
                <w:sz w:val="18"/>
                <w:szCs w:val="18"/>
              </w:rPr>
              <w:t>动</w:t>
            </w:r>
          </w:p>
          <w:p>
            <w:pPr>
              <w:pStyle w:val="TableParagraph"/>
              <w:spacing w:line="240" w:lineRule="auto" w:before="26"/>
              <w:ind w:left="103" w:right="0"/>
              <w:jc w:val="left"/>
              <w:rPr>
                <w:rFonts w:ascii="宋体" w:hAnsi="宋体" w:cs="宋体" w:eastAsia="宋体" w:hint="default"/>
                <w:sz w:val="18"/>
                <w:szCs w:val="18"/>
              </w:rPr>
            </w:pPr>
            <w:r>
              <w:rPr>
                <w:rFonts w:ascii="宋体" w:hAnsi="宋体" w:cs="宋体" w:eastAsia="宋体" w:hint="default"/>
                <w:sz w:val="18"/>
                <w:szCs w:val="18"/>
              </w:rPr>
              <w:t>报</w:t>
            </w:r>
            <w:r>
              <w:rPr>
                <w:rFonts w:ascii="宋体" w:hAnsi="宋体" w:cs="宋体" w:eastAsia="宋体" w:hint="default"/>
                <w:spacing w:val="42"/>
                <w:sz w:val="18"/>
                <w:szCs w:val="18"/>
              </w:rPr>
              <w:t> </w:t>
            </w:r>
            <w:r>
              <w:rPr>
                <w:rFonts w:ascii="宋体" w:hAnsi="宋体" w:cs="宋体" w:eastAsia="宋体" w:hint="default"/>
                <w:sz w:val="18"/>
                <w:szCs w:val="18"/>
              </w:rPr>
              <w:t>告</w:t>
            </w:r>
          </w:p>
          <w:p>
            <w:pPr>
              <w:pStyle w:val="TableParagraph"/>
              <w:spacing w:line="240" w:lineRule="auto" w:before="24"/>
              <w:ind w:left="103" w:right="0"/>
              <w:jc w:val="left"/>
              <w:rPr>
                <w:rFonts w:ascii="宋体" w:hAnsi="宋体" w:cs="宋体" w:eastAsia="宋体" w:hint="default"/>
                <w:sz w:val="18"/>
                <w:szCs w:val="18"/>
              </w:rPr>
            </w:pPr>
            <w:r>
              <w:rPr>
                <w:rFonts w:ascii="宋体" w:hAnsi="宋体" w:cs="宋体" w:eastAsia="宋体" w:hint="default"/>
                <w:sz w:val="18"/>
                <w:szCs w:val="18"/>
              </w:rPr>
              <w:t>书</w:t>
            </w:r>
            <w:r>
              <w:rPr>
                <w:rFonts w:ascii="宋体" w:hAnsi="宋体" w:cs="宋体" w:eastAsia="宋体" w:hint="default"/>
                <w:spacing w:val="42"/>
                <w:sz w:val="18"/>
                <w:szCs w:val="18"/>
              </w:rPr>
              <w:t> </w:t>
            </w:r>
            <w:r>
              <w:rPr>
                <w:rFonts w:ascii="宋体" w:hAnsi="宋体" w:cs="宋体" w:eastAsia="宋体" w:hint="default"/>
                <w:sz w:val="18"/>
                <w:szCs w:val="18"/>
              </w:rPr>
              <w:t>中</w:t>
            </w:r>
          </w:p>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所</w:t>
            </w:r>
            <w:r>
              <w:rPr>
                <w:rFonts w:ascii="宋体" w:hAnsi="宋体" w:cs="宋体" w:eastAsia="宋体" w:hint="default"/>
                <w:spacing w:val="42"/>
                <w:sz w:val="18"/>
                <w:szCs w:val="18"/>
              </w:rPr>
              <w:t> </w:t>
            </w:r>
            <w:r>
              <w:rPr>
                <w:rFonts w:ascii="宋体" w:hAnsi="宋体" w:cs="宋体" w:eastAsia="宋体" w:hint="default"/>
                <w:sz w:val="18"/>
                <w:szCs w:val="18"/>
              </w:rPr>
              <w:t>作</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105" w:right="0"/>
              <w:jc w:val="both"/>
              <w:rPr>
                <w:rFonts w:ascii="宋体" w:hAnsi="宋体" w:cs="宋体" w:eastAsia="宋体" w:hint="default"/>
                <w:sz w:val="18"/>
                <w:szCs w:val="18"/>
              </w:rPr>
            </w:pPr>
            <w:r>
              <w:rPr>
                <w:rFonts w:ascii="宋体" w:hAnsi="宋体" w:cs="宋体" w:eastAsia="宋体" w:hint="default"/>
                <w:spacing w:val="32"/>
                <w:sz w:val="18"/>
                <w:szCs w:val="18"/>
              </w:rPr>
              <w:t>控股股</w:t>
            </w:r>
            <w:r>
              <w:rPr>
                <w:rFonts w:ascii="宋体" w:hAnsi="宋体" w:cs="宋体" w:eastAsia="宋体" w:hint="default"/>
                <w:spacing w:val="-42"/>
                <w:sz w:val="18"/>
                <w:szCs w:val="18"/>
              </w:rPr>
              <w:t> </w:t>
            </w:r>
            <w:r>
              <w:rPr>
                <w:rFonts w:ascii="宋体" w:hAnsi="宋体" w:cs="宋体" w:eastAsia="宋体" w:hint="default"/>
                <w:sz w:val="18"/>
                <w:szCs w:val="18"/>
              </w:rPr>
            </w:r>
          </w:p>
          <w:p>
            <w:pPr>
              <w:pStyle w:val="TableParagraph"/>
              <w:spacing w:line="264" w:lineRule="auto" w:before="26"/>
              <w:ind w:left="105" w:right="50"/>
              <w:jc w:val="both"/>
              <w:rPr>
                <w:rFonts w:ascii="宋体" w:hAnsi="宋体" w:cs="宋体" w:eastAsia="宋体" w:hint="default"/>
                <w:sz w:val="18"/>
                <w:szCs w:val="18"/>
              </w:rPr>
            </w:pPr>
            <w:r>
              <w:rPr>
                <w:rFonts w:ascii="宋体" w:hAnsi="宋体" w:cs="宋体" w:eastAsia="宋体" w:hint="default"/>
                <w:spacing w:val="32"/>
                <w:sz w:val="18"/>
                <w:szCs w:val="18"/>
              </w:rPr>
              <w:t>东中兆</w:t>
            </w:r>
            <w:r>
              <w:rPr>
                <w:rFonts w:ascii="宋体" w:hAnsi="宋体" w:cs="宋体" w:eastAsia="宋体" w:hint="default"/>
                <w:spacing w:val="-42"/>
                <w:sz w:val="18"/>
                <w:szCs w:val="18"/>
              </w:rPr>
              <w:t> </w:t>
            </w:r>
            <w:r>
              <w:rPr>
                <w:rFonts w:ascii="宋体" w:hAnsi="宋体" w:cs="宋体" w:eastAsia="宋体" w:hint="default"/>
                <w:spacing w:val="32"/>
                <w:sz w:val="18"/>
                <w:szCs w:val="18"/>
              </w:rPr>
              <w:t>投资管</w:t>
            </w:r>
            <w:r>
              <w:rPr>
                <w:rFonts w:ascii="宋体" w:hAnsi="宋体" w:cs="宋体" w:eastAsia="宋体" w:hint="default"/>
                <w:spacing w:val="-42"/>
                <w:sz w:val="18"/>
                <w:szCs w:val="18"/>
              </w:rPr>
              <w:t> </w:t>
            </w:r>
            <w:r>
              <w:rPr>
                <w:rFonts w:ascii="宋体" w:hAnsi="宋体" w:cs="宋体" w:eastAsia="宋体" w:hint="default"/>
                <w:spacing w:val="32"/>
                <w:sz w:val="18"/>
                <w:szCs w:val="18"/>
              </w:rPr>
              <w:t>理有限</w:t>
            </w:r>
            <w:r>
              <w:rPr>
                <w:rFonts w:ascii="宋体" w:hAnsi="宋体" w:cs="宋体" w:eastAsia="宋体" w:hint="default"/>
                <w:spacing w:val="-42"/>
                <w:sz w:val="18"/>
                <w:szCs w:val="18"/>
              </w:rPr>
              <w:t> </w:t>
            </w:r>
            <w:r>
              <w:rPr>
                <w:rFonts w:ascii="宋体" w:hAnsi="宋体" w:cs="宋体" w:eastAsia="宋体" w:hint="default"/>
                <w:sz w:val="18"/>
                <w:szCs w:val="18"/>
              </w:rPr>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left="103" w:right="0"/>
              <w:jc w:val="left"/>
              <w:rPr>
                <w:rFonts w:ascii="宋体" w:hAnsi="宋体" w:cs="宋体" w:eastAsia="宋体" w:hint="default"/>
                <w:sz w:val="18"/>
                <w:szCs w:val="18"/>
              </w:rPr>
            </w:pPr>
            <w:r>
              <w:rPr>
                <w:rFonts w:ascii="宋体" w:hAnsi="宋体" w:cs="宋体" w:eastAsia="宋体" w:hint="default"/>
                <w:sz w:val="18"/>
                <w:szCs w:val="18"/>
              </w:rPr>
              <w:t>无</w:t>
            </w:r>
            <w:r>
              <w:rPr>
                <w:rFonts w:ascii="宋体" w:hAnsi="宋体" w:cs="宋体" w:eastAsia="宋体" w:hint="default"/>
                <w:spacing w:val="42"/>
                <w:sz w:val="18"/>
                <w:szCs w:val="18"/>
              </w:rPr>
              <w:t> </w:t>
            </w:r>
            <w:r>
              <w:rPr>
                <w:rFonts w:ascii="宋体" w:hAnsi="宋体" w:cs="宋体" w:eastAsia="宋体" w:hint="default"/>
                <w:sz w:val="18"/>
                <w:szCs w:val="18"/>
              </w:rPr>
              <w:t>固</w:t>
            </w:r>
          </w:p>
          <w:p>
            <w:pPr>
              <w:pStyle w:val="TableParagraph"/>
              <w:spacing w:line="264" w:lineRule="auto" w:before="26"/>
              <w:ind w:left="103" w:right="101"/>
              <w:jc w:val="left"/>
              <w:rPr>
                <w:rFonts w:ascii="宋体" w:hAnsi="宋体" w:cs="宋体" w:eastAsia="宋体" w:hint="default"/>
                <w:sz w:val="18"/>
                <w:szCs w:val="18"/>
              </w:rPr>
            </w:pPr>
            <w:r>
              <w:rPr>
                <w:rFonts w:ascii="宋体" w:hAnsi="宋体" w:cs="宋体" w:eastAsia="宋体" w:hint="default"/>
                <w:sz w:val="18"/>
                <w:szCs w:val="18"/>
              </w:rPr>
              <w:t>定</w:t>
            </w:r>
            <w:r>
              <w:rPr>
                <w:rFonts w:ascii="宋体" w:hAnsi="宋体" w:cs="宋体" w:eastAsia="宋体" w:hint="default"/>
                <w:spacing w:val="42"/>
                <w:sz w:val="18"/>
                <w:szCs w:val="18"/>
              </w:rPr>
              <w:t> </w:t>
            </w:r>
            <w:r>
              <w:rPr>
                <w:rFonts w:ascii="宋体" w:hAnsi="宋体" w:cs="宋体" w:eastAsia="宋体" w:hint="default"/>
                <w:sz w:val="18"/>
                <w:szCs w:val="18"/>
              </w:rPr>
              <w:t>期</w:t>
            </w:r>
            <w:r>
              <w:rPr>
                <w:rFonts w:ascii="宋体" w:hAnsi="宋体" w:cs="宋体" w:eastAsia="宋体" w:hint="default"/>
                <w:sz w:val="18"/>
                <w:szCs w:val="18"/>
              </w:rPr>
              <w:t> 限</w:t>
            </w: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105" w:right="0"/>
              <w:jc w:val="left"/>
              <w:rPr>
                <w:rFonts w:ascii="宋体" w:hAnsi="宋体" w:cs="宋体" w:eastAsia="宋体" w:hint="default"/>
                <w:sz w:val="18"/>
                <w:szCs w:val="18"/>
              </w:rPr>
            </w:pPr>
            <w:r>
              <w:rPr>
                <w:rFonts w:ascii="宋体" w:hAnsi="宋体" w:cs="宋体" w:eastAsia="宋体" w:hint="default"/>
                <w:sz w:val="18"/>
                <w:szCs w:val="18"/>
              </w:rPr>
              <w:t>公司目前在秦皇岛地区经营同类的商业项目，对于新建或存在收</w:t>
            </w:r>
          </w:p>
          <w:p>
            <w:pPr>
              <w:pStyle w:val="TableParagraph"/>
              <w:spacing w:line="264" w:lineRule="auto" w:before="26"/>
              <w:ind w:left="105" w:right="98"/>
              <w:jc w:val="left"/>
              <w:rPr>
                <w:rFonts w:ascii="宋体" w:hAnsi="宋体" w:cs="宋体" w:eastAsia="宋体" w:hint="default"/>
                <w:sz w:val="18"/>
                <w:szCs w:val="18"/>
              </w:rPr>
            </w:pPr>
            <w:r>
              <w:rPr>
                <w:rFonts w:ascii="宋体" w:hAnsi="宋体" w:cs="宋体" w:eastAsia="宋体" w:hint="default"/>
                <w:spacing w:val="-1"/>
                <w:sz w:val="18"/>
                <w:szCs w:val="18"/>
              </w:rPr>
              <w:t>购可能性的该类商业项目资源，将优先推荐给公司，公司具有优</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先选择权。 </w:t>
            </w:r>
            <w:r>
              <w:rPr>
                <w:rFonts w:ascii="Times New Roman" w:hAnsi="Times New Roman" w:cs="Times New Roman" w:eastAsia="Times New Roman" w:hint="default"/>
                <w:spacing w:val="2"/>
                <w:sz w:val="18"/>
                <w:szCs w:val="18"/>
              </w:rPr>
              <w:t>4</w:t>
            </w:r>
            <w:r>
              <w:rPr>
                <w:rFonts w:ascii="宋体" w:hAnsi="宋体" w:cs="宋体" w:eastAsia="宋体" w:hint="default"/>
                <w:spacing w:val="2"/>
                <w:sz w:val="18"/>
                <w:szCs w:val="18"/>
              </w:rPr>
              <w:t>、将不通过除公司以外的经营主体在安徽地区新建或收购与公</w:t>
            </w:r>
            <w:r>
              <w:rPr>
                <w:rFonts w:ascii="宋体" w:hAnsi="宋体" w:cs="宋体" w:eastAsia="宋体" w:hint="default"/>
                <w:sz w:val="18"/>
                <w:szCs w:val="18"/>
              </w:rPr>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108"/>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2009 </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p>
          <w:p>
            <w:pPr>
              <w:pStyle w:val="TableParagraph"/>
              <w:spacing w:line="240" w:lineRule="auto" w:before="13"/>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9  </w:t>
            </w:r>
            <w:r>
              <w:rPr>
                <w:rFonts w:ascii="宋体" w:hAnsi="宋体" w:cs="宋体" w:eastAsia="宋体" w:hint="default"/>
                <w:sz w:val="18"/>
                <w:szCs w:val="18"/>
              </w:rPr>
              <w:t>月</w:t>
            </w:r>
            <w:r>
              <w:rPr>
                <w:rFonts w:ascii="宋体" w:hAnsi="宋体" w:cs="宋体" w:eastAsia="宋体" w:hint="default"/>
                <w:spacing w:val="6"/>
                <w:sz w:val="18"/>
                <w:szCs w:val="18"/>
              </w:rPr>
              <w:t> </w:t>
            </w:r>
            <w:r>
              <w:rPr>
                <w:rFonts w:ascii="Times New Roman" w:hAnsi="Times New Roman" w:cs="Times New Roman" w:eastAsia="Times New Roman" w:hint="default"/>
                <w:sz w:val="18"/>
                <w:szCs w:val="18"/>
              </w:rPr>
              <w:t>21</w:t>
            </w:r>
          </w:p>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5"/>
              <w:ind w:left="10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64" w:lineRule="auto"/>
              <w:ind w:left="105" w:right="192"/>
              <w:jc w:val="left"/>
              <w:rPr>
                <w:rFonts w:ascii="宋体" w:hAnsi="宋体" w:cs="宋体" w:eastAsia="宋体" w:hint="default"/>
                <w:sz w:val="18"/>
                <w:szCs w:val="18"/>
              </w:rPr>
            </w:pPr>
            <w:r>
              <w:rPr>
                <w:rFonts w:ascii="宋体" w:hAnsi="宋体" w:cs="宋体" w:eastAsia="宋体" w:hint="default"/>
                <w:sz w:val="18"/>
                <w:szCs w:val="18"/>
              </w:rPr>
              <w:t>正常履 行</w:t>
            </w:r>
          </w:p>
        </w:tc>
      </w:tr>
      <w:tr>
        <w:trPr>
          <w:trHeight w:val="255"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16" w:lineRule="exact"/>
              <w:ind w:left="103" w:right="0"/>
              <w:jc w:val="left"/>
              <w:rPr>
                <w:rFonts w:ascii="宋体" w:hAnsi="宋体" w:cs="宋体" w:eastAsia="宋体" w:hint="default"/>
                <w:sz w:val="18"/>
                <w:szCs w:val="18"/>
              </w:rPr>
            </w:pPr>
            <w:r>
              <w:rPr>
                <w:rFonts w:ascii="宋体" w:hAnsi="宋体" w:cs="宋体" w:eastAsia="宋体" w:hint="default"/>
                <w:sz w:val="18"/>
                <w:szCs w:val="18"/>
              </w:rPr>
              <w:t>承诺</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16" w:lineRule="exact"/>
              <w:ind w:left="105"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6" w:lineRule="exact"/>
              <w:ind w:left="105" w:right="0"/>
              <w:jc w:val="left"/>
              <w:rPr>
                <w:rFonts w:ascii="宋体" w:hAnsi="宋体" w:cs="宋体" w:eastAsia="宋体" w:hint="default"/>
                <w:sz w:val="18"/>
                <w:szCs w:val="18"/>
              </w:rPr>
            </w:pPr>
            <w:r>
              <w:rPr>
                <w:rFonts w:ascii="宋体" w:hAnsi="宋体" w:cs="宋体" w:eastAsia="宋体" w:hint="default"/>
                <w:sz w:val="18"/>
                <w:szCs w:val="18"/>
              </w:rPr>
              <w:t>司目前在安徽地区经营商品批发市场开发的地产项目，对于新建</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9"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或存在收购可能性的上述项目资源，将优先推荐给公司，公司具</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有优先选择权。</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105" w:right="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5</w:t>
            </w:r>
            <w:r>
              <w:rPr>
                <w:rFonts w:ascii="宋体" w:hAnsi="宋体" w:cs="宋体" w:eastAsia="宋体" w:hint="default"/>
                <w:spacing w:val="2"/>
                <w:sz w:val="18"/>
                <w:szCs w:val="18"/>
              </w:rPr>
              <w:t>、以公平、公开、公正的形式、通过合法程序解决存在的同业</w:t>
            </w:r>
            <w:r>
              <w:rPr>
                <w:rFonts w:ascii="宋体" w:hAnsi="宋体" w:cs="宋体" w:eastAsia="宋体" w:hint="default"/>
                <w:sz w:val="18"/>
                <w:szCs w:val="18"/>
              </w:rPr>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45" w:hRule="exact"/>
        </w:trPr>
        <w:tc>
          <w:tcPr>
            <w:tcW w:w="708" w:type="dxa"/>
            <w:tcBorders>
              <w:top w:val="nil" w:sz="6" w:space="0" w:color="auto"/>
              <w:left w:val="single" w:sz="4" w:space="0" w:color="000000"/>
              <w:bottom w:val="single" w:sz="4" w:space="0" w:color="000000"/>
              <w:right w:val="single" w:sz="4" w:space="0" w:color="000000"/>
            </w:tcBorders>
          </w:tcPr>
          <w:p>
            <w:pPr/>
          </w:p>
        </w:tc>
        <w:tc>
          <w:tcPr>
            <w:tcW w:w="852"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5245" w:type="dxa"/>
            <w:tcBorders>
              <w:top w:val="nil" w:sz="6" w:space="0" w:color="auto"/>
              <w:left w:val="single" w:sz="4" w:space="0" w:color="000000"/>
              <w:bottom w:val="single" w:sz="4" w:space="0" w:color="000000"/>
              <w:right w:val="single" w:sz="4" w:space="0" w:color="000000"/>
            </w:tcBorders>
          </w:tcPr>
          <w:p>
            <w:pPr>
              <w:pStyle w:val="TableParagraph"/>
              <w:spacing w:line="215" w:lineRule="exact"/>
              <w:ind w:left="105" w:right="0"/>
              <w:jc w:val="left"/>
              <w:rPr>
                <w:rFonts w:ascii="宋体" w:hAnsi="宋体" w:cs="宋体" w:eastAsia="宋体" w:hint="default"/>
                <w:sz w:val="18"/>
                <w:szCs w:val="18"/>
              </w:rPr>
            </w:pPr>
            <w:r>
              <w:rPr>
                <w:rFonts w:ascii="宋体" w:hAnsi="宋体" w:cs="宋体" w:eastAsia="宋体" w:hint="default"/>
                <w:sz w:val="18"/>
                <w:szCs w:val="18"/>
              </w:rPr>
              <w:t>竞争问题，且不会损害公司及其中小股东的利益。</w:t>
            </w:r>
          </w:p>
        </w:tc>
        <w:tc>
          <w:tcPr>
            <w:tcW w:w="852"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r>
    </w:tbl>
    <w:p>
      <w:pPr>
        <w:spacing w:after="0"/>
        <w:sectPr>
          <w:pgSz w:w="11910" w:h="16840"/>
          <w:pgMar w:header="880" w:footer="975" w:top="1100" w:bottom="1160" w:left="880" w:right="0"/>
        </w:sectPr>
      </w:pPr>
    </w:p>
    <w:p>
      <w:pPr>
        <w:spacing w:line="240" w:lineRule="auto" w:before="11"/>
        <w:rPr>
          <w:rFonts w:ascii="Times New Roman" w:hAnsi="Times New Roman" w:cs="Times New Roman" w:eastAsia="Times New Roman" w:hint="default"/>
          <w:sz w:val="27"/>
          <w:szCs w:val="27"/>
        </w:rPr>
      </w:pPr>
    </w:p>
    <w:tbl>
      <w:tblPr>
        <w:tblW w:w="0" w:type="auto"/>
        <w:jc w:val="left"/>
        <w:tblInd w:w="106" w:type="dxa"/>
        <w:tblLayout w:type="fixed"/>
        <w:tblCellMar>
          <w:top w:w="0" w:type="dxa"/>
          <w:left w:w="0" w:type="dxa"/>
          <w:bottom w:w="0" w:type="dxa"/>
          <w:right w:w="0" w:type="dxa"/>
        </w:tblCellMar>
        <w:tblLook w:val="01E0"/>
      </w:tblPr>
      <w:tblGrid>
        <w:gridCol w:w="708"/>
        <w:gridCol w:w="852"/>
        <w:gridCol w:w="354"/>
        <w:gridCol w:w="354"/>
        <w:gridCol w:w="5245"/>
        <w:gridCol w:w="852"/>
        <w:gridCol w:w="708"/>
        <w:gridCol w:w="850"/>
      </w:tblGrid>
      <w:tr>
        <w:trPr>
          <w:trHeight w:val="285" w:hRule="exact"/>
        </w:trPr>
        <w:tc>
          <w:tcPr>
            <w:tcW w:w="708" w:type="dxa"/>
            <w:tcBorders>
              <w:top w:val="single" w:sz="4" w:space="0" w:color="000000"/>
              <w:left w:val="single" w:sz="4" w:space="0" w:color="000000"/>
              <w:bottom w:val="nil" w:sz="6" w:space="0" w:color="auto"/>
              <w:right w:val="single" w:sz="4" w:space="0" w:color="000000"/>
            </w:tcBorders>
          </w:tcPr>
          <w:p>
            <w:pPr/>
          </w:p>
        </w:tc>
        <w:tc>
          <w:tcPr>
            <w:tcW w:w="852" w:type="dxa"/>
            <w:tcBorders>
              <w:top w:val="single" w:sz="4" w:space="0" w:color="000000"/>
              <w:left w:val="single" w:sz="4" w:space="0" w:color="000000"/>
              <w:bottom w:val="nil" w:sz="6" w:space="0" w:color="auto"/>
              <w:right w:val="single" w:sz="4" w:space="0" w:color="000000"/>
            </w:tcBorders>
          </w:tcPr>
          <w:p>
            <w:pPr/>
          </w:p>
        </w:tc>
        <w:tc>
          <w:tcPr>
            <w:tcW w:w="354" w:type="dxa"/>
            <w:tcBorders>
              <w:top w:val="single" w:sz="4" w:space="0" w:color="000000"/>
              <w:left w:val="single" w:sz="4" w:space="0" w:color="000000"/>
              <w:bottom w:val="nil" w:sz="6" w:space="0" w:color="auto"/>
              <w:right w:val="nil" w:sz="6" w:space="0" w:color="auto"/>
            </w:tcBorders>
          </w:tcPr>
          <w:p>
            <w:pPr/>
          </w:p>
        </w:tc>
        <w:tc>
          <w:tcPr>
            <w:tcW w:w="354" w:type="dxa"/>
            <w:tcBorders>
              <w:top w:val="single" w:sz="4" w:space="0" w:color="000000"/>
              <w:left w:val="nil" w:sz="6" w:space="0" w:color="auto"/>
              <w:bottom w:val="nil" w:sz="6" w:space="0" w:color="auto"/>
              <w:right w:val="single" w:sz="4" w:space="0" w:color="000000"/>
            </w:tcBorders>
          </w:tcPr>
          <w:p>
            <w:pPr/>
          </w:p>
        </w:tc>
        <w:tc>
          <w:tcPr>
            <w:tcW w:w="5245" w:type="dxa"/>
            <w:tcBorders>
              <w:top w:val="single" w:sz="4" w:space="0" w:color="000000"/>
              <w:left w:val="single" w:sz="4" w:space="0" w:color="000000"/>
              <w:bottom w:val="nil" w:sz="6" w:space="0" w:color="auto"/>
              <w:right w:val="single" w:sz="4" w:space="0" w:color="000000"/>
            </w:tcBorders>
          </w:tcPr>
          <w:p>
            <w:pPr>
              <w:pStyle w:val="TableParagraph"/>
              <w:spacing w:line="248" w:lineRule="exact"/>
              <w:ind w:left="105" w:right="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、避免同业竞争承诺：在公司经营区域内，不再新建或收购与</w:t>
            </w:r>
            <w:r>
              <w:rPr>
                <w:rFonts w:ascii="宋体" w:hAnsi="宋体" w:cs="宋体" w:eastAsia="宋体" w:hint="default"/>
                <w:sz w:val="18"/>
                <w:szCs w:val="18"/>
              </w:rPr>
            </w:r>
          </w:p>
        </w:tc>
        <w:tc>
          <w:tcPr>
            <w:tcW w:w="852"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r>
      <w:tr>
        <w:trPr>
          <w:trHeight w:val="256"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6" w:lineRule="exact"/>
              <w:ind w:left="105" w:right="0"/>
              <w:jc w:val="left"/>
              <w:rPr>
                <w:rFonts w:ascii="宋体" w:hAnsi="宋体" w:cs="宋体" w:eastAsia="宋体" w:hint="default"/>
                <w:sz w:val="18"/>
                <w:szCs w:val="18"/>
              </w:rPr>
            </w:pPr>
            <w:r>
              <w:rPr>
                <w:rFonts w:ascii="宋体" w:hAnsi="宋体" w:cs="宋体" w:eastAsia="宋体" w:hint="default"/>
                <w:sz w:val="18"/>
                <w:szCs w:val="18"/>
              </w:rPr>
              <w:t>其相同或类似的资产和业务，若未来公司经营区域内存在与其经</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4"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105" w:right="0"/>
              <w:jc w:val="left"/>
              <w:rPr>
                <w:rFonts w:ascii="宋体" w:hAnsi="宋体" w:cs="宋体" w:eastAsia="宋体" w:hint="default"/>
                <w:sz w:val="18"/>
                <w:szCs w:val="18"/>
              </w:rPr>
            </w:pPr>
            <w:r>
              <w:rPr>
                <w:rFonts w:ascii="宋体" w:hAnsi="宋体" w:cs="宋体" w:eastAsia="宋体" w:hint="default"/>
                <w:sz w:val="18"/>
                <w:szCs w:val="18"/>
              </w:rPr>
              <w:t>营业务相同或类似的商业机会，中兆投资</w:t>
            </w:r>
            <w:r>
              <w:rPr>
                <w:rFonts w:ascii="Times New Roman" w:hAnsi="Times New Roman" w:cs="Times New Roman" w:eastAsia="Times New Roman" w:hint="default"/>
                <w:sz w:val="18"/>
                <w:szCs w:val="18"/>
              </w:rPr>
              <w:t>(</w:t>
            </w:r>
            <w:r>
              <w:rPr>
                <w:rFonts w:ascii="宋体" w:hAnsi="宋体" w:cs="宋体" w:eastAsia="宋体" w:hint="default"/>
                <w:sz w:val="18"/>
                <w:szCs w:val="18"/>
              </w:rPr>
              <w:t>控制人本人</w:t>
            </w:r>
            <w:r>
              <w:rPr>
                <w:rFonts w:ascii="Times New Roman" w:hAnsi="Times New Roman" w:cs="Times New Roman" w:eastAsia="Times New Roman" w:hint="default"/>
                <w:sz w:val="18"/>
                <w:szCs w:val="18"/>
              </w:rPr>
              <w:t>)</w:t>
            </w:r>
            <w:r>
              <w:rPr>
                <w:rFonts w:ascii="宋体" w:hAnsi="宋体" w:cs="宋体" w:eastAsia="宋体" w:hint="default"/>
                <w:sz w:val="18"/>
                <w:szCs w:val="18"/>
              </w:rPr>
              <w:t>将优先推</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1820"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Times New Roman" w:hAnsi="Times New Roman" w:cs="Times New Roman" w:eastAsia="Times New Roman" w:hint="default"/>
                <w:sz w:val="24"/>
                <w:szCs w:val="24"/>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2012</w:t>
            </w:r>
          </w:p>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宋体" w:hAnsi="宋体" w:cs="宋体" w:eastAsia="宋体" w:hint="default"/>
                <w:sz w:val="18"/>
                <w:szCs w:val="18"/>
              </w:rPr>
              <w:t>重</w:t>
            </w:r>
          </w:p>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组</w:t>
            </w:r>
            <w:r>
              <w:rPr>
                <w:rFonts w:ascii="宋体" w:hAnsi="宋体" w:cs="宋体" w:eastAsia="宋体" w:hint="default"/>
                <w:spacing w:val="42"/>
                <w:sz w:val="18"/>
                <w:szCs w:val="18"/>
              </w:rPr>
              <w:t> </w:t>
            </w:r>
            <w:r>
              <w:rPr>
                <w:rFonts w:ascii="宋体" w:hAnsi="宋体" w:cs="宋体" w:eastAsia="宋体" w:hint="default"/>
                <w:sz w:val="18"/>
                <w:szCs w:val="18"/>
              </w:rPr>
              <w:t>时</w:t>
            </w:r>
          </w:p>
          <w:p>
            <w:pPr>
              <w:pStyle w:val="TableParagraph"/>
              <w:spacing w:line="264" w:lineRule="auto" w:before="26"/>
              <w:ind w:left="103" w:right="101"/>
              <w:jc w:val="left"/>
              <w:rPr>
                <w:rFonts w:ascii="宋体" w:hAnsi="宋体" w:cs="宋体" w:eastAsia="宋体" w:hint="default"/>
                <w:sz w:val="18"/>
                <w:szCs w:val="18"/>
              </w:rPr>
            </w:pPr>
            <w:r>
              <w:rPr>
                <w:rFonts w:ascii="宋体" w:hAnsi="宋体" w:cs="宋体" w:eastAsia="宋体" w:hint="default"/>
                <w:sz w:val="18"/>
                <w:szCs w:val="18"/>
              </w:rPr>
              <w:t>所</w:t>
            </w:r>
            <w:r>
              <w:rPr>
                <w:rFonts w:ascii="宋体" w:hAnsi="宋体" w:cs="宋体" w:eastAsia="宋体" w:hint="default"/>
                <w:spacing w:val="42"/>
                <w:sz w:val="18"/>
                <w:szCs w:val="18"/>
              </w:rPr>
              <w:t> </w:t>
            </w:r>
            <w:r>
              <w:rPr>
                <w:rFonts w:ascii="宋体" w:hAnsi="宋体" w:cs="宋体" w:eastAsia="宋体" w:hint="default"/>
                <w:sz w:val="18"/>
                <w:szCs w:val="18"/>
              </w:rPr>
              <w:t>作</w:t>
            </w:r>
            <w:r>
              <w:rPr>
                <w:rFonts w:ascii="宋体" w:hAnsi="宋体" w:cs="宋体" w:eastAsia="宋体" w:hint="default"/>
                <w:sz w:val="18"/>
                <w:szCs w:val="18"/>
              </w:rPr>
              <w:t> 承诺</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64" w:lineRule="auto" w:before="108"/>
              <w:ind w:left="105" w:right="50"/>
              <w:jc w:val="both"/>
              <w:rPr>
                <w:rFonts w:ascii="宋体" w:hAnsi="宋体" w:cs="宋体" w:eastAsia="宋体" w:hint="default"/>
                <w:sz w:val="18"/>
                <w:szCs w:val="18"/>
              </w:rPr>
            </w:pPr>
            <w:r>
              <w:rPr>
                <w:rFonts w:ascii="宋体" w:hAnsi="宋体" w:cs="宋体" w:eastAsia="宋体" w:hint="default"/>
                <w:spacing w:val="32"/>
                <w:sz w:val="18"/>
                <w:szCs w:val="18"/>
              </w:rPr>
              <w:t>中兆投</w:t>
            </w:r>
            <w:r>
              <w:rPr>
                <w:rFonts w:ascii="宋体" w:hAnsi="宋体" w:cs="宋体" w:eastAsia="宋体" w:hint="default"/>
                <w:spacing w:val="-42"/>
                <w:sz w:val="18"/>
                <w:szCs w:val="18"/>
              </w:rPr>
              <w:t> </w:t>
            </w:r>
            <w:r>
              <w:rPr>
                <w:rFonts w:ascii="宋体" w:hAnsi="宋体" w:cs="宋体" w:eastAsia="宋体" w:hint="default"/>
                <w:spacing w:val="32"/>
                <w:sz w:val="18"/>
                <w:szCs w:val="18"/>
              </w:rPr>
              <w:t>资及公</w:t>
            </w:r>
            <w:r>
              <w:rPr>
                <w:rFonts w:ascii="宋体" w:hAnsi="宋体" w:cs="宋体" w:eastAsia="宋体" w:hint="default"/>
                <w:spacing w:val="-42"/>
                <w:sz w:val="18"/>
                <w:szCs w:val="18"/>
              </w:rPr>
              <w:t> </w:t>
            </w:r>
            <w:r>
              <w:rPr>
                <w:rFonts w:ascii="宋体" w:hAnsi="宋体" w:cs="宋体" w:eastAsia="宋体" w:hint="default"/>
                <w:spacing w:val="32"/>
                <w:sz w:val="18"/>
                <w:szCs w:val="18"/>
              </w:rPr>
              <w:t>司原实</w:t>
            </w:r>
            <w:r>
              <w:rPr>
                <w:rFonts w:ascii="宋体" w:hAnsi="宋体" w:cs="宋体" w:eastAsia="宋体" w:hint="default"/>
                <w:spacing w:val="-42"/>
                <w:sz w:val="18"/>
                <w:szCs w:val="18"/>
              </w:rPr>
              <w:t> </w:t>
            </w:r>
            <w:r>
              <w:rPr>
                <w:rFonts w:ascii="宋体" w:hAnsi="宋体" w:cs="宋体" w:eastAsia="宋体" w:hint="default"/>
                <w:spacing w:val="32"/>
                <w:sz w:val="18"/>
                <w:szCs w:val="18"/>
              </w:rPr>
              <w:t>际控制</w:t>
            </w:r>
            <w:r>
              <w:rPr>
                <w:rFonts w:ascii="宋体" w:hAnsi="宋体" w:cs="宋体" w:eastAsia="宋体" w:hint="default"/>
                <w:spacing w:val="-42"/>
                <w:sz w:val="18"/>
                <w:szCs w:val="18"/>
              </w:rPr>
              <w:t> </w:t>
            </w:r>
            <w:r>
              <w:rPr>
                <w:rFonts w:ascii="宋体" w:hAnsi="宋体" w:cs="宋体" w:eastAsia="宋体" w:hint="default"/>
                <w:spacing w:val="32"/>
                <w:sz w:val="18"/>
                <w:szCs w:val="18"/>
              </w:rPr>
              <w:t>人黄茂</w:t>
            </w:r>
            <w:r>
              <w:rPr>
                <w:rFonts w:ascii="宋体" w:hAnsi="宋体" w:cs="宋体" w:eastAsia="宋体" w:hint="default"/>
                <w:spacing w:val="-42"/>
                <w:sz w:val="18"/>
                <w:szCs w:val="18"/>
              </w:rPr>
              <w:t> </w:t>
            </w:r>
            <w:r>
              <w:rPr>
                <w:rFonts w:ascii="宋体" w:hAnsi="宋体" w:cs="宋体" w:eastAsia="宋体" w:hint="default"/>
                <w:sz w:val="18"/>
                <w:szCs w:val="18"/>
              </w:rPr>
              <w:t>如先生</w:t>
            </w:r>
          </w:p>
        </w:tc>
        <w:tc>
          <w:tcPr>
            <w:tcW w:w="354"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5"/>
                <w:szCs w:val="25"/>
              </w:rPr>
            </w:pPr>
          </w:p>
          <w:p>
            <w:pPr>
              <w:pStyle w:val="TableParagraph"/>
              <w:spacing w:line="266" w:lineRule="auto"/>
              <w:ind w:left="103" w:right="65"/>
              <w:jc w:val="both"/>
              <w:rPr>
                <w:rFonts w:ascii="宋体" w:hAnsi="宋体" w:cs="宋体" w:eastAsia="宋体" w:hint="default"/>
                <w:sz w:val="18"/>
                <w:szCs w:val="18"/>
              </w:rPr>
            </w:pPr>
            <w:r>
              <w:rPr>
                <w:rFonts w:ascii="宋体" w:hAnsi="宋体" w:cs="宋体" w:eastAsia="宋体" w:hint="default"/>
                <w:sz w:val="18"/>
                <w:szCs w:val="18"/>
              </w:rPr>
              <w:t>无 定 限</w:t>
            </w:r>
          </w:p>
        </w:tc>
        <w:tc>
          <w:tcPr>
            <w:tcW w:w="354"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5"/>
                <w:szCs w:val="25"/>
              </w:rPr>
            </w:pPr>
          </w:p>
          <w:p>
            <w:pPr>
              <w:pStyle w:val="TableParagraph"/>
              <w:spacing w:line="264" w:lineRule="auto"/>
              <w:ind w:left="66" w:right="101"/>
              <w:jc w:val="left"/>
              <w:rPr>
                <w:rFonts w:ascii="宋体" w:hAnsi="宋体" w:cs="宋体" w:eastAsia="宋体" w:hint="default"/>
                <w:sz w:val="18"/>
                <w:szCs w:val="18"/>
              </w:rPr>
            </w:pPr>
            <w:r>
              <w:rPr>
                <w:rFonts w:ascii="宋体" w:hAnsi="宋体" w:cs="宋体" w:eastAsia="宋体" w:hint="default"/>
                <w:sz w:val="18"/>
                <w:szCs w:val="18"/>
              </w:rPr>
              <w:t>固 期</w:t>
            </w: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105" w:right="0"/>
              <w:jc w:val="left"/>
              <w:rPr>
                <w:rFonts w:ascii="宋体" w:hAnsi="宋体" w:cs="宋体" w:eastAsia="宋体" w:hint="default"/>
                <w:sz w:val="18"/>
                <w:szCs w:val="18"/>
              </w:rPr>
            </w:pPr>
            <w:r>
              <w:rPr>
                <w:rFonts w:ascii="宋体" w:hAnsi="宋体" w:cs="宋体" w:eastAsia="宋体" w:hint="default"/>
                <w:sz w:val="18"/>
                <w:szCs w:val="18"/>
              </w:rPr>
              <w:t>荐给本公司，本公司具有优先选择权。</w:t>
            </w:r>
          </w:p>
          <w:p>
            <w:pPr>
              <w:pStyle w:val="TableParagraph"/>
              <w:spacing w:line="256" w:lineRule="auto" w:before="26"/>
              <w:ind w:left="105" w:right="8"/>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、规范关联交易承诺：</w:t>
            </w:r>
            <w:r>
              <w:rPr>
                <w:rFonts w:ascii="Times New Roman" w:hAnsi="Times New Roman" w:cs="Times New Roman" w:eastAsia="Times New Roman" w:hint="default"/>
                <w:spacing w:val="-3"/>
                <w:sz w:val="18"/>
                <w:szCs w:val="18"/>
              </w:rPr>
              <w:t>(1)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不利用自身对公司的大股东地位及控 </w:t>
            </w:r>
            <w:r>
              <w:rPr>
                <w:rFonts w:ascii="宋体" w:hAnsi="宋体" w:cs="宋体" w:eastAsia="宋体" w:hint="default"/>
                <w:spacing w:val="5"/>
                <w:sz w:val="18"/>
                <w:szCs w:val="18"/>
              </w:rPr>
              <w:t>制性影响谋求本公司及其子公司在业务合作等方面优于市场第</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三方的权利、优先达成交易的权利；</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40"/>
                <w:sz w:val="18"/>
                <w:szCs w:val="18"/>
              </w:rPr>
              <w:t> </w:t>
            </w:r>
            <w:r>
              <w:rPr>
                <w:rFonts w:ascii="宋体" w:hAnsi="宋体" w:cs="宋体" w:eastAsia="宋体" w:hint="default"/>
                <w:sz w:val="18"/>
                <w:szCs w:val="18"/>
              </w:rPr>
              <w:t>不以低于</w:t>
            </w:r>
            <w:r>
              <w:rPr>
                <w:rFonts w:ascii="Times New Roman" w:hAnsi="Times New Roman" w:cs="Times New Roman" w:eastAsia="Times New Roman" w:hint="default"/>
                <w:sz w:val="18"/>
                <w:szCs w:val="18"/>
              </w:rPr>
              <w:t>[</w:t>
            </w:r>
            <w:r>
              <w:rPr>
                <w:rFonts w:ascii="宋体" w:hAnsi="宋体" w:cs="宋体" w:eastAsia="宋体" w:hint="default"/>
                <w:sz w:val="18"/>
                <w:szCs w:val="18"/>
              </w:rPr>
              <w:t>如本公司为买 </w:t>
            </w:r>
            <w:r>
              <w:rPr>
                <w:rFonts w:ascii="宋体" w:hAnsi="宋体" w:cs="宋体" w:eastAsia="宋体" w:hint="default"/>
                <w:spacing w:val="-6"/>
                <w:sz w:val="18"/>
                <w:szCs w:val="18"/>
              </w:rPr>
              <w:t>方则“不以高于”</w:t>
            </w:r>
            <w:r>
              <w:rPr>
                <w:rFonts w:ascii="Times New Roman" w:hAnsi="Times New Roman" w:cs="Times New Roman" w:eastAsia="Times New Roman" w:hint="default"/>
                <w:spacing w:val="-6"/>
                <w:sz w:val="18"/>
                <w:szCs w:val="18"/>
              </w:rPr>
              <w:t>]</w:t>
            </w:r>
            <w:r>
              <w:rPr>
                <w:rFonts w:ascii="宋体" w:hAnsi="宋体" w:cs="宋体" w:eastAsia="宋体" w:hint="default"/>
                <w:spacing w:val="-6"/>
                <w:sz w:val="18"/>
                <w:szCs w:val="18"/>
              </w:rPr>
              <w:t>市场价格的条件与本公司及其子公司进行交易，</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pacing w:val="5"/>
                <w:sz w:val="18"/>
                <w:szCs w:val="18"/>
              </w:rPr>
              <w:t>亦不利用该类交易从事任何损害上市公司及其子公司利益的行</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为；</w:t>
            </w:r>
            <w:r>
              <w:rPr>
                <w:rFonts w:ascii="Times New Roman" w:hAnsi="Times New Roman" w:cs="Times New Roman" w:eastAsia="Times New Roman" w:hint="default"/>
                <w:sz w:val="18"/>
                <w:szCs w:val="18"/>
              </w:rPr>
              <w:t>(3) </w:t>
            </w:r>
            <w:r>
              <w:rPr>
                <w:rFonts w:ascii="Times New Roman" w:hAnsi="Times New Roman" w:cs="Times New Roman" w:eastAsia="Times New Roman" w:hint="default"/>
                <w:spacing w:val="40"/>
                <w:sz w:val="18"/>
                <w:szCs w:val="18"/>
              </w:rPr>
              <w:t> </w:t>
            </w:r>
            <w:r>
              <w:rPr>
                <w:rFonts w:ascii="宋体" w:hAnsi="宋体" w:cs="宋体" w:eastAsia="宋体" w:hint="default"/>
                <w:sz w:val="18"/>
                <w:szCs w:val="18"/>
              </w:rPr>
              <w:t>对于无法避免或有合理理由存在的关联交易，将依法合</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5"/>
                <w:szCs w:val="25"/>
              </w:rPr>
            </w:pPr>
          </w:p>
          <w:p>
            <w:pPr>
              <w:pStyle w:val="TableParagraph"/>
              <w:spacing w:line="240" w:lineRule="auto"/>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 </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p>
          <w:p>
            <w:pPr>
              <w:pStyle w:val="TableParagraph"/>
              <w:spacing w:line="240" w:lineRule="auto" w:before="10"/>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3"/>
                <w:sz w:val="18"/>
                <w:szCs w:val="18"/>
              </w:rPr>
              <w:t>11 </w:t>
            </w:r>
            <w:r>
              <w:rPr>
                <w:rFonts w:ascii="宋体" w:hAnsi="宋体" w:cs="宋体" w:eastAsia="宋体" w:hint="default"/>
                <w:sz w:val="18"/>
                <w:szCs w:val="18"/>
              </w:rPr>
              <w:t>月</w:t>
            </w:r>
            <w:r>
              <w:rPr>
                <w:rFonts w:ascii="宋体" w:hAnsi="宋体" w:cs="宋体" w:eastAsia="宋体" w:hint="default"/>
                <w:spacing w:val="-29"/>
                <w:sz w:val="18"/>
                <w:szCs w:val="18"/>
              </w:rPr>
              <w:t> </w:t>
            </w:r>
            <w:r>
              <w:rPr>
                <w:rFonts w:ascii="Times New Roman" w:hAnsi="Times New Roman" w:cs="Times New Roman" w:eastAsia="Times New Roman" w:hint="default"/>
                <w:sz w:val="18"/>
                <w:szCs w:val="18"/>
              </w:rPr>
              <w:t>10</w:t>
            </w:r>
          </w:p>
          <w:p>
            <w:pPr>
              <w:pStyle w:val="TableParagraph"/>
              <w:spacing w:line="240" w:lineRule="auto" w:before="12"/>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8"/>
              <w:ind w:left="10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18"/>
                <w:szCs w:val="18"/>
              </w:rPr>
            </w:pPr>
          </w:p>
          <w:p>
            <w:pPr>
              <w:pStyle w:val="TableParagraph"/>
              <w:spacing w:line="264" w:lineRule="auto"/>
              <w:ind w:left="105" w:right="192"/>
              <w:jc w:val="left"/>
              <w:rPr>
                <w:rFonts w:ascii="宋体" w:hAnsi="宋体" w:cs="宋体" w:eastAsia="宋体" w:hint="default"/>
                <w:sz w:val="18"/>
                <w:szCs w:val="18"/>
              </w:rPr>
            </w:pPr>
            <w:r>
              <w:rPr>
                <w:rFonts w:ascii="宋体" w:hAnsi="宋体" w:cs="宋体" w:eastAsia="宋体" w:hint="default"/>
                <w:sz w:val="18"/>
                <w:szCs w:val="18"/>
              </w:rPr>
              <w:t>遵守了 承诺</w:t>
            </w:r>
          </w:p>
        </w:tc>
      </w:tr>
      <w:tr>
        <w:trPr>
          <w:trHeight w:val="25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6" w:lineRule="exact"/>
              <w:ind w:left="105" w:right="0"/>
              <w:jc w:val="left"/>
              <w:rPr>
                <w:rFonts w:ascii="宋体" w:hAnsi="宋体" w:cs="宋体" w:eastAsia="宋体" w:hint="default"/>
                <w:sz w:val="18"/>
                <w:szCs w:val="18"/>
              </w:rPr>
            </w:pPr>
            <w:r>
              <w:rPr>
                <w:rFonts w:ascii="宋体" w:hAnsi="宋体" w:cs="宋体" w:eastAsia="宋体" w:hint="default"/>
                <w:sz w:val="18"/>
                <w:szCs w:val="18"/>
              </w:rPr>
              <w:t>规签订协议，履行批准程序和信息披露义务，依照与无关联关系</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9"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的独立第三方进行相同或相似交易时的价格确定关联交易价格，</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2" w:hRule="exact"/>
        </w:trPr>
        <w:tc>
          <w:tcPr>
            <w:tcW w:w="708" w:type="dxa"/>
            <w:tcBorders>
              <w:top w:val="nil" w:sz="6" w:space="0" w:color="auto"/>
              <w:left w:val="single" w:sz="4" w:space="0" w:color="000000"/>
              <w:bottom w:val="single" w:sz="4" w:space="0" w:color="000000"/>
              <w:right w:val="single" w:sz="4" w:space="0" w:color="000000"/>
            </w:tcBorders>
          </w:tcPr>
          <w:p>
            <w:pPr/>
          </w:p>
        </w:tc>
        <w:tc>
          <w:tcPr>
            <w:tcW w:w="852" w:type="dxa"/>
            <w:tcBorders>
              <w:top w:val="nil" w:sz="6" w:space="0" w:color="auto"/>
              <w:left w:val="single" w:sz="4" w:space="0" w:color="000000"/>
              <w:bottom w:val="single" w:sz="4" w:space="0" w:color="000000"/>
              <w:right w:val="single" w:sz="4" w:space="0" w:color="000000"/>
            </w:tcBorders>
          </w:tcPr>
          <w:p>
            <w:pPr/>
          </w:p>
        </w:tc>
        <w:tc>
          <w:tcPr>
            <w:tcW w:w="354" w:type="dxa"/>
            <w:tcBorders>
              <w:top w:val="nil" w:sz="6" w:space="0" w:color="auto"/>
              <w:left w:val="single" w:sz="4" w:space="0" w:color="000000"/>
              <w:bottom w:val="single" w:sz="4" w:space="0" w:color="000000"/>
              <w:right w:val="nil" w:sz="6" w:space="0" w:color="auto"/>
            </w:tcBorders>
          </w:tcPr>
          <w:p>
            <w:pPr/>
          </w:p>
        </w:tc>
        <w:tc>
          <w:tcPr>
            <w:tcW w:w="354" w:type="dxa"/>
            <w:tcBorders>
              <w:top w:val="nil" w:sz="6" w:space="0" w:color="auto"/>
              <w:left w:val="nil" w:sz="6" w:space="0" w:color="auto"/>
              <w:bottom w:val="single" w:sz="4" w:space="0" w:color="000000"/>
              <w:right w:val="single" w:sz="4" w:space="0" w:color="000000"/>
            </w:tcBorders>
          </w:tcPr>
          <w:p>
            <w:pPr/>
          </w:p>
        </w:tc>
        <w:tc>
          <w:tcPr>
            <w:tcW w:w="5245" w:type="dxa"/>
            <w:tcBorders>
              <w:top w:val="nil" w:sz="6" w:space="0" w:color="auto"/>
              <w:left w:val="single" w:sz="4" w:space="0" w:color="000000"/>
              <w:bottom w:val="single" w:sz="4" w:space="0" w:color="000000"/>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保证关联交易价格具有公允性。</w:t>
            </w:r>
          </w:p>
        </w:tc>
        <w:tc>
          <w:tcPr>
            <w:tcW w:w="852"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r>
      <w:tr>
        <w:trPr>
          <w:trHeight w:val="279" w:hRule="exact"/>
        </w:trPr>
        <w:tc>
          <w:tcPr>
            <w:tcW w:w="708" w:type="dxa"/>
            <w:tcBorders>
              <w:top w:val="single" w:sz="4" w:space="0" w:color="000000"/>
              <w:left w:val="single" w:sz="4" w:space="0" w:color="000000"/>
              <w:bottom w:val="nil" w:sz="6" w:space="0" w:color="auto"/>
              <w:right w:val="single" w:sz="4" w:space="0" w:color="000000"/>
            </w:tcBorders>
          </w:tcPr>
          <w:p>
            <w:pPr/>
          </w:p>
        </w:tc>
        <w:tc>
          <w:tcPr>
            <w:tcW w:w="852" w:type="dxa"/>
            <w:tcBorders>
              <w:top w:val="single" w:sz="4" w:space="0" w:color="000000"/>
              <w:left w:val="single" w:sz="4" w:space="0" w:color="000000"/>
              <w:bottom w:val="nil" w:sz="6" w:space="0" w:color="auto"/>
              <w:right w:val="single" w:sz="4" w:space="0" w:color="000000"/>
            </w:tcBorders>
          </w:tcPr>
          <w:p>
            <w:pPr/>
          </w:p>
        </w:tc>
        <w:tc>
          <w:tcPr>
            <w:tcW w:w="354" w:type="dxa"/>
            <w:tcBorders>
              <w:top w:val="single" w:sz="4" w:space="0" w:color="000000"/>
              <w:left w:val="single" w:sz="4" w:space="0" w:color="000000"/>
              <w:bottom w:val="nil" w:sz="6" w:space="0" w:color="auto"/>
              <w:right w:val="nil" w:sz="6" w:space="0" w:color="auto"/>
            </w:tcBorders>
          </w:tcPr>
          <w:p>
            <w:pPr/>
          </w:p>
        </w:tc>
        <w:tc>
          <w:tcPr>
            <w:tcW w:w="354" w:type="dxa"/>
            <w:tcBorders>
              <w:top w:val="single" w:sz="4" w:space="0" w:color="000000"/>
              <w:left w:val="nil" w:sz="6" w:space="0" w:color="auto"/>
              <w:bottom w:val="nil" w:sz="6" w:space="0" w:color="auto"/>
              <w:right w:val="single" w:sz="4" w:space="0" w:color="000000"/>
            </w:tcBorders>
          </w:tcPr>
          <w:p>
            <w:pPr/>
          </w:p>
        </w:tc>
        <w:tc>
          <w:tcPr>
            <w:tcW w:w="5245" w:type="dxa"/>
            <w:tcBorders>
              <w:top w:val="single" w:sz="4" w:space="0" w:color="000000"/>
              <w:left w:val="single" w:sz="4" w:space="0" w:color="000000"/>
              <w:bottom w:val="nil" w:sz="6" w:space="0" w:color="auto"/>
              <w:right w:val="single" w:sz="4" w:space="0" w:color="000000"/>
            </w:tcBorders>
          </w:tcPr>
          <w:p>
            <w:pPr>
              <w:pStyle w:val="TableParagraph"/>
              <w:spacing w:line="234" w:lineRule="exact"/>
              <w:ind w:left="105" w:right="0"/>
              <w:jc w:val="left"/>
              <w:rPr>
                <w:rFonts w:ascii="宋体" w:hAnsi="宋体" w:cs="宋体" w:eastAsia="宋体" w:hint="default"/>
                <w:sz w:val="18"/>
                <w:szCs w:val="18"/>
              </w:rPr>
            </w:pPr>
            <w:r>
              <w:rPr>
                <w:rFonts w:ascii="宋体" w:hAnsi="宋体" w:cs="宋体" w:eastAsia="宋体" w:hint="default"/>
                <w:sz w:val="18"/>
                <w:szCs w:val="18"/>
              </w:rPr>
              <w:t>保证本公司独立性的承诺：</w:t>
            </w:r>
          </w:p>
        </w:tc>
        <w:tc>
          <w:tcPr>
            <w:tcW w:w="852"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r>
      <w:tr>
        <w:trPr>
          <w:trHeight w:val="264"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、保证本公司人员独立</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1"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8" w:lineRule="exact"/>
              <w:ind w:left="105" w:right="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保证本公司生产经营与行政管理</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包括劳动、人事及工资管理</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1"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0" w:lineRule="exact"/>
              <w:ind w:left="105" w:right="0"/>
              <w:jc w:val="left"/>
              <w:rPr>
                <w:rFonts w:ascii="宋体" w:hAnsi="宋体" w:cs="宋体" w:eastAsia="宋体" w:hint="default"/>
                <w:sz w:val="18"/>
                <w:szCs w:val="18"/>
              </w:rPr>
            </w:pPr>
            <w:r>
              <w:rPr>
                <w:rFonts w:ascii="宋体" w:hAnsi="宋体" w:cs="宋体" w:eastAsia="宋体" w:hint="default"/>
                <w:sz w:val="18"/>
                <w:szCs w:val="18"/>
              </w:rPr>
              <w:t>等</w:t>
            </w:r>
            <w:r>
              <w:rPr>
                <w:rFonts w:ascii="Times New Roman" w:hAnsi="Times New Roman" w:cs="Times New Roman" w:eastAsia="Times New Roman" w:hint="default"/>
                <w:sz w:val="18"/>
                <w:szCs w:val="18"/>
              </w:rPr>
              <w:t>)</w:t>
            </w:r>
            <w:r>
              <w:rPr>
                <w:rFonts w:ascii="宋体" w:hAnsi="宋体" w:cs="宋体" w:eastAsia="宋体" w:hint="default"/>
                <w:sz w:val="18"/>
                <w:szCs w:val="18"/>
              </w:rPr>
              <w:t>完全独立于中兆投资</w:t>
            </w:r>
            <w:r>
              <w:rPr>
                <w:rFonts w:ascii="宋体" w:hAnsi="宋体" w:cs="宋体" w:eastAsia="宋体" w:hint="default"/>
                <w:spacing w:val="-82"/>
                <w:sz w:val="18"/>
                <w:szCs w:val="18"/>
              </w:rPr>
              <w:t>、</w:t>
            </w:r>
            <w:r>
              <w:rPr>
                <w:rFonts w:ascii="宋体" w:hAnsi="宋体" w:cs="宋体" w:eastAsia="宋体" w:hint="default"/>
                <w:sz w:val="18"/>
                <w:szCs w:val="18"/>
              </w:rPr>
              <w:t>黄茂如先生及其控制的其他公司</w:t>
            </w:r>
            <w:r>
              <w:rPr>
                <w:rFonts w:ascii="宋体" w:hAnsi="宋体" w:cs="宋体" w:eastAsia="宋体" w:hint="default"/>
                <w:spacing w:val="-82"/>
                <w:sz w:val="18"/>
                <w:szCs w:val="18"/>
              </w:rPr>
              <w:t>、</w:t>
            </w:r>
            <w:r>
              <w:rPr>
                <w:rFonts w:ascii="宋体" w:hAnsi="宋体" w:cs="宋体" w:eastAsia="宋体" w:hint="default"/>
                <w:sz w:val="18"/>
                <w:szCs w:val="18"/>
              </w:rPr>
              <w:t>企业。</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9"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8" w:lineRule="exact"/>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保证本公司总经理、副总经理、财务负责人、营销负责人、董</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105" w:right="0"/>
              <w:jc w:val="left"/>
              <w:rPr>
                <w:rFonts w:ascii="宋体" w:hAnsi="宋体" w:cs="宋体" w:eastAsia="宋体" w:hint="default"/>
                <w:sz w:val="18"/>
                <w:szCs w:val="18"/>
              </w:rPr>
            </w:pPr>
            <w:r>
              <w:rPr>
                <w:rFonts w:ascii="宋体" w:hAnsi="宋体" w:cs="宋体" w:eastAsia="宋体" w:hint="default"/>
                <w:sz w:val="18"/>
                <w:szCs w:val="18"/>
              </w:rPr>
              <w:t>事会秘书等高级管理人员专职在公司工作、并在公司领取薪酬，</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105" w:right="0"/>
              <w:jc w:val="left"/>
              <w:rPr>
                <w:rFonts w:ascii="宋体" w:hAnsi="宋体" w:cs="宋体" w:eastAsia="宋体" w:hint="default"/>
                <w:sz w:val="18"/>
                <w:szCs w:val="18"/>
              </w:rPr>
            </w:pPr>
            <w:r>
              <w:rPr>
                <w:rFonts w:ascii="宋体" w:hAnsi="宋体" w:cs="宋体" w:eastAsia="宋体" w:hint="default"/>
                <w:sz w:val="18"/>
                <w:szCs w:val="18"/>
              </w:rPr>
              <w:t>不在中兆投资及中兆投资、黄茂如先生控制的其他公司、企业兼</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9"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职担任高级管理人员。</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保证中兆投资、黄茂如先生推荐出任本公司董事、监事和高级</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6" w:lineRule="exact"/>
              <w:ind w:left="105" w:right="0"/>
              <w:jc w:val="left"/>
              <w:rPr>
                <w:rFonts w:ascii="宋体" w:hAnsi="宋体" w:cs="宋体" w:eastAsia="宋体" w:hint="default"/>
                <w:sz w:val="18"/>
                <w:szCs w:val="18"/>
              </w:rPr>
            </w:pPr>
            <w:r>
              <w:rPr>
                <w:rFonts w:ascii="宋体" w:hAnsi="宋体" w:cs="宋体" w:eastAsia="宋体" w:hint="default"/>
                <w:sz w:val="18"/>
                <w:szCs w:val="18"/>
              </w:rPr>
              <w:t>管理人员的人选均通过合法程序进行，中兆投资、黄茂如先生不</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9"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干预本公司董事会和股东大会做出的人事任免决定。</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、保证本公司财务独立</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9" w:lineRule="exact"/>
              <w:ind w:left="105" w:right="0"/>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(1)</w:t>
            </w:r>
            <w:r>
              <w:rPr>
                <w:rFonts w:ascii="宋体" w:hAnsi="宋体" w:cs="宋体" w:eastAsia="宋体" w:hint="default"/>
                <w:spacing w:val="4"/>
                <w:sz w:val="18"/>
                <w:szCs w:val="18"/>
              </w:rPr>
              <w:t>保证本公司设置独立的财务会计部门和拥有独立的财务核算</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105" w:right="0"/>
              <w:jc w:val="left"/>
              <w:rPr>
                <w:rFonts w:ascii="宋体" w:hAnsi="宋体" w:cs="宋体" w:eastAsia="宋体" w:hint="default"/>
                <w:sz w:val="18"/>
                <w:szCs w:val="18"/>
              </w:rPr>
            </w:pPr>
            <w:r>
              <w:rPr>
                <w:rFonts w:ascii="宋体" w:hAnsi="宋体" w:cs="宋体" w:eastAsia="宋体" w:hint="default"/>
                <w:sz w:val="18"/>
                <w:szCs w:val="18"/>
              </w:rPr>
              <w:t>体系和财务管理制度。</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保证本公司在财务决策方面保持独立，中兆投资、黄茂如先生</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6" w:lineRule="exact"/>
              <w:ind w:left="105" w:right="0"/>
              <w:jc w:val="left"/>
              <w:rPr>
                <w:rFonts w:ascii="宋体" w:hAnsi="宋体" w:cs="宋体" w:eastAsia="宋体" w:hint="default"/>
                <w:sz w:val="18"/>
                <w:szCs w:val="18"/>
              </w:rPr>
            </w:pPr>
            <w:r>
              <w:rPr>
                <w:rFonts w:ascii="宋体" w:hAnsi="宋体" w:cs="宋体" w:eastAsia="宋体" w:hint="default"/>
                <w:sz w:val="18"/>
                <w:szCs w:val="18"/>
              </w:rPr>
              <w:t>及其控制的其他公司、企业不干涉本公司的资金使用。</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4"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保证本公司保持自己独立的银行账户，不与中兆投资、黄茂如</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1555"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153"/>
              <w:ind w:left="103" w:right="0"/>
              <w:jc w:val="left"/>
              <w:rPr>
                <w:rFonts w:ascii="Times New Roman" w:hAnsi="Times New Roman" w:cs="Times New Roman" w:eastAsia="Times New Roman" w:hint="default"/>
                <w:sz w:val="18"/>
                <w:szCs w:val="18"/>
              </w:rPr>
            </w:pPr>
            <w:r>
              <w:rPr>
                <w:rFonts w:ascii="Times New Roman"/>
                <w:sz w:val="18"/>
              </w:rPr>
              <w:t>2012</w:t>
            </w:r>
          </w:p>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宋体" w:hAnsi="宋体" w:cs="宋体" w:eastAsia="宋体" w:hint="default"/>
                <w:sz w:val="18"/>
                <w:szCs w:val="18"/>
              </w:rPr>
              <w:t>重</w:t>
            </w:r>
          </w:p>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组</w:t>
            </w:r>
            <w:r>
              <w:rPr>
                <w:rFonts w:ascii="宋体" w:hAnsi="宋体" w:cs="宋体" w:eastAsia="宋体" w:hint="default"/>
                <w:spacing w:val="42"/>
                <w:sz w:val="18"/>
                <w:szCs w:val="18"/>
              </w:rPr>
              <w:t> </w:t>
            </w:r>
            <w:r>
              <w:rPr>
                <w:rFonts w:ascii="宋体" w:hAnsi="宋体" w:cs="宋体" w:eastAsia="宋体" w:hint="default"/>
                <w:sz w:val="18"/>
                <w:szCs w:val="18"/>
              </w:rPr>
              <w:t>时</w:t>
            </w:r>
          </w:p>
          <w:p>
            <w:pPr>
              <w:pStyle w:val="TableParagraph"/>
              <w:spacing w:line="264" w:lineRule="auto" w:before="26"/>
              <w:ind w:left="103" w:right="101"/>
              <w:jc w:val="left"/>
              <w:rPr>
                <w:rFonts w:ascii="宋体" w:hAnsi="宋体" w:cs="宋体" w:eastAsia="宋体" w:hint="default"/>
                <w:sz w:val="18"/>
                <w:szCs w:val="18"/>
              </w:rPr>
            </w:pPr>
            <w:r>
              <w:rPr>
                <w:rFonts w:ascii="宋体" w:hAnsi="宋体" w:cs="宋体" w:eastAsia="宋体" w:hint="default"/>
                <w:sz w:val="18"/>
                <w:szCs w:val="18"/>
              </w:rPr>
              <w:t>所</w:t>
            </w:r>
            <w:r>
              <w:rPr>
                <w:rFonts w:ascii="宋体" w:hAnsi="宋体" w:cs="宋体" w:eastAsia="宋体" w:hint="default"/>
                <w:spacing w:val="42"/>
                <w:sz w:val="18"/>
                <w:szCs w:val="18"/>
              </w:rPr>
              <w:t> </w:t>
            </w:r>
            <w:r>
              <w:rPr>
                <w:rFonts w:ascii="宋体" w:hAnsi="宋体" w:cs="宋体" w:eastAsia="宋体" w:hint="default"/>
                <w:sz w:val="18"/>
                <w:szCs w:val="18"/>
              </w:rPr>
              <w:t>作</w:t>
            </w:r>
            <w:r>
              <w:rPr>
                <w:rFonts w:ascii="宋体" w:hAnsi="宋体" w:cs="宋体" w:eastAsia="宋体" w:hint="default"/>
                <w:sz w:val="18"/>
                <w:szCs w:val="18"/>
              </w:rPr>
              <w:t> 承诺</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105" w:right="0"/>
              <w:jc w:val="both"/>
              <w:rPr>
                <w:rFonts w:ascii="宋体" w:hAnsi="宋体" w:cs="宋体" w:eastAsia="宋体" w:hint="default"/>
                <w:sz w:val="18"/>
                <w:szCs w:val="18"/>
              </w:rPr>
            </w:pPr>
            <w:r>
              <w:rPr>
                <w:rFonts w:ascii="宋体" w:hAnsi="宋体" w:cs="宋体" w:eastAsia="宋体" w:hint="default"/>
                <w:spacing w:val="32"/>
                <w:sz w:val="18"/>
                <w:szCs w:val="18"/>
              </w:rPr>
              <w:t>中兆投</w:t>
            </w:r>
            <w:r>
              <w:rPr>
                <w:rFonts w:ascii="宋体" w:hAnsi="宋体" w:cs="宋体" w:eastAsia="宋体" w:hint="default"/>
                <w:spacing w:val="-42"/>
                <w:sz w:val="18"/>
                <w:szCs w:val="18"/>
              </w:rPr>
              <w:t> </w:t>
            </w:r>
            <w:r>
              <w:rPr>
                <w:rFonts w:ascii="宋体" w:hAnsi="宋体" w:cs="宋体" w:eastAsia="宋体" w:hint="default"/>
                <w:sz w:val="18"/>
                <w:szCs w:val="18"/>
              </w:rPr>
            </w:r>
          </w:p>
          <w:p>
            <w:pPr>
              <w:pStyle w:val="TableParagraph"/>
              <w:spacing w:line="264" w:lineRule="auto" w:before="26"/>
              <w:ind w:left="105" w:right="50"/>
              <w:jc w:val="both"/>
              <w:rPr>
                <w:rFonts w:ascii="宋体" w:hAnsi="宋体" w:cs="宋体" w:eastAsia="宋体" w:hint="default"/>
                <w:sz w:val="18"/>
                <w:szCs w:val="18"/>
              </w:rPr>
            </w:pPr>
            <w:r>
              <w:rPr>
                <w:rFonts w:ascii="宋体" w:hAnsi="宋体" w:cs="宋体" w:eastAsia="宋体" w:hint="default"/>
                <w:spacing w:val="32"/>
                <w:sz w:val="18"/>
                <w:szCs w:val="18"/>
              </w:rPr>
              <w:t>资及公</w:t>
            </w:r>
            <w:r>
              <w:rPr>
                <w:rFonts w:ascii="宋体" w:hAnsi="宋体" w:cs="宋体" w:eastAsia="宋体" w:hint="default"/>
                <w:spacing w:val="-42"/>
                <w:sz w:val="18"/>
                <w:szCs w:val="18"/>
              </w:rPr>
              <w:t> </w:t>
            </w:r>
            <w:r>
              <w:rPr>
                <w:rFonts w:ascii="宋体" w:hAnsi="宋体" w:cs="宋体" w:eastAsia="宋体" w:hint="default"/>
                <w:spacing w:val="32"/>
                <w:sz w:val="18"/>
                <w:szCs w:val="18"/>
              </w:rPr>
              <w:t>司原实</w:t>
            </w:r>
            <w:r>
              <w:rPr>
                <w:rFonts w:ascii="宋体" w:hAnsi="宋体" w:cs="宋体" w:eastAsia="宋体" w:hint="default"/>
                <w:spacing w:val="-42"/>
                <w:sz w:val="18"/>
                <w:szCs w:val="18"/>
              </w:rPr>
              <w:t> </w:t>
            </w:r>
            <w:r>
              <w:rPr>
                <w:rFonts w:ascii="宋体" w:hAnsi="宋体" w:cs="宋体" w:eastAsia="宋体" w:hint="default"/>
                <w:spacing w:val="32"/>
                <w:sz w:val="18"/>
                <w:szCs w:val="18"/>
              </w:rPr>
              <w:t>际控制</w:t>
            </w:r>
            <w:r>
              <w:rPr>
                <w:rFonts w:ascii="宋体" w:hAnsi="宋体" w:cs="宋体" w:eastAsia="宋体" w:hint="default"/>
                <w:spacing w:val="-42"/>
                <w:sz w:val="18"/>
                <w:szCs w:val="18"/>
              </w:rPr>
              <w:t> </w:t>
            </w:r>
            <w:r>
              <w:rPr>
                <w:rFonts w:ascii="宋体" w:hAnsi="宋体" w:cs="宋体" w:eastAsia="宋体" w:hint="default"/>
                <w:spacing w:val="32"/>
                <w:sz w:val="18"/>
                <w:szCs w:val="18"/>
              </w:rPr>
              <w:t>人黄茂</w:t>
            </w:r>
            <w:r>
              <w:rPr>
                <w:rFonts w:ascii="宋体" w:hAnsi="宋体" w:cs="宋体" w:eastAsia="宋体" w:hint="default"/>
                <w:spacing w:val="-42"/>
                <w:sz w:val="18"/>
                <w:szCs w:val="18"/>
              </w:rPr>
              <w:t> </w:t>
            </w:r>
            <w:r>
              <w:rPr>
                <w:rFonts w:ascii="宋体" w:hAnsi="宋体" w:cs="宋体" w:eastAsia="宋体" w:hint="default"/>
                <w:sz w:val="18"/>
                <w:szCs w:val="18"/>
              </w:rPr>
              <w:t>如先生</w:t>
            </w:r>
          </w:p>
        </w:tc>
        <w:tc>
          <w:tcPr>
            <w:tcW w:w="354"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66" w:lineRule="auto"/>
              <w:ind w:left="103" w:right="65"/>
              <w:jc w:val="both"/>
              <w:rPr>
                <w:rFonts w:ascii="宋体" w:hAnsi="宋体" w:cs="宋体" w:eastAsia="宋体" w:hint="default"/>
                <w:sz w:val="18"/>
                <w:szCs w:val="18"/>
              </w:rPr>
            </w:pPr>
            <w:r>
              <w:rPr>
                <w:rFonts w:ascii="宋体" w:hAnsi="宋体" w:cs="宋体" w:eastAsia="宋体" w:hint="default"/>
                <w:sz w:val="18"/>
                <w:szCs w:val="18"/>
              </w:rPr>
              <w:t>无 定 限</w:t>
            </w:r>
          </w:p>
        </w:tc>
        <w:tc>
          <w:tcPr>
            <w:tcW w:w="354"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64" w:lineRule="auto"/>
              <w:ind w:left="66" w:right="101"/>
              <w:jc w:val="left"/>
              <w:rPr>
                <w:rFonts w:ascii="宋体" w:hAnsi="宋体" w:cs="宋体" w:eastAsia="宋体" w:hint="default"/>
                <w:sz w:val="18"/>
                <w:szCs w:val="18"/>
              </w:rPr>
            </w:pPr>
            <w:r>
              <w:rPr>
                <w:rFonts w:ascii="宋体" w:hAnsi="宋体" w:cs="宋体" w:eastAsia="宋体" w:hint="default"/>
                <w:sz w:val="18"/>
                <w:szCs w:val="18"/>
              </w:rPr>
              <w:t>固 期</w:t>
            </w: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105" w:right="0"/>
              <w:jc w:val="left"/>
              <w:rPr>
                <w:rFonts w:ascii="宋体" w:hAnsi="宋体" w:cs="宋体" w:eastAsia="宋体" w:hint="default"/>
                <w:sz w:val="18"/>
                <w:szCs w:val="18"/>
              </w:rPr>
            </w:pPr>
            <w:r>
              <w:rPr>
                <w:rFonts w:ascii="宋体" w:hAnsi="宋体" w:cs="宋体" w:eastAsia="宋体" w:hint="default"/>
                <w:sz w:val="18"/>
                <w:szCs w:val="18"/>
              </w:rPr>
              <w:t>先生及其控制的其他公司、企业共用一个银行账户。</w:t>
            </w:r>
          </w:p>
          <w:p>
            <w:pPr>
              <w:pStyle w:val="TableParagraph"/>
              <w:spacing w:line="256" w:lineRule="auto" w:before="26"/>
              <w:ind w:left="105" w:right="97"/>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、保证本公司机构独立 </w:t>
            </w: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保证本公司及其子公司依法建立和完善法人治理结构，并与中</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pacing w:val="-1"/>
                <w:sz w:val="18"/>
                <w:szCs w:val="18"/>
              </w:rPr>
              <w:t>兆投资、黄茂如先生控制的其他公司、企业机构完全分开；保证</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1"/>
                <w:sz w:val="18"/>
                <w:szCs w:val="18"/>
              </w:rPr>
              <w:t>本公司及其子公司与中兆投资、黄茂如先生控制的其他公司、企</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业之间在办公机构和生产经营场所等方面完全分开。</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4"/>
                <w:szCs w:val="14"/>
              </w:rPr>
            </w:pPr>
          </w:p>
          <w:p>
            <w:pPr>
              <w:pStyle w:val="TableParagraph"/>
              <w:spacing w:line="240" w:lineRule="auto"/>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 </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p>
          <w:p>
            <w:pPr>
              <w:pStyle w:val="TableParagraph"/>
              <w:spacing w:line="240" w:lineRule="auto" w:before="10"/>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3"/>
                <w:sz w:val="18"/>
                <w:szCs w:val="18"/>
              </w:rPr>
              <w:t>11 </w:t>
            </w:r>
            <w:r>
              <w:rPr>
                <w:rFonts w:ascii="宋体" w:hAnsi="宋体" w:cs="宋体" w:eastAsia="宋体" w:hint="default"/>
                <w:sz w:val="18"/>
                <w:szCs w:val="18"/>
              </w:rPr>
              <w:t>月</w:t>
            </w:r>
            <w:r>
              <w:rPr>
                <w:rFonts w:ascii="宋体" w:hAnsi="宋体" w:cs="宋体" w:eastAsia="宋体" w:hint="default"/>
                <w:spacing w:val="-29"/>
                <w:sz w:val="18"/>
                <w:szCs w:val="18"/>
              </w:rPr>
              <w:t> </w:t>
            </w:r>
            <w:r>
              <w:rPr>
                <w:rFonts w:ascii="Times New Roman" w:hAnsi="Times New Roman" w:cs="Times New Roman" w:eastAsia="Times New Roman" w:hint="default"/>
                <w:sz w:val="18"/>
                <w:szCs w:val="18"/>
              </w:rPr>
              <w:t>10</w:t>
            </w:r>
          </w:p>
          <w:p>
            <w:pPr>
              <w:pStyle w:val="TableParagraph"/>
              <w:spacing w:line="240" w:lineRule="auto" w:before="12"/>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5"/>
                <w:szCs w:val="25"/>
              </w:rPr>
            </w:pPr>
          </w:p>
          <w:p>
            <w:pPr>
              <w:pStyle w:val="TableParagraph"/>
              <w:spacing w:line="264" w:lineRule="auto"/>
              <w:ind w:left="105" w:right="192"/>
              <w:jc w:val="left"/>
              <w:rPr>
                <w:rFonts w:ascii="宋体" w:hAnsi="宋体" w:cs="宋体" w:eastAsia="宋体" w:hint="default"/>
                <w:sz w:val="18"/>
                <w:szCs w:val="18"/>
              </w:rPr>
            </w:pPr>
            <w:r>
              <w:rPr>
                <w:rFonts w:ascii="宋体" w:hAnsi="宋体" w:cs="宋体" w:eastAsia="宋体" w:hint="default"/>
                <w:sz w:val="18"/>
                <w:szCs w:val="18"/>
              </w:rPr>
              <w:t>遵守了 承诺</w:t>
            </w:r>
          </w:p>
        </w:tc>
      </w:tr>
      <w:tr>
        <w:trPr>
          <w:trHeight w:val="26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保证本公司及其子公司独立自主运作，中兆投资、黄茂如先生</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6" w:lineRule="exact"/>
              <w:ind w:left="105" w:right="0"/>
              <w:jc w:val="left"/>
              <w:rPr>
                <w:rFonts w:ascii="宋体" w:hAnsi="宋体" w:cs="宋体" w:eastAsia="宋体" w:hint="default"/>
                <w:sz w:val="18"/>
                <w:szCs w:val="18"/>
              </w:rPr>
            </w:pPr>
            <w:r>
              <w:rPr>
                <w:rFonts w:ascii="宋体" w:hAnsi="宋体" w:cs="宋体" w:eastAsia="宋体" w:hint="default"/>
                <w:sz w:val="18"/>
                <w:szCs w:val="18"/>
              </w:rPr>
              <w:t>不会超越本公司董事会、股东大会直接或间接干预本公司的决策</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9"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和经营。</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、保证本公司资产独立、完整</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0" w:lineRule="exact"/>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保证本公司及其子公司资产的独立完整；保证本次置入本公司</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105" w:right="0"/>
              <w:jc w:val="left"/>
              <w:rPr>
                <w:rFonts w:ascii="宋体" w:hAnsi="宋体" w:cs="宋体" w:eastAsia="宋体" w:hint="default"/>
                <w:sz w:val="18"/>
                <w:szCs w:val="18"/>
              </w:rPr>
            </w:pPr>
            <w:r>
              <w:rPr>
                <w:rFonts w:ascii="宋体" w:hAnsi="宋体" w:cs="宋体" w:eastAsia="宋体" w:hint="default"/>
                <w:sz w:val="18"/>
                <w:szCs w:val="18"/>
              </w:rPr>
              <w:t>的资产权属清晰、不存在瑕疵。</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保证中兆投资、黄茂如先生及中兆投资、黄茂如先生控制的其</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6" w:lineRule="exact"/>
              <w:ind w:left="105" w:right="0"/>
              <w:jc w:val="left"/>
              <w:rPr>
                <w:rFonts w:ascii="宋体" w:hAnsi="宋体" w:cs="宋体" w:eastAsia="宋体" w:hint="default"/>
                <w:sz w:val="18"/>
                <w:szCs w:val="18"/>
              </w:rPr>
            </w:pPr>
            <w:r>
              <w:rPr>
                <w:rFonts w:ascii="宋体" w:hAnsi="宋体" w:cs="宋体" w:eastAsia="宋体" w:hint="default"/>
                <w:sz w:val="18"/>
                <w:szCs w:val="18"/>
              </w:rPr>
              <w:t>他公司、企业不违规占用本公司资产、资金及其他资源。</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4"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、保证本公司业务独立</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1"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9" w:lineRule="exact"/>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保证本公司拥有独立的生产和销售体系；在本次交易完成后拥</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6" w:lineRule="exact"/>
              <w:ind w:left="105" w:right="0"/>
              <w:jc w:val="left"/>
              <w:rPr>
                <w:rFonts w:ascii="宋体" w:hAnsi="宋体" w:cs="宋体" w:eastAsia="宋体" w:hint="default"/>
                <w:sz w:val="18"/>
                <w:szCs w:val="18"/>
              </w:rPr>
            </w:pPr>
            <w:r>
              <w:rPr>
                <w:rFonts w:ascii="宋体" w:hAnsi="宋体" w:cs="宋体" w:eastAsia="宋体" w:hint="default"/>
                <w:sz w:val="18"/>
                <w:szCs w:val="18"/>
              </w:rPr>
              <w:t>有独立开展经营活动的资产、人员、资质以及具有独立面向市场</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9"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自主经营的能力，在产、供、销等环节不依赖于中兆投资、黄茂</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如先生及其控制的其他公司、企业。</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保证严格控制关联交易事项，尽可能减少本公司及其子公司与</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105" w:right="0"/>
              <w:jc w:val="left"/>
              <w:rPr>
                <w:rFonts w:ascii="宋体" w:hAnsi="宋体" w:cs="宋体" w:eastAsia="宋体" w:hint="default"/>
                <w:sz w:val="18"/>
                <w:szCs w:val="18"/>
              </w:rPr>
            </w:pPr>
            <w:r>
              <w:rPr>
                <w:rFonts w:ascii="宋体" w:hAnsi="宋体" w:cs="宋体" w:eastAsia="宋体" w:hint="default"/>
                <w:sz w:val="18"/>
                <w:szCs w:val="18"/>
              </w:rPr>
              <w:t>中兆投资、黄茂如先生及其控制的其他公司、企业之间的持续性</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关联交易。杜绝非法占用本公司资金、资产的行为，并不要求本</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1" w:hRule="exact"/>
        </w:trPr>
        <w:tc>
          <w:tcPr>
            <w:tcW w:w="708" w:type="dxa"/>
            <w:tcBorders>
              <w:top w:val="nil" w:sz="6" w:space="0" w:color="auto"/>
              <w:left w:val="single" w:sz="4" w:space="0" w:color="000000"/>
              <w:bottom w:val="single" w:sz="4" w:space="0" w:color="000000"/>
              <w:right w:val="single" w:sz="4" w:space="0" w:color="000000"/>
            </w:tcBorders>
          </w:tcPr>
          <w:p>
            <w:pPr/>
          </w:p>
        </w:tc>
        <w:tc>
          <w:tcPr>
            <w:tcW w:w="852" w:type="dxa"/>
            <w:tcBorders>
              <w:top w:val="nil" w:sz="6" w:space="0" w:color="auto"/>
              <w:left w:val="single" w:sz="4" w:space="0" w:color="000000"/>
              <w:bottom w:val="single" w:sz="4" w:space="0" w:color="000000"/>
              <w:right w:val="single" w:sz="4" w:space="0" w:color="000000"/>
            </w:tcBorders>
          </w:tcPr>
          <w:p>
            <w:pPr/>
          </w:p>
        </w:tc>
        <w:tc>
          <w:tcPr>
            <w:tcW w:w="354" w:type="dxa"/>
            <w:tcBorders>
              <w:top w:val="nil" w:sz="6" w:space="0" w:color="auto"/>
              <w:left w:val="single" w:sz="4" w:space="0" w:color="000000"/>
              <w:bottom w:val="single" w:sz="4" w:space="0" w:color="000000"/>
              <w:right w:val="nil" w:sz="6" w:space="0" w:color="auto"/>
            </w:tcBorders>
          </w:tcPr>
          <w:p>
            <w:pPr/>
          </w:p>
        </w:tc>
        <w:tc>
          <w:tcPr>
            <w:tcW w:w="354" w:type="dxa"/>
            <w:tcBorders>
              <w:top w:val="nil" w:sz="6" w:space="0" w:color="auto"/>
              <w:left w:val="nil" w:sz="6" w:space="0" w:color="auto"/>
              <w:bottom w:val="single" w:sz="4" w:space="0" w:color="000000"/>
              <w:right w:val="single" w:sz="4" w:space="0" w:color="000000"/>
            </w:tcBorders>
          </w:tcPr>
          <w:p>
            <w:pPr/>
          </w:p>
        </w:tc>
        <w:tc>
          <w:tcPr>
            <w:tcW w:w="5245" w:type="dxa"/>
            <w:tcBorders>
              <w:top w:val="nil" w:sz="6" w:space="0" w:color="auto"/>
              <w:left w:val="single" w:sz="4" w:space="0" w:color="000000"/>
              <w:bottom w:val="single" w:sz="4" w:space="0" w:color="000000"/>
              <w:right w:val="single" w:sz="4" w:space="0" w:color="000000"/>
            </w:tcBorders>
          </w:tcPr>
          <w:p>
            <w:pPr>
              <w:pStyle w:val="TableParagraph"/>
              <w:spacing w:line="221" w:lineRule="exact"/>
              <w:ind w:left="105" w:right="0"/>
              <w:jc w:val="left"/>
              <w:rPr>
                <w:rFonts w:ascii="宋体" w:hAnsi="宋体" w:cs="宋体" w:eastAsia="宋体" w:hint="default"/>
                <w:sz w:val="18"/>
                <w:szCs w:val="18"/>
              </w:rPr>
            </w:pPr>
            <w:r>
              <w:rPr>
                <w:rFonts w:ascii="宋体" w:hAnsi="宋体" w:cs="宋体" w:eastAsia="宋体" w:hint="default"/>
                <w:sz w:val="18"/>
                <w:szCs w:val="18"/>
              </w:rPr>
              <w:t>公司及其子公司向中兆投资、黄茂如先生及其控制的其他公司、</w:t>
            </w:r>
          </w:p>
        </w:tc>
        <w:tc>
          <w:tcPr>
            <w:tcW w:w="852"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r>
    </w:tbl>
    <w:p>
      <w:pPr>
        <w:spacing w:after="0"/>
        <w:sectPr>
          <w:pgSz w:w="11910" w:h="16840"/>
          <w:pgMar w:header="880" w:footer="975" w:top="1100" w:bottom="1160" w:left="880" w:right="0"/>
        </w:sectPr>
      </w:pPr>
    </w:p>
    <w:p>
      <w:pPr>
        <w:spacing w:line="240" w:lineRule="auto" w:before="11"/>
        <w:rPr>
          <w:rFonts w:ascii="Times New Roman" w:hAnsi="Times New Roman" w:cs="Times New Roman" w:eastAsia="Times New Roman" w:hint="default"/>
          <w:sz w:val="27"/>
          <w:szCs w:val="27"/>
        </w:rPr>
      </w:pPr>
    </w:p>
    <w:tbl>
      <w:tblPr>
        <w:tblW w:w="0" w:type="auto"/>
        <w:jc w:val="left"/>
        <w:tblInd w:w="106" w:type="dxa"/>
        <w:tblLayout w:type="fixed"/>
        <w:tblCellMar>
          <w:top w:w="0" w:type="dxa"/>
          <w:left w:w="0" w:type="dxa"/>
          <w:bottom w:w="0" w:type="dxa"/>
          <w:right w:w="0" w:type="dxa"/>
        </w:tblCellMar>
        <w:tblLook w:val="01E0"/>
      </w:tblPr>
      <w:tblGrid>
        <w:gridCol w:w="708"/>
        <w:gridCol w:w="852"/>
        <w:gridCol w:w="354"/>
        <w:gridCol w:w="354"/>
        <w:gridCol w:w="5245"/>
        <w:gridCol w:w="852"/>
        <w:gridCol w:w="708"/>
        <w:gridCol w:w="850"/>
      </w:tblGrid>
      <w:tr>
        <w:trPr>
          <w:trHeight w:val="280" w:hRule="exact"/>
        </w:trPr>
        <w:tc>
          <w:tcPr>
            <w:tcW w:w="708" w:type="dxa"/>
            <w:vMerge w:val="restart"/>
            <w:tcBorders>
              <w:top w:val="single" w:sz="4" w:space="0" w:color="000000"/>
              <w:left w:val="single" w:sz="4" w:space="0" w:color="000000"/>
              <w:right w:val="single" w:sz="4" w:space="0" w:color="000000"/>
            </w:tcBorders>
          </w:tcPr>
          <w:p>
            <w:pPr/>
          </w:p>
        </w:tc>
        <w:tc>
          <w:tcPr>
            <w:tcW w:w="852" w:type="dxa"/>
            <w:vMerge w:val="restart"/>
            <w:tcBorders>
              <w:top w:val="single" w:sz="4" w:space="0" w:color="000000"/>
              <w:left w:val="single" w:sz="4" w:space="0" w:color="000000"/>
              <w:right w:val="single" w:sz="4" w:space="0" w:color="000000"/>
            </w:tcBorders>
          </w:tcPr>
          <w:p>
            <w:pPr/>
          </w:p>
        </w:tc>
        <w:tc>
          <w:tcPr>
            <w:tcW w:w="708" w:type="dxa"/>
            <w:gridSpan w:val="2"/>
            <w:vMerge w:val="restart"/>
            <w:tcBorders>
              <w:top w:val="single" w:sz="4" w:space="0" w:color="000000"/>
              <w:left w:val="single" w:sz="4" w:space="0" w:color="000000"/>
              <w:right w:val="single" w:sz="4" w:space="0" w:color="000000"/>
            </w:tcBorders>
          </w:tcPr>
          <w:p>
            <w:pPr/>
          </w:p>
        </w:tc>
        <w:tc>
          <w:tcPr>
            <w:tcW w:w="5245" w:type="dxa"/>
            <w:tcBorders>
              <w:top w:val="single" w:sz="4" w:space="0" w:color="000000"/>
              <w:left w:val="single" w:sz="4" w:space="0" w:color="000000"/>
              <w:bottom w:val="nil" w:sz="6" w:space="0" w:color="auto"/>
              <w:right w:val="single" w:sz="4" w:space="0" w:color="000000"/>
            </w:tcBorders>
          </w:tcPr>
          <w:p>
            <w:pPr>
              <w:pStyle w:val="TableParagraph"/>
              <w:spacing w:line="234" w:lineRule="exact"/>
              <w:ind w:left="105" w:right="0"/>
              <w:jc w:val="left"/>
              <w:rPr>
                <w:rFonts w:ascii="宋体" w:hAnsi="宋体" w:cs="宋体" w:eastAsia="宋体" w:hint="default"/>
                <w:sz w:val="18"/>
                <w:szCs w:val="18"/>
              </w:rPr>
            </w:pPr>
            <w:r>
              <w:rPr>
                <w:rFonts w:ascii="宋体" w:hAnsi="宋体" w:cs="宋体" w:eastAsia="宋体" w:hint="default"/>
                <w:sz w:val="18"/>
                <w:szCs w:val="18"/>
              </w:rPr>
              <w:t>企业提供任何形式的担保。对于无法避免的关联交易将本着“公</w:t>
            </w:r>
          </w:p>
        </w:tc>
        <w:tc>
          <w:tcPr>
            <w:tcW w:w="852" w:type="dxa"/>
            <w:vMerge w:val="restart"/>
            <w:tcBorders>
              <w:top w:val="single" w:sz="4" w:space="0" w:color="000000"/>
              <w:left w:val="single" w:sz="4" w:space="0" w:color="000000"/>
              <w:right w:val="single" w:sz="4" w:space="0" w:color="000000"/>
            </w:tcBorders>
          </w:tcPr>
          <w:p>
            <w:pPr/>
          </w:p>
        </w:tc>
        <w:tc>
          <w:tcPr>
            <w:tcW w:w="708" w:type="dxa"/>
            <w:vMerge w:val="restart"/>
            <w:tcBorders>
              <w:top w:val="single" w:sz="4" w:space="0" w:color="000000"/>
              <w:left w:val="single" w:sz="4" w:space="0" w:color="000000"/>
              <w:right w:val="single" w:sz="4" w:space="0" w:color="000000"/>
            </w:tcBorders>
          </w:tcPr>
          <w:p>
            <w:pPr/>
          </w:p>
        </w:tc>
        <w:tc>
          <w:tcPr>
            <w:tcW w:w="850" w:type="dxa"/>
            <w:vMerge w:val="restart"/>
            <w:tcBorders>
              <w:top w:val="single" w:sz="4" w:space="0" w:color="000000"/>
              <w:left w:val="single" w:sz="4" w:space="0" w:color="000000"/>
              <w:right w:val="single" w:sz="4" w:space="0" w:color="000000"/>
            </w:tcBorders>
          </w:tcPr>
          <w:p>
            <w:pPr/>
          </w:p>
        </w:tc>
      </w:tr>
      <w:tr>
        <w:trPr>
          <w:trHeight w:val="261"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gridSpan w:val="2"/>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105" w:right="0"/>
              <w:jc w:val="left"/>
              <w:rPr>
                <w:rFonts w:ascii="宋体" w:hAnsi="宋体" w:cs="宋体" w:eastAsia="宋体" w:hint="default"/>
                <w:sz w:val="18"/>
                <w:szCs w:val="18"/>
              </w:rPr>
            </w:pPr>
            <w:r>
              <w:rPr>
                <w:rFonts w:ascii="宋体" w:hAnsi="宋体" w:cs="宋体" w:eastAsia="宋体" w:hint="default"/>
                <w:spacing w:val="-4"/>
                <w:sz w:val="18"/>
                <w:szCs w:val="18"/>
              </w:rPr>
              <w:t>平、公正、公开”的原则，与对非关联企业的交易价格保持一致，</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259"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gridSpan w:val="2"/>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并及时进行信息披露。</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265"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gridSpan w:val="2"/>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19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保证不通过单独或一致行动的途径，以依法行使股东权利以</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255"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gridSpan w:val="2"/>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6" w:lineRule="exact"/>
              <w:ind w:left="105" w:right="0"/>
              <w:jc w:val="left"/>
              <w:rPr>
                <w:rFonts w:ascii="宋体" w:hAnsi="宋体" w:cs="宋体" w:eastAsia="宋体" w:hint="default"/>
                <w:sz w:val="18"/>
                <w:szCs w:val="18"/>
              </w:rPr>
            </w:pPr>
            <w:r>
              <w:rPr>
                <w:rFonts w:ascii="宋体" w:hAnsi="宋体" w:cs="宋体" w:eastAsia="宋体" w:hint="default"/>
                <w:sz w:val="18"/>
                <w:szCs w:val="18"/>
              </w:rPr>
              <w:t>外的任何方式，干预本公司重大决策事项，影响上市公司资产、</w:t>
            </w: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850" w:type="dxa"/>
            <w:vMerge/>
            <w:tcBorders>
              <w:left w:val="single" w:sz="4" w:space="0" w:color="000000"/>
              <w:right w:val="single" w:sz="4" w:space="0" w:color="000000"/>
            </w:tcBorders>
          </w:tcPr>
          <w:p>
            <w:pPr/>
          </w:p>
        </w:tc>
      </w:tr>
      <w:tr>
        <w:trPr>
          <w:trHeight w:val="249" w:hRule="exact"/>
        </w:trPr>
        <w:tc>
          <w:tcPr>
            <w:tcW w:w="708" w:type="dxa"/>
            <w:vMerge/>
            <w:tcBorders>
              <w:left w:val="single" w:sz="4" w:space="0" w:color="000000"/>
              <w:bottom w:val="single" w:sz="4" w:space="0" w:color="000000"/>
              <w:right w:val="single" w:sz="4" w:space="0" w:color="000000"/>
            </w:tcBorders>
          </w:tcPr>
          <w:p>
            <w:pPr/>
          </w:p>
        </w:tc>
        <w:tc>
          <w:tcPr>
            <w:tcW w:w="852" w:type="dxa"/>
            <w:vMerge/>
            <w:tcBorders>
              <w:left w:val="single" w:sz="4" w:space="0" w:color="000000"/>
              <w:bottom w:val="single" w:sz="4" w:space="0" w:color="000000"/>
              <w:right w:val="single" w:sz="4" w:space="0" w:color="000000"/>
            </w:tcBorders>
          </w:tcPr>
          <w:p>
            <w:pPr/>
          </w:p>
        </w:tc>
        <w:tc>
          <w:tcPr>
            <w:tcW w:w="708" w:type="dxa"/>
            <w:gridSpan w:val="2"/>
            <w:vMerge/>
            <w:tcBorders>
              <w:left w:val="single" w:sz="4" w:space="0" w:color="000000"/>
              <w:bottom w:val="single" w:sz="4" w:space="0" w:color="000000"/>
              <w:right w:val="single" w:sz="4" w:space="0" w:color="000000"/>
            </w:tcBorders>
          </w:tcPr>
          <w:p>
            <w:pPr/>
          </w:p>
        </w:tc>
        <w:tc>
          <w:tcPr>
            <w:tcW w:w="5245" w:type="dxa"/>
            <w:tcBorders>
              <w:top w:val="nil" w:sz="6" w:space="0" w:color="auto"/>
              <w:left w:val="single" w:sz="4" w:space="0" w:color="000000"/>
              <w:bottom w:val="single" w:sz="4" w:space="0" w:color="000000"/>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人员、财务、机构、业务的独立性。</w:t>
            </w:r>
          </w:p>
        </w:tc>
        <w:tc>
          <w:tcPr>
            <w:tcW w:w="852" w:type="dxa"/>
            <w:vMerge/>
            <w:tcBorders>
              <w:left w:val="single" w:sz="4" w:space="0" w:color="000000"/>
              <w:bottom w:val="single" w:sz="4" w:space="0" w:color="000000"/>
              <w:right w:val="single" w:sz="4" w:space="0" w:color="000000"/>
            </w:tcBorders>
          </w:tcPr>
          <w:p>
            <w:pPr/>
          </w:p>
        </w:tc>
        <w:tc>
          <w:tcPr>
            <w:tcW w:w="708" w:type="dxa"/>
            <w:vMerge/>
            <w:tcBorders>
              <w:left w:val="single" w:sz="4" w:space="0" w:color="000000"/>
              <w:bottom w:val="single" w:sz="4" w:space="0" w:color="000000"/>
              <w:right w:val="single" w:sz="4" w:space="0" w:color="000000"/>
            </w:tcBorders>
          </w:tcPr>
          <w:p>
            <w:pPr/>
          </w:p>
        </w:tc>
        <w:tc>
          <w:tcPr>
            <w:tcW w:w="850" w:type="dxa"/>
            <w:vMerge/>
            <w:tcBorders>
              <w:left w:val="single" w:sz="4" w:space="0" w:color="000000"/>
              <w:bottom w:val="single" w:sz="4" w:space="0" w:color="000000"/>
              <w:right w:val="single" w:sz="4" w:space="0" w:color="000000"/>
            </w:tcBorders>
          </w:tcPr>
          <w:p>
            <w:pPr/>
          </w:p>
        </w:tc>
      </w:tr>
      <w:tr>
        <w:trPr>
          <w:trHeight w:val="285" w:hRule="exact"/>
        </w:trPr>
        <w:tc>
          <w:tcPr>
            <w:tcW w:w="708" w:type="dxa"/>
            <w:tcBorders>
              <w:top w:val="single" w:sz="4" w:space="0" w:color="000000"/>
              <w:left w:val="single" w:sz="4" w:space="0" w:color="000000"/>
              <w:bottom w:val="nil" w:sz="6" w:space="0" w:color="auto"/>
              <w:right w:val="single" w:sz="4" w:space="0" w:color="000000"/>
            </w:tcBorders>
          </w:tcPr>
          <w:p>
            <w:pPr/>
          </w:p>
        </w:tc>
        <w:tc>
          <w:tcPr>
            <w:tcW w:w="852" w:type="dxa"/>
            <w:tcBorders>
              <w:top w:val="single" w:sz="4" w:space="0" w:color="000000"/>
              <w:left w:val="single" w:sz="4" w:space="0" w:color="000000"/>
              <w:bottom w:val="nil" w:sz="6" w:space="0" w:color="auto"/>
              <w:right w:val="single" w:sz="4" w:space="0" w:color="000000"/>
            </w:tcBorders>
          </w:tcPr>
          <w:p>
            <w:pPr/>
          </w:p>
        </w:tc>
        <w:tc>
          <w:tcPr>
            <w:tcW w:w="354" w:type="dxa"/>
            <w:tcBorders>
              <w:top w:val="single" w:sz="4" w:space="0" w:color="000000"/>
              <w:left w:val="single" w:sz="4" w:space="0" w:color="000000"/>
              <w:bottom w:val="nil" w:sz="6" w:space="0" w:color="auto"/>
              <w:right w:val="nil" w:sz="6" w:space="0" w:color="auto"/>
            </w:tcBorders>
          </w:tcPr>
          <w:p>
            <w:pPr/>
          </w:p>
        </w:tc>
        <w:tc>
          <w:tcPr>
            <w:tcW w:w="354" w:type="dxa"/>
            <w:tcBorders>
              <w:top w:val="single" w:sz="4" w:space="0" w:color="000000"/>
              <w:left w:val="nil" w:sz="6" w:space="0" w:color="auto"/>
              <w:bottom w:val="nil" w:sz="6" w:space="0" w:color="auto"/>
              <w:right w:val="single" w:sz="4" w:space="0" w:color="000000"/>
            </w:tcBorders>
          </w:tcPr>
          <w:p>
            <w:pPr/>
          </w:p>
        </w:tc>
        <w:tc>
          <w:tcPr>
            <w:tcW w:w="5245" w:type="dxa"/>
            <w:tcBorders>
              <w:top w:val="single" w:sz="4" w:space="0" w:color="000000"/>
              <w:left w:val="single" w:sz="4" w:space="0" w:color="000000"/>
              <w:bottom w:val="nil" w:sz="6" w:space="0" w:color="auto"/>
              <w:right w:val="single" w:sz="4" w:space="0" w:color="000000"/>
            </w:tcBorders>
          </w:tcPr>
          <w:p>
            <w:pPr>
              <w:pStyle w:val="TableParagraph"/>
              <w:spacing w:line="248" w:lineRule="exact"/>
              <w:ind w:left="105" w:right="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、保持独立性的承诺：保持公司和创世漫道的人员、机构、资</w:t>
            </w:r>
            <w:r>
              <w:rPr>
                <w:rFonts w:ascii="宋体" w:hAnsi="宋体" w:cs="宋体" w:eastAsia="宋体" w:hint="default"/>
                <w:sz w:val="18"/>
                <w:szCs w:val="18"/>
              </w:rPr>
            </w:r>
          </w:p>
        </w:tc>
        <w:tc>
          <w:tcPr>
            <w:tcW w:w="852"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r>
      <w:tr>
        <w:trPr>
          <w:trHeight w:val="25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6" w:lineRule="exact"/>
              <w:ind w:left="105" w:right="0"/>
              <w:jc w:val="left"/>
              <w:rPr>
                <w:rFonts w:ascii="宋体" w:hAnsi="宋体" w:cs="宋体" w:eastAsia="宋体" w:hint="default"/>
                <w:sz w:val="18"/>
                <w:szCs w:val="18"/>
              </w:rPr>
            </w:pPr>
            <w:r>
              <w:rPr>
                <w:rFonts w:ascii="宋体" w:hAnsi="宋体" w:cs="宋体" w:eastAsia="宋体" w:hint="default"/>
                <w:sz w:val="18"/>
                <w:szCs w:val="18"/>
              </w:rPr>
              <w:t>产、业务、财务的独立性。</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4"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105" w:right="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、避免同业竞争承诺：在作为本公司的股东期间，承诺人及承</w:t>
            </w:r>
            <w:r>
              <w:rPr>
                <w:rFonts w:ascii="宋体" w:hAnsi="宋体" w:cs="宋体" w:eastAsia="宋体" w:hint="default"/>
                <w:sz w:val="18"/>
                <w:szCs w:val="18"/>
              </w:rPr>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105" w:right="0"/>
              <w:jc w:val="left"/>
              <w:rPr>
                <w:rFonts w:ascii="宋体" w:hAnsi="宋体" w:cs="宋体" w:eastAsia="宋体" w:hint="default"/>
                <w:sz w:val="18"/>
                <w:szCs w:val="18"/>
              </w:rPr>
            </w:pPr>
            <w:r>
              <w:rPr>
                <w:rFonts w:ascii="宋体" w:hAnsi="宋体" w:cs="宋体" w:eastAsia="宋体" w:hint="default"/>
                <w:sz w:val="18"/>
                <w:szCs w:val="18"/>
              </w:rPr>
              <w:t>诺人控制的其他公司、企业或者其他经济组织等关联方将避免从</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105" w:right="0"/>
              <w:jc w:val="left"/>
              <w:rPr>
                <w:rFonts w:ascii="宋体" w:hAnsi="宋体" w:cs="宋体" w:eastAsia="宋体" w:hint="default"/>
                <w:sz w:val="18"/>
                <w:szCs w:val="18"/>
              </w:rPr>
            </w:pPr>
            <w:r>
              <w:rPr>
                <w:rFonts w:ascii="宋体" w:hAnsi="宋体" w:cs="宋体" w:eastAsia="宋体" w:hint="default"/>
                <w:sz w:val="18"/>
                <w:szCs w:val="18"/>
              </w:rPr>
              <w:t>事任何与本公司和创世漫道及其控制的其他公司、企业或者其他</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9"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经济组织相同或相似且构成或可能构成竞争关系的业务，亦不从</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事任何可能损害本公司和创世漫道及其控制的其他公司、企业或</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105" w:right="0"/>
              <w:jc w:val="left"/>
              <w:rPr>
                <w:rFonts w:ascii="宋体" w:hAnsi="宋体" w:cs="宋体" w:eastAsia="宋体" w:hint="default"/>
                <w:sz w:val="18"/>
                <w:szCs w:val="18"/>
              </w:rPr>
            </w:pPr>
            <w:r>
              <w:rPr>
                <w:rFonts w:ascii="宋体" w:hAnsi="宋体" w:cs="宋体" w:eastAsia="宋体" w:hint="default"/>
                <w:spacing w:val="5"/>
                <w:sz w:val="18"/>
                <w:szCs w:val="18"/>
              </w:rPr>
              <w:t>者其他经济组织利益的活动。如承诺人及承诺人控制的其他公</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9"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司、企业或者其他经济组织遇到本公司和创世漫道及其控制的其</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1"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他公司、企业或者其他经济组织主营业务范围内的业务机会，承</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1"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105" w:right="0"/>
              <w:jc w:val="left"/>
              <w:rPr>
                <w:rFonts w:ascii="宋体" w:hAnsi="宋体" w:cs="宋体" w:eastAsia="宋体" w:hint="default"/>
                <w:sz w:val="18"/>
                <w:szCs w:val="18"/>
              </w:rPr>
            </w:pPr>
            <w:r>
              <w:rPr>
                <w:rFonts w:ascii="宋体" w:hAnsi="宋体" w:cs="宋体" w:eastAsia="宋体" w:hint="default"/>
                <w:sz w:val="18"/>
                <w:szCs w:val="18"/>
              </w:rPr>
              <w:t>诺人及承诺人控制的其他公司、企业或者其他经济组织将该等合</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9"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作机会让予本公司和创世漫道及其控制的其他公司、企业或者其</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1560"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158"/>
              <w:ind w:left="103" w:right="0"/>
              <w:jc w:val="left"/>
              <w:rPr>
                <w:rFonts w:ascii="Times New Roman" w:hAnsi="Times New Roman" w:cs="Times New Roman" w:eastAsia="Times New Roman" w:hint="default"/>
                <w:sz w:val="18"/>
                <w:szCs w:val="18"/>
              </w:rPr>
            </w:pPr>
            <w:r>
              <w:rPr>
                <w:rFonts w:ascii="Times New Roman"/>
                <w:sz w:val="18"/>
              </w:rPr>
              <w:t>2014</w:t>
            </w:r>
          </w:p>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宋体" w:hAnsi="宋体" w:cs="宋体" w:eastAsia="宋体" w:hint="default"/>
                <w:sz w:val="18"/>
                <w:szCs w:val="18"/>
              </w:rPr>
              <w:t>重</w:t>
            </w:r>
          </w:p>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组</w:t>
            </w:r>
            <w:r>
              <w:rPr>
                <w:rFonts w:ascii="宋体" w:hAnsi="宋体" w:cs="宋体" w:eastAsia="宋体" w:hint="default"/>
                <w:spacing w:val="42"/>
                <w:sz w:val="18"/>
                <w:szCs w:val="18"/>
              </w:rPr>
              <w:t> </w:t>
            </w:r>
            <w:r>
              <w:rPr>
                <w:rFonts w:ascii="宋体" w:hAnsi="宋体" w:cs="宋体" w:eastAsia="宋体" w:hint="default"/>
                <w:sz w:val="18"/>
                <w:szCs w:val="18"/>
              </w:rPr>
              <w:t>时</w:t>
            </w:r>
          </w:p>
          <w:p>
            <w:pPr>
              <w:pStyle w:val="TableParagraph"/>
              <w:spacing w:line="264" w:lineRule="auto" w:before="26"/>
              <w:ind w:left="103" w:right="101"/>
              <w:jc w:val="left"/>
              <w:rPr>
                <w:rFonts w:ascii="宋体" w:hAnsi="宋体" w:cs="宋体" w:eastAsia="宋体" w:hint="default"/>
                <w:sz w:val="18"/>
                <w:szCs w:val="18"/>
              </w:rPr>
            </w:pPr>
            <w:r>
              <w:rPr>
                <w:rFonts w:ascii="宋体" w:hAnsi="宋体" w:cs="宋体" w:eastAsia="宋体" w:hint="default"/>
                <w:sz w:val="18"/>
                <w:szCs w:val="18"/>
              </w:rPr>
              <w:t>所</w:t>
            </w:r>
            <w:r>
              <w:rPr>
                <w:rFonts w:ascii="宋体" w:hAnsi="宋体" w:cs="宋体" w:eastAsia="宋体" w:hint="default"/>
                <w:spacing w:val="42"/>
                <w:sz w:val="18"/>
                <w:szCs w:val="18"/>
              </w:rPr>
              <w:t> </w:t>
            </w:r>
            <w:r>
              <w:rPr>
                <w:rFonts w:ascii="宋体" w:hAnsi="宋体" w:cs="宋体" w:eastAsia="宋体" w:hint="default"/>
                <w:sz w:val="18"/>
                <w:szCs w:val="18"/>
              </w:rPr>
              <w:t>作</w:t>
            </w:r>
            <w:r>
              <w:rPr>
                <w:rFonts w:ascii="宋体" w:hAnsi="宋体" w:cs="宋体" w:eastAsia="宋体" w:hint="default"/>
                <w:sz w:val="18"/>
                <w:szCs w:val="18"/>
              </w:rPr>
              <w:t> 承诺</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21"/>
                <w:szCs w:val="21"/>
              </w:rPr>
            </w:pPr>
          </w:p>
          <w:p>
            <w:pPr>
              <w:pStyle w:val="TableParagraph"/>
              <w:spacing w:line="264" w:lineRule="auto"/>
              <w:ind w:left="105" w:right="14"/>
              <w:jc w:val="left"/>
              <w:rPr>
                <w:rFonts w:ascii="宋体" w:hAnsi="宋体" w:cs="宋体" w:eastAsia="宋体" w:hint="default"/>
                <w:sz w:val="18"/>
                <w:szCs w:val="18"/>
              </w:rPr>
            </w:pPr>
            <w:r>
              <w:rPr>
                <w:rFonts w:ascii="宋体" w:hAnsi="宋体" w:cs="宋体" w:eastAsia="宋体" w:hint="default"/>
                <w:sz w:val="18"/>
                <w:szCs w:val="18"/>
              </w:rPr>
              <w:t>鹰溪谷、 </w:t>
            </w:r>
            <w:r>
              <w:rPr>
                <w:rFonts w:ascii="宋体" w:hAnsi="宋体" w:cs="宋体" w:eastAsia="宋体" w:hint="default"/>
                <w:spacing w:val="32"/>
                <w:sz w:val="18"/>
                <w:szCs w:val="18"/>
              </w:rPr>
              <w:t>博升优</w:t>
            </w:r>
            <w:r>
              <w:rPr>
                <w:rFonts w:ascii="宋体" w:hAnsi="宋体" w:cs="宋体" w:eastAsia="宋体" w:hint="default"/>
                <w:spacing w:val="-42"/>
                <w:sz w:val="18"/>
                <w:szCs w:val="18"/>
              </w:rPr>
              <w:t> </w:t>
            </w:r>
            <w:r>
              <w:rPr>
                <w:rFonts w:ascii="宋体" w:hAnsi="宋体" w:cs="宋体" w:eastAsia="宋体" w:hint="default"/>
                <w:spacing w:val="-22"/>
                <w:sz w:val="18"/>
                <w:szCs w:val="18"/>
              </w:rPr>
              <w:t>势、峰幽</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投资</w:t>
            </w:r>
          </w:p>
        </w:tc>
        <w:tc>
          <w:tcPr>
            <w:tcW w:w="354"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66" w:lineRule="auto"/>
              <w:ind w:left="103" w:right="65"/>
              <w:jc w:val="both"/>
              <w:rPr>
                <w:rFonts w:ascii="宋体" w:hAnsi="宋体" w:cs="宋体" w:eastAsia="宋体" w:hint="default"/>
                <w:sz w:val="18"/>
                <w:szCs w:val="18"/>
              </w:rPr>
            </w:pPr>
            <w:r>
              <w:rPr>
                <w:rFonts w:ascii="宋体" w:hAnsi="宋体" w:cs="宋体" w:eastAsia="宋体" w:hint="default"/>
                <w:sz w:val="18"/>
                <w:szCs w:val="18"/>
              </w:rPr>
              <w:t>无 定 限</w:t>
            </w:r>
          </w:p>
        </w:tc>
        <w:tc>
          <w:tcPr>
            <w:tcW w:w="354"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64" w:lineRule="auto"/>
              <w:ind w:left="66" w:right="101"/>
              <w:jc w:val="left"/>
              <w:rPr>
                <w:rFonts w:ascii="宋体" w:hAnsi="宋体" w:cs="宋体" w:eastAsia="宋体" w:hint="default"/>
                <w:sz w:val="18"/>
                <w:szCs w:val="18"/>
              </w:rPr>
            </w:pPr>
            <w:r>
              <w:rPr>
                <w:rFonts w:ascii="宋体" w:hAnsi="宋体" w:cs="宋体" w:eastAsia="宋体" w:hint="default"/>
                <w:sz w:val="18"/>
                <w:szCs w:val="18"/>
              </w:rPr>
              <w:t>固 期</w:t>
            </w: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他经济组织。承诺人若违反上述承诺，将承担因此而给本公司、</w:t>
            </w:r>
          </w:p>
          <w:p>
            <w:pPr>
              <w:pStyle w:val="TableParagraph"/>
              <w:spacing w:line="261" w:lineRule="auto" w:before="26"/>
              <w:ind w:left="105" w:right="8"/>
              <w:jc w:val="left"/>
              <w:rPr>
                <w:rFonts w:ascii="宋体" w:hAnsi="宋体" w:cs="宋体" w:eastAsia="宋体" w:hint="default"/>
                <w:sz w:val="18"/>
                <w:szCs w:val="18"/>
              </w:rPr>
            </w:pPr>
            <w:r>
              <w:rPr>
                <w:rFonts w:ascii="宋体" w:hAnsi="宋体" w:cs="宋体" w:eastAsia="宋体" w:hint="default"/>
                <w:sz w:val="18"/>
                <w:szCs w:val="18"/>
              </w:rPr>
              <w:t>创世漫道及其控制的其他公司、企业或者其他经济组织造成的一 切损失。 </w:t>
            </w:r>
            <w:r>
              <w:rPr>
                <w:rFonts w:ascii="Times New Roman" w:hAnsi="Times New Roman" w:cs="Times New Roman" w:eastAsia="Times New Roman" w:hint="default"/>
                <w:spacing w:val="-1"/>
                <w:sz w:val="18"/>
                <w:szCs w:val="18"/>
              </w:rPr>
              <w:t>3</w:t>
            </w:r>
            <w:r>
              <w:rPr>
                <w:rFonts w:ascii="宋体" w:hAnsi="宋体" w:cs="宋体" w:eastAsia="宋体" w:hint="default"/>
                <w:spacing w:val="-1"/>
                <w:sz w:val="18"/>
                <w:szCs w:val="18"/>
              </w:rPr>
              <w:t>、减少和规范关联交易承诺：承诺人在作为本公司的股东期间，</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承诺人及承诺人控制的其他公司、企业或者其他经济组织将尽量</w:t>
            </w:r>
            <w:r>
              <w:rPr>
                <w:rFonts w:ascii="宋体" w:hAnsi="宋体" w:cs="宋体" w:eastAsia="宋体" w:hint="default"/>
                <w:sz w:val="18"/>
                <w:szCs w:val="18"/>
              </w:rPr>
              <w:t> 减少并规范与本公司、创世漫道及其控制的其他公司、企业或者</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4"/>
                <w:szCs w:val="14"/>
              </w:rPr>
            </w:pPr>
          </w:p>
          <w:p>
            <w:pPr>
              <w:pStyle w:val="TableParagraph"/>
              <w:spacing w:line="240" w:lineRule="auto"/>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 </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p>
          <w:p>
            <w:pPr>
              <w:pStyle w:val="TableParagraph"/>
              <w:spacing w:line="240" w:lineRule="auto" w:before="10"/>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18</w:t>
            </w:r>
          </w:p>
          <w:p>
            <w:pPr>
              <w:pStyle w:val="TableParagraph"/>
              <w:spacing w:line="240" w:lineRule="auto" w:before="12"/>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9"/>
                <w:szCs w:val="19"/>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264" w:lineRule="auto"/>
              <w:ind w:left="105" w:right="192"/>
              <w:jc w:val="left"/>
              <w:rPr>
                <w:rFonts w:ascii="宋体" w:hAnsi="宋体" w:cs="宋体" w:eastAsia="宋体" w:hint="default"/>
                <w:sz w:val="18"/>
                <w:szCs w:val="18"/>
              </w:rPr>
            </w:pPr>
            <w:r>
              <w:rPr>
                <w:rFonts w:ascii="宋体" w:hAnsi="宋体" w:cs="宋体" w:eastAsia="宋体" w:hint="default"/>
                <w:sz w:val="18"/>
                <w:szCs w:val="18"/>
              </w:rPr>
              <w:t>遵守了 承诺</w:t>
            </w: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其他经济组织之间的关联交易。承诺人对于无法避免或有合理原</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105" w:right="0"/>
              <w:jc w:val="left"/>
              <w:rPr>
                <w:rFonts w:ascii="宋体" w:hAnsi="宋体" w:cs="宋体" w:eastAsia="宋体" w:hint="default"/>
                <w:sz w:val="18"/>
                <w:szCs w:val="18"/>
              </w:rPr>
            </w:pPr>
            <w:r>
              <w:rPr>
                <w:rFonts w:ascii="宋体" w:hAnsi="宋体" w:cs="宋体" w:eastAsia="宋体" w:hint="default"/>
                <w:sz w:val="18"/>
                <w:szCs w:val="18"/>
              </w:rPr>
              <w:t>因而发生的与本公司或创世漫道之间的关联交易，承诺人及承诺</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9"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人控制的其他公司、企业或者其他经济组织将遵循市场原则以公</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允、合理的市场价格进行，根据有关法律、法规及规范性文件的</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105" w:right="0"/>
              <w:jc w:val="left"/>
              <w:rPr>
                <w:rFonts w:ascii="宋体" w:hAnsi="宋体" w:cs="宋体" w:eastAsia="宋体" w:hint="default"/>
                <w:sz w:val="18"/>
                <w:szCs w:val="18"/>
              </w:rPr>
            </w:pPr>
            <w:r>
              <w:rPr>
                <w:rFonts w:ascii="宋体" w:hAnsi="宋体" w:cs="宋体" w:eastAsia="宋体" w:hint="default"/>
                <w:sz w:val="18"/>
                <w:szCs w:val="18"/>
              </w:rPr>
              <w:t>规定履行关联交易决策程序，依法履行信息披露义务和办理有关</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9"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报批程序，不利用股东优势地位损害本公司及其他股东的合法权</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1"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益。承诺人不会利用拥有的本公司股东权利操纵、指使公司或者</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105" w:right="0"/>
              <w:jc w:val="left"/>
              <w:rPr>
                <w:rFonts w:ascii="宋体" w:hAnsi="宋体" w:cs="宋体" w:eastAsia="宋体" w:hint="default"/>
                <w:sz w:val="18"/>
                <w:szCs w:val="18"/>
              </w:rPr>
            </w:pPr>
            <w:r>
              <w:rPr>
                <w:rFonts w:ascii="宋体" w:hAnsi="宋体" w:cs="宋体" w:eastAsia="宋体" w:hint="default"/>
                <w:sz w:val="18"/>
                <w:szCs w:val="18"/>
              </w:rPr>
              <w:t>公司董事、监事、高级管理人员，使得公司以不公平的条件，提</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9"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供或者接受资金、商品、服务或者其他资产，或从事任何损害公</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pacing w:val="-4"/>
                <w:sz w:val="18"/>
                <w:szCs w:val="18"/>
              </w:rPr>
              <w:t>司利益的行为。承诺人若违反上述承诺，将承担因此而给本公司、</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105" w:right="0"/>
              <w:jc w:val="left"/>
              <w:rPr>
                <w:rFonts w:ascii="宋体" w:hAnsi="宋体" w:cs="宋体" w:eastAsia="宋体" w:hint="default"/>
                <w:sz w:val="18"/>
                <w:szCs w:val="18"/>
              </w:rPr>
            </w:pPr>
            <w:r>
              <w:rPr>
                <w:rFonts w:ascii="宋体" w:hAnsi="宋体" w:cs="宋体" w:eastAsia="宋体" w:hint="default"/>
                <w:sz w:val="18"/>
                <w:szCs w:val="18"/>
              </w:rPr>
              <w:t>创世漫道及其控制的其他公司、企业或者其他经济组织造成的一</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49" w:hRule="exact"/>
        </w:trPr>
        <w:tc>
          <w:tcPr>
            <w:tcW w:w="708" w:type="dxa"/>
            <w:tcBorders>
              <w:top w:val="nil" w:sz="6" w:space="0" w:color="auto"/>
              <w:left w:val="single" w:sz="4" w:space="0" w:color="000000"/>
              <w:bottom w:val="single" w:sz="4" w:space="0" w:color="000000"/>
              <w:right w:val="single" w:sz="4" w:space="0" w:color="000000"/>
            </w:tcBorders>
          </w:tcPr>
          <w:p>
            <w:pPr/>
          </w:p>
        </w:tc>
        <w:tc>
          <w:tcPr>
            <w:tcW w:w="852" w:type="dxa"/>
            <w:tcBorders>
              <w:top w:val="nil" w:sz="6" w:space="0" w:color="auto"/>
              <w:left w:val="single" w:sz="4" w:space="0" w:color="000000"/>
              <w:bottom w:val="single" w:sz="4" w:space="0" w:color="000000"/>
              <w:right w:val="single" w:sz="4" w:space="0" w:color="000000"/>
            </w:tcBorders>
          </w:tcPr>
          <w:p>
            <w:pPr/>
          </w:p>
        </w:tc>
        <w:tc>
          <w:tcPr>
            <w:tcW w:w="354" w:type="dxa"/>
            <w:tcBorders>
              <w:top w:val="nil" w:sz="6" w:space="0" w:color="auto"/>
              <w:left w:val="single" w:sz="4" w:space="0" w:color="000000"/>
              <w:bottom w:val="single" w:sz="4" w:space="0" w:color="000000"/>
              <w:right w:val="nil" w:sz="6" w:space="0" w:color="auto"/>
            </w:tcBorders>
          </w:tcPr>
          <w:p>
            <w:pPr/>
          </w:p>
        </w:tc>
        <w:tc>
          <w:tcPr>
            <w:tcW w:w="354" w:type="dxa"/>
            <w:tcBorders>
              <w:top w:val="nil" w:sz="6" w:space="0" w:color="auto"/>
              <w:left w:val="nil" w:sz="6" w:space="0" w:color="auto"/>
              <w:bottom w:val="single" w:sz="4" w:space="0" w:color="000000"/>
              <w:right w:val="single" w:sz="4" w:space="0" w:color="000000"/>
            </w:tcBorders>
          </w:tcPr>
          <w:p>
            <w:pPr/>
          </w:p>
        </w:tc>
        <w:tc>
          <w:tcPr>
            <w:tcW w:w="5245" w:type="dxa"/>
            <w:tcBorders>
              <w:top w:val="nil" w:sz="6" w:space="0" w:color="auto"/>
              <w:left w:val="single" w:sz="4" w:space="0" w:color="000000"/>
              <w:bottom w:val="single" w:sz="4" w:space="0" w:color="000000"/>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切损失。</w:t>
            </w:r>
          </w:p>
        </w:tc>
        <w:tc>
          <w:tcPr>
            <w:tcW w:w="852"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r>
      <w:tr>
        <w:trPr>
          <w:trHeight w:val="286" w:hRule="exact"/>
        </w:trPr>
        <w:tc>
          <w:tcPr>
            <w:tcW w:w="708" w:type="dxa"/>
            <w:tcBorders>
              <w:top w:val="single" w:sz="4" w:space="0" w:color="000000"/>
              <w:left w:val="single" w:sz="4" w:space="0" w:color="000000"/>
              <w:bottom w:val="nil" w:sz="6" w:space="0" w:color="auto"/>
              <w:right w:val="single" w:sz="4" w:space="0" w:color="000000"/>
            </w:tcBorders>
          </w:tcPr>
          <w:p>
            <w:pPr/>
          </w:p>
        </w:tc>
        <w:tc>
          <w:tcPr>
            <w:tcW w:w="852" w:type="dxa"/>
            <w:tcBorders>
              <w:top w:val="single" w:sz="4" w:space="0" w:color="000000"/>
              <w:left w:val="single" w:sz="4" w:space="0" w:color="000000"/>
              <w:bottom w:val="nil" w:sz="6" w:space="0" w:color="auto"/>
              <w:right w:val="single" w:sz="4" w:space="0" w:color="000000"/>
            </w:tcBorders>
          </w:tcPr>
          <w:p>
            <w:pPr/>
          </w:p>
        </w:tc>
        <w:tc>
          <w:tcPr>
            <w:tcW w:w="354" w:type="dxa"/>
            <w:tcBorders>
              <w:top w:val="single" w:sz="4" w:space="0" w:color="000000"/>
              <w:left w:val="single" w:sz="4" w:space="0" w:color="000000"/>
              <w:bottom w:val="nil" w:sz="6" w:space="0" w:color="auto"/>
              <w:right w:val="nil" w:sz="6" w:space="0" w:color="auto"/>
            </w:tcBorders>
          </w:tcPr>
          <w:p>
            <w:pPr/>
          </w:p>
        </w:tc>
        <w:tc>
          <w:tcPr>
            <w:tcW w:w="354" w:type="dxa"/>
            <w:tcBorders>
              <w:top w:val="single" w:sz="4" w:space="0" w:color="000000"/>
              <w:left w:val="nil" w:sz="6" w:space="0" w:color="auto"/>
              <w:bottom w:val="nil" w:sz="6" w:space="0" w:color="auto"/>
              <w:right w:val="single" w:sz="4" w:space="0" w:color="000000"/>
            </w:tcBorders>
          </w:tcPr>
          <w:p>
            <w:pPr/>
          </w:p>
        </w:tc>
        <w:tc>
          <w:tcPr>
            <w:tcW w:w="524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、避免同业竞争承诺：承诺人在作为本公司的股东</w:t>
            </w:r>
            <w:r>
              <w:rPr>
                <w:rFonts w:ascii="Times New Roman" w:hAnsi="Times New Roman" w:cs="Times New Roman" w:eastAsia="Times New Roman" w:hint="default"/>
                <w:sz w:val="18"/>
                <w:szCs w:val="18"/>
              </w:rPr>
              <w:t>/</w:t>
            </w:r>
            <w:r>
              <w:rPr>
                <w:rFonts w:ascii="宋体" w:hAnsi="宋体" w:cs="宋体" w:eastAsia="宋体" w:hint="default"/>
                <w:sz w:val="18"/>
                <w:szCs w:val="18"/>
              </w:rPr>
              <w:t>实际控制人</w:t>
            </w:r>
          </w:p>
        </w:tc>
        <w:tc>
          <w:tcPr>
            <w:tcW w:w="852"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r>
      <w:tr>
        <w:trPr>
          <w:trHeight w:val="254"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105" w:right="0"/>
              <w:jc w:val="left"/>
              <w:rPr>
                <w:rFonts w:ascii="宋体" w:hAnsi="宋体" w:cs="宋体" w:eastAsia="宋体" w:hint="default"/>
                <w:sz w:val="18"/>
                <w:szCs w:val="18"/>
              </w:rPr>
            </w:pPr>
            <w:r>
              <w:rPr>
                <w:rFonts w:ascii="宋体" w:hAnsi="宋体" w:cs="宋体" w:eastAsia="宋体" w:hint="default"/>
                <w:sz w:val="18"/>
                <w:szCs w:val="18"/>
              </w:rPr>
              <w:t>期间，承诺人及承诺人控制的其他公司、企业或者其他经济组织</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pacing w:val="5"/>
                <w:sz w:val="18"/>
                <w:szCs w:val="18"/>
              </w:rPr>
              <w:t>等关联方将避免从事任何与本公司和创世漫道及其控制的其他</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105" w:right="0"/>
              <w:jc w:val="left"/>
              <w:rPr>
                <w:rFonts w:ascii="宋体" w:hAnsi="宋体" w:cs="宋体" w:eastAsia="宋体" w:hint="default"/>
                <w:sz w:val="18"/>
                <w:szCs w:val="18"/>
              </w:rPr>
            </w:pPr>
            <w:r>
              <w:rPr>
                <w:rFonts w:ascii="宋体" w:hAnsi="宋体" w:cs="宋体" w:eastAsia="宋体" w:hint="default"/>
                <w:sz w:val="18"/>
                <w:szCs w:val="18"/>
              </w:rPr>
              <w:t>公司、企业或者其他经济组织相同或相似且构成或可能构成竞争</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9"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关系的业务，亦不从事任何可能损害本公司和创世漫道及其控制</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的其他公司、企业或者其他经济组织利益的活动。如承诺人及承</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5"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27"/>
              <w:ind w:left="103" w:right="0"/>
              <w:jc w:val="left"/>
              <w:rPr>
                <w:rFonts w:ascii="Times New Roman" w:hAnsi="Times New Roman" w:cs="Times New Roman" w:eastAsia="Times New Roman" w:hint="default"/>
                <w:sz w:val="18"/>
                <w:szCs w:val="18"/>
              </w:rPr>
            </w:pPr>
            <w:r>
              <w:rPr>
                <w:rFonts w:ascii="Times New Roman"/>
                <w:sz w:val="18"/>
              </w:rPr>
              <w:t>2014</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105" w:right="0"/>
              <w:jc w:val="left"/>
              <w:rPr>
                <w:rFonts w:ascii="宋体" w:hAnsi="宋体" w:cs="宋体" w:eastAsia="宋体" w:hint="default"/>
                <w:sz w:val="18"/>
                <w:szCs w:val="18"/>
              </w:rPr>
            </w:pPr>
            <w:r>
              <w:rPr>
                <w:rFonts w:ascii="宋体" w:hAnsi="宋体" w:cs="宋体" w:eastAsia="宋体" w:hint="default"/>
                <w:spacing w:val="32"/>
                <w:sz w:val="18"/>
                <w:szCs w:val="18"/>
              </w:rPr>
              <w:t>中兆投</w:t>
            </w:r>
            <w:r>
              <w:rPr>
                <w:rFonts w:ascii="宋体" w:hAnsi="宋体" w:cs="宋体" w:eastAsia="宋体" w:hint="default"/>
                <w:spacing w:val="-42"/>
                <w:sz w:val="18"/>
                <w:szCs w:val="18"/>
              </w:rPr>
              <w:t> </w:t>
            </w:r>
            <w:r>
              <w:rPr>
                <w:rFonts w:ascii="宋体" w:hAnsi="宋体" w:cs="宋体" w:eastAsia="宋体" w:hint="default"/>
                <w:sz w:val="18"/>
                <w:szCs w:val="18"/>
              </w:rPr>
            </w: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105" w:right="0"/>
              <w:jc w:val="left"/>
              <w:rPr>
                <w:rFonts w:ascii="宋体" w:hAnsi="宋体" w:cs="宋体" w:eastAsia="宋体" w:hint="default"/>
                <w:sz w:val="18"/>
                <w:szCs w:val="18"/>
              </w:rPr>
            </w:pPr>
            <w:r>
              <w:rPr>
                <w:rFonts w:ascii="宋体" w:hAnsi="宋体" w:cs="宋体" w:eastAsia="宋体" w:hint="default"/>
                <w:sz w:val="18"/>
                <w:szCs w:val="18"/>
              </w:rPr>
              <w:t>诺人控制的其他公司、企业或者其他经济组织遇到本公司和创世</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776"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103"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宋体" w:hAnsi="宋体" w:cs="宋体" w:eastAsia="宋体" w:hint="default"/>
                <w:sz w:val="18"/>
                <w:szCs w:val="18"/>
              </w:rPr>
              <w:t>重</w:t>
            </w:r>
          </w:p>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组</w:t>
            </w:r>
            <w:r>
              <w:rPr>
                <w:rFonts w:ascii="宋体" w:hAnsi="宋体" w:cs="宋体" w:eastAsia="宋体" w:hint="default"/>
                <w:spacing w:val="42"/>
                <w:sz w:val="18"/>
                <w:szCs w:val="18"/>
              </w:rPr>
              <w:t> </w:t>
            </w:r>
            <w:r>
              <w:rPr>
                <w:rFonts w:ascii="宋体" w:hAnsi="宋体" w:cs="宋体" w:eastAsia="宋体" w:hint="default"/>
                <w:sz w:val="18"/>
                <w:szCs w:val="18"/>
              </w:rPr>
              <w:t>时</w:t>
            </w:r>
          </w:p>
          <w:p>
            <w:pPr>
              <w:pStyle w:val="TableParagraph"/>
              <w:spacing w:line="240" w:lineRule="auto" w:before="26"/>
              <w:ind w:left="103" w:right="0"/>
              <w:jc w:val="left"/>
              <w:rPr>
                <w:rFonts w:ascii="宋体" w:hAnsi="宋体" w:cs="宋体" w:eastAsia="宋体" w:hint="default"/>
                <w:sz w:val="18"/>
                <w:szCs w:val="18"/>
              </w:rPr>
            </w:pPr>
            <w:r>
              <w:rPr>
                <w:rFonts w:ascii="宋体" w:hAnsi="宋体" w:cs="宋体" w:eastAsia="宋体" w:hint="default"/>
                <w:sz w:val="18"/>
                <w:szCs w:val="18"/>
              </w:rPr>
              <w:t>所</w:t>
            </w:r>
            <w:r>
              <w:rPr>
                <w:rFonts w:ascii="宋体" w:hAnsi="宋体" w:cs="宋体" w:eastAsia="宋体" w:hint="default"/>
                <w:spacing w:val="42"/>
                <w:sz w:val="18"/>
                <w:szCs w:val="18"/>
              </w:rPr>
              <w:t> </w:t>
            </w:r>
            <w:r>
              <w:rPr>
                <w:rFonts w:ascii="宋体" w:hAnsi="宋体" w:cs="宋体" w:eastAsia="宋体" w:hint="default"/>
                <w:sz w:val="18"/>
                <w:szCs w:val="18"/>
              </w:rPr>
              <w:t>作</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105" w:right="0"/>
              <w:jc w:val="left"/>
              <w:rPr>
                <w:rFonts w:ascii="宋体" w:hAnsi="宋体" w:cs="宋体" w:eastAsia="宋体" w:hint="default"/>
                <w:sz w:val="18"/>
                <w:szCs w:val="18"/>
              </w:rPr>
            </w:pPr>
            <w:r>
              <w:rPr>
                <w:rFonts w:ascii="宋体" w:hAnsi="宋体" w:cs="宋体" w:eastAsia="宋体" w:hint="default"/>
                <w:sz w:val="18"/>
                <w:szCs w:val="18"/>
              </w:rPr>
              <w:t>资</w:t>
            </w:r>
            <w:r>
              <w:rPr>
                <w:rFonts w:ascii="宋体" w:hAnsi="宋体" w:cs="宋体" w:eastAsia="宋体" w:hint="default"/>
                <w:spacing w:val="-85"/>
                <w:sz w:val="18"/>
                <w:szCs w:val="18"/>
              </w:rPr>
              <w:t>、</w:t>
            </w:r>
            <w:r>
              <w:rPr>
                <w:rFonts w:ascii="宋体" w:hAnsi="宋体" w:cs="宋体" w:eastAsia="宋体" w:hint="default"/>
                <w:sz w:val="18"/>
                <w:szCs w:val="18"/>
              </w:rPr>
              <w:t>原实</w:t>
            </w:r>
          </w:p>
          <w:p>
            <w:pPr>
              <w:pStyle w:val="TableParagraph"/>
              <w:spacing w:line="266" w:lineRule="auto" w:before="23"/>
              <w:ind w:left="105" w:right="50"/>
              <w:jc w:val="left"/>
              <w:rPr>
                <w:rFonts w:ascii="宋体" w:hAnsi="宋体" w:cs="宋体" w:eastAsia="宋体" w:hint="default"/>
                <w:sz w:val="18"/>
                <w:szCs w:val="18"/>
              </w:rPr>
            </w:pPr>
            <w:r>
              <w:rPr>
                <w:rFonts w:ascii="宋体" w:hAnsi="宋体" w:cs="宋体" w:eastAsia="宋体" w:hint="default"/>
                <w:spacing w:val="32"/>
                <w:sz w:val="18"/>
                <w:szCs w:val="18"/>
              </w:rPr>
              <w:t>际控制</w:t>
            </w:r>
            <w:r>
              <w:rPr>
                <w:rFonts w:ascii="宋体" w:hAnsi="宋体" w:cs="宋体" w:eastAsia="宋体" w:hint="default"/>
                <w:spacing w:val="-42"/>
                <w:sz w:val="18"/>
                <w:szCs w:val="18"/>
              </w:rPr>
              <w:t> </w:t>
            </w:r>
            <w:r>
              <w:rPr>
                <w:rFonts w:ascii="宋体" w:hAnsi="宋体" w:cs="宋体" w:eastAsia="宋体" w:hint="default"/>
                <w:spacing w:val="32"/>
                <w:sz w:val="18"/>
                <w:szCs w:val="18"/>
              </w:rPr>
              <w:t>人黄茂</w:t>
            </w:r>
            <w:r>
              <w:rPr>
                <w:rFonts w:ascii="宋体" w:hAnsi="宋体" w:cs="宋体" w:eastAsia="宋体" w:hint="default"/>
                <w:spacing w:val="-42"/>
                <w:sz w:val="18"/>
                <w:szCs w:val="18"/>
              </w:rPr>
              <w:t> </w:t>
            </w:r>
            <w:r>
              <w:rPr>
                <w:rFonts w:ascii="宋体" w:hAnsi="宋体" w:cs="宋体" w:eastAsia="宋体" w:hint="default"/>
                <w:sz w:val="18"/>
                <w:szCs w:val="18"/>
              </w:rPr>
            </w:r>
          </w:p>
        </w:tc>
        <w:tc>
          <w:tcPr>
            <w:tcW w:w="354" w:type="dxa"/>
            <w:tcBorders>
              <w:top w:val="nil" w:sz="6" w:space="0" w:color="auto"/>
              <w:left w:val="single" w:sz="4" w:space="0" w:color="000000"/>
              <w:bottom w:val="nil" w:sz="6" w:space="0" w:color="auto"/>
              <w:right w:val="nil" w:sz="6" w:space="0" w:color="auto"/>
            </w:tcBorders>
          </w:tcPr>
          <w:p>
            <w:pPr>
              <w:pStyle w:val="TableParagraph"/>
              <w:spacing w:line="215" w:lineRule="exact"/>
              <w:ind w:left="103" w:right="0"/>
              <w:jc w:val="left"/>
              <w:rPr>
                <w:rFonts w:ascii="宋体" w:hAnsi="宋体" w:cs="宋体" w:eastAsia="宋体" w:hint="default"/>
                <w:sz w:val="18"/>
                <w:szCs w:val="18"/>
              </w:rPr>
            </w:pPr>
            <w:r>
              <w:rPr>
                <w:rFonts w:ascii="宋体" w:hAnsi="宋体" w:cs="宋体" w:eastAsia="宋体" w:hint="default"/>
                <w:sz w:val="18"/>
                <w:szCs w:val="18"/>
              </w:rPr>
              <w:t>无</w:t>
            </w:r>
          </w:p>
          <w:p>
            <w:pPr>
              <w:pStyle w:val="TableParagraph"/>
              <w:spacing w:line="266" w:lineRule="auto" w:before="23"/>
              <w:ind w:left="103" w:right="65"/>
              <w:jc w:val="left"/>
              <w:rPr>
                <w:rFonts w:ascii="宋体" w:hAnsi="宋体" w:cs="宋体" w:eastAsia="宋体" w:hint="default"/>
                <w:sz w:val="18"/>
                <w:szCs w:val="18"/>
              </w:rPr>
            </w:pPr>
            <w:r>
              <w:rPr>
                <w:rFonts w:ascii="宋体" w:hAnsi="宋体" w:cs="宋体" w:eastAsia="宋体" w:hint="default"/>
                <w:sz w:val="18"/>
                <w:szCs w:val="18"/>
              </w:rPr>
              <w:t>定 限</w:t>
            </w:r>
          </w:p>
        </w:tc>
        <w:tc>
          <w:tcPr>
            <w:tcW w:w="354" w:type="dxa"/>
            <w:tcBorders>
              <w:top w:val="nil" w:sz="6" w:space="0" w:color="auto"/>
              <w:left w:val="nil" w:sz="6" w:space="0" w:color="auto"/>
              <w:bottom w:val="nil" w:sz="6" w:space="0" w:color="auto"/>
              <w:right w:val="single" w:sz="4" w:space="0" w:color="000000"/>
            </w:tcBorders>
          </w:tcPr>
          <w:p>
            <w:pPr>
              <w:pStyle w:val="TableParagraph"/>
              <w:spacing w:line="215" w:lineRule="exact"/>
              <w:ind w:left="66" w:right="0"/>
              <w:jc w:val="left"/>
              <w:rPr>
                <w:rFonts w:ascii="宋体" w:hAnsi="宋体" w:cs="宋体" w:eastAsia="宋体" w:hint="default"/>
                <w:sz w:val="18"/>
                <w:szCs w:val="18"/>
              </w:rPr>
            </w:pPr>
            <w:r>
              <w:rPr>
                <w:rFonts w:ascii="宋体" w:hAnsi="宋体" w:cs="宋体" w:eastAsia="宋体" w:hint="default"/>
                <w:sz w:val="18"/>
                <w:szCs w:val="18"/>
              </w:rPr>
              <w:t>固</w:t>
            </w:r>
          </w:p>
          <w:p>
            <w:pPr>
              <w:pStyle w:val="TableParagraph"/>
              <w:spacing w:line="240" w:lineRule="auto" w:before="23"/>
              <w:ind w:left="66" w:right="0"/>
              <w:jc w:val="left"/>
              <w:rPr>
                <w:rFonts w:ascii="宋体" w:hAnsi="宋体" w:cs="宋体" w:eastAsia="宋体" w:hint="default"/>
                <w:sz w:val="18"/>
                <w:szCs w:val="18"/>
              </w:rPr>
            </w:pPr>
            <w:r>
              <w:rPr>
                <w:rFonts w:ascii="宋体" w:hAnsi="宋体" w:cs="宋体" w:eastAsia="宋体" w:hint="default"/>
                <w:sz w:val="18"/>
                <w:szCs w:val="18"/>
              </w:rPr>
              <w:t>期</w:t>
            </w: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105" w:right="0"/>
              <w:jc w:val="left"/>
              <w:rPr>
                <w:rFonts w:ascii="宋体" w:hAnsi="宋体" w:cs="宋体" w:eastAsia="宋体" w:hint="default"/>
                <w:sz w:val="18"/>
                <w:szCs w:val="18"/>
              </w:rPr>
            </w:pPr>
            <w:r>
              <w:rPr>
                <w:rFonts w:ascii="宋体" w:hAnsi="宋体" w:cs="宋体" w:eastAsia="宋体" w:hint="default"/>
                <w:sz w:val="18"/>
                <w:szCs w:val="18"/>
              </w:rPr>
              <w:t>漫道及其控制的其他公司、企业或者其他经济组织主营业务范围</w:t>
            </w:r>
          </w:p>
          <w:p>
            <w:pPr>
              <w:pStyle w:val="TableParagraph"/>
              <w:spacing w:line="266" w:lineRule="auto" w:before="23"/>
              <w:ind w:left="105" w:right="97"/>
              <w:jc w:val="left"/>
              <w:rPr>
                <w:rFonts w:ascii="宋体" w:hAnsi="宋体" w:cs="宋体" w:eastAsia="宋体" w:hint="default"/>
                <w:sz w:val="18"/>
                <w:szCs w:val="18"/>
              </w:rPr>
            </w:pPr>
            <w:r>
              <w:rPr>
                <w:rFonts w:ascii="宋体" w:hAnsi="宋体" w:cs="宋体" w:eastAsia="宋体" w:hint="default"/>
                <w:spacing w:val="-1"/>
                <w:sz w:val="18"/>
                <w:szCs w:val="18"/>
              </w:rPr>
              <w:t>内的业务机会，承诺人及承诺人控制的其他公司、企业或者其他</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5"/>
                <w:sz w:val="18"/>
                <w:szCs w:val="18"/>
              </w:rPr>
              <w:t>经济组织将该等合作机会让予本公司或创世漫道及其控制的其</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28" w:lineRule="exact"/>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 </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p>
          <w:p>
            <w:pPr>
              <w:pStyle w:val="TableParagraph"/>
              <w:spacing w:line="240" w:lineRule="auto" w:before="10"/>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18</w:t>
            </w:r>
          </w:p>
          <w:p>
            <w:pPr>
              <w:pStyle w:val="TableParagraph"/>
              <w:spacing w:line="240" w:lineRule="auto" w:before="13"/>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64" w:lineRule="auto" w:before="108"/>
              <w:ind w:left="105" w:right="192"/>
              <w:jc w:val="left"/>
              <w:rPr>
                <w:rFonts w:ascii="宋体" w:hAnsi="宋体" w:cs="宋体" w:eastAsia="宋体" w:hint="default"/>
                <w:sz w:val="18"/>
                <w:szCs w:val="18"/>
              </w:rPr>
            </w:pPr>
            <w:r>
              <w:rPr>
                <w:rFonts w:ascii="宋体" w:hAnsi="宋体" w:cs="宋体" w:eastAsia="宋体" w:hint="default"/>
                <w:sz w:val="18"/>
                <w:szCs w:val="18"/>
              </w:rPr>
              <w:t>遵守了 承诺</w:t>
            </w:r>
          </w:p>
        </w:tc>
      </w:tr>
      <w:tr>
        <w:trPr>
          <w:trHeight w:val="259"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3" w:right="0"/>
              <w:jc w:val="left"/>
              <w:rPr>
                <w:rFonts w:ascii="宋体" w:hAnsi="宋体" w:cs="宋体" w:eastAsia="宋体" w:hint="default"/>
                <w:sz w:val="18"/>
                <w:szCs w:val="18"/>
              </w:rPr>
            </w:pPr>
            <w:r>
              <w:rPr>
                <w:rFonts w:ascii="宋体" w:hAnsi="宋体" w:cs="宋体" w:eastAsia="宋体" w:hint="default"/>
                <w:sz w:val="18"/>
                <w:szCs w:val="18"/>
              </w:rPr>
              <w:t>承诺</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如先生</w:t>
            </w: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他公司、企业或者其他经济组织。承诺人若违反上述承诺，将承</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担因此而给本公司和创世漫道及其控制的其他公司、企业或者其</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105" w:right="0"/>
              <w:jc w:val="left"/>
              <w:rPr>
                <w:rFonts w:ascii="宋体" w:hAnsi="宋体" w:cs="宋体" w:eastAsia="宋体" w:hint="default"/>
                <w:sz w:val="18"/>
                <w:szCs w:val="18"/>
              </w:rPr>
            </w:pPr>
            <w:r>
              <w:rPr>
                <w:rFonts w:ascii="宋体" w:hAnsi="宋体" w:cs="宋体" w:eastAsia="宋体" w:hint="default"/>
                <w:sz w:val="18"/>
                <w:szCs w:val="18"/>
              </w:rPr>
              <w:t>他经济组织造成的一切损失。</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4"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105" w:right="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、减少和规范关联交易承诺：承诺中兆投资、黄茂如与其控股</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105" w:right="0"/>
              <w:jc w:val="left"/>
              <w:rPr>
                <w:rFonts w:ascii="宋体" w:hAnsi="宋体" w:cs="宋体" w:eastAsia="宋体" w:hint="default"/>
                <w:sz w:val="18"/>
                <w:szCs w:val="18"/>
              </w:rPr>
            </w:pPr>
            <w:r>
              <w:rPr>
                <w:rFonts w:ascii="宋体" w:hAnsi="宋体" w:cs="宋体" w:eastAsia="宋体" w:hint="default"/>
                <w:spacing w:val="5"/>
                <w:sz w:val="18"/>
                <w:szCs w:val="18"/>
              </w:rPr>
              <w:t>公司或拥有实际控制权或重大影响的其他公司不会利用拥有的</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105" w:right="0"/>
              <w:jc w:val="left"/>
              <w:rPr>
                <w:rFonts w:ascii="宋体" w:hAnsi="宋体" w:cs="宋体" w:eastAsia="宋体" w:hint="default"/>
                <w:sz w:val="18"/>
                <w:szCs w:val="18"/>
              </w:rPr>
            </w:pPr>
            <w:r>
              <w:rPr>
                <w:rFonts w:ascii="宋体" w:hAnsi="宋体" w:cs="宋体" w:eastAsia="宋体" w:hint="default"/>
                <w:spacing w:val="5"/>
                <w:sz w:val="18"/>
                <w:szCs w:val="18"/>
              </w:rPr>
              <w:t>本公司股东权利或者实际控制能力操纵、指使公司或者公司董</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49" w:hRule="exact"/>
        </w:trPr>
        <w:tc>
          <w:tcPr>
            <w:tcW w:w="708" w:type="dxa"/>
            <w:tcBorders>
              <w:top w:val="nil" w:sz="6" w:space="0" w:color="auto"/>
              <w:left w:val="single" w:sz="4" w:space="0" w:color="000000"/>
              <w:bottom w:val="single" w:sz="4" w:space="0" w:color="000000"/>
              <w:right w:val="single" w:sz="4" w:space="0" w:color="000000"/>
            </w:tcBorders>
          </w:tcPr>
          <w:p>
            <w:pPr/>
          </w:p>
        </w:tc>
        <w:tc>
          <w:tcPr>
            <w:tcW w:w="852" w:type="dxa"/>
            <w:tcBorders>
              <w:top w:val="nil" w:sz="6" w:space="0" w:color="auto"/>
              <w:left w:val="single" w:sz="4" w:space="0" w:color="000000"/>
              <w:bottom w:val="single" w:sz="4" w:space="0" w:color="000000"/>
              <w:right w:val="single" w:sz="4" w:space="0" w:color="000000"/>
            </w:tcBorders>
          </w:tcPr>
          <w:p>
            <w:pPr/>
          </w:p>
        </w:tc>
        <w:tc>
          <w:tcPr>
            <w:tcW w:w="354" w:type="dxa"/>
            <w:tcBorders>
              <w:top w:val="nil" w:sz="6" w:space="0" w:color="auto"/>
              <w:left w:val="single" w:sz="4" w:space="0" w:color="000000"/>
              <w:bottom w:val="single" w:sz="4" w:space="0" w:color="000000"/>
              <w:right w:val="nil" w:sz="6" w:space="0" w:color="auto"/>
            </w:tcBorders>
          </w:tcPr>
          <w:p>
            <w:pPr/>
          </w:p>
        </w:tc>
        <w:tc>
          <w:tcPr>
            <w:tcW w:w="354" w:type="dxa"/>
            <w:tcBorders>
              <w:top w:val="nil" w:sz="6" w:space="0" w:color="auto"/>
              <w:left w:val="nil" w:sz="6" w:space="0" w:color="auto"/>
              <w:bottom w:val="single" w:sz="4" w:space="0" w:color="000000"/>
              <w:right w:val="single" w:sz="4" w:space="0" w:color="000000"/>
            </w:tcBorders>
          </w:tcPr>
          <w:p>
            <w:pPr/>
          </w:p>
        </w:tc>
        <w:tc>
          <w:tcPr>
            <w:tcW w:w="5245" w:type="dxa"/>
            <w:tcBorders>
              <w:top w:val="nil" w:sz="6" w:space="0" w:color="auto"/>
              <w:left w:val="single" w:sz="4" w:space="0" w:color="000000"/>
              <w:bottom w:val="single" w:sz="4" w:space="0" w:color="000000"/>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事、监事、高级管理人员，使得公司以不公平的条件，提供或者</w:t>
            </w:r>
          </w:p>
        </w:tc>
        <w:tc>
          <w:tcPr>
            <w:tcW w:w="852"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r>
    </w:tbl>
    <w:p>
      <w:pPr>
        <w:spacing w:after="0"/>
        <w:sectPr>
          <w:pgSz w:w="11910" w:h="16840"/>
          <w:pgMar w:header="880" w:footer="975" w:top="1100" w:bottom="1160" w:left="880" w:right="0"/>
        </w:sectPr>
      </w:pPr>
    </w:p>
    <w:p>
      <w:pPr>
        <w:spacing w:line="240" w:lineRule="auto" w:before="11"/>
        <w:rPr>
          <w:rFonts w:ascii="Times New Roman" w:hAnsi="Times New Roman" w:cs="Times New Roman" w:eastAsia="Times New Roman" w:hint="default"/>
          <w:sz w:val="27"/>
          <w:szCs w:val="27"/>
        </w:rPr>
      </w:pPr>
    </w:p>
    <w:tbl>
      <w:tblPr>
        <w:tblW w:w="0" w:type="auto"/>
        <w:jc w:val="left"/>
        <w:tblInd w:w="106" w:type="dxa"/>
        <w:tblLayout w:type="fixed"/>
        <w:tblCellMar>
          <w:top w:w="0" w:type="dxa"/>
          <w:left w:w="0" w:type="dxa"/>
          <w:bottom w:w="0" w:type="dxa"/>
          <w:right w:w="0" w:type="dxa"/>
        </w:tblCellMar>
        <w:tblLook w:val="01E0"/>
      </w:tblPr>
      <w:tblGrid>
        <w:gridCol w:w="708"/>
        <w:gridCol w:w="852"/>
        <w:gridCol w:w="708"/>
        <w:gridCol w:w="5245"/>
        <w:gridCol w:w="852"/>
        <w:gridCol w:w="708"/>
        <w:gridCol w:w="850"/>
      </w:tblGrid>
      <w:tr>
        <w:trPr>
          <w:trHeight w:val="567" w:hRule="exact"/>
        </w:trPr>
        <w:tc>
          <w:tcPr>
            <w:tcW w:w="708"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5245" w:type="dxa"/>
            <w:tcBorders>
              <w:top w:val="single" w:sz="4" w:space="0" w:color="000000"/>
              <w:left w:val="single" w:sz="4" w:space="0" w:color="000000"/>
              <w:bottom w:val="single" w:sz="4" w:space="0" w:color="000000"/>
              <w:right w:val="single" w:sz="4" w:space="0" w:color="000000"/>
            </w:tcBorders>
          </w:tcPr>
          <w:p>
            <w:pPr>
              <w:pStyle w:val="TableParagraph"/>
              <w:spacing w:line="266" w:lineRule="auto"/>
              <w:ind w:left="105" w:right="98"/>
              <w:jc w:val="left"/>
              <w:rPr>
                <w:rFonts w:ascii="宋体" w:hAnsi="宋体" w:cs="宋体" w:eastAsia="宋体" w:hint="default"/>
                <w:sz w:val="18"/>
                <w:szCs w:val="18"/>
              </w:rPr>
            </w:pPr>
            <w:r>
              <w:rPr>
                <w:rFonts w:ascii="宋体" w:hAnsi="宋体" w:cs="宋体" w:eastAsia="宋体" w:hint="default"/>
                <w:spacing w:val="-1"/>
                <w:sz w:val="18"/>
                <w:szCs w:val="18"/>
              </w:rPr>
              <w:t>接受资金、商品、服务或者其他资产，或从事任何损害公司利益</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的行为。</w:t>
            </w:r>
          </w:p>
        </w:tc>
        <w:tc>
          <w:tcPr>
            <w:tcW w:w="852"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r>
      <w:tr>
        <w:trPr>
          <w:trHeight w:val="1344"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03" w:right="0"/>
              <w:jc w:val="left"/>
              <w:rPr>
                <w:rFonts w:ascii="Times New Roman" w:hAnsi="Times New Roman" w:cs="Times New Roman" w:eastAsia="Times New Roman" w:hint="default"/>
                <w:sz w:val="18"/>
                <w:szCs w:val="18"/>
              </w:rPr>
            </w:pPr>
            <w:r>
              <w:rPr>
                <w:rFonts w:ascii="Times New Roman"/>
                <w:sz w:val="18"/>
              </w:rPr>
              <w:t>2014</w:t>
            </w:r>
          </w:p>
          <w:p>
            <w:pPr>
              <w:pStyle w:val="TableParagraph"/>
              <w:spacing w:line="240" w:lineRule="auto" w:before="12"/>
              <w:ind w:left="103"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宋体" w:hAnsi="宋体" w:cs="宋体" w:eastAsia="宋体" w:hint="default"/>
                <w:sz w:val="18"/>
                <w:szCs w:val="18"/>
              </w:rPr>
              <w:t>重</w:t>
            </w:r>
          </w:p>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组</w:t>
            </w:r>
            <w:r>
              <w:rPr>
                <w:rFonts w:ascii="宋体" w:hAnsi="宋体" w:cs="宋体" w:eastAsia="宋体" w:hint="default"/>
                <w:spacing w:val="42"/>
                <w:sz w:val="18"/>
                <w:szCs w:val="18"/>
              </w:rPr>
              <w:t> </w:t>
            </w:r>
            <w:r>
              <w:rPr>
                <w:rFonts w:ascii="宋体" w:hAnsi="宋体" w:cs="宋体" w:eastAsia="宋体" w:hint="default"/>
                <w:sz w:val="18"/>
                <w:szCs w:val="18"/>
              </w:rPr>
              <w:t>时</w:t>
            </w:r>
          </w:p>
          <w:p>
            <w:pPr>
              <w:pStyle w:val="TableParagraph"/>
              <w:spacing w:line="266" w:lineRule="auto" w:before="23"/>
              <w:ind w:left="103" w:right="101"/>
              <w:jc w:val="left"/>
              <w:rPr>
                <w:rFonts w:ascii="宋体" w:hAnsi="宋体" w:cs="宋体" w:eastAsia="宋体" w:hint="default"/>
                <w:sz w:val="18"/>
                <w:szCs w:val="18"/>
              </w:rPr>
            </w:pPr>
            <w:r>
              <w:rPr>
                <w:rFonts w:ascii="宋体" w:hAnsi="宋体" w:cs="宋体" w:eastAsia="宋体" w:hint="default"/>
                <w:sz w:val="18"/>
                <w:szCs w:val="18"/>
              </w:rPr>
              <w:t>所</w:t>
            </w:r>
            <w:r>
              <w:rPr>
                <w:rFonts w:ascii="宋体" w:hAnsi="宋体" w:cs="宋体" w:eastAsia="宋体" w:hint="default"/>
                <w:spacing w:val="42"/>
                <w:sz w:val="18"/>
                <w:szCs w:val="18"/>
              </w:rPr>
              <w:t> </w:t>
            </w:r>
            <w:r>
              <w:rPr>
                <w:rFonts w:ascii="宋体" w:hAnsi="宋体" w:cs="宋体" w:eastAsia="宋体" w:hint="default"/>
                <w:sz w:val="18"/>
                <w:szCs w:val="18"/>
              </w:rPr>
              <w:t>作</w:t>
            </w:r>
            <w:r>
              <w:rPr>
                <w:rFonts w:ascii="宋体" w:hAnsi="宋体" w:cs="宋体" w:eastAsia="宋体" w:hint="default"/>
                <w:sz w:val="18"/>
                <w:szCs w:val="18"/>
              </w:rPr>
              <w:t> 承诺</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64" w:lineRule="auto" w:before="147"/>
              <w:ind w:left="105" w:right="14"/>
              <w:jc w:val="left"/>
              <w:rPr>
                <w:rFonts w:ascii="宋体" w:hAnsi="宋体" w:cs="宋体" w:eastAsia="宋体" w:hint="default"/>
                <w:sz w:val="18"/>
                <w:szCs w:val="18"/>
              </w:rPr>
            </w:pPr>
            <w:r>
              <w:rPr>
                <w:rFonts w:ascii="宋体" w:hAnsi="宋体" w:cs="宋体" w:eastAsia="宋体" w:hint="default"/>
                <w:sz w:val="18"/>
                <w:szCs w:val="18"/>
              </w:rPr>
              <w:t>鹰溪谷、 </w:t>
            </w:r>
            <w:r>
              <w:rPr>
                <w:rFonts w:ascii="宋体" w:hAnsi="宋体" w:cs="宋体" w:eastAsia="宋体" w:hint="default"/>
                <w:spacing w:val="32"/>
                <w:sz w:val="18"/>
                <w:szCs w:val="18"/>
              </w:rPr>
              <w:t>博升优</w:t>
            </w:r>
            <w:r>
              <w:rPr>
                <w:rFonts w:ascii="宋体" w:hAnsi="宋体" w:cs="宋体" w:eastAsia="宋体" w:hint="default"/>
                <w:spacing w:val="-42"/>
                <w:sz w:val="18"/>
                <w:szCs w:val="18"/>
              </w:rPr>
              <w:t> </w:t>
            </w:r>
            <w:r>
              <w:rPr>
                <w:rFonts w:ascii="宋体" w:hAnsi="宋体" w:cs="宋体" w:eastAsia="宋体" w:hint="default"/>
                <w:spacing w:val="-22"/>
                <w:sz w:val="18"/>
                <w:szCs w:val="18"/>
              </w:rPr>
              <w:t>势、峰幽</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投资</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4"/>
                <w:szCs w:val="2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无</w:t>
            </w:r>
            <w:r>
              <w:rPr>
                <w:rFonts w:ascii="宋体" w:hAnsi="宋体" w:cs="宋体" w:eastAsia="宋体" w:hint="default"/>
                <w:spacing w:val="42"/>
                <w:sz w:val="18"/>
                <w:szCs w:val="18"/>
              </w:rPr>
              <w:t> </w:t>
            </w:r>
            <w:r>
              <w:rPr>
                <w:rFonts w:ascii="宋体" w:hAnsi="宋体" w:cs="宋体" w:eastAsia="宋体" w:hint="default"/>
                <w:sz w:val="18"/>
                <w:szCs w:val="18"/>
              </w:rPr>
              <w:t>固</w:t>
            </w:r>
          </w:p>
          <w:p>
            <w:pPr>
              <w:pStyle w:val="TableParagraph"/>
              <w:spacing w:line="264" w:lineRule="auto" w:before="23"/>
              <w:ind w:left="103" w:right="101"/>
              <w:jc w:val="left"/>
              <w:rPr>
                <w:rFonts w:ascii="宋体" w:hAnsi="宋体" w:cs="宋体" w:eastAsia="宋体" w:hint="default"/>
                <w:sz w:val="18"/>
                <w:szCs w:val="18"/>
              </w:rPr>
            </w:pPr>
            <w:r>
              <w:rPr>
                <w:rFonts w:ascii="宋体" w:hAnsi="宋体" w:cs="宋体" w:eastAsia="宋体" w:hint="default"/>
                <w:sz w:val="18"/>
                <w:szCs w:val="18"/>
              </w:rPr>
              <w:t>定</w:t>
            </w:r>
            <w:r>
              <w:rPr>
                <w:rFonts w:ascii="宋体" w:hAnsi="宋体" w:cs="宋体" w:eastAsia="宋体" w:hint="default"/>
                <w:spacing w:val="42"/>
                <w:sz w:val="18"/>
                <w:szCs w:val="18"/>
              </w:rPr>
              <w:t> </w:t>
            </w:r>
            <w:r>
              <w:rPr>
                <w:rFonts w:ascii="宋体" w:hAnsi="宋体" w:cs="宋体" w:eastAsia="宋体" w:hint="default"/>
                <w:sz w:val="18"/>
                <w:szCs w:val="18"/>
              </w:rPr>
              <w:t>期</w:t>
            </w:r>
            <w:r>
              <w:rPr>
                <w:rFonts w:ascii="宋体" w:hAnsi="宋体" w:cs="宋体" w:eastAsia="宋体" w:hint="default"/>
                <w:sz w:val="18"/>
                <w:szCs w:val="18"/>
              </w:rPr>
              <w:t> 限</w:t>
            </w:r>
          </w:p>
        </w:tc>
        <w:tc>
          <w:tcPr>
            <w:tcW w:w="5245" w:type="dxa"/>
            <w:tcBorders>
              <w:top w:val="single" w:sz="4" w:space="0" w:color="000000"/>
              <w:left w:val="single" w:sz="4" w:space="0" w:color="000000"/>
              <w:bottom w:val="single" w:sz="4" w:space="0" w:color="000000"/>
              <w:right w:val="single" w:sz="4" w:space="0" w:color="000000"/>
            </w:tcBorders>
          </w:tcPr>
          <w:p>
            <w:pPr>
              <w:pStyle w:val="TableParagraph"/>
              <w:spacing w:line="264" w:lineRule="auto" w:before="147"/>
              <w:ind w:left="105" w:right="87"/>
              <w:jc w:val="both"/>
              <w:rPr>
                <w:rFonts w:ascii="宋体" w:hAnsi="宋体" w:cs="宋体" w:eastAsia="宋体" w:hint="default"/>
                <w:sz w:val="18"/>
                <w:szCs w:val="18"/>
              </w:rPr>
            </w:pPr>
            <w:r>
              <w:rPr>
                <w:rFonts w:ascii="宋体" w:hAnsi="宋体" w:cs="宋体" w:eastAsia="宋体" w:hint="default"/>
                <w:spacing w:val="5"/>
                <w:sz w:val="18"/>
                <w:szCs w:val="18"/>
              </w:rPr>
              <w:t>承诺方为本次发行股份及支付现金购买资产并配套募集资金事</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宜所提供的有关信息真实、准确和完整，不存在任何虚假记载、 误导性陈述或者重大遗漏，承诺方同意对所提供信息的真实性、 准确性和完整性承担法律责任。</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4"/>
                <w:szCs w:val="24"/>
              </w:rPr>
            </w:pPr>
          </w:p>
          <w:p>
            <w:pPr>
              <w:pStyle w:val="TableParagraph"/>
              <w:spacing w:line="240" w:lineRule="auto"/>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 </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p>
          <w:p>
            <w:pPr>
              <w:pStyle w:val="TableParagraph"/>
              <w:spacing w:line="240" w:lineRule="auto" w:before="10"/>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18</w:t>
            </w:r>
          </w:p>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2"/>
              <w:ind w:left="10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64" w:lineRule="auto"/>
              <w:ind w:left="105" w:right="192"/>
              <w:jc w:val="left"/>
              <w:rPr>
                <w:rFonts w:ascii="宋体" w:hAnsi="宋体" w:cs="宋体" w:eastAsia="宋体" w:hint="default"/>
                <w:sz w:val="18"/>
                <w:szCs w:val="18"/>
              </w:rPr>
            </w:pPr>
            <w:r>
              <w:rPr>
                <w:rFonts w:ascii="宋体" w:hAnsi="宋体" w:cs="宋体" w:eastAsia="宋体" w:hint="default"/>
                <w:sz w:val="18"/>
                <w:szCs w:val="18"/>
              </w:rPr>
              <w:t>正常履 行</w:t>
            </w:r>
          </w:p>
        </w:tc>
      </w:tr>
      <w:tr>
        <w:trPr>
          <w:trHeight w:val="466" w:hRule="exact"/>
        </w:trPr>
        <w:tc>
          <w:tcPr>
            <w:tcW w:w="70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9"/>
                <w:szCs w:val="19"/>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2014</w:t>
            </w:r>
          </w:p>
        </w:tc>
        <w:tc>
          <w:tcPr>
            <w:tcW w:w="852"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524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5"/>
                <w:szCs w:val="15"/>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pacing w:val="5"/>
                <w:sz w:val="18"/>
                <w:szCs w:val="18"/>
              </w:rPr>
              <w:t>如果创世漫道因为本次交易前即已存在的事实导致在工商、税</w:t>
            </w:r>
          </w:p>
        </w:tc>
        <w:tc>
          <w:tcPr>
            <w:tcW w:w="852"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r>
      <w:tr>
        <w:trPr>
          <w:trHeight w:val="775"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103"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宋体" w:hAnsi="宋体" w:cs="宋体" w:eastAsia="宋体" w:hint="default"/>
                <w:sz w:val="18"/>
                <w:szCs w:val="18"/>
              </w:rPr>
              <w:t>重</w:t>
            </w:r>
          </w:p>
          <w:p>
            <w:pPr>
              <w:pStyle w:val="TableParagraph"/>
              <w:spacing w:line="240" w:lineRule="auto" w:before="26"/>
              <w:ind w:left="103" w:right="0"/>
              <w:jc w:val="left"/>
              <w:rPr>
                <w:rFonts w:ascii="宋体" w:hAnsi="宋体" w:cs="宋体" w:eastAsia="宋体" w:hint="default"/>
                <w:sz w:val="18"/>
                <w:szCs w:val="18"/>
              </w:rPr>
            </w:pPr>
            <w:r>
              <w:rPr>
                <w:rFonts w:ascii="宋体" w:hAnsi="宋体" w:cs="宋体" w:eastAsia="宋体" w:hint="default"/>
                <w:sz w:val="18"/>
                <w:szCs w:val="18"/>
              </w:rPr>
              <w:t>组</w:t>
            </w:r>
            <w:r>
              <w:rPr>
                <w:rFonts w:ascii="宋体" w:hAnsi="宋体" w:cs="宋体" w:eastAsia="宋体" w:hint="default"/>
                <w:spacing w:val="42"/>
                <w:sz w:val="18"/>
                <w:szCs w:val="18"/>
              </w:rPr>
              <w:t> </w:t>
            </w:r>
            <w:r>
              <w:rPr>
                <w:rFonts w:ascii="宋体" w:hAnsi="宋体" w:cs="宋体" w:eastAsia="宋体" w:hint="default"/>
                <w:sz w:val="18"/>
                <w:szCs w:val="18"/>
              </w:rPr>
              <w:t>时</w:t>
            </w:r>
          </w:p>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所</w:t>
            </w:r>
            <w:r>
              <w:rPr>
                <w:rFonts w:ascii="宋体" w:hAnsi="宋体" w:cs="宋体" w:eastAsia="宋体" w:hint="default"/>
                <w:spacing w:val="42"/>
                <w:sz w:val="18"/>
                <w:szCs w:val="18"/>
              </w:rPr>
              <w:t> </w:t>
            </w:r>
            <w:r>
              <w:rPr>
                <w:rFonts w:ascii="宋体" w:hAnsi="宋体" w:cs="宋体" w:eastAsia="宋体" w:hint="default"/>
                <w:sz w:val="18"/>
                <w:szCs w:val="18"/>
              </w:rPr>
              <w:t>作</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105" w:right="0"/>
              <w:jc w:val="left"/>
              <w:rPr>
                <w:rFonts w:ascii="宋体" w:hAnsi="宋体" w:cs="宋体" w:eastAsia="宋体" w:hint="default"/>
                <w:sz w:val="18"/>
                <w:szCs w:val="18"/>
              </w:rPr>
            </w:pPr>
            <w:r>
              <w:rPr>
                <w:rFonts w:ascii="宋体" w:hAnsi="宋体" w:cs="宋体" w:eastAsia="宋体" w:hint="default"/>
                <w:sz w:val="18"/>
                <w:szCs w:val="18"/>
              </w:rPr>
              <w:t>鹰溪谷、</w:t>
            </w:r>
          </w:p>
          <w:p>
            <w:pPr>
              <w:pStyle w:val="TableParagraph"/>
              <w:spacing w:line="264" w:lineRule="auto" w:before="26"/>
              <w:ind w:left="105" w:right="50"/>
              <w:jc w:val="left"/>
              <w:rPr>
                <w:rFonts w:ascii="宋体" w:hAnsi="宋体" w:cs="宋体" w:eastAsia="宋体" w:hint="default"/>
                <w:sz w:val="18"/>
                <w:szCs w:val="18"/>
              </w:rPr>
            </w:pPr>
            <w:r>
              <w:rPr>
                <w:rFonts w:ascii="宋体" w:hAnsi="宋体" w:cs="宋体" w:eastAsia="宋体" w:hint="default"/>
                <w:spacing w:val="32"/>
                <w:sz w:val="18"/>
                <w:szCs w:val="18"/>
              </w:rPr>
              <w:t>博升优</w:t>
            </w:r>
            <w:r>
              <w:rPr>
                <w:rFonts w:ascii="宋体" w:hAnsi="宋体" w:cs="宋体" w:eastAsia="宋体" w:hint="default"/>
                <w:spacing w:val="-42"/>
                <w:sz w:val="18"/>
                <w:szCs w:val="18"/>
              </w:rPr>
              <w:t> </w:t>
            </w:r>
            <w:r>
              <w:rPr>
                <w:rFonts w:ascii="宋体" w:hAnsi="宋体" w:cs="宋体" w:eastAsia="宋体" w:hint="default"/>
                <w:sz w:val="18"/>
                <w:szCs w:val="18"/>
              </w:rPr>
              <w:t>势</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103" w:right="0"/>
              <w:jc w:val="left"/>
              <w:rPr>
                <w:rFonts w:ascii="宋体" w:hAnsi="宋体" w:cs="宋体" w:eastAsia="宋体" w:hint="default"/>
                <w:sz w:val="18"/>
                <w:szCs w:val="18"/>
              </w:rPr>
            </w:pPr>
            <w:r>
              <w:rPr>
                <w:rFonts w:ascii="宋体" w:hAnsi="宋体" w:cs="宋体" w:eastAsia="宋体" w:hint="default"/>
                <w:sz w:val="18"/>
                <w:szCs w:val="18"/>
              </w:rPr>
              <w:t>无</w:t>
            </w:r>
            <w:r>
              <w:rPr>
                <w:rFonts w:ascii="宋体" w:hAnsi="宋体" w:cs="宋体" w:eastAsia="宋体" w:hint="default"/>
                <w:spacing w:val="42"/>
                <w:sz w:val="18"/>
                <w:szCs w:val="18"/>
              </w:rPr>
              <w:t> </w:t>
            </w:r>
            <w:r>
              <w:rPr>
                <w:rFonts w:ascii="宋体" w:hAnsi="宋体" w:cs="宋体" w:eastAsia="宋体" w:hint="default"/>
                <w:sz w:val="18"/>
                <w:szCs w:val="18"/>
              </w:rPr>
              <w:t>固</w:t>
            </w:r>
          </w:p>
          <w:p>
            <w:pPr>
              <w:pStyle w:val="TableParagraph"/>
              <w:spacing w:line="264" w:lineRule="auto" w:before="26"/>
              <w:ind w:left="103" w:right="101"/>
              <w:jc w:val="left"/>
              <w:rPr>
                <w:rFonts w:ascii="宋体" w:hAnsi="宋体" w:cs="宋体" w:eastAsia="宋体" w:hint="default"/>
                <w:sz w:val="18"/>
                <w:szCs w:val="18"/>
              </w:rPr>
            </w:pPr>
            <w:r>
              <w:rPr>
                <w:rFonts w:ascii="宋体" w:hAnsi="宋体" w:cs="宋体" w:eastAsia="宋体" w:hint="default"/>
                <w:sz w:val="18"/>
                <w:szCs w:val="18"/>
              </w:rPr>
              <w:t>定</w:t>
            </w:r>
            <w:r>
              <w:rPr>
                <w:rFonts w:ascii="宋体" w:hAnsi="宋体" w:cs="宋体" w:eastAsia="宋体" w:hint="default"/>
                <w:spacing w:val="42"/>
                <w:sz w:val="18"/>
                <w:szCs w:val="18"/>
              </w:rPr>
              <w:t> </w:t>
            </w:r>
            <w:r>
              <w:rPr>
                <w:rFonts w:ascii="宋体" w:hAnsi="宋体" w:cs="宋体" w:eastAsia="宋体" w:hint="default"/>
                <w:sz w:val="18"/>
                <w:szCs w:val="18"/>
              </w:rPr>
              <w:t>期</w:t>
            </w:r>
            <w:r>
              <w:rPr>
                <w:rFonts w:ascii="宋体" w:hAnsi="宋体" w:cs="宋体" w:eastAsia="宋体" w:hint="default"/>
                <w:sz w:val="18"/>
                <w:szCs w:val="18"/>
              </w:rPr>
              <w:t> 限</w:t>
            </w: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105" w:right="0"/>
              <w:jc w:val="left"/>
              <w:rPr>
                <w:rFonts w:ascii="宋体" w:hAnsi="宋体" w:cs="宋体" w:eastAsia="宋体" w:hint="default"/>
                <w:sz w:val="18"/>
                <w:szCs w:val="18"/>
              </w:rPr>
            </w:pPr>
            <w:r>
              <w:rPr>
                <w:rFonts w:ascii="宋体" w:hAnsi="宋体" w:cs="宋体" w:eastAsia="宋体" w:hint="default"/>
                <w:sz w:val="18"/>
                <w:szCs w:val="18"/>
              </w:rPr>
              <w:t>务、员工工资、社保、住房公积金、经营资质或行业主管方面受</w:t>
            </w:r>
          </w:p>
          <w:p>
            <w:pPr>
              <w:pStyle w:val="TableParagraph"/>
              <w:spacing w:line="264" w:lineRule="auto" w:before="26"/>
              <w:ind w:left="105" w:right="99"/>
              <w:jc w:val="left"/>
              <w:rPr>
                <w:rFonts w:ascii="宋体" w:hAnsi="宋体" w:cs="宋体" w:eastAsia="宋体" w:hint="default"/>
                <w:sz w:val="18"/>
                <w:szCs w:val="18"/>
              </w:rPr>
            </w:pPr>
            <w:r>
              <w:rPr>
                <w:rFonts w:ascii="宋体" w:hAnsi="宋体" w:cs="宋体" w:eastAsia="宋体" w:hint="default"/>
                <w:spacing w:val="-1"/>
                <w:sz w:val="18"/>
                <w:szCs w:val="18"/>
              </w:rPr>
              <w:t>到相关主管单位追缴费用或处罚的，本企业将向创世漫道全额补</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5"/>
                <w:sz w:val="18"/>
                <w:szCs w:val="18"/>
              </w:rPr>
              <w:t>偿创世漫道所有欠缴费用并承担本公司及创世漫道因此遭受的</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28" w:lineRule="exact"/>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 </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p>
          <w:p>
            <w:pPr>
              <w:pStyle w:val="TableParagraph"/>
              <w:spacing w:line="240" w:lineRule="auto" w:before="12"/>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18</w:t>
            </w:r>
          </w:p>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20"/>
                <w:szCs w:val="20"/>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64" w:lineRule="auto" w:before="111"/>
              <w:ind w:left="105" w:right="192"/>
              <w:jc w:val="left"/>
              <w:rPr>
                <w:rFonts w:ascii="宋体" w:hAnsi="宋体" w:cs="宋体" w:eastAsia="宋体" w:hint="default"/>
                <w:sz w:val="18"/>
                <w:szCs w:val="18"/>
              </w:rPr>
            </w:pPr>
            <w:r>
              <w:rPr>
                <w:rFonts w:ascii="宋体" w:hAnsi="宋体" w:cs="宋体" w:eastAsia="宋体" w:hint="default"/>
                <w:sz w:val="18"/>
                <w:szCs w:val="18"/>
              </w:rPr>
              <w:t>正常履 行</w:t>
            </w:r>
          </w:p>
        </w:tc>
      </w:tr>
      <w:tr>
        <w:trPr>
          <w:trHeight w:val="432" w:hRule="exact"/>
        </w:trPr>
        <w:tc>
          <w:tcPr>
            <w:tcW w:w="708" w:type="dxa"/>
            <w:tcBorders>
              <w:top w:val="nil" w:sz="6" w:space="0" w:color="auto"/>
              <w:left w:val="single" w:sz="4" w:space="0" w:color="000000"/>
              <w:bottom w:val="single" w:sz="4" w:space="0" w:color="000000"/>
              <w:right w:val="single" w:sz="4" w:space="0" w:color="000000"/>
            </w:tcBorders>
          </w:tcPr>
          <w:p>
            <w:pPr>
              <w:pStyle w:val="TableParagraph"/>
              <w:spacing w:line="220" w:lineRule="exact"/>
              <w:ind w:left="103" w:right="0"/>
              <w:jc w:val="left"/>
              <w:rPr>
                <w:rFonts w:ascii="宋体" w:hAnsi="宋体" w:cs="宋体" w:eastAsia="宋体" w:hint="default"/>
                <w:sz w:val="18"/>
                <w:szCs w:val="18"/>
              </w:rPr>
            </w:pPr>
            <w:r>
              <w:rPr>
                <w:rFonts w:ascii="宋体" w:hAnsi="宋体" w:cs="宋体" w:eastAsia="宋体" w:hint="default"/>
                <w:sz w:val="18"/>
                <w:szCs w:val="18"/>
              </w:rPr>
              <w:t>承诺</w:t>
            </w:r>
          </w:p>
        </w:tc>
        <w:tc>
          <w:tcPr>
            <w:tcW w:w="852"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5245" w:type="dxa"/>
            <w:tcBorders>
              <w:top w:val="nil" w:sz="6" w:space="0" w:color="auto"/>
              <w:left w:val="single" w:sz="4" w:space="0" w:color="000000"/>
              <w:bottom w:val="single" w:sz="4" w:space="0" w:color="000000"/>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一切损失。</w:t>
            </w:r>
          </w:p>
        </w:tc>
        <w:tc>
          <w:tcPr>
            <w:tcW w:w="852"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r>
      <w:tr>
        <w:trPr>
          <w:trHeight w:val="285" w:hRule="exact"/>
        </w:trPr>
        <w:tc>
          <w:tcPr>
            <w:tcW w:w="708"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40"/>
              <w:ind w:left="103" w:right="0"/>
              <w:jc w:val="left"/>
              <w:rPr>
                <w:rFonts w:ascii="Times New Roman" w:hAnsi="Times New Roman" w:cs="Times New Roman" w:eastAsia="Times New Roman" w:hint="default"/>
                <w:sz w:val="18"/>
                <w:szCs w:val="18"/>
              </w:rPr>
            </w:pPr>
            <w:r>
              <w:rPr>
                <w:rFonts w:ascii="Times New Roman"/>
                <w:sz w:val="18"/>
              </w:rPr>
              <w:t>2015</w:t>
            </w:r>
          </w:p>
        </w:tc>
        <w:tc>
          <w:tcPr>
            <w:tcW w:w="852"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5245" w:type="dxa"/>
            <w:tcBorders>
              <w:top w:val="single" w:sz="4" w:space="0" w:color="000000"/>
              <w:left w:val="single" w:sz="4" w:space="0" w:color="000000"/>
              <w:bottom w:val="nil" w:sz="6" w:space="0" w:color="auto"/>
              <w:right w:val="single" w:sz="4" w:space="0" w:color="000000"/>
            </w:tcBorders>
          </w:tcPr>
          <w:p>
            <w:pPr>
              <w:pStyle w:val="TableParagraph"/>
              <w:spacing w:line="234" w:lineRule="exact"/>
              <w:ind w:left="105" w:right="0"/>
              <w:jc w:val="left"/>
              <w:rPr>
                <w:rFonts w:ascii="宋体" w:hAnsi="宋体" w:cs="宋体" w:eastAsia="宋体" w:hint="default"/>
                <w:sz w:val="18"/>
                <w:szCs w:val="18"/>
              </w:rPr>
            </w:pPr>
            <w:r>
              <w:rPr>
                <w:rFonts w:ascii="宋体" w:hAnsi="宋体" w:cs="宋体" w:eastAsia="宋体" w:hint="default"/>
                <w:sz w:val="18"/>
                <w:szCs w:val="18"/>
              </w:rPr>
              <w:t>信息真实性、准确性和完整性承诺：保证所提供的信息真实、准</w:t>
            </w:r>
          </w:p>
        </w:tc>
        <w:tc>
          <w:tcPr>
            <w:tcW w:w="852"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r>
      <w:tr>
        <w:trPr>
          <w:trHeight w:val="256"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16" w:lineRule="exact"/>
              <w:ind w:left="103"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宋体" w:hAnsi="宋体" w:cs="宋体" w:eastAsia="宋体" w:hint="default"/>
                <w:sz w:val="18"/>
                <w:szCs w:val="18"/>
              </w:rPr>
              <w:t>重</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6" w:lineRule="exact"/>
              <w:ind w:left="105" w:right="0"/>
              <w:jc w:val="left"/>
              <w:rPr>
                <w:rFonts w:ascii="宋体" w:hAnsi="宋体" w:cs="宋体" w:eastAsia="宋体" w:hint="default"/>
                <w:sz w:val="18"/>
                <w:szCs w:val="18"/>
              </w:rPr>
            </w:pPr>
            <w:r>
              <w:rPr>
                <w:rFonts w:ascii="宋体" w:hAnsi="宋体" w:cs="宋体" w:eastAsia="宋体" w:hint="default"/>
                <w:sz w:val="18"/>
                <w:szCs w:val="18"/>
              </w:rPr>
              <w:t>确、完整，如因提供的信息存在虚假记载、误导性陈述或者重大</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780"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3" w:right="0"/>
              <w:jc w:val="left"/>
              <w:rPr>
                <w:rFonts w:ascii="宋体" w:hAnsi="宋体" w:cs="宋体" w:eastAsia="宋体" w:hint="default"/>
                <w:sz w:val="18"/>
                <w:szCs w:val="18"/>
              </w:rPr>
            </w:pPr>
            <w:r>
              <w:rPr>
                <w:rFonts w:ascii="宋体" w:hAnsi="宋体" w:cs="宋体" w:eastAsia="宋体" w:hint="default"/>
                <w:sz w:val="18"/>
                <w:szCs w:val="18"/>
              </w:rPr>
              <w:t>大</w:t>
            </w:r>
            <w:r>
              <w:rPr>
                <w:rFonts w:ascii="宋体" w:hAnsi="宋体" w:cs="宋体" w:eastAsia="宋体" w:hint="default"/>
                <w:spacing w:val="42"/>
                <w:sz w:val="18"/>
                <w:szCs w:val="18"/>
              </w:rPr>
              <w:t> </w:t>
            </w:r>
            <w:r>
              <w:rPr>
                <w:rFonts w:ascii="宋体" w:hAnsi="宋体" w:cs="宋体" w:eastAsia="宋体" w:hint="default"/>
                <w:sz w:val="18"/>
                <w:szCs w:val="18"/>
              </w:rPr>
              <w:t>资</w:t>
            </w:r>
          </w:p>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产</w:t>
            </w:r>
            <w:r>
              <w:rPr>
                <w:rFonts w:ascii="宋体" w:hAnsi="宋体" w:cs="宋体" w:eastAsia="宋体" w:hint="default"/>
                <w:spacing w:val="42"/>
                <w:sz w:val="18"/>
                <w:szCs w:val="18"/>
              </w:rPr>
              <w:t> </w:t>
            </w:r>
            <w:r>
              <w:rPr>
                <w:rFonts w:ascii="宋体" w:hAnsi="宋体" w:cs="宋体" w:eastAsia="宋体" w:hint="default"/>
                <w:sz w:val="18"/>
                <w:szCs w:val="18"/>
              </w:rPr>
              <w:t>出</w:t>
            </w:r>
          </w:p>
          <w:p>
            <w:pPr>
              <w:pStyle w:val="TableParagraph"/>
              <w:spacing w:line="240" w:lineRule="auto" w:before="26"/>
              <w:ind w:left="103" w:right="0"/>
              <w:jc w:val="left"/>
              <w:rPr>
                <w:rFonts w:ascii="宋体" w:hAnsi="宋体" w:cs="宋体" w:eastAsia="宋体" w:hint="default"/>
                <w:sz w:val="18"/>
                <w:szCs w:val="18"/>
              </w:rPr>
            </w:pPr>
            <w:r>
              <w:rPr>
                <w:rFonts w:ascii="宋体" w:hAnsi="宋体" w:cs="宋体" w:eastAsia="宋体" w:hint="default"/>
                <w:sz w:val="18"/>
                <w:szCs w:val="18"/>
              </w:rPr>
              <w:t>售</w:t>
            </w:r>
            <w:r>
              <w:rPr>
                <w:rFonts w:ascii="宋体" w:hAnsi="宋体" w:cs="宋体" w:eastAsia="宋体" w:hint="default"/>
                <w:spacing w:val="42"/>
                <w:sz w:val="18"/>
                <w:szCs w:val="18"/>
              </w:rPr>
              <w:t> </w:t>
            </w:r>
            <w:r>
              <w:rPr>
                <w:rFonts w:ascii="宋体" w:hAnsi="宋体" w:cs="宋体" w:eastAsia="宋体" w:hint="default"/>
                <w:sz w:val="18"/>
                <w:szCs w:val="18"/>
              </w:rPr>
              <w:t>时</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66" w:lineRule="auto" w:before="114"/>
              <w:ind w:left="105" w:right="50"/>
              <w:jc w:val="left"/>
              <w:rPr>
                <w:rFonts w:ascii="宋体" w:hAnsi="宋体" w:cs="宋体" w:eastAsia="宋体" w:hint="default"/>
                <w:sz w:val="18"/>
                <w:szCs w:val="18"/>
              </w:rPr>
            </w:pPr>
            <w:r>
              <w:rPr>
                <w:rFonts w:ascii="宋体" w:hAnsi="宋体" w:cs="宋体" w:eastAsia="宋体" w:hint="default"/>
                <w:spacing w:val="32"/>
                <w:sz w:val="18"/>
                <w:szCs w:val="18"/>
              </w:rPr>
              <w:t>中兆投</w:t>
            </w:r>
            <w:r>
              <w:rPr>
                <w:rFonts w:ascii="宋体" w:hAnsi="宋体" w:cs="宋体" w:eastAsia="宋体" w:hint="default"/>
                <w:spacing w:val="-42"/>
                <w:sz w:val="18"/>
                <w:szCs w:val="18"/>
              </w:rPr>
              <w:t> </w:t>
            </w:r>
            <w:r>
              <w:rPr>
                <w:rFonts w:ascii="宋体" w:hAnsi="宋体" w:cs="宋体" w:eastAsia="宋体" w:hint="default"/>
                <w:sz w:val="18"/>
                <w:szCs w:val="18"/>
              </w:rPr>
              <w:t>资</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3" w:right="0"/>
              <w:jc w:val="left"/>
              <w:rPr>
                <w:rFonts w:ascii="宋体" w:hAnsi="宋体" w:cs="宋体" w:eastAsia="宋体" w:hint="default"/>
                <w:sz w:val="18"/>
                <w:szCs w:val="18"/>
              </w:rPr>
            </w:pPr>
            <w:r>
              <w:rPr>
                <w:rFonts w:ascii="宋体" w:hAnsi="宋体" w:cs="宋体" w:eastAsia="宋体" w:hint="default"/>
                <w:sz w:val="18"/>
                <w:szCs w:val="18"/>
              </w:rPr>
              <w:t>无</w:t>
            </w:r>
            <w:r>
              <w:rPr>
                <w:rFonts w:ascii="宋体" w:hAnsi="宋体" w:cs="宋体" w:eastAsia="宋体" w:hint="default"/>
                <w:spacing w:val="42"/>
                <w:sz w:val="18"/>
                <w:szCs w:val="18"/>
              </w:rPr>
              <w:t> </w:t>
            </w:r>
            <w:r>
              <w:rPr>
                <w:rFonts w:ascii="宋体" w:hAnsi="宋体" w:cs="宋体" w:eastAsia="宋体" w:hint="default"/>
                <w:sz w:val="18"/>
                <w:szCs w:val="18"/>
              </w:rPr>
              <w:t>固</w:t>
            </w:r>
          </w:p>
          <w:p>
            <w:pPr>
              <w:pStyle w:val="TableParagraph"/>
              <w:spacing w:line="266" w:lineRule="auto" w:before="23"/>
              <w:ind w:left="103" w:right="101"/>
              <w:jc w:val="left"/>
              <w:rPr>
                <w:rFonts w:ascii="宋体" w:hAnsi="宋体" w:cs="宋体" w:eastAsia="宋体" w:hint="default"/>
                <w:sz w:val="18"/>
                <w:szCs w:val="18"/>
              </w:rPr>
            </w:pPr>
            <w:r>
              <w:rPr>
                <w:rFonts w:ascii="宋体" w:hAnsi="宋体" w:cs="宋体" w:eastAsia="宋体" w:hint="default"/>
                <w:sz w:val="18"/>
                <w:szCs w:val="18"/>
              </w:rPr>
              <w:t>定</w:t>
            </w:r>
            <w:r>
              <w:rPr>
                <w:rFonts w:ascii="宋体" w:hAnsi="宋体" w:cs="宋体" w:eastAsia="宋体" w:hint="default"/>
                <w:spacing w:val="42"/>
                <w:sz w:val="18"/>
                <w:szCs w:val="18"/>
              </w:rPr>
              <w:t> </w:t>
            </w:r>
            <w:r>
              <w:rPr>
                <w:rFonts w:ascii="宋体" w:hAnsi="宋体" w:cs="宋体" w:eastAsia="宋体" w:hint="default"/>
                <w:sz w:val="18"/>
                <w:szCs w:val="18"/>
              </w:rPr>
              <w:t>期</w:t>
            </w:r>
            <w:r>
              <w:rPr>
                <w:rFonts w:ascii="宋体" w:hAnsi="宋体" w:cs="宋体" w:eastAsia="宋体" w:hint="default"/>
                <w:sz w:val="18"/>
                <w:szCs w:val="18"/>
              </w:rPr>
              <w:t> 限</w:t>
            </w: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pacing w:val="-4"/>
                <w:sz w:val="18"/>
                <w:szCs w:val="18"/>
              </w:rPr>
              <w:t>遗漏，给上市公司或者投资者造成损失的，将依法承担赔偿责任。</w:t>
            </w:r>
          </w:p>
          <w:p>
            <w:pPr>
              <w:pStyle w:val="TableParagraph"/>
              <w:spacing w:line="266" w:lineRule="auto" w:before="23"/>
              <w:ind w:left="105" w:right="99"/>
              <w:jc w:val="left"/>
              <w:rPr>
                <w:rFonts w:ascii="宋体" w:hAnsi="宋体" w:cs="宋体" w:eastAsia="宋体" w:hint="default"/>
                <w:sz w:val="18"/>
                <w:szCs w:val="18"/>
              </w:rPr>
            </w:pPr>
            <w:r>
              <w:rPr>
                <w:rFonts w:ascii="宋体" w:hAnsi="宋体" w:cs="宋体" w:eastAsia="宋体" w:hint="default"/>
                <w:spacing w:val="-1"/>
                <w:sz w:val="18"/>
                <w:szCs w:val="18"/>
              </w:rPr>
              <w:t>如本次交易因涉嫌所提供或者披露的信息存在虚假记载、误导性</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1"/>
                <w:sz w:val="18"/>
                <w:szCs w:val="18"/>
              </w:rPr>
              <w:t>陈述或者重大遗漏，被司法机关立案侦查或者被中国证监会立案</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 </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p>
          <w:p>
            <w:pPr>
              <w:pStyle w:val="TableParagraph"/>
              <w:spacing w:line="240" w:lineRule="auto" w:before="10"/>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9  </w:t>
            </w:r>
            <w:r>
              <w:rPr>
                <w:rFonts w:ascii="宋体" w:hAnsi="宋体" w:cs="宋体" w:eastAsia="宋体" w:hint="default"/>
                <w:sz w:val="18"/>
                <w:szCs w:val="18"/>
              </w:rPr>
              <w:t>月</w:t>
            </w:r>
            <w:r>
              <w:rPr>
                <w:rFonts w:ascii="宋体" w:hAnsi="宋体" w:cs="宋体" w:eastAsia="宋体" w:hint="default"/>
                <w:spacing w:val="6"/>
                <w:sz w:val="18"/>
                <w:szCs w:val="18"/>
              </w:rPr>
              <w:t> </w:t>
            </w:r>
            <w:r>
              <w:rPr>
                <w:rFonts w:ascii="Times New Roman" w:hAnsi="Times New Roman" w:cs="Times New Roman" w:eastAsia="Times New Roman" w:hint="default"/>
                <w:sz w:val="18"/>
                <w:szCs w:val="18"/>
              </w:rPr>
              <w:t>30</w:t>
            </w:r>
          </w:p>
          <w:p>
            <w:pPr>
              <w:pStyle w:val="TableParagraph"/>
              <w:spacing w:line="240" w:lineRule="auto" w:before="12"/>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66" w:lineRule="auto" w:before="114"/>
              <w:ind w:left="105" w:right="192"/>
              <w:jc w:val="left"/>
              <w:rPr>
                <w:rFonts w:ascii="宋体" w:hAnsi="宋体" w:cs="宋体" w:eastAsia="宋体" w:hint="default"/>
                <w:sz w:val="18"/>
                <w:szCs w:val="18"/>
              </w:rPr>
            </w:pPr>
            <w:r>
              <w:rPr>
                <w:rFonts w:ascii="宋体" w:hAnsi="宋体" w:cs="宋体" w:eastAsia="宋体" w:hint="default"/>
                <w:sz w:val="18"/>
                <w:szCs w:val="18"/>
              </w:rPr>
              <w:t>正常履 行</w:t>
            </w:r>
          </w:p>
        </w:tc>
      </w:tr>
      <w:tr>
        <w:trPr>
          <w:trHeight w:val="259"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3" w:right="0"/>
              <w:jc w:val="left"/>
              <w:rPr>
                <w:rFonts w:ascii="宋体" w:hAnsi="宋体" w:cs="宋体" w:eastAsia="宋体" w:hint="default"/>
                <w:sz w:val="18"/>
                <w:szCs w:val="18"/>
              </w:rPr>
            </w:pPr>
            <w:r>
              <w:rPr>
                <w:rFonts w:ascii="宋体" w:hAnsi="宋体" w:cs="宋体" w:eastAsia="宋体" w:hint="default"/>
                <w:sz w:val="18"/>
                <w:szCs w:val="18"/>
              </w:rPr>
              <w:t>所</w:t>
            </w:r>
            <w:r>
              <w:rPr>
                <w:rFonts w:ascii="宋体" w:hAnsi="宋体" w:cs="宋体" w:eastAsia="宋体" w:hint="default"/>
                <w:spacing w:val="42"/>
                <w:sz w:val="18"/>
                <w:szCs w:val="18"/>
              </w:rPr>
              <w:t> </w:t>
            </w:r>
            <w:r>
              <w:rPr>
                <w:rFonts w:ascii="宋体" w:hAnsi="宋体" w:cs="宋体" w:eastAsia="宋体" w:hint="default"/>
                <w:sz w:val="18"/>
                <w:szCs w:val="18"/>
              </w:rPr>
              <w:t>作</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调查的，在案件调查结论明确之前，承诺方将暂停转让在本公司</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2" w:hRule="exact"/>
        </w:trPr>
        <w:tc>
          <w:tcPr>
            <w:tcW w:w="708" w:type="dxa"/>
            <w:tcBorders>
              <w:top w:val="nil" w:sz="6" w:space="0" w:color="auto"/>
              <w:left w:val="single" w:sz="4" w:space="0" w:color="000000"/>
              <w:bottom w:val="single" w:sz="4" w:space="0" w:color="000000"/>
              <w:right w:val="single" w:sz="4" w:space="0" w:color="000000"/>
            </w:tcBorders>
          </w:tcPr>
          <w:p>
            <w:pPr>
              <w:pStyle w:val="TableParagraph"/>
              <w:spacing w:line="220" w:lineRule="exact"/>
              <w:ind w:left="103" w:right="0"/>
              <w:jc w:val="left"/>
              <w:rPr>
                <w:rFonts w:ascii="宋体" w:hAnsi="宋体" w:cs="宋体" w:eastAsia="宋体" w:hint="default"/>
                <w:sz w:val="18"/>
                <w:szCs w:val="18"/>
              </w:rPr>
            </w:pPr>
            <w:r>
              <w:rPr>
                <w:rFonts w:ascii="宋体" w:hAnsi="宋体" w:cs="宋体" w:eastAsia="宋体" w:hint="default"/>
                <w:sz w:val="18"/>
                <w:szCs w:val="18"/>
              </w:rPr>
              <w:t>承诺</w:t>
            </w:r>
          </w:p>
        </w:tc>
        <w:tc>
          <w:tcPr>
            <w:tcW w:w="852"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5245" w:type="dxa"/>
            <w:tcBorders>
              <w:top w:val="nil" w:sz="6" w:space="0" w:color="auto"/>
              <w:left w:val="single" w:sz="4" w:space="0" w:color="000000"/>
              <w:bottom w:val="single" w:sz="4" w:space="0" w:color="000000"/>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拥有权益的股份。</w:t>
            </w:r>
          </w:p>
        </w:tc>
        <w:tc>
          <w:tcPr>
            <w:tcW w:w="852"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r>
      <w:tr>
        <w:trPr>
          <w:trHeight w:val="279" w:hRule="exact"/>
        </w:trPr>
        <w:tc>
          <w:tcPr>
            <w:tcW w:w="708" w:type="dxa"/>
            <w:tcBorders>
              <w:top w:val="single" w:sz="4" w:space="0" w:color="000000"/>
              <w:left w:val="single" w:sz="4" w:space="0" w:color="000000"/>
              <w:bottom w:val="nil" w:sz="6" w:space="0" w:color="auto"/>
              <w:right w:val="single" w:sz="4" w:space="0" w:color="000000"/>
            </w:tcBorders>
          </w:tcPr>
          <w:p>
            <w:pPr/>
          </w:p>
        </w:tc>
        <w:tc>
          <w:tcPr>
            <w:tcW w:w="852"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5245" w:type="dxa"/>
            <w:tcBorders>
              <w:top w:val="single" w:sz="4" w:space="0" w:color="000000"/>
              <w:left w:val="single" w:sz="4" w:space="0" w:color="000000"/>
              <w:bottom w:val="nil" w:sz="6" w:space="0" w:color="auto"/>
              <w:right w:val="single" w:sz="4" w:space="0" w:color="000000"/>
            </w:tcBorders>
          </w:tcPr>
          <w:p>
            <w:pPr>
              <w:pStyle w:val="TableParagraph"/>
              <w:spacing w:line="234" w:lineRule="exact"/>
              <w:ind w:left="105" w:right="0"/>
              <w:jc w:val="left"/>
              <w:rPr>
                <w:rFonts w:ascii="宋体" w:hAnsi="宋体" w:cs="宋体" w:eastAsia="宋体" w:hint="default"/>
                <w:sz w:val="18"/>
                <w:szCs w:val="18"/>
              </w:rPr>
            </w:pPr>
            <w:r>
              <w:rPr>
                <w:rFonts w:ascii="宋体" w:hAnsi="宋体" w:cs="宋体" w:eastAsia="宋体" w:hint="default"/>
                <w:sz w:val="18"/>
                <w:szCs w:val="18"/>
              </w:rPr>
              <w:t>关于减少和规范关联交易的承诺</w:t>
            </w:r>
          </w:p>
        </w:tc>
        <w:tc>
          <w:tcPr>
            <w:tcW w:w="852"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r>
      <w:tr>
        <w:trPr>
          <w:trHeight w:val="26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105" w:right="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、承诺人在作为茂业通信的股东期间，承诺人及承诺人控制的</w:t>
            </w:r>
            <w:r>
              <w:rPr>
                <w:rFonts w:ascii="宋体" w:hAnsi="宋体" w:cs="宋体" w:eastAsia="宋体" w:hint="default"/>
                <w:sz w:val="18"/>
                <w:szCs w:val="18"/>
              </w:rPr>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6" w:lineRule="exact"/>
              <w:ind w:left="105" w:right="0"/>
              <w:jc w:val="left"/>
              <w:rPr>
                <w:rFonts w:ascii="宋体" w:hAnsi="宋体" w:cs="宋体" w:eastAsia="宋体" w:hint="default"/>
                <w:sz w:val="18"/>
                <w:szCs w:val="18"/>
              </w:rPr>
            </w:pPr>
            <w:r>
              <w:rPr>
                <w:rFonts w:ascii="宋体" w:hAnsi="宋体" w:cs="宋体" w:eastAsia="宋体" w:hint="default"/>
                <w:sz w:val="18"/>
                <w:szCs w:val="18"/>
              </w:rPr>
              <w:t>其他公司、企业将尽可能减少并规范与茂业通信及其控制的其他</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9"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公司、企业之间的关联交易。</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105" w:right="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、承诺人对于无法避免或有合理原因而发生的与茂业通信之间</w:t>
            </w:r>
            <w:r>
              <w:rPr>
                <w:rFonts w:ascii="宋体" w:hAnsi="宋体" w:cs="宋体" w:eastAsia="宋体" w:hint="default"/>
                <w:sz w:val="18"/>
                <w:szCs w:val="18"/>
              </w:rPr>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22"/>
              <w:ind w:left="103" w:right="0"/>
              <w:jc w:val="left"/>
              <w:rPr>
                <w:rFonts w:ascii="Times New Roman" w:hAnsi="Times New Roman" w:cs="Times New Roman" w:eastAsia="Times New Roman" w:hint="default"/>
                <w:sz w:val="18"/>
                <w:szCs w:val="18"/>
              </w:rPr>
            </w:pPr>
            <w:r>
              <w:rPr>
                <w:rFonts w:ascii="Times New Roman"/>
                <w:sz w:val="18"/>
              </w:rPr>
              <w:t>2018</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6" w:lineRule="exact"/>
              <w:ind w:left="105" w:right="0"/>
              <w:jc w:val="left"/>
              <w:rPr>
                <w:rFonts w:ascii="宋体" w:hAnsi="宋体" w:cs="宋体" w:eastAsia="宋体" w:hint="default"/>
                <w:sz w:val="18"/>
                <w:szCs w:val="18"/>
              </w:rPr>
            </w:pPr>
            <w:r>
              <w:rPr>
                <w:rFonts w:ascii="宋体" w:hAnsi="宋体" w:cs="宋体" w:eastAsia="宋体" w:hint="default"/>
                <w:sz w:val="18"/>
                <w:szCs w:val="18"/>
              </w:rPr>
              <w:t>的关联交易，承诺人及承诺人控制的其他公司、企业将遵循市场</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1295"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103"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宋体" w:hAnsi="宋体" w:cs="宋体" w:eastAsia="宋体" w:hint="default"/>
                <w:sz w:val="18"/>
                <w:szCs w:val="18"/>
              </w:rPr>
              <w:t>重</w:t>
            </w:r>
          </w:p>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大</w:t>
            </w:r>
            <w:r>
              <w:rPr>
                <w:rFonts w:ascii="宋体" w:hAnsi="宋体" w:cs="宋体" w:eastAsia="宋体" w:hint="default"/>
                <w:spacing w:val="42"/>
                <w:sz w:val="18"/>
                <w:szCs w:val="18"/>
              </w:rPr>
              <w:t> </w:t>
            </w:r>
            <w:r>
              <w:rPr>
                <w:rFonts w:ascii="宋体" w:hAnsi="宋体" w:cs="宋体" w:eastAsia="宋体" w:hint="default"/>
                <w:sz w:val="18"/>
                <w:szCs w:val="18"/>
              </w:rPr>
              <w:t>资</w:t>
            </w:r>
          </w:p>
          <w:p>
            <w:pPr>
              <w:pStyle w:val="TableParagraph"/>
              <w:spacing w:line="240" w:lineRule="auto" w:before="26"/>
              <w:ind w:left="103" w:right="0"/>
              <w:jc w:val="left"/>
              <w:rPr>
                <w:rFonts w:ascii="宋体" w:hAnsi="宋体" w:cs="宋体" w:eastAsia="宋体" w:hint="default"/>
                <w:sz w:val="18"/>
                <w:szCs w:val="18"/>
              </w:rPr>
            </w:pPr>
            <w:r>
              <w:rPr>
                <w:rFonts w:ascii="宋体" w:hAnsi="宋体" w:cs="宋体" w:eastAsia="宋体" w:hint="default"/>
                <w:sz w:val="18"/>
                <w:szCs w:val="18"/>
              </w:rPr>
              <w:t>产</w:t>
            </w:r>
            <w:r>
              <w:rPr>
                <w:rFonts w:ascii="宋体" w:hAnsi="宋体" w:cs="宋体" w:eastAsia="宋体" w:hint="default"/>
                <w:spacing w:val="42"/>
                <w:sz w:val="18"/>
                <w:szCs w:val="18"/>
              </w:rPr>
              <w:t> </w:t>
            </w:r>
            <w:r>
              <w:rPr>
                <w:rFonts w:ascii="宋体" w:hAnsi="宋体" w:cs="宋体" w:eastAsia="宋体" w:hint="default"/>
                <w:sz w:val="18"/>
                <w:szCs w:val="18"/>
              </w:rPr>
              <w:t>收</w:t>
            </w:r>
          </w:p>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购</w:t>
            </w:r>
            <w:r>
              <w:rPr>
                <w:rFonts w:ascii="宋体" w:hAnsi="宋体" w:cs="宋体" w:eastAsia="宋体" w:hint="default"/>
                <w:spacing w:val="42"/>
                <w:sz w:val="18"/>
                <w:szCs w:val="18"/>
              </w:rPr>
              <w:t> </w:t>
            </w:r>
            <w:r>
              <w:rPr>
                <w:rFonts w:ascii="宋体" w:hAnsi="宋体" w:cs="宋体" w:eastAsia="宋体" w:hint="default"/>
                <w:sz w:val="18"/>
                <w:szCs w:val="18"/>
              </w:rPr>
              <w:t>时</w:t>
            </w:r>
          </w:p>
          <w:p>
            <w:pPr>
              <w:pStyle w:val="TableParagraph"/>
              <w:spacing w:line="240" w:lineRule="auto" w:before="24"/>
              <w:ind w:left="103" w:right="0"/>
              <w:jc w:val="left"/>
              <w:rPr>
                <w:rFonts w:ascii="宋体" w:hAnsi="宋体" w:cs="宋体" w:eastAsia="宋体" w:hint="default"/>
                <w:sz w:val="18"/>
                <w:szCs w:val="18"/>
              </w:rPr>
            </w:pPr>
            <w:r>
              <w:rPr>
                <w:rFonts w:ascii="宋体" w:hAnsi="宋体" w:cs="宋体" w:eastAsia="宋体" w:hint="default"/>
                <w:sz w:val="18"/>
                <w:szCs w:val="18"/>
              </w:rPr>
              <w:t>所</w:t>
            </w:r>
            <w:r>
              <w:rPr>
                <w:rFonts w:ascii="宋体" w:hAnsi="宋体" w:cs="宋体" w:eastAsia="宋体" w:hint="default"/>
                <w:spacing w:val="42"/>
                <w:sz w:val="18"/>
                <w:szCs w:val="18"/>
              </w:rPr>
              <w:t> </w:t>
            </w:r>
            <w:r>
              <w:rPr>
                <w:rFonts w:ascii="宋体" w:hAnsi="宋体" w:cs="宋体" w:eastAsia="宋体" w:hint="default"/>
                <w:sz w:val="18"/>
                <w:szCs w:val="18"/>
              </w:rPr>
              <w:t>作</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64" w:lineRule="auto" w:before="108"/>
              <w:ind w:left="105" w:right="14"/>
              <w:jc w:val="left"/>
              <w:rPr>
                <w:rFonts w:ascii="宋体" w:hAnsi="宋体" w:cs="宋体" w:eastAsia="宋体" w:hint="default"/>
                <w:sz w:val="18"/>
                <w:szCs w:val="18"/>
              </w:rPr>
            </w:pPr>
            <w:r>
              <w:rPr>
                <w:rFonts w:ascii="宋体" w:hAnsi="宋体" w:cs="宋体" w:eastAsia="宋体" w:hint="default"/>
                <w:sz w:val="18"/>
                <w:szCs w:val="18"/>
              </w:rPr>
              <w:t>鹰溪谷、 </w:t>
            </w:r>
            <w:r>
              <w:rPr>
                <w:rFonts w:ascii="宋体" w:hAnsi="宋体" w:cs="宋体" w:eastAsia="宋体" w:hint="default"/>
                <w:spacing w:val="32"/>
                <w:sz w:val="18"/>
                <w:szCs w:val="18"/>
              </w:rPr>
              <w:t>中兆投</w:t>
            </w:r>
            <w:r>
              <w:rPr>
                <w:rFonts w:ascii="宋体" w:hAnsi="宋体" w:cs="宋体" w:eastAsia="宋体" w:hint="default"/>
                <w:spacing w:val="-42"/>
                <w:sz w:val="18"/>
                <w:szCs w:val="18"/>
              </w:rPr>
              <w:t> </w:t>
            </w:r>
            <w:r>
              <w:rPr>
                <w:rFonts w:ascii="宋体" w:hAnsi="宋体" w:cs="宋体" w:eastAsia="宋体" w:hint="default"/>
                <w:spacing w:val="-22"/>
                <w:sz w:val="18"/>
                <w:szCs w:val="18"/>
              </w:rPr>
              <w:t>资、通泰</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达</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5"/>
                <w:szCs w:val="2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105" w:right="0"/>
              <w:jc w:val="left"/>
              <w:rPr>
                <w:rFonts w:ascii="宋体" w:hAnsi="宋体" w:cs="宋体" w:eastAsia="宋体" w:hint="default"/>
                <w:sz w:val="18"/>
                <w:szCs w:val="18"/>
              </w:rPr>
            </w:pPr>
            <w:r>
              <w:rPr>
                <w:rFonts w:ascii="宋体" w:hAnsi="宋体" w:cs="宋体" w:eastAsia="宋体" w:hint="default"/>
                <w:sz w:val="18"/>
                <w:szCs w:val="18"/>
              </w:rPr>
              <w:t>原则以公允、合理的市场价格进行，根据有关法律、法规、规范</w:t>
            </w:r>
          </w:p>
          <w:p>
            <w:pPr>
              <w:pStyle w:val="TableParagraph"/>
              <w:spacing w:line="259" w:lineRule="auto" w:before="23"/>
              <w:ind w:left="105" w:right="98"/>
              <w:jc w:val="left"/>
              <w:rPr>
                <w:rFonts w:ascii="宋体" w:hAnsi="宋体" w:cs="宋体" w:eastAsia="宋体" w:hint="default"/>
                <w:sz w:val="18"/>
                <w:szCs w:val="18"/>
              </w:rPr>
            </w:pPr>
            <w:r>
              <w:rPr>
                <w:rFonts w:ascii="宋体" w:hAnsi="宋体" w:cs="宋体" w:eastAsia="宋体" w:hint="default"/>
                <w:spacing w:val="-1"/>
                <w:sz w:val="18"/>
                <w:szCs w:val="18"/>
              </w:rPr>
              <w:t>性文件及茂业通信内控制度的规定履行关联交易决策程序，依法</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履行信息披露义务和办理有关报批程序。 </w:t>
            </w: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、承诺人及承诺人控制的其他公司、企业不会利用拥有的上市</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1"/>
                <w:sz w:val="18"/>
                <w:szCs w:val="18"/>
              </w:rPr>
              <w:t>公司股东权利操纵、指使上市公司或者上市公司董事、监事、高</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0"/>
                <w:szCs w:val="20"/>
              </w:rPr>
            </w:pPr>
          </w:p>
          <w:p>
            <w:pPr>
              <w:pStyle w:val="TableParagraph"/>
              <w:spacing w:line="240" w:lineRule="auto"/>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p>
          <w:p>
            <w:pPr>
              <w:pStyle w:val="TableParagraph"/>
              <w:spacing w:line="240" w:lineRule="auto" w:before="12"/>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12</w:t>
            </w:r>
          </w:p>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5"/>
                <w:szCs w:val="2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66" w:lineRule="auto" w:before="161"/>
              <w:ind w:left="105" w:right="192"/>
              <w:jc w:val="left"/>
              <w:rPr>
                <w:rFonts w:ascii="宋体" w:hAnsi="宋体" w:cs="宋体" w:eastAsia="宋体" w:hint="default"/>
                <w:sz w:val="18"/>
                <w:szCs w:val="18"/>
              </w:rPr>
            </w:pPr>
            <w:r>
              <w:rPr>
                <w:rFonts w:ascii="宋体" w:hAnsi="宋体" w:cs="宋体" w:eastAsia="宋体" w:hint="default"/>
                <w:sz w:val="18"/>
                <w:szCs w:val="18"/>
              </w:rPr>
              <w:t>正常履 行</w:t>
            </w: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103" w:right="0"/>
              <w:jc w:val="left"/>
              <w:rPr>
                <w:rFonts w:ascii="宋体" w:hAnsi="宋体" w:cs="宋体" w:eastAsia="宋体" w:hint="default"/>
                <w:sz w:val="18"/>
                <w:szCs w:val="18"/>
              </w:rPr>
            </w:pPr>
            <w:r>
              <w:rPr>
                <w:rFonts w:ascii="宋体" w:hAnsi="宋体" w:cs="宋体" w:eastAsia="宋体" w:hint="default"/>
                <w:sz w:val="18"/>
                <w:szCs w:val="18"/>
              </w:rPr>
              <w:t>承诺</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105" w:right="0"/>
              <w:jc w:val="left"/>
              <w:rPr>
                <w:rFonts w:ascii="宋体" w:hAnsi="宋体" w:cs="宋体" w:eastAsia="宋体" w:hint="default"/>
                <w:sz w:val="18"/>
                <w:szCs w:val="18"/>
              </w:rPr>
            </w:pPr>
            <w:r>
              <w:rPr>
                <w:rFonts w:ascii="宋体" w:hAnsi="宋体" w:cs="宋体" w:eastAsia="宋体" w:hint="default"/>
                <w:spacing w:val="-4"/>
                <w:sz w:val="18"/>
                <w:szCs w:val="18"/>
              </w:rPr>
              <w:t>级管理人员，使得上市公司以不公平的条件，提供或者接受资金、</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9"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pacing w:val="-4"/>
                <w:sz w:val="18"/>
                <w:szCs w:val="18"/>
              </w:rPr>
              <w:t>商品、服务或者其他资产，或从事任何损害上市公司利益的行为，</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不利用股东地位谋取不正当利益，不利用股东优势地位损害茂业</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105" w:right="0"/>
              <w:jc w:val="left"/>
              <w:rPr>
                <w:rFonts w:ascii="宋体" w:hAnsi="宋体" w:cs="宋体" w:eastAsia="宋体" w:hint="default"/>
                <w:sz w:val="18"/>
                <w:szCs w:val="18"/>
              </w:rPr>
            </w:pPr>
            <w:r>
              <w:rPr>
                <w:rFonts w:ascii="宋体" w:hAnsi="宋体" w:cs="宋体" w:eastAsia="宋体" w:hint="default"/>
                <w:sz w:val="18"/>
                <w:szCs w:val="18"/>
              </w:rPr>
              <w:t>通信及其他股东的合法权益。</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9"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承诺人若违反上述承诺，将承担因此而给茂业通信及其控制的其</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2" w:hRule="exact"/>
        </w:trPr>
        <w:tc>
          <w:tcPr>
            <w:tcW w:w="708" w:type="dxa"/>
            <w:tcBorders>
              <w:top w:val="nil" w:sz="6" w:space="0" w:color="auto"/>
              <w:left w:val="single" w:sz="4" w:space="0" w:color="000000"/>
              <w:bottom w:val="single" w:sz="4" w:space="0" w:color="000000"/>
              <w:right w:val="single" w:sz="4" w:space="0" w:color="000000"/>
            </w:tcBorders>
          </w:tcPr>
          <w:p>
            <w:pPr/>
          </w:p>
        </w:tc>
        <w:tc>
          <w:tcPr>
            <w:tcW w:w="852"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5245" w:type="dxa"/>
            <w:tcBorders>
              <w:top w:val="nil" w:sz="6" w:space="0" w:color="auto"/>
              <w:left w:val="single" w:sz="4" w:space="0" w:color="000000"/>
              <w:bottom w:val="single" w:sz="4" w:space="0" w:color="000000"/>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他公司、企业造成的一切损失。</w:t>
            </w:r>
          </w:p>
        </w:tc>
        <w:tc>
          <w:tcPr>
            <w:tcW w:w="852"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r>
      <w:tr>
        <w:trPr>
          <w:trHeight w:val="279" w:hRule="exact"/>
        </w:trPr>
        <w:tc>
          <w:tcPr>
            <w:tcW w:w="708" w:type="dxa"/>
            <w:tcBorders>
              <w:top w:val="single" w:sz="4" w:space="0" w:color="000000"/>
              <w:left w:val="single" w:sz="4" w:space="0" w:color="000000"/>
              <w:bottom w:val="nil" w:sz="6" w:space="0" w:color="auto"/>
              <w:right w:val="single" w:sz="4" w:space="0" w:color="000000"/>
            </w:tcBorders>
          </w:tcPr>
          <w:p>
            <w:pPr/>
          </w:p>
        </w:tc>
        <w:tc>
          <w:tcPr>
            <w:tcW w:w="852"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5245" w:type="dxa"/>
            <w:tcBorders>
              <w:top w:val="single" w:sz="4" w:space="0" w:color="000000"/>
              <w:left w:val="single" w:sz="4" w:space="0" w:color="000000"/>
              <w:bottom w:val="nil" w:sz="6" w:space="0" w:color="auto"/>
              <w:right w:val="single" w:sz="4" w:space="0" w:color="000000"/>
            </w:tcBorders>
          </w:tcPr>
          <w:p>
            <w:pPr>
              <w:pStyle w:val="TableParagraph"/>
              <w:spacing w:line="234" w:lineRule="exact"/>
              <w:ind w:left="105" w:right="0"/>
              <w:jc w:val="left"/>
              <w:rPr>
                <w:rFonts w:ascii="宋体" w:hAnsi="宋体" w:cs="宋体" w:eastAsia="宋体" w:hint="default"/>
                <w:sz w:val="18"/>
                <w:szCs w:val="18"/>
              </w:rPr>
            </w:pPr>
            <w:r>
              <w:rPr>
                <w:rFonts w:ascii="宋体" w:hAnsi="宋体" w:cs="宋体" w:eastAsia="宋体" w:hint="default"/>
                <w:sz w:val="18"/>
                <w:szCs w:val="18"/>
              </w:rPr>
              <w:t>关于避免同业竞争的承诺</w:t>
            </w:r>
          </w:p>
        </w:tc>
        <w:tc>
          <w:tcPr>
            <w:tcW w:w="852"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r>
      <w:tr>
        <w:trPr>
          <w:trHeight w:val="264"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105" w:right="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、截至本承诺函签署日，承诺人及承诺人控制的其他公司、企</w:t>
            </w:r>
            <w:r>
              <w:rPr>
                <w:rFonts w:ascii="宋体" w:hAnsi="宋体" w:cs="宋体" w:eastAsia="宋体" w:hint="default"/>
                <w:sz w:val="18"/>
                <w:szCs w:val="18"/>
              </w:rPr>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105" w:right="0"/>
              <w:jc w:val="left"/>
              <w:rPr>
                <w:rFonts w:ascii="宋体" w:hAnsi="宋体" w:cs="宋体" w:eastAsia="宋体" w:hint="default"/>
                <w:sz w:val="18"/>
                <w:szCs w:val="18"/>
              </w:rPr>
            </w:pPr>
            <w:r>
              <w:rPr>
                <w:rFonts w:ascii="宋体" w:hAnsi="宋体" w:cs="宋体" w:eastAsia="宋体" w:hint="default"/>
                <w:sz w:val="18"/>
                <w:szCs w:val="18"/>
              </w:rPr>
              <w:t>业等关联方未从事与茂业通信及其控制的其他公司、企业存在同</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080"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157"/>
              <w:ind w:left="103" w:right="0"/>
              <w:jc w:val="left"/>
              <w:rPr>
                <w:rFonts w:ascii="Times New Roman" w:hAnsi="Times New Roman" w:cs="Times New Roman" w:eastAsia="Times New Roman" w:hint="default"/>
                <w:sz w:val="18"/>
                <w:szCs w:val="18"/>
              </w:rPr>
            </w:pPr>
            <w:r>
              <w:rPr>
                <w:rFonts w:ascii="Times New Roman"/>
                <w:sz w:val="18"/>
              </w:rPr>
              <w:t>2018</w:t>
            </w:r>
          </w:p>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宋体" w:hAnsi="宋体" w:cs="宋体" w:eastAsia="宋体" w:hint="default"/>
                <w:sz w:val="18"/>
                <w:szCs w:val="18"/>
              </w:rPr>
              <w:t>重</w:t>
            </w:r>
          </w:p>
          <w:p>
            <w:pPr>
              <w:pStyle w:val="TableParagraph"/>
              <w:spacing w:line="240" w:lineRule="auto" w:before="26"/>
              <w:ind w:left="103" w:right="0"/>
              <w:jc w:val="left"/>
              <w:rPr>
                <w:rFonts w:ascii="宋体" w:hAnsi="宋体" w:cs="宋体" w:eastAsia="宋体" w:hint="default"/>
                <w:sz w:val="18"/>
                <w:szCs w:val="18"/>
              </w:rPr>
            </w:pPr>
            <w:r>
              <w:rPr>
                <w:rFonts w:ascii="宋体" w:hAnsi="宋体" w:cs="宋体" w:eastAsia="宋体" w:hint="default"/>
                <w:sz w:val="18"/>
                <w:szCs w:val="18"/>
              </w:rPr>
              <w:t>大</w:t>
            </w:r>
            <w:r>
              <w:rPr>
                <w:rFonts w:ascii="宋体" w:hAnsi="宋体" w:cs="宋体" w:eastAsia="宋体" w:hint="default"/>
                <w:spacing w:val="42"/>
                <w:sz w:val="18"/>
                <w:szCs w:val="18"/>
              </w:rPr>
              <w:t> </w:t>
            </w:r>
            <w:r>
              <w:rPr>
                <w:rFonts w:ascii="宋体" w:hAnsi="宋体" w:cs="宋体" w:eastAsia="宋体" w:hint="default"/>
                <w:sz w:val="18"/>
                <w:szCs w:val="18"/>
              </w:rPr>
              <w:t>资</w:t>
            </w:r>
          </w:p>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产</w:t>
            </w:r>
            <w:r>
              <w:rPr>
                <w:rFonts w:ascii="宋体" w:hAnsi="宋体" w:cs="宋体" w:eastAsia="宋体" w:hint="default"/>
                <w:spacing w:val="42"/>
                <w:sz w:val="18"/>
                <w:szCs w:val="18"/>
              </w:rPr>
              <w:t> </w:t>
            </w:r>
            <w:r>
              <w:rPr>
                <w:rFonts w:ascii="宋体" w:hAnsi="宋体" w:cs="宋体" w:eastAsia="宋体" w:hint="default"/>
                <w:sz w:val="18"/>
                <w:szCs w:val="18"/>
              </w:rPr>
              <w:t>收</w:t>
            </w:r>
          </w:p>
          <w:p>
            <w:pPr>
              <w:pStyle w:val="TableParagraph"/>
              <w:spacing w:line="240" w:lineRule="auto" w:before="24"/>
              <w:ind w:left="103" w:right="0"/>
              <w:jc w:val="left"/>
              <w:rPr>
                <w:rFonts w:ascii="宋体" w:hAnsi="宋体" w:cs="宋体" w:eastAsia="宋体" w:hint="default"/>
                <w:sz w:val="18"/>
                <w:szCs w:val="18"/>
              </w:rPr>
            </w:pPr>
            <w:r>
              <w:rPr>
                <w:rFonts w:ascii="宋体" w:hAnsi="宋体" w:cs="宋体" w:eastAsia="宋体" w:hint="default"/>
                <w:sz w:val="18"/>
                <w:szCs w:val="18"/>
              </w:rPr>
              <w:t>购</w:t>
            </w:r>
            <w:r>
              <w:rPr>
                <w:rFonts w:ascii="宋体" w:hAnsi="宋体" w:cs="宋体" w:eastAsia="宋体" w:hint="default"/>
                <w:spacing w:val="42"/>
                <w:sz w:val="18"/>
                <w:szCs w:val="18"/>
              </w:rPr>
              <w:t> </w:t>
            </w:r>
            <w:r>
              <w:rPr>
                <w:rFonts w:ascii="宋体" w:hAnsi="宋体" w:cs="宋体" w:eastAsia="宋体" w:hint="default"/>
                <w:sz w:val="18"/>
                <w:szCs w:val="18"/>
              </w:rPr>
              <w:t>时</w:t>
            </w:r>
          </w:p>
          <w:p>
            <w:pPr>
              <w:pStyle w:val="TableParagraph"/>
              <w:spacing w:line="264" w:lineRule="auto" w:before="26"/>
              <w:ind w:left="103" w:right="101"/>
              <w:jc w:val="left"/>
              <w:rPr>
                <w:rFonts w:ascii="宋体" w:hAnsi="宋体" w:cs="宋体" w:eastAsia="宋体" w:hint="default"/>
                <w:sz w:val="18"/>
                <w:szCs w:val="18"/>
              </w:rPr>
            </w:pPr>
            <w:r>
              <w:rPr>
                <w:rFonts w:ascii="宋体" w:hAnsi="宋体" w:cs="宋体" w:eastAsia="宋体" w:hint="default"/>
                <w:sz w:val="18"/>
                <w:szCs w:val="18"/>
              </w:rPr>
              <w:t>所</w:t>
            </w:r>
            <w:r>
              <w:rPr>
                <w:rFonts w:ascii="宋体" w:hAnsi="宋体" w:cs="宋体" w:eastAsia="宋体" w:hint="default"/>
                <w:spacing w:val="42"/>
                <w:sz w:val="18"/>
                <w:szCs w:val="18"/>
              </w:rPr>
              <w:t> </w:t>
            </w:r>
            <w:r>
              <w:rPr>
                <w:rFonts w:ascii="宋体" w:hAnsi="宋体" w:cs="宋体" w:eastAsia="宋体" w:hint="default"/>
                <w:sz w:val="18"/>
                <w:szCs w:val="18"/>
              </w:rPr>
              <w:t>作</w:t>
            </w:r>
            <w:r>
              <w:rPr>
                <w:rFonts w:ascii="宋体" w:hAnsi="宋体" w:cs="宋体" w:eastAsia="宋体" w:hint="default"/>
                <w:sz w:val="18"/>
                <w:szCs w:val="18"/>
              </w:rPr>
              <w:t> 承诺</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5"/>
                <w:szCs w:val="25"/>
              </w:rPr>
            </w:pPr>
          </w:p>
          <w:p>
            <w:pPr>
              <w:pStyle w:val="TableParagraph"/>
              <w:spacing w:line="264" w:lineRule="auto"/>
              <w:ind w:left="105" w:right="14"/>
              <w:jc w:val="left"/>
              <w:rPr>
                <w:rFonts w:ascii="宋体" w:hAnsi="宋体" w:cs="宋体" w:eastAsia="宋体" w:hint="default"/>
                <w:sz w:val="18"/>
                <w:szCs w:val="18"/>
              </w:rPr>
            </w:pPr>
            <w:r>
              <w:rPr>
                <w:rFonts w:ascii="宋体" w:hAnsi="宋体" w:cs="宋体" w:eastAsia="宋体" w:hint="default"/>
                <w:sz w:val="18"/>
                <w:szCs w:val="18"/>
              </w:rPr>
              <w:t>鹰溪谷、 </w:t>
            </w:r>
            <w:r>
              <w:rPr>
                <w:rFonts w:ascii="宋体" w:hAnsi="宋体" w:cs="宋体" w:eastAsia="宋体" w:hint="default"/>
                <w:spacing w:val="32"/>
                <w:sz w:val="18"/>
                <w:szCs w:val="18"/>
              </w:rPr>
              <w:t>中兆投</w:t>
            </w:r>
            <w:r>
              <w:rPr>
                <w:rFonts w:ascii="宋体" w:hAnsi="宋体" w:cs="宋体" w:eastAsia="宋体" w:hint="default"/>
                <w:spacing w:val="-42"/>
                <w:sz w:val="18"/>
                <w:szCs w:val="18"/>
              </w:rPr>
              <w:t> </w:t>
            </w:r>
            <w:r>
              <w:rPr>
                <w:rFonts w:ascii="宋体" w:hAnsi="宋体" w:cs="宋体" w:eastAsia="宋体" w:hint="default"/>
                <w:spacing w:val="-22"/>
                <w:sz w:val="18"/>
                <w:szCs w:val="18"/>
              </w:rPr>
              <w:t>资、通泰</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达</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3"/>
                <w:szCs w:val="2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105" w:right="0"/>
              <w:jc w:val="left"/>
              <w:rPr>
                <w:rFonts w:ascii="宋体" w:hAnsi="宋体" w:cs="宋体" w:eastAsia="宋体" w:hint="default"/>
                <w:sz w:val="18"/>
                <w:szCs w:val="18"/>
              </w:rPr>
            </w:pPr>
            <w:r>
              <w:rPr>
                <w:rFonts w:ascii="宋体" w:hAnsi="宋体" w:cs="宋体" w:eastAsia="宋体" w:hint="default"/>
                <w:sz w:val="18"/>
                <w:szCs w:val="18"/>
              </w:rPr>
              <w:t>业竞争关系的业务。</w:t>
            </w:r>
          </w:p>
          <w:p>
            <w:pPr>
              <w:pStyle w:val="TableParagraph"/>
              <w:spacing w:line="259" w:lineRule="auto" w:before="23"/>
              <w:ind w:left="105" w:right="97"/>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、承诺人及承诺人控制的其他公司、企业等关联方将避免从事</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1"/>
                <w:sz w:val="18"/>
                <w:szCs w:val="18"/>
              </w:rPr>
              <w:t>任何与茂业通信及其控制的其他公司、企业相同或相似且构成或</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1"/>
                <w:sz w:val="18"/>
                <w:szCs w:val="18"/>
              </w:rPr>
              <w:t>可能构成竞争关系的业务，亦不从事任何可能损害茂业通信及其</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控制的其他公司、企业利益的活动。 </w:t>
            </w: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、如承诺人及承诺人控制的其他公司、企业遇到与茂业通信及</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pacing w:val="-1"/>
                <w:sz w:val="18"/>
                <w:szCs w:val="18"/>
              </w:rPr>
              <w:t>其控制的其他公司、企业主营业务范围内的业务机会，承诺人及</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1"/>
                <w:sz w:val="18"/>
                <w:szCs w:val="18"/>
              </w:rPr>
              <w:t>承诺人控制的其他公司、企业将该等业务机会让予茂业通信及其</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9"/>
                <w:szCs w:val="19"/>
              </w:rPr>
            </w:pPr>
          </w:p>
          <w:p>
            <w:pPr>
              <w:pStyle w:val="TableParagraph"/>
              <w:spacing w:line="240" w:lineRule="auto"/>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p>
          <w:p>
            <w:pPr>
              <w:pStyle w:val="TableParagraph"/>
              <w:spacing w:line="240" w:lineRule="auto" w:before="10"/>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12</w:t>
            </w:r>
          </w:p>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3"/>
                <w:szCs w:val="2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64" w:lineRule="auto" w:before="144"/>
              <w:ind w:left="105" w:right="192"/>
              <w:jc w:val="left"/>
              <w:rPr>
                <w:rFonts w:ascii="宋体" w:hAnsi="宋体" w:cs="宋体" w:eastAsia="宋体" w:hint="default"/>
                <w:sz w:val="18"/>
                <w:szCs w:val="18"/>
              </w:rPr>
            </w:pPr>
            <w:r>
              <w:rPr>
                <w:rFonts w:ascii="宋体" w:hAnsi="宋体" w:cs="宋体" w:eastAsia="宋体" w:hint="default"/>
                <w:sz w:val="18"/>
                <w:szCs w:val="18"/>
              </w:rPr>
              <w:t>正常履 行</w:t>
            </w: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控制的其他公司、企业。</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105" w:right="0"/>
              <w:jc w:val="left"/>
              <w:rPr>
                <w:rFonts w:ascii="宋体" w:hAnsi="宋体" w:cs="宋体" w:eastAsia="宋体" w:hint="default"/>
                <w:sz w:val="18"/>
                <w:szCs w:val="18"/>
              </w:rPr>
            </w:pPr>
            <w:r>
              <w:rPr>
                <w:rFonts w:ascii="宋体" w:hAnsi="宋体" w:cs="宋体" w:eastAsia="宋体" w:hint="default"/>
                <w:sz w:val="18"/>
                <w:szCs w:val="18"/>
              </w:rPr>
              <w:t>承诺人若违反上述承诺，将承担因此而给茂业通信及其控制的其</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49" w:hRule="exact"/>
        </w:trPr>
        <w:tc>
          <w:tcPr>
            <w:tcW w:w="708" w:type="dxa"/>
            <w:tcBorders>
              <w:top w:val="nil" w:sz="6" w:space="0" w:color="auto"/>
              <w:left w:val="single" w:sz="4" w:space="0" w:color="000000"/>
              <w:bottom w:val="single" w:sz="4" w:space="0" w:color="000000"/>
              <w:right w:val="single" w:sz="4" w:space="0" w:color="000000"/>
            </w:tcBorders>
          </w:tcPr>
          <w:p>
            <w:pPr/>
          </w:p>
        </w:tc>
        <w:tc>
          <w:tcPr>
            <w:tcW w:w="852"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5245" w:type="dxa"/>
            <w:tcBorders>
              <w:top w:val="nil" w:sz="6" w:space="0" w:color="auto"/>
              <w:left w:val="single" w:sz="4" w:space="0" w:color="000000"/>
              <w:bottom w:val="single" w:sz="4" w:space="0" w:color="000000"/>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他公司、企业造成的一切损失。</w:t>
            </w:r>
          </w:p>
        </w:tc>
        <w:tc>
          <w:tcPr>
            <w:tcW w:w="852"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r>
      <w:tr>
        <w:trPr>
          <w:trHeight w:val="427"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0"/>
              <w:ind w:left="103" w:right="0"/>
              <w:jc w:val="left"/>
              <w:rPr>
                <w:rFonts w:ascii="Times New Roman" w:hAnsi="Times New Roman" w:cs="Times New Roman" w:eastAsia="Times New Roman" w:hint="default"/>
                <w:sz w:val="18"/>
                <w:szCs w:val="18"/>
              </w:rPr>
            </w:pPr>
            <w:r>
              <w:rPr>
                <w:rFonts w:ascii="Times New Roman"/>
                <w:sz w:val="18"/>
              </w:rPr>
              <w:t>2018</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105" w:right="0"/>
              <w:jc w:val="left"/>
              <w:rPr>
                <w:rFonts w:ascii="宋体" w:hAnsi="宋体" w:cs="宋体" w:eastAsia="宋体" w:hint="default"/>
                <w:sz w:val="18"/>
                <w:szCs w:val="18"/>
              </w:rPr>
            </w:pPr>
            <w:r>
              <w:rPr>
                <w:rFonts w:ascii="宋体" w:hAnsi="宋体" w:cs="宋体" w:eastAsia="宋体" w:hint="default"/>
                <w:sz w:val="18"/>
                <w:szCs w:val="18"/>
              </w:rPr>
              <w:t>鹰溪谷、</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52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、保证茂业通信的人员独立</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105" w:right="0"/>
              <w:jc w:val="left"/>
              <w:rPr>
                <w:rFonts w:ascii="宋体" w:hAnsi="宋体" w:cs="宋体" w:eastAsia="宋体" w:hint="default"/>
                <w:sz w:val="18"/>
                <w:szCs w:val="18"/>
              </w:rPr>
            </w:pPr>
            <w:r>
              <w:rPr>
                <w:rFonts w:ascii="宋体" w:hAnsi="宋体" w:cs="宋体" w:eastAsia="宋体" w:hint="default"/>
                <w:sz w:val="18"/>
                <w:szCs w:val="18"/>
              </w:rPr>
              <w:t>正常履</w:t>
            </w:r>
          </w:p>
        </w:tc>
      </w:tr>
    </w:tbl>
    <w:p>
      <w:pPr>
        <w:spacing w:after="0" w:line="240" w:lineRule="auto"/>
        <w:jc w:val="left"/>
        <w:rPr>
          <w:rFonts w:ascii="宋体" w:hAnsi="宋体" w:cs="宋体" w:eastAsia="宋体" w:hint="default"/>
          <w:sz w:val="18"/>
          <w:szCs w:val="18"/>
        </w:rPr>
        <w:sectPr>
          <w:pgSz w:w="11910" w:h="16840"/>
          <w:pgMar w:header="880" w:footer="975" w:top="1100" w:bottom="1160" w:left="880" w:right="0"/>
        </w:sectPr>
      </w:pPr>
    </w:p>
    <w:p>
      <w:pPr>
        <w:spacing w:line="240" w:lineRule="auto" w:before="11"/>
        <w:rPr>
          <w:rFonts w:ascii="Times New Roman" w:hAnsi="Times New Roman" w:cs="Times New Roman" w:eastAsia="Times New Roman" w:hint="default"/>
          <w:sz w:val="27"/>
          <w:szCs w:val="27"/>
        </w:rPr>
      </w:pPr>
    </w:p>
    <w:tbl>
      <w:tblPr>
        <w:tblW w:w="0" w:type="auto"/>
        <w:jc w:val="left"/>
        <w:tblInd w:w="106" w:type="dxa"/>
        <w:tblLayout w:type="fixed"/>
        <w:tblCellMar>
          <w:top w:w="0" w:type="dxa"/>
          <w:left w:w="0" w:type="dxa"/>
          <w:bottom w:w="0" w:type="dxa"/>
          <w:right w:w="0" w:type="dxa"/>
        </w:tblCellMar>
        <w:tblLook w:val="01E0"/>
      </w:tblPr>
      <w:tblGrid>
        <w:gridCol w:w="708"/>
        <w:gridCol w:w="852"/>
        <w:gridCol w:w="708"/>
        <w:gridCol w:w="5245"/>
        <w:gridCol w:w="852"/>
        <w:gridCol w:w="708"/>
        <w:gridCol w:w="850"/>
      </w:tblGrid>
      <w:tr>
        <w:trPr>
          <w:trHeight w:val="285" w:hRule="exact"/>
        </w:trPr>
        <w:tc>
          <w:tcPr>
            <w:tcW w:w="708" w:type="dxa"/>
            <w:tcBorders>
              <w:top w:val="single" w:sz="4" w:space="0" w:color="000000"/>
              <w:left w:val="single" w:sz="4" w:space="0" w:color="000000"/>
              <w:bottom w:val="nil" w:sz="6" w:space="0" w:color="auto"/>
              <w:right w:val="single" w:sz="4" w:space="0" w:color="000000"/>
            </w:tcBorders>
          </w:tcPr>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宋体" w:hAnsi="宋体" w:cs="宋体" w:eastAsia="宋体" w:hint="default"/>
                <w:sz w:val="18"/>
                <w:szCs w:val="18"/>
              </w:rPr>
              <w:t>重</w:t>
            </w:r>
          </w:p>
        </w:tc>
        <w:tc>
          <w:tcPr>
            <w:tcW w:w="852" w:type="dxa"/>
            <w:tcBorders>
              <w:top w:val="single" w:sz="4" w:space="0" w:color="000000"/>
              <w:left w:val="single" w:sz="4" w:space="0" w:color="000000"/>
              <w:bottom w:val="nil" w:sz="6" w:space="0" w:color="auto"/>
              <w:right w:val="single" w:sz="4" w:space="0" w:color="000000"/>
            </w:tcBorders>
          </w:tcPr>
          <w:p>
            <w:pPr>
              <w:pStyle w:val="TableParagraph"/>
              <w:spacing w:line="234" w:lineRule="exact"/>
              <w:ind w:left="105" w:right="0"/>
              <w:jc w:val="left"/>
              <w:rPr>
                <w:rFonts w:ascii="宋体" w:hAnsi="宋体" w:cs="宋体" w:eastAsia="宋体" w:hint="default"/>
                <w:sz w:val="18"/>
                <w:szCs w:val="18"/>
              </w:rPr>
            </w:pPr>
            <w:r>
              <w:rPr>
                <w:rFonts w:ascii="宋体" w:hAnsi="宋体" w:cs="宋体" w:eastAsia="宋体" w:hint="default"/>
                <w:spacing w:val="32"/>
                <w:sz w:val="18"/>
                <w:szCs w:val="18"/>
              </w:rPr>
              <w:t>中兆投</w:t>
            </w:r>
            <w:r>
              <w:rPr>
                <w:rFonts w:ascii="宋体" w:hAnsi="宋体" w:cs="宋体" w:eastAsia="宋体" w:hint="default"/>
                <w:spacing w:val="-42"/>
                <w:sz w:val="18"/>
                <w:szCs w:val="18"/>
              </w:rPr>
              <w:t> </w:t>
            </w:r>
            <w:r>
              <w:rPr>
                <w:rFonts w:ascii="宋体" w:hAnsi="宋体" w:cs="宋体" w:eastAsia="宋体" w:hint="default"/>
                <w:sz w:val="18"/>
                <w:szCs w:val="18"/>
              </w:rPr>
            </w:r>
          </w:p>
        </w:tc>
        <w:tc>
          <w:tcPr>
            <w:tcW w:w="708" w:type="dxa"/>
            <w:vMerge w:val="restart"/>
            <w:tcBorders>
              <w:top w:val="single" w:sz="4" w:space="0" w:color="000000"/>
              <w:left w:val="single" w:sz="4" w:space="0" w:color="000000"/>
              <w:right w:val="single" w:sz="4" w:space="0" w:color="000000"/>
            </w:tcBorders>
          </w:tcPr>
          <w:p>
            <w:pPr/>
          </w:p>
        </w:tc>
        <w:tc>
          <w:tcPr>
            <w:tcW w:w="5245" w:type="dxa"/>
            <w:tcBorders>
              <w:top w:val="single" w:sz="4" w:space="0" w:color="000000"/>
              <w:left w:val="single" w:sz="4" w:space="0" w:color="000000"/>
              <w:bottom w:val="nil" w:sz="6" w:space="0" w:color="auto"/>
              <w:right w:val="single" w:sz="4" w:space="0" w:color="000000"/>
            </w:tcBorders>
          </w:tcPr>
          <w:p>
            <w:pPr>
              <w:pStyle w:val="TableParagraph"/>
              <w:spacing w:line="248" w:lineRule="exact"/>
              <w:ind w:left="105" w:right="0"/>
              <w:jc w:val="left"/>
              <w:rPr>
                <w:rFonts w:ascii="宋体" w:hAnsi="宋体" w:cs="宋体" w:eastAsia="宋体" w:hint="default"/>
                <w:sz w:val="18"/>
                <w:szCs w:val="18"/>
              </w:rPr>
            </w:pP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）保证本次交易完成后茂业通信及其控制的公司、企业的劳</w:t>
            </w:r>
          </w:p>
        </w:tc>
        <w:tc>
          <w:tcPr>
            <w:tcW w:w="852" w:type="dxa"/>
            <w:tcBorders>
              <w:top w:val="single" w:sz="4" w:space="0" w:color="000000"/>
              <w:left w:val="single" w:sz="4" w:space="0" w:color="000000"/>
              <w:bottom w:val="nil" w:sz="6" w:space="0" w:color="auto"/>
              <w:right w:val="single" w:sz="4" w:space="0" w:color="000000"/>
            </w:tcBorders>
          </w:tcPr>
          <w:p>
            <w:pPr>
              <w:pStyle w:val="TableParagraph"/>
              <w:spacing w:line="248" w:lineRule="exact"/>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12</w:t>
            </w:r>
          </w:p>
        </w:tc>
        <w:tc>
          <w:tcPr>
            <w:tcW w:w="708" w:type="dxa"/>
            <w:vMerge w:val="restart"/>
            <w:tcBorders>
              <w:top w:val="single" w:sz="4" w:space="0" w:color="000000"/>
              <w:left w:val="single" w:sz="4" w:space="0" w:color="000000"/>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Style w:val="TableParagraph"/>
              <w:spacing w:line="234" w:lineRule="exact"/>
              <w:ind w:left="105" w:right="0"/>
              <w:jc w:val="left"/>
              <w:rPr>
                <w:rFonts w:ascii="宋体" w:hAnsi="宋体" w:cs="宋体" w:eastAsia="宋体" w:hint="default"/>
                <w:sz w:val="18"/>
                <w:szCs w:val="18"/>
              </w:rPr>
            </w:pPr>
            <w:r>
              <w:rPr>
                <w:rFonts w:ascii="宋体" w:hAnsi="宋体" w:cs="宋体" w:eastAsia="宋体" w:hint="default"/>
                <w:sz w:val="18"/>
                <w:szCs w:val="18"/>
              </w:rPr>
              <w:t>行</w:t>
            </w:r>
          </w:p>
        </w:tc>
      </w:tr>
      <w:tr>
        <w:trPr>
          <w:trHeight w:val="256"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16" w:lineRule="exact"/>
              <w:ind w:left="103" w:right="0"/>
              <w:jc w:val="left"/>
              <w:rPr>
                <w:rFonts w:ascii="宋体" w:hAnsi="宋体" w:cs="宋体" w:eastAsia="宋体" w:hint="default"/>
                <w:sz w:val="18"/>
                <w:szCs w:val="18"/>
              </w:rPr>
            </w:pPr>
            <w:r>
              <w:rPr>
                <w:rFonts w:ascii="宋体" w:hAnsi="宋体" w:cs="宋体" w:eastAsia="宋体" w:hint="default"/>
                <w:sz w:val="18"/>
                <w:szCs w:val="18"/>
              </w:rPr>
              <w:t>大</w:t>
            </w:r>
            <w:r>
              <w:rPr>
                <w:rFonts w:ascii="宋体" w:hAnsi="宋体" w:cs="宋体" w:eastAsia="宋体" w:hint="default"/>
                <w:spacing w:val="42"/>
                <w:sz w:val="18"/>
                <w:szCs w:val="18"/>
              </w:rPr>
              <w:t> </w:t>
            </w:r>
            <w:r>
              <w:rPr>
                <w:rFonts w:ascii="宋体" w:hAnsi="宋体" w:cs="宋体" w:eastAsia="宋体" w:hint="default"/>
                <w:sz w:val="18"/>
                <w:szCs w:val="18"/>
              </w:rPr>
              <w:t>资</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16" w:lineRule="exact"/>
              <w:ind w:left="105" w:right="0"/>
              <w:jc w:val="left"/>
              <w:rPr>
                <w:rFonts w:ascii="宋体" w:hAnsi="宋体" w:cs="宋体" w:eastAsia="宋体" w:hint="default"/>
                <w:sz w:val="18"/>
                <w:szCs w:val="18"/>
              </w:rPr>
            </w:pPr>
            <w:r>
              <w:rPr>
                <w:rFonts w:ascii="宋体" w:hAnsi="宋体" w:cs="宋体" w:eastAsia="宋体" w:hint="default"/>
                <w:sz w:val="18"/>
                <w:szCs w:val="18"/>
              </w:rPr>
              <w:t>资</w:t>
            </w:r>
            <w:r>
              <w:rPr>
                <w:rFonts w:ascii="宋体" w:hAnsi="宋体" w:cs="宋体" w:eastAsia="宋体" w:hint="default"/>
                <w:spacing w:val="-85"/>
                <w:sz w:val="18"/>
                <w:szCs w:val="18"/>
              </w:rPr>
              <w:t>、</w:t>
            </w:r>
            <w:r>
              <w:rPr>
                <w:rFonts w:ascii="宋体" w:hAnsi="宋体" w:cs="宋体" w:eastAsia="宋体" w:hint="default"/>
                <w:sz w:val="18"/>
                <w:szCs w:val="18"/>
              </w:rPr>
              <w:t>通泰</w:t>
            </w: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6" w:lineRule="exact"/>
              <w:ind w:left="105" w:right="0"/>
              <w:jc w:val="left"/>
              <w:rPr>
                <w:rFonts w:ascii="宋体" w:hAnsi="宋体" w:cs="宋体" w:eastAsia="宋体" w:hint="default"/>
                <w:sz w:val="18"/>
                <w:szCs w:val="18"/>
              </w:rPr>
            </w:pPr>
            <w:r>
              <w:rPr>
                <w:rFonts w:ascii="宋体" w:hAnsi="宋体" w:cs="宋体" w:eastAsia="宋体" w:hint="default"/>
                <w:sz w:val="18"/>
                <w:szCs w:val="18"/>
              </w:rPr>
              <w:t>动、人事及薪酬管理与承诺人及承诺人控制的其他公司、企业等</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16" w:lineRule="exact"/>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8"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9"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3" w:right="0"/>
              <w:jc w:val="left"/>
              <w:rPr>
                <w:rFonts w:ascii="宋体" w:hAnsi="宋体" w:cs="宋体" w:eastAsia="宋体" w:hint="default"/>
                <w:sz w:val="18"/>
                <w:szCs w:val="18"/>
              </w:rPr>
            </w:pPr>
            <w:r>
              <w:rPr>
                <w:rFonts w:ascii="宋体" w:hAnsi="宋体" w:cs="宋体" w:eastAsia="宋体" w:hint="default"/>
                <w:sz w:val="18"/>
                <w:szCs w:val="18"/>
              </w:rPr>
              <w:t>产</w:t>
            </w:r>
            <w:r>
              <w:rPr>
                <w:rFonts w:ascii="宋体" w:hAnsi="宋体" w:cs="宋体" w:eastAsia="宋体" w:hint="default"/>
                <w:spacing w:val="42"/>
                <w:sz w:val="18"/>
                <w:szCs w:val="18"/>
              </w:rPr>
              <w:t> </w:t>
            </w:r>
            <w:r>
              <w:rPr>
                <w:rFonts w:ascii="宋体" w:hAnsi="宋体" w:cs="宋体" w:eastAsia="宋体" w:hint="default"/>
                <w:sz w:val="18"/>
                <w:szCs w:val="18"/>
              </w:rPr>
              <w:t>收</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达</w:t>
            </w: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关联方之间完全独立。</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5"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3" w:right="0"/>
              <w:jc w:val="left"/>
              <w:rPr>
                <w:rFonts w:ascii="宋体" w:hAnsi="宋体" w:cs="宋体" w:eastAsia="宋体" w:hint="default"/>
                <w:sz w:val="18"/>
                <w:szCs w:val="18"/>
              </w:rPr>
            </w:pPr>
            <w:r>
              <w:rPr>
                <w:rFonts w:ascii="宋体" w:hAnsi="宋体" w:cs="宋体" w:eastAsia="宋体" w:hint="default"/>
                <w:sz w:val="18"/>
                <w:szCs w:val="18"/>
              </w:rPr>
              <w:t>购</w:t>
            </w:r>
            <w:r>
              <w:rPr>
                <w:rFonts w:ascii="宋体" w:hAnsi="宋体" w:cs="宋体" w:eastAsia="宋体" w:hint="default"/>
                <w:spacing w:val="42"/>
                <w:sz w:val="18"/>
                <w:szCs w:val="18"/>
              </w:rPr>
              <w:t> </w:t>
            </w:r>
            <w:r>
              <w:rPr>
                <w:rFonts w:ascii="宋体" w:hAnsi="宋体" w:cs="宋体" w:eastAsia="宋体" w:hint="default"/>
                <w:sz w:val="18"/>
                <w:szCs w:val="18"/>
              </w:rPr>
              <w:t>时</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105" w:right="0"/>
              <w:jc w:val="left"/>
              <w:rPr>
                <w:rFonts w:ascii="宋体" w:hAnsi="宋体" w:cs="宋体" w:eastAsia="宋体" w:hint="default"/>
                <w:sz w:val="18"/>
                <w:szCs w:val="18"/>
              </w:rPr>
            </w:pP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）保证本次交易完成后茂业通信及其控制的其他公司、企业</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5"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16" w:lineRule="exact"/>
              <w:ind w:left="103" w:right="0"/>
              <w:jc w:val="left"/>
              <w:rPr>
                <w:rFonts w:ascii="宋体" w:hAnsi="宋体" w:cs="宋体" w:eastAsia="宋体" w:hint="default"/>
                <w:sz w:val="18"/>
                <w:szCs w:val="18"/>
              </w:rPr>
            </w:pPr>
            <w:r>
              <w:rPr>
                <w:rFonts w:ascii="宋体" w:hAnsi="宋体" w:cs="宋体" w:eastAsia="宋体" w:hint="default"/>
                <w:sz w:val="18"/>
                <w:szCs w:val="18"/>
              </w:rPr>
              <w:t>所</w:t>
            </w:r>
            <w:r>
              <w:rPr>
                <w:rFonts w:ascii="宋体" w:hAnsi="宋体" w:cs="宋体" w:eastAsia="宋体" w:hint="default"/>
                <w:spacing w:val="42"/>
                <w:sz w:val="18"/>
                <w:szCs w:val="18"/>
              </w:rPr>
              <w:t> </w:t>
            </w:r>
            <w:r>
              <w:rPr>
                <w:rFonts w:ascii="宋体" w:hAnsi="宋体" w:cs="宋体" w:eastAsia="宋体" w:hint="default"/>
                <w:sz w:val="18"/>
                <w:szCs w:val="18"/>
              </w:rPr>
              <w:t>作</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6" w:lineRule="exact"/>
              <w:ind w:left="105" w:right="0"/>
              <w:jc w:val="left"/>
              <w:rPr>
                <w:rFonts w:ascii="宋体" w:hAnsi="宋体" w:cs="宋体" w:eastAsia="宋体" w:hint="default"/>
                <w:sz w:val="18"/>
                <w:szCs w:val="18"/>
              </w:rPr>
            </w:pPr>
            <w:r>
              <w:rPr>
                <w:rFonts w:ascii="宋体" w:hAnsi="宋体" w:cs="宋体" w:eastAsia="宋体" w:hint="default"/>
                <w:spacing w:val="5"/>
                <w:sz w:val="18"/>
                <w:szCs w:val="18"/>
              </w:rPr>
              <w:t>的高级管理人员未在承诺人及承诺人实际控制人控制的其他企</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9"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3" w:right="0"/>
              <w:jc w:val="left"/>
              <w:rPr>
                <w:rFonts w:ascii="宋体" w:hAnsi="宋体" w:cs="宋体" w:eastAsia="宋体" w:hint="default"/>
                <w:sz w:val="18"/>
                <w:szCs w:val="18"/>
              </w:rPr>
            </w:pPr>
            <w:r>
              <w:rPr>
                <w:rFonts w:ascii="宋体" w:hAnsi="宋体" w:cs="宋体" w:eastAsia="宋体" w:hint="default"/>
                <w:sz w:val="18"/>
                <w:szCs w:val="18"/>
              </w:rPr>
              <w:t>承诺</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业任职并领取薪酬，不在承诺人及承诺人控制的其他公司、企业</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等关联方担任董事、监事以外的职务。</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105"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）保证本次交易完成后不干预茂业通信及其控制的其他公司、</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105" w:right="0"/>
              <w:jc w:val="left"/>
              <w:rPr>
                <w:rFonts w:ascii="宋体" w:hAnsi="宋体" w:cs="宋体" w:eastAsia="宋体" w:hint="default"/>
                <w:sz w:val="18"/>
                <w:szCs w:val="18"/>
              </w:rPr>
            </w:pPr>
            <w:r>
              <w:rPr>
                <w:rFonts w:ascii="宋体" w:hAnsi="宋体" w:cs="宋体" w:eastAsia="宋体" w:hint="default"/>
                <w:sz w:val="18"/>
                <w:szCs w:val="18"/>
              </w:rPr>
              <w:t>企业的股东大会、董事会行使职权决定人事任免。</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、保证茂业通信的机构独立</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9" w:lineRule="exact"/>
              <w:ind w:left="105" w:right="0"/>
              <w:jc w:val="left"/>
              <w:rPr>
                <w:rFonts w:ascii="宋体" w:hAnsi="宋体" w:cs="宋体" w:eastAsia="宋体" w:hint="default"/>
                <w:sz w:val="18"/>
                <w:szCs w:val="18"/>
              </w:rPr>
            </w:pP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）保证本次交易完成后茂业通信及其控制的公司、企业构建</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105" w:right="0"/>
              <w:jc w:val="left"/>
              <w:rPr>
                <w:rFonts w:ascii="宋体" w:hAnsi="宋体" w:cs="宋体" w:eastAsia="宋体" w:hint="default"/>
                <w:sz w:val="18"/>
                <w:szCs w:val="18"/>
              </w:rPr>
            </w:pPr>
            <w:r>
              <w:rPr>
                <w:rFonts w:ascii="宋体" w:hAnsi="宋体" w:cs="宋体" w:eastAsia="宋体" w:hint="default"/>
                <w:sz w:val="18"/>
                <w:szCs w:val="18"/>
              </w:rPr>
              <w:t>健全的公司法人治理结构，拥有独立、完整的组织机构。</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105" w:right="0"/>
              <w:jc w:val="left"/>
              <w:rPr>
                <w:rFonts w:ascii="宋体" w:hAnsi="宋体" w:cs="宋体" w:eastAsia="宋体" w:hint="default"/>
                <w:sz w:val="18"/>
                <w:szCs w:val="18"/>
              </w:rPr>
            </w:pP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）保证本次交易完成后茂业通信及其控制的其他公司、企业</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6" w:lineRule="exact"/>
              <w:ind w:left="105" w:right="0"/>
              <w:jc w:val="left"/>
              <w:rPr>
                <w:rFonts w:ascii="宋体" w:hAnsi="宋体" w:cs="宋体" w:eastAsia="宋体" w:hint="default"/>
                <w:sz w:val="18"/>
                <w:szCs w:val="18"/>
              </w:rPr>
            </w:pPr>
            <w:r>
              <w:rPr>
                <w:rFonts w:ascii="宋体" w:hAnsi="宋体" w:cs="宋体" w:eastAsia="宋体" w:hint="default"/>
                <w:sz w:val="18"/>
                <w:szCs w:val="18"/>
              </w:rPr>
              <w:t>的股东大会、董事会、监事会等依照法律、法规及茂业通信公司</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9"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章程独立行使职权。</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6"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、保证茂业通信的资产独立、完整</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1"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0" w:lineRule="exact"/>
              <w:ind w:left="105" w:right="0"/>
              <w:jc w:val="left"/>
              <w:rPr>
                <w:rFonts w:ascii="宋体" w:hAnsi="宋体" w:cs="宋体" w:eastAsia="宋体" w:hint="default"/>
                <w:sz w:val="18"/>
                <w:szCs w:val="18"/>
              </w:rPr>
            </w:pP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）保证本次交易完成后茂业通信及其控制的其他公司、企业</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105" w:right="0"/>
              <w:jc w:val="left"/>
              <w:rPr>
                <w:rFonts w:ascii="宋体" w:hAnsi="宋体" w:cs="宋体" w:eastAsia="宋体" w:hint="default"/>
                <w:sz w:val="18"/>
                <w:szCs w:val="18"/>
              </w:rPr>
            </w:pPr>
            <w:r>
              <w:rPr>
                <w:rFonts w:ascii="宋体" w:hAnsi="宋体" w:cs="宋体" w:eastAsia="宋体" w:hint="default"/>
                <w:sz w:val="18"/>
                <w:szCs w:val="18"/>
              </w:rPr>
              <w:t>拥有与生产经营有关的独立、完整的资产。</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105" w:right="0"/>
              <w:jc w:val="left"/>
              <w:rPr>
                <w:rFonts w:ascii="宋体" w:hAnsi="宋体" w:cs="宋体" w:eastAsia="宋体" w:hint="default"/>
                <w:sz w:val="18"/>
                <w:szCs w:val="18"/>
              </w:rPr>
            </w:pP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）保证本次交易完成后茂业通信及其控制的其他公司、企业</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6" w:lineRule="exact"/>
              <w:ind w:left="105" w:right="0"/>
              <w:jc w:val="left"/>
              <w:rPr>
                <w:rFonts w:ascii="宋体" w:hAnsi="宋体" w:cs="宋体" w:eastAsia="宋体" w:hint="default"/>
                <w:sz w:val="18"/>
                <w:szCs w:val="18"/>
              </w:rPr>
            </w:pPr>
            <w:r>
              <w:rPr>
                <w:rFonts w:ascii="宋体" w:hAnsi="宋体" w:cs="宋体" w:eastAsia="宋体" w:hint="default"/>
                <w:sz w:val="18"/>
                <w:szCs w:val="18"/>
              </w:rPr>
              <w:t>的经营场所独立于承诺人及承诺人控制的其他公司、企业等关联</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9"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方。</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105" w:right="0"/>
              <w:jc w:val="left"/>
              <w:rPr>
                <w:rFonts w:ascii="宋体" w:hAnsi="宋体" w:cs="宋体" w:eastAsia="宋体" w:hint="default"/>
                <w:sz w:val="18"/>
                <w:szCs w:val="18"/>
              </w:rPr>
            </w:pP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）正常经营性往来外，保证本次交易完成后茂业通信及其控</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6" w:lineRule="exact"/>
              <w:ind w:left="105" w:right="0"/>
              <w:jc w:val="left"/>
              <w:rPr>
                <w:rFonts w:ascii="宋体" w:hAnsi="宋体" w:cs="宋体" w:eastAsia="宋体" w:hint="default"/>
                <w:sz w:val="18"/>
                <w:szCs w:val="18"/>
              </w:rPr>
            </w:pPr>
            <w:r>
              <w:rPr>
                <w:rFonts w:ascii="宋体" w:hAnsi="宋体" w:cs="宋体" w:eastAsia="宋体" w:hint="default"/>
                <w:sz w:val="18"/>
                <w:szCs w:val="18"/>
              </w:rPr>
              <w:t>制的其他公司、企业不存在资金、资产被承诺人及承诺人控制的</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9"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其他公司、企业等关联方占用的情形。</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、保证茂业通信的业务独立</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0" w:lineRule="exact"/>
              <w:ind w:left="105" w:right="0"/>
              <w:jc w:val="left"/>
              <w:rPr>
                <w:rFonts w:ascii="宋体" w:hAnsi="宋体" w:cs="宋体" w:eastAsia="宋体" w:hint="default"/>
                <w:sz w:val="18"/>
                <w:szCs w:val="18"/>
              </w:rPr>
            </w:pP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）保证本次交易完成后茂业通信及其控制的公司、企业拥有</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105" w:right="0"/>
              <w:jc w:val="left"/>
              <w:rPr>
                <w:rFonts w:ascii="宋体" w:hAnsi="宋体" w:cs="宋体" w:eastAsia="宋体" w:hint="default"/>
                <w:sz w:val="18"/>
                <w:szCs w:val="18"/>
              </w:rPr>
            </w:pPr>
            <w:r>
              <w:rPr>
                <w:rFonts w:ascii="宋体" w:hAnsi="宋体" w:cs="宋体" w:eastAsia="宋体" w:hint="default"/>
                <w:sz w:val="18"/>
                <w:szCs w:val="18"/>
              </w:rPr>
              <w:t>独立开展经营活动的相关资质，具有面向市场的独立、自主、持</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续的经营能力。</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105" w:right="0"/>
              <w:jc w:val="left"/>
              <w:rPr>
                <w:rFonts w:ascii="宋体" w:hAnsi="宋体" w:cs="宋体" w:eastAsia="宋体" w:hint="default"/>
                <w:sz w:val="18"/>
                <w:szCs w:val="18"/>
              </w:rPr>
            </w:pP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）保证本次交易完成后承诺人及承诺人控制的其他公司、企</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105" w:right="0"/>
              <w:jc w:val="left"/>
              <w:rPr>
                <w:rFonts w:ascii="宋体" w:hAnsi="宋体" w:cs="宋体" w:eastAsia="宋体" w:hint="default"/>
                <w:sz w:val="18"/>
                <w:szCs w:val="18"/>
              </w:rPr>
            </w:pPr>
            <w:r>
              <w:rPr>
                <w:rFonts w:ascii="宋体" w:hAnsi="宋体" w:cs="宋体" w:eastAsia="宋体" w:hint="default"/>
                <w:sz w:val="18"/>
                <w:szCs w:val="18"/>
              </w:rPr>
              <w:t>业等关联方避免从事与茂业通信及其控制的其他公司、企业及其</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1"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控制的其他公司、企业具有竞争关系的业务。</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105" w:right="0"/>
              <w:jc w:val="left"/>
              <w:rPr>
                <w:rFonts w:ascii="宋体" w:hAnsi="宋体" w:cs="宋体" w:eastAsia="宋体" w:hint="default"/>
                <w:sz w:val="18"/>
                <w:szCs w:val="18"/>
              </w:rPr>
            </w:pP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）保证本次交易完成后承诺人及承诺人控制的其他公司、企</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105" w:right="0"/>
              <w:jc w:val="left"/>
              <w:rPr>
                <w:rFonts w:ascii="宋体" w:hAnsi="宋体" w:cs="宋体" w:eastAsia="宋体" w:hint="default"/>
                <w:sz w:val="18"/>
                <w:szCs w:val="18"/>
              </w:rPr>
            </w:pPr>
            <w:r>
              <w:rPr>
                <w:rFonts w:ascii="宋体" w:hAnsi="宋体" w:cs="宋体" w:eastAsia="宋体" w:hint="default"/>
                <w:sz w:val="18"/>
                <w:szCs w:val="18"/>
              </w:rPr>
              <w:t>业等关联方减少与茂业通信及其控制的其他公司、企业的关联交</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易；对于确有必要且无法避免的关联交易，保证按市场原则和公</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105" w:right="0"/>
              <w:jc w:val="left"/>
              <w:rPr>
                <w:rFonts w:ascii="宋体" w:hAnsi="宋体" w:cs="宋体" w:eastAsia="宋体" w:hint="default"/>
                <w:sz w:val="18"/>
                <w:szCs w:val="18"/>
              </w:rPr>
            </w:pPr>
            <w:r>
              <w:rPr>
                <w:rFonts w:ascii="宋体" w:hAnsi="宋体" w:cs="宋体" w:eastAsia="宋体" w:hint="default"/>
                <w:sz w:val="18"/>
                <w:szCs w:val="18"/>
              </w:rPr>
              <w:t>允价格进行公平操作，并按相关法律、法规及规范性文件的规定</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9"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履行相关审批程序及信息披露义务。</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、保证茂业通信的财务独立</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9" w:lineRule="exact"/>
              <w:ind w:left="105" w:right="0"/>
              <w:jc w:val="left"/>
              <w:rPr>
                <w:rFonts w:ascii="宋体" w:hAnsi="宋体" w:cs="宋体" w:eastAsia="宋体" w:hint="default"/>
                <w:sz w:val="18"/>
                <w:szCs w:val="18"/>
              </w:rPr>
            </w:pP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）保证茂业通信及其控制的公司、企业拥有独立的财务部门</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105" w:right="0"/>
              <w:jc w:val="left"/>
              <w:rPr>
                <w:rFonts w:ascii="宋体" w:hAnsi="宋体" w:cs="宋体" w:eastAsia="宋体" w:hint="default"/>
                <w:sz w:val="18"/>
                <w:szCs w:val="18"/>
              </w:rPr>
            </w:pPr>
            <w:r>
              <w:rPr>
                <w:rFonts w:ascii="宋体" w:hAnsi="宋体" w:cs="宋体" w:eastAsia="宋体" w:hint="default"/>
                <w:sz w:val="18"/>
                <w:szCs w:val="18"/>
              </w:rPr>
              <w:t>以及独立的财务核算体系，以及规范、独立的财务会计制度。</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105" w:right="0"/>
              <w:jc w:val="left"/>
              <w:rPr>
                <w:rFonts w:ascii="宋体" w:hAnsi="宋体" w:cs="宋体" w:eastAsia="宋体" w:hint="default"/>
                <w:sz w:val="18"/>
                <w:szCs w:val="18"/>
              </w:rPr>
            </w:pP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）保证茂业通信及其控制的其他公司、企业拥有独立的银行</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6" w:lineRule="exact"/>
              <w:ind w:left="105" w:right="0"/>
              <w:jc w:val="left"/>
              <w:rPr>
                <w:rFonts w:ascii="宋体" w:hAnsi="宋体" w:cs="宋体" w:eastAsia="宋体" w:hint="default"/>
                <w:sz w:val="18"/>
                <w:szCs w:val="18"/>
              </w:rPr>
            </w:pPr>
            <w:r>
              <w:rPr>
                <w:rFonts w:ascii="宋体" w:hAnsi="宋体" w:cs="宋体" w:eastAsia="宋体" w:hint="default"/>
                <w:sz w:val="18"/>
                <w:szCs w:val="18"/>
              </w:rPr>
              <w:t>账户，不与承诺人及承诺人控制的其他公司、企业等关联方共用</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9"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银行账户。</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105" w:right="0"/>
              <w:jc w:val="left"/>
              <w:rPr>
                <w:rFonts w:ascii="宋体" w:hAnsi="宋体" w:cs="宋体" w:eastAsia="宋体" w:hint="default"/>
                <w:sz w:val="18"/>
                <w:szCs w:val="18"/>
              </w:rPr>
            </w:pP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）保证本次交易完成后茂业通信及其控制的公司、企业的财</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6" w:lineRule="exact"/>
              <w:ind w:left="105" w:right="0"/>
              <w:jc w:val="left"/>
              <w:rPr>
                <w:rFonts w:ascii="宋体" w:hAnsi="宋体" w:cs="宋体" w:eastAsia="宋体" w:hint="default"/>
                <w:sz w:val="18"/>
                <w:szCs w:val="18"/>
              </w:rPr>
            </w:pPr>
            <w:r>
              <w:rPr>
                <w:rFonts w:ascii="宋体" w:hAnsi="宋体" w:cs="宋体" w:eastAsia="宋体" w:hint="default"/>
                <w:spacing w:val="5"/>
                <w:sz w:val="18"/>
                <w:szCs w:val="18"/>
              </w:rPr>
              <w:t>务人员不在承诺人及承诺人控制的其他公司、企业等关联方兼</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职。</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6"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105" w:right="0"/>
              <w:jc w:val="left"/>
              <w:rPr>
                <w:rFonts w:ascii="宋体" w:hAnsi="宋体" w:cs="宋体" w:eastAsia="宋体" w:hint="default"/>
                <w:sz w:val="18"/>
                <w:szCs w:val="18"/>
              </w:rPr>
            </w:pP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4</w:t>
            </w:r>
            <w:r>
              <w:rPr>
                <w:rFonts w:ascii="宋体" w:hAnsi="宋体" w:cs="宋体" w:eastAsia="宋体" w:hint="default"/>
                <w:spacing w:val="2"/>
                <w:sz w:val="18"/>
                <w:szCs w:val="18"/>
              </w:rPr>
              <w:t>）保证本次交易完成后茂业通信及其控制的其他公司、企业</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6" w:lineRule="exact"/>
              <w:ind w:left="105" w:right="0"/>
              <w:jc w:val="left"/>
              <w:rPr>
                <w:rFonts w:ascii="宋体" w:hAnsi="宋体" w:cs="宋体" w:eastAsia="宋体" w:hint="default"/>
                <w:sz w:val="18"/>
                <w:szCs w:val="18"/>
              </w:rPr>
            </w:pPr>
            <w:r>
              <w:rPr>
                <w:rFonts w:ascii="宋体" w:hAnsi="宋体" w:cs="宋体" w:eastAsia="宋体" w:hint="default"/>
                <w:sz w:val="18"/>
                <w:szCs w:val="18"/>
              </w:rPr>
              <w:t>能够独立做出财务决策，承诺人不干预茂业通信的资金使用。</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4"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105" w:right="0"/>
              <w:jc w:val="left"/>
              <w:rPr>
                <w:rFonts w:ascii="宋体" w:hAnsi="宋体" w:cs="宋体" w:eastAsia="宋体" w:hint="default"/>
                <w:sz w:val="18"/>
                <w:szCs w:val="18"/>
              </w:rPr>
            </w:pPr>
            <w:r>
              <w:rPr>
                <w:rFonts w:ascii="宋体" w:hAnsi="宋体" w:cs="宋体" w:eastAsia="宋体" w:hint="default"/>
                <w:spacing w:val="2"/>
                <w:sz w:val="18"/>
                <w:szCs w:val="18"/>
              </w:rPr>
              <w:t>（</w:t>
            </w:r>
            <w:r>
              <w:rPr>
                <w:rFonts w:ascii="Times New Roman" w:hAnsi="Times New Roman" w:cs="Times New Roman" w:eastAsia="Times New Roman" w:hint="default"/>
                <w:spacing w:val="2"/>
                <w:sz w:val="18"/>
                <w:szCs w:val="18"/>
              </w:rPr>
              <w:t>5</w:t>
            </w:r>
            <w:r>
              <w:rPr>
                <w:rFonts w:ascii="宋体" w:hAnsi="宋体" w:cs="宋体" w:eastAsia="宋体" w:hint="default"/>
                <w:spacing w:val="2"/>
                <w:sz w:val="18"/>
                <w:szCs w:val="18"/>
              </w:rPr>
              <w:t>）保证本次交易完成后茂业通信及其控制的其他公司、企业</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105" w:right="0"/>
              <w:jc w:val="left"/>
              <w:rPr>
                <w:rFonts w:ascii="宋体" w:hAnsi="宋体" w:cs="宋体" w:eastAsia="宋体" w:hint="default"/>
                <w:sz w:val="18"/>
                <w:szCs w:val="18"/>
              </w:rPr>
            </w:pPr>
            <w:r>
              <w:rPr>
                <w:rFonts w:ascii="宋体" w:hAnsi="宋体" w:cs="宋体" w:eastAsia="宋体" w:hint="default"/>
                <w:sz w:val="18"/>
                <w:szCs w:val="18"/>
              </w:rPr>
              <w:t>依法独立纳税。</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105" w:right="0"/>
              <w:jc w:val="left"/>
              <w:rPr>
                <w:rFonts w:ascii="宋体" w:hAnsi="宋体" w:cs="宋体" w:eastAsia="宋体" w:hint="default"/>
                <w:sz w:val="18"/>
                <w:szCs w:val="18"/>
              </w:rPr>
            </w:pPr>
            <w:r>
              <w:rPr>
                <w:rFonts w:ascii="宋体" w:hAnsi="宋体" w:cs="宋体" w:eastAsia="宋体" w:hint="default"/>
                <w:sz w:val="18"/>
                <w:szCs w:val="18"/>
              </w:rPr>
              <w:t>承诺人若违反上述承诺，将承担因此而给茂业通信造成的一切损</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49" w:hRule="exact"/>
        </w:trPr>
        <w:tc>
          <w:tcPr>
            <w:tcW w:w="708" w:type="dxa"/>
            <w:tcBorders>
              <w:top w:val="nil" w:sz="6" w:space="0" w:color="auto"/>
              <w:left w:val="single" w:sz="4" w:space="0" w:color="000000"/>
              <w:bottom w:val="single" w:sz="4" w:space="0" w:color="000000"/>
              <w:right w:val="single" w:sz="4" w:space="0" w:color="000000"/>
            </w:tcBorders>
          </w:tcPr>
          <w:p>
            <w:pPr/>
          </w:p>
        </w:tc>
        <w:tc>
          <w:tcPr>
            <w:tcW w:w="852" w:type="dxa"/>
            <w:tcBorders>
              <w:top w:val="nil" w:sz="6" w:space="0" w:color="auto"/>
              <w:left w:val="single" w:sz="4" w:space="0" w:color="000000"/>
              <w:bottom w:val="single" w:sz="4" w:space="0" w:color="000000"/>
              <w:right w:val="single" w:sz="4" w:space="0" w:color="000000"/>
            </w:tcBorders>
          </w:tcPr>
          <w:p>
            <w:pPr/>
          </w:p>
        </w:tc>
        <w:tc>
          <w:tcPr>
            <w:tcW w:w="708" w:type="dxa"/>
            <w:vMerge/>
            <w:tcBorders>
              <w:left w:val="single" w:sz="4" w:space="0" w:color="000000"/>
              <w:bottom w:val="single" w:sz="4" w:space="0" w:color="000000"/>
              <w:right w:val="single" w:sz="4" w:space="0" w:color="000000"/>
            </w:tcBorders>
          </w:tcPr>
          <w:p>
            <w:pPr/>
          </w:p>
        </w:tc>
        <w:tc>
          <w:tcPr>
            <w:tcW w:w="5245" w:type="dxa"/>
            <w:tcBorders>
              <w:top w:val="nil" w:sz="6" w:space="0" w:color="auto"/>
              <w:left w:val="single" w:sz="4" w:space="0" w:color="000000"/>
              <w:bottom w:val="single" w:sz="4" w:space="0" w:color="000000"/>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失。</w:t>
            </w:r>
          </w:p>
        </w:tc>
        <w:tc>
          <w:tcPr>
            <w:tcW w:w="852" w:type="dxa"/>
            <w:tcBorders>
              <w:top w:val="nil" w:sz="6" w:space="0" w:color="auto"/>
              <w:left w:val="single" w:sz="4" w:space="0" w:color="000000"/>
              <w:bottom w:val="single" w:sz="4" w:space="0" w:color="000000"/>
              <w:right w:val="single" w:sz="4" w:space="0" w:color="000000"/>
            </w:tcBorders>
          </w:tcPr>
          <w:p>
            <w:pPr/>
          </w:p>
        </w:tc>
        <w:tc>
          <w:tcPr>
            <w:tcW w:w="708" w:type="dxa"/>
            <w:vMerge/>
            <w:tcBorders>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r>
    </w:tbl>
    <w:p>
      <w:pPr>
        <w:spacing w:after="0"/>
        <w:sectPr>
          <w:pgSz w:w="11910" w:h="16840"/>
          <w:pgMar w:header="880" w:footer="975" w:top="1100" w:bottom="1160" w:left="880" w:right="0"/>
        </w:sectPr>
      </w:pPr>
    </w:p>
    <w:p>
      <w:pPr>
        <w:spacing w:line="240" w:lineRule="auto" w:before="11"/>
        <w:rPr>
          <w:rFonts w:ascii="Times New Roman" w:hAnsi="Times New Roman" w:cs="Times New Roman" w:eastAsia="Times New Roman" w:hint="default"/>
          <w:sz w:val="27"/>
          <w:szCs w:val="27"/>
        </w:rPr>
      </w:pPr>
    </w:p>
    <w:tbl>
      <w:tblPr>
        <w:tblW w:w="0" w:type="auto"/>
        <w:jc w:val="left"/>
        <w:tblInd w:w="106" w:type="dxa"/>
        <w:tblLayout w:type="fixed"/>
        <w:tblCellMar>
          <w:top w:w="0" w:type="dxa"/>
          <w:left w:w="0" w:type="dxa"/>
          <w:bottom w:w="0" w:type="dxa"/>
          <w:right w:w="0" w:type="dxa"/>
        </w:tblCellMar>
        <w:tblLook w:val="01E0"/>
      </w:tblPr>
      <w:tblGrid>
        <w:gridCol w:w="708"/>
        <w:gridCol w:w="852"/>
        <w:gridCol w:w="708"/>
        <w:gridCol w:w="5245"/>
        <w:gridCol w:w="852"/>
        <w:gridCol w:w="708"/>
        <w:gridCol w:w="850"/>
      </w:tblGrid>
      <w:tr>
        <w:trPr>
          <w:trHeight w:val="280" w:hRule="exact"/>
        </w:trPr>
        <w:tc>
          <w:tcPr>
            <w:tcW w:w="708" w:type="dxa"/>
            <w:tcBorders>
              <w:top w:val="single" w:sz="4" w:space="0" w:color="000000"/>
              <w:left w:val="single" w:sz="4" w:space="0" w:color="000000"/>
              <w:bottom w:val="nil" w:sz="6" w:space="0" w:color="auto"/>
              <w:right w:val="single" w:sz="4" w:space="0" w:color="000000"/>
            </w:tcBorders>
          </w:tcPr>
          <w:p>
            <w:pPr/>
          </w:p>
        </w:tc>
        <w:tc>
          <w:tcPr>
            <w:tcW w:w="852"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5245" w:type="dxa"/>
            <w:tcBorders>
              <w:top w:val="single" w:sz="4" w:space="0" w:color="000000"/>
              <w:left w:val="single" w:sz="4" w:space="0" w:color="000000"/>
              <w:bottom w:val="nil" w:sz="6" w:space="0" w:color="auto"/>
              <w:right w:val="single" w:sz="4" w:space="0" w:color="000000"/>
            </w:tcBorders>
          </w:tcPr>
          <w:p>
            <w:pPr>
              <w:pStyle w:val="TableParagraph"/>
              <w:spacing w:line="234" w:lineRule="exact"/>
              <w:ind w:left="105" w:right="0"/>
              <w:jc w:val="left"/>
              <w:rPr>
                <w:rFonts w:ascii="宋体" w:hAnsi="宋体" w:cs="宋体" w:eastAsia="宋体" w:hint="default"/>
                <w:sz w:val="18"/>
                <w:szCs w:val="18"/>
              </w:rPr>
            </w:pPr>
            <w:r>
              <w:rPr>
                <w:rFonts w:ascii="宋体" w:hAnsi="宋体" w:cs="宋体" w:eastAsia="宋体" w:hint="default"/>
                <w:sz w:val="18"/>
                <w:szCs w:val="18"/>
              </w:rPr>
              <w:t>关于提供信息的真实性、准确性和完整性的承诺</w:t>
            </w:r>
          </w:p>
        </w:tc>
        <w:tc>
          <w:tcPr>
            <w:tcW w:w="852"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r>
      <w:tr>
        <w:trPr>
          <w:trHeight w:val="266"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5" w:lineRule="exact"/>
              <w:ind w:left="105" w:right="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、承诺人为本次交易所提供的有关信息真实、准确和完整，不</w:t>
            </w:r>
            <w:r>
              <w:rPr>
                <w:rFonts w:ascii="宋体" w:hAnsi="宋体" w:cs="宋体" w:eastAsia="宋体" w:hint="default"/>
                <w:sz w:val="18"/>
                <w:szCs w:val="18"/>
              </w:rPr>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105" w:right="0"/>
              <w:jc w:val="left"/>
              <w:rPr>
                <w:rFonts w:ascii="宋体" w:hAnsi="宋体" w:cs="宋体" w:eastAsia="宋体" w:hint="default"/>
                <w:sz w:val="18"/>
                <w:szCs w:val="18"/>
              </w:rPr>
            </w:pPr>
            <w:r>
              <w:rPr>
                <w:rFonts w:ascii="宋体" w:hAnsi="宋体" w:cs="宋体" w:eastAsia="宋体" w:hint="default"/>
                <w:sz w:val="18"/>
                <w:szCs w:val="18"/>
              </w:rPr>
              <w:t>存在任何虚假记载、误导性陈述或者重大遗漏；</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081"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156"/>
              <w:ind w:left="103" w:right="0"/>
              <w:jc w:val="left"/>
              <w:rPr>
                <w:rFonts w:ascii="Times New Roman" w:hAnsi="Times New Roman" w:cs="Times New Roman" w:eastAsia="Times New Roman" w:hint="default"/>
                <w:sz w:val="18"/>
                <w:szCs w:val="18"/>
              </w:rPr>
            </w:pPr>
            <w:r>
              <w:rPr>
                <w:rFonts w:ascii="Times New Roman"/>
                <w:sz w:val="18"/>
              </w:rPr>
              <w:t>2018</w:t>
            </w:r>
          </w:p>
          <w:p>
            <w:pPr>
              <w:pStyle w:val="TableParagraph"/>
              <w:spacing w:line="240" w:lineRule="auto" w:before="12"/>
              <w:ind w:left="103"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宋体" w:hAnsi="宋体" w:cs="宋体" w:eastAsia="宋体" w:hint="default"/>
                <w:sz w:val="18"/>
                <w:szCs w:val="18"/>
              </w:rPr>
              <w:t>重</w:t>
            </w:r>
          </w:p>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大</w:t>
            </w:r>
            <w:r>
              <w:rPr>
                <w:rFonts w:ascii="宋体" w:hAnsi="宋体" w:cs="宋体" w:eastAsia="宋体" w:hint="default"/>
                <w:spacing w:val="42"/>
                <w:sz w:val="18"/>
                <w:szCs w:val="18"/>
              </w:rPr>
              <w:t> </w:t>
            </w:r>
            <w:r>
              <w:rPr>
                <w:rFonts w:ascii="宋体" w:hAnsi="宋体" w:cs="宋体" w:eastAsia="宋体" w:hint="default"/>
                <w:sz w:val="18"/>
                <w:szCs w:val="18"/>
              </w:rPr>
              <w:t>资</w:t>
            </w:r>
          </w:p>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产</w:t>
            </w:r>
            <w:r>
              <w:rPr>
                <w:rFonts w:ascii="宋体" w:hAnsi="宋体" w:cs="宋体" w:eastAsia="宋体" w:hint="default"/>
                <w:spacing w:val="42"/>
                <w:sz w:val="18"/>
                <w:szCs w:val="18"/>
              </w:rPr>
              <w:t> </w:t>
            </w:r>
            <w:r>
              <w:rPr>
                <w:rFonts w:ascii="宋体" w:hAnsi="宋体" w:cs="宋体" w:eastAsia="宋体" w:hint="default"/>
                <w:sz w:val="18"/>
                <w:szCs w:val="18"/>
              </w:rPr>
              <w:t>收</w:t>
            </w:r>
          </w:p>
          <w:p>
            <w:pPr>
              <w:pStyle w:val="TableParagraph"/>
              <w:spacing w:line="240" w:lineRule="auto" w:before="26"/>
              <w:ind w:left="103" w:right="0"/>
              <w:jc w:val="left"/>
              <w:rPr>
                <w:rFonts w:ascii="宋体" w:hAnsi="宋体" w:cs="宋体" w:eastAsia="宋体" w:hint="default"/>
                <w:sz w:val="18"/>
                <w:szCs w:val="18"/>
              </w:rPr>
            </w:pPr>
            <w:r>
              <w:rPr>
                <w:rFonts w:ascii="宋体" w:hAnsi="宋体" w:cs="宋体" w:eastAsia="宋体" w:hint="default"/>
                <w:sz w:val="18"/>
                <w:szCs w:val="18"/>
              </w:rPr>
              <w:t>购</w:t>
            </w:r>
            <w:r>
              <w:rPr>
                <w:rFonts w:ascii="宋体" w:hAnsi="宋体" w:cs="宋体" w:eastAsia="宋体" w:hint="default"/>
                <w:spacing w:val="42"/>
                <w:sz w:val="18"/>
                <w:szCs w:val="18"/>
              </w:rPr>
              <w:t> </w:t>
            </w:r>
            <w:r>
              <w:rPr>
                <w:rFonts w:ascii="宋体" w:hAnsi="宋体" w:cs="宋体" w:eastAsia="宋体" w:hint="default"/>
                <w:sz w:val="18"/>
                <w:szCs w:val="18"/>
              </w:rPr>
              <w:t>时</w:t>
            </w:r>
          </w:p>
          <w:p>
            <w:pPr>
              <w:pStyle w:val="TableParagraph"/>
              <w:spacing w:line="264" w:lineRule="auto" w:before="23"/>
              <w:ind w:left="103" w:right="101"/>
              <w:jc w:val="left"/>
              <w:rPr>
                <w:rFonts w:ascii="宋体" w:hAnsi="宋体" w:cs="宋体" w:eastAsia="宋体" w:hint="default"/>
                <w:sz w:val="18"/>
                <w:szCs w:val="18"/>
              </w:rPr>
            </w:pPr>
            <w:r>
              <w:rPr>
                <w:rFonts w:ascii="宋体" w:hAnsi="宋体" w:cs="宋体" w:eastAsia="宋体" w:hint="default"/>
                <w:sz w:val="18"/>
                <w:szCs w:val="18"/>
              </w:rPr>
              <w:t>所</w:t>
            </w:r>
            <w:r>
              <w:rPr>
                <w:rFonts w:ascii="宋体" w:hAnsi="宋体" w:cs="宋体" w:eastAsia="宋体" w:hint="default"/>
                <w:spacing w:val="42"/>
                <w:sz w:val="18"/>
                <w:szCs w:val="18"/>
              </w:rPr>
              <w:t> </w:t>
            </w:r>
            <w:r>
              <w:rPr>
                <w:rFonts w:ascii="宋体" w:hAnsi="宋体" w:cs="宋体" w:eastAsia="宋体" w:hint="default"/>
                <w:sz w:val="18"/>
                <w:szCs w:val="18"/>
              </w:rPr>
              <w:t>作</w:t>
            </w:r>
            <w:r>
              <w:rPr>
                <w:rFonts w:ascii="宋体" w:hAnsi="宋体" w:cs="宋体" w:eastAsia="宋体" w:hint="default"/>
                <w:sz w:val="18"/>
                <w:szCs w:val="18"/>
              </w:rPr>
              <w:t> 承诺</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264" w:lineRule="auto"/>
              <w:ind w:left="105" w:right="14"/>
              <w:jc w:val="left"/>
              <w:rPr>
                <w:rFonts w:ascii="宋体" w:hAnsi="宋体" w:cs="宋体" w:eastAsia="宋体" w:hint="default"/>
                <w:sz w:val="18"/>
                <w:szCs w:val="18"/>
              </w:rPr>
            </w:pPr>
            <w:r>
              <w:rPr>
                <w:rFonts w:ascii="宋体" w:hAnsi="宋体" w:cs="宋体" w:eastAsia="宋体" w:hint="default"/>
                <w:sz w:val="18"/>
                <w:szCs w:val="18"/>
              </w:rPr>
              <w:t>鹰溪谷、 </w:t>
            </w:r>
            <w:r>
              <w:rPr>
                <w:rFonts w:ascii="宋体" w:hAnsi="宋体" w:cs="宋体" w:eastAsia="宋体" w:hint="default"/>
                <w:spacing w:val="32"/>
                <w:sz w:val="18"/>
                <w:szCs w:val="18"/>
              </w:rPr>
              <w:t>中兆投</w:t>
            </w:r>
            <w:r>
              <w:rPr>
                <w:rFonts w:ascii="宋体" w:hAnsi="宋体" w:cs="宋体" w:eastAsia="宋体" w:hint="default"/>
                <w:spacing w:val="-42"/>
                <w:sz w:val="18"/>
                <w:szCs w:val="18"/>
              </w:rPr>
              <w:t> </w:t>
            </w:r>
            <w:r>
              <w:rPr>
                <w:rFonts w:ascii="宋体" w:hAnsi="宋体" w:cs="宋体" w:eastAsia="宋体" w:hint="default"/>
                <w:spacing w:val="-22"/>
                <w:sz w:val="18"/>
                <w:szCs w:val="18"/>
              </w:rPr>
              <w:t>资、通泰</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达</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、承诺人向参与本次交易的各中介机构所提供的资料均为真实、</w:t>
            </w:r>
          </w:p>
          <w:p>
            <w:pPr>
              <w:pStyle w:val="TableParagraph"/>
              <w:spacing w:line="259" w:lineRule="auto" w:before="12"/>
              <w:ind w:left="105" w:right="97"/>
              <w:jc w:val="left"/>
              <w:rPr>
                <w:rFonts w:ascii="宋体" w:hAnsi="宋体" w:cs="宋体" w:eastAsia="宋体" w:hint="default"/>
                <w:sz w:val="18"/>
                <w:szCs w:val="18"/>
              </w:rPr>
            </w:pPr>
            <w:r>
              <w:rPr>
                <w:rFonts w:ascii="宋体" w:hAnsi="宋体" w:cs="宋体" w:eastAsia="宋体" w:hint="default"/>
                <w:spacing w:val="-1"/>
                <w:sz w:val="18"/>
                <w:szCs w:val="18"/>
              </w:rPr>
              <w:t>准确、完整的原始书面资料或副本资料，资料副本或复印件与其</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1"/>
                <w:sz w:val="18"/>
                <w:szCs w:val="18"/>
              </w:rPr>
              <w:t>原始资料或原件一致；所有文件的签名、印章均是真实的，不存</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在任何虚假记载、误导性陈述或者重大遗漏； </w:t>
            </w: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、承诺人为本次交易所出具的说明及确认均为真实、准确和完</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整的，不存在任何虚假记载、误导性陈述或者重大遗漏；</w:t>
            </w:r>
            <w:r>
              <w:rPr>
                <w:rFonts w:ascii="宋体" w:hAnsi="宋体" w:cs="宋体" w:eastAsia="宋体" w:hint="default"/>
                <w:sz w:val="18"/>
                <w:szCs w:val="18"/>
              </w:rPr>
              <w:t> </w:t>
            </w:r>
            <w:r>
              <w:rPr>
                <w:rFonts w:ascii="Times New Roman" w:hAnsi="Times New Roman" w:cs="Times New Roman" w:eastAsia="Times New Roman" w:hint="default"/>
                <w:spacing w:val="2"/>
                <w:sz w:val="18"/>
                <w:szCs w:val="18"/>
              </w:rPr>
              <w:t>4</w:t>
            </w:r>
            <w:r>
              <w:rPr>
                <w:rFonts w:ascii="宋体" w:hAnsi="宋体" w:cs="宋体" w:eastAsia="宋体" w:hint="default"/>
                <w:spacing w:val="2"/>
                <w:sz w:val="18"/>
                <w:szCs w:val="18"/>
              </w:rPr>
              <w:t>、承诺人已履行了法定的披露和报告义务，不存在应当披露而</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未披露的合同、协议、安排或其他事项。</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9"/>
                <w:szCs w:val="19"/>
              </w:rPr>
            </w:pPr>
          </w:p>
          <w:p>
            <w:pPr>
              <w:pStyle w:val="TableParagraph"/>
              <w:spacing w:line="240" w:lineRule="auto"/>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p>
          <w:p>
            <w:pPr>
              <w:pStyle w:val="TableParagraph"/>
              <w:spacing w:line="240" w:lineRule="auto" w:before="10"/>
              <w:ind w:left="105"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12</w:t>
            </w:r>
          </w:p>
          <w:p>
            <w:pPr>
              <w:pStyle w:val="TableParagraph"/>
              <w:spacing w:line="240" w:lineRule="auto" w:before="12"/>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66" w:lineRule="auto" w:before="143"/>
              <w:ind w:left="105" w:right="192"/>
              <w:jc w:val="left"/>
              <w:rPr>
                <w:rFonts w:ascii="宋体" w:hAnsi="宋体" w:cs="宋体" w:eastAsia="宋体" w:hint="default"/>
                <w:sz w:val="18"/>
                <w:szCs w:val="18"/>
              </w:rPr>
            </w:pPr>
            <w:r>
              <w:rPr>
                <w:rFonts w:ascii="宋体" w:hAnsi="宋体" w:cs="宋体" w:eastAsia="宋体" w:hint="default"/>
                <w:sz w:val="18"/>
                <w:szCs w:val="18"/>
              </w:rPr>
              <w:t>正常履 行</w:t>
            </w:r>
          </w:p>
        </w:tc>
      </w:tr>
      <w:tr>
        <w:trPr>
          <w:trHeight w:val="259"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承诺人同意对承诺人所提供信息的真实性、准确性和完整性承担</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法律责任。如因提供或披露的信息存在虚假记载、误导性陈述或</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r>
      <w:tr>
        <w:trPr>
          <w:trHeight w:val="251" w:hRule="exact"/>
        </w:trPr>
        <w:tc>
          <w:tcPr>
            <w:tcW w:w="708" w:type="dxa"/>
            <w:tcBorders>
              <w:top w:val="nil" w:sz="6" w:space="0" w:color="auto"/>
              <w:left w:val="single" w:sz="4" w:space="0" w:color="000000"/>
              <w:bottom w:val="single" w:sz="4" w:space="0" w:color="000000"/>
              <w:right w:val="single" w:sz="4" w:space="0" w:color="000000"/>
            </w:tcBorders>
          </w:tcPr>
          <w:p>
            <w:pPr/>
          </w:p>
        </w:tc>
        <w:tc>
          <w:tcPr>
            <w:tcW w:w="852"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5245" w:type="dxa"/>
            <w:tcBorders>
              <w:top w:val="nil" w:sz="6" w:space="0" w:color="auto"/>
              <w:left w:val="single" w:sz="4" w:space="0" w:color="000000"/>
              <w:bottom w:val="single" w:sz="4" w:space="0" w:color="000000"/>
              <w:right w:val="single" w:sz="4" w:space="0" w:color="000000"/>
            </w:tcBorders>
          </w:tcPr>
          <w:p>
            <w:pPr>
              <w:pStyle w:val="TableParagraph"/>
              <w:spacing w:line="221" w:lineRule="exact"/>
              <w:ind w:left="105" w:right="0"/>
              <w:jc w:val="left"/>
              <w:rPr>
                <w:rFonts w:ascii="宋体" w:hAnsi="宋体" w:cs="宋体" w:eastAsia="宋体" w:hint="default"/>
                <w:sz w:val="18"/>
                <w:szCs w:val="18"/>
              </w:rPr>
            </w:pPr>
            <w:r>
              <w:rPr>
                <w:rFonts w:ascii="宋体" w:hAnsi="宋体" w:cs="宋体" w:eastAsia="宋体" w:hint="default"/>
                <w:sz w:val="18"/>
                <w:szCs w:val="18"/>
              </w:rPr>
              <w:t>者重大遗漏，给茂业通信造成损失的，将承担赔偿责任。</w:t>
            </w:r>
          </w:p>
        </w:tc>
        <w:tc>
          <w:tcPr>
            <w:tcW w:w="852"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r>
      <w:tr>
        <w:trPr>
          <w:trHeight w:val="545" w:hRule="exact"/>
        </w:trPr>
        <w:tc>
          <w:tcPr>
            <w:tcW w:w="226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left="103" w:right="0"/>
              <w:jc w:val="left"/>
              <w:rPr>
                <w:rFonts w:ascii="宋体" w:hAnsi="宋体" w:cs="宋体" w:eastAsia="宋体" w:hint="default"/>
                <w:sz w:val="18"/>
                <w:szCs w:val="18"/>
              </w:rPr>
            </w:pPr>
            <w:r>
              <w:rPr>
                <w:rFonts w:ascii="宋体" w:hAnsi="宋体" w:cs="宋体" w:eastAsia="宋体" w:hint="default"/>
                <w:sz w:val="18"/>
                <w:szCs w:val="18"/>
              </w:rPr>
              <w:t>承诺是否按时履行</w:t>
            </w:r>
          </w:p>
        </w:tc>
        <w:tc>
          <w:tcPr>
            <w:tcW w:w="7655"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35"/>
              <w:ind w:left="105" w:right="0"/>
              <w:jc w:val="left"/>
              <w:rPr>
                <w:rFonts w:ascii="宋体" w:hAnsi="宋体" w:cs="宋体" w:eastAsia="宋体" w:hint="default"/>
                <w:sz w:val="18"/>
                <w:szCs w:val="18"/>
              </w:rPr>
            </w:pPr>
            <w:r>
              <w:rPr>
                <w:rFonts w:ascii="宋体" w:hAnsi="宋体" w:cs="宋体" w:eastAsia="宋体" w:hint="default"/>
                <w:sz w:val="18"/>
                <w:szCs w:val="18"/>
              </w:rPr>
              <w:t>有固定期限或限期以及无固定期限的承诺均已履行</w:t>
            </w:r>
          </w:p>
        </w:tc>
      </w:tr>
    </w:tbl>
    <w:p>
      <w:pPr>
        <w:spacing w:line="240" w:lineRule="auto" w:before="10"/>
        <w:rPr>
          <w:rFonts w:ascii="Times New Roman" w:hAnsi="Times New Roman" w:cs="Times New Roman" w:eastAsia="Times New Roman" w:hint="default"/>
          <w:sz w:val="29"/>
          <w:szCs w:val="29"/>
        </w:rPr>
      </w:pPr>
    </w:p>
    <w:p>
      <w:pPr>
        <w:pStyle w:val="BodyText"/>
        <w:spacing w:line="273" w:lineRule="auto" w:before="36"/>
        <w:ind w:left="252" w:right="1127"/>
        <w:jc w:val="left"/>
        <w:rPr>
          <w:rFonts w:ascii="宋体" w:hAnsi="宋体" w:cs="宋体" w:eastAsia="宋体" w:hint="default"/>
        </w:rPr>
      </w:pPr>
      <w:r>
        <w:rPr>
          <w:rFonts w:ascii="宋体" w:hAnsi="宋体" w:cs="宋体" w:eastAsia="宋体" w:hint="default"/>
        </w:rPr>
        <w:t>(</w:t>
      </w:r>
      <w:r>
        <w:rPr/>
        <w:t>二</w:t>
      </w:r>
      <w:r>
        <w:rPr>
          <w:rFonts w:ascii="宋体" w:hAnsi="宋体" w:cs="宋体" w:eastAsia="宋体" w:hint="default"/>
        </w:rPr>
        <w:t>)</w:t>
      </w:r>
      <w:r>
        <w:rPr>
          <w:rFonts w:ascii="宋体" w:hAnsi="宋体" w:cs="宋体" w:eastAsia="宋体" w:hint="default"/>
          <w:spacing w:val="72"/>
        </w:rPr>
        <w:t> </w:t>
      </w:r>
      <w:r>
        <w:rPr/>
        <w:t>被收购方长实通信原股东、实际控制人邹军在报告期内履行完毕及截至报告期末尚未履行完毕的承</w:t>
      </w:r>
      <w:r>
        <w:rPr>
          <w:spacing w:val="-98"/>
        </w:rPr>
        <w:t> </w:t>
      </w:r>
      <w:r>
        <w:rPr>
          <w:spacing w:val="-98"/>
        </w:rPr>
      </w:r>
      <w:r>
        <w:rPr/>
        <w:t>诺事项</w:t>
      </w:r>
      <w:r>
        <w:rPr>
          <w:rFonts w:ascii="宋体" w:hAnsi="宋体" w:cs="宋体" w:eastAsia="宋体" w:hint="default"/>
        </w:rPr>
        <w:t> </w:t>
      </w:r>
    </w:p>
    <w:p>
      <w:pPr>
        <w:spacing w:line="240" w:lineRule="auto" w:before="9"/>
        <w:rPr>
          <w:rFonts w:ascii="宋体" w:hAnsi="宋体" w:cs="宋体" w:eastAsia="宋体" w:hint="default"/>
          <w:sz w:val="4"/>
          <w:szCs w:val="4"/>
        </w:rPr>
      </w:pPr>
    </w:p>
    <w:tbl>
      <w:tblPr>
        <w:tblW w:w="0" w:type="auto"/>
        <w:jc w:val="left"/>
        <w:tblInd w:w="106" w:type="dxa"/>
        <w:tblLayout w:type="fixed"/>
        <w:tblCellMar>
          <w:top w:w="0" w:type="dxa"/>
          <w:left w:w="0" w:type="dxa"/>
          <w:bottom w:w="0" w:type="dxa"/>
          <w:right w:w="0" w:type="dxa"/>
        </w:tblCellMar>
        <w:tblLook w:val="01E0"/>
      </w:tblPr>
      <w:tblGrid>
        <w:gridCol w:w="708"/>
        <w:gridCol w:w="852"/>
        <w:gridCol w:w="354"/>
        <w:gridCol w:w="354"/>
        <w:gridCol w:w="5245"/>
        <w:gridCol w:w="710"/>
        <w:gridCol w:w="709"/>
        <w:gridCol w:w="991"/>
      </w:tblGrid>
      <w:tr>
        <w:trPr>
          <w:trHeight w:val="528" w:hRule="exact"/>
        </w:trPr>
        <w:tc>
          <w:tcPr>
            <w:tcW w:w="7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4" w:lineRule="auto"/>
              <w:ind w:left="168" w:right="168"/>
              <w:jc w:val="left"/>
              <w:rPr>
                <w:rFonts w:ascii="宋体" w:hAnsi="宋体" w:cs="宋体" w:eastAsia="宋体" w:hint="default"/>
                <w:sz w:val="18"/>
                <w:szCs w:val="18"/>
              </w:rPr>
            </w:pPr>
            <w:r>
              <w:rPr>
                <w:rFonts w:ascii="宋体" w:hAnsi="宋体" w:cs="宋体" w:eastAsia="宋体" w:hint="default"/>
                <w:sz w:val="18"/>
                <w:szCs w:val="18"/>
              </w:rPr>
              <w:t>承诺 事由</w:t>
            </w:r>
          </w:p>
        </w:tc>
        <w:tc>
          <w:tcPr>
            <w:tcW w:w="8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8"/>
              <w:ind w:left="153" w:right="0"/>
              <w:jc w:val="left"/>
              <w:rPr>
                <w:rFonts w:ascii="宋体" w:hAnsi="宋体" w:cs="宋体" w:eastAsia="宋体" w:hint="default"/>
                <w:sz w:val="18"/>
                <w:szCs w:val="18"/>
              </w:rPr>
            </w:pPr>
            <w:r>
              <w:rPr>
                <w:rFonts w:ascii="宋体" w:hAnsi="宋体" w:cs="宋体" w:eastAsia="宋体" w:hint="default"/>
                <w:sz w:val="18"/>
                <w:szCs w:val="18"/>
              </w:rPr>
              <w:t>承诺方</w:t>
            </w:r>
          </w:p>
        </w:tc>
        <w:tc>
          <w:tcPr>
            <w:tcW w:w="70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4" w:lineRule="auto"/>
              <w:ind w:left="167" w:right="168"/>
              <w:jc w:val="left"/>
              <w:rPr>
                <w:rFonts w:ascii="宋体" w:hAnsi="宋体" w:cs="宋体" w:eastAsia="宋体" w:hint="default"/>
                <w:sz w:val="18"/>
                <w:szCs w:val="18"/>
              </w:rPr>
            </w:pPr>
            <w:r>
              <w:rPr>
                <w:rFonts w:ascii="宋体" w:hAnsi="宋体" w:cs="宋体" w:eastAsia="宋体" w:hint="default"/>
                <w:sz w:val="18"/>
                <w:szCs w:val="18"/>
              </w:rPr>
              <w:t>承诺 类型</w:t>
            </w:r>
          </w:p>
        </w:tc>
        <w:tc>
          <w:tcPr>
            <w:tcW w:w="524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8"/>
              <w:ind w:left="2" w:right="0"/>
              <w:jc w:val="center"/>
              <w:rPr>
                <w:rFonts w:ascii="宋体" w:hAnsi="宋体" w:cs="宋体" w:eastAsia="宋体" w:hint="default"/>
                <w:sz w:val="18"/>
                <w:szCs w:val="18"/>
              </w:rPr>
            </w:pPr>
            <w:r>
              <w:rPr>
                <w:rFonts w:ascii="宋体" w:hAnsi="宋体" w:cs="宋体" w:eastAsia="宋体" w:hint="default"/>
                <w:sz w:val="18"/>
                <w:szCs w:val="18"/>
              </w:rPr>
              <w:t>承诺内容</w:t>
            </w:r>
          </w:p>
        </w:tc>
        <w:tc>
          <w:tcPr>
            <w:tcW w:w="7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4" w:lineRule="auto"/>
              <w:ind w:left="170" w:right="168"/>
              <w:jc w:val="left"/>
              <w:rPr>
                <w:rFonts w:ascii="宋体" w:hAnsi="宋体" w:cs="宋体" w:eastAsia="宋体" w:hint="default"/>
                <w:sz w:val="18"/>
                <w:szCs w:val="18"/>
              </w:rPr>
            </w:pPr>
            <w:r>
              <w:rPr>
                <w:rFonts w:ascii="宋体" w:hAnsi="宋体" w:cs="宋体" w:eastAsia="宋体" w:hint="default"/>
                <w:sz w:val="18"/>
                <w:szCs w:val="18"/>
              </w:rPr>
              <w:t>承诺 时间</w:t>
            </w:r>
          </w:p>
        </w:tc>
        <w:tc>
          <w:tcPr>
            <w:tcW w:w="7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4" w:lineRule="auto"/>
              <w:ind w:left="168" w:right="168"/>
              <w:jc w:val="left"/>
              <w:rPr>
                <w:rFonts w:ascii="宋体" w:hAnsi="宋体" w:cs="宋体" w:eastAsia="宋体" w:hint="default"/>
                <w:sz w:val="18"/>
                <w:szCs w:val="18"/>
              </w:rPr>
            </w:pPr>
            <w:r>
              <w:rPr>
                <w:rFonts w:ascii="宋体" w:hAnsi="宋体" w:cs="宋体" w:eastAsia="宋体" w:hint="default"/>
                <w:sz w:val="18"/>
                <w:szCs w:val="18"/>
              </w:rPr>
              <w:t>承诺 期限</w:t>
            </w:r>
          </w:p>
        </w:tc>
        <w:tc>
          <w:tcPr>
            <w:tcW w:w="9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8"/>
              <w:ind w:left="131" w:right="0"/>
              <w:jc w:val="left"/>
              <w:rPr>
                <w:rFonts w:ascii="宋体" w:hAnsi="宋体" w:cs="宋体" w:eastAsia="宋体" w:hint="default"/>
                <w:sz w:val="18"/>
                <w:szCs w:val="18"/>
              </w:rPr>
            </w:pPr>
            <w:r>
              <w:rPr>
                <w:rFonts w:ascii="宋体" w:hAnsi="宋体" w:cs="宋体" w:eastAsia="宋体" w:hint="default"/>
                <w:sz w:val="18"/>
                <w:szCs w:val="18"/>
              </w:rPr>
              <w:t>履行情况</w:t>
            </w:r>
          </w:p>
        </w:tc>
      </w:tr>
      <w:tr>
        <w:trPr>
          <w:trHeight w:val="281" w:hRule="exact"/>
        </w:trPr>
        <w:tc>
          <w:tcPr>
            <w:tcW w:w="708" w:type="dxa"/>
            <w:tcBorders>
              <w:top w:val="single" w:sz="4" w:space="0" w:color="000000"/>
              <w:left w:val="single" w:sz="4" w:space="0" w:color="000000"/>
              <w:bottom w:val="nil" w:sz="6" w:space="0" w:color="auto"/>
              <w:right w:val="single" w:sz="4" w:space="0" w:color="000000"/>
            </w:tcBorders>
          </w:tcPr>
          <w:p>
            <w:pPr/>
          </w:p>
        </w:tc>
        <w:tc>
          <w:tcPr>
            <w:tcW w:w="852" w:type="dxa"/>
            <w:tcBorders>
              <w:top w:val="single" w:sz="4" w:space="0" w:color="000000"/>
              <w:left w:val="single" w:sz="4" w:space="0" w:color="000000"/>
              <w:bottom w:val="nil" w:sz="6" w:space="0" w:color="auto"/>
              <w:right w:val="single" w:sz="4" w:space="0" w:color="000000"/>
            </w:tcBorders>
          </w:tcPr>
          <w:p>
            <w:pPr/>
          </w:p>
        </w:tc>
        <w:tc>
          <w:tcPr>
            <w:tcW w:w="354" w:type="dxa"/>
            <w:tcBorders>
              <w:top w:val="single" w:sz="4" w:space="0" w:color="000000"/>
              <w:left w:val="single" w:sz="4" w:space="0" w:color="000000"/>
              <w:bottom w:val="nil" w:sz="6" w:space="0" w:color="auto"/>
              <w:right w:val="nil" w:sz="6" w:space="0" w:color="auto"/>
            </w:tcBorders>
          </w:tcPr>
          <w:p>
            <w:pPr/>
          </w:p>
        </w:tc>
        <w:tc>
          <w:tcPr>
            <w:tcW w:w="354" w:type="dxa"/>
            <w:tcBorders>
              <w:top w:val="single" w:sz="4" w:space="0" w:color="000000"/>
              <w:left w:val="nil" w:sz="6" w:space="0" w:color="auto"/>
              <w:bottom w:val="nil" w:sz="6" w:space="0" w:color="auto"/>
              <w:right w:val="single" w:sz="4" w:space="0" w:color="000000"/>
            </w:tcBorders>
          </w:tcPr>
          <w:p>
            <w:pPr/>
          </w:p>
        </w:tc>
        <w:tc>
          <w:tcPr>
            <w:tcW w:w="524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
              <w:ind w:left="105" w:right="0"/>
              <w:jc w:val="left"/>
              <w:rPr>
                <w:rFonts w:ascii="宋体" w:hAnsi="宋体" w:cs="宋体" w:eastAsia="宋体" w:hint="default"/>
                <w:sz w:val="18"/>
                <w:szCs w:val="18"/>
              </w:rPr>
            </w:pPr>
            <w:r>
              <w:rPr>
                <w:rFonts w:ascii="宋体" w:hAnsi="宋体" w:cs="宋体" w:eastAsia="宋体" w:hint="default"/>
                <w:sz w:val="18"/>
                <w:szCs w:val="18"/>
              </w:rPr>
              <w:t>信息真实性、准确性和完整性承诺：承诺方保证所提供的信息真</w:t>
            </w:r>
          </w:p>
        </w:tc>
        <w:tc>
          <w:tcPr>
            <w:tcW w:w="710" w:type="dxa"/>
            <w:tcBorders>
              <w:top w:val="single" w:sz="4" w:space="0" w:color="000000"/>
              <w:left w:val="single" w:sz="4" w:space="0" w:color="000000"/>
              <w:bottom w:val="nil" w:sz="6" w:space="0" w:color="auto"/>
              <w:right w:val="single" w:sz="4" w:space="0" w:color="000000"/>
            </w:tcBorders>
          </w:tcPr>
          <w:p>
            <w:pPr/>
          </w:p>
        </w:tc>
        <w:tc>
          <w:tcPr>
            <w:tcW w:w="709" w:type="dxa"/>
            <w:tcBorders>
              <w:top w:val="single" w:sz="4" w:space="0" w:color="000000"/>
              <w:left w:val="single" w:sz="4" w:space="0" w:color="000000"/>
              <w:bottom w:val="nil" w:sz="6" w:space="0" w:color="auto"/>
              <w:right w:val="single" w:sz="4" w:space="0" w:color="000000"/>
            </w:tcBorders>
          </w:tcPr>
          <w:p>
            <w:pPr/>
          </w:p>
        </w:tc>
        <w:tc>
          <w:tcPr>
            <w:tcW w:w="991" w:type="dxa"/>
            <w:tcBorders>
              <w:top w:val="single" w:sz="4" w:space="0" w:color="000000"/>
              <w:left w:val="single" w:sz="4" w:space="0" w:color="000000"/>
              <w:bottom w:val="nil" w:sz="6" w:space="0" w:color="auto"/>
              <w:right w:val="single" w:sz="4" w:space="0" w:color="000000"/>
            </w:tcBorders>
          </w:tcPr>
          <w:p>
            <w:pPr/>
          </w:p>
        </w:tc>
      </w:tr>
      <w:tr>
        <w:trPr>
          <w:trHeight w:val="259"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pacing w:val="32"/>
                <w:sz w:val="18"/>
                <w:szCs w:val="18"/>
              </w:rPr>
              <w:t>长实网</w:t>
            </w:r>
            <w:r>
              <w:rPr>
                <w:rFonts w:ascii="宋体" w:hAnsi="宋体" w:cs="宋体" w:eastAsia="宋体" w:hint="default"/>
                <w:spacing w:val="-42"/>
                <w:sz w:val="18"/>
                <w:szCs w:val="18"/>
              </w:rPr>
              <w:t> </w:t>
            </w:r>
            <w:r>
              <w:rPr>
                <w:rFonts w:ascii="宋体" w:hAnsi="宋体" w:cs="宋体" w:eastAsia="宋体" w:hint="default"/>
                <w:sz w:val="18"/>
                <w:szCs w:val="18"/>
              </w:rPr>
            </w: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实、准确、完整，不存在任何虚假记载、误导性陈述或者重大遗</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1550" w:hRule="exact"/>
        </w:trPr>
        <w:tc>
          <w:tcPr>
            <w:tcW w:w="708" w:type="dxa"/>
            <w:vMerge w:val="restart"/>
            <w:tcBorders>
              <w:top w:val="nil" w:sz="6" w:space="0" w:color="auto"/>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2015</w:t>
            </w:r>
          </w:p>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宋体" w:hAnsi="宋体" w:cs="宋体" w:eastAsia="宋体" w:hint="default"/>
                <w:sz w:val="18"/>
                <w:szCs w:val="18"/>
              </w:rPr>
              <w:t>重</w:t>
            </w:r>
          </w:p>
          <w:p>
            <w:pPr>
              <w:pStyle w:val="TableParagraph"/>
              <w:spacing w:line="240" w:lineRule="auto" w:before="26"/>
              <w:ind w:left="103" w:right="0"/>
              <w:jc w:val="left"/>
              <w:rPr>
                <w:rFonts w:ascii="宋体" w:hAnsi="宋体" w:cs="宋体" w:eastAsia="宋体" w:hint="default"/>
                <w:sz w:val="18"/>
                <w:szCs w:val="18"/>
              </w:rPr>
            </w:pPr>
            <w:r>
              <w:rPr>
                <w:rFonts w:ascii="宋体" w:hAnsi="宋体" w:cs="宋体" w:eastAsia="宋体" w:hint="default"/>
                <w:sz w:val="18"/>
                <w:szCs w:val="18"/>
              </w:rPr>
              <w:t>大</w:t>
            </w:r>
            <w:r>
              <w:rPr>
                <w:rFonts w:ascii="宋体" w:hAnsi="宋体" w:cs="宋体" w:eastAsia="宋体" w:hint="default"/>
                <w:spacing w:val="42"/>
                <w:sz w:val="18"/>
                <w:szCs w:val="18"/>
              </w:rPr>
              <w:t> </w:t>
            </w:r>
            <w:r>
              <w:rPr>
                <w:rFonts w:ascii="宋体" w:hAnsi="宋体" w:cs="宋体" w:eastAsia="宋体" w:hint="default"/>
                <w:sz w:val="18"/>
                <w:szCs w:val="18"/>
              </w:rPr>
              <w:t>资</w:t>
            </w:r>
          </w:p>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产</w:t>
            </w:r>
            <w:r>
              <w:rPr>
                <w:rFonts w:ascii="宋体" w:hAnsi="宋体" w:cs="宋体" w:eastAsia="宋体" w:hint="default"/>
                <w:spacing w:val="42"/>
                <w:sz w:val="18"/>
                <w:szCs w:val="18"/>
              </w:rPr>
              <w:t> </w:t>
            </w:r>
            <w:r>
              <w:rPr>
                <w:rFonts w:ascii="宋体" w:hAnsi="宋体" w:cs="宋体" w:eastAsia="宋体" w:hint="default"/>
                <w:sz w:val="18"/>
                <w:szCs w:val="18"/>
              </w:rPr>
              <w:t>收</w:t>
            </w:r>
          </w:p>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购</w:t>
            </w:r>
            <w:r>
              <w:rPr>
                <w:rFonts w:ascii="宋体" w:hAnsi="宋体" w:cs="宋体" w:eastAsia="宋体" w:hint="default"/>
                <w:spacing w:val="42"/>
                <w:sz w:val="18"/>
                <w:szCs w:val="18"/>
              </w:rPr>
              <w:t> </w:t>
            </w:r>
            <w:r>
              <w:rPr>
                <w:rFonts w:ascii="宋体" w:hAnsi="宋体" w:cs="宋体" w:eastAsia="宋体" w:hint="default"/>
                <w:sz w:val="18"/>
                <w:szCs w:val="18"/>
              </w:rPr>
              <w:t>时</w:t>
            </w:r>
          </w:p>
          <w:p>
            <w:pPr>
              <w:pStyle w:val="TableParagraph"/>
              <w:spacing w:line="264" w:lineRule="auto" w:before="26"/>
              <w:ind w:left="103" w:right="101"/>
              <w:jc w:val="left"/>
              <w:rPr>
                <w:rFonts w:ascii="宋体" w:hAnsi="宋体" w:cs="宋体" w:eastAsia="宋体" w:hint="default"/>
                <w:sz w:val="18"/>
                <w:szCs w:val="18"/>
              </w:rPr>
            </w:pPr>
            <w:r>
              <w:rPr>
                <w:rFonts w:ascii="宋体" w:hAnsi="宋体" w:cs="宋体" w:eastAsia="宋体" w:hint="default"/>
                <w:sz w:val="18"/>
                <w:szCs w:val="18"/>
              </w:rPr>
              <w:t>所</w:t>
            </w:r>
            <w:r>
              <w:rPr>
                <w:rFonts w:ascii="宋体" w:hAnsi="宋体" w:cs="宋体" w:eastAsia="宋体" w:hint="default"/>
                <w:spacing w:val="42"/>
                <w:sz w:val="18"/>
                <w:szCs w:val="18"/>
              </w:rPr>
              <w:t> </w:t>
            </w:r>
            <w:r>
              <w:rPr>
                <w:rFonts w:ascii="宋体" w:hAnsi="宋体" w:cs="宋体" w:eastAsia="宋体" w:hint="default"/>
                <w:sz w:val="18"/>
                <w:szCs w:val="18"/>
              </w:rPr>
              <w:t>作</w:t>
            </w:r>
            <w:r>
              <w:rPr>
                <w:rFonts w:ascii="宋体" w:hAnsi="宋体" w:cs="宋体" w:eastAsia="宋体" w:hint="default"/>
                <w:sz w:val="18"/>
                <w:szCs w:val="18"/>
              </w:rPr>
              <w:t> 承诺</w:t>
            </w:r>
          </w:p>
        </w:tc>
        <w:tc>
          <w:tcPr>
            <w:tcW w:w="852" w:type="dxa"/>
            <w:tcBorders>
              <w:top w:val="nil" w:sz="6" w:space="0" w:color="auto"/>
              <w:left w:val="single" w:sz="4" w:space="0" w:color="000000"/>
              <w:bottom w:val="single" w:sz="4" w:space="0" w:color="000000"/>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络</w:t>
            </w:r>
            <w:r>
              <w:rPr>
                <w:rFonts w:ascii="宋体" w:hAnsi="宋体" w:cs="宋体" w:eastAsia="宋体" w:hint="default"/>
                <w:spacing w:val="-85"/>
                <w:sz w:val="18"/>
                <w:szCs w:val="18"/>
              </w:rPr>
              <w:t>、</w:t>
            </w:r>
            <w:r>
              <w:rPr>
                <w:rFonts w:ascii="宋体" w:hAnsi="宋体" w:cs="宋体" w:eastAsia="宋体" w:hint="default"/>
                <w:sz w:val="18"/>
                <w:szCs w:val="18"/>
              </w:rPr>
              <w:t>孝昌</w:t>
            </w:r>
          </w:p>
          <w:p>
            <w:pPr>
              <w:pStyle w:val="TableParagraph"/>
              <w:spacing w:line="264" w:lineRule="auto" w:before="26"/>
              <w:ind w:left="105" w:right="14"/>
              <w:jc w:val="left"/>
              <w:rPr>
                <w:rFonts w:ascii="宋体" w:hAnsi="宋体" w:cs="宋体" w:eastAsia="宋体" w:hint="default"/>
                <w:sz w:val="18"/>
                <w:szCs w:val="18"/>
              </w:rPr>
            </w:pPr>
            <w:r>
              <w:rPr>
                <w:rFonts w:ascii="宋体" w:hAnsi="宋体" w:cs="宋体" w:eastAsia="宋体" w:hint="default"/>
                <w:spacing w:val="-22"/>
                <w:sz w:val="18"/>
                <w:szCs w:val="18"/>
              </w:rPr>
              <w:t>恒隆、长</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实锦轩、 </w:t>
            </w:r>
            <w:r>
              <w:rPr>
                <w:rFonts w:ascii="宋体" w:hAnsi="宋体" w:cs="宋体" w:eastAsia="宋体" w:hint="default"/>
                <w:spacing w:val="-22"/>
                <w:sz w:val="18"/>
                <w:szCs w:val="18"/>
              </w:rPr>
              <w:t>张文、李</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强</w:t>
            </w:r>
          </w:p>
        </w:tc>
        <w:tc>
          <w:tcPr>
            <w:tcW w:w="354" w:type="dxa"/>
            <w:tcBorders>
              <w:top w:val="nil" w:sz="6" w:space="0" w:color="auto"/>
              <w:left w:val="single" w:sz="4" w:space="0" w:color="000000"/>
              <w:bottom w:val="single" w:sz="4" w:space="0" w:color="000000"/>
              <w:right w:val="nil" w:sz="6" w:space="0" w:color="auto"/>
            </w:tcBorders>
          </w:tcPr>
          <w:p>
            <w:pPr>
              <w:pStyle w:val="TableParagraph"/>
              <w:spacing w:line="266" w:lineRule="auto" w:before="113"/>
              <w:ind w:left="103" w:right="65"/>
              <w:jc w:val="both"/>
              <w:rPr>
                <w:rFonts w:ascii="宋体" w:hAnsi="宋体" w:cs="宋体" w:eastAsia="宋体" w:hint="default"/>
                <w:sz w:val="18"/>
                <w:szCs w:val="18"/>
              </w:rPr>
            </w:pPr>
            <w:r>
              <w:rPr>
                <w:rFonts w:ascii="宋体" w:hAnsi="宋体" w:cs="宋体" w:eastAsia="宋体" w:hint="default"/>
                <w:sz w:val="18"/>
                <w:szCs w:val="18"/>
              </w:rPr>
              <w:t>无 定 限</w:t>
            </w:r>
          </w:p>
        </w:tc>
        <w:tc>
          <w:tcPr>
            <w:tcW w:w="354" w:type="dxa"/>
            <w:tcBorders>
              <w:top w:val="nil" w:sz="6" w:space="0" w:color="auto"/>
              <w:left w:val="nil" w:sz="6" w:space="0" w:color="auto"/>
              <w:bottom w:val="single" w:sz="4" w:space="0" w:color="000000"/>
              <w:right w:val="single" w:sz="4" w:space="0" w:color="000000"/>
            </w:tcBorders>
          </w:tcPr>
          <w:p>
            <w:pPr>
              <w:pStyle w:val="TableParagraph"/>
              <w:spacing w:line="266" w:lineRule="auto" w:before="113"/>
              <w:ind w:left="66" w:right="101"/>
              <w:jc w:val="left"/>
              <w:rPr>
                <w:rFonts w:ascii="宋体" w:hAnsi="宋体" w:cs="宋体" w:eastAsia="宋体" w:hint="default"/>
                <w:sz w:val="18"/>
                <w:szCs w:val="18"/>
              </w:rPr>
            </w:pPr>
            <w:r>
              <w:rPr>
                <w:rFonts w:ascii="宋体" w:hAnsi="宋体" w:cs="宋体" w:eastAsia="宋体" w:hint="default"/>
                <w:sz w:val="18"/>
                <w:szCs w:val="18"/>
              </w:rPr>
              <w:t>固 期</w:t>
            </w:r>
          </w:p>
        </w:tc>
        <w:tc>
          <w:tcPr>
            <w:tcW w:w="5245" w:type="dxa"/>
            <w:tcBorders>
              <w:top w:val="nil" w:sz="6" w:space="0" w:color="auto"/>
              <w:left w:val="single" w:sz="4" w:space="0" w:color="000000"/>
              <w:bottom w:val="single" w:sz="4" w:space="0" w:color="000000"/>
              <w:right w:val="single" w:sz="4" w:space="0" w:color="000000"/>
            </w:tcBorders>
          </w:tcPr>
          <w:p>
            <w:pPr>
              <w:pStyle w:val="TableParagraph"/>
              <w:spacing w:line="220" w:lineRule="exact"/>
              <w:ind w:left="105" w:right="0"/>
              <w:jc w:val="both"/>
              <w:rPr>
                <w:rFonts w:ascii="宋体" w:hAnsi="宋体" w:cs="宋体" w:eastAsia="宋体" w:hint="default"/>
                <w:sz w:val="18"/>
                <w:szCs w:val="18"/>
              </w:rPr>
            </w:pPr>
            <w:r>
              <w:rPr>
                <w:rFonts w:ascii="宋体" w:hAnsi="宋体" w:cs="宋体" w:eastAsia="宋体" w:hint="default"/>
                <w:sz w:val="18"/>
                <w:szCs w:val="18"/>
              </w:rPr>
              <w:t>漏。如因提供的信息存在虚假记载、误导性陈述或者重大遗漏，</w:t>
            </w:r>
          </w:p>
          <w:p>
            <w:pPr>
              <w:pStyle w:val="TableParagraph"/>
              <w:spacing w:line="264" w:lineRule="auto" w:before="26"/>
              <w:ind w:left="105" w:right="87"/>
              <w:jc w:val="both"/>
              <w:rPr>
                <w:rFonts w:ascii="宋体" w:hAnsi="宋体" w:cs="宋体" w:eastAsia="宋体" w:hint="default"/>
                <w:sz w:val="18"/>
                <w:szCs w:val="18"/>
              </w:rPr>
            </w:pPr>
            <w:r>
              <w:rPr>
                <w:rFonts w:ascii="宋体" w:hAnsi="宋体" w:cs="宋体" w:eastAsia="宋体" w:hint="default"/>
                <w:sz w:val="18"/>
                <w:szCs w:val="18"/>
              </w:rPr>
              <w:t>给公司或者投资者造成损失的，将依法承担赔偿责任；如本次交 易因涉嫌所提供或者披露的信息存在虚假记载、误导性陈述或者 重大遗漏，被司法机关立案侦查或者被中国证监会立案调查的， 在案件调查结论明确之前，承诺方将暂停转让在公司拥有权益的 股份。</w:t>
            </w:r>
          </w:p>
        </w:tc>
        <w:tc>
          <w:tcPr>
            <w:tcW w:w="71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6"/>
              <w:ind w:left="105" w:right="0"/>
              <w:jc w:val="left"/>
              <w:rPr>
                <w:rFonts w:ascii="Times New Roman" w:hAnsi="Times New Roman" w:cs="Times New Roman" w:eastAsia="Times New Roman" w:hint="default"/>
                <w:sz w:val="18"/>
                <w:szCs w:val="18"/>
              </w:rPr>
            </w:pPr>
            <w:r>
              <w:rPr>
                <w:rFonts w:ascii="Times New Roman"/>
                <w:sz w:val="18"/>
              </w:rPr>
              <w:t>2015</w:t>
            </w:r>
          </w:p>
          <w:p>
            <w:pPr>
              <w:pStyle w:val="TableParagraph"/>
              <w:spacing w:line="240" w:lineRule="auto" w:before="12"/>
              <w:ind w:left="10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p>
          <w:p>
            <w:pPr>
              <w:pStyle w:val="TableParagraph"/>
              <w:spacing w:line="240" w:lineRule="auto" w:before="10"/>
              <w:ind w:left="10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w:t>
            </w:r>
          </w:p>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9"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9"/>
              <w:ind w:left="10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991"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9"/>
              <w:ind w:left="105" w:right="0"/>
              <w:jc w:val="left"/>
              <w:rPr>
                <w:rFonts w:ascii="宋体" w:hAnsi="宋体" w:cs="宋体" w:eastAsia="宋体" w:hint="default"/>
                <w:sz w:val="18"/>
                <w:szCs w:val="18"/>
              </w:rPr>
            </w:pPr>
            <w:r>
              <w:rPr>
                <w:rFonts w:ascii="宋体" w:hAnsi="宋体" w:cs="宋体" w:eastAsia="宋体" w:hint="default"/>
                <w:sz w:val="18"/>
                <w:szCs w:val="18"/>
              </w:rPr>
              <w:t>正常履行</w:t>
            </w:r>
          </w:p>
        </w:tc>
      </w:tr>
      <w:tr>
        <w:trPr>
          <w:trHeight w:val="1570" w:hRule="exact"/>
        </w:trPr>
        <w:tc>
          <w:tcPr>
            <w:tcW w:w="708" w:type="dxa"/>
            <w:vMerge/>
            <w:tcBorders>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64" w:lineRule="auto"/>
              <w:ind w:left="105" w:right="14"/>
              <w:jc w:val="left"/>
              <w:rPr>
                <w:rFonts w:ascii="宋体" w:hAnsi="宋体" w:cs="宋体" w:eastAsia="宋体" w:hint="default"/>
                <w:sz w:val="18"/>
                <w:szCs w:val="18"/>
              </w:rPr>
            </w:pPr>
            <w:r>
              <w:rPr>
                <w:rFonts w:ascii="宋体" w:hAnsi="宋体" w:cs="宋体" w:eastAsia="宋体" w:hint="default"/>
                <w:spacing w:val="32"/>
                <w:sz w:val="18"/>
                <w:szCs w:val="18"/>
              </w:rPr>
              <w:t>长实网</w:t>
            </w:r>
            <w:r>
              <w:rPr>
                <w:rFonts w:ascii="宋体" w:hAnsi="宋体" w:cs="宋体" w:eastAsia="宋体" w:hint="default"/>
                <w:spacing w:val="-42"/>
                <w:sz w:val="18"/>
                <w:szCs w:val="18"/>
              </w:rPr>
              <w:t> </w:t>
            </w:r>
            <w:r>
              <w:rPr>
                <w:rFonts w:ascii="宋体" w:hAnsi="宋体" w:cs="宋体" w:eastAsia="宋体" w:hint="default"/>
                <w:spacing w:val="-22"/>
                <w:sz w:val="18"/>
                <w:szCs w:val="18"/>
              </w:rPr>
              <w:t>络、孝昌</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22"/>
                <w:sz w:val="18"/>
                <w:szCs w:val="18"/>
              </w:rPr>
              <w:t>恒隆、长</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实锦轩、 </w:t>
            </w:r>
            <w:r>
              <w:rPr>
                <w:rFonts w:ascii="宋体" w:hAnsi="宋体" w:cs="宋体" w:eastAsia="宋体" w:hint="default"/>
                <w:spacing w:val="-22"/>
                <w:sz w:val="18"/>
                <w:szCs w:val="18"/>
              </w:rPr>
              <w:t>张文、李</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强</w:t>
            </w:r>
          </w:p>
        </w:tc>
        <w:tc>
          <w:tcPr>
            <w:tcW w:w="354"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66" w:lineRule="auto" w:before="154"/>
              <w:ind w:left="103" w:right="65"/>
              <w:jc w:val="both"/>
              <w:rPr>
                <w:rFonts w:ascii="宋体" w:hAnsi="宋体" w:cs="宋体" w:eastAsia="宋体" w:hint="default"/>
                <w:sz w:val="18"/>
                <w:szCs w:val="18"/>
              </w:rPr>
            </w:pPr>
            <w:r>
              <w:rPr>
                <w:rFonts w:ascii="宋体" w:hAnsi="宋体" w:cs="宋体" w:eastAsia="宋体" w:hint="default"/>
                <w:sz w:val="18"/>
                <w:szCs w:val="18"/>
              </w:rPr>
              <w:t>无 定 限</w:t>
            </w:r>
          </w:p>
        </w:tc>
        <w:tc>
          <w:tcPr>
            <w:tcW w:w="354" w:type="dxa"/>
            <w:tcBorders>
              <w:top w:val="single" w:sz="4" w:space="0" w:color="000000"/>
              <w:left w:val="nil" w:sz="6" w:space="0" w:color="auto"/>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64" w:lineRule="auto" w:before="154"/>
              <w:ind w:left="66" w:right="101"/>
              <w:jc w:val="left"/>
              <w:rPr>
                <w:rFonts w:ascii="宋体" w:hAnsi="宋体" w:cs="宋体" w:eastAsia="宋体" w:hint="default"/>
                <w:sz w:val="18"/>
                <w:szCs w:val="18"/>
              </w:rPr>
            </w:pPr>
            <w:r>
              <w:rPr>
                <w:rFonts w:ascii="宋体" w:hAnsi="宋体" w:cs="宋体" w:eastAsia="宋体" w:hint="default"/>
                <w:sz w:val="18"/>
                <w:szCs w:val="18"/>
              </w:rPr>
              <w:t>固 期</w:t>
            </w:r>
          </w:p>
        </w:tc>
        <w:tc>
          <w:tcPr>
            <w:tcW w:w="5245" w:type="dxa"/>
            <w:tcBorders>
              <w:top w:val="single" w:sz="4" w:space="0" w:color="000000"/>
              <w:left w:val="single" w:sz="4" w:space="0" w:color="000000"/>
              <w:bottom w:val="single" w:sz="4" w:space="0" w:color="000000"/>
              <w:right w:val="single" w:sz="4" w:space="0" w:color="000000"/>
            </w:tcBorders>
          </w:tcPr>
          <w:p>
            <w:pPr>
              <w:pStyle w:val="TableParagraph"/>
              <w:spacing w:line="264" w:lineRule="auto" w:before="131"/>
              <w:ind w:left="105" w:right="99"/>
              <w:jc w:val="both"/>
              <w:rPr>
                <w:rFonts w:ascii="宋体" w:hAnsi="宋体" w:cs="宋体" w:eastAsia="宋体" w:hint="default"/>
                <w:sz w:val="18"/>
                <w:szCs w:val="18"/>
              </w:rPr>
            </w:pPr>
            <w:r>
              <w:rPr>
                <w:rFonts w:ascii="宋体" w:hAnsi="宋体" w:cs="宋体" w:eastAsia="宋体" w:hint="default"/>
                <w:spacing w:val="-1"/>
                <w:sz w:val="18"/>
                <w:szCs w:val="18"/>
              </w:rPr>
              <w:t>交易标的资产权属承诺：承诺方已经依法履行对长实通信的出资</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1"/>
                <w:sz w:val="18"/>
                <w:szCs w:val="18"/>
              </w:rPr>
              <w:t>义务，不存在任何虚假出资、延期出资、抽逃出资等违反作为股</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1"/>
                <w:sz w:val="18"/>
                <w:szCs w:val="18"/>
              </w:rPr>
              <w:t>东所应承担的义务及责任的行为，不存在可能影响长实通信合法</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1"/>
                <w:sz w:val="18"/>
                <w:szCs w:val="18"/>
              </w:rPr>
              <w:t>存续的情况。若违反承诺，将承担因此而给茂业通信造成的一切</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损失。</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3"/>
                <w:szCs w:val="23"/>
              </w:rPr>
            </w:pPr>
          </w:p>
          <w:p>
            <w:pPr>
              <w:pStyle w:val="TableParagraph"/>
              <w:spacing w:line="240" w:lineRule="auto"/>
              <w:ind w:left="105" w:right="0"/>
              <w:jc w:val="left"/>
              <w:rPr>
                <w:rFonts w:ascii="Times New Roman" w:hAnsi="Times New Roman" w:cs="Times New Roman" w:eastAsia="Times New Roman" w:hint="default"/>
                <w:sz w:val="18"/>
                <w:szCs w:val="18"/>
              </w:rPr>
            </w:pPr>
            <w:r>
              <w:rPr>
                <w:rFonts w:ascii="Times New Roman"/>
                <w:sz w:val="18"/>
              </w:rPr>
              <w:t>2015</w:t>
            </w:r>
          </w:p>
          <w:p>
            <w:pPr>
              <w:pStyle w:val="TableParagraph"/>
              <w:spacing w:line="240" w:lineRule="auto" w:before="10"/>
              <w:ind w:left="10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p>
          <w:p>
            <w:pPr>
              <w:pStyle w:val="TableParagraph"/>
              <w:spacing w:line="240" w:lineRule="auto" w:before="10"/>
              <w:ind w:left="10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w:t>
            </w:r>
          </w:p>
          <w:p>
            <w:pPr>
              <w:pStyle w:val="TableParagraph"/>
              <w:spacing w:line="240" w:lineRule="auto" w:before="12"/>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3"/>
                <w:szCs w:val="13"/>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正常履行</w:t>
            </w:r>
          </w:p>
        </w:tc>
      </w:tr>
      <w:tr>
        <w:trPr>
          <w:trHeight w:val="281" w:hRule="exact"/>
        </w:trPr>
        <w:tc>
          <w:tcPr>
            <w:tcW w:w="708" w:type="dxa"/>
            <w:tcBorders>
              <w:top w:val="single" w:sz="4" w:space="0" w:color="000000"/>
              <w:left w:val="single" w:sz="4" w:space="0" w:color="000000"/>
              <w:bottom w:val="nil" w:sz="6" w:space="0" w:color="auto"/>
              <w:right w:val="single" w:sz="4" w:space="0" w:color="000000"/>
            </w:tcBorders>
          </w:tcPr>
          <w:p>
            <w:pPr/>
          </w:p>
        </w:tc>
        <w:tc>
          <w:tcPr>
            <w:tcW w:w="852" w:type="dxa"/>
            <w:tcBorders>
              <w:top w:val="single" w:sz="4" w:space="0" w:color="000000"/>
              <w:left w:val="single" w:sz="4" w:space="0" w:color="000000"/>
              <w:bottom w:val="nil" w:sz="6" w:space="0" w:color="auto"/>
              <w:right w:val="single" w:sz="4" w:space="0" w:color="000000"/>
            </w:tcBorders>
          </w:tcPr>
          <w:p>
            <w:pPr/>
          </w:p>
        </w:tc>
        <w:tc>
          <w:tcPr>
            <w:tcW w:w="354" w:type="dxa"/>
            <w:tcBorders>
              <w:top w:val="single" w:sz="4" w:space="0" w:color="000000"/>
              <w:left w:val="single" w:sz="4" w:space="0" w:color="000000"/>
              <w:bottom w:val="nil" w:sz="6" w:space="0" w:color="auto"/>
              <w:right w:val="nil" w:sz="6" w:space="0" w:color="auto"/>
            </w:tcBorders>
          </w:tcPr>
          <w:p>
            <w:pPr/>
          </w:p>
        </w:tc>
        <w:tc>
          <w:tcPr>
            <w:tcW w:w="354" w:type="dxa"/>
            <w:tcBorders>
              <w:top w:val="single" w:sz="4" w:space="0" w:color="000000"/>
              <w:left w:val="nil" w:sz="6" w:space="0" w:color="auto"/>
              <w:bottom w:val="nil" w:sz="6" w:space="0" w:color="auto"/>
              <w:right w:val="single" w:sz="4" w:space="0" w:color="000000"/>
            </w:tcBorders>
          </w:tcPr>
          <w:p>
            <w:pPr/>
          </w:p>
        </w:tc>
        <w:tc>
          <w:tcPr>
            <w:tcW w:w="5245"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
              <w:ind w:left="105" w:right="0"/>
              <w:jc w:val="left"/>
              <w:rPr>
                <w:rFonts w:ascii="宋体" w:hAnsi="宋体" w:cs="宋体" w:eastAsia="宋体" w:hint="default"/>
                <w:sz w:val="18"/>
                <w:szCs w:val="18"/>
              </w:rPr>
            </w:pPr>
            <w:r>
              <w:rPr>
                <w:rFonts w:ascii="宋体" w:hAnsi="宋体" w:cs="宋体" w:eastAsia="宋体" w:hint="default"/>
                <w:sz w:val="18"/>
                <w:szCs w:val="18"/>
              </w:rPr>
              <w:t>标的资产经营合规性承诺：</w:t>
            </w:r>
          </w:p>
        </w:tc>
        <w:tc>
          <w:tcPr>
            <w:tcW w:w="710" w:type="dxa"/>
            <w:tcBorders>
              <w:top w:val="single" w:sz="4" w:space="0" w:color="000000"/>
              <w:left w:val="single" w:sz="4" w:space="0" w:color="000000"/>
              <w:bottom w:val="nil" w:sz="6" w:space="0" w:color="auto"/>
              <w:right w:val="single" w:sz="4" w:space="0" w:color="000000"/>
            </w:tcBorders>
          </w:tcPr>
          <w:p>
            <w:pPr/>
          </w:p>
        </w:tc>
        <w:tc>
          <w:tcPr>
            <w:tcW w:w="709" w:type="dxa"/>
            <w:tcBorders>
              <w:top w:val="single" w:sz="4" w:space="0" w:color="000000"/>
              <w:left w:val="single" w:sz="4" w:space="0" w:color="000000"/>
              <w:bottom w:val="nil" w:sz="6" w:space="0" w:color="auto"/>
              <w:right w:val="single" w:sz="4" w:space="0" w:color="000000"/>
            </w:tcBorders>
          </w:tcPr>
          <w:p>
            <w:pPr/>
          </w:p>
        </w:tc>
        <w:tc>
          <w:tcPr>
            <w:tcW w:w="991" w:type="dxa"/>
            <w:tcBorders>
              <w:top w:val="single" w:sz="4" w:space="0" w:color="000000"/>
              <w:left w:val="single" w:sz="4" w:space="0" w:color="000000"/>
              <w:bottom w:val="nil" w:sz="6" w:space="0" w:color="auto"/>
              <w:right w:val="single" w:sz="4" w:space="0" w:color="000000"/>
            </w:tcBorders>
          </w:tcPr>
          <w:p>
            <w:pPr/>
          </w:p>
        </w:tc>
      </w:tr>
      <w:tr>
        <w:trPr>
          <w:trHeight w:val="264"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105" w:right="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、长实通信系依法设立并有效存续的股份有限公司，具有法定</w:t>
            </w:r>
            <w:r>
              <w:rPr>
                <w:rFonts w:ascii="宋体" w:hAnsi="宋体" w:cs="宋体" w:eastAsia="宋体" w:hint="default"/>
                <w:sz w:val="18"/>
                <w:szCs w:val="18"/>
              </w:rPr>
            </w:r>
          </w:p>
        </w:tc>
        <w:tc>
          <w:tcPr>
            <w:tcW w:w="71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25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105" w:right="0"/>
              <w:jc w:val="left"/>
              <w:rPr>
                <w:rFonts w:ascii="宋体" w:hAnsi="宋体" w:cs="宋体" w:eastAsia="宋体" w:hint="default"/>
                <w:sz w:val="18"/>
                <w:szCs w:val="18"/>
              </w:rPr>
            </w:pPr>
            <w:r>
              <w:rPr>
                <w:rFonts w:ascii="宋体" w:hAnsi="宋体" w:cs="宋体" w:eastAsia="宋体" w:hint="default"/>
                <w:spacing w:val="5"/>
                <w:sz w:val="18"/>
                <w:szCs w:val="18"/>
              </w:rPr>
              <w:t>的营业资格，长实通信已取得其设立及经营业务所需的一切批</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105" w:right="0"/>
              <w:jc w:val="left"/>
              <w:rPr>
                <w:rFonts w:ascii="宋体" w:hAnsi="宋体" w:cs="宋体" w:eastAsia="宋体" w:hint="default"/>
                <w:sz w:val="18"/>
                <w:szCs w:val="18"/>
              </w:rPr>
            </w:pPr>
            <w:r>
              <w:rPr>
                <w:rFonts w:ascii="宋体" w:hAnsi="宋体" w:cs="宋体" w:eastAsia="宋体" w:hint="default"/>
                <w:sz w:val="18"/>
                <w:szCs w:val="18"/>
              </w:rPr>
              <w:t>准、同意、授权和许可，所有该等批准、同意、授权和许可均为</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259"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有效，并不存在任何原因或有可能导致上述批准、同意、授权和</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1821"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left="103" w:right="0"/>
              <w:jc w:val="left"/>
              <w:rPr>
                <w:rFonts w:ascii="Times New Roman" w:hAnsi="Times New Roman" w:cs="Times New Roman" w:eastAsia="Times New Roman" w:hint="default"/>
                <w:sz w:val="18"/>
                <w:szCs w:val="18"/>
              </w:rPr>
            </w:pPr>
            <w:r>
              <w:rPr>
                <w:rFonts w:ascii="Times New Roman"/>
                <w:sz w:val="18"/>
              </w:rPr>
              <w:t>2015</w:t>
            </w:r>
          </w:p>
          <w:p>
            <w:pPr>
              <w:pStyle w:val="TableParagraph"/>
              <w:spacing w:line="240" w:lineRule="auto" w:before="12"/>
              <w:ind w:left="103"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宋体" w:hAnsi="宋体" w:cs="宋体" w:eastAsia="宋体" w:hint="default"/>
                <w:sz w:val="18"/>
                <w:szCs w:val="18"/>
              </w:rPr>
              <w:t>重</w:t>
            </w:r>
          </w:p>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大</w:t>
            </w:r>
            <w:r>
              <w:rPr>
                <w:rFonts w:ascii="宋体" w:hAnsi="宋体" w:cs="宋体" w:eastAsia="宋体" w:hint="default"/>
                <w:spacing w:val="42"/>
                <w:sz w:val="18"/>
                <w:szCs w:val="18"/>
              </w:rPr>
              <w:t> </w:t>
            </w:r>
            <w:r>
              <w:rPr>
                <w:rFonts w:ascii="宋体" w:hAnsi="宋体" w:cs="宋体" w:eastAsia="宋体" w:hint="default"/>
                <w:sz w:val="18"/>
                <w:szCs w:val="18"/>
              </w:rPr>
              <w:t>资</w:t>
            </w:r>
          </w:p>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产</w:t>
            </w:r>
            <w:r>
              <w:rPr>
                <w:rFonts w:ascii="宋体" w:hAnsi="宋体" w:cs="宋体" w:eastAsia="宋体" w:hint="default"/>
                <w:spacing w:val="42"/>
                <w:sz w:val="18"/>
                <w:szCs w:val="18"/>
              </w:rPr>
              <w:t> </w:t>
            </w:r>
            <w:r>
              <w:rPr>
                <w:rFonts w:ascii="宋体" w:hAnsi="宋体" w:cs="宋体" w:eastAsia="宋体" w:hint="default"/>
                <w:sz w:val="18"/>
                <w:szCs w:val="18"/>
              </w:rPr>
              <w:t>收</w:t>
            </w:r>
          </w:p>
          <w:p>
            <w:pPr>
              <w:pStyle w:val="TableParagraph"/>
              <w:spacing w:line="240" w:lineRule="auto" w:before="26"/>
              <w:ind w:left="103" w:right="0"/>
              <w:jc w:val="left"/>
              <w:rPr>
                <w:rFonts w:ascii="宋体" w:hAnsi="宋体" w:cs="宋体" w:eastAsia="宋体" w:hint="default"/>
                <w:sz w:val="18"/>
                <w:szCs w:val="18"/>
              </w:rPr>
            </w:pPr>
            <w:r>
              <w:rPr>
                <w:rFonts w:ascii="宋体" w:hAnsi="宋体" w:cs="宋体" w:eastAsia="宋体" w:hint="default"/>
                <w:sz w:val="18"/>
                <w:szCs w:val="18"/>
              </w:rPr>
              <w:t>购</w:t>
            </w:r>
            <w:r>
              <w:rPr>
                <w:rFonts w:ascii="宋体" w:hAnsi="宋体" w:cs="宋体" w:eastAsia="宋体" w:hint="default"/>
                <w:spacing w:val="42"/>
                <w:sz w:val="18"/>
                <w:szCs w:val="18"/>
              </w:rPr>
              <w:t> </w:t>
            </w:r>
            <w:r>
              <w:rPr>
                <w:rFonts w:ascii="宋体" w:hAnsi="宋体" w:cs="宋体" w:eastAsia="宋体" w:hint="default"/>
                <w:sz w:val="18"/>
                <w:szCs w:val="18"/>
              </w:rPr>
              <w:t>时</w:t>
            </w:r>
          </w:p>
          <w:p>
            <w:pPr>
              <w:pStyle w:val="TableParagraph"/>
              <w:spacing w:line="264" w:lineRule="auto" w:before="23"/>
              <w:ind w:left="103" w:right="101"/>
              <w:jc w:val="left"/>
              <w:rPr>
                <w:rFonts w:ascii="宋体" w:hAnsi="宋体" w:cs="宋体" w:eastAsia="宋体" w:hint="default"/>
                <w:sz w:val="18"/>
                <w:szCs w:val="18"/>
              </w:rPr>
            </w:pPr>
            <w:r>
              <w:rPr>
                <w:rFonts w:ascii="宋体" w:hAnsi="宋体" w:cs="宋体" w:eastAsia="宋体" w:hint="default"/>
                <w:sz w:val="18"/>
                <w:szCs w:val="18"/>
              </w:rPr>
              <w:t>所</w:t>
            </w:r>
            <w:r>
              <w:rPr>
                <w:rFonts w:ascii="宋体" w:hAnsi="宋体" w:cs="宋体" w:eastAsia="宋体" w:hint="default"/>
                <w:spacing w:val="42"/>
                <w:sz w:val="18"/>
                <w:szCs w:val="18"/>
              </w:rPr>
              <w:t> </w:t>
            </w:r>
            <w:r>
              <w:rPr>
                <w:rFonts w:ascii="宋体" w:hAnsi="宋体" w:cs="宋体" w:eastAsia="宋体" w:hint="default"/>
                <w:sz w:val="18"/>
                <w:szCs w:val="18"/>
              </w:rPr>
              <w:t>作</w:t>
            </w:r>
            <w:r>
              <w:rPr>
                <w:rFonts w:ascii="宋体" w:hAnsi="宋体" w:cs="宋体" w:eastAsia="宋体" w:hint="default"/>
                <w:sz w:val="18"/>
                <w:szCs w:val="18"/>
              </w:rPr>
              <w:t> 承诺</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66" w:lineRule="auto" w:before="113"/>
              <w:ind w:left="105" w:right="14"/>
              <w:jc w:val="left"/>
              <w:rPr>
                <w:rFonts w:ascii="宋体" w:hAnsi="宋体" w:cs="宋体" w:eastAsia="宋体" w:hint="default"/>
                <w:sz w:val="18"/>
                <w:szCs w:val="18"/>
              </w:rPr>
            </w:pPr>
            <w:r>
              <w:rPr>
                <w:rFonts w:ascii="宋体" w:hAnsi="宋体" w:cs="宋体" w:eastAsia="宋体" w:hint="default"/>
                <w:spacing w:val="-22"/>
                <w:sz w:val="18"/>
                <w:szCs w:val="18"/>
              </w:rPr>
              <w:t>邹军、长</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实网络、 </w:t>
            </w:r>
            <w:r>
              <w:rPr>
                <w:rFonts w:ascii="宋体" w:hAnsi="宋体" w:cs="宋体" w:eastAsia="宋体" w:hint="default"/>
                <w:spacing w:val="32"/>
                <w:sz w:val="18"/>
                <w:szCs w:val="18"/>
              </w:rPr>
              <w:t>孝昌恒</w:t>
            </w:r>
            <w:r>
              <w:rPr>
                <w:rFonts w:ascii="宋体" w:hAnsi="宋体" w:cs="宋体" w:eastAsia="宋体" w:hint="default"/>
                <w:spacing w:val="-42"/>
                <w:sz w:val="18"/>
                <w:szCs w:val="18"/>
              </w:rPr>
              <w:t> </w:t>
            </w:r>
            <w:r>
              <w:rPr>
                <w:rFonts w:ascii="宋体" w:hAnsi="宋体" w:cs="宋体" w:eastAsia="宋体" w:hint="default"/>
                <w:spacing w:val="-22"/>
                <w:sz w:val="18"/>
                <w:szCs w:val="18"/>
              </w:rPr>
              <w:t>隆、长实</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22"/>
                <w:sz w:val="18"/>
                <w:szCs w:val="18"/>
              </w:rPr>
              <w:t>锦轩、张</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22"/>
                <w:sz w:val="18"/>
                <w:szCs w:val="18"/>
              </w:rPr>
              <w:t>文、李强</w:t>
            </w:r>
          </w:p>
        </w:tc>
        <w:tc>
          <w:tcPr>
            <w:tcW w:w="354"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0"/>
                <w:szCs w:val="20"/>
              </w:rPr>
            </w:pPr>
          </w:p>
          <w:p>
            <w:pPr>
              <w:pStyle w:val="TableParagraph"/>
              <w:spacing w:line="266" w:lineRule="auto"/>
              <w:ind w:left="103" w:right="65"/>
              <w:jc w:val="both"/>
              <w:rPr>
                <w:rFonts w:ascii="宋体" w:hAnsi="宋体" w:cs="宋体" w:eastAsia="宋体" w:hint="default"/>
                <w:sz w:val="18"/>
                <w:szCs w:val="18"/>
              </w:rPr>
            </w:pPr>
            <w:r>
              <w:rPr>
                <w:rFonts w:ascii="宋体" w:hAnsi="宋体" w:cs="宋体" w:eastAsia="宋体" w:hint="default"/>
                <w:sz w:val="18"/>
                <w:szCs w:val="18"/>
              </w:rPr>
              <w:t>无 定 限</w:t>
            </w:r>
          </w:p>
        </w:tc>
        <w:tc>
          <w:tcPr>
            <w:tcW w:w="354"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0"/>
                <w:szCs w:val="20"/>
              </w:rPr>
            </w:pPr>
          </w:p>
          <w:p>
            <w:pPr>
              <w:pStyle w:val="TableParagraph"/>
              <w:spacing w:line="264" w:lineRule="auto"/>
              <w:ind w:left="66" w:right="101"/>
              <w:jc w:val="left"/>
              <w:rPr>
                <w:rFonts w:ascii="宋体" w:hAnsi="宋体" w:cs="宋体" w:eastAsia="宋体" w:hint="default"/>
                <w:sz w:val="18"/>
                <w:szCs w:val="18"/>
              </w:rPr>
            </w:pPr>
            <w:r>
              <w:rPr>
                <w:rFonts w:ascii="宋体" w:hAnsi="宋体" w:cs="宋体" w:eastAsia="宋体" w:hint="default"/>
                <w:sz w:val="18"/>
                <w:szCs w:val="18"/>
              </w:rPr>
              <w:t>固 期</w:t>
            </w: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许可失效的情形。</w:t>
            </w:r>
          </w:p>
          <w:p>
            <w:pPr>
              <w:pStyle w:val="TableParagraph"/>
              <w:spacing w:line="259" w:lineRule="auto" w:before="26"/>
              <w:ind w:left="105" w:right="8"/>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2</w:t>
            </w:r>
            <w:r>
              <w:rPr>
                <w:rFonts w:ascii="宋体" w:hAnsi="宋体" w:cs="宋体" w:eastAsia="宋体" w:hint="default"/>
                <w:spacing w:val="-1"/>
                <w:sz w:val="18"/>
                <w:szCs w:val="18"/>
              </w:rPr>
              <w:t>、长实通信在最近三年的生产经营中不存在重大违法违规行为，</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长实通信不存在有关法律、法规、规范性文件和公司章程规定的</w:t>
            </w:r>
            <w:r>
              <w:rPr>
                <w:rFonts w:ascii="宋体" w:hAnsi="宋体" w:cs="宋体" w:eastAsia="宋体" w:hint="default"/>
                <w:sz w:val="18"/>
                <w:szCs w:val="18"/>
              </w:rPr>
              <w:t> 应终止的情形。截至本承诺出具日，长实通信不存在尚未了结或 可以预见的重大诉讼、仲裁及行政处罚。 </w:t>
            </w: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、长实通信将继续独立、完整地履行其与员工的劳动合同，不</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因本次交易产生人员转移问题。如未来因长实通信劳务采购事宜</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left="105" w:right="0"/>
              <w:jc w:val="left"/>
              <w:rPr>
                <w:rFonts w:ascii="Times New Roman" w:hAnsi="Times New Roman" w:cs="Times New Roman" w:eastAsia="Times New Roman" w:hint="default"/>
                <w:sz w:val="18"/>
                <w:szCs w:val="18"/>
              </w:rPr>
            </w:pPr>
            <w:r>
              <w:rPr>
                <w:rFonts w:ascii="Times New Roman"/>
                <w:sz w:val="18"/>
              </w:rPr>
              <w:t>2015</w:t>
            </w:r>
          </w:p>
          <w:p>
            <w:pPr>
              <w:pStyle w:val="TableParagraph"/>
              <w:spacing w:line="240" w:lineRule="auto" w:before="10"/>
              <w:ind w:left="10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p>
          <w:p>
            <w:pPr>
              <w:pStyle w:val="TableParagraph"/>
              <w:spacing w:line="240" w:lineRule="auto" w:before="10"/>
              <w:ind w:left="10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w:t>
            </w:r>
          </w:p>
          <w:p>
            <w:pPr>
              <w:pStyle w:val="TableParagraph"/>
              <w:spacing w:line="240" w:lineRule="auto" w:before="13"/>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left="168"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22"/>
                <w:szCs w:val="22"/>
              </w:rPr>
            </w:pPr>
          </w:p>
          <w:p>
            <w:pPr>
              <w:pStyle w:val="TableParagraph"/>
              <w:spacing w:line="240" w:lineRule="auto"/>
              <w:ind w:left="131" w:right="0"/>
              <w:jc w:val="left"/>
              <w:rPr>
                <w:rFonts w:ascii="宋体" w:hAnsi="宋体" w:cs="宋体" w:eastAsia="宋体" w:hint="default"/>
                <w:sz w:val="18"/>
                <w:szCs w:val="18"/>
              </w:rPr>
            </w:pPr>
            <w:r>
              <w:rPr>
                <w:rFonts w:ascii="宋体" w:hAnsi="宋体" w:cs="宋体" w:eastAsia="宋体" w:hint="default"/>
                <w:sz w:val="18"/>
                <w:szCs w:val="18"/>
              </w:rPr>
              <w:t>正常履行</w:t>
            </w: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105" w:right="0"/>
              <w:jc w:val="left"/>
              <w:rPr>
                <w:rFonts w:ascii="宋体" w:hAnsi="宋体" w:cs="宋体" w:eastAsia="宋体" w:hint="default"/>
                <w:sz w:val="18"/>
                <w:szCs w:val="18"/>
              </w:rPr>
            </w:pPr>
            <w:r>
              <w:rPr>
                <w:rFonts w:ascii="宋体" w:hAnsi="宋体" w:cs="宋体" w:eastAsia="宋体" w:hint="default"/>
                <w:sz w:val="18"/>
                <w:szCs w:val="18"/>
              </w:rPr>
              <w:t>导致长实通信或茂业通信需承担赔偿、补偿或其他法律责任及费</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259"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用，承诺方将无条件承担全部责任及费用，并赔偿因此给长实通</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信及茂业通信造成的全部损失。</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26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354" w:type="dxa"/>
            <w:tcBorders>
              <w:top w:val="nil" w:sz="6" w:space="0" w:color="auto"/>
              <w:left w:val="single" w:sz="4" w:space="0" w:color="000000"/>
              <w:bottom w:val="nil" w:sz="6" w:space="0" w:color="auto"/>
              <w:right w:val="nil" w:sz="6" w:space="0" w:color="auto"/>
            </w:tcBorders>
          </w:tcPr>
          <w:p>
            <w:pPr/>
          </w:p>
        </w:tc>
        <w:tc>
          <w:tcPr>
            <w:tcW w:w="354" w:type="dxa"/>
            <w:tcBorders>
              <w:top w:val="nil" w:sz="6" w:space="0" w:color="auto"/>
              <w:left w:val="nil" w:sz="6" w:space="0" w:color="auto"/>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105" w:right="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4</w:t>
            </w:r>
            <w:r>
              <w:rPr>
                <w:rFonts w:ascii="宋体" w:hAnsi="宋体" w:cs="宋体" w:eastAsia="宋体" w:hint="default"/>
                <w:spacing w:val="2"/>
                <w:sz w:val="18"/>
                <w:szCs w:val="18"/>
              </w:rPr>
              <w:t>、如果长实通信因为本次交易前已存在的事实导致其在工商、</w:t>
            </w:r>
            <w:r>
              <w:rPr>
                <w:rFonts w:ascii="宋体" w:hAnsi="宋体" w:cs="宋体" w:eastAsia="宋体" w:hint="default"/>
                <w:sz w:val="18"/>
                <w:szCs w:val="18"/>
              </w:rPr>
            </w:r>
          </w:p>
        </w:tc>
        <w:tc>
          <w:tcPr>
            <w:tcW w:w="71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245" w:hRule="exact"/>
        </w:trPr>
        <w:tc>
          <w:tcPr>
            <w:tcW w:w="708" w:type="dxa"/>
            <w:tcBorders>
              <w:top w:val="nil" w:sz="6" w:space="0" w:color="auto"/>
              <w:left w:val="single" w:sz="4" w:space="0" w:color="000000"/>
              <w:bottom w:val="single" w:sz="4" w:space="0" w:color="000000"/>
              <w:right w:val="single" w:sz="4" w:space="0" w:color="000000"/>
            </w:tcBorders>
          </w:tcPr>
          <w:p>
            <w:pPr/>
          </w:p>
        </w:tc>
        <w:tc>
          <w:tcPr>
            <w:tcW w:w="852" w:type="dxa"/>
            <w:tcBorders>
              <w:top w:val="nil" w:sz="6" w:space="0" w:color="auto"/>
              <w:left w:val="single" w:sz="4" w:space="0" w:color="000000"/>
              <w:bottom w:val="single" w:sz="4" w:space="0" w:color="000000"/>
              <w:right w:val="single" w:sz="4" w:space="0" w:color="000000"/>
            </w:tcBorders>
          </w:tcPr>
          <w:p>
            <w:pPr/>
          </w:p>
        </w:tc>
        <w:tc>
          <w:tcPr>
            <w:tcW w:w="354" w:type="dxa"/>
            <w:tcBorders>
              <w:top w:val="nil" w:sz="6" w:space="0" w:color="auto"/>
              <w:left w:val="single" w:sz="4" w:space="0" w:color="000000"/>
              <w:bottom w:val="single" w:sz="4" w:space="0" w:color="000000"/>
              <w:right w:val="nil" w:sz="6" w:space="0" w:color="auto"/>
            </w:tcBorders>
          </w:tcPr>
          <w:p>
            <w:pPr/>
          </w:p>
        </w:tc>
        <w:tc>
          <w:tcPr>
            <w:tcW w:w="354" w:type="dxa"/>
            <w:tcBorders>
              <w:top w:val="nil" w:sz="6" w:space="0" w:color="auto"/>
              <w:left w:val="nil" w:sz="6" w:space="0" w:color="auto"/>
              <w:bottom w:val="single" w:sz="4" w:space="0" w:color="000000"/>
              <w:right w:val="single" w:sz="4" w:space="0" w:color="000000"/>
            </w:tcBorders>
          </w:tcPr>
          <w:p>
            <w:pPr/>
          </w:p>
        </w:tc>
        <w:tc>
          <w:tcPr>
            <w:tcW w:w="5245" w:type="dxa"/>
            <w:tcBorders>
              <w:top w:val="nil" w:sz="6" w:space="0" w:color="auto"/>
              <w:left w:val="single" w:sz="4" w:space="0" w:color="000000"/>
              <w:bottom w:val="single" w:sz="4" w:space="0" w:color="000000"/>
              <w:right w:val="single" w:sz="4" w:space="0" w:color="000000"/>
            </w:tcBorders>
          </w:tcPr>
          <w:p>
            <w:pPr>
              <w:pStyle w:val="TableParagraph"/>
              <w:spacing w:line="215" w:lineRule="exact"/>
              <w:ind w:left="105" w:right="0"/>
              <w:jc w:val="left"/>
              <w:rPr>
                <w:rFonts w:ascii="宋体" w:hAnsi="宋体" w:cs="宋体" w:eastAsia="宋体" w:hint="default"/>
                <w:sz w:val="18"/>
                <w:szCs w:val="18"/>
              </w:rPr>
            </w:pPr>
            <w:r>
              <w:rPr>
                <w:rFonts w:ascii="宋体" w:hAnsi="宋体" w:cs="宋体" w:eastAsia="宋体" w:hint="default"/>
                <w:sz w:val="18"/>
                <w:szCs w:val="18"/>
              </w:rPr>
              <w:t>税务、员工工资、社保、住房公积金、经营资质或行业主管方面</w:t>
            </w:r>
          </w:p>
        </w:tc>
        <w:tc>
          <w:tcPr>
            <w:tcW w:w="710" w:type="dxa"/>
            <w:tcBorders>
              <w:top w:val="nil" w:sz="6" w:space="0" w:color="auto"/>
              <w:left w:val="single" w:sz="4" w:space="0" w:color="000000"/>
              <w:bottom w:val="single" w:sz="4" w:space="0" w:color="000000"/>
              <w:right w:val="single" w:sz="4" w:space="0" w:color="000000"/>
            </w:tcBorders>
          </w:tcPr>
          <w:p>
            <w:pPr/>
          </w:p>
        </w:tc>
        <w:tc>
          <w:tcPr>
            <w:tcW w:w="709" w:type="dxa"/>
            <w:tcBorders>
              <w:top w:val="nil" w:sz="6" w:space="0" w:color="auto"/>
              <w:left w:val="single" w:sz="4" w:space="0" w:color="000000"/>
              <w:bottom w:val="single" w:sz="4" w:space="0" w:color="000000"/>
              <w:right w:val="single" w:sz="4" w:space="0" w:color="000000"/>
            </w:tcBorders>
          </w:tcPr>
          <w:p>
            <w:pPr/>
          </w:p>
        </w:tc>
        <w:tc>
          <w:tcPr>
            <w:tcW w:w="991" w:type="dxa"/>
            <w:tcBorders>
              <w:top w:val="nil" w:sz="6" w:space="0" w:color="auto"/>
              <w:left w:val="single" w:sz="4" w:space="0" w:color="000000"/>
              <w:bottom w:val="single" w:sz="4" w:space="0" w:color="000000"/>
              <w:right w:val="single" w:sz="4" w:space="0" w:color="000000"/>
            </w:tcBorders>
          </w:tcPr>
          <w:p>
            <w:pPr/>
          </w:p>
        </w:tc>
      </w:tr>
    </w:tbl>
    <w:p>
      <w:pPr>
        <w:spacing w:after="0"/>
        <w:sectPr>
          <w:pgSz w:w="11910" w:h="16840"/>
          <w:pgMar w:header="880" w:footer="975" w:top="1100" w:bottom="1160" w:left="880" w:right="0"/>
        </w:sectPr>
      </w:pPr>
    </w:p>
    <w:p>
      <w:pPr>
        <w:spacing w:line="240" w:lineRule="auto" w:before="8"/>
        <w:rPr>
          <w:rFonts w:ascii="宋体" w:hAnsi="宋体" w:cs="宋体" w:eastAsia="宋体" w:hint="default"/>
          <w:sz w:val="24"/>
          <w:szCs w:val="24"/>
        </w:rPr>
      </w:pPr>
    </w:p>
    <w:tbl>
      <w:tblPr>
        <w:tblW w:w="0" w:type="auto"/>
        <w:jc w:val="left"/>
        <w:tblInd w:w="106" w:type="dxa"/>
        <w:tblLayout w:type="fixed"/>
        <w:tblCellMar>
          <w:top w:w="0" w:type="dxa"/>
          <w:left w:w="0" w:type="dxa"/>
          <w:bottom w:w="0" w:type="dxa"/>
          <w:right w:w="0" w:type="dxa"/>
        </w:tblCellMar>
        <w:tblLook w:val="01E0"/>
      </w:tblPr>
      <w:tblGrid>
        <w:gridCol w:w="708"/>
        <w:gridCol w:w="852"/>
        <w:gridCol w:w="708"/>
        <w:gridCol w:w="5245"/>
        <w:gridCol w:w="710"/>
        <w:gridCol w:w="709"/>
        <w:gridCol w:w="991"/>
      </w:tblGrid>
      <w:tr>
        <w:trPr>
          <w:trHeight w:val="280" w:hRule="exact"/>
        </w:trPr>
        <w:tc>
          <w:tcPr>
            <w:tcW w:w="708" w:type="dxa"/>
            <w:vMerge w:val="restart"/>
            <w:tcBorders>
              <w:top w:val="single" w:sz="4" w:space="0" w:color="000000"/>
              <w:left w:val="single" w:sz="4" w:space="0" w:color="000000"/>
              <w:right w:val="single" w:sz="4" w:space="0" w:color="000000"/>
            </w:tcBorders>
          </w:tcPr>
          <w:p>
            <w:pPr/>
          </w:p>
        </w:tc>
        <w:tc>
          <w:tcPr>
            <w:tcW w:w="852" w:type="dxa"/>
            <w:vMerge w:val="restart"/>
            <w:tcBorders>
              <w:top w:val="single" w:sz="4" w:space="0" w:color="000000"/>
              <w:left w:val="single" w:sz="4" w:space="0" w:color="000000"/>
              <w:right w:val="single" w:sz="4" w:space="0" w:color="000000"/>
            </w:tcBorders>
          </w:tcPr>
          <w:p>
            <w:pPr/>
          </w:p>
        </w:tc>
        <w:tc>
          <w:tcPr>
            <w:tcW w:w="708" w:type="dxa"/>
            <w:vMerge w:val="restart"/>
            <w:tcBorders>
              <w:top w:val="single" w:sz="4" w:space="0" w:color="000000"/>
              <w:left w:val="single" w:sz="4" w:space="0" w:color="000000"/>
              <w:right w:val="single" w:sz="4" w:space="0" w:color="000000"/>
            </w:tcBorders>
          </w:tcPr>
          <w:p>
            <w:pPr/>
          </w:p>
        </w:tc>
        <w:tc>
          <w:tcPr>
            <w:tcW w:w="5245" w:type="dxa"/>
            <w:tcBorders>
              <w:top w:val="single" w:sz="4" w:space="0" w:color="000000"/>
              <w:left w:val="single" w:sz="4" w:space="0" w:color="000000"/>
              <w:bottom w:val="nil" w:sz="6" w:space="0" w:color="auto"/>
              <w:right w:val="single" w:sz="4" w:space="0" w:color="000000"/>
            </w:tcBorders>
          </w:tcPr>
          <w:p>
            <w:pPr>
              <w:pStyle w:val="TableParagraph"/>
              <w:spacing w:line="234" w:lineRule="exact"/>
              <w:ind w:left="105" w:right="0"/>
              <w:jc w:val="left"/>
              <w:rPr>
                <w:rFonts w:ascii="宋体" w:hAnsi="宋体" w:cs="宋体" w:eastAsia="宋体" w:hint="default"/>
                <w:sz w:val="18"/>
                <w:szCs w:val="18"/>
              </w:rPr>
            </w:pPr>
            <w:r>
              <w:rPr>
                <w:rFonts w:ascii="宋体" w:hAnsi="宋体" w:cs="宋体" w:eastAsia="宋体" w:hint="default"/>
                <w:sz w:val="18"/>
                <w:szCs w:val="18"/>
              </w:rPr>
              <w:t>受到相关主管单位追缴费用或处罚的，承诺方将向长实通信全额</w:t>
            </w:r>
          </w:p>
        </w:tc>
        <w:tc>
          <w:tcPr>
            <w:tcW w:w="710" w:type="dxa"/>
            <w:vMerge w:val="restart"/>
            <w:tcBorders>
              <w:top w:val="single" w:sz="4" w:space="0" w:color="000000"/>
              <w:left w:val="single" w:sz="4" w:space="0" w:color="000000"/>
              <w:right w:val="single" w:sz="4" w:space="0" w:color="000000"/>
            </w:tcBorders>
          </w:tcPr>
          <w:p>
            <w:pPr/>
          </w:p>
        </w:tc>
        <w:tc>
          <w:tcPr>
            <w:tcW w:w="709" w:type="dxa"/>
            <w:vMerge w:val="restart"/>
            <w:tcBorders>
              <w:top w:val="single" w:sz="4" w:space="0" w:color="000000"/>
              <w:left w:val="single" w:sz="4" w:space="0" w:color="000000"/>
              <w:right w:val="single" w:sz="4" w:space="0" w:color="000000"/>
            </w:tcBorders>
          </w:tcPr>
          <w:p>
            <w:pPr/>
          </w:p>
        </w:tc>
        <w:tc>
          <w:tcPr>
            <w:tcW w:w="991" w:type="dxa"/>
            <w:vMerge w:val="restart"/>
            <w:tcBorders>
              <w:top w:val="single" w:sz="4" w:space="0" w:color="000000"/>
              <w:left w:val="single" w:sz="4" w:space="0" w:color="000000"/>
              <w:right w:val="single" w:sz="4" w:space="0" w:color="000000"/>
            </w:tcBorders>
          </w:tcPr>
          <w:p>
            <w:pPr/>
          </w:p>
        </w:tc>
      </w:tr>
      <w:tr>
        <w:trPr>
          <w:trHeight w:val="261"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105" w:right="0"/>
              <w:jc w:val="left"/>
              <w:rPr>
                <w:rFonts w:ascii="宋体" w:hAnsi="宋体" w:cs="宋体" w:eastAsia="宋体" w:hint="default"/>
                <w:sz w:val="18"/>
                <w:szCs w:val="18"/>
              </w:rPr>
            </w:pPr>
            <w:r>
              <w:rPr>
                <w:rFonts w:ascii="宋体" w:hAnsi="宋体" w:cs="宋体" w:eastAsia="宋体" w:hint="default"/>
                <w:spacing w:val="5"/>
                <w:sz w:val="18"/>
                <w:szCs w:val="18"/>
              </w:rPr>
              <w:t>补偿长实通信所有欠缴费用并承担茂业通信及长实通信因此遭</w:t>
            </w:r>
          </w:p>
        </w:tc>
        <w:tc>
          <w:tcPr>
            <w:tcW w:w="710" w:type="dxa"/>
            <w:vMerge/>
            <w:tcBorders>
              <w:left w:val="single" w:sz="4" w:space="0" w:color="000000"/>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59"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受的一切损失。</w:t>
            </w:r>
          </w:p>
        </w:tc>
        <w:tc>
          <w:tcPr>
            <w:tcW w:w="710" w:type="dxa"/>
            <w:vMerge/>
            <w:tcBorders>
              <w:left w:val="single" w:sz="4" w:space="0" w:color="000000"/>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65"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、如果长实通信及其分、子公司如发生因租赁房屋的权属问题，</w:t>
            </w:r>
          </w:p>
        </w:tc>
        <w:tc>
          <w:tcPr>
            <w:tcW w:w="710" w:type="dxa"/>
            <w:vMerge/>
            <w:tcBorders>
              <w:left w:val="single" w:sz="4" w:space="0" w:color="000000"/>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55"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6" w:lineRule="exact"/>
              <w:ind w:left="105" w:right="0"/>
              <w:jc w:val="left"/>
              <w:rPr>
                <w:rFonts w:ascii="宋体" w:hAnsi="宋体" w:cs="宋体" w:eastAsia="宋体" w:hint="default"/>
                <w:sz w:val="18"/>
                <w:szCs w:val="18"/>
              </w:rPr>
            </w:pPr>
            <w:r>
              <w:rPr>
                <w:rFonts w:ascii="宋体" w:hAnsi="宋体" w:cs="宋体" w:eastAsia="宋体" w:hint="default"/>
                <w:sz w:val="18"/>
                <w:szCs w:val="18"/>
              </w:rPr>
              <w:t>在租赁期内无法继续使用租赁房屋的，承诺方将负责及时落实租</w:t>
            </w:r>
          </w:p>
        </w:tc>
        <w:tc>
          <w:tcPr>
            <w:tcW w:w="710" w:type="dxa"/>
            <w:vMerge/>
            <w:tcBorders>
              <w:left w:val="single" w:sz="4" w:space="0" w:color="000000"/>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59"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赁房源并承担一切损失（包括但不限于重新租赁房产而产生的搬</w:t>
            </w:r>
          </w:p>
        </w:tc>
        <w:tc>
          <w:tcPr>
            <w:tcW w:w="710" w:type="dxa"/>
            <w:vMerge/>
            <w:tcBorders>
              <w:left w:val="single" w:sz="4" w:space="0" w:color="000000"/>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60"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迁费用、租赁费用以及因此导致长实通信及其分、子公司生产经</w:t>
            </w:r>
          </w:p>
        </w:tc>
        <w:tc>
          <w:tcPr>
            <w:tcW w:w="710" w:type="dxa"/>
            <w:vMerge/>
            <w:tcBorders>
              <w:left w:val="single" w:sz="4" w:space="0" w:color="000000"/>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60"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105" w:right="0"/>
              <w:jc w:val="left"/>
              <w:rPr>
                <w:rFonts w:ascii="宋体" w:hAnsi="宋体" w:cs="宋体" w:eastAsia="宋体" w:hint="default"/>
                <w:sz w:val="18"/>
                <w:szCs w:val="18"/>
              </w:rPr>
            </w:pPr>
            <w:r>
              <w:rPr>
                <w:rFonts w:ascii="宋体" w:hAnsi="宋体" w:cs="宋体" w:eastAsia="宋体" w:hint="default"/>
                <w:sz w:val="18"/>
                <w:szCs w:val="18"/>
              </w:rPr>
              <w:t>营中止或停止而造成的损失</w:t>
            </w:r>
            <w:r>
              <w:rPr>
                <w:rFonts w:ascii="宋体" w:hAnsi="宋体" w:cs="宋体" w:eastAsia="宋体" w:hint="default"/>
                <w:spacing w:val="-92"/>
                <w:sz w:val="18"/>
                <w:szCs w:val="18"/>
              </w:rPr>
              <w:t>）</w:t>
            </w:r>
            <w:r>
              <w:rPr>
                <w:rFonts w:ascii="宋体" w:hAnsi="宋体" w:cs="宋体" w:eastAsia="宋体" w:hint="default"/>
                <w:sz w:val="18"/>
                <w:szCs w:val="18"/>
              </w:rPr>
              <w:t>。</w:t>
            </w:r>
          </w:p>
        </w:tc>
        <w:tc>
          <w:tcPr>
            <w:tcW w:w="710" w:type="dxa"/>
            <w:vMerge/>
            <w:tcBorders>
              <w:left w:val="single" w:sz="4" w:space="0" w:color="000000"/>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64"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105" w:right="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6</w:t>
            </w:r>
            <w:r>
              <w:rPr>
                <w:rFonts w:ascii="宋体" w:hAnsi="宋体" w:cs="宋体" w:eastAsia="宋体" w:hint="default"/>
                <w:spacing w:val="2"/>
                <w:sz w:val="18"/>
                <w:szCs w:val="18"/>
              </w:rPr>
              <w:t>、长实通信对其商标、专利、软件著作权享有独家所有权，不</w:t>
            </w:r>
            <w:r>
              <w:rPr>
                <w:rFonts w:ascii="宋体" w:hAnsi="宋体" w:cs="宋体" w:eastAsia="宋体" w:hint="default"/>
                <w:sz w:val="18"/>
                <w:szCs w:val="18"/>
              </w:rPr>
            </w:r>
          </w:p>
        </w:tc>
        <w:tc>
          <w:tcPr>
            <w:tcW w:w="710" w:type="dxa"/>
            <w:vMerge/>
            <w:tcBorders>
              <w:left w:val="single" w:sz="4" w:space="0" w:color="000000"/>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55"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105" w:right="0"/>
              <w:jc w:val="left"/>
              <w:rPr>
                <w:rFonts w:ascii="宋体" w:hAnsi="宋体" w:cs="宋体" w:eastAsia="宋体" w:hint="default"/>
                <w:sz w:val="18"/>
                <w:szCs w:val="18"/>
              </w:rPr>
            </w:pPr>
            <w:r>
              <w:rPr>
                <w:rFonts w:ascii="宋体" w:hAnsi="宋体" w:cs="宋体" w:eastAsia="宋体" w:hint="default"/>
                <w:sz w:val="18"/>
                <w:szCs w:val="18"/>
              </w:rPr>
              <w:t>存在许可他人使用的情况，亦不存在权属纠纷或潜在权属纠纷。</w:t>
            </w:r>
          </w:p>
        </w:tc>
        <w:tc>
          <w:tcPr>
            <w:tcW w:w="710" w:type="dxa"/>
            <w:vMerge/>
            <w:tcBorders>
              <w:left w:val="single" w:sz="4" w:space="0" w:color="000000"/>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65"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1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、长实通信合法拥有保证正常生产经营所需的办公设备、商标、</w:t>
            </w:r>
          </w:p>
        </w:tc>
        <w:tc>
          <w:tcPr>
            <w:tcW w:w="710" w:type="dxa"/>
            <w:vMerge/>
            <w:tcBorders>
              <w:left w:val="single" w:sz="4" w:space="0" w:color="000000"/>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54"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105" w:right="0"/>
              <w:jc w:val="left"/>
              <w:rPr>
                <w:rFonts w:ascii="宋体" w:hAnsi="宋体" w:cs="宋体" w:eastAsia="宋体" w:hint="default"/>
                <w:sz w:val="18"/>
                <w:szCs w:val="18"/>
              </w:rPr>
            </w:pPr>
            <w:r>
              <w:rPr>
                <w:rFonts w:ascii="宋体" w:hAnsi="宋体" w:cs="宋体" w:eastAsia="宋体" w:hint="default"/>
                <w:sz w:val="18"/>
                <w:szCs w:val="18"/>
              </w:rPr>
              <w:t>专利、软件著作权等资产的所有权和使用权，具有独立和完整的</w:t>
            </w:r>
          </w:p>
        </w:tc>
        <w:tc>
          <w:tcPr>
            <w:tcW w:w="710" w:type="dxa"/>
            <w:vMerge/>
            <w:tcBorders>
              <w:left w:val="single" w:sz="4" w:space="0" w:color="000000"/>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60"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资产及业务结构，对其主要资产拥有合法的所有权，资产权属清</w:t>
            </w:r>
          </w:p>
        </w:tc>
        <w:tc>
          <w:tcPr>
            <w:tcW w:w="710" w:type="dxa"/>
            <w:vMerge/>
            <w:tcBorders>
              <w:left w:val="single" w:sz="4" w:space="0" w:color="000000"/>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60"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105" w:right="0"/>
              <w:jc w:val="left"/>
              <w:rPr>
                <w:rFonts w:ascii="宋体" w:hAnsi="宋体" w:cs="宋体" w:eastAsia="宋体" w:hint="default"/>
                <w:sz w:val="18"/>
                <w:szCs w:val="18"/>
              </w:rPr>
            </w:pPr>
            <w:r>
              <w:rPr>
                <w:rFonts w:ascii="宋体" w:hAnsi="宋体" w:cs="宋体" w:eastAsia="宋体" w:hint="default"/>
                <w:sz w:val="18"/>
                <w:szCs w:val="18"/>
              </w:rPr>
              <w:t>晰，不存在股东非经营性占用资金的情形。</w:t>
            </w:r>
          </w:p>
        </w:tc>
        <w:tc>
          <w:tcPr>
            <w:tcW w:w="710" w:type="dxa"/>
            <w:vMerge/>
            <w:tcBorders>
              <w:left w:val="single" w:sz="4" w:space="0" w:color="000000"/>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64"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105" w:right="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8</w:t>
            </w:r>
            <w:r>
              <w:rPr>
                <w:rFonts w:ascii="宋体" w:hAnsi="宋体" w:cs="宋体" w:eastAsia="宋体" w:hint="default"/>
                <w:spacing w:val="2"/>
                <w:sz w:val="18"/>
                <w:szCs w:val="18"/>
              </w:rPr>
              <w:t>、长实通信不存在诉讼、仲裁、司法强制执行或其他妨碍公司</w:t>
            </w:r>
          </w:p>
        </w:tc>
        <w:tc>
          <w:tcPr>
            <w:tcW w:w="710" w:type="dxa"/>
            <w:vMerge/>
            <w:tcBorders>
              <w:left w:val="single" w:sz="4" w:space="0" w:color="000000"/>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56"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105" w:right="0"/>
              <w:jc w:val="left"/>
              <w:rPr>
                <w:rFonts w:ascii="宋体" w:hAnsi="宋体" w:cs="宋体" w:eastAsia="宋体" w:hint="default"/>
                <w:sz w:val="18"/>
                <w:szCs w:val="18"/>
              </w:rPr>
            </w:pPr>
            <w:r>
              <w:rPr>
                <w:rFonts w:ascii="宋体" w:hAnsi="宋体" w:cs="宋体" w:eastAsia="宋体" w:hint="default"/>
                <w:spacing w:val="2"/>
                <w:sz w:val="18"/>
                <w:szCs w:val="18"/>
              </w:rPr>
              <w:t>权属转移的情</w:t>
            </w:r>
            <w:r>
              <w:rPr>
                <w:rFonts w:ascii="宋体" w:hAnsi="宋体" w:cs="宋体" w:eastAsia="宋体" w:hint="default"/>
                <w:spacing w:val="4"/>
                <w:sz w:val="18"/>
                <w:szCs w:val="18"/>
              </w:rPr>
              <w:t>况</w:t>
            </w:r>
            <w:r>
              <w:rPr>
                <w:rFonts w:ascii="宋体" w:hAnsi="宋体" w:cs="宋体" w:eastAsia="宋体" w:hint="default"/>
                <w:spacing w:val="2"/>
                <w:sz w:val="18"/>
                <w:szCs w:val="18"/>
              </w:rPr>
              <w:t>，未发</w:t>
            </w:r>
            <w:r>
              <w:rPr>
                <w:rFonts w:ascii="宋体" w:hAnsi="宋体" w:cs="宋体" w:eastAsia="宋体" w:hint="default"/>
                <w:spacing w:val="4"/>
                <w:sz w:val="18"/>
                <w:szCs w:val="18"/>
              </w:rPr>
              <w:t>生</w:t>
            </w:r>
            <w:r>
              <w:rPr>
                <w:rFonts w:ascii="宋体" w:hAnsi="宋体" w:cs="宋体" w:eastAsia="宋体" w:hint="default"/>
                <w:spacing w:val="2"/>
                <w:sz w:val="18"/>
                <w:szCs w:val="18"/>
              </w:rPr>
              <w:t>违</w:t>
            </w:r>
            <w:r>
              <w:rPr>
                <w:rFonts w:ascii="宋体" w:hAnsi="宋体" w:cs="宋体" w:eastAsia="宋体" w:hint="default"/>
                <w:spacing w:val="4"/>
                <w:sz w:val="18"/>
                <w:szCs w:val="18"/>
              </w:rPr>
              <w:t>反</w:t>
            </w:r>
            <w:r>
              <w:rPr>
                <w:rFonts w:ascii="宋体" w:hAnsi="宋体" w:cs="宋体" w:eastAsia="宋体" w:hint="default"/>
                <w:spacing w:val="2"/>
                <w:sz w:val="18"/>
                <w:szCs w:val="18"/>
              </w:rPr>
              <w:t>法律</w:t>
            </w:r>
            <w:r>
              <w:rPr>
                <w:rFonts w:ascii="宋体" w:hAnsi="宋体" w:cs="宋体" w:eastAsia="宋体" w:hint="default"/>
                <w:spacing w:val="-87"/>
                <w:sz w:val="18"/>
                <w:szCs w:val="18"/>
              </w:rPr>
              <w:t>、</w:t>
            </w:r>
            <w:r>
              <w:rPr>
                <w:rFonts w:ascii="宋体" w:hAnsi="宋体" w:cs="宋体" w:eastAsia="宋体" w:hint="default"/>
                <w:spacing w:val="2"/>
                <w:sz w:val="18"/>
                <w:szCs w:val="18"/>
              </w:rPr>
              <w:t>《公司章程</w:t>
            </w:r>
            <w:r>
              <w:rPr>
                <w:rFonts w:ascii="宋体" w:hAnsi="宋体" w:cs="宋体" w:eastAsia="宋体" w:hint="default"/>
                <w:spacing w:val="4"/>
                <w:sz w:val="18"/>
                <w:szCs w:val="18"/>
              </w:rPr>
              <w:t>》</w:t>
            </w:r>
            <w:r>
              <w:rPr>
                <w:rFonts w:ascii="宋体" w:hAnsi="宋体" w:cs="宋体" w:eastAsia="宋体" w:hint="default"/>
                <w:spacing w:val="2"/>
                <w:sz w:val="18"/>
                <w:szCs w:val="18"/>
              </w:rPr>
              <w:t>的对外</w:t>
            </w:r>
            <w:r>
              <w:rPr>
                <w:rFonts w:ascii="宋体" w:hAnsi="宋体" w:cs="宋体" w:eastAsia="宋体" w:hint="default"/>
                <w:spacing w:val="4"/>
                <w:sz w:val="18"/>
                <w:szCs w:val="18"/>
              </w:rPr>
              <w:t>担</w:t>
            </w:r>
            <w:r>
              <w:rPr>
                <w:rFonts w:ascii="宋体" w:hAnsi="宋体" w:cs="宋体" w:eastAsia="宋体" w:hint="default"/>
                <w:spacing w:val="2"/>
                <w:sz w:val="18"/>
                <w:szCs w:val="18"/>
              </w:rPr>
              <w:t>保</w:t>
            </w:r>
            <w:r>
              <w:rPr>
                <w:rFonts w:ascii="宋体" w:hAnsi="宋体" w:cs="宋体" w:eastAsia="宋体" w:hint="default"/>
                <w:sz w:val="18"/>
                <w:szCs w:val="18"/>
              </w:rPr>
              <w:t>。</w:t>
            </w:r>
          </w:p>
        </w:tc>
        <w:tc>
          <w:tcPr>
            <w:tcW w:w="710" w:type="dxa"/>
            <w:vMerge/>
            <w:tcBorders>
              <w:left w:val="single" w:sz="4" w:space="0" w:color="000000"/>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61"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105" w:right="0"/>
              <w:jc w:val="left"/>
              <w:rPr>
                <w:rFonts w:ascii="宋体" w:hAnsi="宋体" w:cs="宋体" w:eastAsia="宋体" w:hint="default"/>
                <w:sz w:val="18"/>
                <w:szCs w:val="18"/>
              </w:rPr>
            </w:pPr>
            <w:r>
              <w:rPr>
                <w:rFonts w:ascii="宋体" w:hAnsi="宋体" w:cs="宋体" w:eastAsia="宋体" w:hint="default"/>
                <w:sz w:val="18"/>
                <w:szCs w:val="18"/>
              </w:rPr>
              <w:t>若违反上述承诺，承诺方将承担因此而给茂业通信及长实通信造</w:t>
            </w:r>
          </w:p>
        </w:tc>
        <w:tc>
          <w:tcPr>
            <w:tcW w:w="710" w:type="dxa"/>
            <w:vMerge/>
            <w:tcBorders>
              <w:left w:val="single" w:sz="4" w:space="0" w:color="000000"/>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49" w:hRule="exact"/>
        </w:trPr>
        <w:tc>
          <w:tcPr>
            <w:tcW w:w="708" w:type="dxa"/>
            <w:vMerge/>
            <w:tcBorders>
              <w:left w:val="single" w:sz="4" w:space="0" w:color="000000"/>
              <w:bottom w:val="single" w:sz="4" w:space="0" w:color="000000"/>
              <w:right w:val="single" w:sz="4" w:space="0" w:color="000000"/>
            </w:tcBorders>
          </w:tcPr>
          <w:p>
            <w:pPr/>
          </w:p>
        </w:tc>
        <w:tc>
          <w:tcPr>
            <w:tcW w:w="852" w:type="dxa"/>
            <w:vMerge/>
            <w:tcBorders>
              <w:left w:val="single" w:sz="4" w:space="0" w:color="000000"/>
              <w:bottom w:val="single" w:sz="4" w:space="0" w:color="000000"/>
              <w:right w:val="single" w:sz="4" w:space="0" w:color="000000"/>
            </w:tcBorders>
          </w:tcPr>
          <w:p>
            <w:pPr/>
          </w:p>
        </w:tc>
        <w:tc>
          <w:tcPr>
            <w:tcW w:w="708" w:type="dxa"/>
            <w:vMerge/>
            <w:tcBorders>
              <w:left w:val="single" w:sz="4" w:space="0" w:color="000000"/>
              <w:bottom w:val="single" w:sz="4" w:space="0" w:color="000000"/>
              <w:right w:val="single" w:sz="4" w:space="0" w:color="000000"/>
            </w:tcBorders>
          </w:tcPr>
          <w:p>
            <w:pPr/>
          </w:p>
        </w:tc>
        <w:tc>
          <w:tcPr>
            <w:tcW w:w="5245" w:type="dxa"/>
            <w:tcBorders>
              <w:top w:val="nil" w:sz="6" w:space="0" w:color="auto"/>
              <w:left w:val="single" w:sz="4" w:space="0" w:color="000000"/>
              <w:bottom w:val="single" w:sz="4" w:space="0" w:color="000000"/>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成的一切经济损失，并同意相互承担连带责任。</w:t>
            </w:r>
          </w:p>
        </w:tc>
        <w:tc>
          <w:tcPr>
            <w:tcW w:w="710" w:type="dxa"/>
            <w:vMerge/>
            <w:tcBorders>
              <w:left w:val="single" w:sz="4" w:space="0" w:color="000000"/>
              <w:bottom w:val="single" w:sz="4" w:space="0" w:color="000000"/>
              <w:right w:val="single" w:sz="4" w:space="0" w:color="000000"/>
            </w:tcBorders>
          </w:tcPr>
          <w:p>
            <w:pPr/>
          </w:p>
        </w:tc>
        <w:tc>
          <w:tcPr>
            <w:tcW w:w="709" w:type="dxa"/>
            <w:vMerge/>
            <w:tcBorders>
              <w:left w:val="single" w:sz="4" w:space="0" w:color="000000"/>
              <w:bottom w:val="single" w:sz="4" w:space="0" w:color="000000"/>
              <w:right w:val="single" w:sz="4" w:space="0" w:color="000000"/>
            </w:tcBorders>
          </w:tcPr>
          <w:p>
            <w:pPr/>
          </w:p>
        </w:tc>
        <w:tc>
          <w:tcPr>
            <w:tcW w:w="991" w:type="dxa"/>
            <w:vMerge/>
            <w:tcBorders>
              <w:left w:val="single" w:sz="4" w:space="0" w:color="000000"/>
              <w:bottom w:val="single" w:sz="4" w:space="0" w:color="000000"/>
              <w:right w:val="single" w:sz="4" w:space="0" w:color="000000"/>
            </w:tcBorders>
          </w:tcPr>
          <w:p>
            <w:pPr/>
          </w:p>
        </w:tc>
      </w:tr>
      <w:tr>
        <w:trPr>
          <w:trHeight w:val="2162"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2015</w:t>
            </w:r>
          </w:p>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宋体" w:hAnsi="宋体" w:cs="宋体" w:eastAsia="宋体" w:hint="default"/>
                <w:sz w:val="18"/>
                <w:szCs w:val="18"/>
              </w:rPr>
              <w:t>重</w:t>
            </w:r>
          </w:p>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大</w:t>
            </w:r>
            <w:r>
              <w:rPr>
                <w:rFonts w:ascii="宋体" w:hAnsi="宋体" w:cs="宋体" w:eastAsia="宋体" w:hint="default"/>
                <w:spacing w:val="42"/>
                <w:sz w:val="18"/>
                <w:szCs w:val="18"/>
              </w:rPr>
              <w:t> </w:t>
            </w:r>
            <w:r>
              <w:rPr>
                <w:rFonts w:ascii="宋体" w:hAnsi="宋体" w:cs="宋体" w:eastAsia="宋体" w:hint="default"/>
                <w:sz w:val="18"/>
                <w:szCs w:val="18"/>
              </w:rPr>
              <w:t>资</w:t>
            </w:r>
          </w:p>
          <w:p>
            <w:pPr>
              <w:pStyle w:val="TableParagraph"/>
              <w:spacing w:line="240" w:lineRule="auto" w:before="26"/>
              <w:ind w:left="103" w:right="0"/>
              <w:jc w:val="left"/>
              <w:rPr>
                <w:rFonts w:ascii="宋体" w:hAnsi="宋体" w:cs="宋体" w:eastAsia="宋体" w:hint="default"/>
                <w:sz w:val="18"/>
                <w:szCs w:val="18"/>
              </w:rPr>
            </w:pPr>
            <w:r>
              <w:rPr>
                <w:rFonts w:ascii="宋体" w:hAnsi="宋体" w:cs="宋体" w:eastAsia="宋体" w:hint="default"/>
                <w:sz w:val="18"/>
                <w:szCs w:val="18"/>
              </w:rPr>
              <w:t>产</w:t>
            </w:r>
            <w:r>
              <w:rPr>
                <w:rFonts w:ascii="宋体" w:hAnsi="宋体" w:cs="宋体" w:eastAsia="宋体" w:hint="default"/>
                <w:spacing w:val="42"/>
                <w:sz w:val="18"/>
                <w:szCs w:val="18"/>
              </w:rPr>
              <w:t> </w:t>
            </w:r>
            <w:r>
              <w:rPr>
                <w:rFonts w:ascii="宋体" w:hAnsi="宋体" w:cs="宋体" w:eastAsia="宋体" w:hint="default"/>
                <w:sz w:val="18"/>
                <w:szCs w:val="18"/>
              </w:rPr>
              <w:t>收</w:t>
            </w:r>
          </w:p>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购</w:t>
            </w:r>
            <w:r>
              <w:rPr>
                <w:rFonts w:ascii="宋体" w:hAnsi="宋体" w:cs="宋体" w:eastAsia="宋体" w:hint="default"/>
                <w:spacing w:val="42"/>
                <w:sz w:val="18"/>
                <w:szCs w:val="18"/>
              </w:rPr>
              <w:t> </w:t>
            </w:r>
            <w:r>
              <w:rPr>
                <w:rFonts w:ascii="宋体" w:hAnsi="宋体" w:cs="宋体" w:eastAsia="宋体" w:hint="default"/>
                <w:sz w:val="18"/>
                <w:szCs w:val="18"/>
              </w:rPr>
              <w:t>时</w:t>
            </w:r>
          </w:p>
          <w:p>
            <w:pPr>
              <w:pStyle w:val="TableParagraph"/>
              <w:spacing w:line="266" w:lineRule="auto" w:before="23"/>
              <w:ind w:left="103" w:right="101"/>
              <w:jc w:val="left"/>
              <w:rPr>
                <w:rFonts w:ascii="宋体" w:hAnsi="宋体" w:cs="宋体" w:eastAsia="宋体" w:hint="default"/>
                <w:sz w:val="18"/>
                <w:szCs w:val="18"/>
              </w:rPr>
            </w:pPr>
            <w:r>
              <w:rPr>
                <w:rFonts w:ascii="宋体" w:hAnsi="宋体" w:cs="宋体" w:eastAsia="宋体" w:hint="default"/>
                <w:sz w:val="18"/>
                <w:szCs w:val="18"/>
              </w:rPr>
              <w:t>所</w:t>
            </w:r>
            <w:r>
              <w:rPr>
                <w:rFonts w:ascii="宋体" w:hAnsi="宋体" w:cs="宋体" w:eastAsia="宋体" w:hint="default"/>
                <w:spacing w:val="42"/>
                <w:sz w:val="18"/>
                <w:szCs w:val="18"/>
              </w:rPr>
              <w:t> </w:t>
            </w:r>
            <w:r>
              <w:rPr>
                <w:rFonts w:ascii="宋体" w:hAnsi="宋体" w:cs="宋体" w:eastAsia="宋体" w:hint="default"/>
                <w:sz w:val="18"/>
                <w:szCs w:val="18"/>
              </w:rPr>
              <w:t>作</w:t>
            </w:r>
            <w:r>
              <w:rPr>
                <w:rFonts w:ascii="宋体" w:hAnsi="宋体" w:cs="宋体" w:eastAsia="宋体" w:hint="default"/>
                <w:sz w:val="18"/>
                <w:szCs w:val="18"/>
              </w:rPr>
              <w:t> 承诺</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6"/>
                <w:szCs w:val="26"/>
              </w:rPr>
            </w:pPr>
          </w:p>
          <w:p>
            <w:pPr>
              <w:pStyle w:val="TableParagraph"/>
              <w:spacing w:line="266" w:lineRule="auto"/>
              <w:ind w:left="105" w:right="98"/>
              <w:jc w:val="left"/>
              <w:rPr>
                <w:rFonts w:ascii="宋体" w:hAnsi="宋体" w:cs="宋体" w:eastAsia="宋体" w:hint="default"/>
                <w:sz w:val="18"/>
                <w:szCs w:val="18"/>
              </w:rPr>
            </w:pPr>
            <w:r>
              <w:rPr>
                <w:rFonts w:ascii="宋体" w:hAnsi="宋体" w:cs="宋体" w:eastAsia="宋体" w:hint="default"/>
                <w:spacing w:val="-22"/>
                <w:sz w:val="18"/>
                <w:szCs w:val="18"/>
              </w:rPr>
              <w:t>邹军、长</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实网络</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无</w:t>
            </w:r>
            <w:r>
              <w:rPr>
                <w:rFonts w:ascii="宋体" w:hAnsi="宋体" w:cs="宋体" w:eastAsia="宋体" w:hint="default"/>
                <w:spacing w:val="42"/>
                <w:sz w:val="18"/>
                <w:szCs w:val="18"/>
              </w:rPr>
              <w:t> </w:t>
            </w:r>
            <w:r>
              <w:rPr>
                <w:rFonts w:ascii="宋体" w:hAnsi="宋体" w:cs="宋体" w:eastAsia="宋体" w:hint="default"/>
                <w:sz w:val="18"/>
                <w:szCs w:val="18"/>
              </w:rPr>
              <w:t>固</w:t>
            </w:r>
          </w:p>
          <w:p>
            <w:pPr>
              <w:pStyle w:val="TableParagraph"/>
              <w:spacing w:line="264" w:lineRule="auto" w:before="26"/>
              <w:ind w:left="103" w:right="101"/>
              <w:jc w:val="left"/>
              <w:rPr>
                <w:rFonts w:ascii="宋体" w:hAnsi="宋体" w:cs="宋体" w:eastAsia="宋体" w:hint="default"/>
                <w:sz w:val="18"/>
                <w:szCs w:val="18"/>
              </w:rPr>
            </w:pPr>
            <w:r>
              <w:rPr>
                <w:rFonts w:ascii="宋体" w:hAnsi="宋体" w:cs="宋体" w:eastAsia="宋体" w:hint="default"/>
                <w:sz w:val="18"/>
                <w:szCs w:val="18"/>
              </w:rPr>
              <w:t>定</w:t>
            </w:r>
            <w:r>
              <w:rPr>
                <w:rFonts w:ascii="宋体" w:hAnsi="宋体" w:cs="宋体" w:eastAsia="宋体" w:hint="default"/>
                <w:spacing w:val="42"/>
                <w:sz w:val="18"/>
                <w:szCs w:val="18"/>
              </w:rPr>
              <w:t> </w:t>
            </w:r>
            <w:r>
              <w:rPr>
                <w:rFonts w:ascii="宋体" w:hAnsi="宋体" w:cs="宋体" w:eastAsia="宋体" w:hint="default"/>
                <w:sz w:val="18"/>
                <w:szCs w:val="18"/>
              </w:rPr>
              <w:t>期</w:t>
            </w:r>
            <w:r>
              <w:rPr>
                <w:rFonts w:ascii="宋体" w:hAnsi="宋体" w:cs="宋体" w:eastAsia="宋体" w:hint="default"/>
                <w:sz w:val="18"/>
                <w:szCs w:val="18"/>
              </w:rPr>
              <w:t> 限</w:t>
            </w:r>
          </w:p>
        </w:tc>
        <w:tc>
          <w:tcPr>
            <w:tcW w:w="5245" w:type="dxa"/>
            <w:tcBorders>
              <w:top w:val="single" w:sz="4" w:space="0" w:color="000000"/>
              <w:left w:val="single" w:sz="4" w:space="0" w:color="000000"/>
              <w:bottom w:val="single" w:sz="4" w:space="0" w:color="000000"/>
              <w:right w:val="single" w:sz="4" w:space="0" w:color="000000"/>
            </w:tcBorders>
          </w:tcPr>
          <w:p>
            <w:pPr>
              <w:pStyle w:val="TableParagraph"/>
              <w:spacing w:line="261" w:lineRule="auto" w:before="34"/>
              <w:ind w:left="105" w:right="97"/>
              <w:jc w:val="both"/>
              <w:rPr>
                <w:rFonts w:ascii="宋体" w:hAnsi="宋体" w:cs="宋体" w:eastAsia="宋体" w:hint="default"/>
                <w:sz w:val="18"/>
                <w:szCs w:val="18"/>
              </w:rPr>
            </w:pPr>
            <w:r>
              <w:rPr>
                <w:rFonts w:ascii="宋体" w:hAnsi="宋体" w:cs="宋体" w:eastAsia="宋体" w:hint="default"/>
                <w:spacing w:val="2"/>
                <w:sz w:val="18"/>
                <w:szCs w:val="18"/>
              </w:rPr>
              <w:t>分立前后债务承接安排承诺：</w:t>
            </w: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、根据《公司法》的规定，长实</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pacing w:val="5"/>
                <w:sz w:val="18"/>
                <w:szCs w:val="18"/>
              </w:rPr>
              <w:t>通信分立前的债务由分立后的长实通信、长实建设承担连带责</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1"/>
                <w:sz w:val="18"/>
                <w:szCs w:val="18"/>
              </w:rPr>
              <w:t>任，若出现应由长实建设承担的债务而相关债权人向长实通信主</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1"/>
                <w:sz w:val="18"/>
                <w:szCs w:val="18"/>
              </w:rPr>
              <w:t>张债权的情况，承诺方将以连带责任的方式共同承担全部债务并</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2"/>
                <w:sz w:val="18"/>
                <w:szCs w:val="18"/>
              </w:rPr>
              <w:t>向长实建设追偿，不给长实通信造成损失；</w:t>
            </w: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、如因长实通信派</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pacing w:val="5"/>
                <w:sz w:val="18"/>
                <w:szCs w:val="18"/>
              </w:rPr>
              <w:t>生分立而导致被相关权利人要求承担派生分立过程中的或有负</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pacing w:val="-1"/>
                <w:sz w:val="18"/>
                <w:szCs w:val="18"/>
              </w:rPr>
              <w:t>债，承诺方将无偿代长实通信支付相关费用（包括但不限于债务</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4"/>
                <w:sz w:val="18"/>
                <w:szCs w:val="18"/>
              </w:rPr>
              <w:t>金额、诉讼费用、律师费用等），长实通信无需支付任何费用。</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105" w:right="0"/>
              <w:jc w:val="left"/>
              <w:rPr>
                <w:rFonts w:ascii="Times New Roman" w:hAnsi="Times New Roman" w:cs="Times New Roman" w:eastAsia="Times New Roman" w:hint="default"/>
                <w:sz w:val="18"/>
                <w:szCs w:val="18"/>
              </w:rPr>
            </w:pPr>
            <w:r>
              <w:rPr>
                <w:rFonts w:ascii="Times New Roman"/>
                <w:sz w:val="18"/>
              </w:rPr>
              <w:t>2015</w:t>
            </w:r>
          </w:p>
          <w:p>
            <w:pPr>
              <w:pStyle w:val="TableParagraph"/>
              <w:spacing w:line="240" w:lineRule="auto" w:before="10"/>
              <w:ind w:left="10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p>
          <w:p>
            <w:pPr>
              <w:pStyle w:val="TableParagraph"/>
              <w:spacing w:line="240" w:lineRule="auto" w:before="12"/>
              <w:ind w:left="10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w:t>
            </w:r>
          </w:p>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8"/>
                <w:szCs w:val="18"/>
              </w:rPr>
            </w:pPr>
          </w:p>
          <w:p>
            <w:pPr>
              <w:pStyle w:val="TableParagraph"/>
              <w:spacing w:line="240" w:lineRule="auto"/>
              <w:ind w:right="48"/>
              <w:jc w:val="center"/>
              <w:rPr>
                <w:rFonts w:ascii="宋体" w:hAnsi="宋体" w:cs="宋体" w:eastAsia="宋体" w:hint="default"/>
                <w:sz w:val="18"/>
                <w:szCs w:val="18"/>
              </w:rPr>
            </w:pPr>
            <w:r>
              <w:rPr>
                <w:rFonts w:ascii="宋体" w:hAnsi="宋体" w:cs="宋体" w:eastAsia="宋体" w:hint="default"/>
                <w:sz w:val="18"/>
                <w:szCs w:val="18"/>
              </w:rPr>
              <w:t>正常履行</w:t>
            </w:r>
          </w:p>
        </w:tc>
      </w:tr>
      <w:tr>
        <w:trPr>
          <w:trHeight w:val="280" w:hRule="exact"/>
        </w:trPr>
        <w:tc>
          <w:tcPr>
            <w:tcW w:w="708" w:type="dxa"/>
            <w:tcBorders>
              <w:top w:val="single" w:sz="4" w:space="0" w:color="000000"/>
              <w:left w:val="single" w:sz="4" w:space="0" w:color="000000"/>
              <w:bottom w:val="nil" w:sz="6" w:space="0" w:color="auto"/>
              <w:right w:val="single" w:sz="4" w:space="0" w:color="000000"/>
            </w:tcBorders>
          </w:tcPr>
          <w:p>
            <w:pPr/>
          </w:p>
        </w:tc>
        <w:tc>
          <w:tcPr>
            <w:tcW w:w="852"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5245" w:type="dxa"/>
            <w:tcBorders>
              <w:top w:val="single" w:sz="4" w:space="0" w:color="000000"/>
              <w:left w:val="single" w:sz="4" w:space="0" w:color="000000"/>
              <w:bottom w:val="nil" w:sz="6" w:space="0" w:color="auto"/>
              <w:right w:val="single" w:sz="4" w:space="0" w:color="000000"/>
            </w:tcBorders>
          </w:tcPr>
          <w:p>
            <w:pPr>
              <w:pStyle w:val="TableParagraph"/>
              <w:spacing w:line="234" w:lineRule="exact"/>
              <w:ind w:left="105" w:right="0"/>
              <w:jc w:val="left"/>
              <w:rPr>
                <w:rFonts w:ascii="宋体" w:hAnsi="宋体" w:cs="宋体" w:eastAsia="宋体" w:hint="default"/>
                <w:sz w:val="18"/>
                <w:szCs w:val="18"/>
              </w:rPr>
            </w:pPr>
            <w:r>
              <w:rPr>
                <w:rFonts w:ascii="宋体" w:hAnsi="宋体" w:cs="宋体" w:eastAsia="宋体" w:hint="default"/>
                <w:spacing w:val="5"/>
                <w:sz w:val="18"/>
                <w:szCs w:val="18"/>
              </w:rPr>
              <w:t>长实建设不再开展工程业务及现有业务执行完成后转让或注销</w:t>
            </w:r>
          </w:p>
        </w:tc>
        <w:tc>
          <w:tcPr>
            <w:tcW w:w="710" w:type="dxa"/>
            <w:tcBorders>
              <w:top w:val="single" w:sz="4" w:space="0" w:color="000000"/>
              <w:left w:val="single" w:sz="4" w:space="0" w:color="000000"/>
              <w:bottom w:val="nil" w:sz="6" w:space="0" w:color="auto"/>
              <w:right w:val="single" w:sz="4" w:space="0" w:color="000000"/>
            </w:tcBorders>
          </w:tcPr>
          <w:p>
            <w:pPr/>
          </w:p>
        </w:tc>
        <w:tc>
          <w:tcPr>
            <w:tcW w:w="709" w:type="dxa"/>
            <w:tcBorders>
              <w:top w:val="single" w:sz="4" w:space="0" w:color="000000"/>
              <w:left w:val="single" w:sz="4" w:space="0" w:color="000000"/>
              <w:bottom w:val="nil" w:sz="6" w:space="0" w:color="auto"/>
              <w:right w:val="single" w:sz="4" w:space="0" w:color="000000"/>
            </w:tcBorders>
          </w:tcPr>
          <w:p>
            <w:pPr>
              <w:pStyle w:val="TableParagraph"/>
              <w:spacing w:line="234" w:lineRule="exact"/>
              <w:ind w:left="103" w:right="0"/>
              <w:jc w:val="left"/>
              <w:rPr>
                <w:rFonts w:ascii="宋体" w:hAnsi="宋体" w:cs="宋体" w:eastAsia="宋体" w:hint="default"/>
                <w:sz w:val="18"/>
                <w:szCs w:val="18"/>
              </w:rPr>
            </w:pPr>
            <w:r>
              <w:rPr>
                <w:rFonts w:ascii="宋体" w:hAnsi="宋体" w:cs="宋体" w:eastAsia="宋体" w:hint="default"/>
                <w:sz w:val="18"/>
                <w:szCs w:val="18"/>
              </w:rPr>
              <w:t>自</w:t>
            </w:r>
            <w:r>
              <w:rPr>
                <w:rFonts w:ascii="宋体" w:hAnsi="宋体" w:cs="宋体" w:eastAsia="宋体" w:hint="default"/>
                <w:spacing w:val="42"/>
                <w:sz w:val="18"/>
                <w:szCs w:val="18"/>
              </w:rPr>
              <w:t> </w:t>
            </w:r>
            <w:r>
              <w:rPr>
                <w:rFonts w:ascii="宋体" w:hAnsi="宋体" w:cs="宋体" w:eastAsia="宋体" w:hint="default"/>
                <w:sz w:val="18"/>
                <w:szCs w:val="18"/>
              </w:rPr>
              <w:t>承</w:t>
            </w:r>
          </w:p>
        </w:tc>
        <w:tc>
          <w:tcPr>
            <w:tcW w:w="991" w:type="dxa"/>
            <w:tcBorders>
              <w:top w:val="single" w:sz="4" w:space="0" w:color="000000"/>
              <w:left w:val="single" w:sz="4" w:space="0" w:color="000000"/>
              <w:bottom w:val="nil" w:sz="6" w:space="0" w:color="auto"/>
              <w:right w:val="single" w:sz="4" w:space="0" w:color="000000"/>
            </w:tcBorders>
          </w:tcPr>
          <w:p>
            <w:pPr/>
          </w:p>
        </w:tc>
      </w:tr>
      <w:tr>
        <w:trPr>
          <w:trHeight w:val="26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105" w:right="0"/>
              <w:jc w:val="left"/>
              <w:rPr>
                <w:rFonts w:ascii="宋体" w:hAnsi="宋体" w:cs="宋体" w:eastAsia="宋体" w:hint="default"/>
                <w:sz w:val="18"/>
                <w:szCs w:val="18"/>
              </w:rPr>
            </w:pPr>
            <w:r>
              <w:rPr>
                <w:rFonts w:ascii="宋体" w:hAnsi="宋体" w:cs="宋体" w:eastAsia="宋体" w:hint="default"/>
                <w:spacing w:val="2"/>
                <w:sz w:val="18"/>
                <w:szCs w:val="18"/>
              </w:rPr>
              <w:t>承诺：</w:t>
            </w:r>
            <w:r>
              <w:rPr>
                <w:rFonts w:ascii="Times New Roman" w:hAnsi="Times New Roman" w:cs="Times New Roman" w:eastAsia="Times New Roman" w:hint="default"/>
                <w:spacing w:val="4"/>
                <w:sz w:val="18"/>
                <w:szCs w:val="18"/>
              </w:rPr>
              <w:t>1</w:t>
            </w:r>
            <w:r>
              <w:rPr>
                <w:rFonts w:ascii="宋体" w:hAnsi="宋体" w:cs="宋体" w:eastAsia="宋体" w:hint="default"/>
                <w:spacing w:val="2"/>
                <w:sz w:val="18"/>
                <w:szCs w:val="18"/>
              </w:rPr>
              <w:t>、截</w:t>
            </w:r>
            <w:r>
              <w:rPr>
                <w:rFonts w:ascii="宋体" w:hAnsi="宋体" w:cs="宋体" w:eastAsia="宋体" w:hint="default"/>
                <w:spacing w:val="4"/>
                <w:sz w:val="18"/>
                <w:szCs w:val="18"/>
              </w:rPr>
              <w:t>至</w:t>
            </w:r>
            <w:r>
              <w:rPr>
                <w:rFonts w:ascii="宋体" w:hAnsi="宋体" w:cs="宋体" w:eastAsia="宋体" w:hint="default"/>
                <w:spacing w:val="2"/>
                <w:sz w:val="18"/>
                <w:szCs w:val="18"/>
              </w:rPr>
              <w:t>分立基</w:t>
            </w:r>
            <w:r>
              <w:rPr>
                <w:rFonts w:ascii="宋体" w:hAnsi="宋体" w:cs="宋体" w:eastAsia="宋体" w:hint="default"/>
                <w:spacing w:val="4"/>
                <w:sz w:val="18"/>
                <w:szCs w:val="18"/>
              </w:rPr>
              <w:t>准</w:t>
            </w:r>
            <w:r>
              <w:rPr>
                <w:rFonts w:ascii="宋体" w:hAnsi="宋体" w:cs="宋体" w:eastAsia="宋体" w:hint="default"/>
                <w:spacing w:val="2"/>
                <w:sz w:val="18"/>
                <w:szCs w:val="18"/>
              </w:rPr>
              <w:t>日</w:t>
            </w:r>
            <w:r>
              <w:rPr>
                <w:rFonts w:ascii="宋体" w:hAnsi="宋体" w:cs="宋体" w:eastAsia="宋体" w:hint="default"/>
                <w:spacing w:val="4"/>
                <w:sz w:val="18"/>
                <w:szCs w:val="18"/>
              </w:rPr>
              <w:t>（</w:t>
            </w:r>
            <w:r>
              <w:rPr>
                <w:rFonts w:ascii="Times New Roman" w:hAnsi="Times New Roman" w:cs="Times New Roman" w:eastAsia="Times New Roman" w:hint="default"/>
                <w:spacing w:val="1"/>
                <w:sz w:val="18"/>
                <w:szCs w:val="18"/>
              </w:rPr>
              <w:t>201</w:t>
            </w:r>
            <w:r>
              <w:rPr>
                <w:rFonts w:ascii="Times New Roman" w:hAnsi="Times New Roman" w:cs="Times New Roman" w:eastAsia="Times New Roman" w:hint="default"/>
                <w:sz w:val="18"/>
                <w:szCs w:val="18"/>
              </w:rPr>
              <w:t>4 </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6"/>
                <w:sz w:val="18"/>
                <w:szCs w:val="18"/>
              </w:rPr>
              <w:t> </w:t>
            </w:r>
            <w:r>
              <w:rPr>
                <w:rFonts w:ascii="Times New Roman" w:hAnsi="Times New Roman" w:cs="Times New Roman" w:eastAsia="Times New Roman" w:hint="default"/>
                <w:spacing w:val="-2"/>
                <w:sz w:val="18"/>
                <w:szCs w:val="18"/>
              </w:rPr>
              <w:t>1</w:t>
            </w:r>
            <w:r>
              <w:rPr>
                <w:rFonts w:ascii="Times New Roman" w:hAnsi="Times New Roman" w:cs="Times New Roman" w:eastAsia="Times New Roman" w:hint="default"/>
                <w:sz w:val="18"/>
                <w:szCs w:val="18"/>
              </w:rPr>
              <w:t>2 </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6"/>
                <w:sz w:val="18"/>
                <w:szCs w:val="18"/>
              </w:rPr>
              <w:t> </w:t>
            </w:r>
            <w:r>
              <w:rPr>
                <w:rFonts w:ascii="Times New Roman" w:hAnsi="Times New Roman" w:cs="Times New Roman" w:eastAsia="Times New Roman" w:hint="default"/>
                <w:spacing w:val="-2"/>
                <w:sz w:val="18"/>
                <w:szCs w:val="18"/>
              </w:rPr>
              <w:t>3</w:t>
            </w:r>
            <w:r>
              <w:rPr>
                <w:rFonts w:ascii="Times New Roman" w:hAnsi="Times New Roman" w:cs="Times New Roman" w:eastAsia="Times New Roman" w:hint="default"/>
                <w:sz w:val="18"/>
                <w:szCs w:val="18"/>
              </w:rPr>
              <w:t>1 </w:t>
            </w:r>
            <w:r>
              <w:rPr>
                <w:rFonts w:ascii="Times New Roman" w:hAnsi="Times New Roman" w:cs="Times New Roman" w:eastAsia="Times New Roman" w:hint="default"/>
                <w:spacing w:val="4"/>
                <w:sz w:val="18"/>
                <w:szCs w:val="18"/>
              </w:rPr>
              <w:t> </w:t>
            </w:r>
            <w:r>
              <w:rPr>
                <w:rFonts w:ascii="宋体" w:hAnsi="宋体" w:cs="宋体" w:eastAsia="宋体" w:hint="default"/>
                <w:spacing w:val="2"/>
                <w:sz w:val="18"/>
                <w:szCs w:val="18"/>
              </w:rPr>
              <w:t>日</w:t>
            </w:r>
            <w:r>
              <w:rPr>
                <w:rFonts w:ascii="宋体" w:hAnsi="宋体" w:cs="宋体" w:eastAsia="宋体" w:hint="default"/>
                <w:spacing w:val="-87"/>
                <w:sz w:val="18"/>
                <w:szCs w:val="18"/>
              </w:rPr>
              <w:t>）</w:t>
            </w:r>
            <w:r>
              <w:rPr>
                <w:rFonts w:ascii="宋体" w:hAnsi="宋体" w:cs="宋体" w:eastAsia="宋体" w:hint="default"/>
                <w:spacing w:val="2"/>
                <w:sz w:val="18"/>
                <w:szCs w:val="18"/>
              </w:rPr>
              <w:t>，长实建</w:t>
            </w:r>
            <w:r>
              <w:rPr>
                <w:rFonts w:ascii="宋体" w:hAnsi="宋体" w:cs="宋体" w:eastAsia="宋体" w:hint="default"/>
                <w:sz w:val="18"/>
                <w:szCs w:val="18"/>
              </w:rPr>
              <w:t>设</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103" w:right="0"/>
              <w:jc w:val="left"/>
              <w:rPr>
                <w:rFonts w:ascii="宋体" w:hAnsi="宋体" w:cs="宋体" w:eastAsia="宋体" w:hint="default"/>
                <w:sz w:val="18"/>
                <w:szCs w:val="18"/>
              </w:rPr>
            </w:pPr>
            <w:r>
              <w:rPr>
                <w:rFonts w:ascii="宋体" w:hAnsi="宋体" w:cs="宋体" w:eastAsia="宋体" w:hint="default"/>
                <w:sz w:val="18"/>
                <w:szCs w:val="18"/>
              </w:rPr>
              <w:t>诺</w:t>
            </w:r>
            <w:r>
              <w:rPr>
                <w:rFonts w:ascii="宋体" w:hAnsi="宋体" w:cs="宋体" w:eastAsia="宋体" w:hint="default"/>
                <w:spacing w:val="42"/>
                <w:sz w:val="18"/>
                <w:szCs w:val="18"/>
              </w:rPr>
              <w:t> </w:t>
            </w:r>
            <w:r>
              <w:rPr>
                <w:rFonts w:ascii="宋体" w:hAnsi="宋体" w:cs="宋体" w:eastAsia="宋体" w:hint="default"/>
                <w:sz w:val="18"/>
                <w:szCs w:val="18"/>
              </w:rPr>
              <w:t>之</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4" w:right="0"/>
              <w:jc w:val="center"/>
              <w:rPr>
                <w:rFonts w:ascii="宋体" w:hAnsi="宋体" w:cs="宋体" w:eastAsia="宋体" w:hint="default"/>
                <w:sz w:val="18"/>
                <w:szCs w:val="18"/>
              </w:rPr>
            </w:pPr>
            <w:r>
              <w:rPr>
                <w:rFonts w:ascii="宋体" w:hAnsi="宋体" w:cs="宋体" w:eastAsia="宋体" w:hint="default"/>
                <w:sz w:val="18"/>
                <w:szCs w:val="18"/>
              </w:rPr>
              <w:t>正 常</w:t>
            </w:r>
            <w:r>
              <w:rPr>
                <w:rFonts w:ascii="宋体" w:hAnsi="宋体" w:cs="宋体" w:eastAsia="宋体" w:hint="default"/>
                <w:spacing w:val="54"/>
                <w:sz w:val="18"/>
                <w:szCs w:val="18"/>
              </w:rPr>
              <w:t> </w:t>
            </w:r>
            <w:r>
              <w:rPr>
                <w:rFonts w:ascii="宋体" w:hAnsi="宋体" w:cs="宋体" w:eastAsia="宋体" w:hint="default"/>
                <w:sz w:val="18"/>
                <w:szCs w:val="18"/>
              </w:rPr>
              <w:t>履</w:t>
            </w:r>
          </w:p>
        </w:tc>
      </w:tr>
      <w:tr>
        <w:trPr>
          <w:trHeight w:val="1815"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21"/>
              <w:ind w:left="103" w:right="0"/>
              <w:jc w:val="left"/>
              <w:rPr>
                <w:rFonts w:ascii="Times New Roman" w:hAnsi="Times New Roman" w:cs="Times New Roman" w:eastAsia="Times New Roman" w:hint="default"/>
                <w:sz w:val="18"/>
                <w:szCs w:val="18"/>
              </w:rPr>
            </w:pPr>
            <w:r>
              <w:rPr>
                <w:rFonts w:ascii="Times New Roman"/>
                <w:sz w:val="18"/>
              </w:rPr>
              <w:t>2015</w:t>
            </w:r>
          </w:p>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宋体" w:hAnsi="宋体" w:cs="宋体" w:eastAsia="宋体" w:hint="default"/>
                <w:sz w:val="18"/>
                <w:szCs w:val="18"/>
              </w:rPr>
              <w:t>重</w:t>
            </w:r>
          </w:p>
          <w:p>
            <w:pPr>
              <w:pStyle w:val="TableParagraph"/>
              <w:spacing w:line="240" w:lineRule="auto" w:before="26"/>
              <w:ind w:left="103" w:right="0"/>
              <w:jc w:val="left"/>
              <w:rPr>
                <w:rFonts w:ascii="宋体" w:hAnsi="宋体" w:cs="宋体" w:eastAsia="宋体" w:hint="default"/>
                <w:sz w:val="18"/>
                <w:szCs w:val="18"/>
              </w:rPr>
            </w:pPr>
            <w:r>
              <w:rPr>
                <w:rFonts w:ascii="宋体" w:hAnsi="宋体" w:cs="宋体" w:eastAsia="宋体" w:hint="default"/>
                <w:sz w:val="18"/>
                <w:szCs w:val="18"/>
              </w:rPr>
              <w:t>大</w:t>
            </w:r>
            <w:r>
              <w:rPr>
                <w:rFonts w:ascii="宋体" w:hAnsi="宋体" w:cs="宋体" w:eastAsia="宋体" w:hint="default"/>
                <w:spacing w:val="42"/>
                <w:sz w:val="18"/>
                <w:szCs w:val="18"/>
              </w:rPr>
              <w:t> </w:t>
            </w:r>
            <w:r>
              <w:rPr>
                <w:rFonts w:ascii="宋体" w:hAnsi="宋体" w:cs="宋体" w:eastAsia="宋体" w:hint="default"/>
                <w:sz w:val="18"/>
                <w:szCs w:val="18"/>
              </w:rPr>
              <w:t>资</w:t>
            </w:r>
          </w:p>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产</w:t>
            </w:r>
            <w:r>
              <w:rPr>
                <w:rFonts w:ascii="宋体" w:hAnsi="宋体" w:cs="宋体" w:eastAsia="宋体" w:hint="default"/>
                <w:spacing w:val="42"/>
                <w:sz w:val="18"/>
                <w:szCs w:val="18"/>
              </w:rPr>
              <w:t> </w:t>
            </w:r>
            <w:r>
              <w:rPr>
                <w:rFonts w:ascii="宋体" w:hAnsi="宋体" w:cs="宋体" w:eastAsia="宋体" w:hint="default"/>
                <w:sz w:val="18"/>
                <w:szCs w:val="18"/>
              </w:rPr>
              <w:t>收</w:t>
            </w:r>
          </w:p>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购</w:t>
            </w:r>
            <w:r>
              <w:rPr>
                <w:rFonts w:ascii="宋体" w:hAnsi="宋体" w:cs="宋体" w:eastAsia="宋体" w:hint="default"/>
                <w:spacing w:val="42"/>
                <w:sz w:val="18"/>
                <w:szCs w:val="18"/>
              </w:rPr>
              <w:t> </w:t>
            </w:r>
            <w:r>
              <w:rPr>
                <w:rFonts w:ascii="宋体" w:hAnsi="宋体" w:cs="宋体" w:eastAsia="宋体" w:hint="default"/>
                <w:sz w:val="18"/>
                <w:szCs w:val="18"/>
              </w:rPr>
              <w:t>时</w:t>
            </w:r>
          </w:p>
          <w:p>
            <w:pPr>
              <w:pStyle w:val="TableParagraph"/>
              <w:spacing w:line="264" w:lineRule="auto" w:before="26"/>
              <w:ind w:left="103" w:right="101"/>
              <w:jc w:val="left"/>
              <w:rPr>
                <w:rFonts w:ascii="宋体" w:hAnsi="宋体" w:cs="宋体" w:eastAsia="宋体" w:hint="default"/>
                <w:sz w:val="18"/>
                <w:szCs w:val="18"/>
              </w:rPr>
            </w:pPr>
            <w:r>
              <w:rPr>
                <w:rFonts w:ascii="宋体" w:hAnsi="宋体" w:cs="宋体" w:eastAsia="宋体" w:hint="default"/>
                <w:sz w:val="18"/>
                <w:szCs w:val="18"/>
              </w:rPr>
              <w:t>所</w:t>
            </w:r>
            <w:r>
              <w:rPr>
                <w:rFonts w:ascii="宋体" w:hAnsi="宋体" w:cs="宋体" w:eastAsia="宋体" w:hint="default"/>
                <w:spacing w:val="42"/>
                <w:sz w:val="18"/>
                <w:szCs w:val="18"/>
              </w:rPr>
              <w:t> </w:t>
            </w:r>
            <w:r>
              <w:rPr>
                <w:rFonts w:ascii="宋体" w:hAnsi="宋体" w:cs="宋体" w:eastAsia="宋体" w:hint="default"/>
                <w:sz w:val="18"/>
                <w:szCs w:val="18"/>
              </w:rPr>
              <w:t>作</w:t>
            </w:r>
            <w:r>
              <w:rPr>
                <w:rFonts w:ascii="宋体" w:hAnsi="宋体" w:cs="宋体" w:eastAsia="宋体" w:hint="default"/>
                <w:sz w:val="18"/>
                <w:szCs w:val="18"/>
              </w:rPr>
              <w:t> 承诺</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64" w:lineRule="auto" w:before="108"/>
              <w:ind w:left="105" w:right="14"/>
              <w:jc w:val="left"/>
              <w:rPr>
                <w:rFonts w:ascii="宋体" w:hAnsi="宋体" w:cs="宋体" w:eastAsia="宋体" w:hint="default"/>
                <w:sz w:val="18"/>
                <w:szCs w:val="18"/>
              </w:rPr>
            </w:pPr>
            <w:r>
              <w:rPr>
                <w:rFonts w:ascii="宋体" w:hAnsi="宋体" w:cs="宋体" w:eastAsia="宋体" w:hint="default"/>
                <w:spacing w:val="32"/>
                <w:sz w:val="18"/>
                <w:szCs w:val="18"/>
              </w:rPr>
              <w:t>长实网</w:t>
            </w:r>
            <w:r>
              <w:rPr>
                <w:rFonts w:ascii="宋体" w:hAnsi="宋体" w:cs="宋体" w:eastAsia="宋体" w:hint="default"/>
                <w:spacing w:val="-42"/>
                <w:sz w:val="18"/>
                <w:szCs w:val="18"/>
              </w:rPr>
              <w:t> </w:t>
            </w:r>
            <w:r>
              <w:rPr>
                <w:rFonts w:ascii="宋体" w:hAnsi="宋体" w:cs="宋体" w:eastAsia="宋体" w:hint="default"/>
                <w:spacing w:val="-22"/>
                <w:sz w:val="18"/>
                <w:szCs w:val="18"/>
              </w:rPr>
              <w:t>络、孝昌</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22"/>
                <w:sz w:val="18"/>
                <w:szCs w:val="18"/>
              </w:rPr>
              <w:t>恒隆、长</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实锦轩、 </w:t>
            </w:r>
            <w:r>
              <w:rPr>
                <w:rFonts w:ascii="宋体" w:hAnsi="宋体" w:cs="宋体" w:eastAsia="宋体" w:hint="default"/>
                <w:spacing w:val="-22"/>
                <w:sz w:val="18"/>
                <w:szCs w:val="18"/>
              </w:rPr>
              <w:t>张文、李</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强</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限期</w:t>
            </w: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105" w:right="0"/>
              <w:jc w:val="both"/>
              <w:rPr>
                <w:rFonts w:ascii="宋体" w:hAnsi="宋体" w:cs="宋体" w:eastAsia="宋体" w:hint="default"/>
                <w:sz w:val="18"/>
                <w:szCs w:val="18"/>
              </w:rPr>
            </w:pPr>
            <w:r>
              <w:rPr>
                <w:rFonts w:ascii="宋体" w:hAnsi="宋体" w:cs="宋体" w:eastAsia="宋体" w:hint="default"/>
                <w:sz w:val="18"/>
                <w:szCs w:val="18"/>
              </w:rPr>
              <w:t>将不再承接新的通信网络工程业务；避免从事任何除现有存续业</w:t>
            </w:r>
          </w:p>
          <w:p>
            <w:pPr>
              <w:pStyle w:val="TableParagraph"/>
              <w:spacing w:line="261" w:lineRule="auto" w:before="23"/>
              <w:ind w:left="105" w:right="87"/>
              <w:jc w:val="both"/>
              <w:rPr>
                <w:rFonts w:ascii="宋体" w:hAnsi="宋体" w:cs="宋体" w:eastAsia="宋体" w:hint="default"/>
                <w:sz w:val="18"/>
                <w:szCs w:val="18"/>
              </w:rPr>
            </w:pPr>
            <w:r>
              <w:rPr>
                <w:rFonts w:ascii="宋体" w:hAnsi="宋体" w:cs="宋体" w:eastAsia="宋体" w:hint="default"/>
                <w:sz w:val="18"/>
                <w:szCs w:val="18"/>
              </w:rPr>
              <w:t>务之外的与茂业通信和长实通信及其控制的其他公司、企业或者 其他经济组织相同或相似且构成或可能构成竞争关系的业务，亦 不从事任何可能损害茂业通信和长实通信及其控制的其他公司、 </w:t>
            </w:r>
            <w:r>
              <w:rPr>
                <w:rFonts w:ascii="宋体" w:hAnsi="宋体" w:cs="宋体" w:eastAsia="宋体" w:hint="default"/>
                <w:spacing w:val="2"/>
                <w:sz w:val="18"/>
                <w:szCs w:val="18"/>
              </w:rPr>
              <w:t>企业或者其他经济组织利益的活动。</w:t>
            </w:r>
            <w:r>
              <w:rPr>
                <w:rFonts w:ascii="Times New Roman" w:hAnsi="Times New Roman" w:cs="Times New Roman" w:eastAsia="Times New Roman" w:hint="default"/>
                <w:spacing w:val="2"/>
                <w:sz w:val="18"/>
                <w:szCs w:val="18"/>
              </w:rPr>
              <w:t>2</w:t>
            </w:r>
            <w:r>
              <w:rPr>
                <w:rFonts w:ascii="宋体" w:hAnsi="宋体" w:cs="宋体" w:eastAsia="宋体" w:hint="default"/>
                <w:spacing w:val="2"/>
                <w:sz w:val="18"/>
                <w:szCs w:val="18"/>
              </w:rPr>
              <w:t>、在现有存续的通信网络</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工程业务执行完毕且收款完成后，长实建设将予以注销或转让。 若违反上述承诺，承诺方将以连带责任的方式承担因此而给茂业</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05" w:right="0"/>
              <w:jc w:val="left"/>
              <w:rPr>
                <w:rFonts w:ascii="Times New Roman" w:hAnsi="Times New Roman" w:cs="Times New Roman" w:eastAsia="Times New Roman" w:hint="default"/>
                <w:sz w:val="18"/>
                <w:szCs w:val="18"/>
              </w:rPr>
            </w:pPr>
            <w:r>
              <w:rPr>
                <w:rFonts w:ascii="Times New Roman"/>
                <w:sz w:val="18"/>
              </w:rPr>
              <w:t>2015</w:t>
            </w:r>
          </w:p>
          <w:p>
            <w:pPr>
              <w:pStyle w:val="TableParagraph"/>
              <w:spacing w:line="240" w:lineRule="auto" w:before="13"/>
              <w:ind w:left="10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p>
          <w:p>
            <w:pPr>
              <w:pStyle w:val="TableParagraph"/>
              <w:spacing w:line="240" w:lineRule="auto" w:before="10"/>
              <w:ind w:left="10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w:t>
            </w:r>
          </w:p>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103" w:right="0"/>
              <w:jc w:val="left"/>
              <w:rPr>
                <w:rFonts w:ascii="宋体" w:hAnsi="宋体" w:cs="宋体" w:eastAsia="宋体" w:hint="default"/>
                <w:sz w:val="18"/>
                <w:szCs w:val="18"/>
              </w:rPr>
            </w:pPr>
            <w:r>
              <w:rPr>
                <w:rFonts w:ascii="宋体" w:hAnsi="宋体" w:cs="宋体" w:eastAsia="宋体" w:hint="default"/>
                <w:sz w:val="18"/>
                <w:szCs w:val="18"/>
              </w:rPr>
              <w:t>日</w:t>
            </w:r>
            <w:r>
              <w:rPr>
                <w:rFonts w:ascii="宋体" w:hAnsi="宋体" w:cs="宋体" w:eastAsia="宋体" w:hint="default"/>
                <w:spacing w:val="42"/>
                <w:sz w:val="18"/>
                <w:szCs w:val="18"/>
              </w:rPr>
              <w:t> </w:t>
            </w:r>
            <w:r>
              <w:rPr>
                <w:rFonts w:ascii="宋体" w:hAnsi="宋体" w:cs="宋体" w:eastAsia="宋体" w:hint="default"/>
                <w:sz w:val="18"/>
                <w:szCs w:val="18"/>
              </w:rPr>
              <w:t>起</w:t>
            </w:r>
          </w:p>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至</w:t>
            </w:r>
            <w:r>
              <w:rPr>
                <w:rFonts w:ascii="宋体" w:hAnsi="宋体" w:cs="宋体" w:eastAsia="宋体" w:hint="default"/>
                <w:spacing w:val="42"/>
                <w:sz w:val="18"/>
                <w:szCs w:val="18"/>
              </w:rPr>
              <w:t> </w:t>
            </w:r>
            <w:r>
              <w:rPr>
                <w:rFonts w:ascii="宋体" w:hAnsi="宋体" w:cs="宋体" w:eastAsia="宋体" w:hint="default"/>
                <w:sz w:val="18"/>
                <w:szCs w:val="18"/>
              </w:rPr>
              <w:t>长</w:t>
            </w:r>
          </w:p>
          <w:p>
            <w:pPr>
              <w:pStyle w:val="TableParagraph"/>
              <w:spacing w:line="240" w:lineRule="auto" w:before="26"/>
              <w:ind w:left="103" w:right="0"/>
              <w:jc w:val="left"/>
              <w:rPr>
                <w:rFonts w:ascii="宋体" w:hAnsi="宋体" w:cs="宋体" w:eastAsia="宋体" w:hint="default"/>
                <w:sz w:val="18"/>
                <w:szCs w:val="18"/>
              </w:rPr>
            </w:pPr>
            <w:r>
              <w:rPr>
                <w:rFonts w:ascii="宋体" w:hAnsi="宋体" w:cs="宋体" w:eastAsia="宋体" w:hint="default"/>
                <w:sz w:val="18"/>
                <w:szCs w:val="18"/>
              </w:rPr>
              <w:t>实</w:t>
            </w:r>
            <w:r>
              <w:rPr>
                <w:rFonts w:ascii="宋体" w:hAnsi="宋体" w:cs="宋体" w:eastAsia="宋体" w:hint="default"/>
                <w:spacing w:val="42"/>
                <w:sz w:val="18"/>
                <w:szCs w:val="18"/>
              </w:rPr>
              <w:t> </w:t>
            </w:r>
            <w:r>
              <w:rPr>
                <w:rFonts w:ascii="宋体" w:hAnsi="宋体" w:cs="宋体" w:eastAsia="宋体" w:hint="default"/>
                <w:sz w:val="18"/>
                <w:szCs w:val="18"/>
              </w:rPr>
              <w:t>建</w:t>
            </w:r>
          </w:p>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设</w:t>
            </w:r>
            <w:r>
              <w:rPr>
                <w:rFonts w:ascii="宋体" w:hAnsi="宋体" w:cs="宋体" w:eastAsia="宋体" w:hint="default"/>
                <w:spacing w:val="42"/>
                <w:sz w:val="18"/>
                <w:szCs w:val="18"/>
              </w:rPr>
              <w:t> </w:t>
            </w:r>
            <w:r>
              <w:rPr>
                <w:rFonts w:ascii="宋体" w:hAnsi="宋体" w:cs="宋体" w:eastAsia="宋体" w:hint="default"/>
                <w:sz w:val="18"/>
                <w:szCs w:val="18"/>
              </w:rPr>
              <w:t>完</w:t>
            </w:r>
          </w:p>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成</w:t>
            </w:r>
            <w:r>
              <w:rPr>
                <w:rFonts w:ascii="宋体" w:hAnsi="宋体" w:cs="宋体" w:eastAsia="宋体" w:hint="default"/>
                <w:spacing w:val="42"/>
                <w:sz w:val="18"/>
                <w:szCs w:val="18"/>
              </w:rPr>
              <w:t> </w:t>
            </w:r>
            <w:r>
              <w:rPr>
                <w:rFonts w:ascii="宋体" w:hAnsi="宋体" w:cs="宋体" w:eastAsia="宋体" w:hint="default"/>
                <w:sz w:val="18"/>
                <w:szCs w:val="18"/>
              </w:rPr>
              <w:t>转</w:t>
            </w:r>
          </w:p>
          <w:p>
            <w:pPr>
              <w:pStyle w:val="TableParagraph"/>
              <w:spacing w:line="240" w:lineRule="auto" w:before="26"/>
              <w:ind w:left="103" w:right="0"/>
              <w:jc w:val="left"/>
              <w:rPr>
                <w:rFonts w:ascii="宋体" w:hAnsi="宋体" w:cs="宋体" w:eastAsia="宋体" w:hint="default"/>
                <w:sz w:val="18"/>
                <w:szCs w:val="18"/>
              </w:rPr>
            </w:pPr>
            <w:r>
              <w:rPr>
                <w:rFonts w:ascii="宋体" w:hAnsi="宋体" w:cs="宋体" w:eastAsia="宋体" w:hint="default"/>
                <w:sz w:val="18"/>
                <w:szCs w:val="18"/>
              </w:rPr>
              <w:t>让</w:t>
            </w:r>
            <w:r>
              <w:rPr>
                <w:rFonts w:ascii="宋体" w:hAnsi="宋体" w:cs="宋体" w:eastAsia="宋体" w:hint="default"/>
                <w:spacing w:val="42"/>
                <w:sz w:val="18"/>
                <w:szCs w:val="18"/>
              </w:rPr>
              <w:t> </w:t>
            </w:r>
            <w:r>
              <w:rPr>
                <w:rFonts w:ascii="宋体" w:hAnsi="宋体" w:cs="宋体" w:eastAsia="宋体" w:hint="default"/>
                <w:sz w:val="18"/>
                <w:szCs w:val="18"/>
              </w:rPr>
              <w:t>或</w:t>
            </w:r>
          </w:p>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注</w:t>
            </w:r>
            <w:r>
              <w:rPr>
                <w:rFonts w:ascii="宋体" w:hAnsi="宋体" w:cs="宋体" w:eastAsia="宋体" w:hint="default"/>
                <w:spacing w:val="42"/>
                <w:sz w:val="18"/>
                <w:szCs w:val="18"/>
              </w:rPr>
              <w:t> </w:t>
            </w:r>
            <w:r>
              <w:rPr>
                <w:rFonts w:ascii="宋体" w:hAnsi="宋体" w:cs="宋体" w:eastAsia="宋体" w:hint="default"/>
                <w:sz w:val="18"/>
                <w:szCs w:val="18"/>
              </w:rPr>
              <w:t>销</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105" w:right="0"/>
              <w:jc w:val="both"/>
              <w:rPr>
                <w:rFonts w:ascii="宋体" w:hAnsi="宋体" w:cs="宋体" w:eastAsia="宋体" w:hint="default"/>
                <w:sz w:val="18"/>
                <w:szCs w:val="18"/>
              </w:rPr>
            </w:pPr>
            <w:r>
              <w:rPr>
                <w:rFonts w:ascii="宋体" w:hAnsi="宋体" w:cs="宋体" w:eastAsia="宋体" w:hint="default"/>
                <w:spacing w:val="14"/>
                <w:sz w:val="18"/>
                <w:szCs w:val="18"/>
              </w:rPr>
              <w:t>行，有关</w:t>
            </w:r>
            <w:r>
              <w:rPr>
                <w:rFonts w:ascii="宋体" w:hAnsi="宋体" w:cs="宋体" w:eastAsia="宋体" w:hint="default"/>
                <w:spacing w:val="-71"/>
                <w:sz w:val="18"/>
                <w:szCs w:val="18"/>
              </w:rPr>
              <w:t> </w:t>
            </w:r>
            <w:r>
              <w:rPr>
                <w:rFonts w:ascii="宋体" w:hAnsi="宋体" w:cs="宋体" w:eastAsia="宋体" w:hint="default"/>
                <w:sz w:val="18"/>
                <w:szCs w:val="18"/>
              </w:rPr>
            </w:r>
          </w:p>
          <w:p>
            <w:pPr>
              <w:pStyle w:val="TableParagraph"/>
              <w:spacing w:line="264" w:lineRule="auto" w:before="23"/>
              <w:ind w:left="105" w:right="77"/>
              <w:jc w:val="both"/>
              <w:rPr>
                <w:rFonts w:ascii="宋体" w:hAnsi="宋体" w:cs="宋体" w:eastAsia="宋体" w:hint="default"/>
                <w:sz w:val="18"/>
                <w:szCs w:val="18"/>
              </w:rPr>
            </w:pPr>
            <w:r>
              <w:rPr>
                <w:rFonts w:ascii="宋体" w:hAnsi="宋体" w:cs="宋体" w:eastAsia="宋体" w:hint="default"/>
                <w:spacing w:val="14"/>
                <w:sz w:val="18"/>
                <w:szCs w:val="18"/>
              </w:rPr>
              <w:t>情况见本</w:t>
            </w:r>
            <w:r>
              <w:rPr>
                <w:rFonts w:ascii="宋体" w:hAnsi="宋体" w:cs="宋体" w:eastAsia="宋体" w:hint="default"/>
                <w:spacing w:val="-71"/>
                <w:sz w:val="18"/>
                <w:szCs w:val="18"/>
              </w:rPr>
              <w:t> </w:t>
            </w:r>
            <w:r>
              <w:rPr>
                <w:rFonts w:ascii="宋体" w:hAnsi="宋体" w:cs="宋体" w:eastAsia="宋体" w:hint="default"/>
                <w:spacing w:val="14"/>
                <w:sz w:val="18"/>
                <w:szCs w:val="18"/>
              </w:rPr>
              <w:t>年报本章</w:t>
            </w:r>
            <w:r>
              <w:rPr>
                <w:rFonts w:ascii="宋体" w:hAnsi="宋体" w:cs="宋体" w:eastAsia="宋体" w:hint="default"/>
                <w:spacing w:val="-71"/>
                <w:sz w:val="18"/>
                <w:szCs w:val="18"/>
              </w:rPr>
              <w:t> </w:t>
            </w:r>
            <w:r>
              <w:rPr>
                <w:rFonts w:ascii="宋体" w:hAnsi="宋体" w:cs="宋体" w:eastAsia="宋体" w:hint="default"/>
                <w:sz w:val="18"/>
                <w:szCs w:val="18"/>
              </w:rPr>
              <w:t>第 七</w:t>
            </w:r>
            <w:r>
              <w:rPr>
                <w:rFonts w:ascii="宋体" w:hAnsi="宋体" w:cs="宋体" w:eastAsia="宋体" w:hint="default"/>
                <w:spacing w:val="54"/>
                <w:sz w:val="18"/>
                <w:szCs w:val="18"/>
              </w:rPr>
              <w:t> </w:t>
            </w:r>
            <w:r>
              <w:rPr>
                <w:rFonts w:ascii="宋体" w:hAnsi="宋体" w:cs="宋体" w:eastAsia="宋体" w:hint="default"/>
                <w:sz w:val="18"/>
                <w:szCs w:val="18"/>
              </w:rPr>
              <w:t>节</w:t>
            </w:r>
            <w:r>
              <w:rPr>
                <w:rFonts w:ascii="宋体" w:hAnsi="宋体" w:cs="宋体" w:eastAsia="宋体" w:hint="default"/>
                <w:sz w:val="18"/>
                <w:szCs w:val="18"/>
              </w:rPr>
              <w:t> </w:t>
            </w:r>
            <w:r>
              <w:rPr>
                <w:rFonts w:ascii="宋体" w:hAnsi="宋体" w:cs="宋体" w:eastAsia="宋体" w:hint="default"/>
                <w:spacing w:val="14"/>
                <w:sz w:val="18"/>
                <w:szCs w:val="18"/>
              </w:rPr>
              <w:t>“二、公</w:t>
            </w:r>
            <w:r>
              <w:rPr>
                <w:rFonts w:ascii="宋体" w:hAnsi="宋体" w:cs="宋体" w:eastAsia="宋体" w:hint="default"/>
                <w:spacing w:val="-71"/>
                <w:sz w:val="18"/>
                <w:szCs w:val="18"/>
              </w:rPr>
              <w:t> </w:t>
            </w:r>
            <w:r>
              <w:rPr>
                <w:rFonts w:ascii="宋体" w:hAnsi="宋体" w:cs="宋体" w:eastAsia="宋体" w:hint="default"/>
                <w:spacing w:val="14"/>
                <w:sz w:val="18"/>
                <w:szCs w:val="18"/>
              </w:rPr>
              <w:t>司子公司</w:t>
            </w:r>
            <w:r>
              <w:rPr>
                <w:rFonts w:ascii="宋体" w:hAnsi="宋体" w:cs="宋体" w:eastAsia="宋体" w:hint="default"/>
                <w:spacing w:val="-71"/>
                <w:sz w:val="18"/>
                <w:szCs w:val="18"/>
              </w:rPr>
              <w:t> </w:t>
            </w:r>
            <w:r>
              <w:rPr>
                <w:rFonts w:ascii="宋体" w:hAnsi="宋体" w:cs="宋体" w:eastAsia="宋体" w:hint="default"/>
                <w:sz w:val="18"/>
                <w:szCs w:val="18"/>
              </w:rPr>
              <w:t>重 大</w:t>
            </w:r>
            <w:r>
              <w:rPr>
                <w:rFonts w:ascii="宋体" w:hAnsi="宋体" w:cs="宋体" w:eastAsia="宋体" w:hint="default"/>
                <w:spacing w:val="54"/>
                <w:sz w:val="18"/>
                <w:szCs w:val="18"/>
              </w:rPr>
              <w:t> </w:t>
            </w:r>
            <w:r>
              <w:rPr>
                <w:rFonts w:ascii="宋体" w:hAnsi="宋体" w:cs="宋体" w:eastAsia="宋体" w:hint="default"/>
                <w:sz w:val="18"/>
                <w:szCs w:val="18"/>
              </w:rPr>
              <w:t>事</w:t>
            </w: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5" w:right="0"/>
              <w:jc w:val="left"/>
              <w:rPr>
                <w:rFonts w:ascii="宋体" w:hAnsi="宋体" w:cs="宋体" w:eastAsia="宋体" w:hint="default"/>
                <w:sz w:val="18"/>
                <w:szCs w:val="18"/>
              </w:rPr>
            </w:pPr>
            <w:r>
              <w:rPr>
                <w:rFonts w:ascii="宋体" w:hAnsi="宋体" w:cs="宋体" w:eastAsia="宋体" w:hint="default"/>
                <w:sz w:val="18"/>
                <w:szCs w:val="18"/>
              </w:rPr>
              <w:t>通信和长实通信及其控制的其他公司、企业或者其他经济组织造</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103" w:right="0"/>
              <w:jc w:val="left"/>
              <w:rPr>
                <w:rFonts w:ascii="宋体" w:hAnsi="宋体" w:cs="宋体" w:eastAsia="宋体" w:hint="default"/>
                <w:sz w:val="18"/>
                <w:szCs w:val="18"/>
              </w:rPr>
            </w:pPr>
            <w:r>
              <w:rPr>
                <w:rFonts w:ascii="宋体" w:hAnsi="宋体" w:cs="宋体" w:eastAsia="宋体" w:hint="default"/>
                <w:sz w:val="18"/>
                <w:szCs w:val="18"/>
              </w:rPr>
              <w:t>之</w:t>
            </w:r>
            <w:r>
              <w:rPr>
                <w:rFonts w:ascii="宋体" w:hAnsi="宋体" w:cs="宋体" w:eastAsia="宋体" w:hint="default"/>
                <w:spacing w:val="42"/>
                <w:sz w:val="18"/>
                <w:szCs w:val="18"/>
              </w:rPr>
              <w:t> </w:t>
            </w:r>
            <w:r>
              <w:rPr>
                <w:rFonts w:ascii="宋体" w:hAnsi="宋体" w:cs="宋体" w:eastAsia="宋体" w:hint="default"/>
                <w:sz w:val="18"/>
                <w:szCs w:val="18"/>
              </w:rPr>
              <w:t>日</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20" w:lineRule="exact"/>
              <w:ind w:right="48"/>
              <w:jc w:val="center"/>
              <w:rPr>
                <w:rFonts w:ascii="宋体" w:hAnsi="宋体" w:cs="宋体" w:eastAsia="宋体" w:hint="default"/>
                <w:sz w:val="18"/>
                <w:szCs w:val="18"/>
              </w:rPr>
            </w:pPr>
            <w:r>
              <w:rPr>
                <w:rFonts w:ascii="宋体" w:hAnsi="宋体" w:cs="宋体" w:eastAsia="宋体" w:hint="default"/>
                <w:sz w:val="18"/>
                <w:szCs w:val="18"/>
              </w:rPr>
              <w:t>项”内容</w:t>
            </w:r>
          </w:p>
        </w:tc>
      </w:tr>
      <w:tr>
        <w:trPr>
          <w:trHeight w:val="251" w:hRule="exact"/>
        </w:trPr>
        <w:tc>
          <w:tcPr>
            <w:tcW w:w="708" w:type="dxa"/>
            <w:tcBorders>
              <w:top w:val="nil" w:sz="6" w:space="0" w:color="auto"/>
              <w:left w:val="single" w:sz="4" w:space="0" w:color="000000"/>
              <w:bottom w:val="single" w:sz="4" w:space="0" w:color="000000"/>
              <w:right w:val="single" w:sz="4" w:space="0" w:color="000000"/>
            </w:tcBorders>
          </w:tcPr>
          <w:p>
            <w:pPr/>
          </w:p>
        </w:tc>
        <w:tc>
          <w:tcPr>
            <w:tcW w:w="852"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5245" w:type="dxa"/>
            <w:tcBorders>
              <w:top w:val="nil" w:sz="6" w:space="0" w:color="auto"/>
              <w:left w:val="single" w:sz="4" w:space="0" w:color="000000"/>
              <w:bottom w:val="single" w:sz="4" w:space="0" w:color="000000"/>
              <w:right w:val="single" w:sz="4" w:space="0" w:color="000000"/>
            </w:tcBorders>
          </w:tcPr>
          <w:p>
            <w:pPr>
              <w:pStyle w:val="TableParagraph"/>
              <w:spacing w:line="221" w:lineRule="exact"/>
              <w:ind w:left="105" w:right="0"/>
              <w:jc w:val="left"/>
              <w:rPr>
                <w:rFonts w:ascii="宋体" w:hAnsi="宋体" w:cs="宋体" w:eastAsia="宋体" w:hint="default"/>
                <w:sz w:val="18"/>
                <w:szCs w:val="18"/>
              </w:rPr>
            </w:pPr>
            <w:r>
              <w:rPr>
                <w:rFonts w:ascii="宋体" w:hAnsi="宋体" w:cs="宋体" w:eastAsia="宋体" w:hint="default"/>
                <w:sz w:val="18"/>
                <w:szCs w:val="18"/>
              </w:rPr>
              <w:t>成的一切损失。</w:t>
            </w:r>
          </w:p>
        </w:tc>
        <w:tc>
          <w:tcPr>
            <w:tcW w:w="710" w:type="dxa"/>
            <w:tcBorders>
              <w:top w:val="nil" w:sz="6" w:space="0" w:color="auto"/>
              <w:left w:val="single" w:sz="4" w:space="0" w:color="000000"/>
              <w:bottom w:val="single" w:sz="4" w:space="0" w:color="000000"/>
              <w:right w:val="single" w:sz="4" w:space="0" w:color="000000"/>
            </w:tcBorders>
          </w:tcPr>
          <w:p>
            <w:pPr/>
          </w:p>
        </w:tc>
        <w:tc>
          <w:tcPr>
            <w:tcW w:w="709" w:type="dxa"/>
            <w:tcBorders>
              <w:top w:val="nil" w:sz="6" w:space="0" w:color="auto"/>
              <w:left w:val="single" w:sz="4" w:space="0" w:color="000000"/>
              <w:bottom w:val="single" w:sz="4" w:space="0" w:color="000000"/>
              <w:right w:val="single" w:sz="4" w:space="0" w:color="000000"/>
            </w:tcBorders>
          </w:tcPr>
          <w:p>
            <w:pPr>
              <w:pStyle w:val="TableParagraph"/>
              <w:spacing w:line="221" w:lineRule="exact"/>
              <w:ind w:left="103" w:right="0"/>
              <w:jc w:val="left"/>
              <w:rPr>
                <w:rFonts w:ascii="宋体" w:hAnsi="宋体" w:cs="宋体" w:eastAsia="宋体" w:hint="default"/>
                <w:sz w:val="18"/>
                <w:szCs w:val="18"/>
              </w:rPr>
            </w:pPr>
            <w:r>
              <w:rPr>
                <w:rFonts w:ascii="宋体" w:hAnsi="宋体" w:cs="宋体" w:eastAsia="宋体" w:hint="default"/>
                <w:sz w:val="18"/>
                <w:szCs w:val="18"/>
              </w:rPr>
              <w:t>止</w:t>
            </w:r>
          </w:p>
        </w:tc>
        <w:tc>
          <w:tcPr>
            <w:tcW w:w="991" w:type="dxa"/>
            <w:tcBorders>
              <w:top w:val="nil" w:sz="6" w:space="0" w:color="auto"/>
              <w:left w:val="single" w:sz="4" w:space="0" w:color="000000"/>
              <w:bottom w:val="single" w:sz="4" w:space="0" w:color="000000"/>
              <w:right w:val="single" w:sz="4" w:space="0" w:color="000000"/>
            </w:tcBorders>
          </w:tcPr>
          <w:p>
            <w:pPr/>
          </w:p>
        </w:tc>
      </w:tr>
    </w:tbl>
    <w:p>
      <w:pPr>
        <w:pStyle w:val="BodyText"/>
        <w:spacing w:line="273" w:lineRule="auto" w:before="28"/>
        <w:ind w:left="252" w:right="1127"/>
        <w:jc w:val="left"/>
        <w:rPr>
          <w:rFonts w:ascii="宋体" w:hAnsi="宋体" w:cs="宋体" w:eastAsia="宋体" w:hint="default"/>
        </w:rPr>
      </w:pPr>
      <w:r>
        <w:rPr/>
        <w:pict>
          <v:group style="position:absolute;margin-left:85.344002pt;margin-top:62.149681pt;width:42pt;height:143.1pt;mso-position-horizontal-relative:page;mso-position-vertical-relative:paragraph;z-index:-1013128" coordorigin="1707,1243" coordsize="840,2862">
            <v:group style="position:absolute;left:1707;top:1243;width:840;height:2862" coordorigin="1707,1243" coordsize="840,2862">
              <v:shape style="position:absolute;left:1707;top:1243;width:840;height:2862" coordorigin="1707,1243" coordsize="840,2862" path="m1707,4104l2547,4104,2547,1243,1707,1243,1707,4104xe" filled="true" fillcolor="#ffffff" stroked="false">
                <v:path arrowok="t"/>
                <v:fill type="solid"/>
              </v:shape>
            </v:group>
            <v:group style="position:absolute;left:1728;top:2153;width:797;height:262" coordorigin="1728,2153" coordsize="797,262">
              <v:shape style="position:absolute;left:1728;top:2153;width:797;height:262" coordorigin="1728,2153" coordsize="797,262" path="m1728,2415l2525,2415,2525,2153,1728,2153,1728,2415xe" filled="true" fillcolor="#ffffff" stroked="false">
                <v:path arrowok="t"/>
                <v:fill type="solid"/>
              </v:shape>
            </v:group>
            <v:group style="position:absolute;left:1728;top:2415;width:797;height:260" coordorigin="1728,2415" coordsize="797,260">
              <v:shape style="position:absolute;left:1728;top:2415;width:797;height:260" coordorigin="1728,2415" coordsize="797,260" path="m1728,2674l2525,2674,2525,2415,1728,2415,1728,2674xe" filled="true" fillcolor="#ffffff" stroked="false">
                <v:path arrowok="t"/>
                <v:fill type="solid"/>
              </v:shape>
            </v:group>
            <v:group style="position:absolute;left:1728;top:2674;width:797;height:260" coordorigin="1728,2674" coordsize="797,260">
              <v:shape style="position:absolute;left:1728;top:2674;width:797;height:260" coordorigin="1728,2674" coordsize="797,260" path="m1728,2933l2525,2933,2525,2674,1728,2674,1728,2933xe" filled="true" fillcolor="#ffffff" stroked="false">
                <v:path arrowok="t"/>
                <v:fill type="solid"/>
              </v:shape>
            </v:group>
            <v:group style="position:absolute;left:1728;top:2933;width:797;height:262" coordorigin="1728,2933" coordsize="797,262">
              <v:shape style="position:absolute;left:1728;top:2933;width:797;height:262" coordorigin="1728,2933" coordsize="797,262" path="m1728,3195l2525,3195,2525,2933,1728,2933,1728,3195xe" filled="true" fillcolor="#ffffff" stroked="false">
                <v:path arrowok="t"/>
                <v:fill type="solid"/>
              </v:shape>
            </v:group>
            <w10:wrap type="none"/>
          </v:group>
        </w:pict>
      </w:r>
      <w:r>
        <w:rPr>
          <w:rFonts w:ascii="宋体" w:hAnsi="宋体" w:cs="宋体" w:eastAsia="宋体" w:hint="default"/>
        </w:rPr>
        <w:t>(</w:t>
      </w:r>
      <w:r>
        <w:rPr/>
        <w:t>三</w:t>
      </w:r>
      <w:r>
        <w:rPr>
          <w:rFonts w:ascii="宋体" w:hAnsi="宋体" w:cs="宋体" w:eastAsia="宋体" w:hint="default"/>
        </w:rPr>
        <w:t>)</w:t>
      </w:r>
      <w:r>
        <w:rPr>
          <w:rFonts w:ascii="宋体" w:hAnsi="宋体" w:cs="宋体" w:eastAsia="宋体" w:hint="default"/>
          <w:spacing w:val="72"/>
        </w:rPr>
        <w:t> </w:t>
      </w:r>
      <w:r>
        <w:rPr/>
        <w:t>被收购方嘉华信息原股东、实际控制人刘英魁在报告期内履行完毕及截至报告期末尚未履行完毕的</w:t>
      </w:r>
      <w:r>
        <w:rPr>
          <w:spacing w:val="-98"/>
        </w:rPr>
        <w:t> </w:t>
      </w:r>
      <w:r>
        <w:rPr>
          <w:spacing w:val="-98"/>
        </w:rPr>
      </w:r>
      <w:r>
        <w:rPr/>
        <w:t>承诺事项</w:t>
      </w:r>
      <w:r>
        <w:rPr>
          <w:rFonts w:ascii="宋体" w:hAnsi="宋体" w:cs="宋体" w:eastAsia="宋体" w:hint="default"/>
        </w:rPr>
        <w:t> </w:t>
      </w:r>
    </w:p>
    <w:p>
      <w:pPr>
        <w:spacing w:line="240" w:lineRule="auto" w:before="6"/>
        <w:rPr>
          <w:rFonts w:ascii="宋体" w:hAnsi="宋体" w:cs="宋体" w:eastAsia="宋体" w:hint="default"/>
          <w:sz w:val="4"/>
          <w:szCs w:val="4"/>
        </w:rPr>
      </w:pPr>
    </w:p>
    <w:tbl>
      <w:tblPr>
        <w:tblW w:w="0" w:type="auto"/>
        <w:jc w:val="left"/>
        <w:tblInd w:w="106" w:type="dxa"/>
        <w:tblLayout w:type="fixed"/>
        <w:tblCellMar>
          <w:top w:w="0" w:type="dxa"/>
          <w:left w:w="0" w:type="dxa"/>
          <w:bottom w:w="0" w:type="dxa"/>
          <w:right w:w="0" w:type="dxa"/>
        </w:tblCellMar>
        <w:tblLook w:val="01E0"/>
      </w:tblPr>
      <w:tblGrid>
        <w:gridCol w:w="708"/>
        <w:gridCol w:w="852"/>
        <w:gridCol w:w="708"/>
        <w:gridCol w:w="5245"/>
        <w:gridCol w:w="710"/>
        <w:gridCol w:w="709"/>
        <w:gridCol w:w="991"/>
      </w:tblGrid>
      <w:tr>
        <w:trPr>
          <w:trHeight w:val="530" w:hRule="exact"/>
        </w:trPr>
        <w:tc>
          <w:tcPr>
            <w:tcW w:w="7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6" w:lineRule="auto"/>
              <w:ind w:left="168" w:right="168"/>
              <w:jc w:val="left"/>
              <w:rPr>
                <w:rFonts w:ascii="宋体" w:hAnsi="宋体" w:cs="宋体" w:eastAsia="宋体" w:hint="default"/>
                <w:sz w:val="18"/>
                <w:szCs w:val="18"/>
              </w:rPr>
            </w:pPr>
            <w:r>
              <w:rPr>
                <w:rFonts w:ascii="宋体" w:hAnsi="宋体" w:cs="宋体" w:eastAsia="宋体" w:hint="default"/>
                <w:sz w:val="18"/>
                <w:szCs w:val="18"/>
              </w:rPr>
              <w:t>承诺 事由</w:t>
            </w:r>
          </w:p>
        </w:tc>
        <w:tc>
          <w:tcPr>
            <w:tcW w:w="8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30"/>
              <w:ind w:left="153" w:right="0"/>
              <w:jc w:val="left"/>
              <w:rPr>
                <w:rFonts w:ascii="宋体" w:hAnsi="宋体" w:cs="宋体" w:eastAsia="宋体" w:hint="default"/>
                <w:sz w:val="18"/>
                <w:szCs w:val="18"/>
              </w:rPr>
            </w:pPr>
            <w:r>
              <w:rPr>
                <w:rFonts w:ascii="宋体" w:hAnsi="宋体" w:cs="宋体" w:eastAsia="宋体" w:hint="default"/>
                <w:sz w:val="18"/>
                <w:szCs w:val="18"/>
              </w:rPr>
              <w:t>承诺方</w:t>
            </w:r>
          </w:p>
        </w:tc>
        <w:tc>
          <w:tcPr>
            <w:tcW w:w="70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6" w:lineRule="auto"/>
              <w:ind w:left="167" w:right="168"/>
              <w:jc w:val="left"/>
              <w:rPr>
                <w:rFonts w:ascii="宋体" w:hAnsi="宋体" w:cs="宋体" w:eastAsia="宋体" w:hint="default"/>
                <w:sz w:val="18"/>
                <w:szCs w:val="18"/>
              </w:rPr>
            </w:pPr>
            <w:r>
              <w:rPr>
                <w:rFonts w:ascii="宋体" w:hAnsi="宋体" w:cs="宋体" w:eastAsia="宋体" w:hint="default"/>
                <w:sz w:val="18"/>
                <w:szCs w:val="18"/>
              </w:rPr>
              <w:t>承诺 类型</w:t>
            </w:r>
          </w:p>
        </w:tc>
        <w:tc>
          <w:tcPr>
            <w:tcW w:w="524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30"/>
              <w:ind w:left="2" w:right="0"/>
              <w:jc w:val="center"/>
              <w:rPr>
                <w:rFonts w:ascii="宋体" w:hAnsi="宋体" w:cs="宋体" w:eastAsia="宋体" w:hint="default"/>
                <w:sz w:val="18"/>
                <w:szCs w:val="18"/>
              </w:rPr>
            </w:pPr>
            <w:r>
              <w:rPr>
                <w:rFonts w:ascii="宋体" w:hAnsi="宋体" w:cs="宋体" w:eastAsia="宋体" w:hint="default"/>
                <w:sz w:val="18"/>
                <w:szCs w:val="18"/>
              </w:rPr>
              <w:t>承诺内容</w:t>
            </w:r>
          </w:p>
        </w:tc>
        <w:tc>
          <w:tcPr>
            <w:tcW w:w="71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6" w:lineRule="auto"/>
              <w:ind w:left="170" w:right="168"/>
              <w:jc w:val="left"/>
              <w:rPr>
                <w:rFonts w:ascii="宋体" w:hAnsi="宋体" w:cs="宋体" w:eastAsia="宋体" w:hint="default"/>
                <w:sz w:val="18"/>
                <w:szCs w:val="18"/>
              </w:rPr>
            </w:pPr>
            <w:r>
              <w:rPr>
                <w:rFonts w:ascii="宋体" w:hAnsi="宋体" w:cs="宋体" w:eastAsia="宋体" w:hint="default"/>
                <w:sz w:val="18"/>
                <w:szCs w:val="18"/>
              </w:rPr>
              <w:t>承诺 时间</w:t>
            </w:r>
          </w:p>
        </w:tc>
        <w:tc>
          <w:tcPr>
            <w:tcW w:w="7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6" w:lineRule="auto"/>
              <w:ind w:left="168" w:right="168"/>
              <w:jc w:val="left"/>
              <w:rPr>
                <w:rFonts w:ascii="宋体" w:hAnsi="宋体" w:cs="宋体" w:eastAsia="宋体" w:hint="default"/>
                <w:sz w:val="18"/>
                <w:szCs w:val="18"/>
              </w:rPr>
            </w:pPr>
            <w:r>
              <w:rPr>
                <w:rFonts w:ascii="宋体" w:hAnsi="宋体" w:cs="宋体" w:eastAsia="宋体" w:hint="default"/>
                <w:sz w:val="18"/>
                <w:szCs w:val="18"/>
              </w:rPr>
              <w:t>承诺 期限</w:t>
            </w:r>
          </w:p>
        </w:tc>
        <w:tc>
          <w:tcPr>
            <w:tcW w:w="9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30"/>
              <w:ind w:right="127"/>
              <w:jc w:val="right"/>
              <w:rPr>
                <w:rFonts w:ascii="宋体" w:hAnsi="宋体" w:cs="宋体" w:eastAsia="宋体" w:hint="default"/>
                <w:sz w:val="18"/>
                <w:szCs w:val="18"/>
              </w:rPr>
            </w:pPr>
            <w:r>
              <w:rPr>
                <w:rFonts w:ascii="宋体" w:hAnsi="宋体" w:cs="宋体" w:eastAsia="宋体" w:hint="default"/>
                <w:sz w:val="18"/>
                <w:szCs w:val="18"/>
              </w:rPr>
              <w:t>履行情况</w:t>
            </w:r>
          </w:p>
        </w:tc>
      </w:tr>
      <w:tr>
        <w:trPr>
          <w:trHeight w:val="280" w:hRule="exact"/>
        </w:trPr>
        <w:tc>
          <w:tcPr>
            <w:tcW w:w="708" w:type="dxa"/>
            <w:tcBorders>
              <w:top w:val="single" w:sz="4" w:space="0" w:color="000000"/>
              <w:left w:val="single" w:sz="4" w:space="0" w:color="000000"/>
              <w:bottom w:val="nil" w:sz="6" w:space="0" w:color="auto"/>
              <w:right w:val="single" w:sz="4" w:space="0" w:color="000000"/>
            </w:tcBorders>
          </w:tcPr>
          <w:p>
            <w:pPr/>
          </w:p>
        </w:tc>
        <w:tc>
          <w:tcPr>
            <w:tcW w:w="852"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5245" w:type="dxa"/>
            <w:tcBorders>
              <w:top w:val="single" w:sz="4" w:space="0" w:color="000000"/>
              <w:left w:val="single" w:sz="4" w:space="0" w:color="000000"/>
              <w:bottom w:val="nil" w:sz="6" w:space="0" w:color="auto"/>
              <w:right w:val="single" w:sz="4" w:space="0" w:color="000000"/>
            </w:tcBorders>
          </w:tcPr>
          <w:p>
            <w:pPr>
              <w:pStyle w:val="TableParagraph"/>
              <w:spacing w:line="234" w:lineRule="exact"/>
              <w:ind w:left="23" w:right="0"/>
              <w:jc w:val="left"/>
              <w:rPr>
                <w:rFonts w:ascii="宋体" w:hAnsi="宋体" w:cs="宋体" w:eastAsia="宋体" w:hint="default"/>
                <w:sz w:val="18"/>
                <w:szCs w:val="18"/>
              </w:rPr>
            </w:pPr>
            <w:r>
              <w:rPr>
                <w:rFonts w:ascii="宋体" w:hAnsi="宋体" w:cs="宋体" w:eastAsia="宋体" w:hint="default"/>
                <w:sz w:val="18"/>
                <w:szCs w:val="18"/>
              </w:rPr>
              <w:t>关于股份锁定期的承诺：</w:t>
            </w:r>
          </w:p>
        </w:tc>
        <w:tc>
          <w:tcPr>
            <w:tcW w:w="710" w:type="dxa"/>
            <w:tcBorders>
              <w:top w:val="single" w:sz="4" w:space="0" w:color="000000"/>
              <w:left w:val="single" w:sz="4" w:space="0" w:color="000000"/>
              <w:bottom w:val="nil" w:sz="6" w:space="0" w:color="auto"/>
              <w:right w:val="single" w:sz="4" w:space="0" w:color="000000"/>
            </w:tcBorders>
          </w:tcPr>
          <w:p>
            <w:pPr/>
          </w:p>
        </w:tc>
        <w:tc>
          <w:tcPr>
            <w:tcW w:w="709" w:type="dxa"/>
            <w:tcBorders>
              <w:top w:val="single" w:sz="4" w:space="0" w:color="000000"/>
              <w:left w:val="single" w:sz="4" w:space="0" w:color="000000"/>
              <w:bottom w:val="nil" w:sz="6" w:space="0" w:color="auto"/>
              <w:right w:val="single" w:sz="4" w:space="0" w:color="000000"/>
            </w:tcBorders>
          </w:tcPr>
          <w:p>
            <w:pPr/>
          </w:p>
        </w:tc>
        <w:tc>
          <w:tcPr>
            <w:tcW w:w="991" w:type="dxa"/>
            <w:tcBorders>
              <w:top w:val="single" w:sz="4" w:space="0" w:color="000000"/>
              <w:left w:val="single" w:sz="4" w:space="0" w:color="000000"/>
              <w:bottom w:val="nil" w:sz="6" w:space="0" w:color="auto"/>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23" w:right="0"/>
              <w:jc w:val="left"/>
              <w:rPr>
                <w:rFonts w:ascii="宋体" w:hAnsi="宋体" w:cs="宋体" w:eastAsia="宋体" w:hint="default"/>
                <w:sz w:val="18"/>
                <w:szCs w:val="18"/>
              </w:rPr>
            </w:pPr>
            <w:r>
              <w:rPr>
                <w:rFonts w:ascii="宋体" w:hAnsi="宋体" w:cs="宋体" w:eastAsia="宋体" w:hint="default"/>
                <w:sz w:val="18"/>
                <w:szCs w:val="18"/>
              </w:rPr>
              <w:t>交易对方获得对价股份的锁定期安排：</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264"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23" w:right="0"/>
              <w:jc w:val="left"/>
              <w:rPr>
                <w:rFonts w:ascii="宋体" w:hAnsi="宋体" w:cs="宋体" w:eastAsia="宋体" w:hint="default"/>
                <w:sz w:val="18"/>
                <w:szCs w:val="18"/>
              </w:rPr>
            </w:pPr>
            <w:r>
              <w:rPr>
                <w:rFonts w:ascii="宋体" w:hAnsi="宋体" w:cs="宋体" w:eastAsia="宋体" w:hint="default"/>
                <w:sz w:val="18"/>
                <w:szCs w:val="18"/>
              </w:rPr>
              <w:t>刘英魁以其持有的嘉华信息</w:t>
            </w:r>
            <w:r>
              <w:rPr>
                <w:rFonts w:ascii="宋体" w:hAnsi="宋体" w:cs="宋体" w:eastAsia="宋体" w:hint="default"/>
                <w:spacing w:val="-39"/>
                <w:sz w:val="18"/>
                <w:szCs w:val="18"/>
              </w:rPr>
              <w:t> </w:t>
            </w:r>
            <w:r>
              <w:rPr>
                <w:rFonts w:ascii="Times New Roman" w:hAnsi="Times New Roman" w:cs="Times New Roman" w:eastAsia="Times New Roman" w:hint="default"/>
                <w:spacing w:val="-3"/>
                <w:sz w:val="18"/>
                <w:szCs w:val="18"/>
              </w:rPr>
              <w:t>49%</w:t>
            </w:r>
            <w:r>
              <w:rPr>
                <w:rFonts w:ascii="宋体" w:hAnsi="宋体" w:cs="宋体" w:eastAsia="宋体" w:hint="default"/>
                <w:spacing w:val="-3"/>
                <w:sz w:val="18"/>
                <w:szCs w:val="18"/>
              </w:rPr>
              <w:t>股权认购的茂业通信股份（包括在</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1296"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29" w:lineRule="exact"/>
              <w:ind w:left="24"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年</w:t>
            </w:r>
          </w:p>
          <w:p>
            <w:pPr>
              <w:pStyle w:val="TableParagraph"/>
              <w:spacing w:line="264" w:lineRule="auto" w:before="12"/>
              <w:ind w:left="24" w:right="-38"/>
              <w:jc w:val="both"/>
              <w:rPr>
                <w:rFonts w:ascii="宋体" w:hAnsi="宋体" w:cs="宋体" w:eastAsia="宋体" w:hint="default"/>
                <w:sz w:val="18"/>
                <w:szCs w:val="18"/>
              </w:rPr>
            </w:pPr>
            <w:r>
              <w:rPr>
                <w:rFonts w:ascii="宋体" w:hAnsi="宋体" w:cs="宋体" w:eastAsia="宋体" w:hint="default"/>
                <w:spacing w:val="38"/>
                <w:sz w:val="18"/>
                <w:szCs w:val="18"/>
              </w:rPr>
              <w:t>重大资</w:t>
            </w:r>
            <w:r>
              <w:rPr>
                <w:rFonts w:ascii="宋体" w:hAnsi="宋体" w:cs="宋体" w:eastAsia="宋体" w:hint="default"/>
                <w:spacing w:val="-33"/>
                <w:sz w:val="18"/>
                <w:szCs w:val="18"/>
              </w:rPr>
              <w:t> </w:t>
            </w:r>
            <w:r>
              <w:rPr>
                <w:rFonts w:ascii="宋体" w:hAnsi="宋体" w:cs="宋体" w:eastAsia="宋体" w:hint="default"/>
                <w:spacing w:val="38"/>
                <w:sz w:val="18"/>
                <w:szCs w:val="18"/>
              </w:rPr>
              <w:t>产收购</w:t>
            </w:r>
            <w:r>
              <w:rPr>
                <w:rFonts w:ascii="宋体" w:hAnsi="宋体" w:cs="宋体" w:eastAsia="宋体" w:hint="default"/>
                <w:spacing w:val="-33"/>
                <w:sz w:val="18"/>
                <w:szCs w:val="18"/>
              </w:rPr>
              <w:t> </w:t>
            </w:r>
            <w:r>
              <w:rPr>
                <w:rFonts w:ascii="宋体" w:hAnsi="宋体" w:cs="宋体" w:eastAsia="宋体" w:hint="default"/>
                <w:spacing w:val="38"/>
                <w:sz w:val="18"/>
                <w:szCs w:val="18"/>
              </w:rPr>
              <w:t>时所作</w:t>
            </w:r>
            <w:r>
              <w:rPr>
                <w:rFonts w:ascii="宋体" w:hAnsi="宋体" w:cs="宋体" w:eastAsia="宋体" w:hint="default"/>
                <w:spacing w:val="-33"/>
                <w:sz w:val="18"/>
                <w:szCs w:val="18"/>
              </w:rPr>
              <w:t> </w:t>
            </w:r>
            <w:r>
              <w:rPr>
                <w:rFonts w:ascii="宋体" w:hAnsi="宋体" w:cs="宋体" w:eastAsia="宋体" w:hint="default"/>
                <w:sz w:val="18"/>
                <w:szCs w:val="18"/>
              </w:rPr>
              <w:t>承诺</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64" w:lineRule="auto" w:before="109"/>
              <w:ind w:left="23" w:right="0"/>
              <w:jc w:val="both"/>
              <w:rPr>
                <w:rFonts w:ascii="宋体" w:hAnsi="宋体" w:cs="宋体" w:eastAsia="宋体" w:hint="default"/>
                <w:sz w:val="18"/>
                <w:szCs w:val="18"/>
              </w:rPr>
            </w:pPr>
            <w:r>
              <w:rPr>
                <w:rFonts w:ascii="宋体" w:hAnsi="宋体" w:cs="宋体" w:eastAsia="宋体" w:hint="default"/>
                <w:spacing w:val="18"/>
                <w:sz w:val="18"/>
                <w:szCs w:val="18"/>
              </w:rPr>
              <w:t>刘英魁、</w:t>
            </w:r>
            <w:r>
              <w:rPr>
                <w:rFonts w:ascii="宋体" w:hAnsi="宋体" w:cs="宋体" w:eastAsia="宋体" w:hint="default"/>
                <w:spacing w:val="-66"/>
                <w:sz w:val="18"/>
                <w:szCs w:val="18"/>
              </w:rPr>
              <w:t> </w:t>
            </w:r>
            <w:r>
              <w:rPr>
                <w:rFonts w:ascii="宋体" w:hAnsi="宋体" w:cs="宋体" w:eastAsia="宋体" w:hint="default"/>
                <w:sz w:val="18"/>
                <w:szCs w:val="18"/>
              </w:rPr>
              <w:t>嘉 语</w:t>
            </w:r>
            <w:r>
              <w:rPr>
                <w:rFonts w:ascii="宋体" w:hAnsi="宋体" w:cs="宋体" w:eastAsia="宋体" w:hint="default"/>
                <w:spacing w:val="74"/>
                <w:sz w:val="18"/>
                <w:szCs w:val="18"/>
              </w:rPr>
              <w:t> </w:t>
            </w:r>
            <w:r>
              <w:rPr>
                <w:rFonts w:ascii="宋体" w:hAnsi="宋体" w:cs="宋体" w:eastAsia="宋体" w:hint="default"/>
                <w:sz w:val="18"/>
                <w:szCs w:val="18"/>
              </w:rPr>
              <w:t>春</w:t>
            </w:r>
            <w:r>
              <w:rPr>
                <w:rFonts w:ascii="宋体" w:hAnsi="宋体" w:cs="宋体" w:eastAsia="宋体" w:hint="default"/>
                <w:sz w:val="18"/>
                <w:szCs w:val="18"/>
              </w:rPr>
              <w:t> </w:t>
            </w:r>
            <w:r>
              <w:rPr>
                <w:rFonts w:ascii="宋体" w:hAnsi="宋体" w:cs="宋体" w:eastAsia="宋体" w:hint="default"/>
                <w:spacing w:val="18"/>
                <w:sz w:val="18"/>
                <w:szCs w:val="18"/>
              </w:rPr>
              <w:t>华、嘉惠</w:t>
            </w:r>
            <w:r>
              <w:rPr>
                <w:rFonts w:ascii="宋体" w:hAnsi="宋体" w:cs="宋体" w:eastAsia="宋体" w:hint="default"/>
                <w:spacing w:val="-66"/>
                <w:sz w:val="18"/>
                <w:szCs w:val="18"/>
              </w:rPr>
              <w:t> </w:t>
            </w:r>
            <w:r>
              <w:rPr>
                <w:rFonts w:ascii="宋体" w:hAnsi="宋体" w:cs="宋体" w:eastAsia="宋体" w:hint="default"/>
                <w:sz w:val="18"/>
                <w:szCs w:val="18"/>
              </w:rPr>
              <w:t>秋实</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left="170" w:right="0"/>
              <w:jc w:val="left"/>
              <w:rPr>
                <w:rFonts w:ascii="宋体" w:hAnsi="宋体" w:cs="宋体" w:eastAsia="宋体" w:hint="default"/>
                <w:sz w:val="18"/>
                <w:szCs w:val="18"/>
              </w:rPr>
            </w:pPr>
            <w:r>
              <w:rPr>
                <w:rFonts w:ascii="宋体" w:hAnsi="宋体" w:cs="宋体" w:eastAsia="宋体" w:hint="default"/>
                <w:sz w:val="18"/>
                <w:szCs w:val="18"/>
              </w:rPr>
              <w:t>限期</w:t>
            </w: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23" w:right="0"/>
              <w:jc w:val="both"/>
              <w:rPr>
                <w:rFonts w:ascii="宋体" w:hAnsi="宋体" w:cs="宋体" w:eastAsia="宋体" w:hint="default"/>
                <w:sz w:val="18"/>
                <w:szCs w:val="18"/>
              </w:rPr>
            </w:pPr>
            <w:r>
              <w:rPr>
                <w:rFonts w:ascii="宋体" w:hAnsi="宋体" w:cs="宋体" w:eastAsia="宋体" w:hint="default"/>
                <w:spacing w:val="-2"/>
                <w:sz w:val="18"/>
                <w:szCs w:val="18"/>
              </w:rPr>
              <w:t>股份锁定期内因茂业通信分配股票股利、资本公积转增等衍生取得</w:t>
            </w:r>
          </w:p>
          <w:p>
            <w:pPr>
              <w:pStyle w:val="TableParagraph"/>
              <w:spacing w:line="259" w:lineRule="auto" w:before="26"/>
              <w:ind w:left="23" w:right="22"/>
              <w:jc w:val="both"/>
              <w:rPr>
                <w:rFonts w:ascii="宋体" w:hAnsi="宋体" w:cs="宋体" w:eastAsia="宋体" w:hint="default"/>
                <w:sz w:val="18"/>
                <w:szCs w:val="18"/>
              </w:rPr>
            </w:pPr>
            <w:r>
              <w:rPr>
                <w:rFonts w:ascii="宋体" w:hAnsi="宋体" w:cs="宋体" w:eastAsia="宋体" w:hint="default"/>
                <w:sz w:val="18"/>
                <w:szCs w:val="18"/>
              </w:rPr>
              <w:t>的股份）自股份发行结束之日起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36 </w:t>
            </w:r>
            <w:r>
              <w:rPr>
                <w:rFonts w:ascii="宋体" w:hAnsi="宋体" w:cs="宋体" w:eastAsia="宋体" w:hint="default"/>
                <w:sz w:val="18"/>
                <w:szCs w:val="18"/>
              </w:rPr>
              <w:t>个月内不得上市交易或转让。 </w:t>
            </w:r>
            <w:r>
              <w:rPr>
                <w:rFonts w:ascii="宋体" w:hAnsi="宋体" w:cs="宋体" w:eastAsia="宋体" w:hint="default"/>
                <w:spacing w:val="-2"/>
                <w:sz w:val="18"/>
                <w:szCs w:val="18"/>
              </w:rPr>
              <w:t>同时，本次交易中交易对方按照《发行股份及支付现金购买资产协</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议》以现金对价购买的股份数也一并承诺锁定，并按照业绩承诺实</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现进度分期解锁。</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年</w:t>
            </w:r>
          </w:p>
          <w:p>
            <w:pPr>
              <w:pStyle w:val="TableParagraph"/>
              <w:spacing w:line="240" w:lineRule="auto" w:before="10"/>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23"/>
                <w:sz w:val="18"/>
                <w:szCs w:val="18"/>
              </w:rPr>
              <w:t> </w:t>
            </w:r>
            <w:r>
              <w:rPr>
                <w:rFonts w:ascii="Times New Roman" w:hAnsi="Times New Roman" w:cs="Times New Roman" w:eastAsia="Times New Roman" w:hint="default"/>
                <w:sz w:val="18"/>
                <w:szCs w:val="18"/>
              </w:rPr>
              <w:t>15</w:t>
            </w:r>
          </w:p>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40" w:lineRule="auto" w:before="109"/>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12"/>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15</w:t>
            </w:r>
          </w:p>
          <w:p>
            <w:pPr>
              <w:pStyle w:val="TableParagraph"/>
              <w:spacing w:line="240" w:lineRule="auto" w:before="10"/>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日起</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36</w:t>
            </w:r>
          </w:p>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个月</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right="127"/>
              <w:jc w:val="right"/>
              <w:rPr>
                <w:rFonts w:ascii="宋体" w:hAnsi="宋体" w:cs="宋体" w:eastAsia="宋体" w:hint="default"/>
                <w:sz w:val="18"/>
                <w:szCs w:val="18"/>
              </w:rPr>
            </w:pPr>
            <w:r>
              <w:rPr>
                <w:rFonts w:ascii="宋体" w:hAnsi="宋体" w:cs="宋体" w:eastAsia="宋体" w:hint="default"/>
                <w:sz w:val="18"/>
                <w:szCs w:val="18"/>
              </w:rPr>
              <w:t>正常履行</w:t>
            </w:r>
          </w:p>
        </w:tc>
      </w:tr>
      <w:tr>
        <w:trPr>
          <w:trHeight w:val="259"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23" w:right="0"/>
              <w:jc w:val="left"/>
              <w:rPr>
                <w:rFonts w:ascii="宋体" w:hAnsi="宋体" w:cs="宋体" w:eastAsia="宋体" w:hint="default"/>
                <w:sz w:val="18"/>
                <w:szCs w:val="18"/>
              </w:rPr>
            </w:pPr>
            <w:r>
              <w:rPr>
                <w:rFonts w:ascii="宋体" w:hAnsi="宋体" w:cs="宋体" w:eastAsia="宋体" w:hint="default"/>
                <w:spacing w:val="-2"/>
                <w:sz w:val="18"/>
                <w:szCs w:val="18"/>
              </w:rPr>
              <w:t>业绩承诺期内，交易对方持有的股份数量需满足未来业绩承诺年度</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23" w:right="0"/>
              <w:jc w:val="left"/>
              <w:rPr>
                <w:rFonts w:ascii="宋体" w:hAnsi="宋体" w:cs="宋体" w:eastAsia="宋体" w:hint="default"/>
                <w:sz w:val="18"/>
                <w:szCs w:val="18"/>
              </w:rPr>
            </w:pPr>
            <w:r>
              <w:rPr>
                <w:rFonts w:ascii="宋体" w:hAnsi="宋体" w:cs="宋体" w:eastAsia="宋体" w:hint="default"/>
                <w:spacing w:val="-2"/>
                <w:sz w:val="18"/>
                <w:szCs w:val="18"/>
              </w:rPr>
              <w:t>承诺利润对应锁定股份数量要求，即，交易对方当期可解锁股份数</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251" w:hRule="exact"/>
        </w:trPr>
        <w:tc>
          <w:tcPr>
            <w:tcW w:w="708" w:type="dxa"/>
            <w:tcBorders>
              <w:top w:val="nil" w:sz="6" w:space="0" w:color="auto"/>
              <w:left w:val="single" w:sz="4" w:space="0" w:color="000000"/>
              <w:bottom w:val="single" w:sz="4" w:space="0" w:color="000000"/>
              <w:right w:val="single" w:sz="4" w:space="0" w:color="000000"/>
            </w:tcBorders>
          </w:tcPr>
          <w:p>
            <w:pPr/>
          </w:p>
        </w:tc>
        <w:tc>
          <w:tcPr>
            <w:tcW w:w="852"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5245" w:type="dxa"/>
            <w:tcBorders>
              <w:top w:val="nil" w:sz="6" w:space="0" w:color="auto"/>
              <w:left w:val="single" w:sz="4" w:space="0" w:color="000000"/>
              <w:bottom w:val="single" w:sz="4" w:space="0" w:color="000000"/>
              <w:right w:val="single" w:sz="4" w:space="0" w:color="000000"/>
            </w:tcBorders>
          </w:tcPr>
          <w:p>
            <w:pPr>
              <w:pStyle w:val="TableParagraph"/>
              <w:spacing w:line="234" w:lineRule="exact"/>
              <w:ind w:left="23" w:right="0"/>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（向刘英魁发行股份数</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交易对方按照《发行股份及支付现金购买</w:t>
            </w:r>
          </w:p>
        </w:tc>
        <w:tc>
          <w:tcPr>
            <w:tcW w:w="710" w:type="dxa"/>
            <w:tcBorders>
              <w:top w:val="nil" w:sz="6" w:space="0" w:color="auto"/>
              <w:left w:val="single" w:sz="4" w:space="0" w:color="000000"/>
              <w:bottom w:val="single" w:sz="4" w:space="0" w:color="000000"/>
              <w:right w:val="single" w:sz="4" w:space="0" w:color="000000"/>
            </w:tcBorders>
          </w:tcPr>
          <w:p>
            <w:pPr/>
          </w:p>
        </w:tc>
        <w:tc>
          <w:tcPr>
            <w:tcW w:w="709" w:type="dxa"/>
            <w:tcBorders>
              <w:top w:val="nil" w:sz="6" w:space="0" w:color="auto"/>
              <w:left w:val="single" w:sz="4" w:space="0" w:color="000000"/>
              <w:bottom w:val="single" w:sz="4" w:space="0" w:color="000000"/>
              <w:right w:val="single" w:sz="4" w:space="0" w:color="000000"/>
            </w:tcBorders>
          </w:tcPr>
          <w:p>
            <w:pPr/>
          </w:p>
        </w:tc>
        <w:tc>
          <w:tcPr>
            <w:tcW w:w="991" w:type="dxa"/>
            <w:tcBorders>
              <w:top w:val="nil" w:sz="6" w:space="0" w:color="auto"/>
              <w:left w:val="single" w:sz="4" w:space="0" w:color="000000"/>
              <w:bottom w:val="single" w:sz="4" w:space="0" w:color="000000"/>
              <w:right w:val="single" w:sz="4" w:space="0" w:color="000000"/>
            </w:tcBorders>
          </w:tcPr>
          <w:p>
            <w:pPr/>
          </w:p>
        </w:tc>
      </w:tr>
    </w:tbl>
    <w:p>
      <w:pPr>
        <w:spacing w:after="0"/>
        <w:sectPr>
          <w:pgSz w:w="11910" w:h="16840"/>
          <w:pgMar w:header="880" w:footer="975" w:top="1100" w:bottom="1160" w:left="880" w:right="0"/>
        </w:sectPr>
      </w:pPr>
    </w:p>
    <w:p>
      <w:pPr>
        <w:spacing w:line="240" w:lineRule="auto" w:before="11"/>
        <w:rPr>
          <w:rFonts w:ascii="Times New Roman" w:hAnsi="Times New Roman" w:cs="Times New Roman" w:eastAsia="Times New Roman" w:hint="default"/>
          <w:sz w:val="27"/>
          <w:szCs w:val="27"/>
        </w:rPr>
      </w:pPr>
      <w:r>
        <w:rPr/>
        <w:pict>
          <v:shape style="position:absolute;margin-left:401.350006pt;margin-top:620.115967pt;width:59.2pt;height:142.950pt;mso-position-horizontal-relative:page;mso-position-vertical-relative:page;z-index:-1013104" type="#_x0000_t202" filled="false" stroked="false">
            <v:textbox inset="0,0,0,0">
              <w:txbxContent>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line="240" w:lineRule="auto" w:before="0"/>
                    <w:rPr>
                      <w:rFonts w:ascii="Times New Roman" w:hAnsi="Times New Roman" w:cs="Times New Roman" w:eastAsia="Times New Roman" w:hint="default"/>
                      <w:sz w:val="18"/>
                      <w:szCs w:val="18"/>
                    </w:rPr>
                  </w:pPr>
                </w:p>
                <w:p>
                  <w:pPr>
                    <w:spacing w:before="158"/>
                    <w:ind w:left="0" w:right="0" w:firstLine="0"/>
                    <w:jc w:val="left"/>
                    <w:rPr>
                      <w:rFonts w:ascii="宋体" w:hAnsi="宋体" w:cs="宋体" w:eastAsia="宋体" w:hint="default"/>
                      <w:sz w:val="18"/>
                      <w:szCs w:val="18"/>
                    </w:rPr>
                  </w:pPr>
                  <w:r>
                    <w:rPr>
                      <w:rFonts w:ascii="宋体" w:hAnsi="宋体" w:cs="宋体" w:eastAsia="宋体" w:hint="default"/>
                      <w:sz w:val="18"/>
                      <w:szCs w:val="18"/>
                    </w:rPr>
                    <w:t>年度、</w:t>
                  </w:r>
                </w:p>
              </w:txbxContent>
            </v:textbox>
            <w10:wrap type="none"/>
          </v:shape>
        </w:pict>
      </w:r>
      <w:r>
        <w:rPr/>
        <w:pict>
          <v:group style="position:absolute;margin-left:85.344002pt;margin-top:463.005981pt;width:42pt;height:300.05pt;mso-position-horizontal-relative:page;mso-position-vertical-relative:page;z-index:-1013080" coordorigin="1707,9260" coordsize="840,6001">
            <v:group style="position:absolute;left:1707;top:9260;width:840;height:1823" coordorigin="1707,9260" coordsize="840,1823">
              <v:shape style="position:absolute;left:1707;top:9260;width:840;height:1823" coordorigin="1707,9260" coordsize="840,1823" path="m1707,11082l2547,11082,2547,9260,1707,9260,1707,11082xe" filled="true" fillcolor="#ffffff" stroked="false">
                <v:path arrowok="t"/>
                <v:fill type="solid"/>
              </v:shape>
            </v:group>
            <v:group style="position:absolute;left:1728;top:9911;width:797;height:262" coordorigin="1728,9911" coordsize="797,262">
              <v:shape style="position:absolute;left:1728;top:9911;width:797;height:262" coordorigin="1728,9911" coordsize="797,262" path="m1728,10173l2525,10173,2525,9911,1728,9911,1728,10173xe" filled="true" fillcolor="#ffffff" stroked="false">
                <v:path arrowok="t"/>
                <v:fill type="solid"/>
              </v:shape>
            </v:group>
            <v:group style="position:absolute;left:1728;top:10173;width:797;height:260" coordorigin="1728,10173" coordsize="797,260">
              <v:shape style="position:absolute;left:1728;top:10173;width:797;height:260" coordorigin="1728,10173" coordsize="797,260" path="m1728,10432l2525,10432,2525,10173,1728,10173,1728,10432xe" filled="true" fillcolor="#ffffff" stroked="false">
                <v:path arrowok="t"/>
                <v:fill type="solid"/>
              </v:shape>
            </v:group>
            <v:group style="position:absolute;left:1707;top:11092;width:840;height:1301" coordorigin="1707,11092" coordsize="840,1301">
              <v:shape style="position:absolute;left:1707;top:11092;width:840;height:1301" coordorigin="1707,11092" coordsize="840,1301" path="m1707,12393l2547,12393,2547,11092,1707,11092,1707,12393xe" filled="true" fillcolor="#ffffff" stroked="false">
                <v:path arrowok="t"/>
                <v:fill type="solid"/>
              </v:shape>
            </v:group>
            <v:group style="position:absolute;left:1728;top:11481;width:797;height:262" coordorigin="1728,11481" coordsize="797,262">
              <v:shape style="position:absolute;left:1728;top:11481;width:797;height:262" coordorigin="1728,11481" coordsize="797,262" path="m1728,11742l2525,11742,2525,11481,1728,11481,1728,11742xe" filled="true" fillcolor="#ffffff" stroked="false">
                <v:path arrowok="t"/>
                <v:fill type="solid"/>
              </v:shape>
            </v:group>
            <v:group style="position:absolute;left:1728;top:11742;width:797;height:260" coordorigin="1728,11742" coordsize="797,260">
              <v:shape style="position:absolute;left:1728;top:11742;width:797;height:260" coordorigin="1728,11742" coordsize="797,260" path="m1728,12001l2525,12001,2525,11742,1728,11742,1728,12001xe" filled="true" fillcolor="#ffffff" stroked="false">
                <v:path arrowok="t"/>
                <v:fill type="solid"/>
              </v:shape>
            </v:group>
            <v:group style="position:absolute;left:1707;top:12402;width:840;height:2859" coordorigin="1707,12402" coordsize="840,2859">
              <v:shape style="position:absolute;left:1707;top:12402;width:840;height:2859" coordorigin="1707,12402" coordsize="840,2859" path="m1707,15261l2547,15261,2547,12402,1707,12402,1707,15261xe" filled="true" fillcolor="#ffffff" stroked="false">
                <v:path arrowok="t"/>
                <v:fill type="solid"/>
              </v:shape>
            </v:group>
            <v:group style="position:absolute;left:1728;top:13312;width:797;height:260" coordorigin="1728,13312" coordsize="797,260">
              <v:shape style="position:absolute;left:1728;top:13312;width:797;height:260" coordorigin="1728,13312" coordsize="797,260" path="m1728,13572l2525,13572,2525,13312,1728,13312,1728,13572xe" filled="true" fillcolor="#ffffff" stroked="false">
                <v:path arrowok="t"/>
                <v:fill type="solid"/>
              </v:shape>
            </v:group>
            <v:group style="position:absolute;left:1728;top:13572;width:797;height:262" coordorigin="1728,13572" coordsize="797,262">
              <v:shape style="position:absolute;left:1728;top:13572;width:797;height:262" coordorigin="1728,13572" coordsize="797,262" path="m1728,13833l2525,13833,2525,13572,1728,13572,1728,13833xe" filled="true" fillcolor="#ffffff" stroked="false">
                <v:path arrowok="t"/>
                <v:fill type="solid"/>
              </v:shape>
            </v:group>
            <v:group style="position:absolute;left:1728;top:13833;width:797;height:260" coordorigin="1728,13833" coordsize="797,260">
              <v:shape style="position:absolute;left:1728;top:13833;width:797;height:260" coordorigin="1728,13833" coordsize="797,260" path="m1728,14092l2525,14092,2525,13833,1728,13833,1728,14092xe" filled="true" fillcolor="#ffffff" stroked="false">
                <v:path arrowok="t"/>
                <v:fill type="solid"/>
              </v:shape>
            </v:group>
            <v:group style="position:absolute;left:1728;top:14092;width:797;height:260" coordorigin="1728,14092" coordsize="797,260">
              <v:shape style="position:absolute;left:1728;top:14092;width:797;height:260" coordorigin="1728,14092" coordsize="797,260" path="m1728,14352l2525,14352,2525,14092,1728,14092,1728,14352xe" filled="true" fillcolor="#ffffff" stroked="false">
                <v:path arrowok="t"/>
                <v:fill type="solid"/>
              </v:shape>
            </v:group>
            <w10:wrap type="none"/>
          </v:group>
        </w:pict>
      </w:r>
      <w:r>
        <w:rPr/>
        <w:pict>
          <v:group style="position:absolute;margin-left:425.589996pt;margin-top:620.115967pt;width:34.950pt;height:142.950pt;mso-position-horizontal-relative:page;mso-position-vertical-relative:page;z-index:-1013056" coordorigin="8512,12402" coordsize="699,2859">
            <v:group style="position:absolute;left:8512;top:12402;width:699;height:2859" coordorigin="8512,12402" coordsize="699,2859">
              <v:shape style="position:absolute;left:8512;top:12402;width:699;height:2859" coordorigin="8512,12402" coordsize="699,2859" path="m8512,15261l9210,15261,9210,12402,8512,12402,8512,15261xe" filled="true" fillcolor="#ffffff" stroked="false">
                <v:path arrowok="t"/>
                <v:fill type="solid"/>
              </v:shape>
            </v:group>
            <v:group style="position:absolute;left:8533;top:13442;width:653;height:260" coordorigin="8533,13442" coordsize="653,260">
              <v:shape style="position:absolute;left:8533;top:13442;width:653;height:260" coordorigin="8533,13442" coordsize="653,260" path="m8533,13701l9186,13701,9186,13442,8533,13442,8533,13701xe" filled="true" fillcolor="#ffffff" stroked="false">
                <v:path arrowok="t"/>
                <v:fill type="solid"/>
              </v:shape>
            </v:group>
            <v:group style="position:absolute;left:8533;top:13701;width:653;height:262" coordorigin="8533,13701" coordsize="653,262">
              <v:shape style="position:absolute;left:8533;top:13701;width:653;height:262" coordorigin="8533,13701" coordsize="653,262" path="m8533,13963l9186,13963,9186,13701,8533,13701,8533,13963xe" filled="true" fillcolor="#ffffff" stroked="false">
                <v:path arrowok="t"/>
                <v:fill type="solid"/>
              </v:shape>
            </v:group>
            <v:group style="position:absolute;left:8533;top:13963;width:653;height:260" coordorigin="8533,13963" coordsize="653,260">
              <v:shape style="position:absolute;left:8533;top:13963;width:653;height:260" coordorigin="8533,13963" coordsize="653,260" path="m8533,14222l9186,14222,9186,13963,8533,13963,8533,14222xe" filled="true" fillcolor="#ffffff" stroked="false">
                <v:path arrowok="t"/>
                <v:fill type="solid"/>
              </v:shape>
            </v:group>
            <w10:wrap type="none"/>
          </v:group>
        </w:pict>
      </w:r>
    </w:p>
    <w:tbl>
      <w:tblPr>
        <w:tblW w:w="0" w:type="auto"/>
        <w:jc w:val="left"/>
        <w:tblInd w:w="106" w:type="dxa"/>
        <w:tblLayout w:type="fixed"/>
        <w:tblCellMar>
          <w:top w:w="0" w:type="dxa"/>
          <w:left w:w="0" w:type="dxa"/>
          <w:bottom w:w="0" w:type="dxa"/>
          <w:right w:w="0" w:type="dxa"/>
        </w:tblCellMar>
        <w:tblLook w:val="01E0"/>
      </w:tblPr>
      <w:tblGrid>
        <w:gridCol w:w="708"/>
        <w:gridCol w:w="852"/>
        <w:gridCol w:w="708"/>
        <w:gridCol w:w="5245"/>
        <w:gridCol w:w="710"/>
        <w:gridCol w:w="709"/>
        <w:gridCol w:w="991"/>
      </w:tblGrid>
      <w:tr>
        <w:trPr>
          <w:trHeight w:val="280" w:hRule="exact"/>
        </w:trPr>
        <w:tc>
          <w:tcPr>
            <w:tcW w:w="708" w:type="dxa"/>
            <w:vMerge w:val="restart"/>
            <w:tcBorders>
              <w:top w:val="single" w:sz="4" w:space="0" w:color="000000"/>
              <w:left w:val="single" w:sz="4" w:space="0" w:color="000000"/>
              <w:right w:val="single" w:sz="4" w:space="0" w:color="000000"/>
            </w:tcBorders>
          </w:tcPr>
          <w:p>
            <w:pPr/>
          </w:p>
        </w:tc>
        <w:tc>
          <w:tcPr>
            <w:tcW w:w="852" w:type="dxa"/>
            <w:vMerge w:val="restart"/>
            <w:tcBorders>
              <w:top w:val="single" w:sz="4" w:space="0" w:color="000000"/>
              <w:left w:val="single" w:sz="4" w:space="0" w:color="000000"/>
              <w:right w:val="single" w:sz="4" w:space="0" w:color="000000"/>
            </w:tcBorders>
          </w:tcPr>
          <w:p>
            <w:pPr/>
          </w:p>
        </w:tc>
        <w:tc>
          <w:tcPr>
            <w:tcW w:w="708" w:type="dxa"/>
            <w:vMerge w:val="restart"/>
            <w:tcBorders>
              <w:top w:val="single" w:sz="4" w:space="0" w:color="000000"/>
              <w:left w:val="single" w:sz="4" w:space="0" w:color="000000"/>
              <w:right w:val="single" w:sz="4" w:space="0" w:color="000000"/>
            </w:tcBorders>
          </w:tcPr>
          <w:p>
            <w:pPr/>
          </w:p>
        </w:tc>
        <w:tc>
          <w:tcPr>
            <w:tcW w:w="5245" w:type="dxa"/>
            <w:tcBorders>
              <w:top w:val="single" w:sz="4" w:space="0" w:color="000000"/>
              <w:left w:val="single" w:sz="4" w:space="0" w:color="000000"/>
              <w:bottom w:val="nil" w:sz="6" w:space="0" w:color="auto"/>
              <w:right w:val="single" w:sz="4" w:space="0" w:color="000000"/>
            </w:tcBorders>
          </w:tcPr>
          <w:p>
            <w:pPr>
              <w:pStyle w:val="TableParagraph"/>
              <w:spacing w:line="234" w:lineRule="exact"/>
              <w:ind w:left="23" w:right="0"/>
              <w:jc w:val="left"/>
              <w:rPr>
                <w:rFonts w:ascii="宋体" w:hAnsi="宋体" w:cs="宋体" w:eastAsia="宋体" w:hint="default"/>
                <w:sz w:val="18"/>
                <w:szCs w:val="18"/>
              </w:rPr>
            </w:pPr>
            <w:r>
              <w:rPr>
                <w:rFonts w:ascii="宋体" w:hAnsi="宋体" w:cs="宋体" w:eastAsia="宋体" w:hint="default"/>
                <w:spacing w:val="-2"/>
                <w:sz w:val="18"/>
                <w:szCs w:val="18"/>
              </w:rPr>
              <w:t>资产协议》以现金对价购买的股份数）－剩余业绩承诺期内累积业</w:t>
            </w:r>
          </w:p>
        </w:tc>
        <w:tc>
          <w:tcPr>
            <w:tcW w:w="710" w:type="dxa"/>
            <w:vMerge w:val="restart"/>
            <w:tcBorders>
              <w:top w:val="single" w:sz="4" w:space="0" w:color="000000"/>
              <w:left w:val="single" w:sz="4" w:space="0" w:color="000000"/>
              <w:right w:val="single" w:sz="4" w:space="0" w:color="000000"/>
            </w:tcBorders>
          </w:tcPr>
          <w:p>
            <w:pPr/>
          </w:p>
        </w:tc>
        <w:tc>
          <w:tcPr>
            <w:tcW w:w="709" w:type="dxa"/>
            <w:vMerge w:val="restart"/>
            <w:tcBorders>
              <w:top w:val="single" w:sz="4" w:space="0" w:color="000000"/>
              <w:left w:val="single" w:sz="4" w:space="0" w:color="000000"/>
              <w:right w:val="single" w:sz="4" w:space="0" w:color="000000"/>
            </w:tcBorders>
          </w:tcPr>
          <w:p>
            <w:pPr/>
          </w:p>
        </w:tc>
        <w:tc>
          <w:tcPr>
            <w:tcW w:w="991" w:type="dxa"/>
            <w:vMerge w:val="restart"/>
            <w:tcBorders>
              <w:top w:val="single" w:sz="4" w:space="0" w:color="000000"/>
              <w:left w:val="single" w:sz="4" w:space="0" w:color="000000"/>
              <w:right w:val="single" w:sz="4" w:space="0" w:color="000000"/>
            </w:tcBorders>
          </w:tcPr>
          <w:p>
            <w:pPr/>
          </w:p>
        </w:tc>
      </w:tr>
      <w:tr>
        <w:trPr>
          <w:trHeight w:val="261"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23" w:right="0"/>
              <w:jc w:val="left"/>
              <w:rPr>
                <w:rFonts w:ascii="宋体" w:hAnsi="宋体" w:cs="宋体" w:eastAsia="宋体" w:hint="default"/>
                <w:sz w:val="18"/>
                <w:szCs w:val="18"/>
              </w:rPr>
            </w:pPr>
            <w:r>
              <w:rPr>
                <w:rFonts w:ascii="宋体" w:hAnsi="宋体" w:cs="宋体" w:eastAsia="宋体" w:hint="default"/>
                <w:spacing w:val="4"/>
                <w:sz w:val="18"/>
                <w:szCs w:val="18"/>
              </w:rPr>
              <w:t>绩承诺对应股份数－业绩承诺期间届满当次标的资产减值部分补</w:t>
            </w:r>
          </w:p>
        </w:tc>
        <w:tc>
          <w:tcPr>
            <w:tcW w:w="710" w:type="dxa"/>
            <w:vMerge/>
            <w:tcBorders>
              <w:left w:val="single" w:sz="4" w:space="0" w:color="000000"/>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59"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23" w:right="0"/>
              <w:jc w:val="left"/>
              <w:rPr>
                <w:rFonts w:ascii="宋体" w:hAnsi="宋体" w:cs="宋体" w:eastAsia="宋体" w:hint="default"/>
                <w:sz w:val="18"/>
                <w:szCs w:val="18"/>
              </w:rPr>
            </w:pPr>
            <w:r>
              <w:rPr>
                <w:rFonts w:ascii="宋体" w:hAnsi="宋体" w:cs="宋体" w:eastAsia="宋体" w:hint="default"/>
                <w:spacing w:val="-2"/>
                <w:sz w:val="18"/>
                <w:szCs w:val="18"/>
              </w:rPr>
              <w:t>偿的股份数－业绩承诺期已补偿股份数。若计算后当期可解锁股份</w:t>
            </w:r>
          </w:p>
        </w:tc>
        <w:tc>
          <w:tcPr>
            <w:tcW w:w="710" w:type="dxa"/>
            <w:vMerge/>
            <w:tcBorders>
              <w:left w:val="single" w:sz="4" w:space="0" w:color="000000"/>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65"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23" w:right="0"/>
              <w:jc w:val="left"/>
              <w:rPr>
                <w:rFonts w:ascii="宋体" w:hAnsi="宋体" w:cs="宋体" w:eastAsia="宋体" w:hint="default"/>
                <w:sz w:val="18"/>
                <w:szCs w:val="18"/>
              </w:rPr>
            </w:pPr>
            <w:r>
              <w:rPr>
                <w:rFonts w:ascii="宋体" w:hAnsi="宋体" w:cs="宋体" w:eastAsia="宋体" w:hint="default"/>
                <w:sz w:val="18"/>
                <w:szCs w:val="18"/>
              </w:rPr>
              <w:t>数小于</w:t>
            </w:r>
            <w:r>
              <w:rPr>
                <w:rFonts w:ascii="宋体" w:hAnsi="宋体" w:cs="宋体" w:eastAsia="宋体" w:hint="default"/>
                <w:spacing w:val="-32"/>
                <w:sz w:val="18"/>
                <w:szCs w:val="18"/>
              </w:rPr>
              <w:t> </w:t>
            </w:r>
            <w:r>
              <w:rPr>
                <w:rFonts w:ascii="Times New Roman" w:hAnsi="Times New Roman" w:cs="Times New Roman" w:eastAsia="Times New Roman" w:hint="default"/>
                <w:sz w:val="18"/>
                <w:szCs w:val="18"/>
              </w:rPr>
              <w:t>0</w:t>
            </w:r>
            <w:r>
              <w:rPr>
                <w:rFonts w:ascii="宋体" w:hAnsi="宋体" w:cs="宋体" w:eastAsia="宋体" w:hint="default"/>
                <w:sz w:val="18"/>
                <w:szCs w:val="18"/>
              </w:rPr>
              <w:t>，则当期不解锁。同时，锁定期内，若根据上述公式计算</w:t>
            </w:r>
          </w:p>
        </w:tc>
        <w:tc>
          <w:tcPr>
            <w:tcW w:w="710" w:type="dxa"/>
            <w:vMerge/>
            <w:tcBorders>
              <w:left w:val="single" w:sz="4" w:space="0" w:color="000000"/>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55"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6" w:lineRule="exact"/>
              <w:ind w:left="23" w:right="0"/>
              <w:jc w:val="left"/>
              <w:rPr>
                <w:rFonts w:ascii="宋体" w:hAnsi="宋体" w:cs="宋体" w:eastAsia="宋体" w:hint="default"/>
                <w:sz w:val="18"/>
                <w:szCs w:val="18"/>
              </w:rPr>
            </w:pPr>
            <w:r>
              <w:rPr>
                <w:rFonts w:ascii="宋体" w:hAnsi="宋体" w:cs="宋体" w:eastAsia="宋体" w:hint="default"/>
                <w:spacing w:val="-2"/>
                <w:sz w:val="18"/>
                <w:szCs w:val="18"/>
              </w:rPr>
              <w:t>后，剩余锁定股份数小于刘英魁以资产认购的股份数，则超出部分</w:t>
            </w:r>
          </w:p>
        </w:tc>
        <w:tc>
          <w:tcPr>
            <w:tcW w:w="710" w:type="dxa"/>
            <w:vMerge/>
            <w:tcBorders>
              <w:left w:val="single" w:sz="4" w:space="0" w:color="000000"/>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59"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23" w:right="0"/>
              <w:jc w:val="left"/>
              <w:rPr>
                <w:rFonts w:ascii="宋体" w:hAnsi="宋体" w:cs="宋体" w:eastAsia="宋体" w:hint="default"/>
                <w:sz w:val="18"/>
                <w:szCs w:val="18"/>
              </w:rPr>
            </w:pPr>
            <w:r>
              <w:rPr>
                <w:rFonts w:ascii="宋体" w:hAnsi="宋体" w:cs="宋体" w:eastAsia="宋体" w:hint="default"/>
                <w:sz w:val="18"/>
                <w:szCs w:val="18"/>
              </w:rPr>
              <w:t>不解锁。即，锁定期内，刘英魁以资产认购的股份不解锁。</w:t>
            </w:r>
          </w:p>
        </w:tc>
        <w:tc>
          <w:tcPr>
            <w:tcW w:w="710" w:type="dxa"/>
            <w:vMerge/>
            <w:tcBorders>
              <w:left w:val="single" w:sz="4" w:space="0" w:color="000000"/>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65"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23" w:right="0"/>
              <w:jc w:val="left"/>
              <w:rPr>
                <w:rFonts w:ascii="宋体" w:hAnsi="宋体" w:cs="宋体" w:eastAsia="宋体" w:hint="default"/>
                <w:sz w:val="18"/>
                <w:szCs w:val="18"/>
              </w:rPr>
            </w:pPr>
            <w:r>
              <w:rPr>
                <w:rFonts w:ascii="宋体" w:hAnsi="宋体" w:cs="宋体" w:eastAsia="宋体" w:hint="default"/>
                <w:sz w:val="18"/>
                <w:szCs w:val="18"/>
              </w:rPr>
              <w:t>剩余业绩承诺期内累积业绩承诺对应股份数</w:t>
            </w:r>
            <w:r>
              <w:rPr>
                <w:rFonts w:ascii="Times New Roman" w:hAnsi="Times New Roman" w:cs="Times New Roman" w:eastAsia="Times New Roman" w:hint="default"/>
                <w:sz w:val="18"/>
                <w:szCs w:val="18"/>
              </w:rPr>
              <w:t>=</w:t>
            </w:r>
            <w:r>
              <w:rPr>
                <w:rFonts w:ascii="宋体" w:hAnsi="宋体" w:cs="宋体" w:eastAsia="宋体" w:hint="default"/>
                <w:sz w:val="18"/>
                <w:szCs w:val="18"/>
              </w:rPr>
              <w:t>（剩余业绩承诺期内</w:t>
            </w:r>
          </w:p>
        </w:tc>
        <w:tc>
          <w:tcPr>
            <w:tcW w:w="710" w:type="dxa"/>
            <w:vMerge/>
            <w:tcBorders>
              <w:left w:val="single" w:sz="4" w:space="0" w:color="000000"/>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60"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9" w:lineRule="exact"/>
              <w:ind w:left="23" w:right="0"/>
              <w:jc w:val="left"/>
              <w:rPr>
                <w:rFonts w:ascii="Times New Roman" w:hAnsi="Times New Roman" w:cs="Times New Roman" w:eastAsia="Times New Roman" w:hint="default"/>
                <w:sz w:val="18"/>
                <w:szCs w:val="18"/>
              </w:rPr>
            </w:pPr>
            <w:r>
              <w:rPr>
                <w:rFonts w:ascii="宋体" w:hAnsi="宋体" w:cs="宋体" w:eastAsia="宋体" w:hint="default"/>
                <w:spacing w:val="3"/>
                <w:sz w:val="18"/>
                <w:szCs w:val="18"/>
              </w:rPr>
              <w:t>累积承诺净利润数</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业绩承诺期限内各年的承诺净利润数总和）</w:t>
            </w:r>
            <w:r>
              <w:rPr>
                <w:rFonts w:ascii="Times New Roman" w:hAnsi="Times New Roman" w:cs="Times New Roman" w:eastAsia="Times New Roman" w:hint="default"/>
                <w:spacing w:val="3"/>
                <w:sz w:val="18"/>
                <w:szCs w:val="18"/>
              </w:rPr>
              <w:t>×</w:t>
            </w:r>
          </w:p>
        </w:tc>
        <w:tc>
          <w:tcPr>
            <w:tcW w:w="710" w:type="dxa"/>
            <w:vMerge/>
            <w:tcBorders>
              <w:left w:val="single" w:sz="4" w:space="0" w:color="000000"/>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59"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8" w:lineRule="exact"/>
              <w:ind w:left="23" w:right="0"/>
              <w:jc w:val="left"/>
              <w:rPr>
                <w:rFonts w:ascii="宋体" w:hAnsi="宋体" w:cs="宋体" w:eastAsia="宋体" w:hint="default"/>
                <w:sz w:val="18"/>
                <w:szCs w:val="18"/>
              </w:rPr>
            </w:pPr>
            <w:r>
              <w:rPr>
                <w:rFonts w:ascii="宋体" w:hAnsi="宋体" w:cs="宋体" w:eastAsia="宋体" w:hint="default"/>
                <w:sz w:val="18"/>
                <w:szCs w:val="18"/>
              </w:rPr>
              <w:t>（交易价</w:t>
            </w:r>
            <w:r>
              <w:rPr>
                <w:rFonts w:ascii="宋体" w:hAnsi="宋体" w:cs="宋体" w:eastAsia="宋体" w:hint="default"/>
                <w:spacing w:val="2"/>
                <w:sz w:val="18"/>
                <w:szCs w:val="18"/>
              </w:rPr>
              <w:t>格</w:t>
            </w:r>
            <w:r>
              <w:rPr>
                <w:rFonts w:ascii="Times New Roman" w:hAnsi="Times New Roman" w:cs="Times New Roman" w:eastAsia="Times New Roman" w:hint="default"/>
                <w:spacing w:val="-3"/>
                <w:sz w:val="18"/>
                <w:szCs w:val="18"/>
              </w:rPr>
              <w:t>÷</w:t>
            </w:r>
            <w:r>
              <w:rPr>
                <w:rFonts w:ascii="宋体" w:hAnsi="宋体" w:cs="宋体" w:eastAsia="宋体" w:hint="default"/>
                <w:sz w:val="18"/>
                <w:szCs w:val="18"/>
              </w:rPr>
              <w:t>发行价格</w:t>
            </w:r>
            <w:r>
              <w:rPr>
                <w:rFonts w:ascii="宋体" w:hAnsi="宋体" w:cs="宋体" w:eastAsia="宋体" w:hint="default"/>
                <w:spacing w:val="-92"/>
                <w:sz w:val="18"/>
                <w:szCs w:val="18"/>
              </w:rPr>
              <w:t>）</w:t>
            </w:r>
            <w:r>
              <w:rPr>
                <w:rFonts w:ascii="宋体" w:hAnsi="宋体" w:cs="宋体" w:eastAsia="宋体" w:hint="default"/>
                <w:sz w:val="18"/>
                <w:szCs w:val="18"/>
              </w:rPr>
              <w:t>。</w:t>
            </w:r>
          </w:p>
        </w:tc>
        <w:tc>
          <w:tcPr>
            <w:tcW w:w="710" w:type="dxa"/>
            <w:vMerge/>
            <w:tcBorders>
              <w:left w:val="single" w:sz="4" w:space="0" w:color="000000"/>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60"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8" w:lineRule="exact"/>
              <w:ind w:left="23" w:right="0"/>
              <w:jc w:val="left"/>
              <w:rPr>
                <w:rFonts w:ascii="宋体" w:hAnsi="宋体" w:cs="宋体" w:eastAsia="宋体" w:hint="default"/>
                <w:sz w:val="18"/>
                <w:szCs w:val="18"/>
              </w:rPr>
            </w:pPr>
            <w:r>
              <w:rPr>
                <w:rFonts w:ascii="宋体" w:hAnsi="宋体" w:cs="宋体" w:eastAsia="宋体" w:hint="default"/>
                <w:sz w:val="18"/>
                <w:szCs w:val="18"/>
              </w:rPr>
              <w:t>业绩承诺期间届满当次标的资产减值部分补偿的股份数</w:t>
            </w:r>
            <w:r>
              <w:rPr>
                <w:rFonts w:ascii="Times New Roman" w:hAnsi="Times New Roman" w:cs="Times New Roman" w:eastAsia="Times New Roman" w:hint="default"/>
                <w:sz w:val="18"/>
                <w:szCs w:val="18"/>
              </w:rPr>
              <w:t>=</w:t>
            </w:r>
            <w:r>
              <w:rPr>
                <w:rFonts w:ascii="宋体" w:hAnsi="宋体" w:cs="宋体" w:eastAsia="宋体" w:hint="default"/>
                <w:sz w:val="18"/>
                <w:szCs w:val="18"/>
              </w:rPr>
              <w:t>（期末标</w:t>
            </w:r>
          </w:p>
        </w:tc>
        <w:tc>
          <w:tcPr>
            <w:tcW w:w="710" w:type="dxa"/>
            <w:vMerge/>
            <w:tcBorders>
              <w:left w:val="single" w:sz="4" w:space="0" w:color="000000"/>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60"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9" w:lineRule="exact"/>
              <w:ind w:left="23" w:right="0"/>
              <w:jc w:val="left"/>
              <w:rPr>
                <w:rFonts w:ascii="宋体" w:hAnsi="宋体" w:cs="宋体" w:eastAsia="宋体" w:hint="default"/>
                <w:sz w:val="18"/>
                <w:szCs w:val="18"/>
              </w:rPr>
            </w:pPr>
            <w:r>
              <w:rPr>
                <w:rFonts w:ascii="宋体" w:hAnsi="宋体" w:cs="宋体" w:eastAsia="宋体" w:hint="default"/>
                <w:sz w:val="18"/>
                <w:szCs w:val="18"/>
              </w:rPr>
              <w:t>的资产期末减值额</w:t>
            </w:r>
            <w:r>
              <w:rPr>
                <w:rFonts w:ascii="Times New Roman" w:hAnsi="Times New Roman" w:cs="Times New Roman" w:eastAsia="Times New Roman" w:hint="default"/>
                <w:sz w:val="18"/>
                <w:szCs w:val="18"/>
              </w:rPr>
              <w:t>÷</w:t>
            </w:r>
            <w:r>
              <w:rPr>
                <w:rFonts w:ascii="宋体" w:hAnsi="宋体" w:cs="宋体" w:eastAsia="宋体" w:hint="default"/>
                <w:sz w:val="18"/>
                <w:szCs w:val="18"/>
              </w:rPr>
              <w:t>本次发行价格）－业绩承诺期内交易对方已补</w:t>
            </w:r>
          </w:p>
        </w:tc>
        <w:tc>
          <w:tcPr>
            <w:tcW w:w="710" w:type="dxa"/>
            <w:vMerge/>
            <w:tcBorders>
              <w:left w:val="single" w:sz="4" w:space="0" w:color="000000"/>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59"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8" w:lineRule="exact"/>
              <w:ind w:left="23" w:right="0"/>
              <w:jc w:val="left"/>
              <w:rPr>
                <w:rFonts w:ascii="宋体" w:hAnsi="宋体" w:cs="宋体" w:eastAsia="宋体" w:hint="default"/>
                <w:sz w:val="18"/>
                <w:szCs w:val="18"/>
              </w:rPr>
            </w:pPr>
            <w:r>
              <w:rPr>
                <w:rFonts w:ascii="宋体" w:hAnsi="宋体" w:cs="宋体" w:eastAsia="宋体" w:hint="default"/>
                <w:sz w:val="18"/>
                <w:szCs w:val="18"/>
              </w:rPr>
              <w:t>偿股份总数</w:t>
            </w:r>
            <w:r>
              <w:rPr>
                <w:rFonts w:ascii="宋体" w:hAnsi="宋体" w:cs="宋体" w:eastAsia="宋体" w:hint="default"/>
                <w:spacing w:val="-20"/>
                <w:sz w:val="18"/>
                <w:szCs w:val="18"/>
              </w:rPr>
              <w:t>－</w:t>
            </w:r>
            <w:r>
              <w:rPr>
                <w:rFonts w:ascii="宋体" w:hAnsi="宋体" w:cs="宋体" w:eastAsia="宋体" w:hint="default"/>
                <w:sz w:val="18"/>
                <w:szCs w:val="18"/>
              </w:rPr>
              <w:t>（已补偿现金总</w:t>
            </w:r>
            <w:r>
              <w:rPr>
                <w:rFonts w:ascii="宋体" w:hAnsi="宋体" w:cs="宋体" w:eastAsia="宋体" w:hint="default"/>
                <w:spacing w:val="2"/>
                <w:sz w:val="18"/>
                <w:szCs w:val="18"/>
              </w:rPr>
              <w:t>额</w:t>
            </w:r>
            <w:r>
              <w:rPr>
                <w:rFonts w:ascii="Times New Roman" w:hAnsi="Times New Roman" w:cs="Times New Roman" w:eastAsia="Times New Roman" w:hint="default"/>
                <w:spacing w:val="-3"/>
                <w:sz w:val="18"/>
                <w:szCs w:val="18"/>
              </w:rPr>
              <w:t>÷</w:t>
            </w:r>
            <w:r>
              <w:rPr>
                <w:rFonts w:ascii="宋体" w:hAnsi="宋体" w:cs="宋体" w:eastAsia="宋体" w:hint="default"/>
                <w:sz w:val="18"/>
                <w:szCs w:val="18"/>
              </w:rPr>
              <w:t>本次发行价格</w:t>
            </w:r>
            <w:r>
              <w:rPr>
                <w:rFonts w:ascii="宋体" w:hAnsi="宋体" w:cs="宋体" w:eastAsia="宋体" w:hint="default"/>
                <w:spacing w:val="-111"/>
                <w:sz w:val="18"/>
                <w:szCs w:val="18"/>
              </w:rPr>
              <w:t>）</w:t>
            </w:r>
            <w:r>
              <w:rPr>
                <w:rFonts w:ascii="宋体" w:hAnsi="宋体" w:cs="宋体" w:eastAsia="宋体" w:hint="default"/>
                <w:sz w:val="18"/>
                <w:szCs w:val="18"/>
              </w:rPr>
              <w:t>（如果标的资产未</w:t>
            </w:r>
          </w:p>
        </w:tc>
        <w:tc>
          <w:tcPr>
            <w:tcW w:w="710" w:type="dxa"/>
            <w:vMerge/>
            <w:tcBorders>
              <w:left w:val="single" w:sz="4" w:space="0" w:color="000000"/>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60"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8" w:lineRule="exact"/>
              <w:ind w:left="23" w:right="0"/>
              <w:jc w:val="left"/>
              <w:rPr>
                <w:rFonts w:ascii="宋体" w:hAnsi="宋体" w:cs="宋体" w:eastAsia="宋体" w:hint="default"/>
                <w:sz w:val="18"/>
                <w:szCs w:val="18"/>
              </w:rPr>
            </w:pPr>
            <w:r>
              <w:rPr>
                <w:rFonts w:ascii="宋体" w:hAnsi="宋体" w:cs="宋体" w:eastAsia="宋体" w:hint="default"/>
                <w:sz w:val="18"/>
                <w:szCs w:val="18"/>
              </w:rPr>
              <w:t>进行减值测试或未发生减值，则为</w:t>
            </w:r>
            <w:r>
              <w:rPr>
                <w:rFonts w:ascii="宋体" w:hAnsi="宋体" w:cs="宋体" w:eastAsia="宋体" w:hint="default"/>
                <w:spacing w:val="-44"/>
                <w:sz w:val="18"/>
                <w:szCs w:val="18"/>
              </w:rPr>
              <w:t> </w:t>
            </w:r>
            <w:r>
              <w:rPr>
                <w:rFonts w:ascii="Times New Roman" w:hAnsi="Times New Roman" w:cs="Times New Roman" w:eastAsia="Times New Roman" w:hint="default"/>
                <w:spacing w:val="1"/>
                <w:sz w:val="18"/>
                <w:szCs w:val="18"/>
              </w:rPr>
              <w:t>0</w:t>
            </w:r>
            <w:r>
              <w:rPr>
                <w:rFonts w:ascii="宋体" w:hAnsi="宋体" w:cs="宋体" w:eastAsia="宋体" w:hint="default"/>
                <w:spacing w:val="-92"/>
                <w:sz w:val="18"/>
                <w:szCs w:val="18"/>
              </w:rPr>
              <w:t>）。</w:t>
            </w:r>
            <w:r>
              <w:rPr>
                <w:rFonts w:ascii="宋体" w:hAnsi="宋体" w:cs="宋体" w:eastAsia="宋体" w:hint="default"/>
                <w:sz w:val="18"/>
                <w:szCs w:val="18"/>
              </w:rPr>
            </w:r>
          </w:p>
        </w:tc>
        <w:tc>
          <w:tcPr>
            <w:tcW w:w="710" w:type="dxa"/>
            <w:vMerge/>
            <w:tcBorders>
              <w:left w:val="single" w:sz="4" w:space="0" w:color="000000"/>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55"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6" w:lineRule="exact"/>
              <w:ind w:left="23" w:right="0"/>
              <w:jc w:val="left"/>
              <w:rPr>
                <w:rFonts w:ascii="宋体" w:hAnsi="宋体" w:cs="宋体" w:eastAsia="宋体" w:hint="default"/>
                <w:sz w:val="18"/>
                <w:szCs w:val="18"/>
              </w:rPr>
            </w:pPr>
            <w:r>
              <w:rPr>
                <w:rFonts w:ascii="宋体" w:hAnsi="宋体" w:cs="宋体" w:eastAsia="宋体" w:hint="default"/>
                <w:spacing w:val="4"/>
                <w:sz w:val="18"/>
                <w:szCs w:val="18"/>
              </w:rPr>
              <w:t>业绩承诺期已补偿股份数指因业绩承诺期未实现承诺利润而由交</w:t>
            </w:r>
          </w:p>
        </w:tc>
        <w:tc>
          <w:tcPr>
            <w:tcW w:w="710" w:type="dxa"/>
            <w:vMerge/>
            <w:tcBorders>
              <w:left w:val="single" w:sz="4" w:space="0" w:color="000000"/>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59"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23" w:right="0"/>
              <w:jc w:val="left"/>
              <w:rPr>
                <w:rFonts w:ascii="宋体" w:hAnsi="宋体" w:cs="宋体" w:eastAsia="宋体" w:hint="default"/>
                <w:sz w:val="18"/>
                <w:szCs w:val="18"/>
              </w:rPr>
            </w:pPr>
            <w:r>
              <w:rPr>
                <w:rFonts w:ascii="宋体" w:hAnsi="宋体" w:cs="宋体" w:eastAsia="宋体" w:hint="default"/>
                <w:sz w:val="18"/>
                <w:szCs w:val="18"/>
              </w:rPr>
              <w:t>易对方补偿的股份总和（包括现金补偿部分对应的股份</w:t>
            </w:r>
            <w:r>
              <w:rPr>
                <w:rFonts w:ascii="宋体" w:hAnsi="宋体" w:cs="宋体" w:eastAsia="宋体" w:hint="default"/>
                <w:spacing w:val="-92"/>
                <w:sz w:val="18"/>
                <w:szCs w:val="18"/>
              </w:rPr>
              <w:t>）</w:t>
            </w:r>
            <w:r>
              <w:rPr>
                <w:rFonts w:ascii="宋体" w:hAnsi="宋体" w:cs="宋体" w:eastAsia="宋体" w:hint="default"/>
                <w:sz w:val="18"/>
                <w:szCs w:val="18"/>
              </w:rPr>
              <w:t>。</w:t>
            </w:r>
          </w:p>
        </w:tc>
        <w:tc>
          <w:tcPr>
            <w:tcW w:w="710" w:type="dxa"/>
            <w:vMerge/>
            <w:tcBorders>
              <w:left w:val="single" w:sz="4" w:space="0" w:color="000000"/>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61"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23" w:right="0"/>
              <w:jc w:val="left"/>
              <w:rPr>
                <w:rFonts w:ascii="宋体" w:hAnsi="宋体" w:cs="宋体" w:eastAsia="宋体" w:hint="default"/>
                <w:sz w:val="18"/>
                <w:szCs w:val="18"/>
              </w:rPr>
            </w:pPr>
            <w:r>
              <w:rPr>
                <w:rFonts w:ascii="宋体" w:hAnsi="宋体" w:cs="宋体" w:eastAsia="宋体" w:hint="default"/>
                <w:spacing w:val="-2"/>
                <w:sz w:val="18"/>
                <w:szCs w:val="18"/>
              </w:rPr>
              <w:t>交易对方应该按照法律和中国证监会、深交所的相关规定以及《发</w:t>
            </w:r>
          </w:p>
        </w:tc>
        <w:tc>
          <w:tcPr>
            <w:tcW w:w="710" w:type="dxa"/>
            <w:vMerge/>
            <w:tcBorders>
              <w:left w:val="single" w:sz="4" w:space="0" w:color="000000"/>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61"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23" w:right="0"/>
              <w:jc w:val="left"/>
              <w:rPr>
                <w:rFonts w:ascii="宋体" w:hAnsi="宋体" w:cs="宋体" w:eastAsia="宋体" w:hint="default"/>
                <w:sz w:val="18"/>
                <w:szCs w:val="18"/>
              </w:rPr>
            </w:pPr>
            <w:r>
              <w:rPr>
                <w:rFonts w:ascii="宋体" w:hAnsi="宋体" w:cs="宋体" w:eastAsia="宋体" w:hint="default"/>
                <w:sz w:val="18"/>
                <w:szCs w:val="18"/>
              </w:rPr>
              <w:t>行股份及支付现金购买资产协议</w:t>
            </w:r>
            <w:r>
              <w:rPr>
                <w:rFonts w:ascii="宋体" w:hAnsi="宋体" w:cs="宋体" w:eastAsia="宋体" w:hint="default"/>
                <w:spacing w:val="-92"/>
                <w:sz w:val="18"/>
                <w:szCs w:val="18"/>
              </w:rPr>
              <w:t>》</w:t>
            </w:r>
            <w:r>
              <w:rPr>
                <w:rFonts w:ascii="宋体" w:hAnsi="宋体" w:cs="宋体" w:eastAsia="宋体" w:hint="default"/>
                <w:spacing w:val="-123"/>
                <w:sz w:val="18"/>
                <w:szCs w:val="18"/>
              </w:rPr>
              <w:t>、</w:t>
            </w:r>
            <w:r>
              <w:rPr>
                <w:rFonts w:ascii="宋体" w:hAnsi="宋体" w:cs="宋体" w:eastAsia="宋体" w:hint="default"/>
                <w:sz w:val="18"/>
                <w:szCs w:val="18"/>
              </w:rPr>
              <w:t>《发行股份及支付现金</w:t>
            </w:r>
            <w:r>
              <w:rPr>
                <w:rFonts w:ascii="宋体" w:hAnsi="宋体" w:cs="宋体" w:eastAsia="宋体" w:hint="default"/>
                <w:spacing w:val="2"/>
                <w:sz w:val="18"/>
                <w:szCs w:val="18"/>
              </w:rPr>
              <w:t>购</w:t>
            </w:r>
            <w:r>
              <w:rPr>
                <w:rFonts w:ascii="宋体" w:hAnsi="宋体" w:cs="宋体" w:eastAsia="宋体" w:hint="default"/>
                <w:sz w:val="18"/>
                <w:szCs w:val="18"/>
              </w:rPr>
              <w:t>买资产</w:t>
            </w:r>
          </w:p>
        </w:tc>
        <w:tc>
          <w:tcPr>
            <w:tcW w:w="710" w:type="dxa"/>
            <w:vMerge/>
            <w:tcBorders>
              <w:left w:val="single" w:sz="4" w:space="0" w:color="000000"/>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59"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23" w:right="0"/>
              <w:jc w:val="left"/>
              <w:rPr>
                <w:rFonts w:ascii="宋体" w:hAnsi="宋体" w:cs="宋体" w:eastAsia="宋体" w:hint="default"/>
                <w:sz w:val="18"/>
                <w:szCs w:val="18"/>
              </w:rPr>
            </w:pPr>
            <w:r>
              <w:rPr>
                <w:rFonts w:ascii="宋体" w:hAnsi="宋体" w:cs="宋体" w:eastAsia="宋体" w:hint="default"/>
                <w:spacing w:val="-2"/>
                <w:sz w:val="18"/>
                <w:szCs w:val="18"/>
              </w:rPr>
              <w:t>协议之补充协议》的约定就持有的股份出具锁定承诺，并在结算公</w:t>
            </w:r>
          </w:p>
        </w:tc>
        <w:tc>
          <w:tcPr>
            <w:tcW w:w="710" w:type="dxa"/>
            <w:vMerge/>
            <w:tcBorders>
              <w:left w:val="single" w:sz="4" w:space="0" w:color="000000"/>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60"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23" w:right="0"/>
              <w:jc w:val="left"/>
              <w:rPr>
                <w:rFonts w:ascii="宋体" w:hAnsi="宋体" w:cs="宋体" w:eastAsia="宋体" w:hint="default"/>
                <w:sz w:val="18"/>
                <w:szCs w:val="18"/>
              </w:rPr>
            </w:pPr>
            <w:r>
              <w:rPr>
                <w:rFonts w:ascii="宋体" w:hAnsi="宋体" w:cs="宋体" w:eastAsia="宋体" w:hint="default"/>
                <w:sz w:val="18"/>
                <w:szCs w:val="18"/>
              </w:rPr>
              <w:t>司办理股份锁定。</w:t>
            </w:r>
          </w:p>
        </w:tc>
        <w:tc>
          <w:tcPr>
            <w:tcW w:w="710" w:type="dxa"/>
            <w:vMerge/>
            <w:tcBorders>
              <w:left w:val="single" w:sz="4" w:space="0" w:color="000000"/>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60"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23" w:right="0"/>
              <w:jc w:val="left"/>
              <w:rPr>
                <w:rFonts w:ascii="宋体" w:hAnsi="宋体" w:cs="宋体" w:eastAsia="宋体" w:hint="default"/>
                <w:sz w:val="18"/>
                <w:szCs w:val="18"/>
              </w:rPr>
            </w:pPr>
            <w:r>
              <w:rPr>
                <w:rFonts w:ascii="宋体" w:hAnsi="宋体" w:cs="宋体" w:eastAsia="宋体" w:hint="default"/>
                <w:spacing w:val="-2"/>
                <w:sz w:val="18"/>
                <w:szCs w:val="18"/>
              </w:rPr>
              <w:t>上市公司因本次交易向刘英魁发行的股份以及交易对方根据《发行</w:t>
            </w:r>
          </w:p>
        </w:tc>
        <w:tc>
          <w:tcPr>
            <w:tcW w:w="710" w:type="dxa"/>
            <w:vMerge/>
            <w:tcBorders>
              <w:left w:val="single" w:sz="4" w:space="0" w:color="000000"/>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59"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23" w:right="0"/>
              <w:jc w:val="left"/>
              <w:rPr>
                <w:rFonts w:ascii="宋体" w:hAnsi="宋体" w:cs="宋体" w:eastAsia="宋体" w:hint="default"/>
                <w:sz w:val="18"/>
                <w:szCs w:val="18"/>
              </w:rPr>
            </w:pPr>
            <w:r>
              <w:rPr>
                <w:rFonts w:ascii="宋体" w:hAnsi="宋体" w:cs="宋体" w:eastAsia="宋体" w:hint="default"/>
                <w:sz w:val="18"/>
                <w:szCs w:val="18"/>
              </w:rPr>
              <w:t>股份及支付现金购买资产协议</w:t>
            </w:r>
            <w:r>
              <w:rPr>
                <w:rFonts w:ascii="宋体" w:hAnsi="宋体" w:cs="宋体" w:eastAsia="宋体" w:hint="default"/>
                <w:spacing w:val="-89"/>
                <w:sz w:val="18"/>
                <w:szCs w:val="18"/>
              </w:rPr>
              <w:t>》</w:t>
            </w:r>
            <w:r>
              <w:rPr>
                <w:rFonts w:ascii="宋体" w:hAnsi="宋体" w:cs="宋体" w:eastAsia="宋体" w:hint="default"/>
                <w:spacing w:val="-123"/>
                <w:sz w:val="18"/>
                <w:szCs w:val="18"/>
              </w:rPr>
              <w:t>、</w:t>
            </w:r>
            <w:r>
              <w:rPr>
                <w:rFonts w:ascii="宋体" w:hAnsi="宋体" w:cs="宋体" w:eastAsia="宋体" w:hint="default"/>
                <w:sz w:val="18"/>
                <w:szCs w:val="18"/>
              </w:rPr>
              <w:t>《发行股份及支付现金购买资产协</w:t>
            </w:r>
          </w:p>
        </w:tc>
        <w:tc>
          <w:tcPr>
            <w:tcW w:w="710" w:type="dxa"/>
            <w:vMerge/>
            <w:tcBorders>
              <w:left w:val="single" w:sz="4" w:space="0" w:color="000000"/>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60"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23" w:right="0"/>
              <w:jc w:val="left"/>
              <w:rPr>
                <w:rFonts w:ascii="宋体" w:hAnsi="宋体" w:cs="宋体" w:eastAsia="宋体" w:hint="default"/>
                <w:sz w:val="18"/>
                <w:szCs w:val="18"/>
              </w:rPr>
            </w:pPr>
            <w:r>
              <w:rPr>
                <w:rFonts w:ascii="宋体" w:hAnsi="宋体" w:cs="宋体" w:eastAsia="宋体" w:hint="default"/>
                <w:spacing w:val="-2"/>
                <w:sz w:val="18"/>
                <w:szCs w:val="18"/>
              </w:rPr>
              <w:t>议之补充协议》以合法方式获得的上市公司股票，如在锁定期内因</w:t>
            </w:r>
          </w:p>
        </w:tc>
        <w:tc>
          <w:tcPr>
            <w:tcW w:w="710" w:type="dxa"/>
            <w:vMerge/>
            <w:tcBorders>
              <w:left w:val="single" w:sz="4" w:space="0" w:color="000000"/>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60"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23" w:right="0"/>
              <w:jc w:val="left"/>
              <w:rPr>
                <w:rFonts w:ascii="宋体" w:hAnsi="宋体" w:cs="宋体" w:eastAsia="宋体" w:hint="default"/>
                <w:sz w:val="18"/>
                <w:szCs w:val="18"/>
              </w:rPr>
            </w:pPr>
            <w:r>
              <w:rPr>
                <w:rFonts w:ascii="宋体" w:hAnsi="宋体" w:cs="宋体" w:eastAsia="宋体" w:hint="default"/>
                <w:spacing w:val="-2"/>
                <w:sz w:val="18"/>
                <w:szCs w:val="18"/>
              </w:rPr>
              <w:t>上市公司分配股票股利、资本公积转增股本等情形所衍生出的股份</w:t>
            </w:r>
          </w:p>
        </w:tc>
        <w:tc>
          <w:tcPr>
            <w:tcW w:w="710" w:type="dxa"/>
            <w:vMerge/>
            <w:tcBorders>
              <w:left w:val="single" w:sz="4" w:space="0" w:color="000000"/>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59"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23" w:right="0"/>
              <w:jc w:val="left"/>
              <w:rPr>
                <w:rFonts w:ascii="宋体" w:hAnsi="宋体" w:cs="宋体" w:eastAsia="宋体" w:hint="default"/>
                <w:sz w:val="18"/>
                <w:szCs w:val="18"/>
              </w:rPr>
            </w:pPr>
            <w:r>
              <w:rPr>
                <w:rFonts w:ascii="宋体" w:hAnsi="宋体" w:cs="宋体" w:eastAsia="宋体" w:hint="default"/>
                <w:sz w:val="18"/>
                <w:szCs w:val="18"/>
              </w:rPr>
              <w:t>亦应遵守上述股份锁定安排。</w:t>
            </w:r>
          </w:p>
        </w:tc>
        <w:tc>
          <w:tcPr>
            <w:tcW w:w="710" w:type="dxa"/>
            <w:vMerge/>
            <w:tcBorders>
              <w:left w:val="single" w:sz="4" w:space="0" w:color="000000"/>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60"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23" w:right="0"/>
              <w:jc w:val="left"/>
              <w:rPr>
                <w:rFonts w:ascii="宋体" w:hAnsi="宋体" w:cs="宋体" w:eastAsia="宋体" w:hint="default"/>
                <w:sz w:val="18"/>
                <w:szCs w:val="18"/>
              </w:rPr>
            </w:pPr>
            <w:r>
              <w:rPr>
                <w:rFonts w:ascii="宋体" w:hAnsi="宋体" w:cs="宋体" w:eastAsia="宋体" w:hint="default"/>
                <w:spacing w:val="4"/>
                <w:sz w:val="18"/>
                <w:szCs w:val="18"/>
              </w:rPr>
              <w:t>交易对方因本次交易而获得的股份在锁定期届满后减持还需遵守</w:t>
            </w:r>
          </w:p>
        </w:tc>
        <w:tc>
          <w:tcPr>
            <w:tcW w:w="710" w:type="dxa"/>
            <w:vMerge/>
            <w:tcBorders>
              <w:left w:val="single" w:sz="4" w:space="0" w:color="000000"/>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60"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23" w:right="0"/>
              <w:jc w:val="left"/>
              <w:rPr>
                <w:rFonts w:ascii="宋体" w:hAnsi="宋体" w:cs="宋体" w:eastAsia="宋体" w:hint="default"/>
                <w:sz w:val="18"/>
                <w:szCs w:val="18"/>
              </w:rPr>
            </w:pPr>
            <w:r>
              <w:rPr>
                <w:rFonts w:ascii="宋体" w:hAnsi="宋体" w:cs="宋体" w:eastAsia="宋体" w:hint="default"/>
                <w:spacing w:val="-2"/>
                <w:sz w:val="18"/>
                <w:szCs w:val="18"/>
              </w:rPr>
              <w:t>届时应遵守的法律、深交所相关规则以及上市公司《公司章程》的</w:t>
            </w:r>
          </w:p>
        </w:tc>
        <w:tc>
          <w:tcPr>
            <w:tcW w:w="710" w:type="dxa"/>
            <w:vMerge/>
            <w:tcBorders>
              <w:left w:val="single" w:sz="4" w:space="0" w:color="000000"/>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59"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23" w:right="0"/>
              <w:jc w:val="left"/>
              <w:rPr>
                <w:rFonts w:ascii="宋体" w:hAnsi="宋体" w:cs="宋体" w:eastAsia="宋体" w:hint="default"/>
                <w:sz w:val="18"/>
                <w:szCs w:val="18"/>
              </w:rPr>
            </w:pPr>
            <w:r>
              <w:rPr>
                <w:rFonts w:ascii="宋体" w:hAnsi="宋体" w:cs="宋体" w:eastAsia="宋体" w:hint="default"/>
                <w:sz w:val="18"/>
                <w:szCs w:val="18"/>
              </w:rPr>
              <w:t>规定。</w:t>
            </w:r>
          </w:p>
        </w:tc>
        <w:tc>
          <w:tcPr>
            <w:tcW w:w="710" w:type="dxa"/>
            <w:vMerge/>
            <w:tcBorders>
              <w:left w:val="single" w:sz="4" w:space="0" w:color="000000"/>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60"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23" w:right="0"/>
              <w:jc w:val="left"/>
              <w:rPr>
                <w:rFonts w:ascii="宋体" w:hAnsi="宋体" w:cs="宋体" w:eastAsia="宋体" w:hint="default"/>
                <w:sz w:val="18"/>
                <w:szCs w:val="18"/>
              </w:rPr>
            </w:pPr>
            <w:r>
              <w:rPr>
                <w:rFonts w:ascii="宋体" w:hAnsi="宋体" w:cs="宋体" w:eastAsia="宋体" w:hint="default"/>
                <w:spacing w:val="-2"/>
                <w:sz w:val="18"/>
                <w:szCs w:val="18"/>
              </w:rPr>
              <w:t>交易对方同时承诺，在锁定期结束后，在卖出股票时，遵守法律法</w:t>
            </w:r>
          </w:p>
        </w:tc>
        <w:tc>
          <w:tcPr>
            <w:tcW w:w="710" w:type="dxa"/>
            <w:vMerge/>
            <w:tcBorders>
              <w:left w:val="single" w:sz="4" w:space="0" w:color="000000"/>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60" w:hRule="exact"/>
        </w:trPr>
        <w:tc>
          <w:tcPr>
            <w:tcW w:w="708" w:type="dxa"/>
            <w:vMerge/>
            <w:tcBorders>
              <w:left w:val="single" w:sz="4" w:space="0" w:color="000000"/>
              <w:right w:val="single" w:sz="4" w:space="0" w:color="000000"/>
            </w:tcBorders>
          </w:tcPr>
          <w:p>
            <w:pPr/>
          </w:p>
        </w:tc>
        <w:tc>
          <w:tcPr>
            <w:tcW w:w="852" w:type="dxa"/>
            <w:vMerge/>
            <w:tcBorders>
              <w:left w:val="single" w:sz="4" w:space="0" w:color="000000"/>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23" w:right="0"/>
              <w:jc w:val="left"/>
              <w:rPr>
                <w:rFonts w:ascii="宋体" w:hAnsi="宋体" w:cs="宋体" w:eastAsia="宋体" w:hint="default"/>
                <w:sz w:val="18"/>
                <w:szCs w:val="18"/>
              </w:rPr>
            </w:pPr>
            <w:r>
              <w:rPr>
                <w:rFonts w:ascii="宋体" w:hAnsi="宋体" w:cs="宋体" w:eastAsia="宋体" w:hint="default"/>
                <w:spacing w:val="4"/>
                <w:sz w:val="18"/>
                <w:szCs w:val="18"/>
              </w:rPr>
              <w:t>规及深交所的届时的相关规定并需结合标的资产经营情况与上市</w:t>
            </w:r>
          </w:p>
        </w:tc>
        <w:tc>
          <w:tcPr>
            <w:tcW w:w="710" w:type="dxa"/>
            <w:vMerge/>
            <w:tcBorders>
              <w:left w:val="single" w:sz="4" w:space="0" w:color="000000"/>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49" w:hRule="exact"/>
        </w:trPr>
        <w:tc>
          <w:tcPr>
            <w:tcW w:w="708" w:type="dxa"/>
            <w:vMerge/>
            <w:tcBorders>
              <w:left w:val="single" w:sz="4" w:space="0" w:color="000000"/>
              <w:bottom w:val="single" w:sz="4" w:space="0" w:color="000000"/>
              <w:right w:val="single" w:sz="4" w:space="0" w:color="000000"/>
            </w:tcBorders>
          </w:tcPr>
          <w:p>
            <w:pPr/>
          </w:p>
        </w:tc>
        <w:tc>
          <w:tcPr>
            <w:tcW w:w="852" w:type="dxa"/>
            <w:vMerge/>
            <w:tcBorders>
              <w:left w:val="single" w:sz="4" w:space="0" w:color="000000"/>
              <w:bottom w:val="single" w:sz="4" w:space="0" w:color="000000"/>
              <w:right w:val="single" w:sz="4" w:space="0" w:color="000000"/>
            </w:tcBorders>
          </w:tcPr>
          <w:p>
            <w:pPr/>
          </w:p>
        </w:tc>
        <w:tc>
          <w:tcPr>
            <w:tcW w:w="708" w:type="dxa"/>
            <w:vMerge/>
            <w:tcBorders>
              <w:left w:val="single" w:sz="4" w:space="0" w:color="000000"/>
              <w:bottom w:val="single" w:sz="4" w:space="0" w:color="000000"/>
              <w:right w:val="single" w:sz="4" w:space="0" w:color="000000"/>
            </w:tcBorders>
          </w:tcPr>
          <w:p>
            <w:pPr/>
          </w:p>
        </w:tc>
        <w:tc>
          <w:tcPr>
            <w:tcW w:w="5245" w:type="dxa"/>
            <w:tcBorders>
              <w:top w:val="nil" w:sz="6" w:space="0" w:color="auto"/>
              <w:left w:val="single" w:sz="4" w:space="0" w:color="000000"/>
              <w:bottom w:val="single" w:sz="4" w:space="0" w:color="000000"/>
              <w:right w:val="single" w:sz="4" w:space="0" w:color="000000"/>
            </w:tcBorders>
          </w:tcPr>
          <w:p>
            <w:pPr>
              <w:pStyle w:val="TableParagraph"/>
              <w:spacing w:line="220" w:lineRule="exact"/>
              <w:ind w:left="23" w:right="0"/>
              <w:jc w:val="left"/>
              <w:rPr>
                <w:rFonts w:ascii="宋体" w:hAnsi="宋体" w:cs="宋体" w:eastAsia="宋体" w:hint="default"/>
                <w:sz w:val="18"/>
                <w:szCs w:val="18"/>
              </w:rPr>
            </w:pPr>
            <w:r>
              <w:rPr>
                <w:rFonts w:ascii="宋体" w:hAnsi="宋体" w:cs="宋体" w:eastAsia="宋体" w:hint="default"/>
                <w:sz w:val="18"/>
                <w:szCs w:val="18"/>
              </w:rPr>
              <w:t>公司友好协商。</w:t>
            </w:r>
          </w:p>
        </w:tc>
        <w:tc>
          <w:tcPr>
            <w:tcW w:w="710" w:type="dxa"/>
            <w:vMerge/>
            <w:tcBorders>
              <w:left w:val="single" w:sz="4" w:space="0" w:color="000000"/>
              <w:bottom w:val="single" w:sz="4" w:space="0" w:color="000000"/>
              <w:right w:val="single" w:sz="4" w:space="0" w:color="000000"/>
            </w:tcBorders>
          </w:tcPr>
          <w:p>
            <w:pPr/>
          </w:p>
        </w:tc>
        <w:tc>
          <w:tcPr>
            <w:tcW w:w="709" w:type="dxa"/>
            <w:vMerge/>
            <w:tcBorders>
              <w:left w:val="single" w:sz="4" w:space="0" w:color="000000"/>
              <w:bottom w:val="single" w:sz="4" w:space="0" w:color="000000"/>
              <w:right w:val="single" w:sz="4" w:space="0" w:color="000000"/>
            </w:tcBorders>
          </w:tcPr>
          <w:p>
            <w:pPr/>
          </w:p>
        </w:tc>
        <w:tc>
          <w:tcPr>
            <w:tcW w:w="991" w:type="dxa"/>
            <w:vMerge/>
            <w:tcBorders>
              <w:left w:val="single" w:sz="4" w:space="0" w:color="000000"/>
              <w:bottom w:val="single" w:sz="4" w:space="0" w:color="000000"/>
              <w:right w:val="single" w:sz="4" w:space="0" w:color="000000"/>
            </w:tcBorders>
          </w:tcPr>
          <w:p>
            <w:pPr/>
          </w:p>
        </w:tc>
      </w:tr>
      <w:tr>
        <w:trPr>
          <w:trHeight w:val="280" w:hRule="exact"/>
        </w:trPr>
        <w:tc>
          <w:tcPr>
            <w:tcW w:w="708" w:type="dxa"/>
            <w:tcBorders>
              <w:top w:val="single" w:sz="4" w:space="0" w:color="000000"/>
              <w:left w:val="single" w:sz="4" w:space="0" w:color="000000"/>
              <w:bottom w:val="nil" w:sz="6" w:space="0" w:color="auto"/>
              <w:right w:val="single" w:sz="4" w:space="0" w:color="000000"/>
            </w:tcBorders>
          </w:tcPr>
          <w:p>
            <w:pPr/>
          </w:p>
        </w:tc>
        <w:tc>
          <w:tcPr>
            <w:tcW w:w="852"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5245" w:type="dxa"/>
            <w:tcBorders>
              <w:top w:val="single" w:sz="4" w:space="0" w:color="000000"/>
              <w:left w:val="single" w:sz="4" w:space="0" w:color="000000"/>
              <w:bottom w:val="nil" w:sz="6" w:space="0" w:color="auto"/>
              <w:right w:val="single" w:sz="4" w:space="0" w:color="000000"/>
            </w:tcBorders>
          </w:tcPr>
          <w:p>
            <w:pPr>
              <w:pStyle w:val="TableParagraph"/>
              <w:spacing w:line="235" w:lineRule="exact"/>
              <w:ind w:left="23" w:right="0"/>
              <w:jc w:val="left"/>
              <w:rPr>
                <w:rFonts w:ascii="宋体" w:hAnsi="宋体" w:cs="宋体" w:eastAsia="宋体" w:hint="default"/>
                <w:sz w:val="18"/>
                <w:szCs w:val="18"/>
              </w:rPr>
            </w:pPr>
            <w:r>
              <w:rPr>
                <w:rFonts w:ascii="宋体" w:hAnsi="宋体" w:cs="宋体" w:eastAsia="宋体" w:hint="default"/>
                <w:spacing w:val="-2"/>
                <w:sz w:val="18"/>
                <w:szCs w:val="18"/>
              </w:rPr>
              <w:t>刘英魁、嘉春秋分别对其在嘉语春华和嘉惠秋实中所拥有的权益做</w:t>
            </w:r>
          </w:p>
        </w:tc>
        <w:tc>
          <w:tcPr>
            <w:tcW w:w="710" w:type="dxa"/>
            <w:tcBorders>
              <w:top w:val="single" w:sz="4" w:space="0" w:color="000000"/>
              <w:left w:val="single" w:sz="4" w:space="0" w:color="000000"/>
              <w:bottom w:val="nil" w:sz="6" w:space="0" w:color="auto"/>
              <w:right w:val="single" w:sz="4" w:space="0" w:color="000000"/>
            </w:tcBorders>
          </w:tcPr>
          <w:p>
            <w:pPr/>
          </w:p>
        </w:tc>
        <w:tc>
          <w:tcPr>
            <w:tcW w:w="709" w:type="dxa"/>
            <w:tcBorders>
              <w:top w:val="single" w:sz="4" w:space="0" w:color="000000"/>
              <w:left w:val="single" w:sz="4" w:space="0" w:color="000000"/>
              <w:bottom w:val="nil" w:sz="6" w:space="0" w:color="auto"/>
              <w:right w:val="single" w:sz="4" w:space="0" w:color="000000"/>
            </w:tcBorders>
          </w:tcPr>
          <w:p>
            <w:pPr/>
          </w:p>
        </w:tc>
        <w:tc>
          <w:tcPr>
            <w:tcW w:w="991" w:type="dxa"/>
            <w:tcBorders>
              <w:top w:val="single" w:sz="4" w:space="0" w:color="000000"/>
              <w:left w:val="single" w:sz="4" w:space="0" w:color="000000"/>
              <w:bottom w:val="nil" w:sz="6" w:space="0" w:color="auto"/>
              <w:right w:val="single" w:sz="4" w:space="0" w:color="000000"/>
            </w:tcBorders>
          </w:tcPr>
          <w:p>
            <w:pPr/>
          </w:p>
        </w:tc>
      </w:tr>
      <w:tr>
        <w:trPr>
          <w:trHeight w:val="1300"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24"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年</w:t>
            </w:r>
          </w:p>
          <w:p>
            <w:pPr>
              <w:pStyle w:val="TableParagraph"/>
              <w:spacing w:line="264" w:lineRule="auto" w:before="10"/>
              <w:ind w:left="24" w:right="-38"/>
              <w:jc w:val="both"/>
              <w:rPr>
                <w:rFonts w:ascii="宋体" w:hAnsi="宋体" w:cs="宋体" w:eastAsia="宋体" w:hint="default"/>
                <w:sz w:val="18"/>
                <w:szCs w:val="18"/>
              </w:rPr>
            </w:pPr>
            <w:r>
              <w:rPr>
                <w:rFonts w:ascii="宋体" w:hAnsi="宋体" w:cs="宋体" w:eastAsia="宋体" w:hint="default"/>
                <w:spacing w:val="38"/>
                <w:sz w:val="18"/>
                <w:szCs w:val="18"/>
              </w:rPr>
              <w:t>重大资</w:t>
            </w:r>
            <w:r>
              <w:rPr>
                <w:rFonts w:ascii="宋体" w:hAnsi="宋体" w:cs="宋体" w:eastAsia="宋体" w:hint="default"/>
                <w:spacing w:val="-33"/>
                <w:sz w:val="18"/>
                <w:szCs w:val="18"/>
              </w:rPr>
              <w:t> </w:t>
            </w:r>
            <w:r>
              <w:rPr>
                <w:rFonts w:ascii="宋体" w:hAnsi="宋体" w:cs="宋体" w:eastAsia="宋体" w:hint="default"/>
                <w:spacing w:val="38"/>
                <w:sz w:val="18"/>
                <w:szCs w:val="18"/>
              </w:rPr>
              <w:t>产收购</w:t>
            </w:r>
            <w:r>
              <w:rPr>
                <w:rFonts w:ascii="宋体" w:hAnsi="宋体" w:cs="宋体" w:eastAsia="宋体" w:hint="default"/>
                <w:spacing w:val="-33"/>
                <w:sz w:val="18"/>
                <w:szCs w:val="18"/>
              </w:rPr>
              <w:t> </w:t>
            </w:r>
            <w:r>
              <w:rPr>
                <w:rFonts w:ascii="宋体" w:hAnsi="宋体" w:cs="宋体" w:eastAsia="宋体" w:hint="default"/>
                <w:spacing w:val="38"/>
                <w:sz w:val="18"/>
                <w:szCs w:val="18"/>
              </w:rPr>
              <w:t>时所作</w:t>
            </w:r>
            <w:r>
              <w:rPr>
                <w:rFonts w:ascii="宋体" w:hAnsi="宋体" w:cs="宋体" w:eastAsia="宋体" w:hint="default"/>
                <w:spacing w:val="-33"/>
                <w:sz w:val="18"/>
                <w:szCs w:val="18"/>
              </w:rPr>
              <w:t> </w:t>
            </w:r>
            <w:r>
              <w:rPr>
                <w:rFonts w:ascii="宋体" w:hAnsi="宋体" w:cs="宋体" w:eastAsia="宋体" w:hint="default"/>
                <w:sz w:val="18"/>
                <w:szCs w:val="18"/>
              </w:rPr>
              <w:t>承诺</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4"/>
                <w:szCs w:val="14"/>
              </w:rPr>
            </w:pPr>
          </w:p>
          <w:p>
            <w:pPr>
              <w:pStyle w:val="TableParagraph"/>
              <w:spacing w:line="266" w:lineRule="auto"/>
              <w:ind w:left="23" w:right="0"/>
              <w:jc w:val="left"/>
              <w:rPr>
                <w:rFonts w:ascii="宋体" w:hAnsi="宋体" w:cs="宋体" w:eastAsia="宋体" w:hint="default"/>
                <w:sz w:val="18"/>
                <w:szCs w:val="18"/>
              </w:rPr>
            </w:pPr>
            <w:r>
              <w:rPr>
                <w:rFonts w:ascii="宋体" w:hAnsi="宋体" w:cs="宋体" w:eastAsia="宋体" w:hint="default"/>
                <w:spacing w:val="18"/>
                <w:sz w:val="18"/>
                <w:szCs w:val="18"/>
              </w:rPr>
              <w:t>刘英魁、</w:t>
            </w:r>
            <w:r>
              <w:rPr>
                <w:rFonts w:ascii="宋体" w:hAnsi="宋体" w:cs="宋体" w:eastAsia="宋体" w:hint="default"/>
                <w:spacing w:val="-66"/>
                <w:sz w:val="18"/>
                <w:szCs w:val="18"/>
              </w:rPr>
              <w:t> </w:t>
            </w:r>
            <w:r>
              <w:rPr>
                <w:rFonts w:ascii="宋体" w:hAnsi="宋体" w:cs="宋体" w:eastAsia="宋体" w:hint="default"/>
                <w:sz w:val="18"/>
                <w:szCs w:val="18"/>
              </w:rPr>
              <w:t>嘉春秋</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5"/>
                <w:szCs w:val="2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限期</w:t>
            </w: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23" w:right="0"/>
              <w:jc w:val="both"/>
              <w:rPr>
                <w:rFonts w:ascii="宋体" w:hAnsi="宋体" w:cs="宋体" w:eastAsia="宋体" w:hint="default"/>
                <w:sz w:val="18"/>
                <w:szCs w:val="18"/>
              </w:rPr>
            </w:pPr>
            <w:r>
              <w:rPr>
                <w:rFonts w:ascii="宋体" w:hAnsi="宋体" w:cs="宋体" w:eastAsia="宋体" w:hint="default"/>
                <w:sz w:val="18"/>
                <w:szCs w:val="18"/>
              </w:rPr>
              <w:t>出承诺：</w:t>
            </w:r>
          </w:p>
          <w:p>
            <w:pPr>
              <w:pStyle w:val="TableParagraph"/>
              <w:spacing w:line="259" w:lineRule="auto" w:before="23"/>
              <w:ind w:left="23" w:right="19"/>
              <w:jc w:val="both"/>
              <w:rPr>
                <w:rFonts w:ascii="宋体" w:hAnsi="宋体" w:cs="宋体" w:eastAsia="宋体" w:hint="default"/>
                <w:sz w:val="18"/>
                <w:szCs w:val="18"/>
              </w:rPr>
            </w:pPr>
            <w:r>
              <w:rPr>
                <w:rFonts w:ascii="宋体" w:hAnsi="宋体" w:cs="宋体" w:eastAsia="宋体" w:hint="default"/>
                <w:sz w:val="18"/>
                <w:szCs w:val="18"/>
              </w:rPr>
              <w:t>自本次交易完成之日起 </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个月内，不以任何方式转让持有的嘉语 </w:t>
            </w:r>
            <w:r>
              <w:rPr>
                <w:rFonts w:ascii="宋体" w:hAnsi="宋体" w:cs="宋体" w:eastAsia="宋体" w:hint="default"/>
                <w:spacing w:val="-2"/>
                <w:sz w:val="18"/>
                <w:szCs w:val="18"/>
              </w:rPr>
              <w:t>春华、嘉惠秋实的出资额或从嘉语春华、嘉惠秋实退伙，亦不以任</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pacing w:val="4"/>
                <w:sz w:val="18"/>
                <w:szCs w:val="18"/>
              </w:rPr>
              <w:t>何方式转让或者让渡或者约定由其他主体以任何方式部分或全部</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pacing w:val="-2"/>
                <w:sz w:val="18"/>
                <w:szCs w:val="18"/>
              </w:rPr>
              <w:t>享有通过嘉语春华、嘉惠秋实间接享有的与茂业通信股份有关的权</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年</w:t>
            </w:r>
          </w:p>
          <w:p>
            <w:pPr>
              <w:pStyle w:val="TableParagraph"/>
              <w:spacing w:line="240" w:lineRule="auto" w:before="10"/>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25"/>
                <w:sz w:val="18"/>
                <w:szCs w:val="18"/>
              </w:rPr>
              <w:t> </w:t>
            </w:r>
            <w:r>
              <w:rPr>
                <w:rFonts w:ascii="Times New Roman" w:hAnsi="Times New Roman" w:cs="Times New Roman" w:eastAsia="Times New Roman" w:hint="default"/>
                <w:sz w:val="18"/>
                <w:szCs w:val="18"/>
              </w:rPr>
              <w:t>12</w:t>
            </w:r>
          </w:p>
          <w:p>
            <w:pPr>
              <w:pStyle w:val="TableParagraph"/>
              <w:spacing w:line="240" w:lineRule="auto" w:before="12"/>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40" w:lineRule="auto" w:before="115"/>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10"/>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12</w:t>
            </w:r>
          </w:p>
          <w:p>
            <w:pPr>
              <w:pStyle w:val="TableParagraph"/>
              <w:spacing w:line="240" w:lineRule="auto" w:before="12"/>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日起</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36</w:t>
            </w:r>
          </w:p>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个月</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5"/>
                <w:szCs w:val="25"/>
              </w:rPr>
            </w:pPr>
          </w:p>
          <w:p>
            <w:pPr>
              <w:pStyle w:val="TableParagraph"/>
              <w:spacing w:line="240" w:lineRule="auto"/>
              <w:ind w:right="127"/>
              <w:jc w:val="right"/>
              <w:rPr>
                <w:rFonts w:ascii="宋体" w:hAnsi="宋体" w:cs="宋体" w:eastAsia="宋体" w:hint="default"/>
                <w:sz w:val="18"/>
                <w:szCs w:val="18"/>
              </w:rPr>
            </w:pPr>
            <w:r>
              <w:rPr>
                <w:rFonts w:ascii="宋体" w:hAnsi="宋体" w:cs="宋体" w:eastAsia="宋体" w:hint="default"/>
                <w:sz w:val="18"/>
                <w:szCs w:val="18"/>
              </w:rPr>
              <w:t>正常履行</w:t>
            </w:r>
          </w:p>
        </w:tc>
      </w:tr>
      <w:tr>
        <w:trPr>
          <w:trHeight w:val="252" w:hRule="exact"/>
        </w:trPr>
        <w:tc>
          <w:tcPr>
            <w:tcW w:w="708" w:type="dxa"/>
            <w:tcBorders>
              <w:top w:val="nil" w:sz="6" w:space="0" w:color="auto"/>
              <w:left w:val="single" w:sz="4" w:space="0" w:color="000000"/>
              <w:bottom w:val="single" w:sz="4" w:space="0" w:color="000000"/>
              <w:right w:val="single" w:sz="4" w:space="0" w:color="000000"/>
            </w:tcBorders>
          </w:tcPr>
          <w:p>
            <w:pPr/>
          </w:p>
        </w:tc>
        <w:tc>
          <w:tcPr>
            <w:tcW w:w="852"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5245" w:type="dxa"/>
            <w:tcBorders>
              <w:top w:val="nil" w:sz="6" w:space="0" w:color="auto"/>
              <w:left w:val="single" w:sz="4" w:space="0" w:color="000000"/>
              <w:bottom w:val="single" w:sz="4" w:space="0" w:color="000000"/>
              <w:right w:val="single" w:sz="4" w:space="0" w:color="000000"/>
            </w:tcBorders>
          </w:tcPr>
          <w:p>
            <w:pPr>
              <w:pStyle w:val="TableParagraph"/>
              <w:spacing w:line="220" w:lineRule="exact"/>
              <w:ind w:left="23" w:right="0"/>
              <w:jc w:val="left"/>
              <w:rPr>
                <w:rFonts w:ascii="宋体" w:hAnsi="宋体" w:cs="宋体" w:eastAsia="宋体" w:hint="default"/>
                <w:sz w:val="18"/>
                <w:szCs w:val="18"/>
              </w:rPr>
            </w:pPr>
            <w:r>
              <w:rPr>
                <w:rFonts w:ascii="宋体" w:hAnsi="宋体" w:cs="宋体" w:eastAsia="宋体" w:hint="default"/>
                <w:sz w:val="18"/>
                <w:szCs w:val="18"/>
              </w:rPr>
              <w:t>益。</w:t>
            </w:r>
          </w:p>
        </w:tc>
        <w:tc>
          <w:tcPr>
            <w:tcW w:w="710" w:type="dxa"/>
            <w:tcBorders>
              <w:top w:val="nil" w:sz="6" w:space="0" w:color="auto"/>
              <w:left w:val="single" w:sz="4" w:space="0" w:color="000000"/>
              <w:bottom w:val="single" w:sz="4" w:space="0" w:color="000000"/>
              <w:right w:val="single" w:sz="4" w:space="0" w:color="000000"/>
            </w:tcBorders>
          </w:tcPr>
          <w:p>
            <w:pPr/>
          </w:p>
        </w:tc>
        <w:tc>
          <w:tcPr>
            <w:tcW w:w="709" w:type="dxa"/>
            <w:tcBorders>
              <w:top w:val="nil" w:sz="6" w:space="0" w:color="auto"/>
              <w:left w:val="single" w:sz="4" w:space="0" w:color="000000"/>
              <w:bottom w:val="single" w:sz="4" w:space="0" w:color="000000"/>
              <w:right w:val="single" w:sz="4" w:space="0" w:color="000000"/>
            </w:tcBorders>
          </w:tcPr>
          <w:p>
            <w:pPr/>
          </w:p>
        </w:tc>
        <w:tc>
          <w:tcPr>
            <w:tcW w:w="991" w:type="dxa"/>
            <w:tcBorders>
              <w:top w:val="nil" w:sz="6" w:space="0" w:color="auto"/>
              <w:left w:val="single" w:sz="4" w:space="0" w:color="000000"/>
              <w:bottom w:val="single" w:sz="4" w:space="0" w:color="000000"/>
              <w:right w:val="single" w:sz="4" w:space="0" w:color="000000"/>
            </w:tcBorders>
          </w:tcPr>
          <w:p>
            <w:pPr/>
          </w:p>
        </w:tc>
      </w:tr>
      <w:tr>
        <w:trPr>
          <w:trHeight w:val="1310"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4"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年</w:t>
            </w:r>
          </w:p>
          <w:p>
            <w:pPr>
              <w:pStyle w:val="TableParagraph"/>
              <w:spacing w:line="264" w:lineRule="auto" w:before="10"/>
              <w:ind w:left="24" w:right="-38"/>
              <w:jc w:val="both"/>
              <w:rPr>
                <w:rFonts w:ascii="宋体" w:hAnsi="宋体" w:cs="宋体" w:eastAsia="宋体" w:hint="default"/>
                <w:sz w:val="18"/>
                <w:szCs w:val="18"/>
              </w:rPr>
            </w:pPr>
            <w:r>
              <w:rPr>
                <w:rFonts w:ascii="宋体" w:hAnsi="宋体" w:cs="宋体" w:eastAsia="宋体" w:hint="default"/>
                <w:spacing w:val="38"/>
                <w:sz w:val="18"/>
                <w:szCs w:val="18"/>
              </w:rPr>
              <w:t>重大资</w:t>
            </w:r>
            <w:r>
              <w:rPr>
                <w:rFonts w:ascii="宋体" w:hAnsi="宋体" w:cs="宋体" w:eastAsia="宋体" w:hint="default"/>
                <w:spacing w:val="-33"/>
                <w:sz w:val="18"/>
                <w:szCs w:val="18"/>
              </w:rPr>
              <w:t> </w:t>
            </w:r>
            <w:r>
              <w:rPr>
                <w:rFonts w:ascii="宋体" w:hAnsi="宋体" w:cs="宋体" w:eastAsia="宋体" w:hint="default"/>
                <w:spacing w:val="38"/>
                <w:sz w:val="18"/>
                <w:szCs w:val="18"/>
              </w:rPr>
              <w:t>产收购</w:t>
            </w:r>
            <w:r>
              <w:rPr>
                <w:rFonts w:ascii="宋体" w:hAnsi="宋体" w:cs="宋体" w:eastAsia="宋体" w:hint="default"/>
                <w:spacing w:val="-33"/>
                <w:sz w:val="18"/>
                <w:szCs w:val="18"/>
              </w:rPr>
              <w:t> </w:t>
            </w:r>
            <w:r>
              <w:rPr>
                <w:rFonts w:ascii="宋体" w:hAnsi="宋体" w:cs="宋体" w:eastAsia="宋体" w:hint="default"/>
                <w:spacing w:val="38"/>
                <w:sz w:val="18"/>
                <w:szCs w:val="18"/>
              </w:rPr>
              <w:t>时所作</w:t>
            </w:r>
            <w:r>
              <w:rPr>
                <w:rFonts w:ascii="宋体" w:hAnsi="宋体" w:cs="宋体" w:eastAsia="宋体" w:hint="default"/>
                <w:spacing w:val="-33"/>
                <w:sz w:val="18"/>
                <w:szCs w:val="18"/>
              </w:rPr>
              <w:t> </w:t>
            </w:r>
            <w:r>
              <w:rPr>
                <w:rFonts w:ascii="宋体" w:hAnsi="宋体" w:cs="宋体" w:eastAsia="宋体" w:hint="default"/>
                <w:sz w:val="18"/>
                <w:szCs w:val="18"/>
              </w:rPr>
              <w:t>承诺</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15"/>
                <w:szCs w:val="15"/>
              </w:rPr>
            </w:pPr>
          </w:p>
          <w:p>
            <w:pPr>
              <w:pStyle w:val="TableParagraph"/>
              <w:spacing w:line="266" w:lineRule="auto"/>
              <w:ind w:left="23" w:right="0"/>
              <w:jc w:val="left"/>
              <w:rPr>
                <w:rFonts w:ascii="宋体" w:hAnsi="宋体" w:cs="宋体" w:eastAsia="宋体" w:hint="default"/>
                <w:sz w:val="18"/>
                <w:szCs w:val="18"/>
              </w:rPr>
            </w:pPr>
            <w:r>
              <w:rPr>
                <w:rFonts w:ascii="宋体" w:hAnsi="宋体" w:cs="宋体" w:eastAsia="宋体" w:hint="default"/>
                <w:spacing w:val="18"/>
                <w:sz w:val="18"/>
                <w:szCs w:val="18"/>
              </w:rPr>
              <w:t>刘英魁、</w:t>
            </w:r>
            <w:r>
              <w:rPr>
                <w:rFonts w:ascii="宋体" w:hAnsi="宋体" w:cs="宋体" w:eastAsia="宋体" w:hint="default"/>
                <w:spacing w:val="-66"/>
                <w:sz w:val="18"/>
                <w:szCs w:val="18"/>
              </w:rPr>
              <w:t> </w:t>
            </w:r>
            <w:r>
              <w:rPr>
                <w:rFonts w:ascii="宋体" w:hAnsi="宋体" w:cs="宋体" w:eastAsia="宋体" w:hint="default"/>
                <w:sz w:val="18"/>
                <w:szCs w:val="18"/>
              </w:rPr>
              <w:t>张欣</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 w:right="0"/>
              <w:jc w:val="center"/>
              <w:rPr>
                <w:rFonts w:ascii="宋体" w:hAnsi="宋体" w:cs="宋体" w:eastAsia="宋体" w:hint="default"/>
                <w:sz w:val="18"/>
                <w:szCs w:val="18"/>
              </w:rPr>
            </w:pPr>
            <w:r>
              <w:rPr>
                <w:rFonts w:ascii="宋体" w:hAnsi="宋体" w:cs="宋体" w:eastAsia="宋体" w:hint="default"/>
                <w:sz w:val="18"/>
                <w:szCs w:val="18"/>
              </w:rPr>
              <w:t>限期</w:t>
            </w:r>
          </w:p>
        </w:tc>
        <w:tc>
          <w:tcPr>
            <w:tcW w:w="5245" w:type="dxa"/>
            <w:tcBorders>
              <w:top w:val="single" w:sz="4" w:space="0" w:color="000000"/>
              <w:left w:val="single" w:sz="4" w:space="0" w:color="000000"/>
              <w:bottom w:val="single" w:sz="4" w:space="0" w:color="000000"/>
              <w:right w:val="single" w:sz="4" w:space="0" w:color="000000"/>
            </w:tcBorders>
          </w:tcPr>
          <w:p>
            <w:pPr>
              <w:pStyle w:val="TableParagraph"/>
              <w:spacing w:line="259" w:lineRule="auto" w:before="128"/>
              <w:ind w:left="23" w:right="-9"/>
              <w:jc w:val="both"/>
              <w:rPr>
                <w:rFonts w:ascii="宋体" w:hAnsi="宋体" w:cs="宋体" w:eastAsia="宋体" w:hint="default"/>
                <w:sz w:val="18"/>
                <w:szCs w:val="18"/>
              </w:rPr>
            </w:pPr>
            <w:r>
              <w:rPr>
                <w:rFonts w:ascii="宋体" w:hAnsi="宋体" w:cs="宋体" w:eastAsia="宋体" w:hint="default"/>
                <w:spacing w:val="-3"/>
                <w:sz w:val="18"/>
                <w:szCs w:val="18"/>
              </w:rPr>
              <w:t>关于持有嘉春秋权益的锁定期承诺安排：自本次交易完成之日起</w:t>
            </w:r>
            <w:r>
              <w:rPr>
                <w:rFonts w:ascii="宋体" w:hAnsi="宋体" w:cs="宋体" w:eastAsia="宋体" w:hint="default"/>
                <w:spacing w:val="-41"/>
                <w:sz w:val="18"/>
                <w:szCs w:val="18"/>
              </w:rPr>
              <w:t> </w:t>
            </w:r>
            <w:r>
              <w:rPr>
                <w:rFonts w:ascii="Times New Roman" w:hAnsi="Times New Roman" w:cs="Times New Roman" w:eastAsia="Times New Roman" w:hint="default"/>
                <w:spacing w:val="1"/>
                <w:sz w:val="18"/>
                <w:szCs w:val="18"/>
              </w:rPr>
              <w:t>36</w:t>
            </w:r>
            <w:r>
              <w:rPr>
                <w:rFonts w:ascii="Times New Roman" w:hAnsi="Times New Roman" w:cs="Times New Roman" w:eastAsia="Times New Roman" w:hint="default"/>
                <w:spacing w:val="-42"/>
                <w:sz w:val="18"/>
                <w:szCs w:val="18"/>
              </w:rPr>
              <w:t> </w:t>
            </w:r>
            <w:r>
              <w:rPr>
                <w:rFonts w:ascii="宋体" w:hAnsi="宋体" w:cs="宋体" w:eastAsia="宋体" w:hint="default"/>
                <w:sz w:val="18"/>
                <w:szCs w:val="18"/>
              </w:rPr>
              <w:t>个月内，不以任何方式转让持有的嘉春秋的股权或从嘉春秋退股， </w:t>
            </w:r>
            <w:r>
              <w:rPr>
                <w:rFonts w:ascii="宋体" w:hAnsi="宋体" w:cs="宋体" w:eastAsia="宋体" w:hint="default"/>
                <w:spacing w:val="4"/>
                <w:sz w:val="18"/>
                <w:szCs w:val="18"/>
              </w:rPr>
              <w:t>亦不以任何方式转让或者让渡或者约定由其他主体以任何方式部</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分或全部享有通过嘉春秋间接享有的与茂业通信股份有关的权益。</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年</w:t>
            </w:r>
          </w:p>
          <w:p>
            <w:pPr>
              <w:pStyle w:val="TableParagraph"/>
              <w:spacing w:line="240" w:lineRule="auto" w:before="12"/>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25"/>
                <w:sz w:val="18"/>
                <w:szCs w:val="18"/>
              </w:rPr>
              <w:t> </w:t>
            </w:r>
            <w:r>
              <w:rPr>
                <w:rFonts w:ascii="Times New Roman" w:hAnsi="Times New Roman" w:cs="Times New Roman" w:eastAsia="Times New Roman" w:hint="default"/>
                <w:sz w:val="18"/>
                <w:szCs w:val="18"/>
              </w:rPr>
              <w:t>12</w:t>
            </w:r>
          </w:p>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10"/>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12</w:t>
            </w:r>
          </w:p>
          <w:p>
            <w:pPr>
              <w:pStyle w:val="TableParagraph"/>
              <w:spacing w:line="240" w:lineRule="auto" w:before="12"/>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日起</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36</w:t>
            </w:r>
          </w:p>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个月</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right="127"/>
              <w:jc w:val="right"/>
              <w:rPr>
                <w:rFonts w:ascii="宋体" w:hAnsi="宋体" w:cs="宋体" w:eastAsia="宋体" w:hint="default"/>
                <w:sz w:val="18"/>
                <w:szCs w:val="18"/>
              </w:rPr>
            </w:pPr>
            <w:r>
              <w:rPr>
                <w:rFonts w:ascii="宋体" w:hAnsi="宋体" w:cs="宋体" w:eastAsia="宋体" w:hint="default"/>
                <w:sz w:val="18"/>
                <w:szCs w:val="18"/>
              </w:rPr>
              <w:t>正常履行</w:t>
            </w:r>
          </w:p>
        </w:tc>
      </w:tr>
      <w:tr>
        <w:trPr>
          <w:trHeight w:val="279" w:hRule="exact"/>
        </w:trPr>
        <w:tc>
          <w:tcPr>
            <w:tcW w:w="708" w:type="dxa"/>
            <w:tcBorders>
              <w:top w:val="single" w:sz="4" w:space="0" w:color="000000"/>
              <w:left w:val="single" w:sz="4" w:space="0" w:color="000000"/>
              <w:bottom w:val="nil" w:sz="6" w:space="0" w:color="auto"/>
              <w:right w:val="single" w:sz="4" w:space="0" w:color="000000"/>
            </w:tcBorders>
          </w:tcPr>
          <w:p>
            <w:pPr/>
          </w:p>
        </w:tc>
        <w:tc>
          <w:tcPr>
            <w:tcW w:w="852"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5245" w:type="dxa"/>
            <w:tcBorders>
              <w:top w:val="single" w:sz="4" w:space="0" w:color="000000"/>
              <w:left w:val="single" w:sz="4" w:space="0" w:color="000000"/>
              <w:bottom w:val="nil" w:sz="6" w:space="0" w:color="auto"/>
              <w:right w:val="single" w:sz="4" w:space="0" w:color="000000"/>
            </w:tcBorders>
          </w:tcPr>
          <w:p>
            <w:pPr>
              <w:pStyle w:val="TableParagraph"/>
              <w:spacing w:line="234" w:lineRule="exact"/>
              <w:ind w:left="23" w:right="0"/>
              <w:jc w:val="left"/>
              <w:rPr>
                <w:rFonts w:ascii="宋体" w:hAnsi="宋体" w:cs="宋体" w:eastAsia="宋体" w:hint="default"/>
                <w:sz w:val="18"/>
                <w:szCs w:val="18"/>
              </w:rPr>
            </w:pPr>
            <w:r>
              <w:rPr>
                <w:rFonts w:ascii="宋体" w:hAnsi="宋体" w:cs="宋体" w:eastAsia="宋体" w:hint="default"/>
                <w:sz w:val="18"/>
                <w:szCs w:val="18"/>
              </w:rPr>
              <w:t>业绩承诺及补偿</w:t>
            </w:r>
          </w:p>
        </w:tc>
        <w:tc>
          <w:tcPr>
            <w:tcW w:w="710" w:type="dxa"/>
            <w:tcBorders>
              <w:top w:val="single" w:sz="4" w:space="0" w:color="000000"/>
              <w:left w:val="single" w:sz="4" w:space="0" w:color="000000"/>
              <w:bottom w:val="nil" w:sz="6" w:space="0" w:color="auto"/>
              <w:right w:val="single" w:sz="4" w:space="0" w:color="000000"/>
            </w:tcBorders>
          </w:tcPr>
          <w:p>
            <w:pPr/>
          </w:p>
        </w:tc>
        <w:tc>
          <w:tcPr>
            <w:tcW w:w="709" w:type="dxa"/>
            <w:tcBorders>
              <w:top w:val="single" w:sz="4" w:space="0" w:color="000000"/>
              <w:left w:val="single" w:sz="4" w:space="0" w:color="000000"/>
              <w:bottom w:val="nil" w:sz="6" w:space="0" w:color="auto"/>
              <w:right w:val="single" w:sz="4" w:space="0" w:color="000000"/>
            </w:tcBorders>
          </w:tcPr>
          <w:p>
            <w:pPr/>
          </w:p>
        </w:tc>
        <w:tc>
          <w:tcPr>
            <w:tcW w:w="991" w:type="dxa"/>
            <w:tcBorders>
              <w:top w:val="single" w:sz="4" w:space="0" w:color="000000"/>
              <w:left w:val="single" w:sz="4" w:space="0" w:color="000000"/>
              <w:bottom w:val="nil" w:sz="6" w:space="0" w:color="auto"/>
              <w:right w:val="single" w:sz="4" w:space="0" w:color="000000"/>
            </w:tcBorders>
          </w:tcPr>
          <w:p>
            <w:pPr/>
          </w:p>
        </w:tc>
      </w:tr>
      <w:tr>
        <w:trPr>
          <w:trHeight w:val="259"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23" w:right="0"/>
              <w:jc w:val="left"/>
              <w:rPr>
                <w:rFonts w:ascii="宋体" w:hAnsi="宋体" w:cs="宋体" w:eastAsia="宋体" w:hint="default"/>
                <w:sz w:val="18"/>
                <w:szCs w:val="18"/>
              </w:rPr>
            </w:pPr>
            <w:r>
              <w:rPr>
                <w:rFonts w:ascii="宋体" w:hAnsi="宋体" w:cs="宋体" w:eastAsia="宋体" w:hint="default"/>
                <w:spacing w:val="2"/>
                <w:sz w:val="18"/>
                <w:szCs w:val="18"/>
              </w:rPr>
              <w:t>根据公司与交易对方签</w:t>
            </w:r>
            <w:r>
              <w:rPr>
                <w:rFonts w:ascii="宋体" w:hAnsi="宋体" w:cs="宋体" w:eastAsia="宋体" w:hint="default"/>
                <w:sz w:val="18"/>
                <w:szCs w:val="18"/>
              </w:rPr>
              <w:t>署</w:t>
            </w:r>
            <w:r>
              <w:rPr>
                <w:rFonts w:ascii="宋体" w:hAnsi="宋体" w:cs="宋体" w:eastAsia="宋体" w:hint="default"/>
                <w:spacing w:val="2"/>
                <w:sz w:val="18"/>
                <w:szCs w:val="18"/>
              </w:rPr>
              <w:t>的</w:t>
            </w:r>
            <w:r>
              <w:rPr>
                <w:rFonts w:ascii="宋体" w:hAnsi="宋体" w:cs="宋体" w:eastAsia="宋体" w:hint="default"/>
                <w:sz w:val="18"/>
                <w:szCs w:val="18"/>
              </w:rPr>
              <w:t>《</w:t>
            </w:r>
            <w:r>
              <w:rPr>
                <w:rFonts w:ascii="宋体" w:hAnsi="宋体" w:cs="宋体" w:eastAsia="宋体" w:hint="default"/>
                <w:spacing w:val="2"/>
                <w:sz w:val="18"/>
                <w:szCs w:val="18"/>
              </w:rPr>
              <w:t>业绩补偿协议</w:t>
            </w:r>
            <w:r>
              <w:rPr>
                <w:rFonts w:ascii="宋体" w:hAnsi="宋体" w:cs="宋体" w:eastAsia="宋体" w:hint="default"/>
                <w:spacing w:val="-89"/>
                <w:sz w:val="18"/>
                <w:szCs w:val="18"/>
              </w:rPr>
              <w:t>》</w:t>
            </w:r>
            <w:r>
              <w:rPr>
                <w:rFonts w:ascii="宋体" w:hAnsi="宋体" w:cs="宋体" w:eastAsia="宋体" w:hint="default"/>
                <w:spacing w:val="2"/>
                <w:sz w:val="18"/>
                <w:szCs w:val="18"/>
              </w:rPr>
              <w:t>，本次交易</w:t>
            </w:r>
            <w:r>
              <w:rPr>
                <w:rFonts w:ascii="宋体" w:hAnsi="宋体" w:cs="宋体" w:eastAsia="宋体" w:hint="default"/>
                <w:sz w:val="18"/>
                <w:szCs w:val="18"/>
              </w:rPr>
              <w:t>业</w:t>
            </w:r>
            <w:r>
              <w:rPr>
                <w:rFonts w:ascii="宋体" w:hAnsi="宋体" w:cs="宋体" w:eastAsia="宋体" w:hint="default"/>
                <w:spacing w:val="2"/>
                <w:sz w:val="18"/>
                <w:szCs w:val="18"/>
              </w:rPr>
              <w:t>绩承诺</w:t>
            </w:r>
            <w:r>
              <w:rPr>
                <w:rFonts w:ascii="宋体" w:hAnsi="宋体" w:cs="宋体" w:eastAsia="宋体" w:hint="default"/>
                <w:sz w:val="18"/>
                <w:szCs w:val="18"/>
              </w:rPr>
            </w:r>
          </w:p>
        </w:tc>
        <w:tc>
          <w:tcPr>
            <w:tcW w:w="71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266"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23" w:right="0"/>
              <w:jc w:val="left"/>
              <w:rPr>
                <w:rFonts w:ascii="宋体" w:hAnsi="宋体" w:cs="宋体" w:eastAsia="宋体" w:hint="default"/>
                <w:sz w:val="18"/>
                <w:szCs w:val="18"/>
              </w:rPr>
            </w:pPr>
            <w:r>
              <w:rPr>
                <w:rFonts w:ascii="宋体" w:hAnsi="宋体" w:cs="宋体" w:eastAsia="宋体" w:hint="default"/>
                <w:sz w:val="18"/>
                <w:szCs w:val="18"/>
              </w:rPr>
              <w:t>期间为</w:t>
            </w:r>
            <w:r>
              <w:rPr>
                <w:rFonts w:ascii="宋体" w:hAnsi="宋体" w:cs="宋体" w:eastAsia="宋体" w:hint="default"/>
                <w:spacing w:val="-38"/>
                <w:sz w:val="18"/>
                <w:szCs w:val="18"/>
              </w:rPr>
              <w:t>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年度、</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年度、</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年度和</w:t>
            </w:r>
            <w:r>
              <w:rPr>
                <w:rFonts w:ascii="宋体" w:hAnsi="宋体" w:cs="宋体" w:eastAsia="宋体" w:hint="default"/>
                <w:spacing w:val="-40"/>
                <w:sz w:val="18"/>
                <w:szCs w:val="18"/>
              </w:rPr>
              <w:t> </w:t>
            </w: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年度。根据本次</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1295"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30" w:lineRule="exact"/>
              <w:ind w:left="24"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年</w:t>
            </w:r>
          </w:p>
          <w:p>
            <w:pPr>
              <w:pStyle w:val="TableParagraph"/>
              <w:spacing w:line="264" w:lineRule="auto" w:before="10"/>
              <w:ind w:left="24" w:right="-38"/>
              <w:jc w:val="both"/>
              <w:rPr>
                <w:rFonts w:ascii="宋体" w:hAnsi="宋体" w:cs="宋体" w:eastAsia="宋体" w:hint="default"/>
                <w:sz w:val="18"/>
                <w:szCs w:val="18"/>
              </w:rPr>
            </w:pPr>
            <w:r>
              <w:rPr>
                <w:rFonts w:ascii="宋体" w:hAnsi="宋体" w:cs="宋体" w:eastAsia="宋体" w:hint="default"/>
                <w:spacing w:val="38"/>
                <w:sz w:val="18"/>
                <w:szCs w:val="18"/>
              </w:rPr>
              <w:t>重大资</w:t>
            </w:r>
            <w:r>
              <w:rPr>
                <w:rFonts w:ascii="宋体" w:hAnsi="宋体" w:cs="宋体" w:eastAsia="宋体" w:hint="default"/>
                <w:spacing w:val="-33"/>
                <w:sz w:val="18"/>
                <w:szCs w:val="18"/>
              </w:rPr>
              <w:t> </w:t>
            </w:r>
            <w:r>
              <w:rPr>
                <w:rFonts w:ascii="宋体" w:hAnsi="宋体" w:cs="宋体" w:eastAsia="宋体" w:hint="default"/>
                <w:spacing w:val="38"/>
                <w:sz w:val="18"/>
                <w:szCs w:val="18"/>
              </w:rPr>
              <w:t>产收购</w:t>
            </w:r>
            <w:r>
              <w:rPr>
                <w:rFonts w:ascii="宋体" w:hAnsi="宋体" w:cs="宋体" w:eastAsia="宋体" w:hint="default"/>
                <w:spacing w:val="-33"/>
                <w:sz w:val="18"/>
                <w:szCs w:val="18"/>
              </w:rPr>
              <w:t> </w:t>
            </w:r>
            <w:r>
              <w:rPr>
                <w:rFonts w:ascii="宋体" w:hAnsi="宋体" w:cs="宋体" w:eastAsia="宋体" w:hint="default"/>
                <w:spacing w:val="38"/>
                <w:sz w:val="18"/>
                <w:szCs w:val="18"/>
              </w:rPr>
              <w:t>时所作</w:t>
            </w:r>
            <w:r>
              <w:rPr>
                <w:rFonts w:ascii="宋体" w:hAnsi="宋体" w:cs="宋体" w:eastAsia="宋体" w:hint="default"/>
                <w:spacing w:val="-33"/>
                <w:sz w:val="18"/>
                <w:szCs w:val="18"/>
              </w:rPr>
              <w:t> </w:t>
            </w:r>
            <w:r>
              <w:rPr>
                <w:rFonts w:ascii="宋体" w:hAnsi="宋体" w:cs="宋体" w:eastAsia="宋体" w:hint="default"/>
                <w:sz w:val="18"/>
                <w:szCs w:val="18"/>
              </w:rPr>
              <w:t>承诺</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64" w:lineRule="auto" w:before="110"/>
              <w:ind w:left="23" w:right="0"/>
              <w:jc w:val="both"/>
              <w:rPr>
                <w:rFonts w:ascii="宋体" w:hAnsi="宋体" w:cs="宋体" w:eastAsia="宋体" w:hint="default"/>
                <w:sz w:val="18"/>
                <w:szCs w:val="18"/>
              </w:rPr>
            </w:pPr>
            <w:r>
              <w:rPr>
                <w:rFonts w:ascii="宋体" w:hAnsi="宋体" w:cs="宋体" w:eastAsia="宋体" w:hint="default"/>
                <w:spacing w:val="18"/>
                <w:sz w:val="18"/>
                <w:szCs w:val="18"/>
              </w:rPr>
              <w:t>刘英魁、</w:t>
            </w:r>
            <w:r>
              <w:rPr>
                <w:rFonts w:ascii="宋体" w:hAnsi="宋体" w:cs="宋体" w:eastAsia="宋体" w:hint="default"/>
                <w:spacing w:val="-66"/>
                <w:sz w:val="18"/>
                <w:szCs w:val="18"/>
              </w:rPr>
              <w:t> </w:t>
            </w:r>
            <w:r>
              <w:rPr>
                <w:rFonts w:ascii="宋体" w:hAnsi="宋体" w:cs="宋体" w:eastAsia="宋体" w:hint="default"/>
                <w:sz w:val="18"/>
                <w:szCs w:val="18"/>
              </w:rPr>
              <w:t>嘉 语</w:t>
            </w:r>
            <w:r>
              <w:rPr>
                <w:rFonts w:ascii="宋体" w:hAnsi="宋体" w:cs="宋体" w:eastAsia="宋体" w:hint="default"/>
                <w:spacing w:val="74"/>
                <w:sz w:val="18"/>
                <w:szCs w:val="18"/>
              </w:rPr>
              <w:t> </w:t>
            </w:r>
            <w:r>
              <w:rPr>
                <w:rFonts w:ascii="宋体" w:hAnsi="宋体" w:cs="宋体" w:eastAsia="宋体" w:hint="default"/>
                <w:sz w:val="18"/>
                <w:szCs w:val="18"/>
              </w:rPr>
              <w:t>春</w:t>
            </w:r>
            <w:r>
              <w:rPr>
                <w:rFonts w:ascii="宋体" w:hAnsi="宋体" w:cs="宋体" w:eastAsia="宋体" w:hint="default"/>
                <w:sz w:val="18"/>
                <w:szCs w:val="18"/>
              </w:rPr>
              <w:t> </w:t>
            </w:r>
            <w:r>
              <w:rPr>
                <w:rFonts w:ascii="宋体" w:hAnsi="宋体" w:cs="宋体" w:eastAsia="宋体" w:hint="default"/>
                <w:spacing w:val="18"/>
                <w:sz w:val="18"/>
                <w:szCs w:val="18"/>
              </w:rPr>
              <w:t>华、嘉惠</w:t>
            </w:r>
            <w:r>
              <w:rPr>
                <w:rFonts w:ascii="宋体" w:hAnsi="宋体" w:cs="宋体" w:eastAsia="宋体" w:hint="default"/>
                <w:spacing w:val="-66"/>
                <w:sz w:val="18"/>
                <w:szCs w:val="18"/>
              </w:rPr>
              <w:t> </w:t>
            </w:r>
            <w:r>
              <w:rPr>
                <w:rFonts w:ascii="宋体" w:hAnsi="宋体" w:cs="宋体" w:eastAsia="宋体" w:hint="default"/>
                <w:sz w:val="18"/>
                <w:szCs w:val="18"/>
              </w:rPr>
              <w:t>秋实</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5"/>
                <w:szCs w:val="2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限期</w:t>
            </w: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0" w:lineRule="exact"/>
              <w:ind w:left="23" w:right="0"/>
              <w:jc w:val="left"/>
              <w:rPr>
                <w:rFonts w:ascii="Times New Roman" w:hAnsi="Times New Roman" w:cs="Times New Roman" w:eastAsia="Times New Roman" w:hint="default"/>
                <w:sz w:val="18"/>
                <w:szCs w:val="18"/>
              </w:rPr>
            </w:pPr>
            <w:r>
              <w:rPr>
                <w:rFonts w:ascii="宋体" w:hAnsi="宋体" w:cs="宋体" w:eastAsia="宋体" w:hint="default"/>
                <w:spacing w:val="-3"/>
                <w:sz w:val="18"/>
                <w:szCs w:val="18"/>
              </w:rPr>
              <w:t>交易的评估结果及交易作价，交易对方承诺 </w:t>
            </w: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6"/>
                <w:sz w:val="18"/>
                <w:szCs w:val="18"/>
              </w:rPr>
              <w:t> </w:t>
            </w:r>
            <w:r>
              <w:rPr>
                <w:rFonts w:ascii="宋体" w:hAnsi="宋体" w:cs="宋体" w:eastAsia="宋体" w:hint="default"/>
                <w:spacing w:val="-7"/>
                <w:sz w:val="18"/>
                <w:szCs w:val="18"/>
              </w:rPr>
              <w:t>年度、</w:t>
            </w:r>
            <w:r>
              <w:rPr>
                <w:rFonts w:ascii="Times New Roman" w:hAnsi="Times New Roman" w:cs="Times New Roman" w:eastAsia="Times New Roman" w:hint="default"/>
                <w:spacing w:val="-7"/>
                <w:sz w:val="18"/>
                <w:szCs w:val="18"/>
              </w:rPr>
              <w:t>2018</w:t>
            </w:r>
          </w:p>
          <w:p>
            <w:pPr>
              <w:pStyle w:val="TableParagraph"/>
              <w:spacing w:line="254" w:lineRule="auto" w:before="10"/>
              <w:ind w:left="23" w:right="18"/>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年度和</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年度标的公司净利润不低于</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10,200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w:t>
            </w:r>
            <w:r>
              <w:rPr>
                <w:rFonts w:ascii="Times New Roman" w:hAnsi="Times New Roman" w:cs="Times New Roman" w:eastAsia="Times New Roman" w:hint="default"/>
                <w:sz w:val="18"/>
                <w:szCs w:val="18"/>
              </w:rPr>
              <w:t>13,400 </w:t>
            </w:r>
            <w:r>
              <w:rPr>
                <w:rFonts w:ascii="宋体" w:hAnsi="宋体" w:cs="宋体" w:eastAsia="宋体" w:hint="default"/>
                <w:sz w:val="18"/>
                <w:szCs w:val="18"/>
              </w:rPr>
              <w:t>万元、</w:t>
            </w:r>
            <w:r>
              <w:rPr>
                <w:rFonts w:ascii="Times New Roman" w:hAnsi="Times New Roman" w:cs="Times New Roman" w:eastAsia="Times New Roman" w:hint="default"/>
                <w:sz w:val="18"/>
                <w:szCs w:val="18"/>
              </w:rPr>
              <w:t>16,700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万元及</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 </w:t>
            </w:r>
            <w:r>
              <w:rPr>
                <w:rFonts w:ascii="宋体" w:hAnsi="宋体" w:cs="宋体" w:eastAsia="宋体" w:hint="default"/>
                <w:spacing w:val="-2"/>
                <w:sz w:val="18"/>
                <w:szCs w:val="18"/>
              </w:rPr>
              <w:t>业绩承诺期内，依据嘉华信息专项审核报告，若嘉华信息于业绩承</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4"/>
                <w:sz w:val="18"/>
                <w:szCs w:val="18"/>
              </w:rPr>
              <w:t>诺期间某年度期末累积实现的嘉华信息实际净利润数低于同期累</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0"/>
                <w:szCs w:val="20"/>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年</w:t>
            </w:r>
          </w:p>
          <w:p>
            <w:pPr>
              <w:pStyle w:val="TableParagraph"/>
              <w:spacing w:line="240" w:lineRule="auto" w:before="10"/>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25"/>
                <w:sz w:val="18"/>
                <w:szCs w:val="18"/>
              </w:rPr>
              <w:t> </w:t>
            </w:r>
            <w:r>
              <w:rPr>
                <w:rFonts w:ascii="Times New Roman" w:hAnsi="Times New Roman" w:cs="Times New Roman" w:eastAsia="Times New Roman" w:hint="default"/>
                <w:sz w:val="18"/>
                <w:szCs w:val="18"/>
              </w:rPr>
              <w:t>12</w:t>
            </w:r>
          </w:p>
          <w:p>
            <w:pPr>
              <w:pStyle w:val="TableParagraph"/>
              <w:spacing w:line="240" w:lineRule="auto" w:before="12"/>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0"/>
                <w:szCs w:val="20"/>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10"/>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至</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2020</w:t>
            </w:r>
          </w:p>
          <w:p>
            <w:pPr>
              <w:pStyle w:val="TableParagraph"/>
              <w:spacing w:line="240" w:lineRule="auto" w:before="12"/>
              <w:ind w:left="23" w:right="0"/>
              <w:jc w:val="left"/>
              <w:rPr>
                <w:rFonts w:ascii="宋体" w:hAnsi="宋体" w:cs="宋体" w:eastAsia="宋体" w:hint="default"/>
                <w:sz w:val="18"/>
                <w:szCs w:val="18"/>
              </w:rPr>
            </w:pPr>
            <w:r>
              <w:rPr>
                <w:rFonts w:ascii="宋体" w:hAnsi="宋体" w:cs="宋体" w:eastAsia="宋体" w:hint="default"/>
                <w:sz w:val="18"/>
                <w:szCs w:val="18"/>
              </w:rPr>
              <w:t>年</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5"/>
                <w:szCs w:val="25"/>
              </w:rPr>
            </w:pPr>
          </w:p>
          <w:p>
            <w:pPr>
              <w:pStyle w:val="TableParagraph"/>
              <w:spacing w:line="240" w:lineRule="auto"/>
              <w:ind w:right="127"/>
              <w:jc w:val="right"/>
              <w:rPr>
                <w:rFonts w:ascii="宋体" w:hAnsi="宋体" w:cs="宋体" w:eastAsia="宋体" w:hint="default"/>
                <w:sz w:val="18"/>
                <w:szCs w:val="18"/>
              </w:rPr>
            </w:pPr>
            <w:r>
              <w:rPr>
                <w:rFonts w:ascii="宋体" w:hAnsi="宋体" w:cs="宋体" w:eastAsia="宋体" w:hint="default"/>
                <w:sz w:val="18"/>
                <w:szCs w:val="18"/>
              </w:rPr>
              <w:t>正常履行</w:t>
            </w: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23" w:right="0"/>
              <w:jc w:val="left"/>
              <w:rPr>
                <w:rFonts w:ascii="宋体" w:hAnsi="宋体" w:cs="宋体" w:eastAsia="宋体" w:hint="default"/>
                <w:sz w:val="18"/>
                <w:szCs w:val="18"/>
              </w:rPr>
            </w:pPr>
            <w:r>
              <w:rPr>
                <w:rFonts w:ascii="宋体" w:hAnsi="宋体" w:cs="宋体" w:eastAsia="宋体" w:hint="default"/>
                <w:spacing w:val="-2"/>
                <w:sz w:val="18"/>
                <w:szCs w:val="18"/>
              </w:rPr>
              <w:t>积的嘉华信息承诺净利润数，则差额部分由交易对方按照《业绩补</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23" w:right="0"/>
              <w:jc w:val="left"/>
              <w:rPr>
                <w:rFonts w:ascii="宋体" w:hAnsi="宋体" w:cs="宋体" w:eastAsia="宋体" w:hint="default"/>
                <w:sz w:val="18"/>
                <w:szCs w:val="18"/>
              </w:rPr>
            </w:pPr>
            <w:r>
              <w:rPr>
                <w:rFonts w:ascii="宋体" w:hAnsi="宋体" w:cs="宋体" w:eastAsia="宋体" w:hint="default"/>
                <w:spacing w:val="-2"/>
                <w:sz w:val="18"/>
                <w:szCs w:val="18"/>
              </w:rPr>
              <w:t>偿协议》的约定对上市公司进行补偿。刘英魁、嘉语春华和嘉惠秋</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252" w:hRule="exact"/>
        </w:trPr>
        <w:tc>
          <w:tcPr>
            <w:tcW w:w="708" w:type="dxa"/>
            <w:tcBorders>
              <w:top w:val="nil" w:sz="6" w:space="0" w:color="auto"/>
              <w:left w:val="single" w:sz="4" w:space="0" w:color="000000"/>
              <w:bottom w:val="single" w:sz="4" w:space="0" w:color="000000"/>
              <w:right w:val="single" w:sz="4" w:space="0" w:color="000000"/>
            </w:tcBorders>
          </w:tcPr>
          <w:p>
            <w:pPr/>
          </w:p>
        </w:tc>
        <w:tc>
          <w:tcPr>
            <w:tcW w:w="852"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5245" w:type="dxa"/>
            <w:tcBorders>
              <w:top w:val="nil" w:sz="6" w:space="0" w:color="auto"/>
              <w:left w:val="single" w:sz="4" w:space="0" w:color="000000"/>
              <w:bottom w:val="single" w:sz="4" w:space="0" w:color="000000"/>
              <w:right w:val="single" w:sz="4" w:space="0" w:color="000000"/>
            </w:tcBorders>
          </w:tcPr>
          <w:p>
            <w:pPr>
              <w:pStyle w:val="TableParagraph"/>
              <w:spacing w:line="220" w:lineRule="exact"/>
              <w:ind w:left="23" w:right="0"/>
              <w:jc w:val="left"/>
              <w:rPr>
                <w:rFonts w:ascii="宋体" w:hAnsi="宋体" w:cs="宋体" w:eastAsia="宋体" w:hint="default"/>
                <w:sz w:val="18"/>
                <w:szCs w:val="18"/>
              </w:rPr>
            </w:pPr>
            <w:r>
              <w:rPr>
                <w:rFonts w:ascii="宋体" w:hAnsi="宋体" w:cs="宋体" w:eastAsia="宋体" w:hint="default"/>
                <w:sz w:val="18"/>
                <w:szCs w:val="18"/>
              </w:rPr>
              <w:t>实相互之间承担连带责任。</w:t>
            </w:r>
          </w:p>
        </w:tc>
        <w:tc>
          <w:tcPr>
            <w:tcW w:w="710" w:type="dxa"/>
            <w:tcBorders>
              <w:top w:val="nil" w:sz="6" w:space="0" w:color="auto"/>
              <w:left w:val="single" w:sz="4" w:space="0" w:color="000000"/>
              <w:bottom w:val="single" w:sz="4" w:space="0" w:color="000000"/>
              <w:right w:val="single" w:sz="4" w:space="0" w:color="000000"/>
            </w:tcBorders>
          </w:tcPr>
          <w:p>
            <w:pPr/>
          </w:p>
        </w:tc>
        <w:tc>
          <w:tcPr>
            <w:tcW w:w="709" w:type="dxa"/>
            <w:tcBorders>
              <w:top w:val="nil" w:sz="6" w:space="0" w:color="auto"/>
              <w:left w:val="single" w:sz="4" w:space="0" w:color="000000"/>
              <w:bottom w:val="single" w:sz="4" w:space="0" w:color="000000"/>
              <w:right w:val="single" w:sz="4" w:space="0" w:color="000000"/>
            </w:tcBorders>
          </w:tcPr>
          <w:p>
            <w:pPr/>
          </w:p>
        </w:tc>
        <w:tc>
          <w:tcPr>
            <w:tcW w:w="991" w:type="dxa"/>
            <w:tcBorders>
              <w:top w:val="nil" w:sz="6" w:space="0" w:color="auto"/>
              <w:left w:val="single" w:sz="4" w:space="0" w:color="000000"/>
              <w:bottom w:val="single" w:sz="4" w:space="0" w:color="000000"/>
              <w:right w:val="single" w:sz="4" w:space="0" w:color="000000"/>
            </w:tcBorders>
          </w:tcPr>
          <w:p>
            <w:pPr/>
          </w:p>
        </w:tc>
      </w:tr>
    </w:tbl>
    <w:p>
      <w:pPr>
        <w:spacing w:after="0"/>
        <w:sectPr>
          <w:pgSz w:w="11910" w:h="16840"/>
          <w:pgMar w:header="880" w:footer="975" w:top="1100" w:bottom="1160" w:left="880" w:right="0"/>
        </w:sectPr>
      </w:pPr>
    </w:p>
    <w:p>
      <w:pPr>
        <w:spacing w:line="240" w:lineRule="auto" w:before="11"/>
        <w:rPr>
          <w:rFonts w:ascii="Times New Roman" w:hAnsi="Times New Roman" w:cs="Times New Roman" w:eastAsia="Times New Roman" w:hint="default"/>
          <w:sz w:val="27"/>
          <w:szCs w:val="27"/>
        </w:rPr>
      </w:pPr>
      <w:r>
        <w:rPr/>
        <w:pict>
          <v:shape style="position:absolute;margin-left:320.306pt;margin-top:346.009979pt;width:140.25pt;height:286.1pt;mso-position-horizontal-relative:page;mso-position-vertical-relative:page;z-index:-1013032" type="#_x0000_t202" filled="false" stroked="false">
            <v:textbox inset="0,0,0,0">
              <w:txbxContent>
                <w:p>
                  <w:pPr>
                    <w:spacing w:line="240" w:lineRule="auto" w:before="7"/>
                    <w:rPr>
                      <w:rFonts w:ascii="Times New Roman" w:hAnsi="Times New Roman" w:cs="Times New Roman" w:eastAsia="Times New Roman" w:hint="default"/>
                      <w:sz w:val="22"/>
                      <w:szCs w:val="22"/>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促使本承诺人控制的公司、</w:t>
                  </w:r>
                </w:p>
              </w:txbxContent>
            </v:textbox>
            <w10:wrap type="none"/>
          </v:shape>
        </w:pict>
      </w:r>
      <w:r>
        <w:rPr/>
        <w:pict>
          <v:group style="position:absolute;margin-left:85.344002pt;margin-top:72.47998pt;width:42pt;height:677.15pt;mso-position-horizontal-relative:page;mso-position-vertical-relative:page;z-index:-1013008" coordorigin="1707,1450" coordsize="840,13543">
            <v:group style="position:absolute;left:1707;top:1450;width:840;height:5461" coordorigin="1707,1450" coordsize="840,5461">
              <v:shape style="position:absolute;left:1707;top:1450;width:840;height:5461" coordorigin="1707,1450" coordsize="840,5461" path="m1707,6911l2547,6911,2547,1450,1707,1450,1707,6911xe" filled="true" fillcolor="#ffffff" stroked="false">
                <v:path arrowok="t"/>
                <v:fill type="solid"/>
              </v:shape>
            </v:group>
            <v:group style="position:absolute;left:1728;top:3660;width:797;height:260" coordorigin="1728,3660" coordsize="797,260">
              <v:shape style="position:absolute;left:1728;top:3660;width:797;height:260" coordorigin="1728,3660" coordsize="797,260" path="m1728,3920l2525,3920,2525,3660,1728,3660,1728,3920xe" filled="true" fillcolor="#ffffff" stroked="false">
                <v:path arrowok="t"/>
                <v:fill type="solid"/>
              </v:shape>
            </v:group>
            <v:group style="position:absolute;left:1728;top:3920;width:797;height:262" coordorigin="1728,3920" coordsize="797,262">
              <v:shape style="position:absolute;left:1728;top:3920;width:797;height:262" coordorigin="1728,3920" coordsize="797,262" path="m1728,4181l2525,4181,2525,3920,1728,3920,1728,4181xe" filled="true" fillcolor="#ffffff" stroked="false">
                <v:path arrowok="t"/>
                <v:fill type="solid"/>
              </v:shape>
            </v:group>
            <v:group style="position:absolute;left:1728;top:4181;width:797;height:260" coordorigin="1728,4181" coordsize="797,260">
              <v:shape style="position:absolute;left:1728;top:4181;width:797;height:260" coordorigin="1728,4181" coordsize="797,260" path="m1728,4440l2525,4440,2525,4181,1728,4181,1728,4440xe" filled="true" fillcolor="#ffffff" stroked="false">
                <v:path arrowok="t"/>
                <v:fill type="solid"/>
              </v:shape>
            </v:group>
            <v:group style="position:absolute;left:1728;top:4440;width:797;height:260" coordorigin="1728,4440" coordsize="797,260">
              <v:shape style="position:absolute;left:1728;top:4440;width:797;height:260" coordorigin="1728,4440" coordsize="797,260" path="m1728,4700l2525,4700,2525,4440,1728,4440,1728,4700xe" filled="true" fillcolor="#ffffff" stroked="false">
                <v:path arrowok="t"/>
                <v:fill type="solid"/>
              </v:shape>
            </v:group>
            <v:group style="position:absolute;left:1707;top:6920;width:840;height:5722" coordorigin="1707,6920" coordsize="840,5722">
              <v:shape style="position:absolute;left:1707;top:6920;width:840;height:5722" coordorigin="1707,6920" coordsize="840,5722" path="m1707,12642l2547,12642,2547,6920,1707,6920,1707,12642xe" filled="true" fillcolor="#ffffff" stroked="false">
                <v:path arrowok="t"/>
                <v:fill type="solid"/>
              </v:shape>
            </v:group>
            <v:group style="position:absolute;left:1728;top:9260;width:797;height:263" coordorigin="1728,9260" coordsize="797,263">
              <v:shape style="position:absolute;left:1728;top:9260;width:797;height:263" coordorigin="1728,9260" coordsize="797,263" path="m1728,9522l2525,9522,2525,9260,1728,9260,1728,9522xe" filled="true" fillcolor="#ffffff" stroked="false">
                <v:path arrowok="t"/>
                <v:fill type="solid"/>
              </v:shape>
            </v:group>
            <v:group style="position:absolute;left:1728;top:9522;width:797;height:260" coordorigin="1728,9522" coordsize="797,260">
              <v:shape style="position:absolute;left:1728;top:9522;width:797;height:260" coordorigin="1728,9522" coordsize="797,260" path="m1728,9781l2525,9781,2525,9522,1728,9522,1728,9781xe" filled="true" fillcolor="#ffffff" stroked="false">
                <v:path arrowok="t"/>
                <v:fill type="solid"/>
              </v:shape>
            </v:group>
            <v:group style="position:absolute;left:1728;top:9781;width:797;height:260" coordorigin="1728,9781" coordsize="797,260">
              <v:shape style="position:absolute;left:1728;top:9781;width:797;height:260" coordorigin="1728,9781" coordsize="797,260" path="m1728,10041l2525,10041,2525,9781,1728,9781,1728,10041xe" filled="true" fillcolor="#ffffff" stroked="false">
                <v:path arrowok="t"/>
                <v:fill type="solid"/>
              </v:shape>
            </v:group>
            <v:group style="position:absolute;left:1728;top:10041;width:797;height:262" coordorigin="1728,10041" coordsize="797,262">
              <v:shape style="position:absolute;left:1728;top:10041;width:797;height:262" coordorigin="1728,10041" coordsize="797,262" path="m1728,10302l2525,10302,2525,10041,1728,10041,1728,10302xe" filled="true" fillcolor="#ffffff" stroked="false">
                <v:path arrowok="t"/>
                <v:fill type="solid"/>
              </v:shape>
            </v:group>
            <v:group style="position:absolute;left:1707;top:12652;width:840;height:2341" coordorigin="1707,12652" coordsize="840,2341">
              <v:shape style="position:absolute;left:1707;top:12652;width:840;height:2341" coordorigin="1707,12652" coordsize="840,2341" path="m1707,14992l2547,14992,2547,12652,1707,12652,1707,14992xe" filled="true" fillcolor="#ffffff" stroked="false">
                <v:path arrowok="t"/>
                <v:fill type="solid"/>
              </v:shape>
            </v:group>
            <v:group style="position:absolute;left:1728;top:13303;width:797;height:260" coordorigin="1728,13303" coordsize="797,260">
              <v:shape style="position:absolute;left:1728;top:13303;width:797;height:260" coordorigin="1728,13303" coordsize="797,260" path="m1728,13562l2525,13562,2525,13303,1728,13303,1728,13562xe" filled="true" fillcolor="#ffffff" stroked="false">
                <v:path arrowok="t"/>
                <v:fill type="solid"/>
              </v:shape>
            </v:group>
            <v:group style="position:absolute;left:1728;top:13562;width:797;height:260" coordorigin="1728,13562" coordsize="797,260">
              <v:shape style="position:absolute;left:1728;top:13562;width:797;height:260" coordorigin="1728,13562" coordsize="797,260" path="m1728,13821l2525,13821,2525,13562,1728,13562,1728,13821xe" filled="true" fillcolor="#ffffff" stroked="false">
                <v:path arrowok="t"/>
                <v:fill type="solid"/>
              </v:shape>
            </v:group>
            <v:group style="position:absolute;left:1728;top:13821;width:797;height:262" coordorigin="1728,13821" coordsize="797,262">
              <v:shape style="position:absolute;left:1728;top:13821;width:797;height:262" coordorigin="1728,13821" coordsize="797,262" path="m1728,14083l2525,14083,2525,13821,1728,13821,1728,14083xe" filled="true" fillcolor="#ffffff" stroked="false">
                <v:path arrowok="t"/>
                <v:fill type="solid"/>
              </v:shape>
            </v:group>
            <v:group style="position:absolute;left:1728;top:14083;width:797;height:260" coordorigin="1728,14083" coordsize="797,260">
              <v:shape style="position:absolute;left:1728;top:14083;width:797;height:260" coordorigin="1728,14083" coordsize="797,260" path="m1728,14342l2525,14342,2525,14083,1728,14083,1728,14342xe" filled="true" fillcolor="#ffffff" stroked="false">
                <v:path arrowok="t"/>
                <v:fill type="solid"/>
              </v:shape>
            </v:group>
            <w10:wrap type="none"/>
          </v:group>
        </w:pict>
      </w:r>
      <w:r>
        <w:rPr/>
        <w:pict>
          <v:group style="position:absolute;margin-left:425.589996pt;margin-top:346.009979pt;width:34.950pt;height:286.1pt;mso-position-horizontal-relative:page;mso-position-vertical-relative:page;z-index:-1012984" coordorigin="8512,6920" coordsize="699,5722">
            <v:group style="position:absolute;left:8512;top:6920;width:699;height:5722" coordorigin="8512,6920" coordsize="699,5722">
              <v:shape style="position:absolute;left:8512;top:6920;width:699;height:5722" coordorigin="8512,6920" coordsize="699,5722" path="m8512,12642l9210,12642,9210,6920,8512,6920,8512,12642xe" filled="true" fillcolor="#ffffff" stroked="false">
                <v:path arrowok="t"/>
                <v:fill type="solid"/>
              </v:shape>
            </v:group>
            <v:group style="position:absolute;left:8533;top:9392;width:653;height:260" coordorigin="8533,9392" coordsize="653,260">
              <v:shape style="position:absolute;left:8533;top:9392;width:653;height:260" coordorigin="8533,9392" coordsize="653,260" path="m8533,9652l9186,9652,9186,9392,8533,9392,8533,9652xe" filled="true" fillcolor="#ffffff" stroked="false">
                <v:path arrowok="t"/>
                <v:fill type="solid"/>
              </v:shape>
            </v:group>
            <v:group style="position:absolute;left:8533;top:9652;width:653;height:260" coordorigin="8533,9652" coordsize="653,260">
              <v:shape style="position:absolute;left:8533;top:9652;width:653;height:260" coordorigin="8533,9652" coordsize="653,260" path="m8533,9911l9186,9911,9186,9652,8533,9652,8533,9911xe" filled="true" fillcolor="#ffffff" stroked="false">
                <v:path arrowok="t"/>
                <v:fill type="solid"/>
              </v:shape>
            </v:group>
            <v:group style="position:absolute;left:8533;top:9911;width:653;height:262" coordorigin="8533,9911" coordsize="653,262">
              <v:shape style="position:absolute;left:8533;top:9911;width:653;height:262" coordorigin="8533,9911" coordsize="653,262" path="m8533,10173l9186,10173,9186,9911,8533,9911,8533,10173xe" filled="true" fillcolor="#ffffff" stroked="false">
                <v:path arrowok="t"/>
                <v:fill type="solid"/>
              </v:shape>
            </v:group>
            <w10:wrap type="none"/>
          </v:group>
        </w:pict>
      </w:r>
    </w:p>
    <w:tbl>
      <w:tblPr>
        <w:tblW w:w="0" w:type="auto"/>
        <w:jc w:val="left"/>
        <w:tblInd w:w="106" w:type="dxa"/>
        <w:tblLayout w:type="fixed"/>
        <w:tblCellMar>
          <w:top w:w="0" w:type="dxa"/>
          <w:left w:w="0" w:type="dxa"/>
          <w:bottom w:w="0" w:type="dxa"/>
          <w:right w:w="0" w:type="dxa"/>
        </w:tblCellMar>
        <w:tblLook w:val="01E0"/>
      </w:tblPr>
      <w:tblGrid>
        <w:gridCol w:w="708"/>
        <w:gridCol w:w="852"/>
        <w:gridCol w:w="708"/>
        <w:gridCol w:w="5245"/>
        <w:gridCol w:w="710"/>
        <w:gridCol w:w="709"/>
        <w:gridCol w:w="991"/>
      </w:tblGrid>
      <w:tr>
        <w:trPr>
          <w:trHeight w:val="280" w:hRule="exact"/>
        </w:trPr>
        <w:tc>
          <w:tcPr>
            <w:tcW w:w="708" w:type="dxa"/>
            <w:tcBorders>
              <w:top w:val="single" w:sz="4" w:space="0" w:color="000000"/>
              <w:left w:val="single" w:sz="4" w:space="0" w:color="000000"/>
              <w:bottom w:val="nil" w:sz="6" w:space="0" w:color="auto"/>
              <w:right w:val="single" w:sz="4" w:space="0" w:color="000000"/>
            </w:tcBorders>
          </w:tcPr>
          <w:p>
            <w:pPr/>
          </w:p>
        </w:tc>
        <w:tc>
          <w:tcPr>
            <w:tcW w:w="852"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5245" w:type="dxa"/>
            <w:tcBorders>
              <w:top w:val="single" w:sz="4" w:space="0" w:color="000000"/>
              <w:left w:val="single" w:sz="4" w:space="0" w:color="000000"/>
              <w:bottom w:val="nil" w:sz="6" w:space="0" w:color="auto"/>
              <w:right w:val="single" w:sz="4" w:space="0" w:color="000000"/>
            </w:tcBorders>
          </w:tcPr>
          <w:p>
            <w:pPr>
              <w:pStyle w:val="TableParagraph"/>
              <w:spacing w:line="234" w:lineRule="exact"/>
              <w:ind w:left="23" w:right="0"/>
              <w:jc w:val="left"/>
              <w:rPr>
                <w:rFonts w:ascii="宋体" w:hAnsi="宋体" w:cs="宋体" w:eastAsia="宋体" w:hint="default"/>
                <w:sz w:val="18"/>
                <w:szCs w:val="18"/>
              </w:rPr>
            </w:pPr>
            <w:r>
              <w:rPr>
                <w:rFonts w:ascii="宋体" w:hAnsi="宋体" w:cs="宋体" w:eastAsia="宋体" w:hint="default"/>
                <w:sz w:val="18"/>
                <w:szCs w:val="18"/>
              </w:rPr>
              <w:t>关于减少和规范关联交易的承诺</w:t>
            </w:r>
          </w:p>
        </w:tc>
        <w:tc>
          <w:tcPr>
            <w:tcW w:w="710" w:type="dxa"/>
            <w:tcBorders>
              <w:top w:val="single" w:sz="4" w:space="0" w:color="000000"/>
              <w:left w:val="single" w:sz="4" w:space="0" w:color="000000"/>
              <w:bottom w:val="nil" w:sz="6" w:space="0" w:color="auto"/>
              <w:right w:val="single" w:sz="4" w:space="0" w:color="000000"/>
            </w:tcBorders>
          </w:tcPr>
          <w:p>
            <w:pPr/>
          </w:p>
        </w:tc>
        <w:tc>
          <w:tcPr>
            <w:tcW w:w="709" w:type="dxa"/>
            <w:tcBorders>
              <w:top w:val="single" w:sz="4" w:space="0" w:color="000000"/>
              <w:left w:val="single" w:sz="4" w:space="0" w:color="000000"/>
              <w:bottom w:val="nil" w:sz="6" w:space="0" w:color="auto"/>
              <w:right w:val="single" w:sz="4" w:space="0" w:color="000000"/>
            </w:tcBorders>
          </w:tcPr>
          <w:p>
            <w:pPr/>
          </w:p>
        </w:tc>
        <w:tc>
          <w:tcPr>
            <w:tcW w:w="991" w:type="dxa"/>
            <w:tcBorders>
              <w:top w:val="single" w:sz="4" w:space="0" w:color="000000"/>
              <w:left w:val="single" w:sz="4" w:space="0" w:color="000000"/>
              <w:bottom w:val="nil" w:sz="6" w:space="0" w:color="auto"/>
              <w:right w:val="single" w:sz="4" w:space="0" w:color="000000"/>
            </w:tcBorders>
          </w:tcPr>
          <w:p>
            <w:pPr/>
          </w:p>
        </w:tc>
      </w:tr>
      <w:tr>
        <w:trPr>
          <w:trHeight w:val="266"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5" w:lineRule="exact"/>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、本次交易完成后，本承诺人在作为茂业通信的股东期间，本承</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23" w:right="0"/>
              <w:jc w:val="left"/>
              <w:rPr>
                <w:rFonts w:ascii="宋体" w:hAnsi="宋体" w:cs="宋体" w:eastAsia="宋体" w:hint="default"/>
                <w:sz w:val="18"/>
                <w:szCs w:val="18"/>
              </w:rPr>
            </w:pPr>
            <w:r>
              <w:rPr>
                <w:rFonts w:ascii="宋体" w:hAnsi="宋体" w:cs="宋体" w:eastAsia="宋体" w:hint="default"/>
                <w:spacing w:val="-2"/>
                <w:sz w:val="18"/>
                <w:szCs w:val="18"/>
              </w:rPr>
              <w:t>诺人及本承诺人控制的其他公司、企业将尽量减少并规范与茂业通</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23" w:right="0"/>
              <w:jc w:val="left"/>
              <w:rPr>
                <w:rFonts w:ascii="宋体" w:hAnsi="宋体" w:cs="宋体" w:eastAsia="宋体" w:hint="default"/>
                <w:sz w:val="18"/>
                <w:szCs w:val="18"/>
              </w:rPr>
            </w:pPr>
            <w:r>
              <w:rPr>
                <w:rFonts w:ascii="宋体" w:hAnsi="宋体" w:cs="宋体" w:eastAsia="宋体" w:hint="default"/>
                <w:sz w:val="18"/>
                <w:szCs w:val="18"/>
              </w:rPr>
              <w:t>信及其控制的其他公司、企业之间的关联交易。</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26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、本次交易完成后，本承诺人对于无法避免或有合理原因而发生</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23" w:right="0"/>
              <w:jc w:val="left"/>
              <w:rPr>
                <w:rFonts w:ascii="宋体" w:hAnsi="宋体" w:cs="宋体" w:eastAsia="宋体" w:hint="default"/>
                <w:sz w:val="18"/>
                <w:szCs w:val="18"/>
              </w:rPr>
            </w:pPr>
            <w:r>
              <w:rPr>
                <w:rFonts w:ascii="宋体" w:hAnsi="宋体" w:cs="宋体" w:eastAsia="宋体" w:hint="default"/>
                <w:spacing w:val="-2"/>
                <w:sz w:val="18"/>
                <w:szCs w:val="18"/>
              </w:rPr>
              <w:t>的与茂业通信及其控制的其他公司、企业之间的关联交易，本承诺</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23" w:right="0"/>
              <w:jc w:val="left"/>
              <w:rPr>
                <w:rFonts w:ascii="宋体" w:hAnsi="宋体" w:cs="宋体" w:eastAsia="宋体" w:hint="default"/>
                <w:sz w:val="18"/>
                <w:szCs w:val="18"/>
              </w:rPr>
            </w:pPr>
            <w:r>
              <w:rPr>
                <w:rFonts w:ascii="宋体" w:hAnsi="宋体" w:cs="宋体" w:eastAsia="宋体" w:hint="default"/>
                <w:spacing w:val="-2"/>
                <w:sz w:val="18"/>
                <w:szCs w:val="18"/>
              </w:rPr>
              <w:t>人及本承诺人控制的其他公司、企业将遵循市场原则以公允、合理</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23" w:right="0"/>
              <w:jc w:val="left"/>
              <w:rPr>
                <w:rFonts w:ascii="宋体" w:hAnsi="宋体" w:cs="宋体" w:eastAsia="宋体" w:hint="default"/>
                <w:sz w:val="18"/>
                <w:szCs w:val="18"/>
              </w:rPr>
            </w:pPr>
            <w:r>
              <w:rPr>
                <w:rFonts w:ascii="宋体" w:hAnsi="宋体" w:cs="宋体" w:eastAsia="宋体" w:hint="default"/>
                <w:spacing w:val="-2"/>
                <w:sz w:val="18"/>
                <w:szCs w:val="18"/>
              </w:rPr>
              <w:t>的市场价格进行，根据有关法律、法规及规范性文件的规定履行关</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1300"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24"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年</w:t>
            </w:r>
          </w:p>
          <w:p>
            <w:pPr>
              <w:pStyle w:val="TableParagraph"/>
              <w:spacing w:line="264" w:lineRule="auto" w:before="10"/>
              <w:ind w:left="24" w:right="-38"/>
              <w:jc w:val="both"/>
              <w:rPr>
                <w:rFonts w:ascii="宋体" w:hAnsi="宋体" w:cs="宋体" w:eastAsia="宋体" w:hint="default"/>
                <w:sz w:val="18"/>
                <w:szCs w:val="18"/>
              </w:rPr>
            </w:pPr>
            <w:r>
              <w:rPr>
                <w:rFonts w:ascii="宋体" w:hAnsi="宋体" w:cs="宋体" w:eastAsia="宋体" w:hint="default"/>
                <w:spacing w:val="38"/>
                <w:sz w:val="18"/>
                <w:szCs w:val="18"/>
              </w:rPr>
              <w:t>重大资</w:t>
            </w:r>
            <w:r>
              <w:rPr>
                <w:rFonts w:ascii="宋体" w:hAnsi="宋体" w:cs="宋体" w:eastAsia="宋体" w:hint="default"/>
                <w:spacing w:val="-33"/>
                <w:sz w:val="18"/>
                <w:szCs w:val="18"/>
              </w:rPr>
              <w:t> </w:t>
            </w:r>
            <w:r>
              <w:rPr>
                <w:rFonts w:ascii="宋体" w:hAnsi="宋体" w:cs="宋体" w:eastAsia="宋体" w:hint="default"/>
                <w:spacing w:val="38"/>
                <w:sz w:val="18"/>
                <w:szCs w:val="18"/>
              </w:rPr>
              <w:t>产收购</w:t>
            </w:r>
            <w:r>
              <w:rPr>
                <w:rFonts w:ascii="宋体" w:hAnsi="宋体" w:cs="宋体" w:eastAsia="宋体" w:hint="default"/>
                <w:spacing w:val="-33"/>
                <w:sz w:val="18"/>
                <w:szCs w:val="18"/>
              </w:rPr>
              <w:t> </w:t>
            </w:r>
            <w:r>
              <w:rPr>
                <w:rFonts w:ascii="宋体" w:hAnsi="宋体" w:cs="宋体" w:eastAsia="宋体" w:hint="default"/>
                <w:spacing w:val="38"/>
                <w:sz w:val="18"/>
                <w:szCs w:val="18"/>
              </w:rPr>
              <w:t>时所作</w:t>
            </w:r>
            <w:r>
              <w:rPr>
                <w:rFonts w:ascii="宋体" w:hAnsi="宋体" w:cs="宋体" w:eastAsia="宋体" w:hint="default"/>
                <w:spacing w:val="-33"/>
                <w:sz w:val="18"/>
                <w:szCs w:val="18"/>
              </w:rPr>
              <w:t> </w:t>
            </w:r>
            <w:r>
              <w:rPr>
                <w:rFonts w:ascii="宋体" w:hAnsi="宋体" w:cs="宋体" w:eastAsia="宋体" w:hint="default"/>
                <w:sz w:val="18"/>
                <w:szCs w:val="18"/>
              </w:rPr>
              <w:t>承诺</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64" w:lineRule="auto" w:before="113"/>
              <w:ind w:left="23" w:right="0"/>
              <w:jc w:val="both"/>
              <w:rPr>
                <w:rFonts w:ascii="宋体" w:hAnsi="宋体" w:cs="宋体" w:eastAsia="宋体" w:hint="default"/>
                <w:sz w:val="18"/>
                <w:szCs w:val="18"/>
              </w:rPr>
            </w:pPr>
            <w:r>
              <w:rPr>
                <w:rFonts w:ascii="宋体" w:hAnsi="宋体" w:cs="宋体" w:eastAsia="宋体" w:hint="default"/>
                <w:spacing w:val="18"/>
                <w:sz w:val="18"/>
                <w:szCs w:val="18"/>
              </w:rPr>
              <w:t>刘英魁、</w:t>
            </w:r>
            <w:r>
              <w:rPr>
                <w:rFonts w:ascii="宋体" w:hAnsi="宋体" w:cs="宋体" w:eastAsia="宋体" w:hint="default"/>
                <w:spacing w:val="-66"/>
                <w:sz w:val="18"/>
                <w:szCs w:val="18"/>
              </w:rPr>
              <w:t> </w:t>
            </w:r>
            <w:r>
              <w:rPr>
                <w:rFonts w:ascii="宋体" w:hAnsi="宋体" w:cs="宋体" w:eastAsia="宋体" w:hint="default"/>
                <w:sz w:val="18"/>
                <w:szCs w:val="18"/>
              </w:rPr>
              <w:t>嘉 语</w:t>
            </w:r>
            <w:r>
              <w:rPr>
                <w:rFonts w:ascii="宋体" w:hAnsi="宋体" w:cs="宋体" w:eastAsia="宋体" w:hint="default"/>
                <w:spacing w:val="74"/>
                <w:sz w:val="18"/>
                <w:szCs w:val="18"/>
              </w:rPr>
              <w:t> </w:t>
            </w:r>
            <w:r>
              <w:rPr>
                <w:rFonts w:ascii="宋体" w:hAnsi="宋体" w:cs="宋体" w:eastAsia="宋体" w:hint="default"/>
                <w:sz w:val="18"/>
                <w:szCs w:val="18"/>
              </w:rPr>
              <w:t>春</w:t>
            </w:r>
            <w:r>
              <w:rPr>
                <w:rFonts w:ascii="宋体" w:hAnsi="宋体" w:cs="宋体" w:eastAsia="宋体" w:hint="default"/>
                <w:sz w:val="18"/>
                <w:szCs w:val="18"/>
              </w:rPr>
              <w:t> </w:t>
            </w:r>
            <w:r>
              <w:rPr>
                <w:rFonts w:ascii="宋体" w:hAnsi="宋体" w:cs="宋体" w:eastAsia="宋体" w:hint="default"/>
                <w:spacing w:val="18"/>
                <w:sz w:val="18"/>
                <w:szCs w:val="18"/>
              </w:rPr>
              <w:t>华、嘉惠</w:t>
            </w:r>
            <w:r>
              <w:rPr>
                <w:rFonts w:ascii="宋体" w:hAnsi="宋体" w:cs="宋体" w:eastAsia="宋体" w:hint="default"/>
                <w:spacing w:val="-66"/>
                <w:sz w:val="18"/>
                <w:szCs w:val="18"/>
              </w:rPr>
              <w:t> </w:t>
            </w:r>
            <w:r>
              <w:rPr>
                <w:rFonts w:ascii="宋体" w:hAnsi="宋体" w:cs="宋体" w:eastAsia="宋体" w:hint="default"/>
                <w:sz w:val="18"/>
                <w:szCs w:val="18"/>
              </w:rPr>
              <w:t>秋实</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长期</w:t>
            </w: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23" w:right="0"/>
              <w:jc w:val="left"/>
              <w:rPr>
                <w:rFonts w:ascii="宋体" w:hAnsi="宋体" w:cs="宋体" w:eastAsia="宋体" w:hint="default"/>
                <w:sz w:val="18"/>
                <w:szCs w:val="18"/>
              </w:rPr>
            </w:pPr>
            <w:r>
              <w:rPr>
                <w:rFonts w:ascii="宋体" w:hAnsi="宋体" w:cs="宋体" w:eastAsia="宋体" w:hint="default"/>
                <w:spacing w:val="-2"/>
                <w:sz w:val="18"/>
                <w:szCs w:val="18"/>
              </w:rPr>
              <w:t>联交易决策程序，依法履行信息披露义务和办理有关报批程序，不</w:t>
            </w:r>
          </w:p>
          <w:p>
            <w:pPr>
              <w:pStyle w:val="TableParagraph"/>
              <w:spacing w:line="254" w:lineRule="auto" w:before="23"/>
              <w:ind w:left="23" w:right="-9"/>
              <w:jc w:val="left"/>
              <w:rPr>
                <w:rFonts w:ascii="宋体" w:hAnsi="宋体" w:cs="宋体" w:eastAsia="宋体" w:hint="default"/>
                <w:sz w:val="18"/>
                <w:szCs w:val="18"/>
              </w:rPr>
            </w:pPr>
            <w:r>
              <w:rPr>
                <w:rFonts w:ascii="宋体" w:hAnsi="宋体" w:cs="宋体" w:eastAsia="宋体" w:hint="default"/>
                <w:sz w:val="18"/>
                <w:szCs w:val="18"/>
              </w:rPr>
              <w:t>利用股东地位损害茂业通信及其他股东的合法权益。 </w:t>
            </w:r>
            <w:r>
              <w:rPr>
                <w:rFonts w:ascii="Times New Roman" w:hAnsi="Times New Roman" w:cs="Times New Roman" w:eastAsia="Times New Roman" w:hint="default"/>
                <w:sz w:val="18"/>
                <w:szCs w:val="18"/>
              </w:rPr>
              <w:t>3</w:t>
            </w:r>
            <w:r>
              <w:rPr>
                <w:rFonts w:ascii="宋体" w:hAnsi="宋体" w:cs="宋体" w:eastAsia="宋体" w:hint="default"/>
                <w:sz w:val="18"/>
                <w:szCs w:val="18"/>
              </w:rPr>
              <w:t>、本次交易完成后，本承诺人不会利用拥有的茂业通信股东权利</w:t>
            </w:r>
            <w:r>
              <w:rPr>
                <w:rFonts w:ascii="宋体" w:hAnsi="宋体" w:cs="宋体" w:eastAsia="宋体" w:hint="default"/>
                <w:spacing w:val="-42"/>
                <w:sz w:val="18"/>
                <w:szCs w:val="18"/>
              </w:rPr>
              <w:t> </w:t>
            </w:r>
            <w:r>
              <w:rPr>
                <w:rFonts w:ascii="宋体" w:hAnsi="宋体" w:cs="宋体" w:eastAsia="宋体" w:hint="default"/>
                <w:spacing w:val="-42"/>
                <w:sz w:val="18"/>
                <w:szCs w:val="18"/>
              </w:rPr>
            </w:r>
            <w:r>
              <w:rPr>
                <w:rFonts w:ascii="宋体" w:hAnsi="宋体" w:cs="宋体" w:eastAsia="宋体" w:hint="default"/>
                <w:spacing w:val="-3"/>
                <w:sz w:val="18"/>
                <w:szCs w:val="18"/>
              </w:rPr>
              <w:t>操纵、指使茂业通信或嘉华信息的董事</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执行董事、监事、高级管理</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人员，使得茂业通信及其控制的其他公司、企业以不公平的条件，</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1"/>
                <w:szCs w:val="21"/>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年</w:t>
            </w:r>
          </w:p>
          <w:p>
            <w:pPr>
              <w:pStyle w:val="TableParagraph"/>
              <w:spacing w:line="240" w:lineRule="auto" w:before="12"/>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25"/>
                <w:sz w:val="18"/>
                <w:szCs w:val="18"/>
              </w:rPr>
              <w:t> </w:t>
            </w:r>
            <w:r>
              <w:rPr>
                <w:rFonts w:ascii="Times New Roman" w:hAnsi="Times New Roman" w:cs="Times New Roman" w:eastAsia="Times New Roman" w:hint="default"/>
                <w:sz w:val="18"/>
                <w:szCs w:val="18"/>
              </w:rPr>
              <w:t>12</w:t>
            </w:r>
          </w:p>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正常履行</w:t>
            </w: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23" w:right="0"/>
              <w:jc w:val="left"/>
              <w:rPr>
                <w:rFonts w:ascii="宋体" w:hAnsi="宋体" w:cs="宋体" w:eastAsia="宋体" w:hint="default"/>
                <w:sz w:val="18"/>
                <w:szCs w:val="18"/>
              </w:rPr>
            </w:pPr>
            <w:r>
              <w:rPr>
                <w:rFonts w:ascii="宋体" w:hAnsi="宋体" w:cs="宋体" w:eastAsia="宋体" w:hint="default"/>
                <w:spacing w:val="-2"/>
                <w:sz w:val="18"/>
                <w:szCs w:val="18"/>
              </w:rPr>
              <w:t>提供或者接受资金、商品、服务或者其他资产，或从事任何损害茂</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259"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23" w:right="0"/>
              <w:jc w:val="left"/>
              <w:rPr>
                <w:rFonts w:ascii="宋体" w:hAnsi="宋体" w:cs="宋体" w:eastAsia="宋体" w:hint="default"/>
                <w:sz w:val="18"/>
                <w:szCs w:val="18"/>
              </w:rPr>
            </w:pPr>
            <w:r>
              <w:rPr>
                <w:rFonts w:ascii="宋体" w:hAnsi="宋体" w:cs="宋体" w:eastAsia="宋体" w:hint="default"/>
                <w:sz w:val="18"/>
                <w:szCs w:val="18"/>
              </w:rPr>
              <w:t>业通信的行为。</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266"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、本次交易完成后，本承诺人对于无法避免或有合理原因而发生</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256"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6" w:lineRule="exact"/>
              <w:ind w:left="23" w:right="0"/>
              <w:jc w:val="left"/>
              <w:rPr>
                <w:rFonts w:ascii="宋体" w:hAnsi="宋体" w:cs="宋体" w:eastAsia="宋体" w:hint="default"/>
                <w:sz w:val="18"/>
                <w:szCs w:val="18"/>
              </w:rPr>
            </w:pPr>
            <w:r>
              <w:rPr>
                <w:rFonts w:ascii="宋体" w:hAnsi="宋体" w:cs="宋体" w:eastAsia="宋体" w:hint="default"/>
                <w:spacing w:val="-2"/>
                <w:sz w:val="18"/>
                <w:szCs w:val="18"/>
              </w:rPr>
              <w:t>的与茂业通信之间的关联交易，将遵循市场原则以公允、合理的市</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259"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23" w:right="0"/>
              <w:jc w:val="left"/>
              <w:rPr>
                <w:rFonts w:ascii="宋体" w:hAnsi="宋体" w:cs="宋体" w:eastAsia="宋体" w:hint="default"/>
                <w:sz w:val="18"/>
                <w:szCs w:val="18"/>
              </w:rPr>
            </w:pPr>
            <w:r>
              <w:rPr>
                <w:rFonts w:ascii="宋体" w:hAnsi="宋体" w:cs="宋体" w:eastAsia="宋体" w:hint="default"/>
                <w:spacing w:val="-2"/>
                <w:sz w:val="18"/>
                <w:szCs w:val="18"/>
              </w:rPr>
              <w:t>场价格进行交易，根据有关法律、法规及规范性文件的规定履行关</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23" w:right="0"/>
              <w:jc w:val="left"/>
              <w:rPr>
                <w:rFonts w:ascii="宋体" w:hAnsi="宋体" w:cs="宋体" w:eastAsia="宋体" w:hint="default"/>
                <w:sz w:val="18"/>
                <w:szCs w:val="18"/>
              </w:rPr>
            </w:pPr>
            <w:r>
              <w:rPr>
                <w:rFonts w:ascii="宋体" w:hAnsi="宋体" w:cs="宋体" w:eastAsia="宋体" w:hint="default"/>
                <w:sz w:val="18"/>
                <w:szCs w:val="18"/>
              </w:rPr>
              <w:t>联交易决策程序。</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23" w:right="0"/>
              <w:jc w:val="left"/>
              <w:rPr>
                <w:rFonts w:ascii="宋体" w:hAnsi="宋体" w:cs="宋体" w:eastAsia="宋体" w:hint="default"/>
                <w:sz w:val="18"/>
                <w:szCs w:val="18"/>
              </w:rPr>
            </w:pPr>
            <w:r>
              <w:rPr>
                <w:rFonts w:ascii="宋体" w:hAnsi="宋体" w:cs="宋体" w:eastAsia="宋体" w:hint="default"/>
                <w:spacing w:val="-2"/>
                <w:sz w:val="18"/>
                <w:szCs w:val="18"/>
              </w:rPr>
              <w:t>本承诺人若违反上述承诺，将承担因此给茂业通信及其股东、控制</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249" w:hRule="exact"/>
        </w:trPr>
        <w:tc>
          <w:tcPr>
            <w:tcW w:w="708" w:type="dxa"/>
            <w:tcBorders>
              <w:top w:val="nil" w:sz="6" w:space="0" w:color="auto"/>
              <w:left w:val="single" w:sz="4" w:space="0" w:color="000000"/>
              <w:bottom w:val="single" w:sz="4" w:space="0" w:color="000000"/>
              <w:right w:val="single" w:sz="4" w:space="0" w:color="000000"/>
            </w:tcBorders>
          </w:tcPr>
          <w:p>
            <w:pPr/>
          </w:p>
        </w:tc>
        <w:tc>
          <w:tcPr>
            <w:tcW w:w="852"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5245" w:type="dxa"/>
            <w:tcBorders>
              <w:top w:val="nil" w:sz="6" w:space="0" w:color="auto"/>
              <w:left w:val="single" w:sz="4" w:space="0" w:color="000000"/>
              <w:bottom w:val="single" w:sz="4" w:space="0" w:color="000000"/>
              <w:right w:val="single" w:sz="4" w:space="0" w:color="000000"/>
            </w:tcBorders>
          </w:tcPr>
          <w:p>
            <w:pPr>
              <w:pStyle w:val="TableParagraph"/>
              <w:spacing w:line="220" w:lineRule="exact"/>
              <w:ind w:left="23" w:right="0"/>
              <w:jc w:val="left"/>
              <w:rPr>
                <w:rFonts w:ascii="宋体" w:hAnsi="宋体" w:cs="宋体" w:eastAsia="宋体" w:hint="default"/>
                <w:sz w:val="18"/>
                <w:szCs w:val="18"/>
              </w:rPr>
            </w:pPr>
            <w:r>
              <w:rPr>
                <w:rFonts w:ascii="宋体" w:hAnsi="宋体" w:cs="宋体" w:eastAsia="宋体" w:hint="default"/>
                <w:sz w:val="18"/>
                <w:szCs w:val="18"/>
              </w:rPr>
              <w:t>的其他公司、企业造成的一切损失。</w:t>
            </w:r>
          </w:p>
        </w:tc>
        <w:tc>
          <w:tcPr>
            <w:tcW w:w="710" w:type="dxa"/>
            <w:tcBorders>
              <w:top w:val="nil" w:sz="6" w:space="0" w:color="auto"/>
              <w:left w:val="single" w:sz="4" w:space="0" w:color="000000"/>
              <w:bottom w:val="single" w:sz="4" w:space="0" w:color="000000"/>
              <w:right w:val="single" w:sz="4" w:space="0" w:color="000000"/>
            </w:tcBorders>
          </w:tcPr>
          <w:p>
            <w:pPr/>
          </w:p>
        </w:tc>
        <w:tc>
          <w:tcPr>
            <w:tcW w:w="709" w:type="dxa"/>
            <w:tcBorders>
              <w:top w:val="nil" w:sz="6" w:space="0" w:color="auto"/>
              <w:left w:val="single" w:sz="4" w:space="0" w:color="000000"/>
              <w:bottom w:val="single" w:sz="4" w:space="0" w:color="000000"/>
              <w:right w:val="single" w:sz="4" w:space="0" w:color="000000"/>
            </w:tcBorders>
          </w:tcPr>
          <w:p>
            <w:pPr/>
          </w:p>
        </w:tc>
        <w:tc>
          <w:tcPr>
            <w:tcW w:w="991" w:type="dxa"/>
            <w:tcBorders>
              <w:top w:val="nil" w:sz="6" w:space="0" w:color="auto"/>
              <w:left w:val="single" w:sz="4" w:space="0" w:color="000000"/>
              <w:bottom w:val="single" w:sz="4" w:space="0" w:color="000000"/>
              <w:right w:val="single" w:sz="4" w:space="0" w:color="000000"/>
            </w:tcBorders>
          </w:tcPr>
          <w:p>
            <w:pPr/>
          </w:p>
        </w:tc>
      </w:tr>
      <w:tr>
        <w:trPr>
          <w:trHeight w:val="280" w:hRule="exact"/>
        </w:trPr>
        <w:tc>
          <w:tcPr>
            <w:tcW w:w="708" w:type="dxa"/>
            <w:tcBorders>
              <w:top w:val="single" w:sz="4" w:space="0" w:color="000000"/>
              <w:left w:val="single" w:sz="4" w:space="0" w:color="000000"/>
              <w:bottom w:val="nil" w:sz="6" w:space="0" w:color="auto"/>
              <w:right w:val="single" w:sz="4" w:space="0" w:color="000000"/>
            </w:tcBorders>
          </w:tcPr>
          <w:p>
            <w:pPr/>
          </w:p>
        </w:tc>
        <w:tc>
          <w:tcPr>
            <w:tcW w:w="852"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5245" w:type="dxa"/>
            <w:tcBorders>
              <w:top w:val="single" w:sz="4" w:space="0" w:color="000000"/>
              <w:left w:val="single" w:sz="4" w:space="0" w:color="000000"/>
              <w:bottom w:val="nil" w:sz="6" w:space="0" w:color="auto"/>
              <w:right w:val="single" w:sz="4" w:space="0" w:color="000000"/>
            </w:tcBorders>
          </w:tcPr>
          <w:p>
            <w:pPr>
              <w:pStyle w:val="TableParagraph"/>
              <w:spacing w:line="234" w:lineRule="exact"/>
              <w:ind w:left="23" w:right="0"/>
              <w:jc w:val="left"/>
              <w:rPr>
                <w:rFonts w:ascii="宋体" w:hAnsi="宋体" w:cs="宋体" w:eastAsia="宋体" w:hint="default"/>
                <w:sz w:val="18"/>
                <w:szCs w:val="18"/>
              </w:rPr>
            </w:pPr>
            <w:r>
              <w:rPr>
                <w:rFonts w:ascii="宋体" w:hAnsi="宋体" w:cs="宋体" w:eastAsia="宋体" w:hint="default"/>
                <w:sz w:val="18"/>
                <w:szCs w:val="18"/>
              </w:rPr>
              <w:t>交易对方关于避免同业竞争的承诺：</w:t>
            </w:r>
          </w:p>
        </w:tc>
        <w:tc>
          <w:tcPr>
            <w:tcW w:w="710" w:type="dxa"/>
            <w:tcBorders>
              <w:top w:val="single" w:sz="4" w:space="0" w:color="000000"/>
              <w:left w:val="single" w:sz="4" w:space="0" w:color="000000"/>
              <w:bottom w:val="nil" w:sz="6" w:space="0" w:color="auto"/>
              <w:right w:val="single" w:sz="4" w:space="0" w:color="000000"/>
            </w:tcBorders>
          </w:tcPr>
          <w:p>
            <w:pPr/>
          </w:p>
        </w:tc>
        <w:tc>
          <w:tcPr>
            <w:tcW w:w="709" w:type="dxa"/>
            <w:tcBorders>
              <w:top w:val="single" w:sz="4" w:space="0" w:color="000000"/>
              <w:left w:val="single" w:sz="4" w:space="0" w:color="000000"/>
              <w:bottom w:val="nil" w:sz="6" w:space="0" w:color="auto"/>
              <w:right w:val="single" w:sz="4" w:space="0" w:color="000000"/>
            </w:tcBorders>
          </w:tcPr>
          <w:p>
            <w:pPr/>
          </w:p>
        </w:tc>
        <w:tc>
          <w:tcPr>
            <w:tcW w:w="991" w:type="dxa"/>
            <w:tcBorders>
              <w:top w:val="single" w:sz="4" w:space="0" w:color="000000"/>
              <w:left w:val="single" w:sz="4" w:space="0" w:color="000000"/>
              <w:bottom w:val="nil" w:sz="6" w:space="0" w:color="auto"/>
              <w:right w:val="single" w:sz="4" w:space="0" w:color="000000"/>
            </w:tcBorders>
          </w:tcPr>
          <w:p>
            <w:pPr/>
          </w:p>
        </w:tc>
      </w:tr>
      <w:tr>
        <w:trPr>
          <w:trHeight w:val="26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、本承诺人将采取合法及有效的措施，</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23" w:right="0"/>
              <w:jc w:val="left"/>
              <w:rPr>
                <w:rFonts w:ascii="宋体" w:hAnsi="宋体" w:cs="宋体" w:eastAsia="宋体" w:hint="default"/>
                <w:sz w:val="18"/>
                <w:szCs w:val="18"/>
              </w:rPr>
            </w:pPr>
            <w:r>
              <w:rPr>
                <w:rFonts w:ascii="宋体" w:hAnsi="宋体" w:cs="宋体" w:eastAsia="宋体" w:hint="default"/>
                <w:spacing w:val="-2"/>
                <w:sz w:val="18"/>
                <w:szCs w:val="18"/>
              </w:rPr>
              <w:t>企业现有或将来成立的全资公司、控股公司和其它本承诺人实际控</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23" w:right="-9"/>
              <w:jc w:val="left"/>
              <w:rPr>
                <w:rFonts w:ascii="宋体" w:hAnsi="宋体" w:cs="宋体" w:eastAsia="宋体" w:hint="default"/>
                <w:sz w:val="18"/>
                <w:szCs w:val="18"/>
              </w:rPr>
            </w:pPr>
            <w:r>
              <w:rPr>
                <w:rFonts w:ascii="宋体" w:hAnsi="宋体" w:cs="宋体" w:eastAsia="宋体" w:hint="default"/>
                <w:sz w:val="18"/>
                <w:szCs w:val="18"/>
              </w:rPr>
              <w:t>制的公司、企业不从事其他与上市公司主营业务构成竞争的业务。</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26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4" w:lineRule="exact"/>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、如本承诺人或本承诺人实际控制的公司、企业（包括本承诺人</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254"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23" w:right="0"/>
              <w:jc w:val="left"/>
              <w:rPr>
                <w:rFonts w:ascii="宋体" w:hAnsi="宋体" w:cs="宋体" w:eastAsia="宋体" w:hint="default"/>
                <w:sz w:val="18"/>
                <w:szCs w:val="18"/>
              </w:rPr>
            </w:pPr>
            <w:r>
              <w:rPr>
                <w:rFonts w:ascii="宋体" w:hAnsi="宋体" w:cs="宋体" w:eastAsia="宋体" w:hint="default"/>
                <w:spacing w:val="-2"/>
                <w:sz w:val="18"/>
                <w:szCs w:val="18"/>
              </w:rPr>
              <w:t>现有或将来成立的公司和其它受本承诺人实际控制的企业）获得的</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23" w:right="0"/>
              <w:jc w:val="left"/>
              <w:rPr>
                <w:rFonts w:ascii="宋体" w:hAnsi="宋体" w:cs="宋体" w:eastAsia="宋体" w:hint="default"/>
                <w:sz w:val="18"/>
                <w:szCs w:val="18"/>
              </w:rPr>
            </w:pPr>
            <w:r>
              <w:rPr>
                <w:rFonts w:ascii="宋体" w:hAnsi="宋体" w:cs="宋体" w:eastAsia="宋体" w:hint="default"/>
                <w:spacing w:val="-2"/>
                <w:sz w:val="18"/>
                <w:szCs w:val="18"/>
              </w:rPr>
              <w:t>其他任何商业机会与上市公司主营业务有竞争或可能构成竞争，则</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23" w:right="-9"/>
              <w:jc w:val="left"/>
              <w:rPr>
                <w:rFonts w:ascii="宋体" w:hAnsi="宋体" w:cs="宋体" w:eastAsia="宋体" w:hint="default"/>
                <w:sz w:val="18"/>
                <w:szCs w:val="18"/>
              </w:rPr>
            </w:pPr>
            <w:r>
              <w:rPr>
                <w:rFonts w:ascii="宋体" w:hAnsi="宋体" w:cs="宋体" w:eastAsia="宋体" w:hint="default"/>
                <w:sz w:val="18"/>
                <w:szCs w:val="18"/>
              </w:rPr>
              <w:t>本承诺人或本承诺人实际控制的公司、企业将立即通知上市公司，</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1560"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before="113"/>
              <w:ind w:left="24"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年</w:t>
            </w:r>
          </w:p>
          <w:p>
            <w:pPr>
              <w:pStyle w:val="TableParagraph"/>
              <w:spacing w:line="264" w:lineRule="auto" w:before="13"/>
              <w:ind w:left="24" w:right="-38"/>
              <w:jc w:val="both"/>
              <w:rPr>
                <w:rFonts w:ascii="宋体" w:hAnsi="宋体" w:cs="宋体" w:eastAsia="宋体" w:hint="default"/>
                <w:sz w:val="18"/>
                <w:szCs w:val="18"/>
              </w:rPr>
            </w:pPr>
            <w:r>
              <w:rPr>
                <w:rFonts w:ascii="宋体" w:hAnsi="宋体" w:cs="宋体" w:eastAsia="宋体" w:hint="default"/>
                <w:spacing w:val="38"/>
                <w:sz w:val="18"/>
                <w:szCs w:val="18"/>
              </w:rPr>
              <w:t>重大资</w:t>
            </w:r>
            <w:r>
              <w:rPr>
                <w:rFonts w:ascii="宋体" w:hAnsi="宋体" w:cs="宋体" w:eastAsia="宋体" w:hint="default"/>
                <w:spacing w:val="-33"/>
                <w:sz w:val="18"/>
                <w:szCs w:val="18"/>
              </w:rPr>
              <w:t> </w:t>
            </w:r>
            <w:r>
              <w:rPr>
                <w:rFonts w:ascii="宋体" w:hAnsi="宋体" w:cs="宋体" w:eastAsia="宋体" w:hint="default"/>
                <w:spacing w:val="38"/>
                <w:sz w:val="18"/>
                <w:szCs w:val="18"/>
              </w:rPr>
              <w:t>产收购</w:t>
            </w:r>
            <w:r>
              <w:rPr>
                <w:rFonts w:ascii="宋体" w:hAnsi="宋体" w:cs="宋体" w:eastAsia="宋体" w:hint="default"/>
                <w:spacing w:val="-33"/>
                <w:sz w:val="18"/>
                <w:szCs w:val="18"/>
              </w:rPr>
              <w:t> </w:t>
            </w:r>
            <w:r>
              <w:rPr>
                <w:rFonts w:ascii="宋体" w:hAnsi="宋体" w:cs="宋体" w:eastAsia="宋体" w:hint="default"/>
                <w:spacing w:val="38"/>
                <w:sz w:val="18"/>
                <w:szCs w:val="18"/>
              </w:rPr>
              <w:t>时所作</w:t>
            </w:r>
            <w:r>
              <w:rPr>
                <w:rFonts w:ascii="宋体" w:hAnsi="宋体" w:cs="宋体" w:eastAsia="宋体" w:hint="default"/>
                <w:spacing w:val="-33"/>
                <w:sz w:val="18"/>
                <w:szCs w:val="18"/>
              </w:rPr>
              <w:t> </w:t>
            </w:r>
            <w:r>
              <w:rPr>
                <w:rFonts w:ascii="宋体" w:hAnsi="宋体" w:cs="宋体" w:eastAsia="宋体" w:hint="default"/>
                <w:sz w:val="18"/>
                <w:szCs w:val="18"/>
              </w:rPr>
              <w:t>承诺</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1"/>
                <w:szCs w:val="21"/>
              </w:rPr>
            </w:pPr>
          </w:p>
          <w:p>
            <w:pPr>
              <w:pStyle w:val="TableParagraph"/>
              <w:spacing w:line="264" w:lineRule="auto"/>
              <w:ind w:left="23" w:right="0"/>
              <w:jc w:val="both"/>
              <w:rPr>
                <w:rFonts w:ascii="宋体" w:hAnsi="宋体" w:cs="宋体" w:eastAsia="宋体" w:hint="default"/>
                <w:sz w:val="18"/>
                <w:szCs w:val="18"/>
              </w:rPr>
            </w:pPr>
            <w:r>
              <w:rPr>
                <w:rFonts w:ascii="宋体" w:hAnsi="宋体" w:cs="宋体" w:eastAsia="宋体" w:hint="default"/>
                <w:spacing w:val="18"/>
                <w:sz w:val="18"/>
                <w:szCs w:val="18"/>
              </w:rPr>
              <w:t>刘英魁、</w:t>
            </w:r>
            <w:r>
              <w:rPr>
                <w:rFonts w:ascii="宋体" w:hAnsi="宋体" w:cs="宋体" w:eastAsia="宋体" w:hint="default"/>
                <w:spacing w:val="-66"/>
                <w:sz w:val="18"/>
                <w:szCs w:val="18"/>
              </w:rPr>
              <w:t> </w:t>
            </w:r>
            <w:r>
              <w:rPr>
                <w:rFonts w:ascii="宋体" w:hAnsi="宋体" w:cs="宋体" w:eastAsia="宋体" w:hint="default"/>
                <w:sz w:val="18"/>
                <w:szCs w:val="18"/>
              </w:rPr>
              <w:t>嘉 语</w:t>
            </w:r>
            <w:r>
              <w:rPr>
                <w:rFonts w:ascii="宋体" w:hAnsi="宋体" w:cs="宋体" w:eastAsia="宋体" w:hint="default"/>
                <w:spacing w:val="74"/>
                <w:sz w:val="18"/>
                <w:szCs w:val="18"/>
              </w:rPr>
              <w:t> </w:t>
            </w:r>
            <w:r>
              <w:rPr>
                <w:rFonts w:ascii="宋体" w:hAnsi="宋体" w:cs="宋体" w:eastAsia="宋体" w:hint="default"/>
                <w:sz w:val="18"/>
                <w:szCs w:val="18"/>
              </w:rPr>
              <w:t>春</w:t>
            </w:r>
            <w:r>
              <w:rPr>
                <w:rFonts w:ascii="宋体" w:hAnsi="宋体" w:cs="宋体" w:eastAsia="宋体" w:hint="default"/>
                <w:sz w:val="18"/>
                <w:szCs w:val="18"/>
              </w:rPr>
              <w:t> </w:t>
            </w:r>
            <w:r>
              <w:rPr>
                <w:rFonts w:ascii="宋体" w:hAnsi="宋体" w:cs="宋体" w:eastAsia="宋体" w:hint="default"/>
                <w:spacing w:val="18"/>
                <w:sz w:val="18"/>
                <w:szCs w:val="18"/>
              </w:rPr>
              <w:t>华、嘉惠</w:t>
            </w:r>
            <w:r>
              <w:rPr>
                <w:rFonts w:ascii="宋体" w:hAnsi="宋体" w:cs="宋体" w:eastAsia="宋体" w:hint="default"/>
                <w:spacing w:val="-66"/>
                <w:sz w:val="18"/>
                <w:szCs w:val="18"/>
              </w:rPr>
              <w:t> </w:t>
            </w:r>
            <w:r>
              <w:rPr>
                <w:rFonts w:ascii="宋体" w:hAnsi="宋体" w:cs="宋体" w:eastAsia="宋体" w:hint="default"/>
                <w:sz w:val="18"/>
                <w:szCs w:val="18"/>
              </w:rPr>
              <w:t>秋实</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9"/>
                <w:szCs w:val="19"/>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长期</w:t>
            </w: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23" w:right="0"/>
              <w:jc w:val="both"/>
              <w:rPr>
                <w:rFonts w:ascii="宋体" w:hAnsi="宋体" w:cs="宋体" w:eastAsia="宋体" w:hint="default"/>
                <w:sz w:val="18"/>
                <w:szCs w:val="18"/>
              </w:rPr>
            </w:pPr>
            <w:r>
              <w:rPr>
                <w:rFonts w:ascii="宋体" w:hAnsi="宋体" w:cs="宋体" w:eastAsia="宋体" w:hint="default"/>
                <w:sz w:val="18"/>
                <w:szCs w:val="18"/>
              </w:rPr>
              <w:t>并优先将该商业机会给予上市公司。</w:t>
            </w:r>
          </w:p>
          <w:p>
            <w:pPr>
              <w:pStyle w:val="TableParagraph"/>
              <w:spacing w:line="261" w:lineRule="auto" w:before="24"/>
              <w:ind w:left="23" w:right="-9"/>
              <w:jc w:val="both"/>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、如本承诺人或本承诺人实际控制的公司、企业（包括本承诺人</w:t>
            </w:r>
            <w:r>
              <w:rPr>
                <w:rFonts w:ascii="宋体" w:hAnsi="宋体" w:cs="宋体" w:eastAsia="宋体" w:hint="default"/>
                <w:spacing w:val="-38"/>
                <w:sz w:val="18"/>
                <w:szCs w:val="18"/>
              </w:rPr>
              <w:t> </w:t>
            </w:r>
            <w:r>
              <w:rPr>
                <w:rFonts w:ascii="宋体" w:hAnsi="宋体" w:cs="宋体" w:eastAsia="宋体" w:hint="default"/>
                <w:spacing w:val="-38"/>
                <w:sz w:val="18"/>
                <w:szCs w:val="18"/>
              </w:rPr>
            </w:r>
            <w:r>
              <w:rPr>
                <w:rFonts w:ascii="宋体" w:hAnsi="宋体" w:cs="宋体" w:eastAsia="宋体" w:hint="default"/>
                <w:spacing w:val="-2"/>
                <w:sz w:val="18"/>
                <w:szCs w:val="18"/>
              </w:rPr>
              <w:t>现有或将来成立的公司和其它受本承诺人实际控制的企业）与上市</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2"/>
                <w:sz w:val="18"/>
                <w:szCs w:val="18"/>
              </w:rPr>
              <w:t>公司及其控制的公司、企业所经营的业务产生竞争，则本承诺人或</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本承诺人实际控制的公司、企业将以停止经营相竞争业务的方式， </w:t>
            </w:r>
            <w:r>
              <w:rPr>
                <w:rFonts w:ascii="宋体" w:hAnsi="宋体" w:cs="宋体" w:eastAsia="宋体" w:hint="default"/>
                <w:spacing w:val="-2"/>
                <w:sz w:val="18"/>
                <w:szCs w:val="18"/>
              </w:rPr>
              <w:t>或者将相竞争业务纳入到上市公司经营的方式，或者将相竞争业务</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14"/>
                <w:szCs w:val="14"/>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年</w:t>
            </w:r>
          </w:p>
          <w:p>
            <w:pPr>
              <w:pStyle w:val="TableParagraph"/>
              <w:spacing w:line="240" w:lineRule="auto" w:before="10"/>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25"/>
                <w:sz w:val="18"/>
                <w:szCs w:val="18"/>
              </w:rPr>
              <w:t> </w:t>
            </w:r>
            <w:r>
              <w:rPr>
                <w:rFonts w:ascii="Times New Roman" w:hAnsi="Times New Roman" w:cs="Times New Roman" w:eastAsia="Times New Roman" w:hint="default"/>
                <w:sz w:val="18"/>
                <w:szCs w:val="18"/>
              </w:rPr>
              <w:t>12</w:t>
            </w:r>
          </w:p>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9"/>
                <w:szCs w:val="19"/>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正常履行。</w:t>
            </w:r>
          </w:p>
        </w:tc>
      </w:tr>
      <w:tr>
        <w:trPr>
          <w:trHeight w:val="259"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23" w:right="0"/>
              <w:jc w:val="left"/>
              <w:rPr>
                <w:rFonts w:ascii="宋体" w:hAnsi="宋体" w:cs="宋体" w:eastAsia="宋体" w:hint="default"/>
                <w:sz w:val="18"/>
                <w:szCs w:val="18"/>
              </w:rPr>
            </w:pPr>
            <w:r>
              <w:rPr>
                <w:rFonts w:ascii="宋体" w:hAnsi="宋体" w:cs="宋体" w:eastAsia="宋体" w:hint="default"/>
                <w:sz w:val="18"/>
                <w:szCs w:val="18"/>
              </w:rPr>
              <w:t>转让给无关联关系的第三方避免同业竞争。</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26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、对于上市公司的正常生产、经营活动，本承诺人或本承诺人实</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25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6" w:lineRule="exact"/>
              <w:ind w:left="23" w:right="0"/>
              <w:jc w:val="left"/>
              <w:rPr>
                <w:rFonts w:ascii="宋体" w:hAnsi="宋体" w:cs="宋体" w:eastAsia="宋体" w:hint="default"/>
                <w:sz w:val="18"/>
                <w:szCs w:val="18"/>
              </w:rPr>
            </w:pPr>
            <w:r>
              <w:rPr>
                <w:rFonts w:ascii="宋体" w:hAnsi="宋体" w:cs="宋体" w:eastAsia="宋体" w:hint="default"/>
                <w:spacing w:val="-2"/>
                <w:sz w:val="18"/>
                <w:szCs w:val="18"/>
              </w:rPr>
              <w:t>际控制的公司、企业保证不利用股东地位损害上市公司及上市公司</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259"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23" w:right="0"/>
              <w:jc w:val="left"/>
              <w:rPr>
                <w:rFonts w:ascii="宋体" w:hAnsi="宋体" w:cs="宋体" w:eastAsia="宋体" w:hint="default"/>
                <w:sz w:val="18"/>
                <w:szCs w:val="18"/>
              </w:rPr>
            </w:pPr>
            <w:r>
              <w:rPr>
                <w:rFonts w:ascii="宋体" w:hAnsi="宋体" w:cs="宋体" w:eastAsia="宋体" w:hint="default"/>
                <w:sz w:val="18"/>
                <w:szCs w:val="18"/>
              </w:rPr>
              <w:t>中小股东的利益。</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23" w:right="0"/>
              <w:jc w:val="left"/>
              <w:rPr>
                <w:rFonts w:ascii="宋体" w:hAnsi="宋体" w:cs="宋体" w:eastAsia="宋体" w:hint="default"/>
                <w:sz w:val="18"/>
                <w:szCs w:val="18"/>
              </w:rPr>
            </w:pPr>
            <w:r>
              <w:rPr>
                <w:rFonts w:ascii="宋体" w:hAnsi="宋体" w:cs="宋体" w:eastAsia="宋体" w:hint="default"/>
                <w:spacing w:val="4"/>
                <w:sz w:val="18"/>
                <w:szCs w:val="18"/>
              </w:rPr>
              <w:t>本承诺函在本承诺人及本承诺人关联方为上市公司股东期间持续</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23" w:right="0"/>
              <w:jc w:val="left"/>
              <w:rPr>
                <w:rFonts w:ascii="宋体" w:hAnsi="宋体" w:cs="宋体" w:eastAsia="宋体" w:hint="default"/>
                <w:sz w:val="18"/>
                <w:szCs w:val="18"/>
              </w:rPr>
            </w:pPr>
            <w:r>
              <w:rPr>
                <w:rFonts w:ascii="宋体" w:hAnsi="宋体" w:cs="宋体" w:eastAsia="宋体" w:hint="default"/>
                <w:spacing w:val="-2"/>
                <w:sz w:val="18"/>
                <w:szCs w:val="18"/>
              </w:rPr>
              <w:t>有效，本承诺人将严格遵守上述承诺，确保上市公司合法权益不受</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259"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23" w:right="0"/>
              <w:jc w:val="left"/>
              <w:rPr>
                <w:rFonts w:ascii="宋体" w:hAnsi="宋体" w:cs="宋体" w:eastAsia="宋体" w:hint="default"/>
                <w:sz w:val="18"/>
                <w:szCs w:val="18"/>
              </w:rPr>
            </w:pPr>
            <w:r>
              <w:rPr>
                <w:rFonts w:ascii="宋体" w:hAnsi="宋体" w:cs="宋体" w:eastAsia="宋体" w:hint="default"/>
                <w:spacing w:val="-2"/>
                <w:sz w:val="18"/>
                <w:szCs w:val="18"/>
              </w:rPr>
              <w:t>损害。如上述承诺被证明是不真实的或未被遵守，本承诺人将向上</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252" w:hRule="exact"/>
        </w:trPr>
        <w:tc>
          <w:tcPr>
            <w:tcW w:w="708" w:type="dxa"/>
            <w:tcBorders>
              <w:top w:val="nil" w:sz="6" w:space="0" w:color="auto"/>
              <w:left w:val="single" w:sz="4" w:space="0" w:color="000000"/>
              <w:bottom w:val="single" w:sz="4" w:space="0" w:color="000000"/>
              <w:right w:val="single" w:sz="4" w:space="0" w:color="000000"/>
            </w:tcBorders>
          </w:tcPr>
          <w:p>
            <w:pPr/>
          </w:p>
        </w:tc>
        <w:tc>
          <w:tcPr>
            <w:tcW w:w="852"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5245" w:type="dxa"/>
            <w:tcBorders>
              <w:top w:val="nil" w:sz="6" w:space="0" w:color="auto"/>
              <w:left w:val="single" w:sz="4" w:space="0" w:color="000000"/>
              <w:bottom w:val="single" w:sz="4" w:space="0" w:color="000000"/>
              <w:right w:val="single" w:sz="4" w:space="0" w:color="000000"/>
            </w:tcBorders>
          </w:tcPr>
          <w:p>
            <w:pPr>
              <w:pStyle w:val="TableParagraph"/>
              <w:spacing w:line="220" w:lineRule="exact"/>
              <w:ind w:left="23" w:right="0"/>
              <w:jc w:val="left"/>
              <w:rPr>
                <w:rFonts w:ascii="宋体" w:hAnsi="宋体" w:cs="宋体" w:eastAsia="宋体" w:hint="default"/>
                <w:sz w:val="18"/>
                <w:szCs w:val="18"/>
              </w:rPr>
            </w:pPr>
            <w:r>
              <w:rPr>
                <w:rFonts w:ascii="宋体" w:hAnsi="宋体" w:cs="宋体" w:eastAsia="宋体" w:hint="default"/>
                <w:sz w:val="18"/>
                <w:szCs w:val="18"/>
              </w:rPr>
              <w:t>市公司赔偿因此而造成的经济损失。</w:t>
            </w:r>
          </w:p>
        </w:tc>
        <w:tc>
          <w:tcPr>
            <w:tcW w:w="710" w:type="dxa"/>
            <w:tcBorders>
              <w:top w:val="nil" w:sz="6" w:space="0" w:color="auto"/>
              <w:left w:val="single" w:sz="4" w:space="0" w:color="000000"/>
              <w:bottom w:val="single" w:sz="4" w:space="0" w:color="000000"/>
              <w:right w:val="single" w:sz="4" w:space="0" w:color="000000"/>
            </w:tcBorders>
          </w:tcPr>
          <w:p>
            <w:pPr/>
          </w:p>
        </w:tc>
        <w:tc>
          <w:tcPr>
            <w:tcW w:w="709" w:type="dxa"/>
            <w:tcBorders>
              <w:top w:val="nil" w:sz="6" w:space="0" w:color="auto"/>
              <w:left w:val="single" w:sz="4" w:space="0" w:color="000000"/>
              <w:bottom w:val="single" w:sz="4" w:space="0" w:color="000000"/>
              <w:right w:val="single" w:sz="4" w:space="0" w:color="000000"/>
            </w:tcBorders>
          </w:tcPr>
          <w:p>
            <w:pPr/>
          </w:p>
        </w:tc>
        <w:tc>
          <w:tcPr>
            <w:tcW w:w="991" w:type="dxa"/>
            <w:tcBorders>
              <w:top w:val="nil" w:sz="6" w:space="0" w:color="auto"/>
              <w:left w:val="single" w:sz="4" w:space="0" w:color="000000"/>
              <w:bottom w:val="single" w:sz="4" w:space="0" w:color="000000"/>
              <w:right w:val="single" w:sz="4" w:space="0" w:color="000000"/>
            </w:tcBorders>
          </w:tcPr>
          <w:p>
            <w:pPr/>
          </w:p>
        </w:tc>
      </w:tr>
      <w:tr>
        <w:trPr>
          <w:trHeight w:val="283" w:hRule="exact"/>
        </w:trPr>
        <w:tc>
          <w:tcPr>
            <w:tcW w:w="708" w:type="dxa"/>
            <w:tcBorders>
              <w:top w:val="single" w:sz="4" w:space="0" w:color="000000"/>
              <w:left w:val="single" w:sz="4" w:space="0" w:color="000000"/>
              <w:bottom w:val="nil" w:sz="6" w:space="0" w:color="auto"/>
              <w:right w:val="single" w:sz="4" w:space="0" w:color="000000"/>
            </w:tcBorders>
          </w:tcPr>
          <w:p>
            <w:pPr/>
          </w:p>
        </w:tc>
        <w:tc>
          <w:tcPr>
            <w:tcW w:w="852" w:type="dxa"/>
            <w:tcBorders>
              <w:top w:val="single" w:sz="4" w:space="0" w:color="000000"/>
              <w:left w:val="single" w:sz="4" w:space="0" w:color="000000"/>
              <w:bottom w:val="nil" w:sz="6" w:space="0" w:color="auto"/>
              <w:right w:val="single" w:sz="4" w:space="0" w:color="000000"/>
            </w:tcBorders>
          </w:tcPr>
          <w:p>
            <w:pPr/>
          </w:p>
        </w:tc>
        <w:tc>
          <w:tcPr>
            <w:tcW w:w="708" w:type="dxa"/>
            <w:tcBorders>
              <w:top w:val="single" w:sz="4" w:space="0" w:color="000000"/>
              <w:left w:val="single" w:sz="4" w:space="0" w:color="000000"/>
              <w:bottom w:val="nil" w:sz="6" w:space="0" w:color="auto"/>
              <w:right w:val="single" w:sz="4" w:space="0" w:color="000000"/>
            </w:tcBorders>
          </w:tcPr>
          <w:p>
            <w:pPr/>
          </w:p>
        </w:tc>
        <w:tc>
          <w:tcPr>
            <w:tcW w:w="5245" w:type="dxa"/>
            <w:tcBorders>
              <w:top w:val="single" w:sz="4" w:space="0" w:color="000000"/>
              <w:left w:val="single" w:sz="4" w:space="0" w:color="000000"/>
              <w:bottom w:val="nil" w:sz="6" w:space="0" w:color="auto"/>
              <w:right w:val="single" w:sz="4" w:space="0" w:color="000000"/>
            </w:tcBorders>
          </w:tcPr>
          <w:p>
            <w:pPr>
              <w:pStyle w:val="TableParagraph"/>
              <w:spacing w:line="248" w:lineRule="exact"/>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关于保证上市公司独立性的承诺</w:t>
            </w:r>
            <w:r>
              <w:rPr>
                <w:rFonts w:ascii="Times New Roman" w:hAnsi="Times New Roman" w:cs="Times New Roman" w:eastAsia="Times New Roman" w:hint="default"/>
                <w:sz w:val="18"/>
                <w:szCs w:val="18"/>
              </w:rPr>
              <w:t>:</w:t>
            </w:r>
          </w:p>
        </w:tc>
        <w:tc>
          <w:tcPr>
            <w:tcW w:w="710" w:type="dxa"/>
            <w:tcBorders>
              <w:top w:val="single" w:sz="4" w:space="0" w:color="000000"/>
              <w:left w:val="single" w:sz="4" w:space="0" w:color="000000"/>
              <w:bottom w:val="nil" w:sz="6" w:space="0" w:color="auto"/>
              <w:right w:val="single" w:sz="4" w:space="0" w:color="000000"/>
            </w:tcBorders>
          </w:tcPr>
          <w:p>
            <w:pPr/>
          </w:p>
        </w:tc>
        <w:tc>
          <w:tcPr>
            <w:tcW w:w="709" w:type="dxa"/>
            <w:tcBorders>
              <w:top w:val="single" w:sz="4" w:space="0" w:color="000000"/>
              <w:left w:val="single" w:sz="4" w:space="0" w:color="000000"/>
              <w:bottom w:val="nil" w:sz="6" w:space="0" w:color="auto"/>
              <w:right w:val="single" w:sz="4" w:space="0" w:color="000000"/>
            </w:tcBorders>
          </w:tcPr>
          <w:p>
            <w:pPr/>
          </w:p>
        </w:tc>
        <w:tc>
          <w:tcPr>
            <w:tcW w:w="991" w:type="dxa"/>
            <w:tcBorders>
              <w:top w:val="single" w:sz="4" w:space="0" w:color="000000"/>
              <w:left w:val="single" w:sz="4" w:space="0" w:color="000000"/>
              <w:bottom w:val="nil" w:sz="6" w:space="0" w:color="auto"/>
              <w:right w:val="single" w:sz="4" w:space="0" w:color="000000"/>
            </w:tcBorders>
          </w:tcPr>
          <w:p>
            <w:pPr/>
          </w:p>
        </w:tc>
      </w:tr>
      <w:tr>
        <w:trPr>
          <w:trHeight w:val="261"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8" w:lineRule="exact"/>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、截至本承诺函出具之日，标的公司一直在业务、资产、机构、</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1295"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30" w:lineRule="exact"/>
              <w:ind w:left="24"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年</w:t>
            </w:r>
          </w:p>
          <w:p>
            <w:pPr>
              <w:pStyle w:val="TableParagraph"/>
              <w:spacing w:line="264" w:lineRule="auto" w:before="10"/>
              <w:ind w:left="24" w:right="-38"/>
              <w:jc w:val="both"/>
              <w:rPr>
                <w:rFonts w:ascii="宋体" w:hAnsi="宋体" w:cs="宋体" w:eastAsia="宋体" w:hint="default"/>
                <w:sz w:val="18"/>
                <w:szCs w:val="18"/>
              </w:rPr>
            </w:pPr>
            <w:r>
              <w:rPr>
                <w:rFonts w:ascii="宋体" w:hAnsi="宋体" w:cs="宋体" w:eastAsia="宋体" w:hint="default"/>
                <w:spacing w:val="38"/>
                <w:sz w:val="18"/>
                <w:szCs w:val="18"/>
              </w:rPr>
              <w:t>重大资</w:t>
            </w:r>
            <w:r>
              <w:rPr>
                <w:rFonts w:ascii="宋体" w:hAnsi="宋体" w:cs="宋体" w:eastAsia="宋体" w:hint="default"/>
                <w:spacing w:val="-33"/>
                <w:sz w:val="18"/>
                <w:szCs w:val="18"/>
              </w:rPr>
              <w:t> </w:t>
            </w:r>
            <w:r>
              <w:rPr>
                <w:rFonts w:ascii="宋体" w:hAnsi="宋体" w:cs="宋体" w:eastAsia="宋体" w:hint="default"/>
                <w:spacing w:val="38"/>
                <w:sz w:val="18"/>
                <w:szCs w:val="18"/>
              </w:rPr>
              <w:t>产收购</w:t>
            </w:r>
            <w:r>
              <w:rPr>
                <w:rFonts w:ascii="宋体" w:hAnsi="宋体" w:cs="宋体" w:eastAsia="宋体" w:hint="default"/>
                <w:spacing w:val="-33"/>
                <w:sz w:val="18"/>
                <w:szCs w:val="18"/>
              </w:rPr>
              <w:t> </w:t>
            </w:r>
            <w:r>
              <w:rPr>
                <w:rFonts w:ascii="宋体" w:hAnsi="宋体" w:cs="宋体" w:eastAsia="宋体" w:hint="default"/>
                <w:spacing w:val="38"/>
                <w:sz w:val="18"/>
                <w:szCs w:val="18"/>
              </w:rPr>
              <w:t>时所作</w:t>
            </w:r>
            <w:r>
              <w:rPr>
                <w:rFonts w:ascii="宋体" w:hAnsi="宋体" w:cs="宋体" w:eastAsia="宋体" w:hint="default"/>
                <w:spacing w:val="-33"/>
                <w:sz w:val="18"/>
                <w:szCs w:val="18"/>
              </w:rPr>
              <w:t> </w:t>
            </w:r>
            <w:r>
              <w:rPr>
                <w:rFonts w:ascii="宋体" w:hAnsi="宋体" w:cs="宋体" w:eastAsia="宋体" w:hint="default"/>
                <w:sz w:val="18"/>
                <w:szCs w:val="18"/>
              </w:rPr>
              <w:t>承诺</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64" w:lineRule="auto" w:before="110"/>
              <w:ind w:left="23" w:right="0"/>
              <w:jc w:val="both"/>
              <w:rPr>
                <w:rFonts w:ascii="宋体" w:hAnsi="宋体" w:cs="宋体" w:eastAsia="宋体" w:hint="default"/>
                <w:sz w:val="18"/>
                <w:szCs w:val="18"/>
              </w:rPr>
            </w:pPr>
            <w:r>
              <w:rPr>
                <w:rFonts w:ascii="宋体" w:hAnsi="宋体" w:cs="宋体" w:eastAsia="宋体" w:hint="default"/>
                <w:spacing w:val="18"/>
                <w:sz w:val="18"/>
                <w:szCs w:val="18"/>
              </w:rPr>
              <w:t>刘英魁、</w:t>
            </w:r>
            <w:r>
              <w:rPr>
                <w:rFonts w:ascii="宋体" w:hAnsi="宋体" w:cs="宋体" w:eastAsia="宋体" w:hint="default"/>
                <w:spacing w:val="-66"/>
                <w:sz w:val="18"/>
                <w:szCs w:val="18"/>
              </w:rPr>
              <w:t> </w:t>
            </w:r>
            <w:r>
              <w:rPr>
                <w:rFonts w:ascii="宋体" w:hAnsi="宋体" w:cs="宋体" w:eastAsia="宋体" w:hint="default"/>
                <w:sz w:val="18"/>
                <w:szCs w:val="18"/>
              </w:rPr>
              <w:t>嘉 语</w:t>
            </w:r>
            <w:r>
              <w:rPr>
                <w:rFonts w:ascii="宋体" w:hAnsi="宋体" w:cs="宋体" w:eastAsia="宋体" w:hint="default"/>
                <w:spacing w:val="74"/>
                <w:sz w:val="18"/>
                <w:szCs w:val="18"/>
              </w:rPr>
              <w:t> </w:t>
            </w:r>
            <w:r>
              <w:rPr>
                <w:rFonts w:ascii="宋体" w:hAnsi="宋体" w:cs="宋体" w:eastAsia="宋体" w:hint="default"/>
                <w:sz w:val="18"/>
                <w:szCs w:val="18"/>
              </w:rPr>
              <w:t>春</w:t>
            </w:r>
            <w:r>
              <w:rPr>
                <w:rFonts w:ascii="宋体" w:hAnsi="宋体" w:cs="宋体" w:eastAsia="宋体" w:hint="default"/>
                <w:sz w:val="18"/>
                <w:szCs w:val="18"/>
              </w:rPr>
              <w:t> </w:t>
            </w:r>
            <w:r>
              <w:rPr>
                <w:rFonts w:ascii="宋体" w:hAnsi="宋体" w:cs="宋体" w:eastAsia="宋体" w:hint="default"/>
                <w:spacing w:val="18"/>
                <w:sz w:val="18"/>
                <w:szCs w:val="18"/>
              </w:rPr>
              <w:t>华、嘉惠</w:t>
            </w:r>
            <w:r>
              <w:rPr>
                <w:rFonts w:ascii="宋体" w:hAnsi="宋体" w:cs="宋体" w:eastAsia="宋体" w:hint="default"/>
                <w:spacing w:val="-66"/>
                <w:sz w:val="18"/>
                <w:szCs w:val="18"/>
              </w:rPr>
              <w:t> </w:t>
            </w:r>
            <w:r>
              <w:rPr>
                <w:rFonts w:ascii="宋体" w:hAnsi="宋体" w:cs="宋体" w:eastAsia="宋体" w:hint="default"/>
                <w:sz w:val="18"/>
                <w:szCs w:val="18"/>
              </w:rPr>
              <w:t>秋实</w:t>
            </w:r>
          </w:p>
        </w:tc>
        <w:tc>
          <w:tcPr>
            <w:tcW w:w="70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5"/>
                <w:szCs w:val="2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长期</w:t>
            </w: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6" w:lineRule="exact"/>
              <w:ind w:left="23" w:right="0"/>
              <w:jc w:val="left"/>
              <w:rPr>
                <w:rFonts w:ascii="宋体" w:hAnsi="宋体" w:cs="宋体" w:eastAsia="宋体" w:hint="default"/>
                <w:sz w:val="18"/>
                <w:szCs w:val="18"/>
              </w:rPr>
            </w:pPr>
            <w:r>
              <w:rPr>
                <w:rFonts w:ascii="宋体" w:hAnsi="宋体" w:cs="宋体" w:eastAsia="宋体" w:hint="default"/>
                <w:spacing w:val="-2"/>
                <w:sz w:val="18"/>
                <w:szCs w:val="18"/>
              </w:rPr>
              <w:t>人员、财务等方面与本承诺人控制的其他公司、企业（如有）完全</w:t>
            </w:r>
          </w:p>
          <w:p>
            <w:pPr>
              <w:pStyle w:val="TableParagraph"/>
              <w:spacing w:line="259" w:lineRule="auto" w:before="23"/>
              <w:ind w:left="23" w:right="20"/>
              <w:jc w:val="left"/>
              <w:rPr>
                <w:rFonts w:ascii="宋体" w:hAnsi="宋体" w:cs="宋体" w:eastAsia="宋体" w:hint="default"/>
                <w:sz w:val="18"/>
                <w:szCs w:val="18"/>
              </w:rPr>
            </w:pPr>
            <w:r>
              <w:rPr>
                <w:rFonts w:ascii="宋体" w:hAnsi="宋体" w:cs="宋体" w:eastAsia="宋体" w:hint="default"/>
                <w:sz w:val="18"/>
                <w:szCs w:val="18"/>
              </w:rPr>
              <w:t>分开，标的公司的业务、资产、人员、财务和机构独立。 </w:t>
            </w:r>
            <w:r>
              <w:rPr>
                <w:rFonts w:ascii="Times New Roman" w:hAnsi="Times New Roman" w:cs="Times New Roman" w:eastAsia="Times New Roman" w:hint="default"/>
                <w:sz w:val="18"/>
                <w:szCs w:val="18"/>
              </w:rPr>
              <w:t>2</w:t>
            </w:r>
            <w:r>
              <w:rPr>
                <w:rFonts w:ascii="宋体" w:hAnsi="宋体" w:cs="宋体" w:eastAsia="宋体" w:hint="default"/>
                <w:sz w:val="18"/>
                <w:szCs w:val="18"/>
              </w:rPr>
              <w:t>、本次交易完成后，本承诺人及本承诺人控制的其他公司、企业</w:t>
            </w:r>
            <w:r>
              <w:rPr>
                <w:rFonts w:ascii="宋体" w:hAnsi="宋体" w:cs="宋体" w:eastAsia="宋体" w:hint="default"/>
                <w:spacing w:val="-42"/>
                <w:sz w:val="18"/>
                <w:szCs w:val="18"/>
              </w:rPr>
              <w:t> </w:t>
            </w:r>
            <w:r>
              <w:rPr>
                <w:rFonts w:ascii="宋体" w:hAnsi="宋体" w:cs="宋体" w:eastAsia="宋体" w:hint="default"/>
                <w:spacing w:val="-42"/>
                <w:sz w:val="18"/>
                <w:szCs w:val="18"/>
              </w:rPr>
            </w:r>
            <w:r>
              <w:rPr>
                <w:rFonts w:ascii="宋体" w:hAnsi="宋体" w:cs="宋体" w:eastAsia="宋体" w:hint="default"/>
                <w:spacing w:val="-2"/>
                <w:sz w:val="18"/>
                <w:szCs w:val="18"/>
              </w:rPr>
              <w:t>不会利用茂业通信股东的身份影响茂业通信独立性，并尽可能保证</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茂业通信在业务、资产、机构、人员、财务的独立性。</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20"/>
                <w:szCs w:val="20"/>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年</w:t>
            </w:r>
          </w:p>
          <w:p>
            <w:pPr>
              <w:pStyle w:val="TableParagraph"/>
              <w:spacing w:line="240" w:lineRule="auto" w:before="10"/>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25"/>
                <w:sz w:val="18"/>
                <w:szCs w:val="18"/>
              </w:rPr>
              <w:t> </w:t>
            </w:r>
            <w:r>
              <w:rPr>
                <w:rFonts w:ascii="Times New Roman" w:hAnsi="Times New Roman" w:cs="Times New Roman" w:eastAsia="Times New Roman" w:hint="default"/>
                <w:sz w:val="18"/>
                <w:szCs w:val="18"/>
              </w:rPr>
              <w:t>12</w:t>
            </w:r>
          </w:p>
          <w:p>
            <w:pPr>
              <w:pStyle w:val="TableParagraph"/>
              <w:spacing w:line="240" w:lineRule="auto" w:before="12"/>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5"/>
                <w:szCs w:val="25"/>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5"/>
                <w:szCs w:val="25"/>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正常履行</w:t>
            </w: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tcBorders>
              <w:top w:val="nil" w:sz="6" w:space="0" w:color="auto"/>
              <w:left w:val="single" w:sz="4" w:space="0" w:color="000000"/>
              <w:bottom w:val="nil" w:sz="6" w:space="0" w:color="auto"/>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23" w:right="0"/>
              <w:jc w:val="left"/>
              <w:rPr>
                <w:rFonts w:ascii="宋体" w:hAnsi="宋体" w:cs="宋体" w:eastAsia="宋体" w:hint="default"/>
                <w:sz w:val="18"/>
                <w:szCs w:val="18"/>
              </w:rPr>
            </w:pPr>
            <w:r>
              <w:rPr>
                <w:rFonts w:ascii="宋体" w:hAnsi="宋体" w:cs="宋体" w:eastAsia="宋体" w:hint="default"/>
                <w:spacing w:val="4"/>
                <w:sz w:val="18"/>
                <w:szCs w:val="18"/>
              </w:rPr>
              <w:t>本承诺人若违反上述承诺，将承担因此给茂业通信造成的一切损</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tcBorders>
              <w:top w:val="nil" w:sz="6" w:space="0" w:color="auto"/>
              <w:left w:val="single" w:sz="4" w:space="0" w:color="000000"/>
              <w:bottom w:val="nil" w:sz="6" w:space="0" w:color="auto"/>
              <w:right w:val="single" w:sz="4" w:space="0" w:color="000000"/>
            </w:tcBorders>
          </w:tcPr>
          <w:p>
            <w:pPr/>
          </w:p>
        </w:tc>
        <w:tc>
          <w:tcPr>
            <w:tcW w:w="991" w:type="dxa"/>
            <w:tcBorders>
              <w:top w:val="nil" w:sz="6" w:space="0" w:color="auto"/>
              <w:left w:val="single" w:sz="4" w:space="0" w:color="000000"/>
              <w:bottom w:val="nil" w:sz="6" w:space="0" w:color="auto"/>
              <w:right w:val="single" w:sz="4" w:space="0" w:color="000000"/>
            </w:tcBorders>
          </w:tcPr>
          <w:p>
            <w:pPr/>
          </w:p>
        </w:tc>
      </w:tr>
      <w:tr>
        <w:trPr>
          <w:trHeight w:val="251" w:hRule="exact"/>
        </w:trPr>
        <w:tc>
          <w:tcPr>
            <w:tcW w:w="708" w:type="dxa"/>
            <w:tcBorders>
              <w:top w:val="nil" w:sz="6" w:space="0" w:color="auto"/>
              <w:left w:val="single" w:sz="4" w:space="0" w:color="000000"/>
              <w:bottom w:val="single" w:sz="4" w:space="0" w:color="000000"/>
              <w:right w:val="single" w:sz="4" w:space="0" w:color="000000"/>
            </w:tcBorders>
          </w:tcPr>
          <w:p>
            <w:pPr/>
          </w:p>
        </w:tc>
        <w:tc>
          <w:tcPr>
            <w:tcW w:w="852" w:type="dxa"/>
            <w:tcBorders>
              <w:top w:val="nil" w:sz="6" w:space="0" w:color="auto"/>
              <w:left w:val="single" w:sz="4" w:space="0" w:color="000000"/>
              <w:bottom w:val="single" w:sz="4" w:space="0" w:color="000000"/>
              <w:right w:val="single" w:sz="4" w:space="0" w:color="000000"/>
            </w:tcBorders>
          </w:tcPr>
          <w:p>
            <w:pPr/>
          </w:p>
        </w:tc>
        <w:tc>
          <w:tcPr>
            <w:tcW w:w="708" w:type="dxa"/>
            <w:tcBorders>
              <w:top w:val="nil" w:sz="6" w:space="0" w:color="auto"/>
              <w:left w:val="single" w:sz="4" w:space="0" w:color="000000"/>
              <w:bottom w:val="single" w:sz="4" w:space="0" w:color="000000"/>
              <w:right w:val="single" w:sz="4" w:space="0" w:color="000000"/>
            </w:tcBorders>
          </w:tcPr>
          <w:p>
            <w:pPr/>
          </w:p>
        </w:tc>
        <w:tc>
          <w:tcPr>
            <w:tcW w:w="5245" w:type="dxa"/>
            <w:tcBorders>
              <w:top w:val="nil" w:sz="6" w:space="0" w:color="auto"/>
              <w:left w:val="single" w:sz="4" w:space="0" w:color="000000"/>
              <w:bottom w:val="single" w:sz="4" w:space="0" w:color="000000"/>
              <w:right w:val="single" w:sz="4" w:space="0" w:color="000000"/>
            </w:tcBorders>
          </w:tcPr>
          <w:p>
            <w:pPr>
              <w:pStyle w:val="TableParagraph"/>
              <w:spacing w:line="221" w:lineRule="exact"/>
              <w:ind w:left="23" w:right="0"/>
              <w:jc w:val="left"/>
              <w:rPr>
                <w:rFonts w:ascii="宋体" w:hAnsi="宋体" w:cs="宋体" w:eastAsia="宋体" w:hint="default"/>
                <w:sz w:val="18"/>
                <w:szCs w:val="18"/>
              </w:rPr>
            </w:pPr>
            <w:r>
              <w:rPr>
                <w:rFonts w:ascii="宋体" w:hAnsi="宋体" w:cs="宋体" w:eastAsia="宋体" w:hint="default"/>
                <w:sz w:val="18"/>
                <w:szCs w:val="18"/>
              </w:rPr>
              <w:t>失。</w:t>
            </w:r>
          </w:p>
        </w:tc>
        <w:tc>
          <w:tcPr>
            <w:tcW w:w="710" w:type="dxa"/>
            <w:tcBorders>
              <w:top w:val="nil" w:sz="6" w:space="0" w:color="auto"/>
              <w:left w:val="single" w:sz="4" w:space="0" w:color="000000"/>
              <w:bottom w:val="single" w:sz="4" w:space="0" w:color="000000"/>
              <w:right w:val="single" w:sz="4" w:space="0" w:color="000000"/>
            </w:tcBorders>
          </w:tcPr>
          <w:p>
            <w:pPr/>
          </w:p>
        </w:tc>
        <w:tc>
          <w:tcPr>
            <w:tcW w:w="709" w:type="dxa"/>
            <w:tcBorders>
              <w:top w:val="nil" w:sz="6" w:space="0" w:color="auto"/>
              <w:left w:val="single" w:sz="4" w:space="0" w:color="000000"/>
              <w:bottom w:val="single" w:sz="4" w:space="0" w:color="000000"/>
              <w:right w:val="single" w:sz="4" w:space="0" w:color="000000"/>
            </w:tcBorders>
          </w:tcPr>
          <w:p>
            <w:pPr/>
          </w:p>
        </w:tc>
        <w:tc>
          <w:tcPr>
            <w:tcW w:w="991" w:type="dxa"/>
            <w:tcBorders>
              <w:top w:val="nil" w:sz="6" w:space="0" w:color="auto"/>
              <w:left w:val="single" w:sz="4" w:space="0" w:color="000000"/>
              <w:bottom w:val="single" w:sz="4" w:space="0" w:color="000000"/>
              <w:right w:val="single" w:sz="4" w:space="0" w:color="000000"/>
            </w:tcBorders>
          </w:tcPr>
          <w:p>
            <w:pPr/>
          </w:p>
        </w:tc>
      </w:tr>
      <w:tr>
        <w:trPr>
          <w:trHeight w:val="271"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年</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23" w:right="0"/>
              <w:jc w:val="left"/>
              <w:rPr>
                <w:rFonts w:ascii="宋体" w:hAnsi="宋体" w:cs="宋体" w:eastAsia="宋体" w:hint="default"/>
                <w:sz w:val="18"/>
                <w:szCs w:val="18"/>
              </w:rPr>
            </w:pPr>
            <w:r>
              <w:rPr>
                <w:rFonts w:ascii="宋体" w:hAnsi="宋体" w:cs="宋体" w:eastAsia="宋体" w:hint="default"/>
                <w:spacing w:val="18"/>
                <w:sz w:val="18"/>
                <w:szCs w:val="18"/>
              </w:rPr>
              <w:t>刘英魁、</w:t>
            </w:r>
            <w:r>
              <w:rPr>
                <w:rFonts w:ascii="宋体" w:hAnsi="宋体" w:cs="宋体" w:eastAsia="宋体" w:hint="default"/>
                <w:spacing w:val="-66"/>
                <w:sz w:val="18"/>
                <w:szCs w:val="18"/>
              </w:rPr>
              <w:t> </w:t>
            </w:r>
            <w:r>
              <w:rPr>
                <w:rFonts w:ascii="宋体" w:hAnsi="宋体" w:cs="宋体" w:eastAsia="宋体" w:hint="default"/>
                <w:sz w:val="18"/>
                <w:szCs w:val="18"/>
              </w:rPr>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2" w:right="0"/>
              <w:jc w:val="center"/>
              <w:rPr>
                <w:rFonts w:ascii="宋体" w:hAnsi="宋体" w:cs="宋体" w:eastAsia="宋体" w:hint="default"/>
                <w:sz w:val="18"/>
                <w:szCs w:val="18"/>
              </w:rPr>
            </w:pPr>
            <w:r>
              <w:rPr>
                <w:rFonts w:ascii="宋体" w:hAnsi="宋体" w:cs="宋体" w:eastAsia="宋体" w:hint="default"/>
                <w:sz w:val="18"/>
                <w:szCs w:val="18"/>
              </w:rPr>
              <w:t>长期</w:t>
            </w:r>
          </w:p>
        </w:tc>
        <w:tc>
          <w:tcPr>
            <w:tcW w:w="5245"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23" w:right="0"/>
              <w:jc w:val="left"/>
              <w:rPr>
                <w:rFonts w:ascii="宋体" w:hAnsi="宋体" w:cs="宋体" w:eastAsia="宋体" w:hint="default"/>
                <w:sz w:val="18"/>
                <w:szCs w:val="18"/>
              </w:rPr>
            </w:pPr>
            <w:r>
              <w:rPr>
                <w:rFonts w:ascii="宋体" w:hAnsi="宋体" w:cs="宋体" w:eastAsia="宋体" w:hint="default"/>
                <w:sz w:val="18"/>
                <w:szCs w:val="18"/>
              </w:rPr>
              <w:t>关于提供信息的真实性、准确性和完整性的承诺</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年</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23" w:right="0"/>
              <w:jc w:val="left"/>
              <w:rPr>
                <w:rFonts w:ascii="宋体" w:hAnsi="宋体" w:cs="宋体" w:eastAsia="宋体" w:hint="default"/>
                <w:sz w:val="18"/>
                <w:szCs w:val="18"/>
              </w:rPr>
            </w:pPr>
            <w:r>
              <w:rPr>
                <w:rFonts w:ascii="宋体" w:hAnsi="宋体" w:cs="宋体" w:eastAsia="宋体" w:hint="default"/>
                <w:sz w:val="18"/>
                <w:szCs w:val="18"/>
              </w:rPr>
              <w:t>长期</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ind w:left="2" w:right="0"/>
              <w:jc w:val="center"/>
              <w:rPr>
                <w:rFonts w:ascii="宋体" w:hAnsi="宋体" w:cs="宋体" w:eastAsia="宋体" w:hint="default"/>
                <w:sz w:val="18"/>
                <w:szCs w:val="18"/>
              </w:rPr>
            </w:pPr>
            <w:r>
              <w:rPr>
                <w:rFonts w:ascii="宋体" w:hAnsi="宋体" w:cs="宋体" w:eastAsia="宋体" w:hint="default"/>
                <w:sz w:val="18"/>
                <w:szCs w:val="18"/>
              </w:rPr>
              <w:t>正常履行</w:t>
            </w:r>
          </w:p>
        </w:tc>
      </w:tr>
    </w:tbl>
    <w:p>
      <w:pPr>
        <w:spacing w:after="0" w:line="234" w:lineRule="exact"/>
        <w:jc w:val="center"/>
        <w:rPr>
          <w:rFonts w:ascii="宋体" w:hAnsi="宋体" w:cs="宋体" w:eastAsia="宋体" w:hint="default"/>
          <w:sz w:val="18"/>
          <w:szCs w:val="18"/>
        </w:rPr>
        <w:sectPr>
          <w:pgSz w:w="11910" w:h="16840"/>
          <w:pgMar w:header="880" w:footer="975" w:top="1100" w:bottom="1160" w:left="880" w:right="0"/>
        </w:sectPr>
      </w:pPr>
    </w:p>
    <w:p>
      <w:pPr>
        <w:spacing w:line="240" w:lineRule="auto" w:before="11"/>
        <w:rPr>
          <w:rFonts w:ascii="Times New Roman" w:hAnsi="Times New Roman" w:cs="Times New Roman" w:eastAsia="Times New Roman" w:hint="default"/>
          <w:sz w:val="27"/>
          <w:szCs w:val="27"/>
        </w:rPr>
      </w:pPr>
    </w:p>
    <w:tbl>
      <w:tblPr>
        <w:tblW w:w="0" w:type="auto"/>
        <w:jc w:val="left"/>
        <w:tblInd w:w="106" w:type="dxa"/>
        <w:tblLayout w:type="fixed"/>
        <w:tblCellMar>
          <w:top w:w="0" w:type="dxa"/>
          <w:left w:w="0" w:type="dxa"/>
          <w:bottom w:w="0" w:type="dxa"/>
          <w:right w:w="0" w:type="dxa"/>
        </w:tblCellMar>
        <w:tblLook w:val="01E0"/>
      </w:tblPr>
      <w:tblGrid>
        <w:gridCol w:w="708"/>
        <w:gridCol w:w="852"/>
        <w:gridCol w:w="708"/>
        <w:gridCol w:w="5245"/>
        <w:gridCol w:w="710"/>
        <w:gridCol w:w="709"/>
        <w:gridCol w:w="991"/>
      </w:tblGrid>
      <w:tr>
        <w:trPr>
          <w:trHeight w:val="285" w:hRule="exact"/>
        </w:trPr>
        <w:tc>
          <w:tcPr>
            <w:tcW w:w="708" w:type="dxa"/>
            <w:tcBorders>
              <w:top w:val="single" w:sz="4" w:space="0" w:color="000000"/>
              <w:left w:val="single" w:sz="4" w:space="0" w:color="000000"/>
              <w:bottom w:val="nil" w:sz="6" w:space="0" w:color="auto"/>
              <w:right w:val="single" w:sz="4" w:space="0" w:color="000000"/>
            </w:tcBorders>
          </w:tcPr>
          <w:p>
            <w:pPr>
              <w:pStyle w:val="TableParagraph"/>
              <w:spacing w:line="234" w:lineRule="exact"/>
              <w:ind w:left="24" w:right="-38"/>
              <w:jc w:val="left"/>
              <w:rPr>
                <w:rFonts w:ascii="宋体" w:hAnsi="宋体" w:cs="宋体" w:eastAsia="宋体" w:hint="default"/>
                <w:sz w:val="18"/>
                <w:szCs w:val="18"/>
              </w:rPr>
            </w:pPr>
            <w:r>
              <w:rPr>
                <w:rFonts w:ascii="宋体" w:hAnsi="宋体" w:cs="宋体" w:eastAsia="宋体" w:hint="default"/>
                <w:spacing w:val="38"/>
                <w:sz w:val="18"/>
                <w:szCs w:val="18"/>
              </w:rPr>
              <w:t>重大资</w:t>
            </w:r>
            <w:r>
              <w:rPr>
                <w:rFonts w:ascii="宋体" w:hAnsi="宋体" w:cs="宋体" w:eastAsia="宋体" w:hint="default"/>
                <w:spacing w:val="-33"/>
                <w:sz w:val="18"/>
                <w:szCs w:val="18"/>
              </w:rPr>
              <w:t> </w:t>
            </w:r>
            <w:r>
              <w:rPr>
                <w:rFonts w:ascii="宋体" w:hAnsi="宋体" w:cs="宋体" w:eastAsia="宋体" w:hint="default"/>
                <w:sz w:val="18"/>
                <w:szCs w:val="18"/>
              </w:rPr>
            </w:r>
          </w:p>
        </w:tc>
        <w:tc>
          <w:tcPr>
            <w:tcW w:w="852" w:type="dxa"/>
            <w:tcBorders>
              <w:top w:val="single" w:sz="4" w:space="0" w:color="000000"/>
              <w:left w:val="single" w:sz="4" w:space="0" w:color="000000"/>
              <w:bottom w:val="nil" w:sz="6" w:space="0" w:color="auto"/>
              <w:right w:val="single" w:sz="4" w:space="0" w:color="000000"/>
            </w:tcBorders>
          </w:tcPr>
          <w:p>
            <w:pPr>
              <w:pStyle w:val="TableParagraph"/>
              <w:spacing w:line="234" w:lineRule="exact"/>
              <w:ind w:left="23" w:right="0"/>
              <w:jc w:val="left"/>
              <w:rPr>
                <w:rFonts w:ascii="宋体" w:hAnsi="宋体" w:cs="宋体" w:eastAsia="宋体" w:hint="default"/>
                <w:sz w:val="18"/>
                <w:szCs w:val="18"/>
              </w:rPr>
            </w:pPr>
            <w:r>
              <w:rPr>
                <w:rFonts w:ascii="宋体" w:hAnsi="宋体" w:cs="宋体" w:eastAsia="宋体" w:hint="default"/>
                <w:sz w:val="18"/>
                <w:szCs w:val="18"/>
              </w:rPr>
              <w:t>嘉 语</w:t>
            </w:r>
            <w:r>
              <w:rPr>
                <w:rFonts w:ascii="宋体" w:hAnsi="宋体" w:cs="宋体" w:eastAsia="宋体" w:hint="default"/>
                <w:spacing w:val="74"/>
                <w:sz w:val="18"/>
                <w:szCs w:val="18"/>
              </w:rPr>
              <w:t> </w:t>
            </w:r>
            <w:r>
              <w:rPr>
                <w:rFonts w:ascii="宋体" w:hAnsi="宋体" w:cs="宋体" w:eastAsia="宋体" w:hint="default"/>
                <w:sz w:val="18"/>
                <w:szCs w:val="18"/>
              </w:rPr>
              <w:t>春</w:t>
            </w:r>
          </w:p>
        </w:tc>
        <w:tc>
          <w:tcPr>
            <w:tcW w:w="708" w:type="dxa"/>
            <w:vMerge w:val="restart"/>
            <w:tcBorders>
              <w:top w:val="single" w:sz="4" w:space="0" w:color="000000"/>
              <w:left w:val="single" w:sz="4" w:space="0" w:color="000000"/>
              <w:right w:val="single" w:sz="4" w:space="0" w:color="000000"/>
            </w:tcBorders>
          </w:tcPr>
          <w:p>
            <w:pPr/>
          </w:p>
        </w:tc>
        <w:tc>
          <w:tcPr>
            <w:tcW w:w="5245" w:type="dxa"/>
            <w:tcBorders>
              <w:top w:val="single" w:sz="4" w:space="0" w:color="000000"/>
              <w:left w:val="single" w:sz="4" w:space="0" w:color="000000"/>
              <w:bottom w:val="nil" w:sz="6" w:space="0" w:color="auto"/>
              <w:right w:val="single" w:sz="4" w:space="0" w:color="000000"/>
            </w:tcBorders>
          </w:tcPr>
          <w:p>
            <w:pPr>
              <w:pStyle w:val="TableParagraph"/>
              <w:spacing w:line="248" w:lineRule="exact"/>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、本承诺人为本次交易所提供的有关信息真实、准确和完整，不</w:t>
            </w:r>
          </w:p>
        </w:tc>
        <w:tc>
          <w:tcPr>
            <w:tcW w:w="710" w:type="dxa"/>
            <w:tcBorders>
              <w:top w:val="single" w:sz="4" w:space="0" w:color="000000"/>
              <w:left w:val="single" w:sz="4" w:space="0" w:color="000000"/>
              <w:bottom w:val="nil" w:sz="6" w:space="0" w:color="auto"/>
              <w:right w:val="single" w:sz="4" w:space="0" w:color="000000"/>
            </w:tcBorders>
          </w:tcPr>
          <w:p>
            <w:pPr>
              <w:pStyle w:val="TableParagraph"/>
              <w:spacing w:line="248" w:lineRule="exact"/>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25"/>
                <w:sz w:val="18"/>
                <w:szCs w:val="18"/>
              </w:rPr>
              <w:t> </w:t>
            </w:r>
            <w:r>
              <w:rPr>
                <w:rFonts w:ascii="Times New Roman" w:hAnsi="Times New Roman" w:cs="Times New Roman" w:eastAsia="Times New Roman" w:hint="default"/>
                <w:sz w:val="18"/>
                <w:szCs w:val="18"/>
              </w:rPr>
              <w:t>12</w:t>
            </w:r>
          </w:p>
        </w:tc>
        <w:tc>
          <w:tcPr>
            <w:tcW w:w="709" w:type="dxa"/>
            <w:vMerge w:val="restart"/>
            <w:tcBorders>
              <w:top w:val="single" w:sz="4" w:space="0" w:color="000000"/>
              <w:left w:val="single" w:sz="4" w:space="0" w:color="000000"/>
              <w:right w:val="single" w:sz="4" w:space="0" w:color="000000"/>
            </w:tcBorders>
          </w:tcPr>
          <w:p>
            <w:pPr/>
          </w:p>
        </w:tc>
        <w:tc>
          <w:tcPr>
            <w:tcW w:w="991" w:type="dxa"/>
            <w:vMerge w:val="restart"/>
            <w:tcBorders>
              <w:top w:val="single" w:sz="4" w:space="0" w:color="000000"/>
              <w:left w:val="single" w:sz="4" w:space="0" w:color="000000"/>
              <w:right w:val="single" w:sz="4" w:space="0" w:color="000000"/>
            </w:tcBorders>
          </w:tcPr>
          <w:p>
            <w:pPr/>
          </w:p>
        </w:tc>
      </w:tr>
      <w:tr>
        <w:trPr>
          <w:trHeight w:val="256"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16" w:lineRule="exact"/>
              <w:ind w:left="24" w:right="-38"/>
              <w:jc w:val="left"/>
              <w:rPr>
                <w:rFonts w:ascii="宋体" w:hAnsi="宋体" w:cs="宋体" w:eastAsia="宋体" w:hint="default"/>
                <w:sz w:val="18"/>
                <w:szCs w:val="18"/>
              </w:rPr>
            </w:pPr>
            <w:r>
              <w:rPr>
                <w:rFonts w:ascii="宋体" w:hAnsi="宋体" w:cs="宋体" w:eastAsia="宋体" w:hint="default"/>
                <w:spacing w:val="38"/>
                <w:sz w:val="18"/>
                <w:szCs w:val="18"/>
              </w:rPr>
              <w:t>产收购</w:t>
            </w:r>
            <w:r>
              <w:rPr>
                <w:rFonts w:ascii="宋体" w:hAnsi="宋体" w:cs="宋体" w:eastAsia="宋体" w:hint="default"/>
                <w:spacing w:val="-33"/>
                <w:sz w:val="18"/>
                <w:szCs w:val="18"/>
              </w:rPr>
              <w:t> </w:t>
            </w:r>
            <w:r>
              <w:rPr>
                <w:rFonts w:ascii="宋体" w:hAnsi="宋体" w:cs="宋体" w:eastAsia="宋体" w:hint="default"/>
                <w:sz w:val="18"/>
                <w:szCs w:val="18"/>
              </w:rPr>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16" w:lineRule="exact"/>
              <w:ind w:left="23" w:right="0"/>
              <w:jc w:val="left"/>
              <w:rPr>
                <w:rFonts w:ascii="宋体" w:hAnsi="宋体" w:cs="宋体" w:eastAsia="宋体" w:hint="default"/>
                <w:sz w:val="18"/>
                <w:szCs w:val="18"/>
              </w:rPr>
            </w:pPr>
            <w:r>
              <w:rPr>
                <w:rFonts w:ascii="宋体" w:hAnsi="宋体" w:cs="宋体" w:eastAsia="宋体" w:hint="default"/>
                <w:spacing w:val="18"/>
                <w:sz w:val="18"/>
                <w:szCs w:val="18"/>
              </w:rPr>
              <w:t>华、嘉惠</w:t>
            </w:r>
            <w:r>
              <w:rPr>
                <w:rFonts w:ascii="宋体" w:hAnsi="宋体" w:cs="宋体" w:eastAsia="宋体" w:hint="default"/>
                <w:spacing w:val="-66"/>
                <w:sz w:val="18"/>
                <w:szCs w:val="18"/>
              </w:rPr>
              <w:t> </w:t>
            </w:r>
            <w:r>
              <w:rPr>
                <w:rFonts w:ascii="宋体" w:hAnsi="宋体" w:cs="宋体" w:eastAsia="宋体" w:hint="default"/>
                <w:sz w:val="18"/>
                <w:szCs w:val="18"/>
              </w:rPr>
            </w: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6" w:lineRule="exact"/>
              <w:ind w:left="23" w:right="0"/>
              <w:jc w:val="left"/>
              <w:rPr>
                <w:rFonts w:ascii="宋体" w:hAnsi="宋体" w:cs="宋体" w:eastAsia="宋体" w:hint="default"/>
                <w:sz w:val="18"/>
                <w:szCs w:val="18"/>
              </w:rPr>
            </w:pPr>
            <w:r>
              <w:rPr>
                <w:rFonts w:ascii="宋体" w:hAnsi="宋体" w:cs="宋体" w:eastAsia="宋体" w:hint="default"/>
                <w:sz w:val="18"/>
                <w:szCs w:val="18"/>
              </w:rPr>
              <w:t>存在任何虚假记载、误导性陈述或者重大遗漏；</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16" w:lineRule="exact"/>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64"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24" w:right="-38"/>
              <w:jc w:val="left"/>
              <w:rPr>
                <w:rFonts w:ascii="宋体" w:hAnsi="宋体" w:cs="宋体" w:eastAsia="宋体" w:hint="default"/>
                <w:sz w:val="18"/>
                <w:szCs w:val="18"/>
              </w:rPr>
            </w:pPr>
            <w:r>
              <w:rPr>
                <w:rFonts w:ascii="宋体" w:hAnsi="宋体" w:cs="宋体" w:eastAsia="宋体" w:hint="default"/>
                <w:spacing w:val="38"/>
                <w:sz w:val="18"/>
                <w:szCs w:val="18"/>
              </w:rPr>
              <w:t>时所作</w:t>
            </w:r>
            <w:r>
              <w:rPr>
                <w:rFonts w:ascii="宋体" w:hAnsi="宋体" w:cs="宋体" w:eastAsia="宋体" w:hint="default"/>
                <w:spacing w:val="-33"/>
                <w:sz w:val="18"/>
                <w:szCs w:val="18"/>
              </w:rPr>
              <w:t> </w:t>
            </w:r>
            <w:r>
              <w:rPr>
                <w:rFonts w:ascii="宋体" w:hAnsi="宋体" w:cs="宋体" w:eastAsia="宋体" w:hint="default"/>
                <w:sz w:val="18"/>
                <w:szCs w:val="18"/>
              </w:rPr>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23" w:right="0"/>
              <w:jc w:val="left"/>
              <w:rPr>
                <w:rFonts w:ascii="宋体" w:hAnsi="宋体" w:cs="宋体" w:eastAsia="宋体" w:hint="default"/>
                <w:sz w:val="18"/>
                <w:szCs w:val="18"/>
              </w:rPr>
            </w:pPr>
            <w:r>
              <w:rPr>
                <w:rFonts w:ascii="宋体" w:hAnsi="宋体" w:cs="宋体" w:eastAsia="宋体" w:hint="default"/>
                <w:sz w:val="18"/>
                <w:szCs w:val="18"/>
              </w:rPr>
              <w:t>秋实</w:t>
            </w: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23" w:right="0"/>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、本承诺人向参与本次交易的</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55" w:hRule="exact"/>
        </w:trPr>
        <w:tc>
          <w:tcPr>
            <w:tcW w:w="708"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24" w:right="0"/>
              <w:jc w:val="left"/>
              <w:rPr>
                <w:rFonts w:ascii="宋体" w:hAnsi="宋体" w:cs="宋体" w:eastAsia="宋体" w:hint="default"/>
                <w:sz w:val="18"/>
                <w:szCs w:val="18"/>
              </w:rPr>
            </w:pPr>
            <w:r>
              <w:rPr>
                <w:rFonts w:ascii="宋体" w:hAnsi="宋体" w:cs="宋体" w:eastAsia="宋体" w:hint="default"/>
                <w:sz w:val="18"/>
                <w:szCs w:val="18"/>
              </w:rPr>
              <w:t>承诺</w:t>
            </w: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23" w:right="0"/>
              <w:jc w:val="left"/>
              <w:rPr>
                <w:rFonts w:ascii="宋体" w:hAnsi="宋体" w:cs="宋体" w:eastAsia="宋体" w:hint="default"/>
                <w:sz w:val="18"/>
                <w:szCs w:val="18"/>
              </w:rPr>
            </w:pPr>
            <w:r>
              <w:rPr>
                <w:rFonts w:ascii="宋体" w:hAnsi="宋体" w:cs="宋体" w:eastAsia="宋体" w:hint="default"/>
                <w:spacing w:val="-2"/>
                <w:sz w:val="18"/>
                <w:szCs w:val="18"/>
              </w:rPr>
              <w:t>准确、完整的原始书面资料或副本资料，资料副本或复印件与其原</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23" w:right="0"/>
              <w:jc w:val="left"/>
              <w:rPr>
                <w:rFonts w:ascii="宋体" w:hAnsi="宋体" w:cs="宋体" w:eastAsia="宋体" w:hint="default"/>
                <w:sz w:val="18"/>
                <w:szCs w:val="18"/>
              </w:rPr>
            </w:pPr>
            <w:r>
              <w:rPr>
                <w:rFonts w:ascii="宋体" w:hAnsi="宋体" w:cs="宋体" w:eastAsia="宋体" w:hint="default"/>
                <w:spacing w:val="-2"/>
                <w:sz w:val="18"/>
                <w:szCs w:val="18"/>
              </w:rPr>
              <w:t>始资料或原件一致；所有文件的签名、印章均是真实的，不存在任</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59"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23" w:right="0"/>
              <w:jc w:val="left"/>
              <w:rPr>
                <w:rFonts w:ascii="宋体" w:hAnsi="宋体" w:cs="宋体" w:eastAsia="宋体" w:hint="default"/>
                <w:sz w:val="18"/>
                <w:szCs w:val="18"/>
              </w:rPr>
            </w:pPr>
            <w:r>
              <w:rPr>
                <w:rFonts w:ascii="宋体" w:hAnsi="宋体" w:cs="宋体" w:eastAsia="宋体" w:hint="default"/>
                <w:sz w:val="18"/>
                <w:szCs w:val="18"/>
              </w:rPr>
              <w:t>何虚假记载、误导性陈述或者重大遗漏；</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6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、本承诺人为本次交易所出具的说明及确认均为真实、准确和完</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5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6" w:lineRule="exact"/>
              <w:ind w:left="23" w:right="0"/>
              <w:jc w:val="left"/>
              <w:rPr>
                <w:rFonts w:ascii="宋体" w:hAnsi="宋体" w:cs="宋体" w:eastAsia="宋体" w:hint="default"/>
                <w:sz w:val="18"/>
                <w:szCs w:val="18"/>
              </w:rPr>
            </w:pPr>
            <w:r>
              <w:rPr>
                <w:rFonts w:ascii="宋体" w:hAnsi="宋体" w:cs="宋体" w:eastAsia="宋体" w:hint="default"/>
                <w:sz w:val="18"/>
                <w:szCs w:val="18"/>
              </w:rPr>
              <w:t>整的，不存在任何虚假记载、误导性陈述或者重大遗漏。</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64"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33" w:lineRule="exact"/>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、如本次交易所提供或披露的信息涉嫌虚假记载、误导性陈述或</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55"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15" w:lineRule="exact"/>
              <w:ind w:left="23" w:right="-9"/>
              <w:jc w:val="left"/>
              <w:rPr>
                <w:rFonts w:ascii="宋体" w:hAnsi="宋体" w:cs="宋体" w:eastAsia="宋体" w:hint="default"/>
                <w:sz w:val="18"/>
                <w:szCs w:val="18"/>
              </w:rPr>
            </w:pPr>
            <w:r>
              <w:rPr>
                <w:rFonts w:ascii="宋体" w:hAnsi="宋体" w:cs="宋体" w:eastAsia="宋体" w:hint="default"/>
                <w:sz w:val="18"/>
                <w:szCs w:val="18"/>
              </w:rPr>
              <w:t>者重大遗漏，被司法机关立案侦查或者被中国证监会立案调查的，</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23" w:right="0"/>
              <w:jc w:val="left"/>
              <w:rPr>
                <w:rFonts w:ascii="宋体" w:hAnsi="宋体" w:cs="宋体" w:eastAsia="宋体" w:hint="default"/>
                <w:sz w:val="18"/>
                <w:szCs w:val="18"/>
              </w:rPr>
            </w:pPr>
            <w:r>
              <w:rPr>
                <w:rFonts w:ascii="宋体" w:hAnsi="宋体" w:cs="宋体" w:eastAsia="宋体" w:hint="default"/>
                <w:spacing w:val="4"/>
                <w:sz w:val="18"/>
                <w:szCs w:val="18"/>
              </w:rPr>
              <w:t>在形成调查结论以前，本承诺人不转让在茂业通信拥有权益的股</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59"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23" w:right="0"/>
              <w:jc w:val="left"/>
              <w:rPr>
                <w:rFonts w:ascii="宋体" w:hAnsi="宋体" w:cs="宋体" w:eastAsia="宋体" w:hint="default"/>
                <w:sz w:val="18"/>
                <w:szCs w:val="18"/>
              </w:rPr>
            </w:pPr>
            <w:r>
              <w:rPr>
                <w:rFonts w:ascii="宋体" w:hAnsi="宋体" w:cs="宋体" w:eastAsia="宋体" w:hint="default"/>
                <w:spacing w:val="-2"/>
                <w:sz w:val="18"/>
                <w:szCs w:val="18"/>
              </w:rPr>
              <w:t>份，并于收到立案稽查通知的两个交易日内将暂停转让的书面申请</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23" w:right="0"/>
              <w:jc w:val="left"/>
              <w:rPr>
                <w:rFonts w:ascii="宋体" w:hAnsi="宋体" w:cs="宋体" w:eastAsia="宋体" w:hint="default"/>
                <w:sz w:val="18"/>
                <w:szCs w:val="18"/>
              </w:rPr>
            </w:pPr>
            <w:r>
              <w:rPr>
                <w:rFonts w:ascii="宋体" w:hAnsi="宋体" w:cs="宋体" w:eastAsia="宋体" w:hint="default"/>
                <w:spacing w:val="-2"/>
                <w:sz w:val="18"/>
                <w:szCs w:val="18"/>
              </w:rPr>
              <w:t>和股票账户提交茂业通信董事会，由茂业通信董事会代本承诺人向</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23" w:right="0"/>
              <w:jc w:val="left"/>
              <w:rPr>
                <w:rFonts w:ascii="宋体" w:hAnsi="宋体" w:cs="宋体" w:eastAsia="宋体" w:hint="default"/>
                <w:sz w:val="18"/>
                <w:szCs w:val="18"/>
              </w:rPr>
            </w:pPr>
            <w:r>
              <w:rPr>
                <w:rFonts w:ascii="宋体" w:hAnsi="宋体" w:cs="宋体" w:eastAsia="宋体" w:hint="default"/>
                <w:spacing w:val="-2"/>
                <w:sz w:val="18"/>
                <w:szCs w:val="18"/>
              </w:rPr>
              <w:t>证券交易所和登记结算公司申请锁定；未在两个交易日内提交锁定</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59"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23" w:right="0"/>
              <w:jc w:val="left"/>
              <w:rPr>
                <w:rFonts w:ascii="宋体" w:hAnsi="宋体" w:cs="宋体" w:eastAsia="宋体" w:hint="default"/>
                <w:sz w:val="18"/>
                <w:szCs w:val="18"/>
              </w:rPr>
            </w:pPr>
            <w:r>
              <w:rPr>
                <w:rFonts w:ascii="宋体" w:hAnsi="宋体" w:cs="宋体" w:eastAsia="宋体" w:hint="default"/>
                <w:spacing w:val="-2"/>
                <w:sz w:val="18"/>
                <w:szCs w:val="18"/>
              </w:rPr>
              <w:t>申请的，授权茂业通信董事会核实后直接向证券交易所和登记结算</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61"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23" w:right="0"/>
              <w:jc w:val="left"/>
              <w:rPr>
                <w:rFonts w:ascii="宋体" w:hAnsi="宋体" w:cs="宋体" w:eastAsia="宋体" w:hint="default"/>
                <w:sz w:val="18"/>
                <w:szCs w:val="18"/>
              </w:rPr>
            </w:pPr>
            <w:r>
              <w:rPr>
                <w:rFonts w:ascii="宋体" w:hAnsi="宋体" w:cs="宋体" w:eastAsia="宋体" w:hint="default"/>
                <w:spacing w:val="-2"/>
                <w:sz w:val="18"/>
                <w:szCs w:val="18"/>
              </w:rPr>
              <w:t>公司报送本承诺人的基本信息和账户信息并申请锁定；茂业通信董</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61"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23" w:right="0"/>
              <w:jc w:val="left"/>
              <w:rPr>
                <w:rFonts w:ascii="宋体" w:hAnsi="宋体" w:cs="宋体" w:eastAsia="宋体" w:hint="default"/>
                <w:sz w:val="18"/>
                <w:szCs w:val="18"/>
              </w:rPr>
            </w:pPr>
            <w:r>
              <w:rPr>
                <w:rFonts w:ascii="宋体" w:hAnsi="宋体" w:cs="宋体" w:eastAsia="宋体" w:hint="default"/>
                <w:spacing w:val="5"/>
                <w:sz w:val="18"/>
                <w:szCs w:val="18"/>
              </w:rPr>
              <w:t>事会未向证券交易所和登记结算公司报送本承诺人的基本信息和</w:t>
            </w:r>
            <w:r>
              <w:rPr>
                <w:rFonts w:ascii="宋体" w:hAnsi="宋体" w:cs="宋体" w:eastAsia="宋体" w:hint="default"/>
                <w:sz w:val="18"/>
                <w:szCs w:val="18"/>
              </w:rPr>
            </w:r>
          </w:p>
        </w:tc>
        <w:tc>
          <w:tcPr>
            <w:tcW w:w="710" w:type="dxa"/>
            <w:tcBorders>
              <w:top w:val="nil" w:sz="6" w:space="0" w:color="auto"/>
              <w:left w:val="single" w:sz="4" w:space="0" w:color="000000"/>
              <w:bottom w:val="nil" w:sz="6" w:space="0" w:color="auto"/>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59"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23" w:right="-9"/>
              <w:jc w:val="left"/>
              <w:rPr>
                <w:rFonts w:ascii="宋体" w:hAnsi="宋体" w:cs="宋体" w:eastAsia="宋体" w:hint="default"/>
                <w:sz w:val="18"/>
                <w:szCs w:val="18"/>
              </w:rPr>
            </w:pPr>
            <w:r>
              <w:rPr>
                <w:rFonts w:ascii="宋体" w:hAnsi="宋体" w:cs="宋体" w:eastAsia="宋体" w:hint="default"/>
                <w:sz w:val="18"/>
                <w:szCs w:val="18"/>
              </w:rPr>
              <w:t>账户信息的，授权证券交易所和登记结算公司直接锁定相关股份。</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23" w:right="0"/>
              <w:jc w:val="left"/>
              <w:rPr>
                <w:rFonts w:ascii="宋体" w:hAnsi="宋体" w:cs="宋体" w:eastAsia="宋体" w:hint="default"/>
                <w:sz w:val="18"/>
                <w:szCs w:val="18"/>
              </w:rPr>
            </w:pPr>
            <w:r>
              <w:rPr>
                <w:rFonts w:ascii="宋体" w:hAnsi="宋体" w:cs="宋体" w:eastAsia="宋体" w:hint="default"/>
                <w:spacing w:val="-2"/>
                <w:sz w:val="18"/>
                <w:szCs w:val="18"/>
              </w:rPr>
              <w:t>如调查结论发现存在违法违规情节，本承诺人承诺锁定股份自愿用</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1" w:lineRule="exact"/>
              <w:ind w:left="23" w:right="0"/>
              <w:jc w:val="left"/>
              <w:rPr>
                <w:rFonts w:ascii="宋体" w:hAnsi="宋体" w:cs="宋体" w:eastAsia="宋体" w:hint="default"/>
                <w:sz w:val="18"/>
                <w:szCs w:val="18"/>
              </w:rPr>
            </w:pPr>
            <w:r>
              <w:rPr>
                <w:rFonts w:ascii="宋体" w:hAnsi="宋体" w:cs="宋体" w:eastAsia="宋体" w:hint="default"/>
                <w:sz w:val="18"/>
                <w:szCs w:val="18"/>
              </w:rPr>
              <w:t>于相关投资者赔偿安排。</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59"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23" w:right="0"/>
              <w:jc w:val="left"/>
              <w:rPr>
                <w:rFonts w:ascii="宋体" w:hAnsi="宋体" w:cs="宋体" w:eastAsia="宋体" w:hint="default"/>
                <w:sz w:val="18"/>
                <w:szCs w:val="18"/>
              </w:rPr>
            </w:pPr>
            <w:r>
              <w:rPr>
                <w:rFonts w:ascii="宋体" w:hAnsi="宋体" w:cs="宋体" w:eastAsia="宋体" w:hint="default"/>
                <w:spacing w:val="-2"/>
                <w:sz w:val="18"/>
                <w:szCs w:val="18"/>
              </w:rPr>
              <w:t>本承诺人同意对本承诺人所提供信息的真实性、准确性和完整性承</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60" w:hRule="exact"/>
        </w:trPr>
        <w:tc>
          <w:tcPr>
            <w:tcW w:w="708" w:type="dxa"/>
            <w:tcBorders>
              <w:top w:val="nil" w:sz="6" w:space="0" w:color="auto"/>
              <w:left w:val="single" w:sz="4" w:space="0" w:color="000000"/>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708" w:type="dxa"/>
            <w:vMerge/>
            <w:tcBorders>
              <w:left w:val="single" w:sz="4" w:space="0" w:color="000000"/>
              <w:right w:val="single" w:sz="4" w:space="0" w:color="000000"/>
            </w:tcBorders>
          </w:tcPr>
          <w:p>
            <w:pPr/>
          </w:p>
        </w:tc>
        <w:tc>
          <w:tcPr>
            <w:tcW w:w="5245" w:type="dxa"/>
            <w:tcBorders>
              <w:top w:val="nil" w:sz="6" w:space="0" w:color="auto"/>
              <w:left w:val="single" w:sz="4" w:space="0" w:color="000000"/>
              <w:bottom w:val="nil" w:sz="6" w:space="0" w:color="auto"/>
              <w:right w:val="single" w:sz="4" w:space="0" w:color="000000"/>
            </w:tcBorders>
          </w:tcPr>
          <w:p>
            <w:pPr>
              <w:pStyle w:val="TableParagraph"/>
              <w:spacing w:line="220" w:lineRule="exact"/>
              <w:ind w:left="23" w:right="0"/>
              <w:jc w:val="left"/>
              <w:rPr>
                <w:rFonts w:ascii="宋体" w:hAnsi="宋体" w:cs="宋体" w:eastAsia="宋体" w:hint="default"/>
                <w:sz w:val="18"/>
                <w:szCs w:val="18"/>
              </w:rPr>
            </w:pPr>
            <w:r>
              <w:rPr>
                <w:rFonts w:ascii="宋体" w:hAnsi="宋体" w:cs="宋体" w:eastAsia="宋体" w:hint="default"/>
                <w:spacing w:val="-2"/>
                <w:sz w:val="18"/>
                <w:szCs w:val="18"/>
              </w:rPr>
              <w:t>担法律责任。如因提供或披露的信息存在虚假记载、误导性陈述或</w:t>
            </w:r>
          </w:p>
        </w:tc>
        <w:tc>
          <w:tcPr>
            <w:tcW w:w="710" w:type="dxa"/>
            <w:tcBorders>
              <w:top w:val="nil" w:sz="6" w:space="0" w:color="auto"/>
              <w:left w:val="single" w:sz="4" w:space="0" w:color="000000"/>
              <w:bottom w:val="nil" w:sz="6" w:space="0" w:color="auto"/>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251" w:hRule="exact"/>
        </w:trPr>
        <w:tc>
          <w:tcPr>
            <w:tcW w:w="708" w:type="dxa"/>
            <w:tcBorders>
              <w:top w:val="nil" w:sz="6" w:space="0" w:color="auto"/>
              <w:left w:val="single" w:sz="4" w:space="0" w:color="000000"/>
              <w:bottom w:val="single" w:sz="4" w:space="0" w:color="000000"/>
              <w:right w:val="single" w:sz="4" w:space="0" w:color="000000"/>
            </w:tcBorders>
          </w:tcPr>
          <w:p>
            <w:pPr/>
          </w:p>
        </w:tc>
        <w:tc>
          <w:tcPr>
            <w:tcW w:w="852" w:type="dxa"/>
            <w:tcBorders>
              <w:top w:val="nil" w:sz="6" w:space="0" w:color="auto"/>
              <w:left w:val="single" w:sz="4" w:space="0" w:color="000000"/>
              <w:bottom w:val="single" w:sz="4" w:space="0" w:color="000000"/>
              <w:right w:val="single" w:sz="4" w:space="0" w:color="000000"/>
            </w:tcBorders>
          </w:tcPr>
          <w:p>
            <w:pPr/>
          </w:p>
        </w:tc>
        <w:tc>
          <w:tcPr>
            <w:tcW w:w="708" w:type="dxa"/>
            <w:vMerge/>
            <w:tcBorders>
              <w:left w:val="single" w:sz="4" w:space="0" w:color="000000"/>
              <w:bottom w:val="single" w:sz="4" w:space="0" w:color="000000"/>
              <w:right w:val="single" w:sz="4" w:space="0" w:color="000000"/>
            </w:tcBorders>
          </w:tcPr>
          <w:p>
            <w:pPr/>
          </w:p>
        </w:tc>
        <w:tc>
          <w:tcPr>
            <w:tcW w:w="5245" w:type="dxa"/>
            <w:tcBorders>
              <w:top w:val="nil" w:sz="6" w:space="0" w:color="auto"/>
              <w:left w:val="single" w:sz="4" w:space="0" w:color="000000"/>
              <w:bottom w:val="single" w:sz="4" w:space="0" w:color="000000"/>
              <w:right w:val="single" w:sz="4" w:space="0" w:color="000000"/>
            </w:tcBorders>
          </w:tcPr>
          <w:p>
            <w:pPr>
              <w:pStyle w:val="TableParagraph"/>
              <w:spacing w:line="221" w:lineRule="exact"/>
              <w:ind w:left="23" w:right="-9"/>
              <w:jc w:val="left"/>
              <w:rPr>
                <w:rFonts w:ascii="宋体" w:hAnsi="宋体" w:cs="宋体" w:eastAsia="宋体" w:hint="default"/>
                <w:sz w:val="18"/>
                <w:szCs w:val="18"/>
              </w:rPr>
            </w:pPr>
            <w:r>
              <w:rPr>
                <w:rFonts w:ascii="宋体" w:hAnsi="宋体" w:cs="宋体" w:eastAsia="宋体" w:hint="default"/>
                <w:sz w:val="18"/>
                <w:szCs w:val="18"/>
              </w:rPr>
              <w:t>者重大遗漏，给茂业通信和投资者造成损失的，将承担赔偿责任。</w:t>
            </w:r>
          </w:p>
        </w:tc>
        <w:tc>
          <w:tcPr>
            <w:tcW w:w="710" w:type="dxa"/>
            <w:tcBorders>
              <w:top w:val="nil" w:sz="6" w:space="0" w:color="auto"/>
              <w:left w:val="single" w:sz="4" w:space="0" w:color="000000"/>
              <w:bottom w:val="single" w:sz="4" w:space="0" w:color="000000"/>
              <w:right w:val="single" w:sz="4" w:space="0" w:color="000000"/>
            </w:tcBorders>
          </w:tcPr>
          <w:p>
            <w:pPr/>
          </w:p>
        </w:tc>
        <w:tc>
          <w:tcPr>
            <w:tcW w:w="709" w:type="dxa"/>
            <w:vMerge/>
            <w:tcBorders>
              <w:left w:val="single" w:sz="4" w:space="0" w:color="000000"/>
              <w:bottom w:val="single" w:sz="4" w:space="0" w:color="000000"/>
              <w:right w:val="single" w:sz="4" w:space="0" w:color="000000"/>
            </w:tcBorders>
          </w:tcPr>
          <w:p>
            <w:pPr/>
          </w:p>
        </w:tc>
        <w:tc>
          <w:tcPr>
            <w:tcW w:w="991" w:type="dxa"/>
            <w:vMerge/>
            <w:tcBorders>
              <w:left w:val="single" w:sz="4" w:space="0" w:color="000000"/>
              <w:bottom w:val="single" w:sz="4" w:space="0" w:color="000000"/>
              <w:right w:val="single" w:sz="4" w:space="0" w:color="000000"/>
            </w:tcBorders>
          </w:tcPr>
          <w:p>
            <w:pPr/>
          </w:p>
        </w:tc>
      </w:tr>
      <w:tr>
        <w:trPr>
          <w:trHeight w:val="1310"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8" w:lineRule="exact"/>
              <w:ind w:left="24"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年</w:t>
            </w:r>
          </w:p>
          <w:p>
            <w:pPr>
              <w:pStyle w:val="TableParagraph"/>
              <w:spacing w:line="264" w:lineRule="auto" w:before="10"/>
              <w:ind w:left="24" w:right="-38"/>
              <w:jc w:val="both"/>
              <w:rPr>
                <w:rFonts w:ascii="宋体" w:hAnsi="宋体" w:cs="宋体" w:eastAsia="宋体" w:hint="default"/>
                <w:sz w:val="18"/>
                <w:szCs w:val="18"/>
              </w:rPr>
            </w:pPr>
            <w:r>
              <w:rPr>
                <w:rFonts w:ascii="宋体" w:hAnsi="宋体" w:cs="宋体" w:eastAsia="宋体" w:hint="default"/>
                <w:spacing w:val="38"/>
                <w:sz w:val="18"/>
                <w:szCs w:val="18"/>
              </w:rPr>
              <w:t>重大资</w:t>
            </w:r>
            <w:r>
              <w:rPr>
                <w:rFonts w:ascii="宋体" w:hAnsi="宋体" w:cs="宋体" w:eastAsia="宋体" w:hint="default"/>
                <w:spacing w:val="-33"/>
                <w:sz w:val="18"/>
                <w:szCs w:val="18"/>
              </w:rPr>
              <w:t> </w:t>
            </w:r>
            <w:r>
              <w:rPr>
                <w:rFonts w:ascii="宋体" w:hAnsi="宋体" w:cs="宋体" w:eastAsia="宋体" w:hint="default"/>
                <w:spacing w:val="38"/>
                <w:sz w:val="18"/>
                <w:szCs w:val="18"/>
              </w:rPr>
              <w:t>产收购</w:t>
            </w:r>
            <w:r>
              <w:rPr>
                <w:rFonts w:ascii="宋体" w:hAnsi="宋体" w:cs="宋体" w:eastAsia="宋体" w:hint="default"/>
                <w:spacing w:val="-33"/>
                <w:sz w:val="18"/>
                <w:szCs w:val="18"/>
              </w:rPr>
              <w:t> </w:t>
            </w:r>
            <w:r>
              <w:rPr>
                <w:rFonts w:ascii="宋体" w:hAnsi="宋体" w:cs="宋体" w:eastAsia="宋体" w:hint="default"/>
                <w:spacing w:val="38"/>
                <w:sz w:val="18"/>
                <w:szCs w:val="18"/>
              </w:rPr>
              <w:t>时所作</w:t>
            </w:r>
            <w:r>
              <w:rPr>
                <w:rFonts w:ascii="宋体" w:hAnsi="宋体" w:cs="宋体" w:eastAsia="宋体" w:hint="default"/>
                <w:spacing w:val="-33"/>
                <w:sz w:val="18"/>
                <w:szCs w:val="18"/>
              </w:rPr>
              <w:t> </w:t>
            </w:r>
            <w:r>
              <w:rPr>
                <w:rFonts w:ascii="宋体" w:hAnsi="宋体" w:cs="宋体" w:eastAsia="宋体" w:hint="default"/>
                <w:sz w:val="18"/>
                <w:szCs w:val="18"/>
              </w:rPr>
              <w:t>承诺</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64" w:lineRule="auto" w:before="128"/>
              <w:ind w:left="23" w:right="0"/>
              <w:jc w:val="both"/>
              <w:rPr>
                <w:rFonts w:ascii="宋体" w:hAnsi="宋体" w:cs="宋体" w:eastAsia="宋体" w:hint="default"/>
                <w:sz w:val="18"/>
                <w:szCs w:val="18"/>
              </w:rPr>
            </w:pPr>
            <w:r>
              <w:rPr>
                <w:rFonts w:ascii="宋体" w:hAnsi="宋体" w:cs="宋体" w:eastAsia="宋体" w:hint="default"/>
                <w:spacing w:val="18"/>
                <w:sz w:val="18"/>
                <w:szCs w:val="18"/>
              </w:rPr>
              <w:t>刘英魁、</w:t>
            </w:r>
            <w:r>
              <w:rPr>
                <w:rFonts w:ascii="宋体" w:hAnsi="宋体" w:cs="宋体" w:eastAsia="宋体" w:hint="default"/>
                <w:spacing w:val="-66"/>
                <w:sz w:val="18"/>
                <w:szCs w:val="18"/>
              </w:rPr>
              <w:t> </w:t>
            </w:r>
            <w:r>
              <w:rPr>
                <w:rFonts w:ascii="宋体" w:hAnsi="宋体" w:cs="宋体" w:eastAsia="宋体" w:hint="default"/>
                <w:sz w:val="18"/>
                <w:szCs w:val="18"/>
              </w:rPr>
              <w:t>嘉 语</w:t>
            </w:r>
            <w:r>
              <w:rPr>
                <w:rFonts w:ascii="宋体" w:hAnsi="宋体" w:cs="宋体" w:eastAsia="宋体" w:hint="default"/>
                <w:spacing w:val="74"/>
                <w:sz w:val="18"/>
                <w:szCs w:val="18"/>
              </w:rPr>
              <w:t> </w:t>
            </w:r>
            <w:r>
              <w:rPr>
                <w:rFonts w:ascii="宋体" w:hAnsi="宋体" w:cs="宋体" w:eastAsia="宋体" w:hint="default"/>
                <w:sz w:val="18"/>
                <w:szCs w:val="18"/>
              </w:rPr>
              <w:t>春</w:t>
            </w:r>
            <w:r>
              <w:rPr>
                <w:rFonts w:ascii="宋体" w:hAnsi="宋体" w:cs="宋体" w:eastAsia="宋体" w:hint="default"/>
                <w:sz w:val="18"/>
                <w:szCs w:val="18"/>
              </w:rPr>
              <w:t> </w:t>
            </w:r>
            <w:r>
              <w:rPr>
                <w:rFonts w:ascii="宋体" w:hAnsi="宋体" w:cs="宋体" w:eastAsia="宋体" w:hint="default"/>
                <w:spacing w:val="18"/>
                <w:sz w:val="18"/>
                <w:szCs w:val="18"/>
              </w:rPr>
              <w:t>华、嘉惠</w:t>
            </w:r>
            <w:r>
              <w:rPr>
                <w:rFonts w:ascii="宋体" w:hAnsi="宋体" w:cs="宋体" w:eastAsia="宋体" w:hint="default"/>
                <w:spacing w:val="-66"/>
                <w:sz w:val="18"/>
                <w:szCs w:val="18"/>
              </w:rPr>
              <w:t> </w:t>
            </w:r>
            <w:r>
              <w:rPr>
                <w:rFonts w:ascii="宋体" w:hAnsi="宋体" w:cs="宋体" w:eastAsia="宋体" w:hint="default"/>
                <w:sz w:val="18"/>
                <w:szCs w:val="18"/>
              </w:rPr>
              <w:t>秋实</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170" w:right="0"/>
              <w:jc w:val="left"/>
              <w:rPr>
                <w:rFonts w:ascii="宋体" w:hAnsi="宋体" w:cs="宋体" w:eastAsia="宋体" w:hint="default"/>
                <w:sz w:val="18"/>
                <w:szCs w:val="18"/>
              </w:rPr>
            </w:pPr>
            <w:r>
              <w:rPr>
                <w:rFonts w:ascii="宋体" w:hAnsi="宋体" w:cs="宋体" w:eastAsia="宋体" w:hint="default"/>
                <w:sz w:val="18"/>
                <w:szCs w:val="18"/>
              </w:rPr>
              <w:t>限期</w:t>
            </w:r>
          </w:p>
        </w:tc>
        <w:tc>
          <w:tcPr>
            <w:tcW w:w="5245" w:type="dxa"/>
            <w:tcBorders>
              <w:top w:val="single" w:sz="4" w:space="0" w:color="000000"/>
              <w:left w:val="single" w:sz="4" w:space="0" w:color="000000"/>
              <w:bottom w:val="single" w:sz="4" w:space="0" w:color="000000"/>
              <w:right w:val="single" w:sz="4" w:space="0" w:color="000000"/>
            </w:tcBorders>
          </w:tcPr>
          <w:p>
            <w:pPr>
              <w:pStyle w:val="TableParagraph"/>
              <w:spacing w:line="261" w:lineRule="auto"/>
              <w:ind w:left="23" w:right="19"/>
              <w:jc w:val="both"/>
              <w:rPr>
                <w:rFonts w:ascii="宋体" w:hAnsi="宋体" w:cs="宋体" w:eastAsia="宋体" w:hint="default"/>
                <w:sz w:val="18"/>
                <w:szCs w:val="18"/>
              </w:rPr>
            </w:pPr>
            <w:r>
              <w:rPr>
                <w:rFonts w:ascii="宋体" w:hAnsi="宋体" w:cs="宋体" w:eastAsia="宋体" w:hint="default"/>
                <w:sz w:val="18"/>
                <w:szCs w:val="18"/>
              </w:rPr>
              <w:t>在本次交易完成的 </w:t>
            </w:r>
            <w:r>
              <w:rPr>
                <w:rFonts w:ascii="Times New Roman" w:hAnsi="Times New Roman" w:cs="Times New Roman" w:eastAsia="Times New Roman" w:hint="default"/>
                <w:sz w:val="18"/>
                <w:szCs w:val="18"/>
              </w:rPr>
              <w:t>60</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个月内，本承诺人不会以本次交易取得的茂 </w:t>
            </w:r>
            <w:r>
              <w:rPr>
                <w:rFonts w:ascii="宋体" w:hAnsi="宋体" w:cs="宋体" w:eastAsia="宋体" w:hint="default"/>
                <w:spacing w:val="-2"/>
                <w:sz w:val="18"/>
                <w:szCs w:val="18"/>
              </w:rPr>
              <w:t>业通信股份单独或共同谋求茂业通信的实际控制权，亦不会通过二</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4"/>
                <w:sz w:val="18"/>
                <w:szCs w:val="18"/>
              </w:rPr>
              <w:t>级市场增加对茂业通信的持股数量或通过增加茂业通信董事席位</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pacing w:val="-2"/>
                <w:sz w:val="18"/>
                <w:szCs w:val="18"/>
              </w:rPr>
              <w:t>等方式以实现对茂业通信的控制，亦不会以委托、征集投票权、协</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议等任何方式联合其他股东谋求茂业通信控制权。</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Times New Roman" w:hAnsi="Times New Roman" w:cs="Times New Roman" w:eastAsia="Times New Roman" w:hint="default"/>
                <w:spacing w:val="24"/>
                <w:sz w:val="18"/>
                <w:szCs w:val="18"/>
              </w:rPr>
              <w:t> </w:t>
            </w:r>
            <w:r>
              <w:rPr>
                <w:rFonts w:ascii="宋体" w:hAnsi="宋体" w:cs="宋体" w:eastAsia="宋体" w:hint="default"/>
                <w:sz w:val="18"/>
                <w:szCs w:val="18"/>
              </w:rPr>
              <w:t>年</w:t>
            </w:r>
          </w:p>
          <w:p>
            <w:pPr>
              <w:pStyle w:val="TableParagraph"/>
              <w:spacing w:line="240" w:lineRule="auto" w:before="12"/>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25"/>
                <w:sz w:val="18"/>
                <w:szCs w:val="18"/>
              </w:rPr>
              <w:t> </w:t>
            </w:r>
            <w:r>
              <w:rPr>
                <w:rFonts w:ascii="Times New Roman" w:hAnsi="Times New Roman" w:cs="Times New Roman" w:eastAsia="Times New Roman" w:hint="default"/>
                <w:sz w:val="18"/>
                <w:szCs w:val="18"/>
              </w:rPr>
              <w:t>12</w:t>
            </w:r>
          </w:p>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p>
            <w:pPr>
              <w:pStyle w:val="TableParagraph"/>
              <w:spacing w:line="240" w:lineRule="auto" w:before="12"/>
              <w:ind w:left="2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12</w:t>
            </w:r>
          </w:p>
          <w:p>
            <w:pPr>
              <w:pStyle w:val="TableParagraph"/>
              <w:spacing w:line="240" w:lineRule="auto" w:before="10"/>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日起</w:t>
            </w:r>
            <w:r>
              <w:rPr>
                <w:rFonts w:ascii="宋体" w:hAnsi="宋体" w:cs="宋体" w:eastAsia="宋体" w:hint="default"/>
                <w:spacing w:val="-42"/>
                <w:sz w:val="18"/>
                <w:szCs w:val="18"/>
              </w:rPr>
              <w:t> </w:t>
            </w:r>
            <w:r>
              <w:rPr>
                <w:rFonts w:ascii="Times New Roman" w:hAnsi="Times New Roman" w:cs="Times New Roman" w:eastAsia="Times New Roman" w:hint="default"/>
                <w:sz w:val="18"/>
                <w:szCs w:val="18"/>
              </w:rPr>
              <w:t>60</w:t>
            </w:r>
          </w:p>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个月</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23" w:right="0"/>
              <w:jc w:val="left"/>
              <w:rPr>
                <w:rFonts w:ascii="宋体" w:hAnsi="宋体" w:cs="宋体" w:eastAsia="宋体" w:hint="default"/>
                <w:sz w:val="18"/>
                <w:szCs w:val="18"/>
              </w:rPr>
            </w:pPr>
            <w:r>
              <w:rPr>
                <w:rFonts w:ascii="宋体" w:hAnsi="宋体" w:cs="宋体" w:eastAsia="宋体" w:hint="default"/>
                <w:sz w:val="18"/>
                <w:szCs w:val="18"/>
              </w:rPr>
              <w:t>正常履行</w:t>
            </w:r>
          </w:p>
        </w:tc>
      </w:tr>
    </w:tbl>
    <w:p>
      <w:pPr>
        <w:spacing w:line="240" w:lineRule="auto" w:before="2"/>
        <w:rPr>
          <w:rFonts w:ascii="Times New Roman" w:hAnsi="Times New Roman" w:cs="Times New Roman" w:eastAsia="Times New Roman" w:hint="default"/>
          <w:sz w:val="6"/>
          <w:szCs w:val="6"/>
        </w:rPr>
      </w:pPr>
    </w:p>
    <w:p>
      <w:pPr>
        <w:pStyle w:val="BodyText"/>
        <w:spacing w:line="273" w:lineRule="auto" w:before="36"/>
        <w:ind w:left="252" w:right="1131" w:firstLine="420"/>
        <w:jc w:val="left"/>
        <w:rPr>
          <w:rFonts w:ascii="宋体" w:hAnsi="宋体" w:cs="宋体" w:eastAsia="宋体" w:hint="default"/>
        </w:rPr>
      </w:pPr>
      <w:r>
        <w:rPr/>
        <w:pict>
          <v:shape style="position:absolute;margin-left:284.306pt;margin-top:-368.666351pt;width:176.25pt;height:299.1pt;mso-position-horizontal-relative:page;mso-position-vertical-relative:paragraph;z-index:-1012960" type="#_x0000_t202" filled="false" stroked="false">
            <v:textbox inset="0,0,0,0">
              <w:txbxContent>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21"/>
                      <w:szCs w:val="21"/>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各中介机构所提供的资料均为真实、</w:t>
                  </w:r>
                </w:p>
              </w:txbxContent>
            </v:textbox>
            <w10:wrap type="none"/>
          </v:shape>
        </w:pict>
      </w:r>
      <w:r>
        <w:rPr/>
        <w:pict>
          <v:group style="position:absolute;margin-left:85.344002pt;margin-top:-368.666351pt;width:42pt;height:364.65pt;mso-position-horizontal-relative:page;mso-position-vertical-relative:paragraph;z-index:-1012936" coordorigin="1707,-7373" coordsize="840,7293">
            <v:group style="position:absolute;left:1707;top:-7373;width:840;height:5982" coordorigin="1707,-7373" coordsize="840,5982">
              <v:shape style="position:absolute;left:1707;top:-7373;width:840;height:5982" coordorigin="1707,-7373" coordsize="840,5982" path="m1707,-1392l2547,-1392,2547,-7373,1707,-7373,1707,-1392xe" filled="true" fillcolor="#ffffff" stroked="false">
                <v:path arrowok="t"/>
                <v:fill type="solid"/>
              </v:shape>
            </v:group>
            <v:group style="position:absolute;left:1728;top:-7373;width:797;height:262" coordorigin="1728,-7373" coordsize="797,262">
              <v:shape style="position:absolute;left:1728;top:-7373;width:797;height:262" coordorigin="1728,-7373" coordsize="797,262" path="m1728,-7112l2525,-7112,2525,-7373,1728,-7373,1728,-7112xe" filled="true" fillcolor="#ffffff" stroked="false">
                <v:path arrowok="t"/>
                <v:fill type="solid"/>
              </v:shape>
            </v:group>
            <v:group style="position:absolute;left:1728;top:-7112;width:797;height:260" coordorigin="1728,-7112" coordsize="797,260">
              <v:shape style="position:absolute;left:1728;top:-7112;width:797;height:260" coordorigin="1728,-7112" coordsize="797,260" path="m1728,-6852l2525,-6852,2525,-7112,1728,-7112,1728,-6852xe" filled="true" fillcolor="#ffffff" stroked="false">
                <v:path arrowok="t"/>
                <v:fill type="solid"/>
              </v:shape>
            </v:group>
            <v:group style="position:absolute;left:1728;top:-6852;width:797;height:260" coordorigin="1728,-6852" coordsize="797,260">
              <v:shape style="position:absolute;left:1728;top:-6852;width:797;height:260" coordorigin="1728,-6852" coordsize="797,260" path="m1728,-6593l2525,-6593,2525,-6852,1728,-6852,1728,-6593xe" filled="true" fillcolor="#ffffff" stroked="false">
                <v:path arrowok="t"/>
                <v:fill type="solid"/>
              </v:shape>
            </v:group>
            <v:group style="position:absolute;left:1707;top:-1382;width:840;height:1301" coordorigin="1707,-1382" coordsize="840,1301">
              <v:shape style="position:absolute;left:1707;top:-1382;width:840;height:1301" coordorigin="1707,-1382" coordsize="840,1301" path="m1707,-81l2547,-81,2547,-1382,1707,-1382,1707,-81xe" filled="true" fillcolor="#ffffff" stroked="false">
                <v:path arrowok="t"/>
                <v:fill type="solid"/>
              </v:shape>
            </v:group>
            <v:group style="position:absolute;left:1728;top:-1252;width:797;height:262" coordorigin="1728,-1252" coordsize="797,262">
              <v:shape style="position:absolute;left:1728;top:-1252;width:797;height:262" coordorigin="1728,-1252" coordsize="797,262" path="m1728,-991l2525,-991,2525,-1252,1728,-1252,1728,-991xe" filled="true" fillcolor="#ffffff" stroked="false">
                <v:path arrowok="t"/>
                <v:fill type="solid"/>
              </v:shape>
            </v:group>
            <v:group style="position:absolute;left:1728;top:-991;width:797;height:260" coordorigin="1728,-991" coordsize="797,260">
              <v:shape style="position:absolute;left:1728;top:-991;width:797;height:260" coordorigin="1728,-991" coordsize="797,260" path="m1728,-732l2525,-732,2525,-991,1728,-991,1728,-732xe" filled="true" fillcolor="#ffffff" stroked="false">
                <v:path arrowok="t"/>
                <v:fill type="solid"/>
              </v:shape>
            </v:group>
            <v:group style="position:absolute;left:1728;top:-732;width:797;height:260" coordorigin="1728,-732" coordsize="797,260">
              <v:shape style="position:absolute;left:1728;top:-732;width:797;height:260" coordorigin="1728,-732" coordsize="797,260" path="m1728,-472l2525,-472,2525,-732,1728,-732,1728,-472xe" filled="true" fillcolor="#ffffff" stroked="false">
                <v:path arrowok="t"/>
                <v:fill type="solid"/>
              </v:shape>
            </v:group>
            <v:group style="position:absolute;left:1728;top:-472;width:797;height:262" coordorigin="1728,-472" coordsize="797,262">
              <v:shape style="position:absolute;left:1728;top:-472;width:797;height:262" coordorigin="1728,-472" coordsize="797,262" path="m1728,-211l2525,-211,2525,-472,1728,-472,1728,-211xe" filled="true" fillcolor="#ffffff" stroked="false">
                <v:path arrowok="t"/>
                <v:fill type="solid"/>
              </v:shape>
            </v:group>
            <w10:wrap type="none"/>
          </v:group>
        </w:pict>
      </w:r>
      <w:r>
        <w:rPr/>
        <w:pict>
          <v:group style="position:absolute;margin-left:425.589996pt;margin-top:-368.666351pt;width:34.950pt;height:299.1pt;mso-position-horizontal-relative:page;mso-position-vertical-relative:paragraph;z-index:-1012912" coordorigin="8512,-7373" coordsize="699,5982">
            <v:group style="position:absolute;left:8512;top:-7373;width:699;height:5982" coordorigin="8512,-7373" coordsize="699,5982">
              <v:shape style="position:absolute;left:8512;top:-7373;width:699;height:5982" coordorigin="8512,-7373" coordsize="699,5982" path="m8512,-1392l9210,-1392,9210,-7373,8512,-7373,8512,-1392xe" filled="true" fillcolor="#ffffff" stroked="false">
                <v:path arrowok="t"/>
                <v:fill type="solid"/>
              </v:shape>
            </v:group>
            <v:group style="position:absolute;left:8533;top:-7373;width:653;height:262" coordorigin="8533,-7373" coordsize="653,262">
              <v:shape style="position:absolute;left:8533;top:-7373;width:653;height:262" coordorigin="8533,-7373" coordsize="653,262" path="m8533,-7112l9186,-7112,9186,-7373,8533,-7373,8533,-7112xe" filled="true" fillcolor="#ffffff" stroked="false">
                <v:path arrowok="t"/>
                <v:fill type="solid"/>
              </v:shape>
            </v:group>
            <v:group style="position:absolute;left:8533;top:-7112;width:653;height:260" coordorigin="8533,-7112" coordsize="653,260">
              <v:shape style="position:absolute;left:8533;top:-7112;width:653;height:260" coordorigin="8533,-7112" coordsize="653,260" path="m8533,-6852l9186,-6852,9186,-7112,8533,-7112,8533,-6852xe" filled="true" fillcolor="#ffffff" stroked="false">
                <v:path arrowok="t"/>
                <v:fill type="solid"/>
              </v:shape>
            </v:group>
            <w10:wrap type="none"/>
          </v:group>
        </w:pict>
      </w:r>
      <w:r>
        <w:rPr>
          <w:rFonts w:ascii="宋体" w:hAnsi="宋体" w:cs="宋体" w:eastAsia="宋体" w:hint="default"/>
        </w:rPr>
        <w:t>(</w:t>
      </w:r>
      <w:r>
        <w:rPr/>
        <w:t>四</w:t>
      </w:r>
      <w:r>
        <w:rPr>
          <w:rFonts w:ascii="宋体" w:hAnsi="宋体" w:cs="宋体" w:eastAsia="宋体" w:hint="default"/>
        </w:rPr>
        <w:t>)</w:t>
      </w:r>
      <w:r>
        <w:rPr>
          <w:rFonts w:ascii="宋体" w:hAnsi="宋体" w:cs="宋体" w:eastAsia="宋体" w:hint="default"/>
          <w:spacing w:val="68"/>
        </w:rPr>
        <w:t> </w:t>
      </w:r>
      <w:r>
        <w:rPr/>
        <w:t>公司报告期不存在收购人以及公司等相关承诺方在报告期内履行完毕及截至报告期末尚未履行</w:t>
      </w:r>
      <w:r>
        <w:rPr>
          <w:w w:val="100"/>
        </w:rPr>
        <w:t> </w:t>
      </w:r>
      <w:r>
        <w:rPr/>
        <w:t>完毕的承诺事项。</w:t>
      </w:r>
      <w:r>
        <w:rPr>
          <w:rFonts w:ascii="宋体" w:hAnsi="宋体" w:cs="宋体" w:eastAsia="宋体" w:hint="default"/>
        </w:rPr>
        <w:t> </w:t>
      </w:r>
    </w:p>
    <w:p>
      <w:pPr>
        <w:spacing w:line="240" w:lineRule="auto" w:before="10"/>
        <w:rPr>
          <w:rFonts w:ascii="宋体" w:hAnsi="宋体" w:cs="宋体" w:eastAsia="宋体" w:hint="default"/>
          <w:sz w:val="18"/>
          <w:szCs w:val="18"/>
        </w:rPr>
      </w:pPr>
    </w:p>
    <w:p>
      <w:pPr>
        <w:pStyle w:val="Heading3"/>
        <w:spacing w:line="273" w:lineRule="auto" w:before="0"/>
        <w:ind w:left="252" w:right="0" w:firstLine="422"/>
        <w:jc w:val="left"/>
        <w:rPr>
          <w:b w:val="0"/>
          <w:bCs w:val="0"/>
        </w:rPr>
      </w:pPr>
      <w:r>
        <w:rPr>
          <w:spacing w:val="-2"/>
        </w:rPr>
        <w:t>二、公司资产或项目盈利预测情况说明，且报告期仍处在盈利预测期间，公司就资产或项目达到原盈</w:t>
      </w:r>
      <w:r>
        <w:rPr>
          <w:w w:val="100"/>
        </w:rPr>
        <w:t> </w:t>
      </w:r>
      <w:r>
        <w:rPr/>
        <w:t>利预测及其原因做出说明</w:t>
      </w:r>
      <w:r>
        <w:rPr>
          <w:b w:val="0"/>
          <w:bCs w:val="0"/>
        </w:rPr>
      </w:r>
    </w:p>
    <w:p>
      <w:pPr>
        <w:pStyle w:val="BodyText"/>
        <w:spacing w:line="240" w:lineRule="auto" w:before="46"/>
        <w:ind w:left="252" w:right="0"/>
        <w:jc w:val="left"/>
        <w:rPr>
          <w:rFonts w:ascii="宋体" w:hAnsi="宋体" w:cs="宋体" w:eastAsia="宋体" w:hint="default"/>
        </w:rPr>
      </w:pPr>
      <w:r>
        <w:rPr>
          <w:rFonts w:ascii="宋体" w:hAnsi="宋体" w:cs="宋体" w:eastAsia="宋体" w:hint="default"/>
          <w:w w:val="100"/>
        </w:rPr>
        <w:t>    </w:t>
      </w:r>
      <w:r>
        <w:rPr>
          <w:rFonts w:ascii="宋体" w:hAnsi="宋体" w:cs="宋体" w:eastAsia="宋体" w:hint="default"/>
          <w:spacing w:val="-1"/>
        </w:rPr>
        <w:t>2018</w:t>
      </w:r>
      <w:r>
        <w:rPr>
          <w:rFonts w:ascii="宋体" w:hAnsi="宋体" w:cs="宋体" w:eastAsia="宋体" w:hint="default"/>
          <w:spacing w:val="11"/>
        </w:rPr>
        <w:t> </w:t>
      </w:r>
      <w:r>
        <w:rPr>
          <w:spacing w:val="-2"/>
        </w:rPr>
        <w:t>年重组购买的资产嘉华信息盈利预测实现情况</w:t>
      </w:r>
      <w:r>
        <w:rPr>
          <w:rFonts w:ascii="宋体" w:hAnsi="宋体" w:cs="宋体" w:eastAsia="宋体" w:hint="default"/>
          <w:spacing w:val="-2"/>
        </w:rPr>
        <w:t>(</w:t>
      </w:r>
      <w:r>
        <w:rPr>
          <w:spacing w:val="-2"/>
        </w:rPr>
        <w:t>实际业绩数为扣除非经常性损益后的</w:t>
      </w:r>
      <w:r>
        <w:rPr>
          <w:rFonts w:ascii="宋体" w:hAnsi="宋体" w:cs="宋体" w:eastAsia="宋体" w:hint="default"/>
          <w:spacing w:val="-2"/>
        </w:rPr>
        <w:t>)</w:t>
      </w:r>
      <w:r>
        <w:rPr>
          <w:rFonts w:ascii="宋体" w:hAnsi="宋体" w:cs="宋体" w:eastAsia="宋体" w:hint="default"/>
        </w:rPr>
        <w:t> </w:t>
      </w:r>
    </w:p>
    <w:p>
      <w:pPr>
        <w:spacing w:line="240" w:lineRule="auto" w:before="12"/>
        <w:rPr>
          <w:rFonts w:ascii="宋体" w:hAnsi="宋体" w:cs="宋体" w:eastAsia="宋体" w:hint="default"/>
          <w:sz w:val="6"/>
          <w:szCs w:val="6"/>
        </w:rPr>
      </w:pPr>
    </w:p>
    <w:tbl>
      <w:tblPr>
        <w:tblW w:w="0" w:type="auto"/>
        <w:jc w:val="left"/>
        <w:tblInd w:w="247" w:type="dxa"/>
        <w:tblLayout w:type="fixed"/>
        <w:tblCellMar>
          <w:top w:w="0" w:type="dxa"/>
          <w:left w:w="0" w:type="dxa"/>
          <w:bottom w:w="0" w:type="dxa"/>
          <w:right w:w="0" w:type="dxa"/>
        </w:tblCellMar>
        <w:tblLook w:val="01E0"/>
      </w:tblPr>
      <w:tblGrid>
        <w:gridCol w:w="1560"/>
        <w:gridCol w:w="1274"/>
        <w:gridCol w:w="286"/>
        <w:gridCol w:w="1984"/>
        <w:gridCol w:w="1842"/>
        <w:gridCol w:w="852"/>
        <w:gridCol w:w="1841"/>
      </w:tblGrid>
      <w:tr>
        <w:trPr>
          <w:trHeight w:val="422" w:hRule="exact"/>
        </w:trPr>
        <w:tc>
          <w:tcPr>
            <w:tcW w:w="2835"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0"/>
              <w:ind w:left="103" w:right="0"/>
              <w:jc w:val="left"/>
              <w:rPr>
                <w:rFonts w:ascii="宋体" w:hAnsi="宋体" w:cs="宋体" w:eastAsia="宋体" w:hint="default"/>
                <w:sz w:val="18"/>
                <w:szCs w:val="18"/>
              </w:rPr>
            </w:pPr>
            <w:r>
              <w:rPr>
                <w:rFonts w:ascii="宋体" w:hAnsi="宋体" w:cs="宋体" w:eastAsia="宋体" w:hint="default"/>
                <w:sz w:val="18"/>
                <w:szCs w:val="18"/>
              </w:rPr>
              <w:t>盈利预测资产名称</w:t>
            </w:r>
            <w:r>
              <w:rPr>
                <w:rFonts w:ascii="宋体" w:hAnsi="宋体" w:cs="宋体" w:eastAsia="宋体" w:hint="default"/>
                <w:sz w:val="18"/>
                <w:szCs w:val="18"/>
              </w:rPr>
              <w:t> </w:t>
            </w:r>
          </w:p>
        </w:tc>
        <w:tc>
          <w:tcPr>
            <w:tcW w:w="6806"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left="106" w:right="0"/>
              <w:jc w:val="left"/>
              <w:rPr>
                <w:rFonts w:ascii="宋体" w:hAnsi="宋体" w:cs="宋体" w:eastAsia="宋体" w:hint="default"/>
                <w:sz w:val="18"/>
                <w:szCs w:val="18"/>
              </w:rPr>
            </w:pPr>
            <w:r>
              <w:rPr>
                <w:rFonts w:ascii="宋体" w:hAnsi="宋体" w:cs="宋体" w:eastAsia="宋体" w:hint="default"/>
                <w:sz w:val="18"/>
                <w:szCs w:val="18"/>
              </w:rPr>
              <w:t>北京中天嘉华信息技术有限公司</w:t>
            </w:r>
            <w:r>
              <w:rPr>
                <w:rFonts w:ascii="宋体" w:hAnsi="宋体" w:cs="宋体" w:eastAsia="宋体" w:hint="default"/>
                <w:sz w:val="18"/>
                <w:szCs w:val="18"/>
              </w:rPr>
              <w:t> </w:t>
            </w:r>
          </w:p>
        </w:tc>
      </w:tr>
      <w:tr>
        <w:trPr>
          <w:trHeight w:val="343" w:hRule="exact"/>
        </w:trPr>
        <w:tc>
          <w:tcPr>
            <w:tcW w:w="2835"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2"/>
              <w:ind w:left="103" w:right="0"/>
              <w:jc w:val="left"/>
              <w:rPr>
                <w:rFonts w:ascii="宋体" w:hAnsi="宋体" w:cs="宋体" w:eastAsia="宋体" w:hint="default"/>
                <w:sz w:val="18"/>
                <w:szCs w:val="18"/>
              </w:rPr>
            </w:pPr>
            <w:r>
              <w:rPr>
                <w:rFonts w:ascii="宋体" w:hAnsi="宋体" w:cs="宋体" w:eastAsia="宋体" w:hint="default"/>
                <w:sz w:val="18"/>
                <w:szCs w:val="18"/>
              </w:rPr>
              <w:t>预测起始时间</w:t>
            </w:r>
            <w:r>
              <w:rPr>
                <w:rFonts w:ascii="宋体" w:hAnsi="宋体" w:cs="宋体" w:eastAsia="宋体" w:hint="default"/>
                <w:sz w:val="18"/>
                <w:szCs w:val="18"/>
              </w:rPr>
              <w:t> </w:t>
            </w:r>
          </w:p>
        </w:tc>
        <w:tc>
          <w:tcPr>
            <w:tcW w:w="6806"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6" w:right="0"/>
              <w:jc w:val="lef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4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1</w:t>
            </w:r>
            <w:r>
              <w:rPr>
                <w:rFonts w:ascii="宋体" w:hAnsi="宋体" w:cs="宋体" w:eastAsia="宋体" w:hint="default"/>
                <w:spacing w:val="-44"/>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r>
      <w:tr>
        <w:trPr>
          <w:trHeight w:val="343" w:hRule="exact"/>
        </w:trPr>
        <w:tc>
          <w:tcPr>
            <w:tcW w:w="2835"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2"/>
              <w:ind w:left="103" w:right="0"/>
              <w:jc w:val="left"/>
              <w:rPr>
                <w:rFonts w:ascii="宋体" w:hAnsi="宋体" w:cs="宋体" w:eastAsia="宋体" w:hint="default"/>
                <w:sz w:val="18"/>
                <w:szCs w:val="18"/>
              </w:rPr>
            </w:pPr>
            <w:r>
              <w:rPr>
                <w:rFonts w:ascii="宋体" w:hAnsi="宋体" w:cs="宋体" w:eastAsia="宋体" w:hint="default"/>
                <w:sz w:val="18"/>
                <w:szCs w:val="18"/>
              </w:rPr>
              <w:t>预测终止时间</w:t>
            </w:r>
            <w:r>
              <w:rPr>
                <w:rFonts w:ascii="宋体" w:hAnsi="宋体" w:cs="宋体" w:eastAsia="宋体" w:hint="default"/>
                <w:sz w:val="18"/>
                <w:szCs w:val="18"/>
              </w:rPr>
              <w:t> </w:t>
            </w:r>
          </w:p>
        </w:tc>
        <w:tc>
          <w:tcPr>
            <w:tcW w:w="6806"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6" w:right="0"/>
              <w:jc w:val="left"/>
              <w:rPr>
                <w:rFonts w:ascii="宋体" w:hAnsi="宋体" w:cs="宋体" w:eastAsia="宋体" w:hint="default"/>
                <w:sz w:val="18"/>
                <w:szCs w:val="18"/>
              </w:rPr>
            </w:pPr>
            <w:r>
              <w:rPr>
                <w:rFonts w:ascii="宋体" w:hAnsi="宋体" w:cs="宋体" w:eastAsia="宋体" w:hint="default"/>
                <w:sz w:val="18"/>
                <w:szCs w:val="18"/>
              </w:rPr>
              <w:t>2020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31</w:t>
            </w:r>
            <w:r>
              <w:rPr>
                <w:rFonts w:ascii="宋体" w:hAnsi="宋体" w:cs="宋体" w:eastAsia="宋体" w:hint="default"/>
                <w:spacing w:val="-45"/>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r>
      <w:tr>
        <w:trPr>
          <w:trHeight w:val="343" w:hRule="exact"/>
        </w:trPr>
        <w:tc>
          <w:tcPr>
            <w:tcW w:w="2835"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2"/>
              <w:ind w:left="103" w:right="0"/>
              <w:jc w:val="left"/>
              <w:rPr>
                <w:rFonts w:ascii="宋体" w:hAnsi="宋体" w:cs="宋体" w:eastAsia="宋体" w:hint="default"/>
                <w:sz w:val="18"/>
                <w:szCs w:val="18"/>
              </w:rPr>
            </w:pPr>
            <w:r>
              <w:rPr>
                <w:rFonts w:ascii="宋体" w:hAnsi="宋体" w:cs="宋体" w:eastAsia="宋体" w:hint="default"/>
                <w:sz w:val="18"/>
                <w:szCs w:val="18"/>
              </w:rPr>
              <w:t>当期预测业绩</w:t>
            </w:r>
            <w:r>
              <w:rPr>
                <w:rFonts w:ascii="宋体" w:hAnsi="宋体" w:cs="宋体" w:eastAsia="宋体" w:hint="default"/>
                <w:sz w:val="18"/>
                <w:szCs w:val="18"/>
              </w:rPr>
              <w:t>(</w:t>
            </w:r>
            <w:r>
              <w:rPr>
                <w:rFonts w:ascii="宋体" w:hAnsi="宋体" w:cs="宋体" w:eastAsia="宋体" w:hint="default"/>
                <w:sz w:val="18"/>
                <w:szCs w:val="18"/>
              </w:rPr>
              <w:t>万元</w:t>
            </w:r>
            <w:r>
              <w:rPr>
                <w:rFonts w:ascii="宋体" w:hAnsi="宋体" w:cs="宋体" w:eastAsia="宋体" w:hint="default"/>
                <w:sz w:val="18"/>
                <w:szCs w:val="18"/>
              </w:rPr>
              <w:t>) </w:t>
            </w:r>
          </w:p>
        </w:tc>
        <w:tc>
          <w:tcPr>
            <w:tcW w:w="227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right="11"/>
              <w:jc w:val="right"/>
              <w:rPr>
                <w:rFonts w:ascii="宋体" w:hAnsi="宋体" w:cs="宋体" w:eastAsia="宋体" w:hint="default"/>
                <w:sz w:val="18"/>
                <w:szCs w:val="18"/>
              </w:rPr>
            </w:pPr>
            <w:r>
              <w:rPr>
                <w:rFonts w:ascii="宋体"/>
                <w:spacing w:val="-1"/>
                <w:sz w:val="18"/>
              </w:rPr>
              <w:t>16,700</w:t>
            </w:r>
            <w:r>
              <w:rPr>
                <w:rFonts w:ascii="宋体"/>
                <w:sz w:val="18"/>
              </w:rPr>
              <w:t> </w:t>
            </w:r>
          </w:p>
        </w:tc>
        <w:tc>
          <w:tcPr>
            <w:tcW w:w="184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2"/>
              <w:ind w:left="111" w:right="0"/>
              <w:jc w:val="left"/>
              <w:rPr>
                <w:rFonts w:ascii="宋体" w:hAnsi="宋体" w:cs="宋体" w:eastAsia="宋体" w:hint="default"/>
                <w:sz w:val="18"/>
                <w:szCs w:val="18"/>
              </w:rPr>
            </w:pPr>
            <w:r>
              <w:rPr>
                <w:rFonts w:ascii="宋体" w:hAnsi="宋体" w:cs="宋体" w:eastAsia="宋体" w:hint="default"/>
                <w:sz w:val="18"/>
                <w:szCs w:val="18"/>
              </w:rPr>
              <w:t>当期实际业绩</w:t>
            </w:r>
            <w:r>
              <w:rPr>
                <w:rFonts w:ascii="宋体" w:hAnsi="宋体" w:cs="宋体" w:eastAsia="宋体" w:hint="default"/>
                <w:sz w:val="18"/>
                <w:szCs w:val="18"/>
              </w:rPr>
              <w:t>(</w:t>
            </w:r>
            <w:r>
              <w:rPr>
                <w:rFonts w:ascii="宋体" w:hAnsi="宋体" w:cs="宋体" w:eastAsia="宋体" w:hint="default"/>
                <w:sz w:val="18"/>
                <w:szCs w:val="18"/>
              </w:rPr>
              <w:t>万元</w:t>
            </w:r>
            <w:r>
              <w:rPr>
                <w:rFonts w:ascii="宋体" w:hAnsi="宋体" w:cs="宋体" w:eastAsia="宋体" w:hint="default"/>
                <w:sz w:val="18"/>
                <w:szCs w:val="18"/>
              </w:rPr>
              <w:t>) </w:t>
            </w:r>
          </w:p>
        </w:tc>
        <w:tc>
          <w:tcPr>
            <w:tcW w:w="269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771" w:right="0"/>
              <w:jc w:val="left"/>
              <w:rPr>
                <w:rFonts w:ascii="宋体" w:hAnsi="宋体" w:cs="宋体" w:eastAsia="宋体" w:hint="default"/>
                <w:sz w:val="18"/>
                <w:szCs w:val="18"/>
              </w:rPr>
            </w:pPr>
            <w:r>
              <w:rPr>
                <w:rFonts w:ascii="宋体"/>
                <w:sz w:val="18"/>
              </w:rPr>
              <w:t>16,635.24 </w:t>
            </w:r>
          </w:p>
        </w:tc>
      </w:tr>
      <w:tr>
        <w:trPr>
          <w:trHeight w:val="343" w:hRule="exact"/>
        </w:trPr>
        <w:tc>
          <w:tcPr>
            <w:tcW w:w="15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2"/>
              <w:ind w:left="6" w:right="0"/>
              <w:jc w:val="center"/>
              <w:rPr>
                <w:rFonts w:ascii="宋体" w:hAnsi="宋体" w:cs="宋体" w:eastAsia="宋体" w:hint="default"/>
                <w:sz w:val="18"/>
                <w:szCs w:val="18"/>
              </w:rPr>
            </w:pPr>
            <w:r>
              <w:rPr>
                <w:rFonts w:ascii="宋体" w:hAnsi="宋体" w:cs="宋体" w:eastAsia="宋体" w:hint="default"/>
                <w:sz w:val="18"/>
                <w:szCs w:val="18"/>
              </w:rPr>
              <w:t>未达预测的原因</w:t>
            </w:r>
            <w:r>
              <w:rPr>
                <w:rFonts w:ascii="宋体" w:hAnsi="宋体" w:cs="宋体" w:eastAsia="宋体" w:hint="default"/>
                <w:sz w:val="18"/>
                <w:szCs w:val="18"/>
              </w:rPr>
              <w:t> </w:t>
            </w:r>
          </w:p>
        </w:tc>
        <w:tc>
          <w:tcPr>
            <w:tcW w:w="8080"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hAnsi="宋体" w:cs="宋体" w:eastAsia="宋体" w:hint="default"/>
                <w:sz w:val="18"/>
                <w:szCs w:val="18"/>
              </w:rPr>
              <w:t>不适用</w:t>
            </w:r>
            <w:r>
              <w:rPr>
                <w:rFonts w:ascii="宋体" w:hAnsi="宋体" w:cs="宋体" w:eastAsia="宋体" w:hint="default"/>
                <w:sz w:val="18"/>
                <w:szCs w:val="18"/>
              </w:rPr>
              <w:t> </w:t>
            </w:r>
          </w:p>
        </w:tc>
      </w:tr>
      <w:tr>
        <w:trPr>
          <w:trHeight w:val="343" w:hRule="exact"/>
        </w:trPr>
        <w:tc>
          <w:tcPr>
            <w:tcW w:w="15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4"/>
              <w:ind w:left="6" w:right="0"/>
              <w:jc w:val="center"/>
              <w:rPr>
                <w:rFonts w:ascii="宋体" w:hAnsi="宋体" w:cs="宋体" w:eastAsia="宋体" w:hint="default"/>
                <w:sz w:val="18"/>
                <w:szCs w:val="18"/>
              </w:rPr>
            </w:pPr>
            <w:r>
              <w:rPr>
                <w:rFonts w:ascii="宋体" w:hAnsi="宋体" w:cs="宋体" w:eastAsia="宋体" w:hint="default"/>
                <w:sz w:val="18"/>
                <w:szCs w:val="18"/>
              </w:rPr>
              <w:t>原预测披露日期</w:t>
            </w:r>
            <w:r>
              <w:rPr>
                <w:rFonts w:ascii="宋体" w:hAnsi="宋体" w:cs="宋体" w:eastAsia="宋体" w:hint="default"/>
                <w:sz w:val="18"/>
                <w:szCs w:val="18"/>
              </w:rPr>
              <w:t> </w:t>
            </w:r>
          </w:p>
        </w:tc>
        <w:tc>
          <w:tcPr>
            <w:tcW w:w="8080"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3"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8</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10</w:t>
            </w:r>
            <w:r>
              <w:rPr>
                <w:rFonts w:ascii="宋体" w:hAnsi="宋体" w:cs="宋体" w:eastAsia="宋体" w:hint="default"/>
                <w:spacing w:val="-44"/>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r>
      <w:tr>
        <w:trPr>
          <w:trHeight w:val="346" w:hRule="exact"/>
        </w:trPr>
        <w:tc>
          <w:tcPr>
            <w:tcW w:w="1560"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1"/>
              <w:ind w:right="0"/>
              <w:jc w:val="left"/>
              <w:rPr>
                <w:rFonts w:ascii="宋体" w:hAnsi="宋体" w:cs="宋体" w:eastAsia="宋体" w:hint="default"/>
                <w:sz w:val="25"/>
                <w:szCs w:val="2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原预测披露索引</w:t>
            </w:r>
            <w:r>
              <w:rPr>
                <w:rFonts w:ascii="宋体" w:hAnsi="宋体" w:cs="宋体" w:eastAsia="宋体" w:hint="default"/>
                <w:sz w:val="18"/>
                <w:szCs w:val="18"/>
              </w:rPr>
              <w:t> </w:t>
            </w:r>
          </w:p>
        </w:tc>
        <w:tc>
          <w:tcPr>
            <w:tcW w:w="1561"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4"/>
              <w:ind w:left="103" w:right="0"/>
              <w:jc w:val="left"/>
              <w:rPr>
                <w:rFonts w:ascii="宋体" w:hAnsi="宋体" w:cs="宋体" w:eastAsia="宋体" w:hint="default"/>
                <w:sz w:val="18"/>
                <w:szCs w:val="18"/>
              </w:rPr>
            </w:pPr>
            <w:r>
              <w:rPr>
                <w:rFonts w:ascii="宋体" w:hAnsi="宋体" w:cs="宋体" w:eastAsia="宋体" w:hint="default"/>
                <w:sz w:val="18"/>
                <w:szCs w:val="18"/>
              </w:rPr>
              <w:t>指定网站名称</w:t>
            </w:r>
            <w:r>
              <w:rPr>
                <w:rFonts w:ascii="宋体" w:hAnsi="宋体" w:cs="宋体" w:eastAsia="宋体" w:hint="default"/>
                <w:sz w:val="18"/>
                <w:szCs w:val="18"/>
              </w:rPr>
              <w:t> </w:t>
            </w:r>
          </w:p>
        </w:tc>
        <w:tc>
          <w:tcPr>
            <w:tcW w:w="467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3" w:right="0"/>
              <w:jc w:val="left"/>
              <w:rPr>
                <w:rFonts w:ascii="宋体" w:hAnsi="宋体" w:cs="宋体" w:eastAsia="宋体" w:hint="default"/>
                <w:sz w:val="18"/>
                <w:szCs w:val="18"/>
              </w:rPr>
            </w:pPr>
            <w:r>
              <w:rPr>
                <w:rFonts w:ascii="宋体" w:hAnsi="宋体" w:cs="宋体" w:eastAsia="宋体" w:hint="default"/>
                <w:sz w:val="18"/>
                <w:szCs w:val="18"/>
              </w:rPr>
              <w:t>巨潮资讯网</w:t>
            </w:r>
            <w:r>
              <w:rPr>
                <w:rFonts w:ascii="宋体" w:hAnsi="宋体" w:cs="宋体" w:eastAsia="宋体" w:hint="default"/>
                <w:sz w:val="18"/>
                <w:szCs w:val="18"/>
              </w:rPr>
              <w:t> </w:t>
            </w:r>
          </w:p>
        </w:tc>
        <w:tc>
          <w:tcPr>
            <w:tcW w:w="184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4"/>
              <w:ind w:left="92" w:right="0"/>
              <w:jc w:val="center"/>
              <w:rPr>
                <w:rFonts w:ascii="宋体" w:hAnsi="宋体" w:cs="宋体" w:eastAsia="宋体" w:hint="default"/>
                <w:sz w:val="18"/>
                <w:szCs w:val="18"/>
              </w:rPr>
            </w:pPr>
            <w:r>
              <w:rPr>
                <w:rFonts w:ascii="宋体" w:hAnsi="宋体" w:cs="宋体" w:eastAsia="宋体" w:hint="default"/>
                <w:sz w:val="18"/>
                <w:szCs w:val="18"/>
              </w:rPr>
              <w:t>披露日期</w:t>
            </w:r>
            <w:r>
              <w:rPr>
                <w:rFonts w:ascii="宋体" w:hAnsi="宋体" w:cs="宋体" w:eastAsia="宋体" w:hint="default"/>
                <w:sz w:val="18"/>
                <w:szCs w:val="18"/>
              </w:rPr>
              <w:t> </w:t>
            </w:r>
          </w:p>
        </w:tc>
      </w:tr>
      <w:tr>
        <w:trPr>
          <w:trHeight w:val="586" w:hRule="exact"/>
        </w:trPr>
        <w:tc>
          <w:tcPr>
            <w:tcW w:w="1560" w:type="dxa"/>
            <w:vMerge/>
            <w:tcBorders>
              <w:left w:val="single" w:sz="4" w:space="0" w:color="000000"/>
              <w:bottom w:val="single" w:sz="4" w:space="0" w:color="000000"/>
              <w:right w:val="single" w:sz="4" w:space="0" w:color="000000"/>
            </w:tcBorders>
            <w:shd w:val="clear" w:color="auto" w:fill="D9D9D9"/>
          </w:tcPr>
          <w:p>
            <w:pPr/>
          </w:p>
        </w:tc>
        <w:tc>
          <w:tcPr>
            <w:tcW w:w="156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2"/>
              <w:ind w:left="103" w:right="0"/>
              <w:jc w:val="left"/>
              <w:rPr>
                <w:rFonts w:ascii="宋体" w:hAnsi="宋体" w:cs="宋体" w:eastAsia="宋体" w:hint="default"/>
                <w:sz w:val="18"/>
                <w:szCs w:val="18"/>
              </w:rPr>
            </w:pPr>
            <w:r>
              <w:rPr>
                <w:rFonts w:ascii="宋体" w:hAnsi="宋体" w:cs="宋体" w:eastAsia="宋体" w:hint="default"/>
                <w:sz w:val="18"/>
                <w:szCs w:val="18"/>
              </w:rPr>
              <w:t>公告标题</w:t>
            </w:r>
            <w:r>
              <w:rPr>
                <w:rFonts w:ascii="宋体" w:hAnsi="宋体" w:cs="宋体" w:eastAsia="宋体" w:hint="default"/>
                <w:sz w:val="18"/>
                <w:szCs w:val="18"/>
              </w:rPr>
              <w:t>(</w:t>
            </w:r>
            <w:r>
              <w:rPr>
                <w:rFonts w:ascii="宋体" w:hAnsi="宋体" w:cs="宋体" w:eastAsia="宋体" w:hint="default"/>
                <w:sz w:val="18"/>
                <w:szCs w:val="18"/>
              </w:rPr>
              <w:t>编号</w:t>
            </w:r>
            <w:r>
              <w:rPr>
                <w:rFonts w:ascii="宋体" w:hAnsi="宋体" w:cs="宋体" w:eastAsia="宋体" w:hint="default"/>
                <w:sz w:val="18"/>
                <w:szCs w:val="18"/>
              </w:rPr>
              <w:t>) </w:t>
            </w:r>
          </w:p>
        </w:tc>
        <w:tc>
          <w:tcPr>
            <w:tcW w:w="467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103" w:right="100"/>
              <w:jc w:val="left"/>
              <w:rPr>
                <w:rFonts w:ascii="宋体" w:hAnsi="宋体" w:cs="宋体" w:eastAsia="宋体" w:hint="default"/>
                <w:sz w:val="18"/>
                <w:szCs w:val="18"/>
              </w:rPr>
            </w:pPr>
            <w:r>
              <w:rPr>
                <w:rFonts w:ascii="宋体" w:hAnsi="宋体" w:cs="宋体" w:eastAsia="宋体" w:hint="default"/>
                <w:spacing w:val="5"/>
                <w:sz w:val="18"/>
                <w:szCs w:val="18"/>
              </w:rPr>
              <w:t>茂业通信网络股份有限公司发行股份及支付现金购买资</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产暨关联交易报告书（修订稿）</w:t>
            </w:r>
            <w:r>
              <w:rPr>
                <w:rFonts w:ascii="宋体" w:hAnsi="宋体" w:cs="宋体" w:eastAsia="宋体" w:hint="default"/>
                <w:sz w:val="18"/>
                <w:szCs w:val="18"/>
              </w:rPr>
              <w:t> </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2"/>
              <w:ind w:left="90" w:right="0"/>
              <w:jc w:val="center"/>
              <w:rPr>
                <w:rFonts w:ascii="宋体" w:hAnsi="宋体" w:cs="宋体" w:eastAsia="宋体" w:hint="default"/>
                <w:sz w:val="18"/>
                <w:szCs w:val="18"/>
              </w:rPr>
            </w:pPr>
            <w:r>
              <w:rPr>
                <w:rFonts w:ascii="宋体"/>
                <w:sz w:val="18"/>
              </w:rPr>
              <w:t>2018-08-10 </w:t>
            </w:r>
          </w:p>
        </w:tc>
      </w:tr>
    </w:tbl>
    <w:p>
      <w:pPr>
        <w:spacing w:before="51"/>
        <w:ind w:left="252" w:right="0" w:firstLine="0"/>
        <w:jc w:val="left"/>
        <w:rPr>
          <w:rFonts w:ascii="宋体" w:hAnsi="宋体" w:cs="宋体" w:eastAsia="宋体" w:hint="default"/>
          <w:sz w:val="18"/>
          <w:szCs w:val="18"/>
        </w:rPr>
      </w:pPr>
      <w:r>
        <w:rPr>
          <w:rFonts w:ascii="宋体"/>
          <w:sz w:val="18"/>
        </w:rPr>
        <w:t> </w:t>
      </w:r>
    </w:p>
    <w:p>
      <w:pPr>
        <w:pStyle w:val="Heading3"/>
        <w:spacing w:line="240" w:lineRule="auto" w:before="92"/>
        <w:ind w:left="252" w:right="0"/>
        <w:jc w:val="left"/>
        <w:rPr>
          <w:rFonts w:ascii="宋体" w:hAnsi="宋体" w:cs="宋体" w:eastAsia="宋体" w:hint="default"/>
          <w:b w:val="0"/>
          <w:bCs w:val="0"/>
        </w:rPr>
      </w:pPr>
      <w:r>
        <w:rPr>
          <w:rFonts w:ascii="宋体" w:hAnsi="宋体" w:cs="宋体" w:eastAsia="宋体" w:hint="default"/>
          <w:w w:val="99"/>
        </w:rPr>
        <w:t>   </w:t>
      </w:r>
      <w:r>
        <w:rPr/>
        <w:t>（一）公司股东、交易对手方在报告年度经营业绩做出的承诺情况</w:t>
      </w:r>
      <w:r>
        <w:rPr>
          <w:rFonts w:ascii="宋体" w:hAnsi="宋体" w:cs="宋体" w:eastAsia="宋体" w:hint="default"/>
          <w:w w:val="99"/>
        </w:rPr>
        <w:t> </w:t>
      </w:r>
      <w:r>
        <w:rPr>
          <w:rFonts w:ascii="宋体" w:hAnsi="宋体" w:cs="宋体" w:eastAsia="宋体" w:hint="default"/>
          <w:b w:val="0"/>
          <w:bCs w:val="0"/>
        </w:rPr>
      </w:r>
    </w:p>
    <w:p>
      <w:pPr>
        <w:pStyle w:val="BodyText"/>
        <w:spacing w:line="273" w:lineRule="auto" w:before="78"/>
        <w:ind w:left="252" w:right="0"/>
        <w:jc w:val="left"/>
      </w:pPr>
      <w:r>
        <w:rPr>
          <w:rFonts w:ascii="宋体" w:hAnsi="宋体" w:cs="宋体" w:eastAsia="宋体" w:hint="default"/>
          <w:w w:val="100"/>
        </w:rPr>
        <w:t>    </w:t>
      </w:r>
      <w:r>
        <w:rPr>
          <w:rFonts w:ascii="宋体" w:hAnsi="宋体" w:cs="宋体" w:eastAsia="宋体" w:hint="default"/>
          <w:spacing w:val="-2"/>
        </w:rPr>
        <w:t>2018</w:t>
      </w:r>
      <w:r>
        <w:rPr>
          <w:spacing w:val="-2"/>
        </w:rPr>
        <w:t>年重大资产重组事项，即公司分别向刘英魁以及嘉语春华、嘉惠秋实发行股份及支付现金购买其</w:t>
      </w:r>
      <w:r>
        <w:rPr>
          <w:w w:val="100"/>
        </w:rPr>
        <w:t> </w:t>
      </w:r>
      <w:r>
        <w:rPr>
          <w:spacing w:val="-2"/>
        </w:rPr>
        <w:t>合计持有的嘉华信息</w:t>
      </w:r>
      <w:r>
        <w:rPr>
          <w:rFonts w:ascii="宋体" w:hAnsi="宋体" w:cs="宋体" w:eastAsia="宋体" w:hint="default"/>
          <w:spacing w:val="-2"/>
        </w:rPr>
        <w:t>100%</w:t>
      </w:r>
      <w:r>
        <w:rPr>
          <w:spacing w:val="-2"/>
        </w:rPr>
        <w:t>股权，相关资产已于</w:t>
      </w:r>
      <w:r>
        <w:rPr>
          <w:rFonts w:ascii="宋体" w:hAnsi="宋体" w:cs="宋体" w:eastAsia="宋体" w:hint="default"/>
          <w:spacing w:val="-2"/>
        </w:rPr>
        <w:t>2018</w:t>
      </w:r>
      <w:r>
        <w:rPr>
          <w:spacing w:val="-2"/>
        </w:rPr>
        <w:t>年完成资产过户。根据公司与交易对方签署的《业绩补</w:t>
      </w:r>
    </w:p>
    <w:p>
      <w:pPr>
        <w:spacing w:after="0" w:line="273" w:lineRule="auto"/>
        <w:jc w:val="left"/>
        <w:sectPr>
          <w:pgSz w:w="11910" w:h="16840"/>
          <w:pgMar w:header="880" w:footer="975" w:top="1100" w:bottom="1160" w:left="880" w:right="0"/>
        </w:sectPr>
      </w:pPr>
    </w:p>
    <w:p>
      <w:pPr>
        <w:spacing w:line="240" w:lineRule="auto" w:before="11"/>
        <w:rPr>
          <w:rFonts w:ascii="宋体" w:hAnsi="宋体" w:cs="宋体" w:eastAsia="宋体" w:hint="default"/>
          <w:sz w:val="20"/>
          <w:szCs w:val="20"/>
        </w:rPr>
      </w:pPr>
    </w:p>
    <w:p>
      <w:pPr>
        <w:pStyle w:val="BodyText"/>
        <w:spacing w:line="273" w:lineRule="auto" w:before="36"/>
        <w:ind w:right="1126"/>
        <w:jc w:val="both"/>
        <w:rPr>
          <w:rFonts w:ascii="宋体" w:hAnsi="宋体" w:cs="宋体" w:eastAsia="宋体" w:hint="default"/>
        </w:rPr>
      </w:pPr>
      <w:r>
        <w:rPr>
          <w:spacing w:val="-2"/>
        </w:rPr>
        <w:t>偿协议》，本次交易业绩承诺期间为</w:t>
      </w:r>
      <w:r>
        <w:rPr>
          <w:rFonts w:ascii="宋体" w:hAnsi="宋体" w:cs="宋体" w:eastAsia="宋体" w:hint="default"/>
          <w:spacing w:val="-2"/>
        </w:rPr>
        <w:t>2017</w:t>
      </w:r>
      <w:r>
        <w:rPr>
          <w:spacing w:val="-2"/>
        </w:rPr>
        <w:t>年度、</w:t>
      </w:r>
      <w:r>
        <w:rPr>
          <w:rFonts w:ascii="宋体" w:hAnsi="宋体" w:cs="宋体" w:eastAsia="宋体" w:hint="default"/>
          <w:spacing w:val="-2"/>
        </w:rPr>
        <w:t>2018</w:t>
      </w:r>
      <w:r>
        <w:rPr>
          <w:spacing w:val="-2"/>
        </w:rPr>
        <w:t>年度、</w:t>
      </w:r>
      <w:r>
        <w:rPr>
          <w:rFonts w:ascii="宋体" w:hAnsi="宋体" w:cs="宋体" w:eastAsia="宋体" w:hint="default"/>
          <w:spacing w:val="-2"/>
        </w:rPr>
        <w:t>2019</w:t>
      </w:r>
      <w:r>
        <w:rPr>
          <w:spacing w:val="-2"/>
        </w:rPr>
        <w:t>年度和</w:t>
      </w:r>
      <w:r>
        <w:rPr>
          <w:rFonts w:ascii="宋体" w:hAnsi="宋体" w:cs="宋体" w:eastAsia="宋体" w:hint="default"/>
          <w:spacing w:val="-2"/>
        </w:rPr>
        <w:t>2020</w:t>
      </w:r>
      <w:r>
        <w:rPr>
          <w:spacing w:val="-2"/>
        </w:rPr>
        <w:t>年度。根据本次交易的评估结</w:t>
      </w:r>
      <w:r>
        <w:rPr>
          <w:spacing w:val="-34"/>
        </w:rPr>
        <w:t> </w:t>
      </w:r>
      <w:r>
        <w:rPr>
          <w:spacing w:val="-34"/>
        </w:rPr>
      </w:r>
      <w:r>
        <w:rPr>
          <w:spacing w:val="-2"/>
        </w:rPr>
        <w:t>果及交易作价，交易对方承诺</w:t>
      </w:r>
      <w:r>
        <w:rPr>
          <w:rFonts w:ascii="宋体" w:hAnsi="宋体" w:cs="宋体" w:eastAsia="宋体" w:hint="default"/>
          <w:spacing w:val="-2"/>
        </w:rPr>
        <w:t>2017</w:t>
      </w:r>
      <w:r>
        <w:rPr>
          <w:spacing w:val="-2"/>
        </w:rPr>
        <w:t>年度、</w:t>
      </w:r>
      <w:r>
        <w:rPr>
          <w:rFonts w:ascii="宋体" w:hAnsi="宋体" w:cs="宋体" w:eastAsia="宋体" w:hint="default"/>
          <w:spacing w:val="-2"/>
        </w:rPr>
        <w:t>2018</w:t>
      </w:r>
      <w:r>
        <w:rPr>
          <w:spacing w:val="-2"/>
        </w:rPr>
        <w:t>年度、</w:t>
      </w:r>
      <w:r>
        <w:rPr>
          <w:rFonts w:ascii="宋体" w:hAnsi="宋体" w:cs="宋体" w:eastAsia="宋体" w:hint="default"/>
          <w:spacing w:val="-2"/>
        </w:rPr>
        <w:t>2019</w:t>
      </w:r>
      <w:r>
        <w:rPr>
          <w:spacing w:val="-2"/>
        </w:rPr>
        <w:t>年度和</w:t>
      </w:r>
      <w:r>
        <w:rPr>
          <w:rFonts w:ascii="宋体" w:hAnsi="宋体" w:cs="宋体" w:eastAsia="宋体" w:hint="default"/>
          <w:spacing w:val="-2"/>
        </w:rPr>
        <w:t>2020</w:t>
      </w:r>
      <w:r>
        <w:rPr>
          <w:spacing w:val="-2"/>
        </w:rPr>
        <w:t>年度标的公司净利润不低于</w:t>
      </w:r>
      <w:r>
        <w:rPr>
          <w:rFonts w:ascii="宋体" w:hAnsi="宋体" w:cs="宋体" w:eastAsia="宋体" w:hint="default"/>
          <w:spacing w:val="-2"/>
        </w:rPr>
        <w:t>10,200</w:t>
      </w:r>
      <w:r>
        <w:rPr>
          <w:spacing w:val="-2"/>
        </w:rPr>
        <w:t>万</w:t>
      </w:r>
      <w:r>
        <w:rPr>
          <w:spacing w:val="-26"/>
        </w:rPr>
        <w:t> </w:t>
      </w:r>
      <w:r>
        <w:rPr>
          <w:spacing w:val="-2"/>
        </w:rPr>
        <w:t>元、</w:t>
      </w:r>
      <w:r>
        <w:rPr>
          <w:rFonts w:ascii="宋体" w:hAnsi="宋体" w:cs="宋体" w:eastAsia="宋体" w:hint="default"/>
          <w:spacing w:val="-2"/>
        </w:rPr>
        <w:t>13,400</w:t>
      </w:r>
      <w:r>
        <w:rPr>
          <w:spacing w:val="-2"/>
        </w:rPr>
        <w:t>万元、</w:t>
      </w:r>
      <w:r>
        <w:rPr>
          <w:rFonts w:ascii="宋体" w:hAnsi="宋体" w:cs="宋体" w:eastAsia="宋体" w:hint="default"/>
          <w:spacing w:val="-2"/>
        </w:rPr>
        <w:t>16,700</w:t>
      </w:r>
      <w:r>
        <w:rPr>
          <w:spacing w:val="-2"/>
        </w:rPr>
        <w:t>万元及</w:t>
      </w:r>
      <w:r>
        <w:rPr>
          <w:rFonts w:ascii="宋体" w:hAnsi="宋体" w:cs="宋体" w:eastAsia="宋体" w:hint="default"/>
          <w:spacing w:val="-2"/>
        </w:rPr>
        <w:t>20,100</w:t>
      </w:r>
      <w:r>
        <w:rPr>
          <w:spacing w:val="-2"/>
        </w:rPr>
        <w:t>万元。业绩承诺期内，依据嘉华信息专项审核报告，若嘉华信息于</w:t>
      </w:r>
      <w:r>
        <w:rPr>
          <w:spacing w:val="-26"/>
        </w:rPr>
        <w:t> </w:t>
      </w:r>
      <w:r>
        <w:rPr>
          <w:spacing w:val="-26"/>
        </w:rPr>
      </w:r>
      <w:r>
        <w:rPr>
          <w:spacing w:val="-2"/>
        </w:rPr>
        <w:t>业绩承诺期间某年度期末累积实现的嘉华信息实际净利润数低于同期累积的嘉华信息承诺净利润数，则差</w:t>
      </w:r>
      <w:r>
        <w:rPr>
          <w:spacing w:val="-43"/>
        </w:rPr>
        <w:t> </w:t>
      </w:r>
      <w:r>
        <w:rPr>
          <w:spacing w:val="-43"/>
        </w:rPr>
      </w:r>
      <w:r>
        <w:rPr>
          <w:spacing w:val="-2"/>
        </w:rPr>
        <w:t>额部分由交易对方按照《业绩补偿协议》的约定对上市公司进行补偿。刘英魁、嘉语春华和嘉惠秋实相互</w:t>
      </w:r>
      <w:r>
        <w:rPr>
          <w:spacing w:val="-50"/>
        </w:rPr>
        <w:t> </w:t>
      </w:r>
      <w:r>
        <w:rPr>
          <w:spacing w:val="-50"/>
        </w:rPr>
      </w:r>
      <w:r>
        <w:rPr/>
        <w:t>之间承担连带责任。</w:t>
      </w:r>
      <w:r>
        <w:rPr>
          <w:rFonts w:ascii="宋体" w:hAnsi="宋体" w:cs="宋体" w:eastAsia="宋体" w:hint="default"/>
        </w:rPr>
        <w:t> </w:t>
      </w:r>
    </w:p>
    <w:p>
      <w:pPr>
        <w:pStyle w:val="BodyText"/>
        <w:spacing w:line="273" w:lineRule="auto" w:before="48"/>
        <w:ind w:right="819" w:firstLine="420"/>
        <w:jc w:val="left"/>
        <w:rPr>
          <w:rFonts w:ascii="宋体" w:hAnsi="宋体" w:cs="宋体" w:eastAsia="宋体" w:hint="default"/>
        </w:rPr>
      </w:pPr>
      <w:r>
        <w:rPr>
          <w:spacing w:val="-7"/>
        </w:rPr>
        <w:t>根据公司聘请的具有证券业务资格的会计师事务所亚太（集团）会计师事务所出具的亚会</w:t>
      </w:r>
      <w:r>
        <w:rPr>
          <w:rFonts w:ascii="宋体" w:hAnsi="宋体" w:cs="宋体" w:eastAsia="宋体" w:hint="default"/>
          <w:spacing w:val="-7"/>
        </w:rPr>
        <w:t>A</w:t>
      </w:r>
      <w:r>
        <w:rPr>
          <w:spacing w:val="-7"/>
        </w:rPr>
        <w:t>核字（</w:t>
      </w:r>
      <w:r>
        <w:rPr>
          <w:rFonts w:ascii="宋体" w:hAnsi="宋体" w:cs="宋体" w:eastAsia="宋体" w:hint="default"/>
          <w:spacing w:val="-7"/>
        </w:rPr>
        <w:t>2020</w:t>
      </w:r>
      <w:r>
        <w:rPr>
          <w:spacing w:val="-7"/>
        </w:rPr>
        <w:t>）</w:t>
      </w:r>
      <w:r>
        <w:rPr>
          <w:w w:val="100"/>
        </w:rPr>
        <w:t> </w:t>
      </w:r>
      <w:r>
        <w:rPr>
          <w:rFonts w:ascii="宋体" w:hAnsi="宋体" w:cs="宋体" w:eastAsia="宋体" w:hint="default"/>
          <w:spacing w:val="-2"/>
        </w:rPr>
        <w:t>0153</w:t>
      </w:r>
      <w:r>
        <w:rPr>
          <w:spacing w:val="-2"/>
        </w:rPr>
        <w:t>号《关于中嘉博创信息技术股份有限公司收购北京中天嘉华信息技术有限公司之</w:t>
      </w:r>
      <w:r>
        <w:rPr>
          <w:rFonts w:ascii="宋体" w:hAnsi="宋体" w:cs="宋体" w:eastAsia="宋体" w:hint="default"/>
          <w:spacing w:val="-2"/>
        </w:rPr>
        <w:t>2019</w:t>
      </w:r>
      <w:r>
        <w:rPr>
          <w:spacing w:val="-2"/>
        </w:rPr>
        <w:t>年度盈利预测实</w:t>
      </w:r>
      <w:r>
        <w:rPr>
          <w:spacing w:val="-36"/>
        </w:rPr>
        <w:t> </w:t>
      </w:r>
      <w:r>
        <w:rPr>
          <w:spacing w:val="-36"/>
        </w:rPr>
      </w:r>
      <w:r>
        <w:rPr/>
        <w:t>现情况的专项审核报告》，</w:t>
      </w:r>
      <w:r>
        <w:rPr>
          <w:rFonts w:ascii="宋体" w:hAnsi="宋体" w:cs="宋体" w:eastAsia="宋体" w:hint="default"/>
        </w:rPr>
        <w:t>2019</w:t>
      </w:r>
      <w:r>
        <w:rPr/>
        <w:t>年嘉华信息扣除非经常性损益后的实际净利润为</w:t>
      </w:r>
      <w:r>
        <w:rPr>
          <w:rFonts w:ascii="宋体" w:hAnsi="宋体" w:cs="宋体" w:eastAsia="宋体" w:hint="default"/>
        </w:rPr>
        <w:t>16,635.24</w:t>
      </w:r>
      <w:r>
        <w:rPr/>
        <w:t>万元，低于盈</w:t>
      </w:r>
      <w:r>
        <w:rPr>
          <w:spacing w:val="-27"/>
        </w:rPr>
        <w:t> </w:t>
      </w:r>
      <w:r>
        <w:rPr>
          <w:spacing w:val="-27"/>
        </w:rPr>
      </w:r>
      <w:r>
        <w:rPr/>
        <w:t>利预测数</w:t>
      </w:r>
      <w:r>
        <w:rPr>
          <w:rFonts w:ascii="宋体" w:hAnsi="宋体" w:cs="宋体" w:eastAsia="宋体" w:hint="default"/>
        </w:rPr>
        <w:t>16,700.00</w:t>
      </w:r>
      <w:r>
        <w:rPr/>
        <w:t>万元。</w:t>
      </w:r>
      <w:r>
        <w:rPr>
          <w:spacing w:val="-14"/>
        </w:rPr>
        <w:t> </w:t>
      </w:r>
      <w:r>
        <w:rPr>
          <w:rFonts w:ascii="宋体" w:hAnsi="宋体" w:cs="宋体" w:eastAsia="宋体" w:hint="default"/>
          <w:spacing w:val="-14"/>
        </w:rPr>
      </w:r>
      <w:r>
        <w:rPr>
          <w:rFonts w:ascii="宋体" w:hAnsi="宋体" w:cs="宋体" w:eastAsia="宋体" w:hint="default"/>
        </w:rPr>
        <w:t>2017</w:t>
      </w:r>
      <w:r>
        <w:rPr/>
        <w:t>年、</w:t>
      </w:r>
      <w:r>
        <w:rPr>
          <w:rFonts w:ascii="宋体" w:hAnsi="宋体" w:cs="宋体" w:eastAsia="宋体" w:hint="default"/>
        </w:rPr>
        <w:t>2018</w:t>
      </w:r>
      <w:r>
        <w:rPr/>
        <w:t>年、</w:t>
      </w:r>
      <w:r>
        <w:rPr>
          <w:rFonts w:ascii="宋体" w:hAnsi="宋体" w:cs="宋体" w:eastAsia="宋体" w:hint="default"/>
        </w:rPr>
        <w:t>2019</w:t>
      </w:r>
      <w:r>
        <w:rPr/>
        <w:t>年嘉华信息合计实现的扣除非经常性损益后的净利润为</w:t>
      </w:r>
      <w:r>
        <w:rPr>
          <w:w w:val="100"/>
        </w:rPr>
        <w:t> </w:t>
      </w:r>
      <w:r>
        <w:rPr>
          <w:rFonts w:ascii="宋体" w:hAnsi="宋体" w:cs="宋体" w:eastAsia="宋体" w:hint="default"/>
        </w:rPr>
        <w:t>41,465.97</w:t>
      </w:r>
      <w:r>
        <w:rPr/>
        <w:t>万元，高于三年业绩承诺合计数</w:t>
      </w:r>
      <w:r>
        <w:rPr>
          <w:rFonts w:ascii="宋体" w:hAnsi="宋体" w:cs="宋体" w:eastAsia="宋体" w:hint="default"/>
        </w:rPr>
        <w:t>40,300</w:t>
      </w:r>
      <w:r>
        <w:rPr/>
        <w:t>万元，没有触发约定的应履行承诺条款，刘英魁以及嘉</w:t>
      </w:r>
      <w:r>
        <w:rPr>
          <w:spacing w:val="-29"/>
        </w:rPr>
        <w:t> </w:t>
      </w:r>
      <w:r>
        <w:rPr>
          <w:spacing w:val="-29"/>
        </w:rPr>
      </w:r>
      <w:r>
        <w:rPr/>
        <w:t>语春华、嘉惠秋实不予以补偿。</w:t>
      </w:r>
      <w:r>
        <w:rPr>
          <w:rFonts w:ascii="宋体" w:hAnsi="宋体" w:cs="宋体" w:eastAsia="宋体" w:hint="default"/>
        </w:rPr>
        <w:t> </w:t>
      </w:r>
    </w:p>
    <w:p>
      <w:pPr>
        <w:pStyle w:val="BodyText"/>
        <w:spacing w:line="240" w:lineRule="auto" w:before="46"/>
        <w:ind w:left="573" w:right="1133"/>
        <w:jc w:val="left"/>
        <w:rPr>
          <w:rFonts w:ascii="宋体" w:hAnsi="宋体" w:cs="宋体" w:eastAsia="宋体" w:hint="default"/>
        </w:rPr>
      </w:pPr>
      <w:r>
        <w:rPr/>
        <w:t>亚太（集团）会计师事务所出具的专项审核报告</w:t>
      </w:r>
      <w:r>
        <w:rPr>
          <w:rFonts w:ascii="宋体" w:hAnsi="宋体" w:cs="宋体" w:eastAsia="宋体" w:hint="default"/>
        </w:rPr>
        <w:t>(</w:t>
      </w:r>
      <w:r>
        <w:rPr/>
        <w:t>含审计报告</w:t>
      </w:r>
      <w:r>
        <w:rPr>
          <w:rFonts w:ascii="宋体" w:hAnsi="宋体" w:cs="宋体" w:eastAsia="宋体" w:hint="default"/>
        </w:rPr>
        <w:t>)</w:t>
      </w:r>
      <w:r>
        <w:rPr/>
        <w:t>与本年报同日刊载于巨潮资讯网。</w:t>
      </w:r>
      <w:r>
        <w:rPr>
          <w:rFonts w:ascii="宋体" w:hAnsi="宋体" w:cs="宋体" w:eastAsia="宋体" w:hint="default"/>
        </w:rPr>
        <w:t> </w:t>
      </w:r>
    </w:p>
    <w:p>
      <w:pPr>
        <w:spacing w:line="240" w:lineRule="auto" w:before="3"/>
        <w:rPr>
          <w:rFonts w:ascii="宋体" w:hAnsi="宋体" w:cs="宋体" w:eastAsia="宋体" w:hint="default"/>
          <w:sz w:val="21"/>
          <w:szCs w:val="21"/>
        </w:rPr>
      </w:pPr>
    </w:p>
    <w:p>
      <w:pPr>
        <w:pStyle w:val="Heading3"/>
        <w:spacing w:line="240" w:lineRule="auto" w:before="0"/>
        <w:ind w:right="0"/>
        <w:jc w:val="both"/>
        <w:rPr>
          <w:rFonts w:ascii="宋体" w:hAnsi="宋体" w:cs="宋体" w:eastAsia="宋体" w:hint="default"/>
          <w:b w:val="0"/>
          <w:bCs w:val="0"/>
        </w:rPr>
      </w:pPr>
      <w:r>
        <w:rPr>
          <w:rFonts w:ascii="宋体" w:hAnsi="宋体" w:cs="宋体" w:eastAsia="宋体" w:hint="default"/>
          <w:w w:val="99"/>
        </w:rPr>
        <w:t>   </w:t>
      </w:r>
      <w:r>
        <w:rPr/>
        <w:t>（二）业绩承诺的完成情况及其对商誉减值测试的影响</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57"/>
        <w:ind w:left="573" w:right="1133"/>
        <w:jc w:val="left"/>
        <w:rPr>
          <w:rFonts w:ascii="宋体" w:hAnsi="宋体" w:cs="宋体" w:eastAsia="宋体" w:hint="default"/>
        </w:rPr>
      </w:pPr>
      <w:r>
        <w:rPr/>
        <w:t>□ 适用 </w:t>
      </w:r>
      <w:r>
        <w:rPr>
          <w:rFonts w:ascii="宋体" w:hAnsi="宋体" w:cs="宋体" w:eastAsia="宋体" w:hint="default"/>
        </w:rPr>
      </w:r>
      <w:r>
        <w:rPr>
          <w:spacing w:val="-3"/>
        </w:rPr>
        <w:t>√</w:t>
      </w:r>
      <w:r>
        <w:rPr/>
        <w:t> 不适用</w:t>
      </w:r>
      <w:r>
        <w:rPr>
          <w:rFonts w:ascii="宋体" w:hAnsi="宋体" w:cs="宋体" w:eastAsia="宋体" w:hint="default"/>
        </w:rPr>
        <w:t> </w:t>
      </w:r>
    </w:p>
    <w:p>
      <w:pPr>
        <w:pStyle w:val="Heading2"/>
        <w:spacing w:line="610" w:lineRule="atLeast" w:before="76"/>
        <w:ind w:left="513" w:right="1903" w:firstLine="422"/>
        <w:jc w:val="left"/>
        <w:rPr>
          <w:b w:val="0"/>
          <w:bCs w:val="0"/>
        </w:rPr>
      </w:pPr>
      <w:r>
        <w:rPr/>
        <w:t>第三节</w:t>
      </w:r>
      <w:r>
        <w:rPr>
          <w:spacing w:val="-4"/>
        </w:rPr>
        <w:t> </w:t>
      </w:r>
      <w:r>
        <w:rPr/>
        <w:t>资金占用、会计政策及报表合并范围变化、聘任会计师事务所等情况</w:t>
      </w:r>
      <w:r>
        <w:rPr>
          <w:w w:val="99"/>
        </w:rPr>
        <w:t> </w:t>
      </w:r>
      <w:r>
        <w:rPr/>
        <w:t>一、控股股东及其关联方对上市公司的非经营性占用资金情况</w:t>
      </w:r>
      <w:r>
        <w:rPr>
          <w:b w:val="0"/>
          <w:bCs w:val="0"/>
        </w:rPr>
      </w:r>
    </w:p>
    <w:p>
      <w:pPr>
        <w:pStyle w:val="BodyText"/>
        <w:spacing w:line="307" w:lineRule="auto" w:before="143"/>
        <w:ind w:left="573" w:right="2896"/>
        <w:jc w:val="left"/>
        <w:rPr>
          <w:rFonts w:ascii="宋体" w:hAnsi="宋体" w:cs="宋体" w:eastAsia="宋体" w:hint="default"/>
        </w:rPr>
      </w:pPr>
      <w:r>
        <w:rPr/>
        <w:t>□ 适用 </w:t>
      </w:r>
      <w:r>
        <w:rPr>
          <w:rFonts w:ascii="宋体" w:hAnsi="宋体" w:cs="宋体" w:eastAsia="宋体" w:hint="default"/>
        </w:rPr>
      </w:r>
      <w:r>
        <w:rPr>
          <w:spacing w:val="-3"/>
        </w:rPr>
        <w:t>√</w:t>
      </w:r>
      <w:r>
        <w:rPr>
          <w:spacing w:val="1"/>
        </w:rPr>
        <w:t> </w:t>
      </w:r>
      <w:r>
        <w:rPr/>
        <w:t>不适用</w:t>
      </w:r>
      <w:r>
        <w:rPr>
          <w:rFonts w:ascii="宋体" w:hAnsi="宋体" w:cs="宋体" w:eastAsia="宋体" w:hint="default"/>
          <w:spacing w:val="-3"/>
          <w:w w:val="100"/>
        </w:rPr>
        <w:t> </w:t>
      </w:r>
      <w:r>
        <w:rPr>
          <w:rFonts w:ascii="宋体" w:hAnsi="宋体" w:cs="宋体" w:eastAsia="宋体" w:hint="default"/>
          <w:w w:val="100"/>
        </w:rPr>
        <w:t> </w:t>
      </w:r>
      <w:r>
        <w:rPr/>
        <w:t>公司报告期不存在控股股东及其关联方对上市公司的非经营性占用资金。</w:t>
      </w:r>
      <w:r>
        <w:rPr>
          <w:rFonts w:ascii="宋体" w:hAnsi="宋体" w:cs="宋体" w:eastAsia="宋体" w:hint="default"/>
        </w:rPr>
        <w:t> </w:t>
      </w:r>
    </w:p>
    <w:p>
      <w:pPr>
        <w:pStyle w:val="BodyText"/>
        <w:spacing w:line="273" w:lineRule="auto" w:before="19"/>
        <w:ind w:right="1126"/>
        <w:jc w:val="both"/>
        <w:rPr>
          <w:rFonts w:ascii="宋体" w:hAnsi="宋体" w:cs="宋体" w:eastAsia="宋体" w:hint="default"/>
        </w:rPr>
      </w:pPr>
      <w:r>
        <w:rPr>
          <w:rFonts w:ascii="宋体" w:hAnsi="宋体" w:cs="宋体" w:eastAsia="宋体" w:hint="default"/>
          <w:w w:val="100"/>
        </w:rPr>
        <w:t>    </w:t>
      </w:r>
      <w:r>
        <w:rPr>
          <w:spacing w:val="-2"/>
        </w:rPr>
        <w:t>公司年审会计师事务所亚太（集团）会计师事务所对资金占用的专项审核意见与本年报同日刊载于巨</w:t>
      </w:r>
      <w:r>
        <w:rPr>
          <w:w w:val="100"/>
        </w:rPr>
        <w:t> </w:t>
      </w:r>
      <w:r>
        <w:rPr/>
        <w:t>潮资讯网。</w:t>
      </w:r>
      <w:r>
        <w:rPr>
          <w:rFonts w:ascii="宋体" w:hAnsi="宋体" w:cs="宋体" w:eastAsia="宋体" w:hint="default"/>
        </w:rPr>
        <w:t> </w:t>
      </w:r>
    </w:p>
    <w:p>
      <w:pPr>
        <w:pStyle w:val="Heading2"/>
        <w:spacing w:line="240" w:lineRule="auto" w:before="100"/>
        <w:ind w:left="513" w:right="1133"/>
        <w:jc w:val="left"/>
        <w:rPr>
          <w:rFonts w:ascii="宋体" w:hAnsi="宋体" w:cs="宋体" w:eastAsia="宋体" w:hint="default"/>
          <w:b w:val="0"/>
          <w:bCs w:val="0"/>
        </w:rPr>
      </w:pPr>
      <w:r>
        <w:rPr>
          <w:spacing w:val="-25"/>
        </w:rPr>
        <w:t>二、董事会、监事会、独立董事（如有）对会计师事务所本报告期“非标准审计报告”的说明</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64"/>
        <w:ind w:right="0"/>
        <w:jc w:val="both"/>
        <w:rPr>
          <w:rFonts w:ascii="宋体" w:hAnsi="宋体" w:cs="宋体" w:eastAsia="宋体" w:hint="default"/>
        </w:rPr>
      </w:pPr>
      <w:r>
        <w:rPr>
          <w:rFonts w:ascii="宋体" w:hAnsi="宋体" w:cs="宋体" w:eastAsia="宋体" w:hint="default"/>
          <w:w w:val="100"/>
        </w:rPr>
        <w:t>    </w:t>
      </w:r>
      <w:r>
        <w:rPr>
          <w:spacing w:val="-3"/>
        </w:rPr>
        <w:t>□ </w:t>
      </w:r>
      <w:r>
        <w:rPr/>
        <w:t>适用 </w:t>
      </w:r>
      <w:r>
        <w:rPr>
          <w:rFonts w:ascii="宋体" w:hAnsi="宋体" w:cs="宋体" w:eastAsia="宋体" w:hint="default"/>
        </w:rPr>
      </w:r>
      <w:r>
        <w:rPr>
          <w:spacing w:val="-3"/>
        </w:rPr>
        <w:t>√</w:t>
      </w:r>
      <w:r>
        <w:rPr>
          <w:spacing w:val="3"/>
        </w:rPr>
        <w:t> </w:t>
      </w:r>
      <w:r>
        <w:rPr/>
        <w:t>不适用</w:t>
      </w:r>
      <w:r>
        <w:rPr>
          <w:rFonts w:ascii="宋体" w:hAnsi="宋体" w:cs="宋体" w:eastAsia="宋体" w:hint="default"/>
        </w:rPr>
        <w:t> </w:t>
      </w:r>
    </w:p>
    <w:p>
      <w:pPr>
        <w:pStyle w:val="Heading2"/>
        <w:spacing w:line="240" w:lineRule="auto" w:before="131"/>
        <w:ind w:left="633" w:right="1133"/>
        <w:jc w:val="left"/>
        <w:rPr>
          <w:b w:val="0"/>
          <w:bCs w:val="0"/>
        </w:rPr>
      </w:pPr>
      <w:r>
        <w:rPr/>
        <w:t>三、与上年度财务报告相比，会计政策、会计估计和核算方法发生变化的情况说明</w:t>
      </w:r>
      <w:r>
        <w:rPr>
          <w:b w:val="0"/>
          <w:bCs w:val="0"/>
        </w:rPr>
      </w:r>
    </w:p>
    <w:p>
      <w:pPr>
        <w:pStyle w:val="BodyText"/>
        <w:spacing w:line="240" w:lineRule="auto" w:before="23"/>
        <w:ind w:right="0"/>
        <w:jc w:val="both"/>
        <w:rPr>
          <w:rFonts w:ascii="宋体" w:hAnsi="宋体" w:cs="宋体" w:eastAsia="宋体" w:hint="default"/>
        </w:rPr>
      </w:pPr>
      <w:r>
        <w:rPr>
          <w:rFonts w:ascii="宋体" w:hAnsi="宋体" w:cs="宋体" w:eastAsia="宋体" w:hint="default"/>
          <w:w w:val="100"/>
        </w:rPr>
        <w:t>    </w:t>
      </w:r>
      <w:r>
        <w:rPr>
          <w:spacing w:val="-3"/>
        </w:rPr>
        <w:t>√ </w:t>
      </w:r>
      <w:r>
        <w:rPr/>
        <w:t>适用 </w:t>
      </w:r>
      <w:r>
        <w:rPr>
          <w:rFonts w:ascii="宋体" w:hAnsi="宋体" w:cs="宋体" w:eastAsia="宋体" w:hint="default"/>
        </w:rPr>
      </w:r>
      <w:r>
        <w:rPr>
          <w:spacing w:val="-3"/>
        </w:rPr>
        <w:t>□</w:t>
      </w:r>
      <w:r>
        <w:rPr>
          <w:spacing w:val="3"/>
        </w:rPr>
        <w:t> </w:t>
      </w:r>
      <w:r>
        <w:rPr/>
        <w:t>不适用</w:t>
      </w:r>
      <w:r>
        <w:rPr>
          <w:rFonts w:ascii="宋体" w:hAnsi="宋体" w:cs="宋体" w:eastAsia="宋体" w:hint="default"/>
        </w:rPr>
        <w:t> </w:t>
      </w:r>
    </w:p>
    <w:p>
      <w:pPr>
        <w:pStyle w:val="BodyText"/>
        <w:spacing w:line="240" w:lineRule="auto" w:before="78"/>
        <w:ind w:left="573" w:right="1133"/>
        <w:jc w:val="left"/>
      </w:pPr>
      <w:r>
        <w:rPr>
          <w:rFonts w:ascii="宋体" w:hAnsi="宋体" w:cs="宋体" w:eastAsia="宋体" w:hint="default"/>
        </w:rPr>
        <w:t>1</w:t>
      </w:r>
      <w:r>
        <w:rPr/>
        <w:t>、经公司</w:t>
      </w:r>
      <w:r>
        <w:rPr>
          <w:spacing w:val="-56"/>
        </w:rPr>
        <w:t> </w:t>
      </w:r>
      <w:r>
        <w:rPr>
          <w:rFonts w:ascii="宋体" w:hAnsi="宋体" w:cs="宋体" w:eastAsia="宋体" w:hint="default"/>
        </w:rPr>
        <w:t>2019</w:t>
      </w:r>
      <w:r>
        <w:rPr>
          <w:rFonts w:ascii="宋体" w:hAnsi="宋体" w:cs="宋体" w:eastAsia="宋体" w:hint="default"/>
          <w:spacing w:val="-56"/>
        </w:rPr>
        <w:t> </w:t>
      </w:r>
      <w:r>
        <w:rPr/>
        <w:t>年</w:t>
      </w:r>
      <w:r>
        <w:rPr>
          <w:spacing w:val="-54"/>
        </w:rPr>
        <w:t> </w:t>
      </w:r>
      <w:r>
        <w:rPr>
          <w:rFonts w:ascii="宋体" w:hAnsi="宋体" w:cs="宋体" w:eastAsia="宋体" w:hint="default"/>
        </w:rPr>
        <w:t>8</w:t>
      </w:r>
      <w:r>
        <w:rPr>
          <w:rFonts w:ascii="宋体" w:hAnsi="宋体" w:cs="宋体" w:eastAsia="宋体" w:hint="default"/>
          <w:spacing w:val="-56"/>
        </w:rPr>
        <w:t> </w:t>
      </w:r>
      <w:r>
        <w:rPr/>
        <w:t>月</w:t>
      </w:r>
      <w:r>
        <w:rPr>
          <w:spacing w:val="-54"/>
        </w:rPr>
        <w:t> </w:t>
      </w:r>
      <w:r>
        <w:rPr>
          <w:rFonts w:ascii="宋体" w:hAnsi="宋体" w:cs="宋体" w:eastAsia="宋体" w:hint="default"/>
        </w:rPr>
        <w:t>23</w:t>
      </w:r>
      <w:r>
        <w:rPr>
          <w:rFonts w:ascii="宋体" w:hAnsi="宋体" w:cs="宋体" w:eastAsia="宋体" w:hint="default"/>
          <w:spacing w:val="-56"/>
        </w:rPr>
        <w:t> </w:t>
      </w:r>
      <w:r>
        <w:rPr/>
        <w:t>日召开的第七届董事会</w:t>
      </w:r>
      <w:r>
        <w:rPr>
          <w:spacing w:val="-53"/>
        </w:rPr>
        <w:t> </w:t>
      </w:r>
      <w:r>
        <w:rPr>
          <w:rFonts w:ascii="宋体" w:hAnsi="宋体" w:cs="宋体" w:eastAsia="宋体" w:hint="default"/>
        </w:rPr>
        <w:t>2019</w:t>
      </w:r>
      <w:r>
        <w:rPr>
          <w:rFonts w:ascii="宋体" w:hAnsi="宋体" w:cs="宋体" w:eastAsia="宋体" w:hint="default"/>
          <w:spacing w:val="-54"/>
        </w:rPr>
        <w:t> </w:t>
      </w:r>
      <w:r>
        <w:rPr/>
        <w:t>年第十一次会议、第七届监事会</w:t>
      </w:r>
      <w:r>
        <w:rPr>
          <w:spacing w:val="-53"/>
        </w:rPr>
        <w:t> </w:t>
      </w:r>
      <w:r>
        <w:rPr>
          <w:rFonts w:ascii="宋体" w:hAnsi="宋体" w:cs="宋体" w:eastAsia="宋体" w:hint="default"/>
        </w:rPr>
        <w:t>2019</w:t>
      </w:r>
      <w:r>
        <w:rPr>
          <w:rFonts w:ascii="宋体" w:hAnsi="宋体" w:cs="宋体" w:eastAsia="宋体" w:hint="default"/>
          <w:spacing w:val="-56"/>
        </w:rPr>
        <w:t> </w:t>
      </w:r>
      <w:r>
        <w:rPr/>
        <w:t>年第八</w:t>
      </w:r>
    </w:p>
    <w:p>
      <w:pPr>
        <w:pStyle w:val="BodyText"/>
        <w:spacing w:line="273" w:lineRule="auto" w:before="37"/>
        <w:ind w:right="1128"/>
        <w:jc w:val="both"/>
      </w:pPr>
      <w:r>
        <w:rPr/>
        <w:t>次会议审议通过，公司根据中华人民共和国财政部于</w:t>
      </w:r>
      <w:r>
        <w:rPr>
          <w:spacing w:val="-48"/>
        </w:rPr>
        <w:t> </w:t>
      </w:r>
      <w:r>
        <w:rPr>
          <w:rFonts w:ascii="宋体" w:hAnsi="宋体" w:cs="宋体" w:eastAsia="宋体" w:hint="default"/>
        </w:rPr>
        <w:t>2017</w:t>
      </w:r>
      <w:r>
        <w:rPr>
          <w:rFonts w:ascii="宋体" w:hAnsi="宋体" w:cs="宋体" w:eastAsia="宋体" w:hint="default"/>
          <w:spacing w:val="-49"/>
        </w:rPr>
        <w:t> </w:t>
      </w:r>
      <w:r>
        <w:rPr>
          <w:spacing w:val="-3"/>
        </w:rPr>
        <w:t>年修订印发的《企业会计准则第</w:t>
      </w:r>
      <w:r>
        <w:rPr>
          <w:spacing w:val="-48"/>
        </w:rPr>
        <w:t> </w:t>
      </w:r>
      <w:r>
        <w:rPr>
          <w:rFonts w:ascii="宋体" w:hAnsi="宋体" w:cs="宋体" w:eastAsia="宋体" w:hint="default"/>
        </w:rPr>
        <w:t>22</w:t>
      </w:r>
      <w:r>
        <w:rPr>
          <w:rFonts w:ascii="宋体" w:hAnsi="宋体" w:cs="宋体" w:eastAsia="宋体" w:hint="default"/>
          <w:spacing w:val="-49"/>
        </w:rPr>
        <w:t> </w:t>
      </w:r>
      <w:r>
        <w:rPr>
          <w:spacing w:val="-3"/>
        </w:rPr>
        <w:t>号——金融</w:t>
      </w:r>
      <w:r>
        <w:rPr>
          <w:spacing w:val="-103"/>
        </w:rPr>
        <w:t> </w:t>
      </w:r>
      <w:r>
        <w:rPr>
          <w:spacing w:val="-103"/>
        </w:rPr>
      </w:r>
      <w:r>
        <w:rPr>
          <w:spacing w:val="-8"/>
          <w:w w:val="100"/>
        </w:rPr>
        <w:t>工具确认和计量》（财会</w:t>
      </w:r>
      <w:r>
        <w:rPr>
          <w:rFonts w:ascii="宋体" w:hAnsi="宋体" w:cs="宋体" w:eastAsia="宋体" w:hint="default"/>
          <w:spacing w:val="-8"/>
          <w:w w:val="100"/>
        </w:rPr>
        <w:t>[2017]7</w:t>
      </w:r>
      <w:r>
        <w:rPr>
          <w:rFonts w:ascii="宋体" w:hAnsi="宋体" w:cs="宋体" w:eastAsia="宋体" w:hint="default"/>
          <w:spacing w:val="3"/>
          <w:w w:val="100"/>
        </w:rPr>
        <w:t> </w:t>
      </w:r>
      <w:r>
        <w:rPr>
          <w:spacing w:val="-22"/>
          <w:w w:val="100"/>
        </w:rPr>
        <w:t>号）、《企业会计准则第</w:t>
      </w:r>
      <w:r>
        <w:rPr>
          <w:spacing w:val="-51"/>
          <w:w w:val="100"/>
        </w:rPr>
        <w:t> </w:t>
      </w:r>
      <w:r>
        <w:rPr>
          <w:rFonts w:ascii="宋体" w:hAnsi="宋体" w:cs="宋体" w:eastAsia="宋体" w:hint="default"/>
          <w:spacing w:val="-2"/>
          <w:w w:val="100"/>
        </w:rPr>
        <w:t>23</w:t>
      </w:r>
      <w:r>
        <w:rPr>
          <w:rFonts w:ascii="宋体" w:hAnsi="宋体" w:cs="宋体" w:eastAsia="宋体" w:hint="default"/>
          <w:spacing w:val="-51"/>
          <w:w w:val="100"/>
        </w:rPr>
        <w:t> </w:t>
      </w:r>
      <w:r>
        <w:rPr>
          <w:spacing w:val="-8"/>
          <w:w w:val="100"/>
        </w:rPr>
        <w:t>号—金融资产转移》（财会</w:t>
      </w:r>
      <w:r>
        <w:rPr>
          <w:rFonts w:ascii="宋体" w:hAnsi="宋体" w:cs="宋体" w:eastAsia="宋体" w:hint="default"/>
          <w:spacing w:val="-8"/>
          <w:w w:val="100"/>
        </w:rPr>
        <w:t>[2017]8</w:t>
      </w:r>
      <w:r>
        <w:rPr>
          <w:rFonts w:ascii="宋体" w:hAnsi="宋体" w:cs="宋体" w:eastAsia="宋体" w:hint="default"/>
          <w:spacing w:val="-54"/>
          <w:w w:val="100"/>
        </w:rPr>
        <w:t> </w:t>
      </w:r>
      <w:r>
        <w:rPr>
          <w:spacing w:val="-40"/>
          <w:w w:val="100"/>
        </w:rPr>
        <w:t>号）、《企业</w:t>
      </w:r>
      <w:r>
        <w:rPr>
          <w:w w:val="100"/>
        </w:rPr>
        <w:t> </w:t>
      </w:r>
      <w:r>
        <w:rPr>
          <w:spacing w:val="-2"/>
          <w:w w:val="100"/>
        </w:rPr>
        <w:t>会计准则第</w:t>
      </w:r>
      <w:r>
        <w:rPr>
          <w:spacing w:val="-50"/>
          <w:w w:val="100"/>
        </w:rPr>
        <w:t> </w:t>
      </w:r>
      <w:r>
        <w:rPr>
          <w:rFonts w:ascii="宋体" w:hAnsi="宋体" w:cs="宋体" w:eastAsia="宋体" w:hint="default"/>
          <w:w w:val="100"/>
        </w:rPr>
        <w:t>24</w:t>
      </w:r>
      <w:r>
        <w:rPr>
          <w:rFonts w:ascii="宋体" w:hAnsi="宋体" w:cs="宋体" w:eastAsia="宋体" w:hint="default"/>
          <w:spacing w:val="-53"/>
          <w:w w:val="100"/>
        </w:rPr>
        <w:t> </w:t>
      </w:r>
      <w:r>
        <w:rPr>
          <w:spacing w:val="-7"/>
          <w:w w:val="100"/>
        </w:rPr>
        <w:t>号——套期会计》（财会</w:t>
      </w:r>
      <w:r>
        <w:rPr>
          <w:rFonts w:ascii="宋体" w:hAnsi="宋体" w:cs="宋体" w:eastAsia="宋体" w:hint="default"/>
          <w:spacing w:val="-7"/>
          <w:w w:val="100"/>
        </w:rPr>
        <w:t>[2017]9</w:t>
      </w:r>
      <w:r>
        <w:rPr>
          <w:rFonts w:ascii="宋体" w:hAnsi="宋体" w:cs="宋体" w:eastAsia="宋体" w:hint="default"/>
          <w:spacing w:val="-51"/>
          <w:w w:val="100"/>
        </w:rPr>
        <w:t> </w:t>
      </w:r>
      <w:r>
        <w:rPr>
          <w:spacing w:val="-21"/>
          <w:w w:val="100"/>
        </w:rPr>
        <w:t>号）、《企业会计准则第</w:t>
      </w:r>
      <w:r>
        <w:rPr>
          <w:spacing w:val="-51"/>
          <w:w w:val="100"/>
        </w:rPr>
        <w:t> </w:t>
      </w:r>
      <w:r>
        <w:rPr>
          <w:rFonts w:ascii="宋体" w:hAnsi="宋体" w:cs="宋体" w:eastAsia="宋体" w:hint="default"/>
          <w:spacing w:val="-2"/>
          <w:w w:val="100"/>
        </w:rPr>
        <w:t>37</w:t>
      </w:r>
      <w:r>
        <w:rPr>
          <w:rFonts w:ascii="宋体" w:hAnsi="宋体" w:cs="宋体" w:eastAsia="宋体" w:hint="default"/>
          <w:spacing w:val="-51"/>
          <w:w w:val="100"/>
        </w:rPr>
        <w:t> </w:t>
      </w:r>
      <w:r>
        <w:rPr>
          <w:spacing w:val="-10"/>
          <w:w w:val="100"/>
        </w:rPr>
        <w:t>号——金融工具列报》（财会</w:t>
      </w:r>
    </w:p>
    <w:p>
      <w:pPr>
        <w:pStyle w:val="BodyText"/>
        <w:spacing w:line="273" w:lineRule="auto" w:before="7"/>
        <w:ind w:right="1133"/>
        <w:jc w:val="left"/>
        <w:rPr>
          <w:rFonts w:ascii="宋体" w:hAnsi="宋体" w:cs="宋体" w:eastAsia="宋体" w:hint="default"/>
        </w:rPr>
      </w:pPr>
      <w:r>
        <w:rPr>
          <w:rFonts w:ascii="宋体" w:hAnsi="宋体" w:cs="宋体" w:eastAsia="宋体" w:hint="default"/>
        </w:rPr>
        <w:t>[2017]14</w:t>
      </w:r>
      <w:r>
        <w:rPr>
          <w:rFonts w:ascii="宋体" w:hAnsi="宋体" w:cs="宋体" w:eastAsia="宋体" w:hint="default"/>
          <w:spacing w:val="-56"/>
        </w:rPr>
        <w:t> </w:t>
      </w:r>
      <w:r>
        <w:rPr/>
        <w:t>号）要求，自</w:t>
      </w:r>
      <w:r>
        <w:rPr>
          <w:spacing w:val="-54"/>
        </w:rPr>
        <w:t> </w:t>
      </w:r>
      <w:r>
        <w:rPr>
          <w:rFonts w:ascii="宋体" w:hAnsi="宋体" w:cs="宋体" w:eastAsia="宋体" w:hint="default"/>
        </w:rPr>
        <w:t>2019</w:t>
      </w:r>
      <w:r>
        <w:rPr>
          <w:rFonts w:ascii="宋体" w:hAnsi="宋体" w:cs="宋体" w:eastAsia="宋体" w:hint="default"/>
          <w:spacing w:val="-54"/>
        </w:rPr>
        <w:t> </w:t>
      </w:r>
      <w:r>
        <w:rPr/>
        <w:t>年</w:t>
      </w:r>
      <w:r>
        <w:rPr>
          <w:spacing w:val="-55"/>
        </w:rPr>
        <w:t> </w:t>
      </w:r>
      <w:r>
        <w:rPr>
          <w:rFonts w:ascii="宋体" w:hAnsi="宋体" w:cs="宋体" w:eastAsia="宋体" w:hint="default"/>
        </w:rPr>
        <w:t>1</w:t>
      </w:r>
      <w:r>
        <w:rPr>
          <w:rFonts w:ascii="宋体" w:hAnsi="宋体" w:cs="宋体" w:eastAsia="宋体" w:hint="default"/>
          <w:spacing w:val="-54"/>
        </w:rPr>
        <w:t> </w:t>
      </w:r>
      <w:r>
        <w:rPr/>
        <w:t>月</w:t>
      </w:r>
      <w:r>
        <w:rPr>
          <w:spacing w:val="-56"/>
        </w:rPr>
        <w:t> </w:t>
      </w:r>
      <w:r>
        <w:rPr>
          <w:rFonts w:ascii="宋体" w:hAnsi="宋体" w:cs="宋体" w:eastAsia="宋体" w:hint="default"/>
        </w:rPr>
        <w:t>1</w:t>
      </w:r>
      <w:r>
        <w:rPr>
          <w:rFonts w:ascii="宋体" w:hAnsi="宋体" w:cs="宋体" w:eastAsia="宋体" w:hint="default"/>
          <w:spacing w:val="-54"/>
        </w:rPr>
        <w:t> </w:t>
      </w:r>
      <w:r>
        <w:rPr/>
        <w:t>日起执行新金融工具准则。根据准则衔接规定要求，公司对上年同</w:t>
      </w:r>
      <w:r>
        <w:rPr>
          <w:w w:val="100"/>
        </w:rPr>
        <w:t> </w:t>
      </w:r>
      <w:r>
        <w:rPr>
          <w:spacing w:val="-2"/>
        </w:rPr>
        <w:t>期比较报表不进行追溯调整，执行上述新金融工具准则不会对公司财务报表产生影响。根据《关于修订印</w:t>
      </w:r>
      <w:r>
        <w:rPr>
          <w:spacing w:val="-44"/>
        </w:rPr>
        <w:t> </w:t>
      </w:r>
      <w:r>
        <w:rPr>
          <w:spacing w:val="-44"/>
        </w:rPr>
      </w:r>
      <w:r>
        <w:rPr>
          <w:w w:val="100"/>
        </w:rPr>
        <w:t>发</w:t>
      </w:r>
      <w:r>
        <w:rPr>
          <w:spacing w:val="7"/>
          <w:w w:val="100"/>
        </w:rPr>
        <w:t> </w:t>
      </w:r>
      <w:r>
        <w:rPr>
          <w:rFonts w:ascii="宋体" w:hAnsi="宋体" w:cs="宋体" w:eastAsia="宋体" w:hint="default"/>
          <w:spacing w:val="7"/>
          <w:w w:val="100"/>
        </w:rPr>
      </w:r>
      <w:r>
        <w:rPr>
          <w:rFonts w:ascii="宋体" w:hAnsi="宋体" w:cs="宋体" w:eastAsia="宋体" w:hint="default"/>
          <w:spacing w:val="-1"/>
          <w:w w:val="100"/>
        </w:rPr>
        <w:t>2019</w:t>
      </w:r>
      <w:r>
        <w:rPr>
          <w:rFonts w:ascii="宋体" w:hAnsi="宋体" w:cs="宋体" w:eastAsia="宋体" w:hint="default"/>
          <w:spacing w:val="6"/>
          <w:w w:val="100"/>
        </w:rPr>
        <w:t> </w:t>
      </w:r>
      <w:r>
        <w:rPr>
          <w:spacing w:val="-6"/>
          <w:w w:val="100"/>
        </w:rPr>
        <w:t>年度一般企业财务报表格式的通知》（财会</w:t>
      </w:r>
      <w:r>
        <w:rPr>
          <w:rFonts w:ascii="宋体" w:hAnsi="宋体" w:cs="宋体" w:eastAsia="宋体" w:hint="default"/>
          <w:spacing w:val="-6"/>
          <w:w w:val="100"/>
        </w:rPr>
        <w:t>[2019]6</w:t>
      </w:r>
      <w:r>
        <w:rPr>
          <w:rFonts w:ascii="宋体" w:hAnsi="宋体" w:cs="宋体" w:eastAsia="宋体" w:hint="default"/>
          <w:spacing w:val="7"/>
          <w:w w:val="100"/>
        </w:rPr>
        <w:t> </w:t>
      </w:r>
      <w:r>
        <w:rPr>
          <w:spacing w:val="-2"/>
          <w:w w:val="100"/>
        </w:rPr>
        <w:t>号）相关要求编制财务报表，仅对财务报表</w:t>
      </w:r>
      <w:r>
        <w:rPr>
          <w:spacing w:val="-99"/>
          <w:w w:val="100"/>
        </w:rPr>
        <w:t> </w:t>
      </w:r>
      <w:r>
        <w:rPr>
          <w:spacing w:val="-99"/>
          <w:w w:val="100"/>
        </w:rPr>
      </w:r>
      <w:r>
        <w:rPr/>
        <w:t>格式和部分项目填列口径产生影响，不影响公司净资产、净利润等财务指标。</w:t>
      </w:r>
      <w:r>
        <w:rPr>
          <w:rFonts w:ascii="宋体" w:hAnsi="宋体" w:cs="宋体" w:eastAsia="宋体" w:hint="default"/>
        </w:rPr>
        <w:t> </w:t>
      </w:r>
    </w:p>
    <w:p>
      <w:pPr>
        <w:pStyle w:val="BodyText"/>
        <w:spacing w:line="240" w:lineRule="auto" w:before="48"/>
        <w:ind w:left="573" w:right="819"/>
        <w:jc w:val="left"/>
      </w:pPr>
      <w:r>
        <w:rPr>
          <w:rFonts w:ascii="宋体" w:hAnsi="宋体" w:cs="宋体" w:eastAsia="宋体" w:hint="default"/>
          <w:spacing w:val="-6"/>
        </w:rPr>
        <w:t>2</w:t>
      </w:r>
      <w:r>
        <w:rPr>
          <w:spacing w:val="-6"/>
        </w:rPr>
        <w:t>、经公司</w:t>
      </w:r>
      <w:r>
        <w:rPr>
          <w:spacing w:val="-53"/>
        </w:rPr>
        <w:t> </w:t>
      </w:r>
      <w:r>
        <w:rPr>
          <w:rFonts w:ascii="宋体" w:hAnsi="宋体" w:cs="宋体" w:eastAsia="宋体" w:hint="default"/>
        </w:rPr>
        <w:t>2019</w:t>
      </w:r>
      <w:r>
        <w:rPr>
          <w:rFonts w:ascii="宋体" w:hAnsi="宋体" w:cs="宋体" w:eastAsia="宋体" w:hint="default"/>
          <w:spacing w:val="-53"/>
        </w:rPr>
        <w:t> </w:t>
      </w:r>
      <w:r>
        <w:rPr/>
        <w:t>年</w:t>
      </w:r>
      <w:r>
        <w:rPr>
          <w:spacing w:val="-53"/>
        </w:rPr>
        <w:t> </w:t>
      </w:r>
      <w:r>
        <w:rPr>
          <w:rFonts w:ascii="宋体" w:hAnsi="宋体" w:cs="宋体" w:eastAsia="宋体" w:hint="default"/>
        </w:rPr>
        <w:t>10</w:t>
      </w:r>
      <w:r>
        <w:rPr>
          <w:rFonts w:ascii="宋体" w:hAnsi="宋体" w:cs="宋体" w:eastAsia="宋体" w:hint="default"/>
          <w:spacing w:val="-53"/>
        </w:rPr>
        <w:t> </w:t>
      </w:r>
      <w:r>
        <w:rPr/>
        <w:t>月</w:t>
      </w:r>
      <w:r>
        <w:rPr>
          <w:spacing w:val="-55"/>
        </w:rPr>
        <w:t> </w:t>
      </w:r>
      <w:r>
        <w:rPr>
          <w:rFonts w:ascii="宋体" w:hAnsi="宋体" w:cs="宋体" w:eastAsia="宋体" w:hint="default"/>
        </w:rPr>
        <w:t>25</w:t>
      </w:r>
      <w:r>
        <w:rPr>
          <w:rFonts w:ascii="宋体" w:hAnsi="宋体" w:cs="宋体" w:eastAsia="宋体" w:hint="default"/>
          <w:spacing w:val="-52"/>
        </w:rPr>
        <w:t> </w:t>
      </w:r>
      <w:r>
        <w:rPr/>
        <w:t>日召开的第七届董事会</w:t>
      </w:r>
      <w:r>
        <w:rPr>
          <w:spacing w:val="-55"/>
        </w:rPr>
        <w:t> </w:t>
      </w:r>
      <w:r>
        <w:rPr>
          <w:rFonts w:ascii="宋体" w:hAnsi="宋体" w:cs="宋体" w:eastAsia="宋体" w:hint="default"/>
        </w:rPr>
        <w:t>2019</w:t>
      </w:r>
      <w:r>
        <w:rPr>
          <w:rFonts w:ascii="宋体" w:hAnsi="宋体" w:cs="宋体" w:eastAsia="宋体" w:hint="default"/>
          <w:spacing w:val="-53"/>
        </w:rPr>
        <w:t> </w:t>
      </w:r>
      <w:r>
        <w:rPr/>
        <w:t>年第十三次会议和第七届监事会</w:t>
      </w:r>
      <w:r>
        <w:rPr>
          <w:spacing w:val="-52"/>
        </w:rPr>
        <w:t> </w:t>
      </w:r>
      <w:r>
        <w:rPr>
          <w:rFonts w:ascii="宋体" w:hAnsi="宋体" w:cs="宋体" w:eastAsia="宋体" w:hint="default"/>
        </w:rPr>
        <w:t>2019</w:t>
      </w:r>
      <w:r>
        <w:rPr>
          <w:rFonts w:ascii="宋体" w:hAnsi="宋体" w:cs="宋体" w:eastAsia="宋体" w:hint="default"/>
          <w:spacing w:val="-53"/>
        </w:rPr>
        <w:t> </w:t>
      </w:r>
      <w:r>
        <w:rPr/>
        <w:t>年第十</w:t>
      </w:r>
    </w:p>
    <w:p>
      <w:pPr>
        <w:pStyle w:val="BodyText"/>
        <w:spacing w:line="273" w:lineRule="auto" w:before="37"/>
        <w:ind w:right="1126"/>
        <w:jc w:val="both"/>
        <w:rPr>
          <w:rFonts w:ascii="宋体" w:hAnsi="宋体" w:cs="宋体" w:eastAsia="宋体" w:hint="default"/>
        </w:rPr>
      </w:pPr>
      <w:r>
        <w:rPr>
          <w:spacing w:val="-8"/>
          <w:w w:val="100"/>
        </w:rPr>
        <w:t>次会议审议通过，公司根据财政部于</w:t>
      </w:r>
      <w:r>
        <w:rPr>
          <w:spacing w:val="-70"/>
          <w:w w:val="100"/>
        </w:rPr>
        <w:t> </w:t>
      </w:r>
      <w:r>
        <w:rPr>
          <w:rFonts w:ascii="宋体" w:hAnsi="宋体" w:cs="宋体" w:eastAsia="宋体" w:hint="default"/>
          <w:spacing w:val="-1"/>
          <w:w w:val="100"/>
        </w:rPr>
        <w:t>2019</w:t>
      </w:r>
      <w:r>
        <w:rPr>
          <w:rFonts w:ascii="宋体" w:hAnsi="宋体" w:cs="宋体" w:eastAsia="宋体" w:hint="default"/>
          <w:spacing w:val="-68"/>
          <w:w w:val="100"/>
        </w:rPr>
        <w:t> </w:t>
      </w:r>
      <w:r>
        <w:rPr>
          <w:w w:val="100"/>
        </w:rPr>
        <w:t>年</w:t>
      </w:r>
      <w:r>
        <w:rPr>
          <w:spacing w:val="-70"/>
          <w:w w:val="100"/>
        </w:rPr>
        <w:t> </w:t>
      </w:r>
      <w:r>
        <w:rPr>
          <w:rFonts w:ascii="宋体" w:hAnsi="宋体" w:cs="宋体" w:eastAsia="宋体" w:hint="default"/>
          <w:w w:val="100"/>
        </w:rPr>
        <w:t>9</w:t>
      </w:r>
      <w:r>
        <w:rPr>
          <w:rFonts w:ascii="宋体" w:hAnsi="宋体" w:cs="宋体" w:eastAsia="宋体" w:hint="default"/>
          <w:spacing w:val="-3"/>
          <w:w w:val="100"/>
        </w:rPr>
        <w:t> </w:t>
      </w:r>
      <w:r>
        <w:rPr>
          <w:w w:val="100"/>
        </w:rPr>
        <w:t>月</w:t>
      </w:r>
      <w:r>
        <w:rPr>
          <w:spacing w:val="-68"/>
          <w:w w:val="100"/>
        </w:rPr>
        <w:t> </w:t>
      </w:r>
      <w:r>
        <w:rPr>
          <w:rFonts w:ascii="宋体" w:hAnsi="宋体" w:cs="宋体" w:eastAsia="宋体" w:hint="default"/>
          <w:spacing w:val="-2"/>
          <w:w w:val="100"/>
        </w:rPr>
        <w:t>19</w:t>
      </w:r>
      <w:r>
        <w:rPr>
          <w:rFonts w:ascii="宋体" w:hAnsi="宋体" w:cs="宋体" w:eastAsia="宋体" w:hint="default"/>
          <w:spacing w:val="-70"/>
          <w:w w:val="100"/>
        </w:rPr>
        <w:t> </w:t>
      </w:r>
      <w:r>
        <w:rPr>
          <w:spacing w:val="-10"/>
          <w:w w:val="100"/>
        </w:rPr>
        <w:t>日发布的《关于修订印发合并财务报表格式（</w:t>
      </w:r>
      <w:r>
        <w:rPr>
          <w:rFonts w:ascii="宋体" w:hAnsi="宋体" w:cs="宋体" w:eastAsia="宋体" w:hint="default"/>
          <w:spacing w:val="-10"/>
          <w:w w:val="100"/>
        </w:rPr>
        <w:t>2019</w:t>
      </w:r>
      <w:r>
        <w:rPr>
          <w:rFonts w:ascii="宋体" w:hAnsi="宋体" w:cs="宋体" w:eastAsia="宋体" w:hint="default"/>
          <w:spacing w:val="-1"/>
          <w:w w:val="100"/>
        </w:rPr>
        <w:t> </w:t>
      </w:r>
      <w:r>
        <w:rPr>
          <w:spacing w:val="-3"/>
          <w:w w:val="100"/>
        </w:rPr>
        <w:t>版） </w:t>
      </w:r>
      <w:r>
        <w:rPr>
          <w:spacing w:val="-12"/>
          <w:w w:val="100"/>
        </w:rPr>
        <w:t>的通知》（财会</w:t>
      </w:r>
      <w:r>
        <w:rPr>
          <w:rFonts w:ascii="宋体" w:hAnsi="宋体" w:cs="宋体" w:eastAsia="宋体" w:hint="default"/>
          <w:spacing w:val="-12"/>
          <w:w w:val="100"/>
        </w:rPr>
        <w:t>[2019]16</w:t>
      </w:r>
      <w:r>
        <w:rPr>
          <w:rFonts w:ascii="宋体" w:hAnsi="宋体" w:cs="宋体" w:eastAsia="宋体" w:hint="default"/>
          <w:spacing w:val="21"/>
          <w:w w:val="100"/>
        </w:rPr>
        <w:t> </w:t>
      </w:r>
      <w:r>
        <w:rPr>
          <w:spacing w:val="-7"/>
          <w:w w:val="100"/>
        </w:rPr>
        <w:t>号）要求，对合并财务报表项目进行相应调整。本次会计政策变更符合相关规定，</w:t>
      </w:r>
      <w:r>
        <w:rPr>
          <w:spacing w:val="-100"/>
          <w:w w:val="100"/>
        </w:rPr>
        <w:t> </w:t>
      </w:r>
      <w:r>
        <w:rPr>
          <w:spacing w:val="-100"/>
          <w:w w:val="100"/>
        </w:rPr>
      </w:r>
      <w:r>
        <w:rPr>
          <w:spacing w:val="-2"/>
        </w:rPr>
        <w:t>执行变更后会计政策能够更客观、公允地反映公司的财务状况和经营成果，不会对公司财务报表产生重大</w:t>
      </w:r>
      <w:r>
        <w:rPr>
          <w:spacing w:val="-43"/>
        </w:rPr>
        <w:t> </w:t>
      </w:r>
      <w:r>
        <w:rPr>
          <w:spacing w:val="-43"/>
        </w:rPr>
      </w:r>
      <w:r>
        <w:rPr/>
        <w:t>影响。</w:t>
      </w:r>
      <w:r>
        <w:rPr>
          <w:rFonts w:ascii="宋体" w:hAnsi="宋体" w:cs="宋体" w:eastAsia="宋体" w:hint="default"/>
        </w:rPr>
        <w:t> </w:t>
      </w:r>
    </w:p>
    <w:p>
      <w:pPr>
        <w:spacing w:after="0" w:line="273" w:lineRule="auto"/>
        <w:jc w:val="both"/>
        <w:rPr>
          <w:rFonts w:ascii="宋体" w:hAnsi="宋体" w:cs="宋体" w:eastAsia="宋体" w:hint="default"/>
        </w:rPr>
        <w:sectPr>
          <w:pgSz w:w="11910" w:h="16840"/>
          <w:pgMar w:header="880" w:footer="975" w:top="1100" w:bottom="1160" w:left="980" w:right="0"/>
        </w:sectPr>
      </w:pPr>
    </w:p>
    <w:p>
      <w:pPr>
        <w:spacing w:line="240" w:lineRule="auto" w:before="9"/>
        <w:rPr>
          <w:rFonts w:ascii="宋体" w:hAnsi="宋体" w:cs="宋体" w:eastAsia="宋体" w:hint="default"/>
          <w:sz w:val="19"/>
          <w:szCs w:val="19"/>
        </w:rPr>
      </w:pPr>
    </w:p>
    <w:p>
      <w:pPr>
        <w:pStyle w:val="Heading2"/>
        <w:spacing w:line="240" w:lineRule="auto"/>
        <w:ind w:left="633" w:right="1133"/>
        <w:jc w:val="left"/>
        <w:rPr>
          <w:b w:val="0"/>
          <w:bCs w:val="0"/>
        </w:rPr>
      </w:pPr>
      <w:r>
        <w:rPr/>
        <w:t>四、报告期内发生重大会计差错更正需追溯重述的情况说明</w:t>
      </w:r>
      <w:r>
        <w:rPr>
          <w:b w:val="0"/>
          <w:bCs w:val="0"/>
        </w:rPr>
      </w:r>
    </w:p>
    <w:p>
      <w:pPr>
        <w:pStyle w:val="BodyText"/>
        <w:spacing w:line="240" w:lineRule="auto" w:before="62"/>
        <w:ind w:right="1133"/>
        <w:jc w:val="left"/>
        <w:rPr>
          <w:rFonts w:ascii="宋体" w:hAnsi="宋体" w:cs="宋体" w:eastAsia="宋体" w:hint="default"/>
        </w:rPr>
      </w:pPr>
      <w:r>
        <w:rPr>
          <w:rFonts w:ascii="宋体" w:hAnsi="宋体" w:cs="宋体" w:eastAsia="宋体" w:hint="default"/>
          <w:w w:val="100"/>
        </w:rPr>
        <w:t>    </w:t>
      </w:r>
      <w:r>
        <w:rPr>
          <w:spacing w:val="-3"/>
        </w:rPr>
        <w:t>□ </w:t>
      </w:r>
      <w:r>
        <w:rPr/>
        <w:t>适用 </w:t>
      </w:r>
      <w:r>
        <w:rPr>
          <w:rFonts w:ascii="宋体" w:hAnsi="宋体" w:cs="宋体" w:eastAsia="宋体" w:hint="default"/>
        </w:rPr>
      </w:r>
      <w:r>
        <w:rPr>
          <w:spacing w:val="-3"/>
        </w:rPr>
        <w:t>√</w:t>
      </w:r>
      <w:r>
        <w:rPr>
          <w:spacing w:val="-2"/>
        </w:rPr>
        <w:t> </w:t>
      </w:r>
      <w:r>
        <w:rPr/>
        <w:t>不适用公司报告期无重大会计差错更正需追溯重述的情况。</w:t>
      </w:r>
      <w:r>
        <w:rPr>
          <w:rFonts w:ascii="宋体" w:hAnsi="宋体" w:cs="宋体" w:eastAsia="宋体" w:hint="default"/>
        </w:rPr>
        <w:t> </w:t>
      </w:r>
    </w:p>
    <w:p>
      <w:pPr>
        <w:spacing w:line="240" w:lineRule="auto" w:before="11"/>
        <w:rPr>
          <w:rFonts w:ascii="宋体" w:hAnsi="宋体" w:cs="宋体" w:eastAsia="宋体" w:hint="default"/>
          <w:sz w:val="23"/>
          <w:szCs w:val="23"/>
        </w:rPr>
      </w:pPr>
    </w:p>
    <w:p>
      <w:pPr>
        <w:pStyle w:val="Heading2"/>
        <w:spacing w:line="240" w:lineRule="auto" w:before="0"/>
        <w:ind w:left="633" w:right="1133"/>
        <w:jc w:val="left"/>
        <w:rPr>
          <w:b w:val="0"/>
          <w:bCs w:val="0"/>
        </w:rPr>
      </w:pPr>
      <w:r>
        <w:rPr/>
        <w:t>五、与上年度财务报告相比，合并报表范围发生变化的情况说明</w:t>
      </w:r>
      <w:r>
        <w:rPr>
          <w:b w:val="0"/>
          <w:bCs w:val="0"/>
        </w:rPr>
      </w:r>
    </w:p>
    <w:p>
      <w:pPr>
        <w:pStyle w:val="BodyText"/>
        <w:spacing w:line="240" w:lineRule="auto" w:before="64"/>
        <w:ind w:right="1133"/>
        <w:jc w:val="left"/>
        <w:rPr>
          <w:rFonts w:ascii="宋体" w:hAnsi="宋体" w:cs="宋体" w:eastAsia="宋体" w:hint="default"/>
        </w:rPr>
      </w:pPr>
      <w:r>
        <w:rPr>
          <w:rFonts w:ascii="宋体" w:hAnsi="宋体" w:cs="宋体" w:eastAsia="宋体" w:hint="default"/>
          <w:w w:val="100"/>
        </w:rPr>
        <w:t>    </w:t>
      </w:r>
      <w:r>
        <w:rPr>
          <w:spacing w:val="-3"/>
        </w:rPr>
        <w:t>√ </w:t>
      </w:r>
      <w:r>
        <w:rPr/>
        <w:t>适用 </w:t>
      </w:r>
      <w:r>
        <w:rPr>
          <w:rFonts w:ascii="宋体" w:hAnsi="宋体" w:cs="宋体" w:eastAsia="宋体" w:hint="default"/>
        </w:rPr>
      </w:r>
      <w:r>
        <w:rPr>
          <w:spacing w:val="-3"/>
        </w:rPr>
        <w:t>□</w:t>
      </w:r>
      <w:r>
        <w:rPr>
          <w:spacing w:val="3"/>
        </w:rPr>
        <w:t> </w:t>
      </w:r>
      <w:r>
        <w:rPr/>
        <w:t>不适用</w:t>
      </w:r>
      <w:r>
        <w:rPr>
          <w:rFonts w:ascii="宋体" w:hAnsi="宋体" w:cs="宋体" w:eastAsia="宋体" w:hint="default"/>
        </w:rPr>
        <w:t> </w:t>
      </w:r>
    </w:p>
    <w:p>
      <w:pPr>
        <w:pStyle w:val="BodyText"/>
        <w:spacing w:line="273" w:lineRule="auto" w:before="78"/>
        <w:ind w:right="819" w:firstLine="420"/>
        <w:jc w:val="left"/>
        <w:rPr>
          <w:rFonts w:ascii="宋体" w:hAnsi="宋体" w:cs="宋体" w:eastAsia="宋体" w:hint="default"/>
        </w:rPr>
      </w:pPr>
      <w:r>
        <w:rPr>
          <w:spacing w:val="-4"/>
        </w:rPr>
        <w:t>详见本年报“第四章 </w:t>
      </w:r>
      <w:r>
        <w:rPr>
          <w:rFonts w:ascii="宋体" w:hAnsi="宋体" w:cs="宋体" w:eastAsia="宋体" w:hint="default"/>
          <w:spacing w:val="-4"/>
        </w:rPr>
      </w:r>
      <w:r>
        <w:rPr>
          <w:spacing w:val="-4"/>
        </w:rPr>
        <w:t>经营情况讨论与分析”之“第二节主营业务分析</w:t>
      </w:r>
      <w:r>
        <w:rPr>
          <w:spacing w:val="16"/>
        </w:rPr>
        <w:t> </w:t>
      </w:r>
      <w:r>
        <w:rPr>
          <w:rFonts w:ascii="宋体" w:hAnsi="宋体" w:cs="宋体" w:eastAsia="宋体" w:hint="default"/>
          <w:spacing w:val="-3"/>
        </w:rPr>
        <w:t>6</w:t>
      </w:r>
      <w:r>
        <w:rPr>
          <w:spacing w:val="-3"/>
        </w:rPr>
        <w:t>、报告期内合并范围是否发生</w:t>
      </w:r>
      <w:r>
        <w:rPr>
          <w:w w:val="100"/>
        </w:rPr>
        <w:t> </w:t>
      </w:r>
      <w:r>
        <w:rPr/>
        <w:t>变动”的说明。</w:t>
      </w:r>
      <w:r>
        <w:rPr>
          <w:rFonts w:ascii="宋体" w:hAnsi="宋体" w:cs="宋体" w:eastAsia="宋体" w:hint="default"/>
        </w:rPr>
        <w:t> </w:t>
      </w:r>
    </w:p>
    <w:p>
      <w:pPr>
        <w:spacing w:line="240" w:lineRule="auto" w:before="13"/>
        <w:rPr>
          <w:rFonts w:ascii="宋体" w:hAnsi="宋体" w:cs="宋体" w:eastAsia="宋体" w:hint="default"/>
          <w:sz w:val="16"/>
          <w:szCs w:val="16"/>
        </w:rPr>
      </w:pPr>
    </w:p>
    <w:p>
      <w:pPr>
        <w:pStyle w:val="Heading2"/>
        <w:spacing w:line="240" w:lineRule="auto" w:before="0"/>
        <w:ind w:left="633" w:right="1133"/>
        <w:jc w:val="left"/>
        <w:rPr>
          <w:b w:val="0"/>
          <w:bCs w:val="0"/>
        </w:rPr>
      </w:pPr>
      <w:r>
        <w:rPr/>
        <w:t>六、聘任、解聘会计师事务所情况</w:t>
      </w:r>
      <w:r>
        <w:rPr>
          <w:b w:val="0"/>
          <w:bCs w:val="0"/>
        </w:rPr>
      </w:r>
    </w:p>
    <w:p>
      <w:pPr>
        <w:pStyle w:val="BodyText"/>
        <w:spacing w:line="240" w:lineRule="auto" w:before="143"/>
        <w:ind w:left="575" w:right="1133"/>
        <w:jc w:val="left"/>
      </w:pPr>
      <w:r>
        <w:rPr/>
        <w:t>（一）现聘任的会计师事务所</w:t>
      </w:r>
    </w:p>
    <w:p>
      <w:pPr>
        <w:spacing w:line="240" w:lineRule="auto" w:before="12"/>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4790"/>
        <w:gridCol w:w="4779"/>
      </w:tblGrid>
      <w:tr>
        <w:trPr>
          <w:trHeight w:val="401" w:hRule="exact"/>
        </w:trPr>
        <w:tc>
          <w:tcPr>
            <w:tcW w:w="4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境内会计师事务所名称</w:t>
            </w:r>
          </w:p>
        </w:tc>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亚太（集团）会计师事务所（特殊普通合伙）</w:t>
            </w:r>
          </w:p>
        </w:tc>
      </w:tr>
      <w:tr>
        <w:trPr>
          <w:trHeight w:val="403" w:hRule="exact"/>
        </w:trPr>
        <w:tc>
          <w:tcPr>
            <w:tcW w:w="4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境内会计师事务所报酬（万元）</w:t>
            </w:r>
          </w:p>
        </w:tc>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130 </w:t>
            </w:r>
            <w:r>
              <w:rPr>
                <w:rFonts w:ascii="宋体" w:hAnsi="宋体" w:cs="宋体" w:eastAsia="宋体" w:hint="default"/>
                <w:sz w:val="18"/>
                <w:szCs w:val="18"/>
              </w:rPr>
              <w:t>万元（其中包含内部控制审计费用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 </w:t>
            </w:r>
            <w:r>
              <w:rPr>
                <w:rFonts w:ascii="宋体" w:hAnsi="宋体" w:cs="宋体" w:eastAsia="宋体" w:hint="default"/>
                <w:sz w:val="18"/>
                <w:szCs w:val="18"/>
              </w:rPr>
              <w:t>万元）</w:t>
            </w:r>
          </w:p>
        </w:tc>
      </w:tr>
      <w:tr>
        <w:trPr>
          <w:trHeight w:val="401" w:hRule="exact"/>
        </w:trPr>
        <w:tc>
          <w:tcPr>
            <w:tcW w:w="4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境内会计师事务所审计服务的连续年限</w:t>
            </w:r>
          </w:p>
        </w:tc>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24" w:right="0"/>
              <w:jc w:val="left"/>
              <w:rPr>
                <w:rFonts w:ascii="Times New Roman" w:hAnsi="Times New Roman" w:cs="Times New Roman" w:eastAsia="Times New Roman" w:hint="default"/>
                <w:sz w:val="18"/>
                <w:szCs w:val="18"/>
              </w:rPr>
            </w:pPr>
            <w:r>
              <w:rPr>
                <w:rFonts w:ascii="Times New Roman"/>
                <w:sz w:val="18"/>
              </w:rPr>
              <w:t>1</w:t>
            </w:r>
          </w:p>
        </w:tc>
      </w:tr>
      <w:tr>
        <w:trPr>
          <w:trHeight w:val="403" w:hRule="exact"/>
        </w:trPr>
        <w:tc>
          <w:tcPr>
            <w:tcW w:w="4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境内会计师事务所注册会计师姓名</w:t>
            </w:r>
          </w:p>
        </w:tc>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张庆栾、朱文华</w:t>
            </w:r>
          </w:p>
        </w:tc>
      </w:tr>
      <w:tr>
        <w:trPr>
          <w:trHeight w:val="401" w:hRule="exact"/>
        </w:trPr>
        <w:tc>
          <w:tcPr>
            <w:tcW w:w="4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2"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境内会计师事务所注册会计师审计服务的连续年限</w:t>
            </w:r>
          </w:p>
        </w:tc>
        <w:tc>
          <w:tcPr>
            <w:tcW w:w="47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24" w:right="0"/>
              <w:jc w:val="left"/>
              <w:rPr>
                <w:rFonts w:ascii="Times New Roman" w:hAnsi="Times New Roman" w:cs="Times New Roman" w:eastAsia="Times New Roman" w:hint="default"/>
                <w:sz w:val="18"/>
                <w:szCs w:val="18"/>
              </w:rPr>
            </w:pPr>
            <w:r>
              <w:rPr>
                <w:rFonts w:ascii="Times New Roman"/>
                <w:sz w:val="18"/>
              </w:rPr>
              <w:t>1</w:t>
            </w:r>
          </w:p>
        </w:tc>
      </w:tr>
    </w:tbl>
    <w:p>
      <w:pPr>
        <w:spacing w:line="240" w:lineRule="auto" w:before="8"/>
        <w:rPr>
          <w:rFonts w:ascii="宋体" w:hAnsi="宋体" w:cs="宋体" w:eastAsia="宋体" w:hint="default"/>
          <w:sz w:val="14"/>
          <w:szCs w:val="14"/>
        </w:rPr>
      </w:pPr>
    </w:p>
    <w:p>
      <w:pPr>
        <w:pStyle w:val="BodyText"/>
        <w:spacing w:line="240" w:lineRule="auto" w:before="36"/>
        <w:ind w:right="1133"/>
        <w:jc w:val="left"/>
        <w:rPr>
          <w:rFonts w:ascii="宋体" w:hAnsi="宋体" w:cs="宋体" w:eastAsia="宋体" w:hint="default"/>
        </w:rPr>
      </w:pPr>
      <w:r>
        <w:rPr>
          <w:rFonts w:ascii="宋体" w:hAnsi="宋体" w:cs="宋体" w:eastAsia="宋体" w:hint="default"/>
          <w:w w:val="100"/>
        </w:rPr>
        <w:t>    </w:t>
      </w:r>
      <w:r>
        <w:rPr/>
        <w:t>当期是否改聘会计师事务所</w:t>
      </w:r>
      <w:r>
        <w:rPr>
          <w:rFonts w:ascii="宋体" w:hAnsi="宋体" w:cs="宋体" w:eastAsia="宋体" w:hint="default"/>
        </w:rPr>
        <w:t> </w:t>
      </w:r>
    </w:p>
    <w:p>
      <w:pPr>
        <w:pStyle w:val="BodyText"/>
        <w:spacing w:line="240" w:lineRule="auto" w:before="78"/>
        <w:ind w:right="1133"/>
        <w:jc w:val="left"/>
        <w:rPr>
          <w:rFonts w:ascii="宋体" w:hAnsi="宋体" w:cs="宋体" w:eastAsia="宋体" w:hint="default"/>
        </w:rPr>
      </w:pPr>
      <w:r>
        <w:rPr>
          <w:rFonts w:ascii="宋体" w:hAnsi="宋体" w:cs="宋体" w:eastAsia="宋体" w:hint="default"/>
          <w:w w:val="100"/>
        </w:rPr>
        <w:t>    </w:t>
      </w:r>
      <w:r>
        <w:rPr>
          <w:spacing w:val="-3"/>
        </w:rPr>
        <w:t>√ </w:t>
      </w:r>
      <w:r>
        <w:rPr/>
        <w:t>是 </w:t>
      </w:r>
      <w:r>
        <w:rPr>
          <w:rFonts w:ascii="宋体" w:hAnsi="宋体" w:cs="宋体" w:eastAsia="宋体" w:hint="default"/>
        </w:rPr>
      </w:r>
      <w:r>
        <w:rPr/>
        <w:t>□</w:t>
      </w:r>
      <w:r>
        <w:rPr>
          <w:spacing w:val="2"/>
        </w:rPr>
        <w:t> </w:t>
      </w:r>
      <w:r>
        <w:rPr>
          <w:spacing w:val="-3"/>
        </w:rPr>
        <w:t>否</w:t>
      </w:r>
      <w:r>
        <w:rPr>
          <w:rFonts w:ascii="宋体" w:hAnsi="宋体" w:cs="宋体" w:eastAsia="宋体" w:hint="default"/>
        </w:rPr>
        <w:t> </w:t>
      </w:r>
    </w:p>
    <w:p>
      <w:pPr>
        <w:pStyle w:val="BodyText"/>
        <w:spacing w:line="240" w:lineRule="auto" w:before="78"/>
        <w:ind w:right="1133"/>
        <w:jc w:val="left"/>
        <w:rPr>
          <w:rFonts w:ascii="宋体" w:hAnsi="宋体" w:cs="宋体" w:eastAsia="宋体" w:hint="default"/>
        </w:rPr>
      </w:pPr>
      <w:r>
        <w:rPr>
          <w:rFonts w:ascii="宋体" w:hAnsi="宋体" w:cs="宋体" w:eastAsia="宋体" w:hint="default"/>
          <w:w w:val="100"/>
        </w:rPr>
        <w:t>    </w:t>
      </w:r>
      <w:r>
        <w:rPr/>
        <w:t>（二）聘请内部控制审计会计师事务所、财务顾问或保荐人情况</w:t>
      </w:r>
      <w:r>
        <w:rPr>
          <w:rFonts w:ascii="宋体" w:hAnsi="宋体" w:cs="宋体" w:eastAsia="宋体" w:hint="default"/>
        </w:rPr>
        <w:t> </w:t>
      </w:r>
    </w:p>
    <w:p>
      <w:pPr>
        <w:pStyle w:val="BodyText"/>
        <w:spacing w:line="240" w:lineRule="auto" w:before="75"/>
        <w:ind w:right="1133"/>
        <w:jc w:val="left"/>
        <w:rPr>
          <w:rFonts w:ascii="宋体" w:hAnsi="宋体" w:cs="宋体" w:eastAsia="宋体" w:hint="default"/>
        </w:rPr>
      </w:pPr>
      <w:r>
        <w:rPr>
          <w:rFonts w:ascii="宋体" w:hAnsi="宋体" w:cs="宋体" w:eastAsia="宋体" w:hint="default"/>
          <w:w w:val="100"/>
        </w:rPr>
        <w:t>    </w:t>
      </w:r>
      <w:r>
        <w:rPr>
          <w:spacing w:val="-3"/>
        </w:rPr>
        <w:t>√ </w:t>
      </w:r>
      <w:r>
        <w:rPr/>
        <w:t>适用 </w:t>
      </w:r>
      <w:r>
        <w:rPr>
          <w:rFonts w:ascii="宋体" w:hAnsi="宋体" w:cs="宋体" w:eastAsia="宋体" w:hint="default"/>
        </w:rPr>
      </w:r>
      <w:r>
        <w:rPr>
          <w:spacing w:val="-3"/>
        </w:rPr>
        <w:t>□</w:t>
      </w:r>
      <w:r>
        <w:rPr>
          <w:spacing w:val="3"/>
        </w:rPr>
        <w:t> </w:t>
      </w:r>
      <w:r>
        <w:rPr/>
        <w:t>不适用</w:t>
      </w:r>
      <w:r>
        <w:rPr>
          <w:rFonts w:ascii="宋体" w:hAnsi="宋体" w:cs="宋体" w:eastAsia="宋体" w:hint="default"/>
        </w:rPr>
        <w:t> </w:t>
      </w:r>
    </w:p>
    <w:p>
      <w:pPr>
        <w:pStyle w:val="BodyText"/>
        <w:spacing w:line="273" w:lineRule="auto" w:before="78"/>
        <w:ind w:right="1133"/>
        <w:jc w:val="left"/>
        <w:rPr>
          <w:rFonts w:ascii="宋体" w:hAnsi="宋体" w:cs="宋体" w:eastAsia="宋体" w:hint="default"/>
        </w:rPr>
      </w:pPr>
      <w:r>
        <w:rPr>
          <w:rFonts w:ascii="宋体" w:hAnsi="宋体" w:cs="宋体" w:eastAsia="宋体" w:hint="default"/>
          <w:w w:val="100"/>
        </w:rPr>
        <w:t>    </w:t>
      </w:r>
      <w:r>
        <w:rPr>
          <w:spacing w:val="-2"/>
        </w:rPr>
        <w:t>公司聘请年审会计师事务所亚太（集团）会计师事务所为内部控制审计会计师事务所，支付内控审计</w:t>
      </w:r>
      <w:r>
        <w:rPr>
          <w:w w:val="100"/>
        </w:rPr>
        <w:t> </w:t>
      </w:r>
      <w:r>
        <w:rPr/>
        <w:t>费用</w:t>
      </w:r>
      <w:r>
        <w:rPr>
          <w:rFonts w:ascii="宋体" w:hAnsi="宋体" w:cs="宋体" w:eastAsia="宋体" w:hint="default"/>
        </w:rPr>
        <w:t>50</w:t>
      </w:r>
      <w:r>
        <w:rPr/>
        <w:t>万元。</w:t>
      </w:r>
      <w:r>
        <w:rPr>
          <w:rFonts w:ascii="宋体" w:hAnsi="宋体" w:cs="宋体" w:eastAsia="宋体" w:hint="default"/>
        </w:rPr>
        <w:t> </w:t>
      </w:r>
    </w:p>
    <w:p>
      <w:pPr>
        <w:pStyle w:val="BodyText"/>
        <w:spacing w:line="240" w:lineRule="auto" w:before="7"/>
        <w:ind w:right="1133"/>
        <w:jc w:val="left"/>
        <w:rPr>
          <w:rFonts w:ascii="宋体" w:hAnsi="宋体" w:cs="宋体" w:eastAsia="宋体" w:hint="default"/>
        </w:rPr>
      </w:pPr>
      <w:r>
        <w:rPr>
          <w:rFonts w:ascii="宋体" w:hAnsi="宋体" w:cs="宋体" w:eastAsia="宋体" w:hint="default"/>
          <w:w w:val="100"/>
        </w:rPr>
        <w:t>    </w:t>
      </w:r>
      <w:r>
        <w:rPr/>
        <w:t>亚太（集团）会计师事务所出具的公司内控审计报告与本年报同日刊载于巨潮资讯网。</w:t>
      </w:r>
      <w:r>
        <w:rPr>
          <w:rFonts w:ascii="宋体" w:hAnsi="宋体" w:cs="宋体" w:eastAsia="宋体" w:hint="default"/>
        </w:rPr>
        <w:t> </w:t>
      </w:r>
    </w:p>
    <w:p>
      <w:pPr>
        <w:pStyle w:val="BodyText"/>
        <w:spacing w:line="273" w:lineRule="auto" w:before="37"/>
        <w:ind w:right="1133" w:firstLine="420"/>
        <w:jc w:val="left"/>
        <w:rPr>
          <w:rFonts w:ascii="宋体" w:hAnsi="宋体" w:cs="宋体" w:eastAsia="宋体" w:hint="default"/>
        </w:rPr>
      </w:pPr>
      <w:r>
        <w:rPr>
          <w:spacing w:val="-2"/>
        </w:rPr>
        <w:t>本年度，公司因公开发行可转换公司债券事项，聘请中天国富证券有限公司为保荐机构，期间未支付</w:t>
      </w:r>
      <w:r>
        <w:rPr>
          <w:spacing w:val="-3"/>
          <w:w w:val="100"/>
        </w:rPr>
        <w:t> </w:t>
      </w:r>
      <w:r>
        <w:rPr/>
        <w:t>保荐费用，期后共支付保荐费用</w:t>
      </w:r>
      <w:r>
        <w:rPr>
          <w:rFonts w:ascii="宋体" w:hAnsi="宋体" w:cs="宋体" w:eastAsia="宋体" w:hint="default"/>
        </w:rPr>
        <w:t>100</w:t>
      </w:r>
      <w:r>
        <w:rPr/>
        <w:t>万元。</w:t>
      </w:r>
      <w:r>
        <w:rPr>
          <w:rFonts w:ascii="宋体" w:hAnsi="宋体" w:cs="宋体" w:eastAsia="宋体" w:hint="default"/>
        </w:rPr>
        <w:t> </w:t>
      </w:r>
    </w:p>
    <w:p>
      <w:pPr>
        <w:spacing w:line="240" w:lineRule="auto" w:before="8"/>
        <w:rPr>
          <w:rFonts w:ascii="宋体" w:hAnsi="宋体" w:cs="宋体" w:eastAsia="宋体" w:hint="default"/>
          <w:sz w:val="21"/>
          <w:szCs w:val="21"/>
        </w:rPr>
      </w:pPr>
    </w:p>
    <w:p>
      <w:pPr>
        <w:pStyle w:val="Heading2"/>
        <w:spacing w:line="240" w:lineRule="auto" w:before="0"/>
        <w:ind w:left="513" w:right="1133"/>
        <w:jc w:val="left"/>
        <w:rPr>
          <w:b w:val="0"/>
          <w:bCs w:val="0"/>
        </w:rPr>
      </w:pPr>
      <w:r>
        <w:rPr/>
        <w:t>七、年度报告披露后面临暂停上市和终止上市情况</w:t>
      </w:r>
      <w:r>
        <w:rPr>
          <w:b w:val="0"/>
          <w:bCs w:val="0"/>
        </w:rPr>
      </w:r>
    </w:p>
    <w:p>
      <w:pPr>
        <w:pStyle w:val="BodyText"/>
        <w:spacing w:line="240" w:lineRule="auto" w:before="61"/>
        <w:ind w:right="1133"/>
        <w:jc w:val="left"/>
        <w:rPr>
          <w:rFonts w:ascii="宋体" w:hAnsi="宋体" w:cs="宋体" w:eastAsia="宋体" w:hint="default"/>
        </w:rPr>
      </w:pPr>
      <w:r>
        <w:rPr>
          <w:rFonts w:ascii="宋体" w:hAnsi="宋体" w:cs="宋体" w:eastAsia="宋体" w:hint="default"/>
          <w:w w:val="100"/>
        </w:rPr>
        <w:t>    </w:t>
      </w:r>
      <w:r>
        <w:rPr>
          <w:spacing w:val="-3"/>
        </w:rPr>
        <w:t>□ </w:t>
      </w:r>
      <w:r>
        <w:rPr/>
        <w:t>适用 </w:t>
      </w:r>
      <w:r>
        <w:rPr>
          <w:rFonts w:ascii="宋体" w:hAnsi="宋体" w:cs="宋体" w:eastAsia="宋体" w:hint="default"/>
        </w:rPr>
      </w:r>
      <w:r>
        <w:rPr>
          <w:spacing w:val="-3"/>
        </w:rPr>
        <w:t>√</w:t>
      </w:r>
      <w:r>
        <w:rPr>
          <w:spacing w:val="3"/>
        </w:rPr>
        <w:t> </w:t>
      </w:r>
      <w:r>
        <w:rPr/>
        <w:t>不适用</w:t>
      </w:r>
      <w:r>
        <w:rPr>
          <w:rFonts w:ascii="宋体" w:hAnsi="宋体" w:cs="宋体" w:eastAsia="宋体" w:hint="default"/>
        </w:rPr>
        <w:t> </w:t>
      </w:r>
    </w:p>
    <w:p>
      <w:pPr>
        <w:spacing w:line="240" w:lineRule="auto" w:before="11"/>
        <w:rPr>
          <w:rFonts w:ascii="宋体" w:hAnsi="宋体" w:cs="宋体" w:eastAsia="宋体" w:hint="default"/>
          <w:sz w:val="23"/>
          <w:szCs w:val="23"/>
        </w:rPr>
      </w:pPr>
    </w:p>
    <w:p>
      <w:pPr>
        <w:pStyle w:val="Heading2"/>
        <w:spacing w:line="240" w:lineRule="auto" w:before="0"/>
        <w:ind w:left="513" w:right="1133"/>
        <w:jc w:val="left"/>
        <w:rPr>
          <w:b w:val="0"/>
          <w:bCs w:val="0"/>
        </w:rPr>
      </w:pPr>
      <w:r>
        <w:rPr/>
        <w:t>八、破产重整相关事项</w:t>
      </w:r>
      <w:r>
        <w:rPr>
          <w:b w:val="0"/>
          <w:bCs w:val="0"/>
        </w:rPr>
      </w:r>
    </w:p>
    <w:p>
      <w:pPr>
        <w:pStyle w:val="BodyText"/>
        <w:spacing w:line="240" w:lineRule="auto" w:before="64"/>
        <w:ind w:right="1133"/>
        <w:jc w:val="left"/>
        <w:rPr>
          <w:rFonts w:ascii="宋体" w:hAnsi="宋体" w:cs="宋体" w:eastAsia="宋体" w:hint="default"/>
        </w:rPr>
      </w:pPr>
      <w:r>
        <w:rPr>
          <w:rFonts w:ascii="宋体" w:hAnsi="宋体" w:cs="宋体" w:eastAsia="宋体" w:hint="default"/>
          <w:w w:val="100"/>
        </w:rPr>
        <w:t>    </w:t>
      </w:r>
      <w:r>
        <w:rPr>
          <w:spacing w:val="-3"/>
        </w:rPr>
        <w:t>□ </w:t>
      </w:r>
      <w:r>
        <w:rPr/>
        <w:t>适用 </w:t>
      </w:r>
      <w:r>
        <w:rPr>
          <w:rFonts w:ascii="宋体" w:hAnsi="宋体" w:cs="宋体" w:eastAsia="宋体" w:hint="default"/>
        </w:rPr>
      </w:r>
      <w:r>
        <w:rPr>
          <w:spacing w:val="-3"/>
        </w:rPr>
        <w:t>√</w:t>
      </w:r>
      <w:r>
        <w:rPr>
          <w:spacing w:val="3"/>
        </w:rPr>
        <w:t> </w:t>
      </w:r>
      <w:r>
        <w:rPr/>
        <w:t>不适用</w:t>
      </w:r>
      <w:r>
        <w:rPr>
          <w:rFonts w:ascii="宋体" w:hAnsi="宋体" w:cs="宋体" w:eastAsia="宋体" w:hint="default"/>
        </w:rPr>
        <w:t> </w:t>
      </w:r>
    </w:p>
    <w:p>
      <w:pPr>
        <w:pStyle w:val="BodyText"/>
        <w:spacing w:line="240" w:lineRule="auto" w:before="78"/>
        <w:ind w:right="1133"/>
        <w:jc w:val="left"/>
        <w:rPr>
          <w:rFonts w:ascii="宋体" w:hAnsi="宋体" w:cs="宋体" w:eastAsia="宋体" w:hint="default"/>
        </w:rPr>
      </w:pPr>
      <w:r>
        <w:rPr>
          <w:rFonts w:ascii="宋体" w:hAnsi="宋体" w:cs="宋体" w:eastAsia="宋体" w:hint="default"/>
          <w:w w:val="100"/>
        </w:rPr>
        <w:t>    </w:t>
      </w:r>
      <w:r>
        <w:rPr/>
        <w:t>公司报告期未发生破产重整相关事项。</w:t>
      </w:r>
      <w:r>
        <w:rPr>
          <w:rFonts w:ascii="宋体" w:hAnsi="宋体" w:cs="宋体" w:eastAsia="宋体" w:hint="default"/>
        </w:rPr>
        <w:t> </w:t>
      </w:r>
    </w:p>
    <w:p>
      <w:pPr>
        <w:spacing w:line="240" w:lineRule="auto" w:before="11"/>
        <w:rPr>
          <w:rFonts w:ascii="宋体" w:hAnsi="宋体" w:cs="宋体" w:eastAsia="宋体" w:hint="default"/>
          <w:sz w:val="23"/>
          <w:szCs w:val="23"/>
        </w:rPr>
      </w:pPr>
    </w:p>
    <w:p>
      <w:pPr>
        <w:pStyle w:val="Heading2"/>
        <w:spacing w:line="240" w:lineRule="auto" w:before="0"/>
        <w:ind w:left="513" w:right="1133"/>
        <w:jc w:val="left"/>
        <w:rPr>
          <w:b w:val="0"/>
          <w:bCs w:val="0"/>
        </w:rPr>
      </w:pPr>
      <w:r>
        <w:rPr/>
        <w:t>九、重大诉讼、仲裁事项</w:t>
      </w:r>
      <w:r>
        <w:rPr>
          <w:b w:val="0"/>
          <w:bCs w:val="0"/>
        </w:rPr>
      </w:r>
    </w:p>
    <w:p>
      <w:pPr>
        <w:pStyle w:val="BodyText"/>
        <w:spacing w:line="240" w:lineRule="auto" w:before="61"/>
        <w:ind w:right="1133"/>
        <w:jc w:val="left"/>
        <w:rPr>
          <w:rFonts w:ascii="宋体" w:hAnsi="宋体" w:cs="宋体" w:eastAsia="宋体" w:hint="default"/>
        </w:rPr>
      </w:pPr>
      <w:r>
        <w:rPr>
          <w:rFonts w:ascii="宋体" w:hAnsi="宋体" w:cs="宋体" w:eastAsia="宋体" w:hint="default"/>
          <w:w w:val="100"/>
        </w:rPr>
        <w:t>   </w:t>
      </w:r>
      <w:r>
        <w:rPr/>
        <w:t>□ 适用 </w:t>
      </w:r>
      <w:r>
        <w:rPr>
          <w:rFonts w:ascii="宋体" w:hAnsi="宋体" w:cs="宋体" w:eastAsia="宋体" w:hint="default"/>
        </w:rPr>
      </w:r>
      <w:r>
        <w:rPr/>
        <w:t>√</w:t>
      </w:r>
      <w:r>
        <w:rPr>
          <w:spacing w:val="-5"/>
        </w:rPr>
        <w:t> </w:t>
      </w:r>
      <w:r>
        <w:rPr/>
        <w:t>不适用</w:t>
      </w:r>
      <w:r>
        <w:rPr>
          <w:rFonts w:ascii="宋体" w:hAnsi="宋体" w:cs="宋体" w:eastAsia="宋体" w:hint="default"/>
        </w:rPr>
        <w:t> </w:t>
      </w:r>
    </w:p>
    <w:p>
      <w:pPr>
        <w:pStyle w:val="BodyText"/>
        <w:spacing w:line="240" w:lineRule="auto" w:before="78"/>
        <w:ind w:right="1133"/>
        <w:jc w:val="left"/>
        <w:rPr>
          <w:rFonts w:ascii="宋体" w:hAnsi="宋体" w:cs="宋体" w:eastAsia="宋体" w:hint="default"/>
        </w:rPr>
      </w:pPr>
      <w:r>
        <w:rPr>
          <w:rFonts w:ascii="宋体" w:hAnsi="宋体" w:cs="宋体" w:eastAsia="宋体" w:hint="default"/>
          <w:w w:val="100"/>
        </w:rPr>
        <w:t>   </w:t>
      </w:r>
      <w:r>
        <w:rPr/>
        <w:t>本报告期公司无重大诉讼、仲裁事项。</w:t>
      </w:r>
      <w:r>
        <w:rPr>
          <w:rFonts w:ascii="宋体" w:hAnsi="宋体" w:cs="宋体" w:eastAsia="宋体" w:hint="default"/>
        </w:rPr>
        <w:t> </w:t>
      </w:r>
    </w:p>
    <w:p>
      <w:pPr>
        <w:spacing w:line="240" w:lineRule="auto" w:before="11"/>
        <w:rPr>
          <w:rFonts w:ascii="宋体" w:hAnsi="宋体" w:cs="宋体" w:eastAsia="宋体" w:hint="default"/>
          <w:sz w:val="23"/>
          <w:szCs w:val="23"/>
        </w:rPr>
      </w:pPr>
    </w:p>
    <w:p>
      <w:pPr>
        <w:pStyle w:val="Heading2"/>
        <w:spacing w:line="240" w:lineRule="auto" w:before="0"/>
        <w:ind w:left="513" w:right="1133"/>
        <w:jc w:val="left"/>
        <w:rPr>
          <w:b w:val="0"/>
          <w:bCs w:val="0"/>
        </w:rPr>
      </w:pPr>
      <w:r>
        <w:rPr/>
        <w:t>十、处罚及整改情况</w:t>
      </w:r>
      <w:r>
        <w:rPr>
          <w:b w:val="0"/>
          <w:bCs w:val="0"/>
        </w:rPr>
      </w:r>
    </w:p>
    <w:p>
      <w:pPr>
        <w:pStyle w:val="BodyText"/>
        <w:spacing w:line="240" w:lineRule="auto" w:before="61"/>
        <w:ind w:right="1133"/>
        <w:jc w:val="left"/>
        <w:rPr>
          <w:rFonts w:ascii="宋体" w:hAnsi="宋体" w:cs="宋体" w:eastAsia="宋体" w:hint="default"/>
        </w:rPr>
      </w:pPr>
      <w:r>
        <w:rPr>
          <w:rFonts w:ascii="宋体" w:hAnsi="宋体" w:cs="宋体" w:eastAsia="宋体" w:hint="default"/>
          <w:w w:val="100"/>
        </w:rPr>
        <w:t>   </w:t>
      </w:r>
      <w:r>
        <w:rPr/>
        <w:t>□ 适用 </w:t>
      </w:r>
      <w:r>
        <w:rPr>
          <w:rFonts w:ascii="宋体" w:hAnsi="宋体" w:cs="宋体" w:eastAsia="宋体" w:hint="default"/>
        </w:rPr>
      </w:r>
      <w:r>
        <w:rPr/>
        <w:t>√</w:t>
      </w:r>
      <w:r>
        <w:rPr>
          <w:spacing w:val="-5"/>
        </w:rPr>
        <w:t> </w:t>
      </w:r>
      <w:r>
        <w:rPr/>
        <w:t>不适用</w:t>
      </w:r>
      <w:r>
        <w:rPr>
          <w:rFonts w:ascii="宋体" w:hAnsi="宋体" w:cs="宋体" w:eastAsia="宋体" w:hint="default"/>
        </w:rPr>
        <w:t> </w:t>
      </w:r>
    </w:p>
    <w:p>
      <w:pPr>
        <w:pStyle w:val="BodyText"/>
        <w:spacing w:line="240" w:lineRule="auto" w:before="80"/>
        <w:ind w:right="1133"/>
        <w:jc w:val="left"/>
        <w:rPr>
          <w:rFonts w:ascii="宋体" w:hAnsi="宋体" w:cs="宋体" w:eastAsia="宋体" w:hint="default"/>
        </w:rPr>
      </w:pPr>
      <w:r>
        <w:rPr>
          <w:rFonts w:ascii="宋体" w:hAnsi="宋体" w:cs="宋体" w:eastAsia="宋体" w:hint="default"/>
          <w:w w:val="100"/>
        </w:rPr>
        <w:t>   </w:t>
      </w:r>
      <w:r>
        <w:rPr/>
        <w:t>公司报告期不存在处罚及整改情况。</w:t>
      </w:r>
      <w:r>
        <w:rPr>
          <w:rFonts w:ascii="宋体" w:hAnsi="宋体" w:cs="宋体" w:eastAsia="宋体" w:hint="default"/>
        </w:rPr>
        <w:t> </w:t>
      </w:r>
    </w:p>
    <w:p>
      <w:pPr>
        <w:spacing w:after="0" w:line="240" w:lineRule="auto"/>
        <w:jc w:val="left"/>
        <w:rPr>
          <w:rFonts w:ascii="宋体" w:hAnsi="宋体" w:cs="宋体" w:eastAsia="宋体" w:hint="default"/>
        </w:rPr>
        <w:sectPr>
          <w:pgSz w:w="11910" w:h="16840"/>
          <w:pgMar w:header="880" w:footer="975" w:top="1100" w:bottom="1160" w:left="980" w:right="0"/>
        </w:sectPr>
      </w:pPr>
    </w:p>
    <w:p>
      <w:pPr>
        <w:spacing w:line="240" w:lineRule="auto" w:before="9"/>
        <w:rPr>
          <w:rFonts w:ascii="宋体" w:hAnsi="宋体" w:cs="宋体" w:eastAsia="宋体" w:hint="default"/>
          <w:sz w:val="19"/>
          <w:szCs w:val="19"/>
        </w:rPr>
      </w:pPr>
    </w:p>
    <w:p>
      <w:pPr>
        <w:pStyle w:val="Heading2"/>
        <w:spacing w:line="240" w:lineRule="auto"/>
        <w:ind w:left="513" w:right="1133"/>
        <w:jc w:val="left"/>
        <w:rPr>
          <w:b w:val="0"/>
          <w:bCs w:val="0"/>
        </w:rPr>
      </w:pPr>
      <w:r>
        <w:rPr/>
        <w:t>十一、公司及其控股股东、实际控制人的诚信状况</w:t>
      </w:r>
      <w:r>
        <w:rPr>
          <w:b w:val="0"/>
          <w:bCs w:val="0"/>
        </w:rPr>
      </w:r>
    </w:p>
    <w:p>
      <w:pPr>
        <w:pStyle w:val="BodyText"/>
        <w:spacing w:line="240" w:lineRule="auto" w:before="62"/>
        <w:ind w:right="1133"/>
        <w:jc w:val="left"/>
        <w:rPr>
          <w:rFonts w:ascii="宋体" w:hAnsi="宋体" w:cs="宋体" w:eastAsia="宋体" w:hint="default"/>
        </w:rPr>
      </w:pPr>
      <w:r>
        <w:rPr>
          <w:rFonts w:ascii="宋体" w:hAnsi="宋体" w:cs="宋体" w:eastAsia="宋体" w:hint="default"/>
          <w:w w:val="100"/>
        </w:rPr>
        <w:t>   </w:t>
      </w:r>
      <w:r>
        <w:rPr/>
        <w:t>□ 适用 </w:t>
      </w:r>
      <w:r>
        <w:rPr>
          <w:rFonts w:ascii="宋体" w:hAnsi="宋体" w:cs="宋体" w:eastAsia="宋体" w:hint="default"/>
        </w:rPr>
      </w:r>
      <w:r>
        <w:rPr/>
        <w:t>√</w:t>
      </w:r>
      <w:r>
        <w:rPr>
          <w:spacing w:val="-5"/>
        </w:rPr>
        <w:t> </w:t>
      </w:r>
      <w:r>
        <w:rPr/>
        <w:t>不适用</w:t>
      </w:r>
      <w:r>
        <w:rPr>
          <w:rFonts w:ascii="宋体" w:hAnsi="宋体" w:cs="宋体" w:eastAsia="宋体" w:hint="default"/>
        </w:rPr>
        <w:t> </w:t>
      </w:r>
    </w:p>
    <w:p>
      <w:pPr>
        <w:spacing w:line="240" w:lineRule="auto" w:before="11"/>
        <w:rPr>
          <w:rFonts w:ascii="宋体" w:hAnsi="宋体" w:cs="宋体" w:eastAsia="宋体" w:hint="default"/>
          <w:sz w:val="23"/>
          <w:szCs w:val="23"/>
        </w:rPr>
      </w:pPr>
    </w:p>
    <w:p>
      <w:pPr>
        <w:pStyle w:val="Heading2"/>
        <w:spacing w:line="240" w:lineRule="auto" w:before="0"/>
        <w:ind w:left="513" w:right="1133"/>
        <w:jc w:val="left"/>
        <w:rPr>
          <w:b w:val="0"/>
          <w:bCs w:val="0"/>
        </w:rPr>
      </w:pPr>
      <w:r>
        <w:rPr/>
        <w:t>十二、公司股权激励计划、员工持股计划或其他员工激励措施的实施情况</w:t>
      </w:r>
      <w:r>
        <w:rPr>
          <w:b w:val="0"/>
          <w:bCs w:val="0"/>
        </w:rPr>
      </w:r>
    </w:p>
    <w:p>
      <w:pPr>
        <w:pStyle w:val="BodyText"/>
        <w:spacing w:line="240" w:lineRule="auto" w:before="64"/>
        <w:ind w:right="1133"/>
        <w:jc w:val="left"/>
        <w:rPr>
          <w:rFonts w:ascii="宋体" w:hAnsi="宋体" w:cs="宋体" w:eastAsia="宋体" w:hint="default"/>
        </w:rPr>
      </w:pPr>
      <w:r>
        <w:rPr>
          <w:rFonts w:ascii="宋体" w:hAnsi="宋体" w:cs="宋体" w:eastAsia="宋体" w:hint="default"/>
          <w:w w:val="100"/>
        </w:rPr>
        <w:t>   </w:t>
      </w:r>
      <w:r>
        <w:rPr/>
        <w:t>□ 适用 </w:t>
      </w:r>
      <w:r>
        <w:rPr>
          <w:rFonts w:ascii="宋体" w:hAnsi="宋体" w:cs="宋体" w:eastAsia="宋体" w:hint="default"/>
        </w:rPr>
      </w:r>
      <w:r>
        <w:rPr/>
        <w:t>√</w:t>
      </w:r>
      <w:r>
        <w:rPr>
          <w:spacing w:val="-5"/>
        </w:rPr>
        <w:t> </w:t>
      </w:r>
      <w:r>
        <w:rPr/>
        <w:t>不适用</w:t>
      </w:r>
      <w:r>
        <w:rPr>
          <w:rFonts w:ascii="宋体" w:hAnsi="宋体" w:cs="宋体" w:eastAsia="宋体" w:hint="default"/>
        </w:rPr>
        <w:t> </w:t>
      </w:r>
    </w:p>
    <w:p>
      <w:pPr>
        <w:pStyle w:val="BodyText"/>
        <w:spacing w:line="240" w:lineRule="auto" w:before="78"/>
        <w:ind w:right="1133"/>
        <w:jc w:val="left"/>
        <w:rPr>
          <w:rFonts w:ascii="宋体" w:hAnsi="宋体" w:cs="宋体" w:eastAsia="宋体" w:hint="default"/>
        </w:rPr>
      </w:pPr>
      <w:r>
        <w:rPr>
          <w:rFonts w:ascii="宋体" w:hAnsi="宋体" w:cs="宋体" w:eastAsia="宋体" w:hint="default"/>
          <w:w w:val="100"/>
        </w:rPr>
        <w:t>   </w:t>
      </w:r>
      <w:r>
        <w:rPr/>
        <w:t>公司报告期无股权激励计划、员工持股计划或其他员工激励措施及其实施情况。</w:t>
      </w:r>
      <w:r>
        <w:rPr>
          <w:rFonts w:ascii="宋体" w:hAnsi="宋体" w:cs="宋体" w:eastAsia="宋体" w:hint="default"/>
        </w:rPr>
        <w:t> </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6"/>
          <w:szCs w:val="16"/>
        </w:rPr>
      </w:pPr>
    </w:p>
    <w:p>
      <w:pPr>
        <w:pStyle w:val="Heading2"/>
        <w:tabs>
          <w:tab w:pos="4490" w:val="left" w:leader="none"/>
        </w:tabs>
        <w:spacing w:line="240" w:lineRule="auto" w:before="0"/>
        <w:ind w:left="3525" w:right="1133"/>
        <w:jc w:val="left"/>
        <w:rPr>
          <w:b w:val="0"/>
          <w:bCs w:val="0"/>
        </w:rPr>
      </w:pPr>
      <w:r>
        <w:rPr>
          <w:w w:val="95"/>
        </w:rPr>
        <w:t>第四节</w:t>
        <w:tab/>
      </w:r>
      <w:r>
        <w:rPr/>
        <w:t>重大关联交易事项</w:t>
      </w:r>
      <w:r>
        <w:rPr>
          <w:b w:val="0"/>
          <w:bCs w:val="0"/>
        </w:rPr>
      </w:r>
    </w:p>
    <w:p>
      <w:pPr>
        <w:spacing w:line="240" w:lineRule="auto" w:before="4"/>
        <w:rPr>
          <w:rFonts w:ascii="宋体" w:hAnsi="宋体" w:cs="宋体" w:eastAsia="宋体" w:hint="default"/>
          <w:b/>
          <w:bCs/>
          <w:sz w:val="29"/>
          <w:szCs w:val="29"/>
        </w:rPr>
      </w:pPr>
    </w:p>
    <w:p>
      <w:pPr>
        <w:pStyle w:val="Heading3"/>
        <w:spacing w:line="240" w:lineRule="auto" w:before="0"/>
        <w:ind w:right="1133"/>
        <w:jc w:val="left"/>
        <w:rPr>
          <w:b w:val="0"/>
          <w:bCs w:val="0"/>
        </w:rPr>
      </w:pPr>
      <w:r>
        <w:rPr/>
        <w:t>一、与日常经营相关的关联交易</w:t>
      </w:r>
      <w:r>
        <w:rPr>
          <w:b w:val="0"/>
          <w:bCs w:val="0"/>
        </w:rPr>
      </w:r>
    </w:p>
    <w:p>
      <w:pPr>
        <w:spacing w:line="307" w:lineRule="auto" w:before="157"/>
        <w:ind w:left="152" w:right="5542" w:firstLine="0"/>
        <w:jc w:val="left"/>
        <w:rPr>
          <w:rFonts w:ascii="宋体" w:hAnsi="宋体" w:cs="宋体" w:eastAsia="宋体" w:hint="default"/>
          <w:sz w:val="21"/>
          <w:szCs w:val="21"/>
        </w:rPr>
      </w:pPr>
      <w:r>
        <w:rPr>
          <w:rFonts w:ascii="宋体" w:hAnsi="宋体" w:cs="宋体" w:eastAsia="宋体" w:hint="default"/>
          <w:sz w:val="21"/>
          <w:szCs w:val="21"/>
        </w:rPr>
        <w:t>√ 适用 </w:t>
      </w:r>
      <w:r>
        <w:rPr>
          <w:rFonts w:ascii="宋体" w:hAnsi="宋体" w:cs="宋体" w:eastAsia="宋体" w:hint="default"/>
          <w:sz w:val="21"/>
          <w:szCs w:val="21"/>
        </w:rPr>
      </w:r>
      <w:r>
        <w:rPr>
          <w:rFonts w:ascii="宋体" w:hAnsi="宋体" w:cs="宋体" w:eastAsia="宋体" w:hint="default"/>
          <w:spacing w:val="-3"/>
          <w:sz w:val="21"/>
          <w:szCs w:val="21"/>
        </w:rPr>
        <w:t>□</w:t>
      </w:r>
      <w:r>
        <w:rPr>
          <w:rFonts w:ascii="宋体" w:hAnsi="宋体" w:cs="宋体" w:eastAsia="宋体" w:hint="default"/>
          <w:sz w:val="21"/>
          <w:szCs w:val="21"/>
        </w:rPr>
        <w:t> 不适用</w:t>
      </w:r>
      <w:r>
        <w:rPr>
          <w:rFonts w:ascii="宋体" w:hAnsi="宋体" w:cs="宋体" w:eastAsia="宋体" w:hint="default"/>
          <w:w w:val="100"/>
          <w:sz w:val="21"/>
          <w:szCs w:val="21"/>
        </w:rPr>
        <w:t> </w:t>
      </w:r>
      <w:r>
        <w:rPr>
          <w:rFonts w:ascii="宋体" w:hAnsi="宋体" w:cs="宋体" w:eastAsia="宋体" w:hint="default"/>
          <w:b/>
          <w:bCs/>
          <w:sz w:val="21"/>
          <w:szCs w:val="21"/>
        </w:rPr>
        <w:t>1</w:t>
      </w:r>
      <w:r>
        <w:rPr>
          <w:rFonts w:ascii="宋体" w:hAnsi="宋体" w:cs="宋体" w:eastAsia="宋体" w:hint="default"/>
          <w:b/>
          <w:bCs/>
          <w:sz w:val="21"/>
          <w:szCs w:val="21"/>
        </w:rPr>
        <w:t>、与联动优势科技有限公司的日常经营相关的关联交易</w:t>
      </w:r>
      <w:r>
        <w:rPr>
          <w:rFonts w:ascii="宋体" w:hAnsi="宋体" w:cs="宋体" w:eastAsia="宋体" w:hint="default"/>
          <w:b/>
          <w:bCs/>
          <w:w w:val="99"/>
          <w:sz w:val="21"/>
          <w:szCs w:val="21"/>
        </w:rPr>
        <w:t> </w:t>
      </w:r>
      <w:r>
        <w:rPr>
          <w:rFonts w:ascii="宋体" w:hAnsi="宋体" w:cs="宋体" w:eastAsia="宋体" w:hint="default"/>
          <w:sz w:val="21"/>
          <w:szCs w:val="21"/>
        </w:rPr>
      </w:r>
    </w:p>
    <w:p>
      <w:pPr>
        <w:spacing w:line="240" w:lineRule="auto" w:before="4"/>
        <w:rPr>
          <w:rFonts w:ascii="宋体" w:hAnsi="宋体" w:cs="宋体" w:eastAsia="宋体" w:hint="default"/>
          <w:b/>
          <w:bCs/>
          <w:sz w:val="2"/>
          <w:szCs w:val="2"/>
        </w:rPr>
      </w:pPr>
    </w:p>
    <w:tbl>
      <w:tblPr>
        <w:tblW w:w="0" w:type="auto"/>
        <w:jc w:val="left"/>
        <w:tblInd w:w="148" w:type="dxa"/>
        <w:tblLayout w:type="fixed"/>
        <w:tblCellMar>
          <w:top w:w="0" w:type="dxa"/>
          <w:left w:w="0" w:type="dxa"/>
          <w:bottom w:w="0" w:type="dxa"/>
          <w:right w:w="0" w:type="dxa"/>
        </w:tblCellMar>
        <w:tblLook w:val="01E0"/>
      </w:tblPr>
      <w:tblGrid>
        <w:gridCol w:w="1136"/>
        <w:gridCol w:w="1133"/>
        <w:gridCol w:w="5389"/>
        <w:gridCol w:w="1983"/>
      </w:tblGrid>
      <w:tr>
        <w:trPr>
          <w:trHeight w:val="418" w:hRule="exact"/>
        </w:trPr>
        <w:tc>
          <w:tcPr>
            <w:tcW w:w="226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关联交易方</w:t>
            </w:r>
            <w:r>
              <w:rPr>
                <w:rFonts w:ascii="宋体" w:hAnsi="宋体" w:cs="宋体" w:eastAsia="宋体" w:hint="default"/>
                <w:sz w:val="18"/>
                <w:szCs w:val="18"/>
              </w:rPr>
              <w:t> </w:t>
            </w:r>
          </w:p>
        </w:tc>
        <w:tc>
          <w:tcPr>
            <w:tcW w:w="737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海联金汇科技股份有限公司</w:t>
            </w:r>
            <w:r>
              <w:rPr>
                <w:rFonts w:ascii="宋体" w:hAnsi="宋体" w:cs="宋体" w:eastAsia="宋体" w:hint="default"/>
                <w:sz w:val="18"/>
                <w:szCs w:val="18"/>
              </w:rPr>
              <w:t>(002537.SZ)</w:t>
            </w:r>
            <w:r>
              <w:rPr>
                <w:rFonts w:ascii="宋体" w:hAnsi="宋体" w:cs="宋体" w:eastAsia="宋体" w:hint="default"/>
                <w:sz w:val="18"/>
                <w:szCs w:val="18"/>
              </w:rPr>
              <w:t>的全资子公司联动优势科技有限公司</w:t>
            </w:r>
            <w:r>
              <w:rPr>
                <w:rFonts w:ascii="宋体" w:hAnsi="宋体" w:cs="宋体" w:eastAsia="宋体" w:hint="default"/>
                <w:sz w:val="18"/>
                <w:szCs w:val="18"/>
              </w:rPr>
              <w:t> </w:t>
            </w:r>
          </w:p>
        </w:tc>
      </w:tr>
      <w:tr>
        <w:trPr>
          <w:trHeight w:val="559" w:hRule="exact"/>
        </w:trPr>
        <w:tc>
          <w:tcPr>
            <w:tcW w:w="226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30"/>
              <w:ind w:left="103" w:right="0"/>
              <w:jc w:val="left"/>
              <w:rPr>
                <w:rFonts w:ascii="宋体" w:hAnsi="宋体" w:cs="宋体" w:eastAsia="宋体" w:hint="default"/>
                <w:sz w:val="18"/>
                <w:szCs w:val="18"/>
              </w:rPr>
            </w:pPr>
            <w:r>
              <w:rPr>
                <w:rFonts w:ascii="宋体" w:hAnsi="宋体" w:cs="宋体" w:eastAsia="宋体" w:hint="default"/>
                <w:sz w:val="18"/>
                <w:szCs w:val="18"/>
              </w:rPr>
              <w:t>关联关系</w:t>
            </w:r>
            <w:r>
              <w:rPr>
                <w:rFonts w:ascii="宋体" w:hAnsi="宋体" w:cs="宋体" w:eastAsia="宋体" w:hint="default"/>
                <w:sz w:val="18"/>
                <w:szCs w:val="18"/>
              </w:rPr>
              <w:t> </w:t>
            </w:r>
          </w:p>
        </w:tc>
        <w:tc>
          <w:tcPr>
            <w:tcW w:w="737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100"/>
              <w:jc w:val="left"/>
              <w:rPr>
                <w:rFonts w:ascii="宋体" w:hAnsi="宋体" w:cs="宋体" w:eastAsia="宋体" w:hint="default"/>
                <w:sz w:val="18"/>
                <w:szCs w:val="18"/>
              </w:rPr>
            </w:pPr>
            <w:r>
              <w:rPr>
                <w:rFonts w:ascii="宋体" w:hAnsi="宋体" w:cs="宋体" w:eastAsia="宋体" w:hint="default"/>
                <w:spacing w:val="-2"/>
                <w:sz w:val="18"/>
                <w:szCs w:val="18"/>
              </w:rPr>
              <w:t>本公司董事吴鹰也是海联金汇的董事。因此，关联人联动优势符合《股票上市规则》</w:t>
            </w:r>
            <w:r>
              <w:rPr>
                <w:rFonts w:ascii="宋体" w:hAnsi="宋体" w:cs="宋体" w:eastAsia="宋体" w:hint="default"/>
                <w:spacing w:val="-2"/>
                <w:sz w:val="18"/>
                <w:szCs w:val="18"/>
              </w:rPr>
              <w:t>10.1.3</w:t>
            </w:r>
            <w:r>
              <w:rPr>
                <w:rFonts w:ascii="宋体" w:hAnsi="宋体" w:cs="宋体" w:eastAsia="宋体" w:hint="default"/>
                <w:spacing w:val="-52"/>
                <w:sz w:val="18"/>
                <w:szCs w:val="18"/>
              </w:rPr>
              <w:t> </w:t>
            </w:r>
            <w:r>
              <w:rPr>
                <w:rFonts w:ascii="宋体" w:hAnsi="宋体" w:cs="宋体" w:eastAsia="宋体" w:hint="default"/>
                <w:spacing w:val="-52"/>
                <w:sz w:val="18"/>
                <w:szCs w:val="18"/>
              </w:rPr>
            </w:r>
            <w:r>
              <w:rPr>
                <w:rFonts w:ascii="宋体" w:hAnsi="宋体" w:cs="宋体" w:eastAsia="宋体" w:hint="default"/>
                <w:sz w:val="18"/>
                <w:szCs w:val="18"/>
              </w:rPr>
              <w:t>条</w:t>
            </w:r>
            <w:r>
              <w:rPr>
                <w:rFonts w:ascii="宋体" w:hAnsi="宋体" w:cs="宋体" w:eastAsia="宋体" w:hint="default"/>
                <w:sz w:val="18"/>
                <w:szCs w:val="18"/>
              </w:rPr>
              <w:t>(</w:t>
            </w:r>
            <w:r>
              <w:rPr>
                <w:rFonts w:ascii="宋体" w:hAnsi="宋体" w:cs="宋体" w:eastAsia="宋体" w:hint="default"/>
                <w:sz w:val="18"/>
                <w:szCs w:val="18"/>
              </w:rPr>
              <w:t>三</w:t>
            </w:r>
            <w:r>
              <w:rPr>
                <w:rFonts w:ascii="宋体" w:hAnsi="宋体" w:cs="宋体" w:eastAsia="宋体" w:hint="default"/>
                <w:sz w:val="18"/>
                <w:szCs w:val="18"/>
              </w:rPr>
              <w:t>)</w:t>
            </w:r>
            <w:r>
              <w:rPr>
                <w:rFonts w:ascii="宋体" w:hAnsi="宋体" w:cs="宋体" w:eastAsia="宋体" w:hint="default"/>
                <w:sz w:val="18"/>
                <w:szCs w:val="18"/>
              </w:rPr>
              <w:t>款规定的关联关系。</w:t>
            </w:r>
            <w:r>
              <w:rPr>
                <w:rFonts w:ascii="宋体" w:hAnsi="宋体" w:cs="宋体" w:eastAsia="宋体" w:hint="default"/>
                <w:sz w:val="18"/>
                <w:szCs w:val="18"/>
              </w:rPr>
              <w:t> </w:t>
            </w:r>
          </w:p>
        </w:tc>
      </w:tr>
      <w:tr>
        <w:trPr>
          <w:trHeight w:val="322" w:hRule="exact"/>
        </w:trPr>
        <w:tc>
          <w:tcPr>
            <w:tcW w:w="226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关联交易类型</w:t>
            </w:r>
            <w:r>
              <w:rPr>
                <w:rFonts w:ascii="宋体" w:hAnsi="宋体" w:cs="宋体" w:eastAsia="宋体" w:hint="default"/>
                <w:sz w:val="18"/>
                <w:szCs w:val="18"/>
              </w:rPr>
              <w:t> </w:t>
            </w:r>
          </w:p>
        </w:tc>
        <w:tc>
          <w:tcPr>
            <w:tcW w:w="737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销售</w:t>
            </w:r>
            <w:r>
              <w:rPr>
                <w:rFonts w:ascii="宋体" w:hAnsi="宋体" w:cs="宋体" w:eastAsia="宋体" w:hint="default"/>
                <w:sz w:val="18"/>
                <w:szCs w:val="18"/>
              </w:rPr>
              <w:t> </w:t>
            </w:r>
          </w:p>
        </w:tc>
      </w:tr>
      <w:tr>
        <w:trPr>
          <w:trHeight w:val="792" w:hRule="exact"/>
        </w:trPr>
        <w:tc>
          <w:tcPr>
            <w:tcW w:w="226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left"/>
              <w:rPr>
                <w:rFonts w:ascii="宋体" w:hAnsi="宋体" w:cs="宋体" w:eastAsia="宋体" w:hint="default"/>
                <w:b/>
                <w:bCs/>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关联交易内容</w:t>
            </w:r>
            <w:r>
              <w:rPr>
                <w:rFonts w:ascii="宋体" w:hAnsi="宋体" w:cs="宋体" w:eastAsia="宋体" w:hint="default"/>
                <w:sz w:val="18"/>
                <w:szCs w:val="18"/>
              </w:rPr>
              <w:t> </w:t>
            </w:r>
          </w:p>
        </w:tc>
        <w:tc>
          <w:tcPr>
            <w:tcW w:w="737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100"/>
              <w:jc w:val="both"/>
              <w:rPr>
                <w:rFonts w:ascii="宋体" w:hAnsi="宋体" w:cs="宋体" w:eastAsia="宋体" w:hint="default"/>
                <w:sz w:val="18"/>
                <w:szCs w:val="18"/>
              </w:rPr>
            </w:pPr>
            <w:r>
              <w:rPr>
                <w:rFonts w:ascii="宋体" w:hAnsi="宋体" w:cs="宋体" w:eastAsia="宋体" w:hint="default"/>
                <w:spacing w:val="-2"/>
                <w:sz w:val="18"/>
                <w:szCs w:val="18"/>
              </w:rPr>
              <w:t>通过银行的供应商联动优势，以联动优势的名义与银行客户合作，通过创世漫道的短信服务</w:t>
            </w:r>
            <w:r>
              <w:rPr>
                <w:rFonts w:ascii="宋体" w:hAnsi="宋体" w:cs="宋体" w:eastAsia="宋体" w:hint="default"/>
                <w:spacing w:val="-54"/>
                <w:sz w:val="18"/>
                <w:szCs w:val="18"/>
              </w:rPr>
              <w:t> </w:t>
            </w:r>
            <w:r>
              <w:rPr>
                <w:rFonts w:ascii="宋体" w:hAnsi="宋体" w:cs="宋体" w:eastAsia="宋体" w:hint="default"/>
                <w:spacing w:val="-54"/>
                <w:sz w:val="18"/>
                <w:szCs w:val="18"/>
              </w:rPr>
            </w:r>
            <w:r>
              <w:rPr>
                <w:rFonts w:ascii="宋体" w:hAnsi="宋体" w:cs="宋体" w:eastAsia="宋体" w:hint="default"/>
                <w:spacing w:val="-2"/>
                <w:sz w:val="18"/>
                <w:szCs w:val="18"/>
              </w:rPr>
              <w:t>能力和通道，开展创世漫道特有的短信发送业务，该等短信发送收入由客户经联动优势付给</w:t>
            </w:r>
            <w:r>
              <w:rPr>
                <w:rFonts w:ascii="宋体" w:hAnsi="宋体" w:cs="宋体" w:eastAsia="宋体" w:hint="default"/>
                <w:spacing w:val="-54"/>
                <w:sz w:val="18"/>
                <w:szCs w:val="18"/>
              </w:rPr>
              <w:t> </w:t>
            </w:r>
            <w:r>
              <w:rPr>
                <w:rFonts w:ascii="宋体" w:hAnsi="宋体" w:cs="宋体" w:eastAsia="宋体" w:hint="default"/>
                <w:spacing w:val="-54"/>
                <w:sz w:val="18"/>
                <w:szCs w:val="18"/>
              </w:rPr>
            </w:r>
            <w:r>
              <w:rPr>
                <w:rFonts w:ascii="宋体" w:hAnsi="宋体" w:cs="宋体" w:eastAsia="宋体" w:hint="default"/>
                <w:sz w:val="18"/>
                <w:szCs w:val="18"/>
              </w:rPr>
              <w:t>创世漫道。</w:t>
            </w:r>
            <w:r>
              <w:rPr>
                <w:rFonts w:ascii="宋体" w:hAnsi="宋体" w:cs="宋体" w:eastAsia="宋体" w:hint="default"/>
                <w:sz w:val="18"/>
                <w:szCs w:val="18"/>
              </w:rPr>
              <w:t> </w:t>
            </w:r>
          </w:p>
        </w:tc>
      </w:tr>
      <w:tr>
        <w:trPr>
          <w:trHeight w:val="401" w:hRule="exact"/>
        </w:trPr>
        <w:tc>
          <w:tcPr>
            <w:tcW w:w="226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关联交易定价原则</w:t>
            </w:r>
            <w:r>
              <w:rPr>
                <w:rFonts w:ascii="宋体" w:hAnsi="宋体" w:cs="宋体" w:eastAsia="宋体" w:hint="default"/>
                <w:sz w:val="18"/>
                <w:szCs w:val="18"/>
              </w:rPr>
              <w:t> </w:t>
            </w:r>
          </w:p>
        </w:tc>
        <w:tc>
          <w:tcPr>
            <w:tcW w:w="737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根据有利于上市公司、公平、公允的原则，依据市场价格确定。</w:t>
            </w:r>
            <w:r>
              <w:rPr>
                <w:rFonts w:ascii="宋体" w:hAnsi="宋体" w:cs="宋体" w:eastAsia="宋体" w:hint="default"/>
                <w:sz w:val="18"/>
                <w:szCs w:val="18"/>
              </w:rPr>
              <w:t> </w:t>
            </w:r>
          </w:p>
        </w:tc>
      </w:tr>
      <w:tr>
        <w:trPr>
          <w:trHeight w:val="403" w:hRule="exact"/>
        </w:trPr>
        <w:tc>
          <w:tcPr>
            <w:tcW w:w="226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关联交易价格</w:t>
            </w:r>
            <w:r>
              <w:rPr>
                <w:rFonts w:ascii="宋体" w:hAnsi="宋体" w:cs="宋体" w:eastAsia="宋体" w:hint="default"/>
                <w:sz w:val="18"/>
                <w:szCs w:val="18"/>
              </w:rPr>
              <w:t> </w:t>
            </w:r>
          </w:p>
        </w:tc>
        <w:tc>
          <w:tcPr>
            <w:tcW w:w="737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依据市场价格确定</w:t>
            </w:r>
            <w:r>
              <w:rPr>
                <w:rFonts w:ascii="宋体" w:hAnsi="宋体" w:cs="宋体" w:eastAsia="宋体" w:hint="default"/>
                <w:sz w:val="18"/>
                <w:szCs w:val="18"/>
              </w:rPr>
              <w:t> </w:t>
            </w:r>
          </w:p>
        </w:tc>
      </w:tr>
      <w:tr>
        <w:trPr>
          <w:trHeight w:val="401" w:hRule="exact"/>
        </w:trPr>
        <w:tc>
          <w:tcPr>
            <w:tcW w:w="226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关联交易金额</w:t>
            </w:r>
            <w:r>
              <w:rPr>
                <w:rFonts w:ascii="宋体" w:hAnsi="宋体" w:cs="宋体" w:eastAsia="宋体" w:hint="default"/>
                <w:sz w:val="18"/>
                <w:szCs w:val="18"/>
              </w:rPr>
              <w:t>(</w:t>
            </w:r>
            <w:r>
              <w:rPr>
                <w:rFonts w:ascii="宋体" w:hAnsi="宋体" w:cs="宋体" w:eastAsia="宋体" w:hint="default"/>
                <w:sz w:val="18"/>
                <w:szCs w:val="18"/>
              </w:rPr>
              <w:t>万元</w:t>
            </w:r>
            <w:r>
              <w:rPr>
                <w:rFonts w:ascii="宋体" w:hAnsi="宋体" w:cs="宋体" w:eastAsia="宋体" w:hint="default"/>
                <w:sz w:val="18"/>
                <w:szCs w:val="18"/>
              </w:rPr>
              <w:t>) </w:t>
            </w:r>
          </w:p>
        </w:tc>
        <w:tc>
          <w:tcPr>
            <w:tcW w:w="737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257.2</w:t>
            </w:r>
            <w:r>
              <w:rPr>
                <w:rFonts w:ascii="宋体" w:hAnsi="宋体" w:cs="宋体" w:eastAsia="宋体" w:hint="default"/>
                <w:spacing w:val="-47"/>
                <w:sz w:val="18"/>
                <w:szCs w:val="18"/>
              </w:rPr>
              <w:t> </w:t>
            </w:r>
            <w:r>
              <w:rPr>
                <w:rFonts w:ascii="宋体" w:hAnsi="宋体" w:cs="宋体" w:eastAsia="宋体" w:hint="default"/>
                <w:sz w:val="18"/>
                <w:szCs w:val="18"/>
              </w:rPr>
              <w:t>万元</w:t>
            </w:r>
            <w:r>
              <w:rPr>
                <w:rFonts w:ascii="宋体" w:hAnsi="宋体" w:cs="宋体" w:eastAsia="宋体" w:hint="default"/>
                <w:sz w:val="18"/>
                <w:szCs w:val="18"/>
              </w:rPr>
              <w:t> </w:t>
            </w:r>
          </w:p>
        </w:tc>
      </w:tr>
      <w:tr>
        <w:trPr>
          <w:trHeight w:val="403" w:hRule="exact"/>
        </w:trPr>
        <w:tc>
          <w:tcPr>
            <w:tcW w:w="226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占同类交易金额的比例</w:t>
            </w:r>
            <w:r>
              <w:rPr>
                <w:rFonts w:ascii="宋体" w:hAnsi="宋体" w:cs="宋体" w:eastAsia="宋体" w:hint="default"/>
                <w:sz w:val="18"/>
                <w:szCs w:val="18"/>
              </w:rPr>
              <w:t> </w:t>
            </w:r>
          </w:p>
        </w:tc>
        <w:tc>
          <w:tcPr>
            <w:tcW w:w="737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sz w:val="18"/>
              </w:rPr>
              <w:t>0.25% </w:t>
            </w:r>
          </w:p>
        </w:tc>
      </w:tr>
      <w:tr>
        <w:trPr>
          <w:trHeight w:val="401" w:hRule="exact"/>
        </w:trPr>
        <w:tc>
          <w:tcPr>
            <w:tcW w:w="226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获批的交易额度</w:t>
            </w:r>
            <w:r>
              <w:rPr>
                <w:rFonts w:ascii="宋体" w:hAnsi="宋体" w:cs="宋体" w:eastAsia="宋体" w:hint="default"/>
                <w:sz w:val="18"/>
                <w:szCs w:val="18"/>
              </w:rPr>
              <w:t>(</w:t>
            </w:r>
            <w:r>
              <w:rPr>
                <w:rFonts w:ascii="宋体" w:hAnsi="宋体" w:cs="宋体" w:eastAsia="宋体" w:hint="default"/>
                <w:sz w:val="18"/>
                <w:szCs w:val="18"/>
              </w:rPr>
              <w:t>万元</w:t>
            </w:r>
            <w:r>
              <w:rPr>
                <w:rFonts w:ascii="宋体" w:hAnsi="宋体" w:cs="宋体" w:eastAsia="宋体" w:hint="default"/>
                <w:sz w:val="18"/>
                <w:szCs w:val="18"/>
              </w:rPr>
              <w:t>) </w:t>
            </w:r>
          </w:p>
        </w:tc>
        <w:tc>
          <w:tcPr>
            <w:tcW w:w="737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宋体" w:hAnsi="宋体" w:cs="宋体" w:eastAsia="宋体" w:hint="default"/>
                <w:sz w:val="18"/>
                <w:szCs w:val="18"/>
              </w:rPr>
              <w:t>4</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日起的连续十二个月内的预计总金额为</w:t>
            </w:r>
            <w:r>
              <w:rPr>
                <w:rFonts w:ascii="宋体" w:hAnsi="宋体" w:cs="宋体" w:eastAsia="宋体" w:hint="default"/>
                <w:spacing w:val="-47"/>
                <w:sz w:val="18"/>
                <w:szCs w:val="18"/>
              </w:rPr>
              <w:t> </w:t>
            </w:r>
            <w:r>
              <w:rPr>
                <w:rFonts w:ascii="宋体" w:hAnsi="宋体" w:cs="宋体" w:eastAsia="宋体" w:hint="default"/>
                <w:sz w:val="18"/>
                <w:szCs w:val="18"/>
              </w:rPr>
              <w:t>600</w:t>
            </w:r>
            <w:r>
              <w:rPr>
                <w:rFonts w:ascii="宋体" w:hAnsi="宋体" w:cs="宋体" w:eastAsia="宋体" w:hint="default"/>
                <w:spacing w:val="-46"/>
                <w:sz w:val="18"/>
                <w:szCs w:val="18"/>
              </w:rPr>
              <w:t> </w:t>
            </w:r>
            <w:r>
              <w:rPr>
                <w:rFonts w:ascii="宋体" w:hAnsi="宋体" w:cs="宋体" w:eastAsia="宋体" w:hint="default"/>
                <w:sz w:val="18"/>
                <w:szCs w:val="18"/>
              </w:rPr>
              <w:t>万元。</w:t>
            </w:r>
            <w:r>
              <w:rPr>
                <w:rFonts w:ascii="宋体" w:hAnsi="宋体" w:cs="宋体" w:eastAsia="宋体" w:hint="default"/>
                <w:sz w:val="18"/>
                <w:szCs w:val="18"/>
              </w:rPr>
              <w:t> </w:t>
            </w:r>
          </w:p>
        </w:tc>
      </w:tr>
      <w:tr>
        <w:trPr>
          <w:trHeight w:val="403" w:hRule="exact"/>
        </w:trPr>
        <w:tc>
          <w:tcPr>
            <w:tcW w:w="226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是否超过获批额度</w:t>
            </w:r>
            <w:r>
              <w:rPr>
                <w:rFonts w:ascii="宋体" w:hAnsi="宋体" w:cs="宋体" w:eastAsia="宋体" w:hint="default"/>
                <w:sz w:val="18"/>
                <w:szCs w:val="18"/>
              </w:rPr>
              <w:t> </w:t>
            </w:r>
          </w:p>
        </w:tc>
        <w:tc>
          <w:tcPr>
            <w:tcW w:w="737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未超过</w:t>
            </w:r>
            <w:r>
              <w:rPr>
                <w:rFonts w:ascii="宋体" w:hAnsi="宋体" w:cs="宋体" w:eastAsia="宋体" w:hint="default"/>
                <w:sz w:val="18"/>
                <w:szCs w:val="18"/>
              </w:rPr>
              <w:t> </w:t>
            </w:r>
          </w:p>
        </w:tc>
      </w:tr>
      <w:tr>
        <w:trPr>
          <w:trHeight w:val="401" w:hRule="exact"/>
        </w:trPr>
        <w:tc>
          <w:tcPr>
            <w:tcW w:w="226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关联交易结算方式</w:t>
            </w:r>
            <w:r>
              <w:rPr>
                <w:rFonts w:ascii="宋体" w:hAnsi="宋体" w:cs="宋体" w:eastAsia="宋体" w:hint="default"/>
                <w:sz w:val="18"/>
                <w:szCs w:val="18"/>
              </w:rPr>
              <w:t> </w:t>
            </w:r>
          </w:p>
        </w:tc>
        <w:tc>
          <w:tcPr>
            <w:tcW w:w="737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现金</w:t>
            </w:r>
            <w:r>
              <w:rPr>
                <w:rFonts w:ascii="宋体" w:hAnsi="宋体" w:cs="宋体" w:eastAsia="宋体" w:hint="default"/>
                <w:sz w:val="18"/>
                <w:szCs w:val="18"/>
              </w:rPr>
              <w:t> </w:t>
            </w:r>
          </w:p>
        </w:tc>
      </w:tr>
      <w:tr>
        <w:trPr>
          <w:trHeight w:val="403" w:hRule="exact"/>
        </w:trPr>
        <w:tc>
          <w:tcPr>
            <w:tcW w:w="226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可获得的同类交易市价</w:t>
            </w:r>
            <w:r>
              <w:rPr>
                <w:rFonts w:ascii="宋体" w:hAnsi="宋体" w:cs="宋体" w:eastAsia="宋体" w:hint="default"/>
                <w:sz w:val="18"/>
                <w:szCs w:val="18"/>
              </w:rPr>
              <w:t> </w:t>
            </w:r>
          </w:p>
        </w:tc>
        <w:tc>
          <w:tcPr>
            <w:tcW w:w="737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不适用</w:t>
            </w:r>
            <w:r>
              <w:rPr>
                <w:rFonts w:ascii="宋体" w:hAnsi="宋体" w:cs="宋体" w:eastAsia="宋体" w:hint="default"/>
                <w:sz w:val="18"/>
                <w:szCs w:val="18"/>
              </w:rPr>
              <w:t> </w:t>
            </w:r>
          </w:p>
        </w:tc>
      </w:tr>
      <w:tr>
        <w:trPr>
          <w:trHeight w:val="401" w:hRule="exact"/>
        </w:trPr>
        <w:tc>
          <w:tcPr>
            <w:tcW w:w="226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大额销货退回的详细情况</w:t>
            </w:r>
          </w:p>
        </w:tc>
        <w:tc>
          <w:tcPr>
            <w:tcW w:w="737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不存在销售退回情形</w:t>
            </w:r>
            <w:r>
              <w:rPr>
                <w:rFonts w:ascii="宋体" w:hAnsi="宋体" w:cs="宋体" w:eastAsia="宋体" w:hint="default"/>
                <w:sz w:val="18"/>
                <w:szCs w:val="18"/>
              </w:rPr>
              <w:t> </w:t>
            </w:r>
          </w:p>
        </w:tc>
      </w:tr>
      <w:tr>
        <w:trPr>
          <w:trHeight w:val="418" w:hRule="exact"/>
        </w:trPr>
        <w:tc>
          <w:tcPr>
            <w:tcW w:w="1136"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披露索引</w:t>
            </w:r>
            <w:r>
              <w:rPr>
                <w:rFonts w:ascii="宋体" w:hAnsi="宋体" w:cs="宋体" w:eastAsia="宋体" w:hint="default"/>
                <w:sz w:val="18"/>
                <w:szCs w:val="18"/>
              </w:rPr>
              <w:t> </w:t>
            </w:r>
          </w:p>
        </w:tc>
        <w:tc>
          <w:tcPr>
            <w:tcW w:w="11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8"/>
              <w:ind w:left="103" w:right="0"/>
              <w:jc w:val="left"/>
              <w:rPr>
                <w:rFonts w:ascii="宋体" w:hAnsi="宋体" w:cs="宋体" w:eastAsia="宋体" w:hint="default"/>
                <w:sz w:val="18"/>
                <w:szCs w:val="18"/>
              </w:rPr>
            </w:pPr>
            <w:r>
              <w:rPr>
                <w:rFonts w:ascii="宋体" w:hAnsi="宋体" w:cs="宋体" w:eastAsia="宋体" w:hint="default"/>
                <w:sz w:val="18"/>
                <w:szCs w:val="18"/>
              </w:rPr>
              <w:t>披露网站</w:t>
            </w:r>
            <w:r>
              <w:rPr>
                <w:rFonts w:ascii="宋体" w:hAnsi="宋体" w:cs="宋体" w:eastAsia="宋体" w:hint="default"/>
                <w:sz w:val="18"/>
                <w:szCs w:val="18"/>
              </w:rPr>
              <w:t> </w:t>
            </w:r>
          </w:p>
        </w:tc>
        <w:tc>
          <w:tcPr>
            <w:tcW w:w="737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3" w:right="0"/>
              <w:jc w:val="left"/>
              <w:rPr>
                <w:rFonts w:ascii="宋体" w:hAnsi="宋体" w:cs="宋体" w:eastAsia="宋体" w:hint="default"/>
                <w:sz w:val="18"/>
                <w:szCs w:val="18"/>
              </w:rPr>
            </w:pPr>
            <w:r>
              <w:rPr>
                <w:rFonts w:ascii="宋体" w:hAnsi="宋体" w:cs="宋体" w:eastAsia="宋体" w:hint="default"/>
                <w:sz w:val="18"/>
                <w:szCs w:val="18"/>
              </w:rPr>
              <w:t>巨潮资讯网</w:t>
            </w:r>
            <w:r>
              <w:rPr>
                <w:rFonts w:ascii="宋体" w:hAnsi="宋体" w:cs="宋体" w:eastAsia="宋体" w:hint="default"/>
                <w:sz w:val="18"/>
                <w:szCs w:val="18"/>
              </w:rPr>
              <w:t> </w:t>
            </w:r>
          </w:p>
        </w:tc>
      </w:tr>
      <w:tr>
        <w:trPr>
          <w:trHeight w:val="434" w:hRule="exact"/>
        </w:trPr>
        <w:tc>
          <w:tcPr>
            <w:tcW w:w="1136" w:type="dxa"/>
            <w:vMerge/>
            <w:tcBorders>
              <w:left w:val="single" w:sz="4" w:space="0" w:color="000000"/>
              <w:right w:val="single" w:sz="4" w:space="0" w:color="000000"/>
            </w:tcBorders>
            <w:shd w:val="clear" w:color="auto" w:fill="D9D9D9"/>
          </w:tcPr>
          <w:p>
            <w:pPr/>
          </w:p>
        </w:tc>
        <w:tc>
          <w:tcPr>
            <w:tcW w:w="6522"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8"/>
              <w:ind w:left="2086" w:right="0"/>
              <w:jc w:val="left"/>
              <w:rPr>
                <w:rFonts w:ascii="宋体" w:hAnsi="宋体" w:cs="宋体" w:eastAsia="宋体" w:hint="default"/>
                <w:sz w:val="18"/>
                <w:szCs w:val="18"/>
              </w:rPr>
            </w:pPr>
            <w:r>
              <w:rPr>
                <w:rFonts w:ascii="宋体" w:hAnsi="宋体" w:cs="宋体" w:eastAsia="宋体" w:hint="default"/>
                <w:sz w:val="18"/>
                <w:szCs w:val="18"/>
              </w:rPr>
              <w:t>会议决议公告名称</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 </w:t>
            </w:r>
          </w:p>
        </w:tc>
        <w:tc>
          <w:tcPr>
            <w:tcW w:w="198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8"/>
              <w:ind w:left="90" w:right="0"/>
              <w:jc w:val="center"/>
              <w:rPr>
                <w:rFonts w:ascii="宋体" w:hAnsi="宋体" w:cs="宋体" w:eastAsia="宋体" w:hint="default"/>
                <w:sz w:val="18"/>
                <w:szCs w:val="18"/>
              </w:rPr>
            </w:pPr>
            <w:r>
              <w:rPr>
                <w:rFonts w:ascii="宋体" w:hAnsi="宋体" w:cs="宋体" w:eastAsia="宋体" w:hint="default"/>
                <w:sz w:val="18"/>
                <w:szCs w:val="18"/>
              </w:rPr>
              <w:t>披露日期</w:t>
            </w:r>
            <w:r>
              <w:rPr>
                <w:rFonts w:ascii="宋体" w:hAnsi="宋体" w:cs="宋体" w:eastAsia="宋体" w:hint="default"/>
                <w:sz w:val="18"/>
                <w:szCs w:val="18"/>
              </w:rPr>
              <w:t> </w:t>
            </w:r>
          </w:p>
        </w:tc>
      </w:tr>
      <w:tr>
        <w:trPr>
          <w:trHeight w:val="403" w:hRule="exact"/>
        </w:trPr>
        <w:tc>
          <w:tcPr>
            <w:tcW w:w="1136" w:type="dxa"/>
            <w:vMerge/>
            <w:tcBorders>
              <w:left w:val="single" w:sz="4" w:space="0" w:color="000000"/>
              <w:right w:val="single" w:sz="4" w:space="0" w:color="000000"/>
            </w:tcBorders>
            <w:shd w:val="clear" w:color="auto" w:fill="D9D9D9"/>
          </w:tcPr>
          <w:p>
            <w:pPr/>
          </w:p>
        </w:tc>
        <w:tc>
          <w:tcPr>
            <w:tcW w:w="65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公司第七届董事会</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年第五次会议决议公告</w:t>
            </w:r>
            <w:r>
              <w:rPr>
                <w:rFonts w:ascii="Times New Roman" w:hAnsi="Times New Roman" w:cs="Times New Roman" w:eastAsia="Times New Roman" w:hint="default"/>
                <w:sz w:val="18"/>
                <w:szCs w:val="18"/>
              </w:rPr>
              <w:t>(</w:t>
            </w:r>
            <w:r>
              <w:rPr>
                <w:rFonts w:ascii="宋体" w:hAnsi="宋体" w:cs="宋体" w:eastAsia="宋体" w:hint="default"/>
                <w:sz w:val="18"/>
                <w:szCs w:val="18"/>
              </w:rPr>
              <w:t>公告编号：</w:t>
            </w:r>
            <w:r>
              <w:rPr>
                <w:rFonts w:ascii="Times New Roman" w:hAnsi="Times New Roman" w:cs="Times New Roman" w:eastAsia="Times New Roman" w:hint="default"/>
                <w:sz w:val="18"/>
                <w:szCs w:val="18"/>
              </w:rPr>
              <w:t>2019</w:t>
            </w:r>
            <w:r>
              <w:rPr>
                <w:rFonts w:ascii="宋体" w:hAnsi="宋体" w:cs="宋体" w:eastAsia="宋体" w:hint="default"/>
                <w:sz w:val="18"/>
                <w:szCs w:val="18"/>
              </w:rPr>
              <w:t>—</w:t>
            </w:r>
            <w:r>
              <w:rPr>
                <w:rFonts w:ascii="Times New Roman" w:hAnsi="Times New Roman" w:cs="Times New Roman" w:eastAsia="Times New Roman" w:hint="default"/>
                <w:sz w:val="18"/>
                <w:szCs w:val="18"/>
              </w:rPr>
              <w:t>35)</w:t>
            </w:r>
            <w:r>
              <w:rPr>
                <w:rFonts w:ascii="宋体" w:hAnsi="宋体" w:cs="宋体" w:eastAsia="宋体" w:hint="default"/>
                <w:sz w:val="18"/>
                <w:szCs w:val="18"/>
              </w:rPr>
              <w:t> </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9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 </w:t>
            </w:r>
            <w:r>
              <w:rPr>
                <w:rFonts w:ascii="宋体" w:hAnsi="宋体" w:cs="宋体" w:eastAsia="宋体" w:hint="default"/>
                <w:spacing w:val="-3"/>
                <w:sz w:val="18"/>
                <w:szCs w:val="18"/>
              </w:rPr>
              <w:t>日</w:t>
            </w:r>
            <w:r>
              <w:rPr>
                <w:rFonts w:ascii="宋体" w:hAnsi="宋体" w:cs="宋体" w:eastAsia="宋体" w:hint="default"/>
                <w:sz w:val="18"/>
                <w:szCs w:val="18"/>
              </w:rPr>
              <w:t> </w:t>
            </w:r>
          </w:p>
        </w:tc>
      </w:tr>
      <w:tr>
        <w:trPr>
          <w:trHeight w:val="403" w:hRule="exact"/>
        </w:trPr>
        <w:tc>
          <w:tcPr>
            <w:tcW w:w="1136" w:type="dxa"/>
            <w:vMerge/>
            <w:tcBorders>
              <w:left w:val="single" w:sz="4" w:space="0" w:color="000000"/>
              <w:bottom w:val="single" w:sz="4" w:space="0" w:color="000000"/>
              <w:right w:val="single" w:sz="4" w:space="0" w:color="000000"/>
            </w:tcBorders>
            <w:shd w:val="clear" w:color="auto" w:fill="D9D9D9"/>
          </w:tcPr>
          <w:p>
            <w:pPr/>
          </w:p>
        </w:tc>
        <w:tc>
          <w:tcPr>
            <w:tcW w:w="65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公司关于全资子公司创世漫道日常关联交易预计公告</w:t>
            </w:r>
            <w:r>
              <w:rPr>
                <w:rFonts w:ascii="Times New Roman" w:hAnsi="Times New Roman" w:cs="Times New Roman" w:eastAsia="Times New Roman" w:hint="default"/>
                <w:sz w:val="18"/>
                <w:szCs w:val="18"/>
              </w:rPr>
              <w:t>(</w:t>
            </w:r>
            <w:r>
              <w:rPr>
                <w:rFonts w:ascii="宋体" w:hAnsi="宋体" w:cs="宋体" w:eastAsia="宋体" w:hint="default"/>
                <w:sz w:val="18"/>
                <w:szCs w:val="18"/>
              </w:rPr>
              <w:t>公告编号：</w:t>
            </w:r>
            <w:r>
              <w:rPr>
                <w:rFonts w:ascii="Times New Roman" w:hAnsi="Times New Roman" w:cs="Times New Roman" w:eastAsia="Times New Roman" w:hint="default"/>
                <w:sz w:val="18"/>
                <w:szCs w:val="18"/>
              </w:rPr>
              <w:t>2019</w:t>
            </w:r>
            <w:r>
              <w:rPr>
                <w:rFonts w:ascii="宋体" w:hAnsi="宋体" w:cs="宋体" w:eastAsia="宋体" w:hint="default"/>
                <w:sz w:val="18"/>
                <w:szCs w:val="18"/>
              </w:rPr>
              <w:t>—</w:t>
            </w:r>
            <w:r>
              <w:rPr>
                <w:rFonts w:ascii="Times New Roman" w:hAnsi="Times New Roman" w:cs="Times New Roman" w:eastAsia="Times New Roman" w:hint="default"/>
                <w:sz w:val="18"/>
                <w:szCs w:val="18"/>
              </w:rPr>
              <w:t>38)</w:t>
            </w:r>
            <w:r>
              <w:rPr>
                <w:rFonts w:ascii="宋体" w:hAnsi="宋体" w:cs="宋体" w:eastAsia="宋体" w:hint="default"/>
                <w:sz w:val="18"/>
                <w:szCs w:val="18"/>
              </w:rPr>
              <w:t> </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9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23 </w:t>
            </w:r>
            <w:r>
              <w:rPr>
                <w:rFonts w:ascii="宋体" w:hAnsi="宋体" w:cs="宋体" w:eastAsia="宋体" w:hint="default"/>
                <w:spacing w:val="-3"/>
                <w:sz w:val="18"/>
                <w:szCs w:val="18"/>
              </w:rPr>
              <w:t>日</w:t>
            </w:r>
            <w:r>
              <w:rPr>
                <w:rFonts w:ascii="宋体" w:hAnsi="宋体" w:cs="宋体" w:eastAsia="宋体" w:hint="default"/>
                <w:sz w:val="18"/>
                <w:szCs w:val="18"/>
              </w:rPr>
              <w:t> </w:t>
            </w:r>
          </w:p>
        </w:tc>
      </w:tr>
    </w:tbl>
    <w:p>
      <w:pPr>
        <w:spacing w:line="240" w:lineRule="auto" w:before="3"/>
        <w:rPr>
          <w:rFonts w:ascii="宋体" w:hAnsi="宋体" w:cs="宋体" w:eastAsia="宋体" w:hint="default"/>
          <w:b/>
          <w:bCs/>
          <w:sz w:val="19"/>
          <w:szCs w:val="19"/>
        </w:rPr>
      </w:pPr>
    </w:p>
    <w:p>
      <w:pPr>
        <w:pStyle w:val="Heading3"/>
        <w:spacing w:line="240" w:lineRule="auto"/>
        <w:ind w:right="1133"/>
        <w:jc w:val="left"/>
        <w:rPr>
          <w:b w:val="0"/>
          <w:bCs w:val="0"/>
        </w:rPr>
      </w:pPr>
      <w:r>
        <w:rPr>
          <w:rFonts w:ascii="Times New Roman" w:hAnsi="Times New Roman" w:cs="Times New Roman" w:eastAsia="Times New Roman" w:hint="default"/>
        </w:rPr>
        <w:t>2</w:t>
      </w:r>
      <w:r>
        <w:rPr/>
        <w:t>、与北京博升优势科技发展有限公司的日常经营相关的关联交易</w:t>
      </w:r>
      <w:r>
        <w:rPr>
          <w:b w:val="0"/>
          <w:bCs w:val="0"/>
        </w:rPr>
      </w:r>
    </w:p>
    <w:p>
      <w:pPr>
        <w:spacing w:line="240" w:lineRule="auto" w:before="10"/>
        <w:rPr>
          <w:rFonts w:ascii="宋体" w:hAnsi="宋体" w:cs="宋体" w:eastAsia="宋体" w:hint="default"/>
          <w:b/>
          <w:bCs/>
          <w:sz w:val="11"/>
          <w:szCs w:val="11"/>
        </w:rPr>
      </w:pPr>
    </w:p>
    <w:tbl>
      <w:tblPr>
        <w:tblW w:w="0" w:type="auto"/>
        <w:jc w:val="left"/>
        <w:tblInd w:w="149" w:type="dxa"/>
        <w:tblLayout w:type="fixed"/>
        <w:tblCellMar>
          <w:top w:w="0" w:type="dxa"/>
          <w:left w:w="0" w:type="dxa"/>
          <w:bottom w:w="0" w:type="dxa"/>
          <w:right w:w="0" w:type="dxa"/>
        </w:tblCellMar>
        <w:tblLook w:val="01E0"/>
      </w:tblPr>
      <w:tblGrid>
        <w:gridCol w:w="2267"/>
        <w:gridCol w:w="7372"/>
      </w:tblGrid>
      <w:tr>
        <w:trPr>
          <w:trHeight w:val="418"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8"/>
              <w:ind w:left="102" w:right="0"/>
              <w:jc w:val="left"/>
              <w:rPr>
                <w:rFonts w:ascii="宋体" w:hAnsi="宋体" w:cs="宋体" w:eastAsia="宋体" w:hint="default"/>
                <w:sz w:val="18"/>
                <w:szCs w:val="18"/>
              </w:rPr>
            </w:pPr>
            <w:r>
              <w:rPr>
                <w:rFonts w:ascii="宋体" w:hAnsi="宋体" w:cs="宋体" w:eastAsia="宋体" w:hint="default"/>
                <w:sz w:val="18"/>
                <w:szCs w:val="18"/>
              </w:rPr>
              <w:t>关联交易方</w:t>
            </w:r>
            <w:r>
              <w:rPr>
                <w:rFonts w:ascii="宋体" w:hAnsi="宋体" w:cs="宋体" w:eastAsia="宋体" w:hint="default"/>
                <w:sz w:val="18"/>
                <w:szCs w:val="18"/>
              </w:rPr>
              <w:t> </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3" w:right="0"/>
              <w:jc w:val="left"/>
              <w:rPr>
                <w:rFonts w:ascii="宋体" w:hAnsi="宋体" w:cs="宋体" w:eastAsia="宋体" w:hint="default"/>
                <w:sz w:val="18"/>
                <w:szCs w:val="18"/>
              </w:rPr>
            </w:pPr>
            <w:r>
              <w:rPr>
                <w:rFonts w:ascii="宋体" w:hAnsi="宋体" w:cs="宋体" w:eastAsia="宋体" w:hint="default"/>
                <w:sz w:val="18"/>
                <w:szCs w:val="18"/>
              </w:rPr>
              <w:t>北京博升优势科技发展有限公司</w:t>
            </w:r>
            <w:r>
              <w:rPr>
                <w:rFonts w:ascii="宋体" w:hAnsi="宋体" w:cs="宋体" w:eastAsia="宋体" w:hint="default"/>
                <w:sz w:val="18"/>
                <w:szCs w:val="18"/>
              </w:rPr>
              <w:t> </w:t>
            </w:r>
          </w:p>
        </w:tc>
      </w:tr>
      <w:tr>
        <w:trPr>
          <w:trHeight w:val="557"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8"/>
              <w:ind w:left="102" w:right="0"/>
              <w:jc w:val="left"/>
              <w:rPr>
                <w:rFonts w:ascii="宋体" w:hAnsi="宋体" w:cs="宋体" w:eastAsia="宋体" w:hint="default"/>
                <w:sz w:val="18"/>
                <w:szCs w:val="18"/>
              </w:rPr>
            </w:pPr>
            <w:r>
              <w:rPr>
                <w:rFonts w:ascii="宋体" w:hAnsi="宋体" w:cs="宋体" w:eastAsia="宋体" w:hint="default"/>
                <w:sz w:val="18"/>
                <w:szCs w:val="18"/>
              </w:rPr>
              <w:t>关联关系</w:t>
            </w:r>
            <w:r>
              <w:rPr>
                <w:rFonts w:ascii="宋体" w:hAnsi="宋体" w:cs="宋体" w:eastAsia="宋体" w:hint="default"/>
                <w:sz w:val="18"/>
                <w:szCs w:val="18"/>
              </w:rPr>
              <w:t> </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35" w:lineRule="exact" w:before="10"/>
              <w:ind w:left="103" w:right="0"/>
              <w:jc w:val="left"/>
              <w:rPr>
                <w:rFonts w:ascii="宋体" w:hAnsi="宋体" w:cs="宋体" w:eastAsia="宋体" w:hint="default"/>
                <w:sz w:val="18"/>
                <w:szCs w:val="18"/>
              </w:rPr>
            </w:pPr>
            <w:r>
              <w:rPr>
                <w:rFonts w:ascii="宋体" w:hAnsi="宋体" w:cs="宋体" w:eastAsia="宋体" w:hint="default"/>
                <w:spacing w:val="2"/>
                <w:sz w:val="18"/>
                <w:szCs w:val="18"/>
              </w:rPr>
              <w:t>本公司董事长吴鹰也是博升优势的董事长。因此，关联人博升优势符合《股票上市规则》</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10.1.3</w:t>
            </w:r>
            <w:r>
              <w:rPr>
                <w:rFonts w:ascii="宋体" w:hAnsi="宋体" w:cs="宋体" w:eastAsia="宋体" w:hint="default"/>
                <w:spacing w:val="-49"/>
                <w:sz w:val="18"/>
                <w:szCs w:val="18"/>
              </w:rPr>
              <w:t> </w:t>
            </w:r>
            <w:r>
              <w:rPr>
                <w:rFonts w:ascii="宋体" w:hAnsi="宋体" w:cs="宋体" w:eastAsia="宋体" w:hint="default"/>
                <w:sz w:val="18"/>
                <w:szCs w:val="18"/>
              </w:rPr>
              <w:t>条</w:t>
            </w:r>
            <w:r>
              <w:rPr>
                <w:rFonts w:ascii="宋体" w:hAnsi="宋体" w:cs="宋体" w:eastAsia="宋体" w:hint="default"/>
                <w:sz w:val="18"/>
                <w:szCs w:val="18"/>
              </w:rPr>
              <w:t>(</w:t>
            </w:r>
            <w:r>
              <w:rPr>
                <w:rFonts w:ascii="宋体" w:hAnsi="宋体" w:cs="宋体" w:eastAsia="宋体" w:hint="default"/>
                <w:sz w:val="18"/>
                <w:szCs w:val="18"/>
              </w:rPr>
              <w:t>三</w:t>
            </w:r>
            <w:r>
              <w:rPr>
                <w:rFonts w:ascii="宋体" w:hAnsi="宋体" w:cs="宋体" w:eastAsia="宋体" w:hint="default"/>
                <w:sz w:val="18"/>
                <w:szCs w:val="18"/>
              </w:rPr>
              <w:t>)</w:t>
            </w:r>
            <w:r>
              <w:rPr>
                <w:rFonts w:ascii="宋体" w:hAnsi="宋体" w:cs="宋体" w:eastAsia="宋体" w:hint="default"/>
                <w:sz w:val="18"/>
                <w:szCs w:val="18"/>
              </w:rPr>
              <w:t>款规定的关联关系。</w:t>
            </w:r>
            <w:r>
              <w:rPr>
                <w:rFonts w:ascii="宋体" w:hAnsi="宋体" w:cs="宋体" w:eastAsia="宋体" w:hint="default"/>
                <w:sz w:val="18"/>
                <w:szCs w:val="18"/>
              </w:rPr>
              <w:t> </w:t>
            </w:r>
          </w:p>
        </w:tc>
      </w:tr>
      <w:tr>
        <w:trPr>
          <w:trHeight w:val="324"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3"/>
              <w:ind w:left="102" w:right="0"/>
              <w:jc w:val="left"/>
              <w:rPr>
                <w:rFonts w:ascii="宋体" w:hAnsi="宋体" w:cs="宋体" w:eastAsia="宋体" w:hint="default"/>
                <w:sz w:val="18"/>
                <w:szCs w:val="18"/>
              </w:rPr>
            </w:pPr>
            <w:r>
              <w:rPr>
                <w:rFonts w:ascii="宋体" w:hAnsi="宋体" w:cs="宋体" w:eastAsia="宋体" w:hint="default"/>
                <w:sz w:val="18"/>
                <w:szCs w:val="18"/>
              </w:rPr>
              <w:t>关联交易类型</w:t>
            </w:r>
            <w:r>
              <w:rPr>
                <w:rFonts w:ascii="宋体" w:hAnsi="宋体" w:cs="宋体" w:eastAsia="宋体" w:hint="default"/>
                <w:sz w:val="18"/>
                <w:szCs w:val="18"/>
              </w:rPr>
              <w:t> </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采购</w:t>
            </w:r>
            <w:r>
              <w:rPr>
                <w:rFonts w:ascii="宋体" w:hAnsi="宋体" w:cs="宋体" w:eastAsia="宋体" w:hint="default"/>
                <w:sz w:val="18"/>
                <w:szCs w:val="18"/>
              </w:rPr>
              <w:t> </w:t>
            </w:r>
          </w:p>
        </w:tc>
      </w:tr>
    </w:tbl>
    <w:p>
      <w:pPr>
        <w:spacing w:after="0" w:line="240" w:lineRule="auto"/>
        <w:jc w:val="left"/>
        <w:rPr>
          <w:rFonts w:ascii="宋体" w:hAnsi="宋体" w:cs="宋体" w:eastAsia="宋体" w:hint="default"/>
          <w:sz w:val="18"/>
          <w:szCs w:val="18"/>
        </w:rPr>
        <w:sectPr>
          <w:pgSz w:w="11910" w:h="16840"/>
          <w:pgMar w:header="880" w:footer="975" w:top="1100" w:bottom="1160" w:left="980" w:right="0"/>
        </w:sectPr>
      </w:pPr>
    </w:p>
    <w:p>
      <w:pPr>
        <w:spacing w:line="240" w:lineRule="auto" w:before="8"/>
        <w:rPr>
          <w:rFonts w:ascii="宋体" w:hAnsi="宋体" w:cs="宋体" w:eastAsia="宋体" w:hint="default"/>
          <w:b/>
          <w:bCs/>
          <w:sz w:val="24"/>
          <w:szCs w:val="24"/>
        </w:rPr>
      </w:pPr>
    </w:p>
    <w:tbl>
      <w:tblPr>
        <w:tblW w:w="0" w:type="auto"/>
        <w:jc w:val="left"/>
        <w:tblInd w:w="149" w:type="dxa"/>
        <w:tblLayout w:type="fixed"/>
        <w:tblCellMar>
          <w:top w:w="0" w:type="dxa"/>
          <w:left w:w="0" w:type="dxa"/>
          <w:bottom w:w="0" w:type="dxa"/>
          <w:right w:w="0" w:type="dxa"/>
        </w:tblCellMar>
        <w:tblLook w:val="01E0"/>
      </w:tblPr>
      <w:tblGrid>
        <w:gridCol w:w="2267"/>
        <w:gridCol w:w="7372"/>
      </w:tblGrid>
      <w:tr>
        <w:trPr>
          <w:trHeight w:val="516"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9"/>
              <w:ind w:left="102" w:right="0"/>
              <w:jc w:val="left"/>
              <w:rPr>
                <w:rFonts w:ascii="宋体" w:hAnsi="宋体" w:cs="宋体" w:eastAsia="宋体" w:hint="default"/>
                <w:sz w:val="18"/>
                <w:szCs w:val="18"/>
              </w:rPr>
            </w:pPr>
            <w:r>
              <w:rPr>
                <w:rFonts w:ascii="宋体" w:hAnsi="宋体" w:cs="宋体" w:eastAsia="宋体" w:hint="default"/>
                <w:sz w:val="18"/>
                <w:szCs w:val="18"/>
              </w:rPr>
              <w:t>关联交易内容</w:t>
            </w:r>
            <w:r>
              <w:rPr>
                <w:rFonts w:ascii="宋体" w:hAnsi="宋体" w:cs="宋体" w:eastAsia="宋体" w:hint="default"/>
                <w:sz w:val="18"/>
                <w:szCs w:val="18"/>
              </w:rPr>
              <w:t> </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03" w:right="0"/>
              <w:jc w:val="left"/>
              <w:rPr>
                <w:rFonts w:ascii="宋体" w:hAnsi="宋体" w:cs="宋体" w:eastAsia="宋体" w:hint="default"/>
                <w:sz w:val="18"/>
                <w:szCs w:val="18"/>
              </w:rPr>
            </w:pPr>
            <w:r>
              <w:rPr>
                <w:rFonts w:ascii="宋体" w:hAnsi="宋体" w:cs="宋体" w:eastAsia="宋体" w:hint="default"/>
                <w:sz w:val="18"/>
                <w:szCs w:val="18"/>
              </w:rPr>
              <w:t>短信服务</w:t>
            </w:r>
            <w:r>
              <w:rPr>
                <w:rFonts w:ascii="宋体" w:hAnsi="宋体" w:cs="宋体" w:eastAsia="宋体" w:hint="default"/>
                <w:sz w:val="18"/>
                <w:szCs w:val="18"/>
              </w:rPr>
              <w:t> </w:t>
            </w:r>
          </w:p>
        </w:tc>
      </w:tr>
      <w:tr>
        <w:trPr>
          <w:trHeight w:val="401"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关联交易定价原则</w:t>
            </w:r>
            <w:r>
              <w:rPr>
                <w:rFonts w:ascii="宋体" w:hAnsi="宋体" w:cs="宋体" w:eastAsia="宋体" w:hint="default"/>
                <w:sz w:val="18"/>
                <w:szCs w:val="18"/>
              </w:rPr>
              <w:t> </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根据有利于上市公司、公平、公允的原则，依据市场价格确定。</w:t>
            </w:r>
            <w:r>
              <w:rPr>
                <w:rFonts w:ascii="宋体" w:hAnsi="宋体" w:cs="宋体" w:eastAsia="宋体" w:hint="default"/>
                <w:sz w:val="18"/>
                <w:szCs w:val="18"/>
              </w:rPr>
              <w:t> </w:t>
            </w:r>
          </w:p>
        </w:tc>
      </w:tr>
      <w:tr>
        <w:trPr>
          <w:trHeight w:val="403"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3"/>
              <w:ind w:left="102" w:right="0"/>
              <w:jc w:val="left"/>
              <w:rPr>
                <w:rFonts w:ascii="宋体" w:hAnsi="宋体" w:cs="宋体" w:eastAsia="宋体" w:hint="default"/>
                <w:sz w:val="18"/>
                <w:szCs w:val="18"/>
              </w:rPr>
            </w:pPr>
            <w:r>
              <w:rPr>
                <w:rFonts w:ascii="宋体" w:hAnsi="宋体" w:cs="宋体" w:eastAsia="宋体" w:hint="default"/>
                <w:sz w:val="18"/>
                <w:szCs w:val="18"/>
              </w:rPr>
              <w:t>关联交易价格</w:t>
            </w:r>
            <w:r>
              <w:rPr>
                <w:rFonts w:ascii="宋体" w:hAnsi="宋体" w:cs="宋体" w:eastAsia="宋体" w:hint="default"/>
                <w:sz w:val="18"/>
                <w:szCs w:val="18"/>
              </w:rPr>
              <w:t> </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依据市场价格确定</w:t>
            </w:r>
            <w:r>
              <w:rPr>
                <w:rFonts w:ascii="宋体" w:hAnsi="宋体" w:cs="宋体" w:eastAsia="宋体" w:hint="default"/>
                <w:sz w:val="18"/>
                <w:szCs w:val="18"/>
              </w:rPr>
              <w:t> </w:t>
            </w:r>
          </w:p>
        </w:tc>
      </w:tr>
      <w:tr>
        <w:trPr>
          <w:trHeight w:val="401"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关联交易金额</w:t>
            </w:r>
            <w:r>
              <w:rPr>
                <w:rFonts w:ascii="宋体" w:hAnsi="宋体" w:cs="宋体" w:eastAsia="宋体" w:hint="default"/>
                <w:sz w:val="18"/>
                <w:szCs w:val="18"/>
              </w:rPr>
              <w:t>(</w:t>
            </w:r>
            <w:r>
              <w:rPr>
                <w:rFonts w:ascii="宋体" w:hAnsi="宋体" w:cs="宋体" w:eastAsia="宋体" w:hint="default"/>
                <w:sz w:val="18"/>
                <w:szCs w:val="18"/>
              </w:rPr>
              <w:t>万元</w:t>
            </w:r>
            <w:r>
              <w:rPr>
                <w:rFonts w:ascii="宋体" w:hAnsi="宋体" w:cs="宋体" w:eastAsia="宋体" w:hint="default"/>
                <w:sz w:val="18"/>
                <w:szCs w:val="18"/>
              </w:rPr>
              <w:t>) </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189.5</w:t>
            </w:r>
            <w:r>
              <w:rPr>
                <w:rFonts w:ascii="宋体" w:hAnsi="宋体" w:cs="宋体" w:eastAsia="宋体" w:hint="default"/>
                <w:spacing w:val="-48"/>
                <w:sz w:val="18"/>
                <w:szCs w:val="18"/>
              </w:rPr>
              <w:t> </w:t>
            </w:r>
            <w:r>
              <w:rPr>
                <w:rFonts w:ascii="宋体" w:hAnsi="宋体" w:cs="宋体" w:eastAsia="宋体" w:hint="default"/>
                <w:sz w:val="18"/>
                <w:szCs w:val="18"/>
              </w:rPr>
              <w:t>万元</w:t>
            </w:r>
            <w:r>
              <w:rPr>
                <w:rFonts w:ascii="宋体" w:hAnsi="宋体" w:cs="宋体" w:eastAsia="宋体" w:hint="default"/>
                <w:sz w:val="18"/>
                <w:szCs w:val="18"/>
              </w:rPr>
              <w:t> </w:t>
            </w:r>
          </w:p>
        </w:tc>
      </w:tr>
      <w:tr>
        <w:trPr>
          <w:trHeight w:val="403"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3"/>
              <w:ind w:left="102" w:right="0"/>
              <w:jc w:val="left"/>
              <w:rPr>
                <w:rFonts w:ascii="宋体" w:hAnsi="宋体" w:cs="宋体" w:eastAsia="宋体" w:hint="default"/>
                <w:sz w:val="18"/>
                <w:szCs w:val="18"/>
              </w:rPr>
            </w:pPr>
            <w:r>
              <w:rPr>
                <w:rFonts w:ascii="宋体" w:hAnsi="宋体" w:cs="宋体" w:eastAsia="宋体" w:hint="default"/>
                <w:sz w:val="18"/>
                <w:szCs w:val="18"/>
              </w:rPr>
              <w:t>占同类交易金额的比例</w:t>
            </w:r>
            <w:r>
              <w:rPr>
                <w:rFonts w:ascii="宋体" w:hAnsi="宋体" w:cs="宋体" w:eastAsia="宋体" w:hint="default"/>
                <w:sz w:val="18"/>
                <w:szCs w:val="18"/>
              </w:rPr>
              <w:t> </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sz w:val="18"/>
              </w:rPr>
              <w:t>0.18% </w:t>
            </w:r>
          </w:p>
        </w:tc>
      </w:tr>
      <w:tr>
        <w:trPr>
          <w:trHeight w:val="401"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获批的交易额度</w:t>
            </w:r>
            <w:r>
              <w:rPr>
                <w:rFonts w:ascii="宋体" w:hAnsi="宋体" w:cs="宋体" w:eastAsia="宋体" w:hint="default"/>
                <w:sz w:val="18"/>
                <w:szCs w:val="18"/>
              </w:rPr>
              <w:t>(</w:t>
            </w:r>
            <w:r>
              <w:rPr>
                <w:rFonts w:ascii="宋体" w:hAnsi="宋体" w:cs="宋体" w:eastAsia="宋体" w:hint="default"/>
                <w:sz w:val="18"/>
                <w:szCs w:val="18"/>
              </w:rPr>
              <w:t>万元</w:t>
            </w:r>
            <w:r>
              <w:rPr>
                <w:rFonts w:ascii="宋体" w:hAnsi="宋体" w:cs="宋体" w:eastAsia="宋体" w:hint="default"/>
                <w:sz w:val="18"/>
                <w:szCs w:val="18"/>
              </w:rPr>
              <w:t>) </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未经审议。</w:t>
            </w:r>
            <w:r>
              <w:rPr>
                <w:rFonts w:ascii="宋体" w:hAnsi="宋体" w:cs="宋体" w:eastAsia="宋体" w:hint="default"/>
                <w:sz w:val="18"/>
                <w:szCs w:val="18"/>
              </w:rPr>
              <w:t> </w:t>
            </w:r>
          </w:p>
        </w:tc>
      </w:tr>
      <w:tr>
        <w:trPr>
          <w:trHeight w:val="403"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3"/>
              <w:ind w:left="102" w:right="0"/>
              <w:jc w:val="left"/>
              <w:rPr>
                <w:rFonts w:ascii="宋体" w:hAnsi="宋体" w:cs="宋体" w:eastAsia="宋体" w:hint="default"/>
                <w:sz w:val="18"/>
                <w:szCs w:val="18"/>
              </w:rPr>
            </w:pPr>
            <w:r>
              <w:rPr>
                <w:rFonts w:ascii="宋体" w:hAnsi="宋体" w:cs="宋体" w:eastAsia="宋体" w:hint="default"/>
                <w:sz w:val="18"/>
                <w:szCs w:val="18"/>
              </w:rPr>
              <w:t>是否超过获批额度</w:t>
            </w:r>
            <w:r>
              <w:rPr>
                <w:rFonts w:ascii="宋体" w:hAnsi="宋体" w:cs="宋体" w:eastAsia="宋体" w:hint="default"/>
                <w:sz w:val="18"/>
                <w:szCs w:val="18"/>
              </w:rPr>
              <w:t> </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不适用</w:t>
            </w:r>
            <w:r>
              <w:rPr>
                <w:rFonts w:ascii="宋体" w:hAnsi="宋体" w:cs="宋体" w:eastAsia="宋体" w:hint="default"/>
                <w:sz w:val="18"/>
                <w:szCs w:val="18"/>
              </w:rPr>
              <w:t> </w:t>
            </w:r>
          </w:p>
        </w:tc>
      </w:tr>
      <w:tr>
        <w:trPr>
          <w:trHeight w:val="401"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关联交易结算方式</w:t>
            </w:r>
            <w:r>
              <w:rPr>
                <w:rFonts w:ascii="宋体" w:hAnsi="宋体" w:cs="宋体" w:eastAsia="宋体" w:hint="default"/>
                <w:sz w:val="18"/>
                <w:szCs w:val="18"/>
              </w:rPr>
              <w:t> </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现金</w:t>
            </w:r>
            <w:r>
              <w:rPr>
                <w:rFonts w:ascii="宋体" w:hAnsi="宋体" w:cs="宋体" w:eastAsia="宋体" w:hint="default"/>
                <w:sz w:val="18"/>
                <w:szCs w:val="18"/>
              </w:rPr>
              <w:t> </w:t>
            </w:r>
          </w:p>
        </w:tc>
      </w:tr>
      <w:tr>
        <w:trPr>
          <w:trHeight w:val="403"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3"/>
              <w:ind w:left="102" w:right="0"/>
              <w:jc w:val="left"/>
              <w:rPr>
                <w:rFonts w:ascii="宋体" w:hAnsi="宋体" w:cs="宋体" w:eastAsia="宋体" w:hint="default"/>
                <w:sz w:val="18"/>
                <w:szCs w:val="18"/>
              </w:rPr>
            </w:pPr>
            <w:r>
              <w:rPr>
                <w:rFonts w:ascii="宋体" w:hAnsi="宋体" w:cs="宋体" w:eastAsia="宋体" w:hint="default"/>
                <w:sz w:val="18"/>
                <w:szCs w:val="18"/>
              </w:rPr>
              <w:t>可获得的同类交易市价</w:t>
            </w:r>
            <w:r>
              <w:rPr>
                <w:rFonts w:ascii="宋体" w:hAnsi="宋体" w:cs="宋体" w:eastAsia="宋体" w:hint="default"/>
                <w:sz w:val="18"/>
                <w:szCs w:val="18"/>
              </w:rPr>
              <w:t> </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不适用</w:t>
            </w:r>
            <w:r>
              <w:rPr>
                <w:rFonts w:ascii="宋体" w:hAnsi="宋体" w:cs="宋体" w:eastAsia="宋体" w:hint="default"/>
                <w:sz w:val="18"/>
                <w:szCs w:val="18"/>
              </w:rPr>
              <w:t> </w:t>
            </w:r>
          </w:p>
        </w:tc>
      </w:tr>
      <w:tr>
        <w:trPr>
          <w:trHeight w:val="403"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大额销货退回的详细情况</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不存在销售退回情形</w:t>
            </w:r>
            <w:r>
              <w:rPr>
                <w:rFonts w:ascii="宋体" w:hAnsi="宋体" w:cs="宋体" w:eastAsia="宋体" w:hint="default"/>
                <w:sz w:val="18"/>
                <w:szCs w:val="18"/>
              </w:rPr>
              <w:t> </w:t>
            </w:r>
          </w:p>
        </w:tc>
      </w:tr>
    </w:tbl>
    <w:p>
      <w:pPr>
        <w:spacing w:line="240" w:lineRule="auto" w:before="9"/>
        <w:rPr>
          <w:rFonts w:ascii="宋体" w:hAnsi="宋体" w:cs="宋体" w:eastAsia="宋体" w:hint="default"/>
          <w:b/>
          <w:bCs/>
          <w:sz w:val="14"/>
          <w:szCs w:val="14"/>
        </w:rPr>
      </w:pPr>
    </w:p>
    <w:p>
      <w:pPr>
        <w:spacing w:before="36"/>
        <w:ind w:left="152" w:right="1133" w:firstLine="0"/>
        <w:jc w:val="left"/>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b/>
          <w:bCs/>
          <w:sz w:val="21"/>
          <w:szCs w:val="21"/>
        </w:rPr>
        <w:t>、与北京中天嘉华管理咨询有限公司的日常经营相关的关联交易</w:t>
      </w:r>
      <w:r>
        <w:rPr>
          <w:rFonts w:ascii="宋体" w:hAnsi="宋体" w:cs="宋体" w:eastAsia="宋体" w:hint="default"/>
          <w:b/>
          <w:bCs/>
          <w:w w:val="99"/>
          <w:sz w:val="21"/>
          <w:szCs w:val="21"/>
        </w:rPr>
        <w:t> </w:t>
      </w:r>
      <w:r>
        <w:rPr>
          <w:rFonts w:ascii="宋体" w:hAnsi="宋体" w:cs="宋体" w:eastAsia="宋体" w:hint="default"/>
          <w:sz w:val="21"/>
          <w:szCs w:val="21"/>
        </w:rPr>
      </w:r>
    </w:p>
    <w:p>
      <w:pPr>
        <w:spacing w:line="240" w:lineRule="auto" w:before="10"/>
        <w:rPr>
          <w:rFonts w:ascii="宋体" w:hAnsi="宋体" w:cs="宋体" w:eastAsia="宋体" w:hint="default"/>
          <w:b/>
          <w:bCs/>
          <w:sz w:val="6"/>
          <w:szCs w:val="6"/>
        </w:rPr>
      </w:pPr>
    </w:p>
    <w:tbl>
      <w:tblPr>
        <w:tblW w:w="0" w:type="auto"/>
        <w:jc w:val="left"/>
        <w:tblInd w:w="149" w:type="dxa"/>
        <w:tblLayout w:type="fixed"/>
        <w:tblCellMar>
          <w:top w:w="0" w:type="dxa"/>
          <w:left w:w="0" w:type="dxa"/>
          <w:bottom w:w="0" w:type="dxa"/>
          <w:right w:w="0" w:type="dxa"/>
        </w:tblCellMar>
        <w:tblLook w:val="01E0"/>
      </w:tblPr>
      <w:tblGrid>
        <w:gridCol w:w="2267"/>
        <w:gridCol w:w="7372"/>
      </w:tblGrid>
      <w:tr>
        <w:trPr>
          <w:trHeight w:val="418"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1"/>
              <w:ind w:left="102" w:right="0"/>
              <w:jc w:val="left"/>
              <w:rPr>
                <w:rFonts w:ascii="宋体" w:hAnsi="宋体" w:cs="宋体" w:eastAsia="宋体" w:hint="default"/>
                <w:sz w:val="18"/>
                <w:szCs w:val="18"/>
              </w:rPr>
            </w:pPr>
            <w:r>
              <w:rPr>
                <w:rFonts w:ascii="宋体" w:hAnsi="宋体" w:cs="宋体" w:eastAsia="宋体" w:hint="default"/>
                <w:sz w:val="18"/>
                <w:szCs w:val="18"/>
              </w:rPr>
              <w:t>关联交易方</w:t>
            </w:r>
            <w:r>
              <w:rPr>
                <w:rFonts w:ascii="宋体" w:hAnsi="宋体" w:cs="宋体" w:eastAsia="宋体" w:hint="default"/>
                <w:sz w:val="18"/>
                <w:szCs w:val="18"/>
              </w:rPr>
              <w:t> </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北京中天嘉华管理咨询有限公司</w:t>
            </w:r>
            <w:r>
              <w:rPr>
                <w:rFonts w:ascii="宋体" w:hAnsi="宋体" w:cs="宋体" w:eastAsia="宋体" w:hint="default"/>
                <w:sz w:val="18"/>
                <w:szCs w:val="18"/>
              </w:rPr>
              <w:t> </w:t>
            </w:r>
          </w:p>
        </w:tc>
      </w:tr>
      <w:tr>
        <w:trPr>
          <w:trHeight w:val="490"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7"/>
              <w:ind w:left="102" w:right="0"/>
              <w:jc w:val="left"/>
              <w:rPr>
                <w:rFonts w:ascii="宋体" w:hAnsi="宋体" w:cs="宋体" w:eastAsia="宋体" w:hint="default"/>
                <w:sz w:val="18"/>
                <w:szCs w:val="18"/>
              </w:rPr>
            </w:pPr>
            <w:r>
              <w:rPr>
                <w:rFonts w:ascii="宋体" w:hAnsi="宋体" w:cs="宋体" w:eastAsia="宋体" w:hint="default"/>
                <w:sz w:val="18"/>
                <w:szCs w:val="18"/>
              </w:rPr>
              <w:t>关联关系</w:t>
            </w:r>
            <w:r>
              <w:rPr>
                <w:rFonts w:ascii="宋体" w:hAnsi="宋体" w:cs="宋体" w:eastAsia="宋体" w:hint="default"/>
                <w:sz w:val="18"/>
                <w:szCs w:val="18"/>
              </w:rPr>
              <w:t> </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以上股东刘英魁控制的公司</w:t>
            </w:r>
          </w:p>
        </w:tc>
      </w:tr>
      <w:tr>
        <w:trPr>
          <w:trHeight w:val="324"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3"/>
              <w:ind w:left="102" w:right="0"/>
              <w:jc w:val="left"/>
              <w:rPr>
                <w:rFonts w:ascii="宋体" w:hAnsi="宋体" w:cs="宋体" w:eastAsia="宋体" w:hint="default"/>
                <w:sz w:val="18"/>
                <w:szCs w:val="18"/>
              </w:rPr>
            </w:pPr>
            <w:r>
              <w:rPr>
                <w:rFonts w:ascii="宋体" w:hAnsi="宋体" w:cs="宋体" w:eastAsia="宋体" w:hint="default"/>
                <w:sz w:val="18"/>
                <w:szCs w:val="18"/>
              </w:rPr>
              <w:t>关联交易类型</w:t>
            </w:r>
            <w:r>
              <w:rPr>
                <w:rFonts w:ascii="宋体" w:hAnsi="宋体" w:cs="宋体" w:eastAsia="宋体" w:hint="default"/>
                <w:sz w:val="18"/>
                <w:szCs w:val="18"/>
              </w:rPr>
              <w:t> </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销售</w:t>
            </w:r>
            <w:r>
              <w:rPr>
                <w:rFonts w:ascii="宋体" w:hAnsi="宋体" w:cs="宋体" w:eastAsia="宋体" w:hint="default"/>
                <w:sz w:val="18"/>
                <w:szCs w:val="18"/>
              </w:rPr>
              <w:t> </w:t>
            </w:r>
          </w:p>
        </w:tc>
      </w:tr>
      <w:tr>
        <w:trPr>
          <w:trHeight w:val="516"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9"/>
              <w:ind w:left="102" w:right="0"/>
              <w:jc w:val="left"/>
              <w:rPr>
                <w:rFonts w:ascii="宋体" w:hAnsi="宋体" w:cs="宋体" w:eastAsia="宋体" w:hint="default"/>
                <w:sz w:val="18"/>
                <w:szCs w:val="18"/>
              </w:rPr>
            </w:pPr>
            <w:r>
              <w:rPr>
                <w:rFonts w:ascii="宋体" w:hAnsi="宋体" w:cs="宋体" w:eastAsia="宋体" w:hint="default"/>
                <w:sz w:val="18"/>
                <w:szCs w:val="18"/>
              </w:rPr>
              <w:t>关联交易内容</w:t>
            </w:r>
            <w:r>
              <w:rPr>
                <w:rFonts w:ascii="宋体" w:hAnsi="宋体" w:cs="宋体" w:eastAsia="宋体" w:hint="default"/>
                <w:sz w:val="18"/>
                <w:szCs w:val="18"/>
              </w:rPr>
              <w:t> </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03" w:right="0"/>
              <w:jc w:val="left"/>
              <w:rPr>
                <w:rFonts w:ascii="宋体" w:hAnsi="宋体" w:cs="宋体" w:eastAsia="宋体" w:hint="default"/>
                <w:sz w:val="18"/>
                <w:szCs w:val="18"/>
              </w:rPr>
            </w:pPr>
            <w:r>
              <w:rPr>
                <w:rFonts w:ascii="宋体" w:hAnsi="宋体" w:cs="宋体" w:eastAsia="宋体" w:hint="default"/>
                <w:sz w:val="18"/>
                <w:szCs w:val="18"/>
              </w:rPr>
              <w:t>北京中天嘉华管理咨询有限公司向嘉华信息采购短信服务</w:t>
            </w:r>
            <w:r>
              <w:rPr>
                <w:rFonts w:ascii="宋体" w:hAnsi="宋体" w:cs="宋体" w:eastAsia="宋体" w:hint="default"/>
                <w:sz w:val="18"/>
                <w:szCs w:val="18"/>
              </w:rPr>
              <w:t> </w:t>
            </w:r>
          </w:p>
        </w:tc>
      </w:tr>
      <w:tr>
        <w:trPr>
          <w:trHeight w:val="403"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关联交易定价原则</w:t>
            </w:r>
            <w:r>
              <w:rPr>
                <w:rFonts w:ascii="宋体" w:hAnsi="宋体" w:cs="宋体" w:eastAsia="宋体" w:hint="default"/>
                <w:sz w:val="18"/>
                <w:szCs w:val="18"/>
              </w:rPr>
              <w:t> </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根据有利于上市公司、公平、公允的原则，依据市场价格确定。</w:t>
            </w:r>
            <w:r>
              <w:rPr>
                <w:rFonts w:ascii="宋体" w:hAnsi="宋体" w:cs="宋体" w:eastAsia="宋体" w:hint="default"/>
                <w:sz w:val="18"/>
                <w:szCs w:val="18"/>
              </w:rPr>
              <w:t> </w:t>
            </w:r>
          </w:p>
        </w:tc>
      </w:tr>
      <w:tr>
        <w:trPr>
          <w:trHeight w:val="401"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关联交易价格</w:t>
            </w:r>
            <w:r>
              <w:rPr>
                <w:rFonts w:ascii="宋体" w:hAnsi="宋体" w:cs="宋体" w:eastAsia="宋体" w:hint="default"/>
                <w:sz w:val="18"/>
                <w:szCs w:val="18"/>
              </w:rPr>
              <w:t> </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依据市场价格确定</w:t>
            </w:r>
            <w:r>
              <w:rPr>
                <w:rFonts w:ascii="宋体" w:hAnsi="宋体" w:cs="宋体" w:eastAsia="宋体" w:hint="default"/>
                <w:sz w:val="18"/>
                <w:szCs w:val="18"/>
              </w:rPr>
              <w:t> </w:t>
            </w:r>
          </w:p>
        </w:tc>
      </w:tr>
      <w:tr>
        <w:trPr>
          <w:trHeight w:val="401"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关联交易金额</w:t>
            </w:r>
            <w:r>
              <w:rPr>
                <w:rFonts w:ascii="宋体" w:hAnsi="宋体" w:cs="宋体" w:eastAsia="宋体" w:hint="default"/>
                <w:sz w:val="18"/>
                <w:szCs w:val="18"/>
              </w:rPr>
              <w:t>(</w:t>
            </w:r>
            <w:r>
              <w:rPr>
                <w:rFonts w:ascii="宋体" w:hAnsi="宋体" w:cs="宋体" w:eastAsia="宋体" w:hint="default"/>
                <w:sz w:val="18"/>
                <w:szCs w:val="18"/>
              </w:rPr>
              <w:t>万元</w:t>
            </w:r>
            <w:r>
              <w:rPr>
                <w:rFonts w:ascii="宋体" w:hAnsi="宋体" w:cs="宋体" w:eastAsia="宋体" w:hint="default"/>
                <w:sz w:val="18"/>
                <w:szCs w:val="18"/>
              </w:rPr>
              <w:t>) </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263.07</w:t>
            </w:r>
            <w:r>
              <w:rPr>
                <w:rFonts w:ascii="宋体" w:hAnsi="宋体" w:cs="宋体" w:eastAsia="宋体" w:hint="default"/>
                <w:spacing w:val="-47"/>
                <w:sz w:val="18"/>
                <w:szCs w:val="18"/>
              </w:rPr>
              <w:t> </w:t>
            </w:r>
            <w:r>
              <w:rPr>
                <w:rFonts w:ascii="宋体" w:hAnsi="宋体" w:cs="宋体" w:eastAsia="宋体" w:hint="default"/>
                <w:sz w:val="18"/>
                <w:szCs w:val="18"/>
              </w:rPr>
              <w:t>万元</w:t>
            </w:r>
            <w:r>
              <w:rPr>
                <w:rFonts w:ascii="宋体" w:hAnsi="宋体" w:cs="宋体" w:eastAsia="宋体" w:hint="default"/>
                <w:sz w:val="18"/>
                <w:szCs w:val="18"/>
              </w:rPr>
              <w:t> </w:t>
            </w:r>
          </w:p>
        </w:tc>
      </w:tr>
      <w:tr>
        <w:trPr>
          <w:trHeight w:val="404"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3"/>
              <w:ind w:left="102" w:right="0"/>
              <w:jc w:val="left"/>
              <w:rPr>
                <w:rFonts w:ascii="宋体" w:hAnsi="宋体" w:cs="宋体" w:eastAsia="宋体" w:hint="default"/>
                <w:sz w:val="18"/>
                <w:szCs w:val="18"/>
              </w:rPr>
            </w:pPr>
            <w:r>
              <w:rPr>
                <w:rFonts w:ascii="宋体" w:hAnsi="宋体" w:cs="宋体" w:eastAsia="宋体" w:hint="default"/>
                <w:sz w:val="18"/>
                <w:szCs w:val="18"/>
              </w:rPr>
              <w:t>占同类交易金额的比例</w:t>
            </w:r>
            <w:r>
              <w:rPr>
                <w:rFonts w:ascii="宋体" w:hAnsi="宋体" w:cs="宋体" w:eastAsia="宋体" w:hint="default"/>
                <w:sz w:val="18"/>
                <w:szCs w:val="18"/>
              </w:rPr>
              <w:t> </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sz w:val="18"/>
              </w:rPr>
              <w:t>7.67% </w:t>
            </w:r>
          </w:p>
        </w:tc>
      </w:tr>
      <w:tr>
        <w:trPr>
          <w:trHeight w:val="401"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获批的交易额度</w:t>
            </w:r>
            <w:r>
              <w:rPr>
                <w:rFonts w:ascii="宋体" w:hAnsi="宋体" w:cs="宋体" w:eastAsia="宋体" w:hint="default"/>
                <w:sz w:val="18"/>
                <w:szCs w:val="18"/>
              </w:rPr>
              <w:t>(</w:t>
            </w:r>
            <w:r>
              <w:rPr>
                <w:rFonts w:ascii="宋体" w:hAnsi="宋体" w:cs="宋体" w:eastAsia="宋体" w:hint="default"/>
                <w:sz w:val="18"/>
                <w:szCs w:val="18"/>
              </w:rPr>
              <w:t>万元</w:t>
            </w:r>
            <w:r>
              <w:rPr>
                <w:rFonts w:ascii="宋体" w:hAnsi="宋体" w:cs="宋体" w:eastAsia="宋体" w:hint="default"/>
                <w:sz w:val="18"/>
                <w:szCs w:val="18"/>
              </w:rPr>
              <w:t>) </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未经审议。</w:t>
            </w:r>
            <w:r>
              <w:rPr>
                <w:rFonts w:ascii="宋体" w:hAnsi="宋体" w:cs="宋体" w:eastAsia="宋体" w:hint="default"/>
                <w:sz w:val="18"/>
                <w:szCs w:val="18"/>
              </w:rPr>
              <w:t> </w:t>
            </w:r>
          </w:p>
        </w:tc>
      </w:tr>
      <w:tr>
        <w:trPr>
          <w:trHeight w:val="403"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3"/>
              <w:ind w:left="102" w:right="0"/>
              <w:jc w:val="left"/>
              <w:rPr>
                <w:rFonts w:ascii="宋体" w:hAnsi="宋体" w:cs="宋体" w:eastAsia="宋体" w:hint="default"/>
                <w:sz w:val="18"/>
                <w:szCs w:val="18"/>
              </w:rPr>
            </w:pPr>
            <w:r>
              <w:rPr>
                <w:rFonts w:ascii="宋体" w:hAnsi="宋体" w:cs="宋体" w:eastAsia="宋体" w:hint="default"/>
                <w:sz w:val="18"/>
                <w:szCs w:val="18"/>
              </w:rPr>
              <w:t>是否超过获批额度</w:t>
            </w:r>
            <w:r>
              <w:rPr>
                <w:rFonts w:ascii="宋体" w:hAnsi="宋体" w:cs="宋体" w:eastAsia="宋体" w:hint="default"/>
                <w:sz w:val="18"/>
                <w:szCs w:val="18"/>
              </w:rPr>
              <w:t> </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不适用</w:t>
            </w:r>
            <w:r>
              <w:rPr>
                <w:rFonts w:ascii="宋体" w:hAnsi="宋体" w:cs="宋体" w:eastAsia="宋体" w:hint="default"/>
                <w:sz w:val="18"/>
                <w:szCs w:val="18"/>
              </w:rPr>
              <w:t> </w:t>
            </w:r>
          </w:p>
        </w:tc>
      </w:tr>
      <w:tr>
        <w:trPr>
          <w:trHeight w:val="401"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关联交易结算方式</w:t>
            </w:r>
            <w:r>
              <w:rPr>
                <w:rFonts w:ascii="宋体" w:hAnsi="宋体" w:cs="宋体" w:eastAsia="宋体" w:hint="default"/>
                <w:sz w:val="18"/>
                <w:szCs w:val="18"/>
              </w:rPr>
              <w:t> </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现金</w:t>
            </w:r>
            <w:r>
              <w:rPr>
                <w:rFonts w:ascii="宋体" w:hAnsi="宋体" w:cs="宋体" w:eastAsia="宋体" w:hint="default"/>
                <w:sz w:val="18"/>
                <w:szCs w:val="18"/>
              </w:rPr>
              <w:t> </w:t>
            </w:r>
          </w:p>
        </w:tc>
      </w:tr>
      <w:tr>
        <w:trPr>
          <w:trHeight w:val="403"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3"/>
              <w:ind w:left="102" w:right="0"/>
              <w:jc w:val="left"/>
              <w:rPr>
                <w:rFonts w:ascii="宋体" w:hAnsi="宋体" w:cs="宋体" w:eastAsia="宋体" w:hint="default"/>
                <w:sz w:val="18"/>
                <w:szCs w:val="18"/>
              </w:rPr>
            </w:pPr>
            <w:r>
              <w:rPr>
                <w:rFonts w:ascii="宋体" w:hAnsi="宋体" w:cs="宋体" w:eastAsia="宋体" w:hint="default"/>
                <w:sz w:val="18"/>
                <w:szCs w:val="18"/>
              </w:rPr>
              <w:t>可获得的同类交易市价</w:t>
            </w:r>
            <w:r>
              <w:rPr>
                <w:rFonts w:ascii="宋体" w:hAnsi="宋体" w:cs="宋体" w:eastAsia="宋体" w:hint="default"/>
                <w:sz w:val="18"/>
                <w:szCs w:val="18"/>
              </w:rPr>
              <w:t> </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不适用</w:t>
            </w:r>
            <w:r>
              <w:rPr>
                <w:rFonts w:ascii="宋体" w:hAnsi="宋体" w:cs="宋体" w:eastAsia="宋体" w:hint="default"/>
                <w:sz w:val="18"/>
                <w:szCs w:val="18"/>
              </w:rPr>
              <w:t> </w:t>
            </w:r>
          </w:p>
        </w:tc>
      </w:tr>
      <w:tr>
        <w:trPr>
          <w:trHeight w:val="403"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大额销货退回的详细情况</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不存在销售退回情形</w:t>
            </w:r>
            <w:r>
              <w:rPr>
                <w:rFonts w:ascii="宋体" w:hAnsi="宋体" w:cs="宋体" w:eastAsia="宋体" w:hint="default"/>
                <w:sz w:val="18"/>
                <w:szCs w:val="18"/>
              </w:rPr>
              <w:t> </w:t>
            </w:r>
          </w:p>
        </w:tc>
      </w:tr>
    </w:tbl>
    <w:p>
      <w:pPr>
        <w:spacing w:line="240" w:lineRule="auto" w:before="8"/>
        <w:rPr>
          <w:rFonts w:ascii="宋体" w:hAnsi="宋体" w:cs="宋体" w:eastAsia="宋体" w:hint="default"/>
          <w:b/>
          <w:bCs/>
          <w:sz w:val="14"/>
          <w:szCs w:val="14"/>
        </w:rPr>
      </w:pPr>
    </w:p>
    <w:p>
      <w:pPr>
        <w:spacing w:before="36"/>
        <w:ind w:left="152" w:right="1133" w:firstLine="0"/>
        <w:jc w:val="left"/>
        <w:rPr>
          <w:rFonts w:ascii="宋体" w:hAnsi="宋体" w:cs="宋体" w:eastAsia="宋体" w:hint="default"/>
          <w:sz w:val="21"/>
          <w:szCs w:val="21"/>
        </w:rPr>
      </w:pPr>
      <w:r>
        <w:rPr>
          <w:rFonts w:ascii="宋体" w:hAnsi="宋体" w:cs="宋体" w:eastAsia="宋体" w:hint="default"/>
          <w:b/>
          <w:bCs/>
          <w:sz w:val="21"/>
          <w:szCs w:val="21"/>
        </w:rPr>
        <w:t>4</w:t>
      </w:r>
      <w:r>
        <w:rPr>
          <w:rFonts w:ascii="宋体" w:hAnsi="宋体" w:cs="宋体" w:eastAsia="宋体" w:hint="default"/>
          <w:b/>
          <w:bCs/>
          <w:sz w:val="21"/>
          <w:szCs w:val="21"/>
        </w:rPr>
        <w:t>、与北京优财富科技发展有限公司的日常经营相关的关联交易</w:t>
      </w:r>
      <w:r>
        <w:rPr>
          <w:rFonts w:ascii="宋体" w:hAnsi="宋体" w:cs="宋体" w:eastAsia="宋体" w:hint="default"/>
          <w:b/>
          <w:bCs/>
          <w:w w:val="99"/>
          <w:sz w:val="21"/>
          <w:szCs w:val="21"/>
        </w:rPr>
        <w:t> </w:t>
      </w:r>
      <w:r>
        <w:rPr>
          <w:rFonts w:ascii="宋体" w:hAnsi="宋体" w:cs="宋体" w:eastAsia="宋体" w:hint="default"/>
          <w:sz w:val="21"/>
          <w:szCs w:val="21"/>
        </w:rPr>
      </w:r>
    </w:p>
    <w:p>
      <w:pPr>
        <w:spacing w:line="240" w:lineRule="auto" w:before="10"/>
        <w:rPr>
          <w:rFonts w:ascii="宋体" w:hAnsi="宋体" w:cs="宋体" w:eastAsia="宋体" w:hint="default"/>
          <w:b/>
          <w:bCs/>
          <w:sz w:val="6"/>
          <w:szCs w:val="6"/>
        </w:rPr>
      </w:pPr>
    </w:p>
    <w:tbl>
      <w:tblPr>
        <w:tblW w:w="0" w:type="auto"/>
        <w:jc w:val="left"/>
        <w:tblInd w:w="149" w:type="dxa"/>
        <w:tblLayout w:type="fixed"/>
        <w:tblCellMar>
          <w:top w:w="0" w:type="dxa"/>
          <w:left w:w="0" w:type="dxa"/>
          <w:bottom w:w="0" w:type="dxa"/>
          <w:right w:w="0" w:type="dxa"/>
        </w:tblCellMar>
        <w:tblLook w:val="01E0"/>
      </w:tblPr>
      <w:tblGrid>
        <w:gridCol w:w="2267"/>
        <w:gridCol w:w="7372"/>
      </w:tblGrid>
      <w:tr>
        <w:trPr>
          <w:trHeight w:val="418"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1"/>
              <w:ind w:left="102" w:right="0"/>
              <w:jc w:val="left"/>
              <w:rPr>
                <w:rFonts w:ascii="宋体" w:hAnsi="宋体" w:cs="宋体" w:eastAsia="宋体" w:hint="default"/>
                <w:sz w:val="18"/>
                <w:szCs w:val="18"/>
              </w:rPr>
            </w:pPr>
            <w:r>
              <w:rPr>
                <w:rFonts w:ascii="宋体" w:hAnsi="宋体" w:cs="宋体" w:eastAsia="宋体" w:hint="default"/>
                <w:sz w:val="18"/>
                <w:szCs w:val="18"/>
              </w:rPr>
              <w:t>关联交易方</w:t>
            </w:r>
            <w:r>
              <w:rPr>
                <w:rFonts w:ascii="宋体" w:hAnsi="宋体" w:cs="宋体" w:eastAsia="宋体" w:hint="default"/>
                <w:sz w:val="18"/>
                <w:szCs w:val="18"/>
              </w:rPr>
              <w:t> </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3" w:right="0"/>
              <w:jc w:val="left"/>
              <w:rPr>
                <w:rFonts w:ascii="宋体" w:hAnsi="宋体" w:cs="宋体" w:eastAsia="宋体" w:hint="default"/>
                <w:sz w:val="18"/>
                <w:szCs w:val="18"/>
              </w:rPr>
            </w:pPr>
            <w:r>
              <w:rPr>
                <w:rFonts w:ascii="宋体" w:hAnsi="宋体" w:cs="宋体" w:eastAsia="宋体" w:hint="default"/>
                <w:sz w:val="18"/>
                <w:szCs w:val="18"/>
              </w:rPr>
              <w:t>北京优财富科技发展有限公司</w:t>
            </w:r>
            <w:r>
              <w:rPr>
                <w:rFonts w:ascii="宋体" w:hAnsi="宋体" w:cs="宋体" w:eastAsia="宋体" w:hint="default"/>
                <w:sz w:val="18"/>
                <w:szCs w:val="18"/>
              </w:rPr>
              <w:t> </w:t>
            </w:r>
          </w:p>
        </w:tc>
      </w:tr>
      <w:tr>
        <w:trPr>
          <w:trHeight w:val="490"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7"/>
              <w:ind w:left="102" w:right="0"/>
              <w:jc w:val="left"/>
              <w:rPr>
                <w:rFonts w:ascii="宋体" w:hAnsi="宋体" w:cs="宋体" w:eastAsia="宋体" w:hint="default"/>
                <w:sz w:val="18"/>
                <w:szCs w:val="18"/>
              </w:rPr>
            </w:pPr>
            <w:r>
              <w:rPr>
                <w:rFonts w:ascii="宋体" w:hAnsi="宋体" w:cs="宋体" w:eastAsia="宋体" w:hint="default"/>
                <w:sz w:val="18"/>
                <w:szCs w:val="18"/>
              </w:rPr>
              <w:t>关联关系</w:t>
            </w:r>
            <w:r>
              <w:rPr>
                <w:rFonts w:ascii="宋体" w:hAnsi="宋体" w:cs="宋体" w:eastAsia="宋体" w:hint="default"/>
                <w:sz w:val="18"/>
                <w:szCs w:val="18"/>
              </w:rPr>
              <w:t> </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7"/>
              <w:ind w:left="103" w:right="0"/>
              <w:jc w:val="left"/>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以上股东刘英魁控制的公司</w:t>
            </w:r>
            <w:r>
              <w:rPr>
                <w:rFonts w:ascii="宋体" w:hAnsi="宋体" w:cs="宋体" w:eastAsia="宋体" w:hint="default"/>
                <w:sz w:val="18"/>
                <w:szCs w:val="18"/>
              </w:rPr>
              <w:t> </w:t>
            </w:r>
          </w:p>
        </w:tc>
      </w:tr>
      <w:tr>
        <w:trPr>
          <w:trHeight w:val="325"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3"/>
              <w:ind w:left="102" w:right="0"/>
              <w:jc w:val="left"/>
              <w:rPr>
                <w:rFonts w:ascii="宋体" w:hAnsi="宋体" w:cs="宋体" w:eastAsia="宋体" w:hint="default"/>
                <w:sz w:val="18"/>
                <w:szCs w:val="18"/>
              </w:rPr>
            </w:pPr>
            <w:r>
              <w:rPr>
                <w:rFonts w:ascii="宋体" w:hAnsi="宋体" w:cs="宋体" w:eastAsia="宋体" w:hint="default"/>
                <w:sz w:val="18"/>
                <w:szCs w:val="18"/>
              </w:rPr>
              <w:t>关联交易类型</w:t>
            </w:r>
            <w:r>
              <w:rPr>
                <w:rFonts w:ascii="宋体" w:hAnsi="宋体" w:cs="宋体" w:eastAsia="宋体" w:hint="default"/>
                <w:sz w:val="18"/>
                <w:szCs w:val="18"/>
              </w:rPr>
              <w:t> </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销售</w:t>
            </w:r>
            <w:r>
              <w:rPr>
                <w:rFonts w:ascii="宋体" w:hAnsi="宋体" w:cs="宋体" w:eastAsia="宋体" w:hint="default"/>
                <w:sz w:val="18"/>
                <w:szCs w:val="18"/>
              </w:rPr>
              <w:t> </w:t>
            </w:r>
          </w:p>
        </w:tc>
      </w:tr>
      <w:tr>
        <w:trPr>
          <w:trHeight w:val="516"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9"/>
              <w:ind w:left="102" w:right="0"/>
              <w:jc w:val="left"/>
              <w:rPr>
                <w:rFonts w:ascii="宋体" w:hAnsi="宋体" w:cs="宋体" w:eastAsia="宋体" w:hint="default"/>
                <w:sz w:val="18"/>
                <w:szCs w:val="18"/>
              </w:rPr>
            </w:pPr>
            <w:r>
              <w:rPr>
                <w:rFonts w:ascii="宋体" w:hAnsi="宋体" w:cs="宋体" w:eastAsia="宋体" w:hint="default"/>
                <w:sz w:val="18"/>
                <w:szCs w:val="18"/>
              </w:rPr>
              <w:t>关联交易内容</w:t>
            </w:r>
            <w:r>
              <w:rPr>
                <w:rFonts w:ascii="宋体" w:hAnsi="宋体" w:cs="宋体" w:eastAsia="宋体" w:hint="default"/>
                <w:sz w:val="18"/>
                <w:szCs w:val="18"/>
              </w:rPr>
              <w:t> </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03" w:right="0"/>
              <w:jc w:val="left"/>
              <w:rPr>
                <w:rFonts w:ascii="宋体" w:hAnsi="宋体" w:cs="宋体" w:eastAsia="宋体" w:hint="default"/>
                <w:sz w:val="18"/>
                <w:szCs w:val="18"/>
              </w:rPr>
            </w:pPr>
            <w:r>
              <w:rPr>
                <w:rFonts w:ascii="宋体" w:hAnsi="宋体" w:cs="宋体" w:eastAsia="宋体" w:hint="default"/>
                <w:sz w:val="18"/>
                <w:szCs w:val="18"/>
              </w:rPr>
              <w:t>北京优财富科技发展有限公司向嘉华信息采购软件平台服务</w:t>
            </w:r>
            <w:r>
              <w:rPr>
                <w:rFonts w:ascii="宋体" w:hAnsi="宋体" w:cs="宋体" w:eastAsia="宋体" w:hint="default"/>
                <w:sz w:val="18"/>
                <w:szCs w:val="18"/>
              </w:rPr>
              <w:t> </w:t>
            </w:r>
          </w:p>
        </w:tc>
      </w:tr>
      <w:tr>
        <w:trPr>
          <w:trHeight w:val="403"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关联交易定价原则</w:t>
            </w:r>
            <w:r>
              <w:rPr>
                <w:rFonts w:ascii="宋体" w:hAnsi="宋体" w:cs="宋体" w:eastAsia="宋体" w:hint="default"/>
                <w:sz w:val="18"/>
                <w:szCs w:val="18"/>
              </w:rPr>
              <w:t> </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根据有利于上市公司、公平、公允的原则，依据市场价格确定。</w:t>
            </w:r>
            <w:r>
              <w:rPr>
                <w:rFonts w:ascii="宋体" w:hAnsi="宋体" w:cs="宋体" w:eastAsia="宋体" w:hint="default"/>
                <w:sz w:val="18"/>
                <w:szCs w:val="18"/>
              </w:rPr>
              <w:t> </w:t>
            </w:r>
          </w:p>
        </w:tc>
      </w:tr>
      <w:tr>
        <w:trPr>
          <w:trHeight w:val="401"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关联交易价格</w:t>
            </w:r>
            <w:r>
              <w:rPr>
                <w:rFonts w:ascii="宋体" w:hAnsi="宋体" w:cs="宋体" w:eastAsia="宋体" w:hint="default"/>
                <w:sz w:val="18"/>
                <w:szCs w:val="18"/>
              </w:rPr>
              <w:t> </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依据市场价格确定</w:t>
            </w:r>
            <w:r>
              <w:rPr>
                <w:rFonts w:ascii="宋体" w:hAnsi="宋体" w:cs="宋体" w:eastAsia="宋体" w:hint="default"/>
                <w:sz w:val="18"/>
                <w:szCs w:val="18"/>
              </w:rPr>
              <w:t> </w:t>
            </w:r>
          </w:p>
        </w:tc>
      </w:tr>
      <w:tr>
        <w:trPr>
          <w:trHeight w:val="403"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关联交易金额</w:t>
            </w:r>
            <w:r>
              <w:rPr>
                <w:rFonts w:ascii="宋体" w:hAnsi="宋体" w:cs="宋体" w:eastAsia="宋体" w:hint="default"/>
                <w:sz w:val="18"/>
                <w:szCs w:val="18"/>
              </w:rPr>
              <w:t>(</w:t>
            </w:r>
            <w:r>
              <w:rPr>
                <w:rFonts w:ascii="宋体" w:hAnsi="宋体" w:cs="宋体" w:eastAsia="宋体" w:hint="default"/>
                <w:sz w:val="18"/>
                <w:szCs w:val="18"/>
              </w:rPr>
              <w:t>万元</w:t>
            </w:r>
            <w:r>
              <w:rPr>
                <w:rFonts w:ascii="宋体" w:hAnsi="宋体" w:cs="宋体" w:eastAsia="宋体" w:hint="default"/>
                <w:sz w:val="18"/>
                <w:szCs w:val="18"/>
              </w:rPr>
              <w:t>) </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15.45</w:t>
            </w:r>
            <w:r>
              <w:rPr>
                <w:rFonts w:ascii="宋体" w:hAnsi="宋体" w:cs="宋体" w:eastAsia="宋体" w:hint="default"/>
                <w:spacing w:val="-47"/>
                <w:sz w:val="18"/>
                <w:szCs w:val="18"/>
              </w:rPr>
              <w:t> </w:t>
            </w:r>
            <w:r>
              <w:rPr>
                <w:rFonts w:ascii="宋体" w:hAnsi="宋体" w:cs="宋体" w:eastAsia="宋体" w:hint="default"/>
                <w:sz w:val="18"/>
                <w:szCs w:val="18"/>
              </w:rPr>
              <w:t>万元</w:t>
            </w:r>
            <w:r>
              <w:rPr>
                <w:rFonts w:ascii="宋体" w:hAnsi="宋体" w:cs="宋体" w:eastAsia="宋体" w:hint="default"/>
                <w:sz w:val="18"/>
                <w:szCs w:val="18"/>
              </w:rPr>
              <w:t> </w:t>
            </w:r>
          </w:p>
        </w:tc>
      </w:tr>
    </w:tbl>
    <w:p>
      <w:pPr>
        <w:spacing w:after="0" w:line="240" w:lineRule="auto"/>
        <w:jc w:val="left"/>
        <w:rPr>
          <w:rFonts w:ascii="宋体" w:hAnsi="宋体" w:cs="宋体" w:eastAsia="宋体" w:hint="default"/>
          <w:sz w:val="18"/>
          <w:szCs w:val="18"/>
        </w:rPr>
        <w:sectPr>
          <w:pgSz w:w="11910" w:h="16840"/>
          <w:pgMar w:header="880" w:footer="975" w:top="1100" w:bottom="1160" w:left="980" w:right="0"/>
        </w:sectPr>
      </w:pPr>
    </w:p>
    <w:p>
      <w:pPr>
        <w:spacing w:line="240" w:lineRule="auto" w:before="8"/>
        <w:rPr>
          <w:rFonts w:ascii="宋体" w:hAnsi="宋体" w:cs="宋体" w:eastAsia="宋体" w:hint="default"/>
          <w:b/>
          <w:bCs/>
          <w:sz w:val="24"/>
          <w:szCs w:val="24"/>
        </w:rPr>
      </w:pPr>
    </w:p>
    <w:tbl>
      <w:tblPr>
        <w:tblW w:w="0" w:type="auto"/>
        <w:jc w:val="left"/>
        <w:tblInd w:w="149" w:type="dxa"/>
        <w:tblLayout w:type="fixed"/>
        <w:tblCellMar>
          <w:top w:w="0" w:type="dxa"/>
          <w:left w:w="0" w:type="dxa"/>
          <w:bottom w:w="0" w:type="dxa"/>
          <w:right w:w="0" w:type="dxa"/>
        </w:tblCellMar>
        <w:tblLook w:val="01E0"/>
      </w:tblPr>
      <w:tblGrid>
        <w:gridCol w:w="2267"/>
        <w:gridCol w:w="7372"/>
      </w:tblGrid>
      <w:tr>
        <w:trPr>
          <w:trHeight w:val="401"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占同类交易金额的比例</w:t>
            </w:r>
            <w:r>
              <w:rPr>
                <w:rFonts w:ascii="宋体" w:hAnsi="宋体" w:cs="宋体" w:eastAsia="宋体" w:hint="default"/>
                <w:sz w:val="18"/>
                <w:szCs w:val="18"/>
              </w:rPr>
              <w:t> </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sz w:val="18"/>
              </w:rPr>
              <w:t>0.015% </w:t>
            </w:r>
          </w:p>
        </w:tc>
      </w:tr>
      <w:tr>
        <w:trPr>
          <w:trHeight w:val="404"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4"/>
              <w:ind w:left="102" w:right="0"/>
              <w:jc w:val="left"/>
              <w:rPr>
                <w:rFonts w:ascii="宋体" w:hAnsi="宋体" w:cs="宋体" w:eastAsia="宋体" w:hint="default"/>
                <w:sz w:val="18"/>
                <w:szCs w:val="18"/>
              </w:rPr>
            </w:pPr>
            <w:r>
              <w:rPr>
                <w:rFonts w:ascii="宋体" w:hAnsi="宋体" w:cs="宋体" w:eastAsia="宋体" w:hint="default"/>
                <w:sz w:val="18"/>
                <w:szCs w:val="18"/>
              </w:rPr>
              <w:t>获批的交易额度</w:t>
            </w:r>
            <w:r>
              <w:rPr>
                <w:rFonts w:ascii="宋体" w:hAnsi="宋体" w:cs="宋体" w:eastAsia="宋体" w:hint="default"/>
                <w:sz w:val="18"/>
                <w:szCs w:val="18"/>
              </w:rPr>
              <w:t>(</w:t>
            </w:r>
            <w:r>
              <w:rPr>
                <w:rFonts w:ascii="宋体" w:hAnsi="宋体" w:cs="宋体" w:eastAsia="宋体" w:hint="default"/>
                <w:sz w:val="18"/>
                <w:szCs w:val="18"/>
              </w:rPr>
              <w:t>万元</w:t>
            </w:r>
            <w:r>
              <w:rPr>
                <w:rFonts w:ascii="宋体" w:hAnsi="宋体" w:cs="宋体" w:eastAsia="宋体" w:hint="default"/>
                <w:sz w:val="18"/>
                <w:szCs w:val="18"/>
              </w:rPr>
              <w:t>) </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3" w:right="0"/>
              <w:jc w:val="left"/>
              <w:rPr>
                <w:rFonts w:ascii="宋体" w:hAnsi="宋体" w:cs="宋体" w:eastAsia="宋体" w:hint="default"/>
                <w:sz w:val="18"/>
                <w:szCs w:val="18"/>
              </w:rPr>
            </w:pPr>
            <w:r>
              <w:rPr>
                <w:rFonts w:ascii="宋体" w:hAnsi="宋体" w:cs="宋体" w:eastAsia="宋体" w:hint="default"/>
                <w:sz w:val="18"/>
                <w:szCs w:val="18"/>
              </w:rPr>
              <w:t>未经审议。</w:t>
            </w:r>
            <w:r>
              <w:rPr>
                <w:rFonts w:ascii="宋体" w:hAnsi="宋体" w:cs="宋体" w:eastAsia="宋体" w:hint="default"/>
                <w:sz w:val="18"/>
                <w:szCs w:val="18"/>
              </w:rPr>
              <w:t> </w:t>
            </w:r>
          </w:p>
        </w:tc>
      </w:tr>
      <w:tr>
        <w:trPr>
          <w:trHeight w:val="401"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是否超过获批额度</w:t>
            </w:r>
            <w:r>
              <w:rPr>
                <w:rFonts w:ascii="宋体" w:hAnsi="宋体" w:cs="宋体" w:eastAsia="宋体" w:hint="default"/>
                <w:sz w:val="18"/>
                <w:szCs w:val="18"/>
              </w:rPr>
              <w:t> </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不适用</w:t>
            </w:r>
            <w:r>
              <w:rPr>
                <w:rFonts w:ascii="宋体" w:hAnsi="宋体" w:cs="宋体" w:eastAsia="宋体" w:hint="default"/>
                <w:sz w:val="18"/>
                <w:szCs w:val="18"/>
              </w:rPr>
              <w:t> </w:t>
            </w:r>
          </w:p>
        </w:tc>
      </w:tr>
      <w:tr>
        <w:trPr>
          <w:trHeight w:val="403"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3"/>
              <w:ind w:left="102" w:right="0"/>
              <w:jc w:val="left"/>
              <w:rPr>
                <w:rFonts w:ascii="宋体" w:hAnsi="宋体" w:cs="宋体" w:eastAsia="宋体" w:hint="default"/>
                <w:sz w:val="18"/>
                <w:szCs w:val="18"/>
              </w:rPr>
            </w:pPr>
            <w:r>
              <w:rPr>
                <w:rFonts w:ascii="宋体" w:hAnsi="宋体" w:cs="宋体" w:eastAsia="宋体" w:hint="default"/>
                <w:sz w:val="18"/>
                <w:szCs w:val="18"/>
              </w:rPr>
              <w:t>关联交易结算方式</w:t>
            </w:r>
            <w:r>
              <w:rPr>
                <w:rFonts w:ascii="宋体" w:hAnsi="宋体" w:cs="宋体" w:eastAsia="宋体" w:hint="default"/>
                <w:sz w:val="18"/>
                <w:szCs w:val="18"/>
              </w:rPr>
              <w:t> </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现金</w:t>
            </w:r>
            <w:r>
              <w:rPr>
                <w:rFonts w:ascii="宋体" w:hAnsi="宋体" w:cs="宋体" w:eastAsia="宋体" w:hint="default"/>
                <w:sz w:val="18"/>
                <w:szCs w:val="18"/>
              </w:rPr>
              <w:t> </w:t>
            </w:r>
          </w:p>
        </w:tc>
      </w:tr>
      <w:tr>
        <w:trPr>
          <w:trHeight w:val="401"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可获得的同类交易市价</w:t>
            </w:r>
            <w:r>
              <w:rPr>
                <w:rFonts w:ascii="宋体" w:hAnsi="宋体" w:cs="宋体" w:eastAsia="宋体" w:hint="default"/>
                <w:sz w:val="18"/>
                <w:szCs w:val="18"/>
              </w:rPr>
              <w:t> </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不适用</w:t>
            </w:r>
            <w:r>
              <w:rPr>
                <w:rFonts w:ascii="宋体" w:hAnsi="宋体" w:cs="宋体" w:eastAsia="宋体" w:hint="default"/>
                <w:sz w:val="18"/>
                <w:szCs w:val="18"/>
              </w:rPr>
              <w:t> </w:t>
            </w:r>
          </w:p>
        </w:tc>
      </w:tr>
      <w:tr>
        <w:trPr>
          <w:trHeight w:val="403"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3"/>
              <w:ind w:left="102" w:right="0"/>
              <w:jc w:val="left"/>
              <w:rPr>
                <w:rFonts w:ascii="宋体" w:hAnsi="宋体" w:cs="宋体" w:eastAsia="宋体" w:hint="default"/>
                <w:sz w:val="18"/>
                <w:szCs w:val="18"/>
              </w:rPr>
            </w:pPr>
            <w:r>
              <w:rPr>
                <w:rFonts w:ascii="宋体" w:hAnsi="宋体" w:cs="宋体" w:eastAsia="宋体" w:hint="default"/>
                <w:sz w:val="18"/>
                <w:szCs w:val="18"/>
              </w:rPr>
              <w:t>大额销货退回的详细情况</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不存在销售退回情形</w:t>
            </w:r>
            <w:r>
              <w:rPr>
                <w:rFonts w:ascii="宋体" w:hAnsi="宋体" w:cs="宋体" w:eastAsia="宋体" w:hint="default"/>
                <w:sz w:val="18"/>
                <w:szCs w:val="18"/>
              </w:rPr>
              <w:t> </w:t>
            </w:r>
          </w:p>
        </w:tc>
      </w:tr>
    </w:tbl>
    <w:p>
      <w:pPr>
        <w:spacing w:line="240" w:lineRule="auto" w:before="8"/>
        <w:rPr>
          <w:rFonts w:ascii="宋体" w:hAnsi="宋体" w:cs="宋体" w:eastAsia="宋体" w:hint="default"/>
          <w:b/>
          <w:bCs/>
          <w:sz w:val="14"/>
          <w:szCs w:val="14"/>
        </w:rPr>
      </w:pPr>
    </w:p>
    <w:p>
      <w:pPr>
        <w:spacing w:before="36"/>
        <w:ind w:left="152" w:right="1133" w:firstLine="0"/>
        <w:jc w:val="left"/>
        <w:rPr>
          <w:rFonts w:ascii="宋体" w:hAnsi="宋体" w:cs="宋体" w:eastAsia="宋体" w:hint="default"/>
          <w:sz w:val="21"/>
          <w:szCs w:val="21"/>
        </w:rPr>
      </w:pPr>
      <w:r>
        <w:rPr>
          <w:rFonts w:ascii="宋体" w:hAnsi="宋体" w:cs="宋体" w:eastAsia="宋体" w:hint="default"/>
          <w:b/>
          <w:bCs/>
          <w:sz w:val="21"/>
          <w:szCs w:val="21"/>
        </w:rPr>
        <w:t>5</w:t>
      </w:r>
      <w:r>
        <w:rPr>
          <w:rFonts w:ascii="宋体" w:hAnsi="宋体" w:cs="宋体" w:eastAsia="宋体" w:hint="default"/>
          <w:b/>
          <w:bCs/>
          <w:sz w:val="21"/>
          <w:szCs w:val="21"/>
        </w:rPr>
        <w:t>、与北京中天嘉华保险代理有限公司的日常经营相关的关联交易</w:t>
      </w:r>
      <w:r>
        <w:rPr>
          <w:rFonts w:ascii="宋体" w:hAnsi="宋体" w:cs="宋体" w:eastAsia="宋体" w:hint="default"/>
          <w:b/>
          <w:bCs/>
          <w:w w:val="99"/>
          <w:sz w:val="21"/>
          <w:szCs w:val="21"/>
        </w:rPr>
        <w:t> </w:t>
      </w:r>
      <w:r>
        <w:rPr>
          <w:rFonts w:ascii="宋体" w:hAnsi="宋体" w:cs="宋体" w:eastAsia="宋体" w:hint="default"/>
          <w:sz w:val="21"/>
          <w:szCs w:val="21"/>
        </w:rPr>
      </w:r>
    </w:p>
    <w:p>
      <w:pPr>
        <w:spacing w:line="240" w:lineRule="auto" w:before="12"/>
        <w:rPr>
          <w:rFonts w:ascii="宋体" w:hAnsi="宋体" w:cs="宋体" w:eastAsia="宋体" w:hint="default"/>
          <w:b/>
          <w:bCs/>
          <w:sz w:val="6"/>
          <w:szCs w:val="6"/>
        </w:rPr>
      </w:pPr>
    </w:p>
    <w:tbl>
      <w:tblPr>
        <w:tblW w:w="0" w:type="auto"/>
        <w:jc w:val="left"/>
        <w:tblInd w:w="149" w:type="dxa"/>
        <w:tblLayout w:type="fixed"/>
        <w:tblCellMar>
          <w:top w:w="0" w:type="dxa"/>
          <w:left w:w="0" w:type="dxa"/>
          <w:bottom w:w="0" w:type="dxa"/>
          <w:right w:w="0" w:type="dxa"/>
        </w:tblCellMar>
        <w:tblLook w:val="01E0"/>
      </w:tblPr>
      <w:tblGrid>
        <w:gridCol w:w="2267"/>
        <w:gridCol w:w="7372"/>
      </w:tblGrid>
      <w:tr>
        <w:trPr>
          <w:trHeight w:val="418"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8"/>
              <w:ind w:left="102" w:right="0"/>
              <w:jc w:val="left"/>
              <w:rPr>
                <w:rFonts w:ascii="宋体" w:hAnsi="宋体" w:cs="宋体" w:eastAsia="宋体" w:hint="default"/>
                <w:sz w:val="18"/>
                <w:szCs w:val="18"/>
              </w:rPr>
            </w:pPr>
            <w:r>
              <w:rPr>
                <w:rFonts w:ascii="宋体" w:hAnsi="宋体" w:cs="宋体" w:eastAsia="宋体" w:hint="default"/>
                <w:sz w:val="18"/>
                <w:szCs w:val="18"/>
              </w:rPr>
              <w:t>关联交易方</w:t>
            </w:r>
            <w:r>
              <w:rPr>
                <w:rFonts w:ascii="宋体" w:hAnsi="宋体" w:cs="宋体" w:eastAsia="宋体" w:hint="default"/>
                <w:sz w:val="18"/>
                <w:szCs w:val="18"/>
              </w:rPr>
              <w:t> </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8"/>
              <w:ind w:left="103" w:right="0"/>
              <w:jc w:val="left"/>
              <w:rPr>
                <w:rFonts w:ascii="宋体" w:hAnsi="宋体" w:cs="宋体" w:eastAsia="宋体" w:hint="default"/>
                <w:sz w:val="18"/>
                <w:szCs w:val="18"/>
              </w:rPr>
            </w:pPr>
            <w:r>
              <w:rPr>
                <w:rFonts w:ascii="宋体" w:hAnsi="宋体" w:cs="宋体" w:eastAsia="宋体" w:hint="default"/>
                <w:sz w:val="18"/>
                <w:szCs w:val="18"/>
              </w:rPr>
              <w:t>北京中天嘉华保险代理有限公司</w:t>
            </w:r>
            <w:r>
              <w:rPr>
                <w:rFonts w:ascii="宋体" w:hAnsi="宋体" w:cs="宋体" w:eastAsia="宋体" w:hint="default"/>
                <w:sz w:val="18"/>
                <w:szCs w:val="18"/>
              </w:rPr>
              <w:t> </w:t>
            </w:r>
          </w:p>
        </w:tc>
      </w:tr>
      <w:tr>
        <w:trPr>
          <w:trHeight w:val="490"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94"/>
              <w:ind w:left="102" w:right="0"/>
              <w:jc w:val="left"/>
              <w:rPr>
                <w:rFonts w:ascii="宋体" w:hAnsi="宋体" w:cs="宋体" w:eastAsia="宋体" w:hint="default"/>
                <w:sz w:val="18"/>
                <w:szCs w:val="18"/>
              </w:rPr>
            </w:pPr>
            <w:r>
              <w:rPr>
                <w:rFonts w:ascii="宋体" w:hAnsi="宋体" w:cs="宋体" w:eastAsia="宋体" w:hint="default"/>
                <w:sz w:val="18"/>
                <w:szCs w:val="18"/>
              </w:rPr>
              <w:t>关联关系</w:t>
            </w:r>
            <w:r>
              <w:rPr>
                <w:rFonts w:ascii="宋体" w:hAnsi="宋体" w:cs="宋体" w:eastAsia="宋体" w:hint="default"/>
                <w:sz w:val="18"/>
                <w:szCs w:val="18"/>
              </w:rPr>
              <w:t> </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103" w:right="0"/>
              <w:jc w:val="left"/>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以上股东刘英魁控制的公司</w:t>
            </w:r>
            <w:r>
              <w:rPr>
                <w:rFonts w:ascii="宋体" w:hAnsi="宋体" w:cs="宋体" w:eastAsia="宋体" w:hint="default"/>
                <w:sz w:val="18"/>
                <w:szCs w:val="18"/>
              </w:rPr>
              <w:t> </w:t>
            </w:r>
          </w:p>
        </w:tc>
      </w:tr>
      <w:tr>
        <w:trPr>
          <w:trHeight w:val="325"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3"/>
              <w:ind w:left="102" w:right="0"/>
              <w:jc w:val="left"/>
              <w:rPr>
                <w:rFonts w:ascii="宋体" w:hAnsi="宋体" w:cs="宋体" w:eastAsia="宋体" w:hint="default"/>
                <w:sz w:val="18"/>
                <w:szCs w:val="18"/>
              </w:rPr>
            </w:pPr>
            <w:r>
              <w:rPr>
                <w:rFonts w:ascii="宋体" w:hAnsi="宋体" w:cs="宋体" w:eastAsia="宋体" w:hint="default"/>
                <w:sz w:val="18"/>
                <w:szCs w:val="18"/>
              </w:rPr>
              <w:t>关联交易类型</w:t>
            </w:r>
            <w:r>
              <w:rPr>
                <w:rFonts w:ascii="宋体" w:hAnsi="宋体" w:cs="宋体" w:eastAsia="宋体" w:hint="default"/>
                <w:sz w:val="18"/>
                <w:szCs w:val="18"/>
              </w:rPr>
              <w:t> </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销售</w:t>
            </w:r>
            <w:r>
              <w:rPr>
                <w:rFonts w:ascii="宋体" w:hAnsi="宋体" w:cs="宋体" w:eastAsia="宋体" w:hint="default"/>
                <w:sz w:val="18"/>
                <w:szCs w:val="18"/>
              </w:rPr>
              <w:t> </w:t>
            </w:r>
          </w:p>
        </w:tc>
      </w:tr>
      <w:tr>
        <w:trPr>
          <w:trHeight w:val="516"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6"/>
              <w:ind w:left="102" w:right="0"/>
              <w:jc w:val="left"/>
              <w:rPr>
                <w:rFonts w:ascii="宋体" w:hAnsi="宋体" w:cs="宋体" w:eastAsia="宋体" w:hint="default"/>
                <w:sz w:val="18"/>
                <w:szCs w:val="18"/>
              </w:rPr>
            </w:pPr>
            <w:r>
              <w:rPr>
                <w:rFonts w:ascii="宋体" w:hAnsi="宋体" w:cs="宋体" w:eastAsia="宋体" w:hint="default"/>
                <w:sz w:val="18"/>
                <w:szCs w:val="18"/>
              </w:rPr>
              <w:t>关联交易内容</w:t>
            </w:r>
            <w:r>
              <w:rPr>
                <w:rFonts w:ascii="宋体" w:hAnsi="宋体" w:cs="宋体" w:eastAsia="宋体" w:hint="default"/>
                <w:sz w:val="18"/>
                <w:szCs w:val="18"/>
              </w:rPr>
              <w:t> </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103" w:right="0"/>
              <w:jc w:val="left"/>
              <w:rPr>
                <w:rFonts w:ascii="宋体" w:hAnsi="宋体" w:cs="宋体" w:eastAsia="宋体" w:hint="default"/>
                <w:sz w:val="18"/>
                <w:szCs w:val="18"/>
              </w:rPr>
            </w:pPr>
            <w:r>
              <w:rPr>
                <w:rFonts w:ascii="宋体" w:hAnsi="宋体" w:cs="宋体" w:eastAsia="宋体" w:hint="default"/>
                <w:sz w:val="18"/>
                <w:szCs w:val="18"/>
              </w:rPr>
              <w:t>北京中天嘉华保险代理有限公司向嘉华信息采购软件平台服务</w:t>
            </w:r>
            <w:r>
              <w:rPr>
                <w:rFonts w:ascii="宋体" w:hAnsi="宋体" w:cs="宋体" w:eastAsia="宋体" w:hint="default"/>
                <w:sz w:val="18"/>
                <w:szCs w:val="18"/>
              </w:rPr>
              <w:t> </w:t>
            </w:r>
          </w:p>
        </w:tc>
      </w:tr>
      <w:tr>
        <w:trPr>
          <w:trHeight w:val="401"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关联交易定价原则</w:t>
            </w:r>
            <w:r>
              <w:rPr>
                <w:rFonts w:ascii="宋体" w:hAnsi="宋体" w:cs="宋体" w:eastAsia="宋体" w:hint="default"/>
                <w:sz w:val="18"/>
                <w:szCs w:val="18"/>
              </w:rPr>
              <w:t> </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根据有利于上市公司、公平、公允的原则，依据市场价格确定。</w:t>
            </w:r>
            <w:r>
              <w:rPr>
                <w:rFonts w:ascii="宋体" w:hAnsi="宋体" w:cs="宋体" w:eastAsia="宋体" w:hint="default"/>
                <w:sz w:val="18"/>
                <w:szCs w:val="18"/>
              </w:rPr>
              <w:t> </w:t>
            </w:r>
          </w:p>
        </w:tc>
      </w:tr>
      <w:tr>
        <w:trPr>
          <w:trHeight w:val="403"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关联交易价格</w:t>
            </w:r>
            <w:r>
              <w:rPr>
                <w:rFonts w:ascii="宋体" w:hAnsi="宋体" w:cs="宋体" w:eastAsia="宋体" w:hint="default"/>
                <w:sz w:val="18"/>
                <w:szCs w:val="18"/>
              </w:rPr>
              <w:t> </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依据市场价格确定</w:t>
            </w:r>
            <w:r>
              <w:rPr>
                <w:rFonts w:ascii="宋体" w:hAnsi="宋体" w:cs="宋体" w:eastAsia="宋体" w:hint="default"/>
                <w:sz w:val="18"/>
                <w:szCs w:val="18"/>
              </w:rPr>
              <w:t> </w:t>
            </w:r>
          </w:p>
        </w:tc>
      </w:tr>
      <w:tr>
        <w:trPr>
          <w:trHeight w:val="401"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关联交易金额</w:t>
            </w:r>
            <w:r>
              <w:rPr>
                <w:rFonts w:ascii="宋体" w:hAnsi="宋体" w:cs="宋体" w:eastAsia="宋体" w:hint="default"/>
                <w:sz w:val="18"/>
                <w:szCs w:val="18"/>
              </w:rPr>
              <w:t>(</w:t>
            </w:r>
            <w:r>
              <w:rPr>
                <w:rFonts w:ascii="宋体" w:hAnsi="宋体" w:cs="宋体" w:eastAsia="宋体" w:hint="default"/>
                <w:sz w:val="18"/>
                <w:szCs w:val="18"/>
              </w:rPr>
              <w:t>万元</w:t>
            </w:r>
            <w:r>
              <w:rPr>
                <w:rFonts w:ascii="宋体" w:hAnsi="宋体" w:cs="宋体" w:eastAsia="宋体" w:hint="default"/>
                <w:sz w:val="18"/>
                <w:szCs w:val="18"/>
              </w:rPr>
              <w:t>) </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10.29</w:t>
            </w:r>
            <w:r>
              <w:rPr>
                <w:rFonts w:ascii="宋体" w:hAnsi="宋体" w:cs="宋体" w:eastAsia="宋体" w:hint="default"/>
                <w:spacing w:val="-47"/>
                <w:sz w:val="18"/>
                <w:szCs w:val="18"/>
              </w:rPr>
              <w:t> </w:t>
            </w:r>
            <w:r>
              <w:rPr>
                <w:rFonts w:ascii="宋体" w:hAnsi="宋体" w:cs="宋体" w:eastAsia="宋体" w:hint="default"/>
                <w:sz w:val="18"/>
                <w:szCs w:val="18"/>
              </w:rPr>
              <w:t>万元</w:t>
            </w:r>
            <w:r>
              <w:rPr>
                <w:rFonts w:ascii="宋体" w:hAnsi="宋体" w:cs="宋体" w:eastAsia="宋体" w:hint="default"/>
                <w:sz w:val="18"/>
                <w:szCs w:val="18"/>
              </w:rPr>
              <w:t> </w:t>
            </w:r>
          </w:p>
        </w:tc>
      </w:tr>
      <w:tr>
        <w:trPr>
          <w:trHeight w:val="403"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占同类交易金额的比例</w:t>
            </w:r>
            <w:r>
              <w:rPr>
                <w:rFonts w:ascii="宋体" w:hAnsi="宋体" w:cs="宋体" w:eastAsia="宋体" w:hint="default"/>
                <w:sz w:val="18"/>
                <w:szCs w:val="18"/>
              </w:rPr>
              <w:t> </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sz w:val="18"/>
              </w:rPr>
              <w:t>0.01% </w:t>
            </w:r>
          </w:p>
        </w:tc>
      </w:tr>
      <w:tr>
        <w:trPr>
          <w:trHeight w:val="401"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获批的交易额度</w:t>
            </w:r>
            <w:r>
              <w:rPr>
                <w:rFonts w:ascii="宋体" w:hAnsi="宋体" w:cs="宋体" w:eastAsia="宋体" w:hint="default"/>
                <w:sz w:val="18"/>
                <w:szCs w:val="18"/>
              </w:rPr>
              <w:t>(</w:t>
            </w:r>
            <w:r>
              <w:rPr>
                <w:rFonts w:ascii="宋体" w:hAnsi="宋体" w:cs="宋体" w:eastAsia="宋体" w:hint="default"/>
                <w:sz w:val="18"/>
                <w:szCs w:val="18"/>
              </w:rPr>
              <w:t>万元</w:t>
            </w:r>
            <w:r>
              <w:rPr>
                <w:rFonts w:ascii="宋体" w:hAnsi="宋体" w:cs="宋体" w:eastAsia="宋体" w:hint="default"/>
                <w:sz w:val="18"/>
                <w:szCs w:val="18"/>
              </w:rPr>
              <w:t>) </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未经审议。</w:t>
            </w:r>
            <w:r>
              <w:rPr>
                <w:rFonts w:ascii="宋体" w:hAnsi="宋体" w:cs="宋体" w:eastAsia="宋体" w:hint="default"/>
                <w:sz w:val="18"/>
                <w:szCs w:val="18"/>
              </w:rPr>
              <w:t> </w:t>
            </w:r>
          </w:p>
        </w:tc>
      </w:tr>
      <w:tr>
        <w:trPr>
          <w:trHeight w:val="401"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是否超过获批额度</w:t>
            </w:r>
            <w:r>
              <w:rPr>
                <w:rFonts w:ascii="宋体" w:hAnsi="宋体" w:cs="宋体" w:eastAsia="宋体" w:hint="default"/>
                <w:sz w:val="18"/>
                <w:szCs w:val="18"/>
              </w:rPr>
              <w:t> </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不适用</w:t>
            </w:r>
            <w:r>
              <w:rPr>
                <w:rFonts w:ascii="宋体" w:hAnsi="宋体" w:cs="宋体" w:eastAsia="宋体" w:hint="default"/>
                <w:sz w:val="18"/>
                <w:szCs w:val="18"/>
              </w:rPr>
              <w:t> </w:t>
            </w:r>
          </w:p>
        </w:tc>
      </w:tr>
      <w:tr>
        <w:trPr>
          <w:trHeight w:val="403"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3"/>
              <w:ind w:left="102" w:right="0"/>
              <w:jc w:val="left"/>
              <w:rPr>
                <w:rFonts w:ascii="宋体" w:hAnsi="宋体" w:cs="宋体" w:eastAsia="宋体" w:hint="default"/>
                <w:sz w:val="18"/>
                <w:szCs w:val="18"/>
              </w:rPr>
            </w:pPr>
            <w:r>
              <w:rPr>
                <w:rFonts w:ascii="宋体" w:hAnsi="宋体" w:cs="宋体" w:eastAsia="宋体" w:hint="default"/>
                <w:sz w:val="18"/>
                <w:szCs w:val="18"/>
              </w:rPr>
              <w:t>关联交易结算方式</w:t>
            </w:r>
            <w:r>
              <w:rPr>
                <w:rFonts w:ascii="宋体" w:hAnsi="宋体" w:cs="宋体" w:eastAsia="宋体" w:hint="default"/>
                <w:sz w:val="18"/>
                <w:szCs w:val="18"/>
              </w:rPr>
              <w:t> </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现金</w:t>
            </w:r>
            <w:r>
              <w:rPr>
                <w:rFonts w:ascii="宋体" w:hAnsi="宋体" w:cs="宋体" w:eastAsia="宋体" w:hint="default"/>
                <w:sz w:val="18"/>
                <w:szCs w:val="18"/>
              </w:rPr>
              <w:t> </w:t>
            </w:r>
          </w:p>
        </w:tc>
      </w:tr>
      <w:tr>
        <w:trPr>
          <w:trHeight w:val="401"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可获得的同类交易市价</w:t>
            </w:r>
            <w:r>
              <w:rPr>
                <w:rFonts w:ascii="宋体" w:hAnsi="宋体" w:cs="宋体" w:eastAsia="宋体" w:hint="default"/>
                <w:sz w:val="18"/>
                <w:szCs w:val="18"/>
              </w:rPr>
              <w:t> </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不适用</w:t>
            </w:r>
            <w:r>
              <w:rPr>
                <w:rFonts w:ascii="宋体" w:hAnsi="宋体" w:cs="宋体" w:eastAsia="宋体" w:hint="default"/>
                <w:sz w:val="18"/>
                <w:szCs w:val="18"/>
              </w:rPr>
              <w:t> </w:t>
            </w:r>
          </w:p>
        </w:tc>
      </w:tr>
      <w:tr>
        <w:trPr>
          <w:trHeight w:val="404" w:hRule="exact"/>
        </w:trPr>
        <w:tc>
          <w:tcPr>
            <w:tcW w:w="226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4"/>
              <w:ind w:left="102" w:right="0"/>
              <w:jc w:val="left"/>
              <w:rPr>
                <w:rFonts w:ascii="宋体" w:hAnsi="宋体" w:cs="宋体" w:eastAsia="宋体" w:hint="default"/>
                <w:sz w:val="18"/>
                <w:szCs w:val="18"/>
              </w:rPr>
            </w:pPr>
            <w:r>
              <w:rPr>
                <w:rFonts w:ascii="宋体" w:hAnsi="宋体" w:cs="宋体" w:eastAsia="宋体" w:hint="default"/>
                <w:sz w:val="18"/>
                <w:szCs w:val="18"/>
              </w:rPr>
              <w:t>大额销货退回的详细情况</w:t>
            </w:r>
          </w:p>
        </w:tc>
        <w:tc>
          <w:tcPr>
            <w:tcW w:w="7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3" w:right="0"/>
              <w:jc w:val="left"/>
              <w:rPr>
                <w:rFonts w:ascii="宋体" w:hAnsi="宋体" w:cs="宋体" w:eastAsia="宋体" w:hint="default"/>
                <w:sz w:val="18"/>
                <w:szCs w:val="18"/>
              </w:rPr>
            </w:pPr>
            <w:r>
              <w:rPr>
                <w:rFonts w:ascii="宋体" w:hAnsi="宋体" w:cs="宋体" w:eastAsia="宋体" w:hint="default"/>
                <w:sz w:val="18"/>
                <w:szCs w:val="18"/>
              </w:rPr>
              <w:t>不存在销售退回情形</w:t>
            </w:r>
            <w:r>
              <w:rPr>
                <w:rFonts w:ascii="宋体" w:hAnsi="宋体" w:cs="宋体" w:eastAsia="宋体" w:hint="default"/>
                <w:sz w:val="18"/>
                <w:szCs w:val="18"/>
              </w:rPr>
              <w:t> </w:t>
            </w:r>
          </w:p>
        </w:tc>
      </w:tr>
    </w:tbl>
    <w:p>
      <w:pPr>
        <w:pStyle w:val="BodyText"/>
        <w:spacing w:line="240" w:lineRule="auto" w:before="26"/>
        <w:ind w:right="1133"/>
        <w:jc w:val="left"/>
        <w:rPr>
          <w:rFonts w:ascii="宋体" w:hAnsi="宋体" w:cs="宋体" w:eastAsia="宋体" w:hint="default"/>
        </w:rPr>
      </w:pPr>
      <w:r>
        <w:rPr/>
        <w:t>上述</w:t>
      </w:r>
      <w:r>
        <w:rPr>
          <w:spacing w:val="-52"/>
        </w:rPr>
        <w:t> </w:t>
      </w:r>
      <w:r>
        <w:rPr>
          <w:rFonts w:ascii="宋体" w:hAnsi="宋体" w:cs="宋体" w:eastAsia="宋体" w:hint="default"/>
        </w:rPr>
        <w:t>1</w:t>
      </w:r>
      <w:r>
        <w:rPr>
          <w:rFonts w:ascii="宋体" w:hAnsi="宋体" w:cs="宋体" w:eastAsia="宋体" w:hint="default"/>
          <w:spacing w:val="-55"/>
        </w:rPr>
        <w:t> </w:t>
      </w:r>
      <w:r>
        <w:rPr/>
        <w:t>至</w:t>
      </w:r>
      <w:r>
        <w:rPr>
          <w:spacing w:val="-53"/>
        </w:rPr>
        <w:t> </w:t>
      </w:r>
      <w:r>
        <w:rPr>
          <w:rFonts w:ascii="宋体" w:hAnsi="宋体" w:cs="宋体" w:eastAsia="宋体" w:hint="default"/>
        </w:rPr>
        <w:t>5</w:t>
      </w:r>
      <w:r>
        <w:rPr>
          <w:rFonts w:ascii="宋体" w:hAnsi="宋体" w:cs="宋体" w:eastAsia="宋体" w:hint="default"/>
          <w:spacing w:val="-55"/>
        </w:rPr>
        <w:t> </w:t>
      </w:r>
      <w:r>
        <w:rPr/>
        <w:t>项与日常经营相关的关联交易合计金额为</w:t>
      </w:r>
      <w:r>
        <w:rPr>
          <w:spacing w:val="-53"/>
        </w:rPr>
        <w:t> </w:t>
      </w:r>
      <w:r>
        <w:rPr>
          <w:rFonts w:ascii="宋体" w:hAnsi="宋体" w:cs="宋体" w:eastAsia="宋体" w:hint="default"/>
        </w:rPr>
        <w:t>735.51</w:t>
      </w:r>
      <w:r>
        <w:rPr>
          <w:rFonts w:ascii="宋体" w:hAnsi="宋体" w:cs="宋体" w:eastAsia="宋体" w:hint="default"/>
          <w:spacing w:val="-55"/>
        </w:rPr>
        <w:t> </w:t>
      </w:r>
      <w:r>
        <w:rPr/>
        <w:t>万元。</w:t>
      </w:r>
      <w:r>
        <w:rPr>
          <w:rFonts w:ascii="宋体" w:hAnsi="宋体" w:cs="宋体" w:eastAsia="宋体" w:hint="default"/>
        </w:rPr>
        <w:t> </w:t>
      </w:r>
    </w:p>
    <w:p>
      <w:pPr>
        <w:spacing w:line="240" w:lineRule="auto" w:before="10"/>
        <w:rPr>
          <w:rFonts w:ascii="宋体" w:hAnsi="宋体" w:cs="宋体" w:eastAsia="宋体" w:hint="default"/>
          <w:sz w:val="25"/>
          <w:szCs w:val="25"/>
        </w:rPr>
      </w:pPr>
    </w:p>
    <w:p>
      <w:pPr>
        <w:pStyle w:val="Heading3"/>
        <w:spacing w:line="240" w:lineRule="auto" w:before="0"/>
        <w:ind w:right="1133"/>
        <w:jc w:val="left"/>
        <w:rPr>
          <w:b w:val="0"/>
          <w:bCs w:val="0"/>
        </w:rPr>
      </w:pPr>
      <w:r>
        <w:rPr/>
        <w:t>二、资产或股权收购、出售发生的关联交易</w:t>
      </w:r>
      <w:r>
        <w:rPr>
          <w:b w:val="0"/>
          <w:bCs w:val="0"/>
        </w:rPr>
      </w:r>
    </w:p>
    <w:p>
      <w:pPr>
        <w:pStyle w:val="BodyText"/>
        <w:spacing w:line="307" w:lineRule="auto" w:before="159"/>
        <w:ind w:right="5542"/>
        <w:jc w:val="left"/>
        <w:rPr>
          <w:rFonts w:ascii="宋体" w:hAnsi="宋体" w:cs="宋体" w:eastAsia="宋体" w:hint="default"/>
        </w:rPr>
      </w:pPr>
      <w:r>
        <w:rPr/>
        <w:t>□适用 </w:t>
      </w:r>
      <w:r>
        <w:rPr>
          <w:rFonts w:ascii="宋体" w:hAnsi="宋体" w:cs="宋体" w:eastAsia="宋体" w:hint="default"/>
        </w:rPr>
      </w:r>
      <w:r>
        <w:rPr>
          <w:spacing w:val="-3"/>
        </w:rPr>
        <w:t>√不适用</w:t>
      </w:r>
      <w:r>
        <w:rPr>
          <w:spacing w:val="-95"/>
        </w:rPr>
        <w:t> </w:t>
      </w:r>
      <w:r>
        <w:rPr>
          <w:rFonts w:ascii="宋体" w:hAnsi="宋体" w:cs="宋体" w:eastAsia="宋体" w:hint="default"/>
          <w:spacing w:val="-95"/>
        </w:rPr>
      </w:r>
      <w:r>
        <w:rPr/>
        <w:t>公司报告期未发生资产或股权收购、出售的关联交易。</w:t>
      </w:r>
      <w:r>
        <w:rPr>
          <w:rFonts w:ascii="宋体" w:hAnsi="宋体" w:cs="宋体" w:eastAsia="宋体" w:hint="default"/>
        </w:rPr>
        <w:t> </w:t>
      </w:r>
    </w:p>
    <w:p>
      <w:pPr>
        <w:spacing w:line="240" w:lineRule="auto" w:before="4"/>
        <w:rPr>
          <w:rFonts w:ascii="宋体" w:hAnsi="宋体" w:cs="宋体" w:eastAsia="宋体" w:hint="default"/>
          <w:sz w:val="21"/>
          <w:szCs w:val="21"/>
        </w:rPr>
      </w:pPr>
    </w:p>
    <w:p>
      <w:pPr>
        <w:pStyle w:val="Heading3"/>
        <w:spacing w:line="240" w:lineRule="auto" w:before="0"/>
        <w:ind w:right="1133"/>
        <w:jc w:val="left"/>
        <w:rPr>
          <w:b w:val="0"/>
          <w:bCs w:val="0"/>
        </w:rPr>
      </w:pPr>
      <w:r>
        <w:rPr/>
        <w:t>三、共同对外投资的关联交易</w:t>
      </w:r>
      <w:r>
        <w:rPr>
          <w:b w:val="0"/>
          <w:bCs w:val="0"/>
        </w:rPr>
      </w:r>
    </w:p>
    <w:p>
      <w:pPr>
        <w:pStyle w:val="BodyText"/>
        <w:spacing w:line="307" w:lineRule="auto" w:before="157"/>
        <w:ind w:right="5542"/>
        <w:jc w:val="left"/>
        <w:rPr>
          <w:rFonts w:ascii="宋体" w:hAnsi="宋体" w:cs="宋体" w:eastAsia="宋体" w:hint="default"/>
        </w:rPr>
      </w:pPr>
      <w:r>
        <w:rPr/>
        <w:t>□ 适用 </w:t>
      </w:r>
      <w:r>
        <w:rPr>
          <w:rFonts w:ascii="宋体" w:hAnsi="宋体" w:cs="宋体" w:eastAsia="宋体" w:hint="default"/>
        </w:rPr>
      </w:r>
      <w:r>
        <w:rPr>
          <w:spacing w:val="-3"/>
        </w:rPr>
        <w:t>√</w:t>
      </w:r>
      <w:r>
        <w:rPr/>
        <w:t> 不适用</w:t>
      </w:r>
      <w:r>
        <w:rPr>
          <w:rFonts w:ascii="宋体" w:hAnsi="宋体" w:cs="宋体" w:eastAsia="宋体" w:hint="default"/>
          <w:w w:val="100"/>
        </w:rPr>
        <w:t> </w:t>
      </w:r>
      <w:r>
        <w:rPr/>
        <w:t>公司报告期未发生共同对外投资的关联交易。</w:t>
      </w:r>
      <w:r>
        <w:rPr>
          <w:rFonts w:ascii="宋体" w:hAnsi="宋体" w:cs="宋体" w:eastAsia="宋体" w:hint="default"/>
        </w:rPr>
        <w:t> </w:t>
      </w:r>
    </w:p>
    <w:p>
      <w:pPr>
        <w:spacing w:line="240" w:lineRule="auto" w:before="4"/>
        <w:rPr>
          <w:rFonts w:ascii="宋体" w:hAnsi="宋体" w:cs="宋体" w:eastAsia="宋体" w:hint="default"/>
          <w:sz w:val="21"/>
          <w:szCs w:val="21"/>
        </w:rPr>
      </w:pPr>
    </w:p>
    <w:p>
      <w:pPr>
        <w:pStyle w:val="Heading3"/>
        <w:spacing w:line="240" w:lineRule="auto" w:before="0"/>
        <w:ind w:right="1133"/>
        <w:jc w:val="left"/>
        <w:rPr>
          <w:b w:val="0"/>
          <w:bCs w:val="0"/>
        </w:rPr>
      </w:pPr>
      <w:r>
        <w:rPr/>
        <w:t>四、关联债权债务往来</w:t>
      </w:r>
      <w:r>
        <w:rPr>
          <w:b w:val="0"/>
          <w:bCs w:val="0"/>
        </w:rPr>
      </w:r>
    </w:p>
    <w:p>
      <w:pPr>
        <w:pStyle w:val="BodyText"/>
        <w:spacing w:line="307" w:lineRule="auto" w:before="157"/>
        <w:ind w:right="7341"/>
        <w:jc w:val="left"/>
        <w:rPr>
          <w:rFonts w:ascii="宋体" w:hAnsi="宋体" w:cs="宋体" w:eastAsia="宋体" w:hint="default"/>
        </w:rPr>
      </w:pPr>
      <w:r>
        <w:rPr/>
        <w:t>√ </w:t>
      </w:r>
      <w:r>
        <w:rPr>
          <w:rFonts w:ascii="宋体" w:hAnsi="宋体" w:cs="宋体" w:eastAsia="宋体" w:hint="default"/>
        </w:rPr>
      </w:r>
      <w:r>
        <w:rPr/>
        <w:t>适用 </w:t>
      </w:r>
      <w:r>
        <w:rPr>
          <w:rFonts w:ascii="宋体" w:hAnsi="宋体" w:cs="宋体" w:eastAsia="宋体" w:hint="default"/>
        </w:rPr>
      </w:r>
      <w:r>
        <w:rPr>
          <w:spacing w:val="-3"/>
        </w:rPr>
        <w:t>□</w:t>
      </w:r>
      <w:r>
        <w:rPr>
          <w:spacing w:val="2"/>
        </w:rPr>
        <w:t> </w:t>
      </w:r>
      <w:r>
        <w:rPr>
          <w:rFonts w:ascii="宋体" w:hAnsi="宋体" w:cs="宋体" w:eastAsia="宋体" w:hint="default"/>
          <w:spacing w:val="2"/>
        </w:rPr>
      </w:r>
      <w:r>
        <w:rPr/>
        <w:t>不适用</w:t>
      </w:r>
      <w:r>
        <w:rPr>
          <w:rFonts w:ascii="宋体" w:hAnsi="宋体" w:cs="宋体" w:eastAsia="宋体" w:hint="default"/>
          <w:spacing w:val="-3"/>
          <w:w w:val="100"/>
        </w:rPr>
        <w:t> </w:t>
      </w:r>
      <w:r>
        <w:rPr>
          <w:rFonts w:ascii="宋体" w:hAnsi="宋体" w:cs="宋体" w:eastAsia="宋体" w:hint="default"/>
          <w:w w:val="100"/>
        </w:rPr>
        <w:t> </w:t>
      </w:r>
      <w:r>
        <w:rPr/>
        <w:t>是否存在非经营性关联债权债务往来</w:t>
      </w:r>
      <w:r>
        <w:rPr>
          <w:rFonts w:ascii="宋体" w:hAnsi="宋体" w:cs="宋体" w:eastAsia="宋体" w:hint="default"/>
        </w:rPr>
        <w:t> </w:t>
      </w:r>
    </w:p>
    <w:p>
      <w:pPr>
        <w:pStyle w:val="BodyText"/>
        <w:spacing w:line="240" w:lineRule="auto" w:before="16"/>
        <w:ind w:right="1133"/>
        <w:jc w:val="left"/>
        <w:rPr>
          <w:rFonts w:ascii="宋体" w:hAnsi="宋体" w:cs="宋体" w:eastAsia="宋体" w:hint="default"/>
        </w:rPr>
      </w:pPr>
      <w:r>
        <w:rPr/>
        <w:t>√ </w:t>
      </w:r>
      <w:r>
        <w:rPr>
          <w:rFonts w:ascii="宋体" w:hAnsi="宋体" w:cs="宋体" w:eastAsia="宋体" w:hint="default"/>
        </w:rPr>
      </w:r>
      <w:r>
        <w:rPr/>
        <w:t>是   </w:t>
      </w:r>
      <w:r>
        <w:rPr>
          <w:rFonts w:ascii="宋体" w:hAnsi="宋体" w:cs="宋体" w:eastAsia="宋体" w:hint="default"/>
        </w:rPr>
      </w:r>
      <w:r>
        <w:rPr>
          <w:spacing w:val="-3"/>
        </w:rPr>
        <w:t>□</w:t>
      </w:r>
      <w:r>
        <w:rPr>
          <w:spacing w:val="4"/>
        </w:rPr>
        <w:t> </w:t>
      </w:r>
      <w:r>
        <w:rPr>
          <w:rFonts w:ascii="宋体" w:hAnsi="宋体" w:cs="宋体" w:eastAsia="宋体" w:hint="default"/>
          <w:spacing w:val="4"/>
        </w:rPr>
      </w:r>
      <w:r>
        <w:rPr/>
        <w:t>否</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78"/>
        <w:ind w:right="0"/>
        <w:jc w:val="left"/>
        <w:rPr>
          <w:rFonts w:ascii="宋体" w:hAnsi="宋体" w:cs="宋体" w:eastAsia="宋体" w:hint="default"/>
        </w:rPr>
      </w:pPr>
      <w:r>
        <w:rPr>
          <w:rFonts w:ascii="宋体"/>
          <w:w w:val="100"/>
        </w:rPr>
        <w:t> </w:t>
      </w:r>
    </w:p>
    <w:p>
      <w:pPr>
        <w:spacing w:after="0" w:line="240" w:lineRule="auto"/>
        <w:jc w:val="left"/>
        <w:rPr>
          <w:rFonts w:ascii="宋体" w:hAnsi="宋体" w:cs="宋体" w:eastAsia="宋体" w:hint="default"/>
        </w:rPr>
        <w:sectPr>
          <w:pgSz w:w="11910" w:h="16840"/>
          <w:pgMar w:header="880" w:footer="975" w:top="1100" w:bottom="1160" w:left="980" w:right="0"/>
        </w:sectPr>
      </w:pPr>
    </w:p>
    <w:p>
      <w:pPr>
        <w:spacing w:line="240" w:lineRule="auto" w:before="11"/>
        <w:rPr>
          <w:rFonts w:ascii="宋体" w:hAnsi="宋体" w:cs="宋体" w:eastAsia="宋体" w:hint="default"/>
          <w:sz w:val="20"/>
          <w:szCs w:val="20"/>
        </w:rPr>
      </w:pPr>
    </w:p>
    <w:p>
      <w:pPr>
        <w:pStyle w:val="BodyText"/>
        <w:spacing w:line="240" w:lineRule="auto" w:before="36"/>
        <w:ind w:right="1133"/>
        <w:jc w:val="left"/>
        <w:rPr>
          <w:rFonts w:ascii="宋体" w:hAnsi="宋体" w:cs="宋体" w:eastAsia="宋体" w:hint="default"/>
        </w:rPr>
      </w:pPr>
      <w:r>
        <w:rPr/>
        <w:t>应收关联方债权</w:t>
      </w:r>
      <w:r>
        <w:rPr>
          <w:rFonts w:ascii="宋体" w:hAnsi="宋体" w:cs="宋体" w:eastAsia="宋体" w:hint="default"/>
        </w:rPr>
        <w:t> </w:t>
      </w:r>
    </w:p>
    <w:p>
      <w:pPr>
        <w:spacing w:line="240" w:lineRule="auto" w:before="12"/>
        <w:rPr>
          <w:rFonts w:ascii="宋体" w:hAnsi="宋体" w:cs="宋体" w:eastAsia="宋体" w:hint="default"/>
          <w:sz w:val="6"/>
          <w:szCs w:val="6"/>
        </w:rPr>
      </w:pPr>
    </w:p>
    <w:tbl>
      <w:tblPr>
        <w:tblW w:w="0" w:type="auto"/>
        <w:jc w:val="left"/>
        <w:tblInd w:w="148" w:type="dxa"/>
        <w:tblLayout w:type="fixed"/>
        <w:tblCellMar>
          <w:top w:w="0" w:type="dxa"/>
          <w:left w:w="0" w:type="dxa"/>
          <w:bottom w:w="0" w:type="dxa"/>
          <w:right w:w="0" w:type="dxa"/>
        </w:tblCellMar>
        <w:tblLook w:val="01E0"/>
      </w:tblPr>
      <w:tblGrid>
        <w:gridCol w:w="987"/>
        <w:gridCol w:w="1109"/>
        <w:gridCol w:w="850"/>
        <w:gridCol w:w="880"/>
        <w:gridCol w:w="978"/>
        <w:gridCol w:w="982"/>
        <w:gridCol w:w="984"/>
        <w:gridCol w:w="943"/>
        <w:gridCol w:w="929"/>
        <w:gridCol w:w="931"/>
      </w:tblGrid>
      <w:tr>
        <w:trPr>
          <w:trHeight w:val="946" w:hRule="exact"/>
        </w:trPr>
        <w:tc>
          <w:tcPr>
            <w:tcW w:w="98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218"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11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189" w:right="0"/>
              <w:jc w:val="left"/>
              <w:rPr>
                <w:rFonts w:ascii="宋体" w:hAnsi="宋体" w:cs="宋体" w:eastAsia="宋体" w:hint="default"/>
                <w:sz w:val="18"/>
                <w:szCs w:val="18"/>
              </w:rPr>
            </w:pPr>
            <w:r>
              <w:rPr>
                <w:rFonts w:ascii="宋体" w:hAnsi="宋体" w:cs="宋体" w:eastAsia="宋体" w:hint="default"/>
                <w:sz w:val="18"/>
                <w:szCs w:val="18"/>
              </w:rPr>
              <w:t>关联关系</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59" w:right="0"/>
              <w:jc w:val="left"/>
              <w:rPr>
                <w:rFonts w:ascii="宋体" w:hAnsi="宋体" w:cs="宋体" w:eastAsia="宋体" w:hint="default"/>
                <w:sz w:val="18"/>
                <w:szCs w:val="18"/>
              </w:rPr>
            </w:pPr>
            <w:r>
              <w:rPr>
                <w:rFonts w:ascii="宋体" w:hAnsi="宋体" w:cs="宋体" w:eastAsia="宋体" w:hint="default"/>
                <w:sz w:val="18"/>
                <w:szCs w:val="18"/>
              </w:rPr>
              <w:t>形成原因</w:t>
            </w:r>
          </w:p>
        </w:tc>
        <w:tc>
          <w:tcPr>
            <w:tcW w:w="880" w:type="dxa"/>
            <w:tcBorders>
              <w:top w:val="single" w:sz="4" w:space="0" w:color="000000"/>
              <w:left w:val="single" w:sz="4" w:space="0" w:color="000000"/>
              <w:bottom w:val="single" w:sz="4" w:space="0" w:color="000000"/>
              <w:right w:val="single" w:sz="5" w:space="0" w:color="000000"/>
            </w:tcBorders>
            <w:shd w:val="clear" w:color="auto" w:fill="D2D2D2"/>
          </w:tcPr>
          <w:p>
            <w:pPr>
              <w:pStyle w:val="TableParagraph"/>
              <w:spacing w:line="316" w:lineRule="auto" w:before="11"/>
              <w:ind w:left="74" w:right="72"/>
              <w:jc w:val="both"/>
              <w:rPr>
                <w:rFonts w:ascii="宋体" w:hAnsi="宋体" w:cs="宋体" w:eastAsia="宋体" w:hint="default"/>
                <w:sz w:val="18"/>
                <w:szCs w:val="18"/>
              </w:rPr>
            </w:pPr>
            <w:r>
              <w:rPr>
                <w:rFonts w:ascii="宋体" w:hAnsi="宋体" w:cs="宋体" w:eastAsia="宋体" w:hint="default"/>
                <w:sz w:val="18"/>
                <w:szCs w:val="18"/>
              </w:rPr>
              <w:t>是否存在 非经营性 资金占用</w:t>
            </w:r>
          </w:p>
        </w:tc>
        <w:tc>
          <w:tcPr>
            <w:tcW w:w="978" w:type="dxa"/>
            <w:tcBorders>
              <w:top w:val="single" w:sz="4" w:space="0" w:color="000000"/>
              <w:left w:val="single" w:sz="5"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期初余额</w:t>
            </w:r>
          </w:p>
          <w:p>
            <w:pPr>
              <w:pStyle w:val="TableParagraph"/>
              <w:spacing w:line="240" w:lineRule="auto" w:before="76"/>
              <w:ind w:left="122"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98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35" w:right="34"/>
              <w:jc w:val="left"/>
              <w:rPr>
                <w:rFonts w:ascii="宋体" w:hAnsi="宋体" w:cs="宋体" w:eastAsia="宋体" w:hint="default"/>
                <w:sz w:val="18"/>
                <w:szCs w:val="18"/>
              </w:rPr>
            </w:pPr>
            <w:r>
              <w:rPr>
                <w:rFonts w:ascii="宋体" w:hAnsi="宋体" w:cs="宋体" w:eastAsia="宋体" w:hint="default"/>
                <w:sz w:val="18"/>
                <w:szCs w:val="18"/>
              </w:rPr>
              <w:t>本期新增金 额（万元）</w:t>
            </w:r>
          </w:p>
        </w:tc>
        <w:tc>
          <w:tcPr>
            <w:tcW w:w="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38" w:right="35"/>
              <w:jc w:val="left"/>
              <w:rPr>
                <w:rFonts w:ascii="宋体" w:hAnsi="宋体" w:cs="宋体" w:eastAsia="宋体" w:hint="default"/>
                <w:sz w:val="18"/>
                <w:szCs w:val="18"/>
              </w:rPr>
            </w:pPr>
            <w:r>
              <w:rPr>
                <w:rFonts w:ascii="宋体" w:hAnsi="宋体" w:cs="宋体" w:eastAsia="宋体" w:hint="default"/>
                <w:sz w:val="18"/>
                <w:szCs w:val="18"/>
              </w:rPr>
              <w:t>本期收回金 额（万元）</w:t>
            </w:r>
          </w:p>
        </w:tc>
        <w:tc>
          <w:tcPr>
            <w:tcW w:w="9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288" w:right="0"/>
              <w:jc w:val="left"/>
              <w:rPr>
                <w:rFonts w:ascii="宋体" w:hAnsi="宋体" w:cs="宋体" w:eastAsia="宋体" w:hint="default"/>
                <w:sz w:val="18"/>
                <w:szCs w:val="18"/>
              </w:rPr>
            </w:pPr>
            <w:r>
              <w:rPr>
                <w:rFonts w:ascii="宋体" w:hAnsi="宋体" w:cs="宋体" w:eastAsia="宋体" w:hint="default"/>
                <w:sz w:val="18"/>
                <w:szCs w:val="18"/>
              </w:rPr>
              <w:t>利率</w:t>
            </w:r>
          </w:p>
        </w:tc>
        <w:tc>
          <w:tcPr>
            <w:tcW w:w="9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本期利息</w:t>
            </w:r>
          </w:p>
          <w:p>
            <w:pPr>
              <w:pStyle w:val="TableParagraph"/>
              <w:spacing w:line="240" w:lineRule="auto" w:before="76"/>
              <w:ind w:left="100" w:right="0"/>
              <w:jc w:val="left"/>
              <w:rPr>
                <w:rFonts w:ascii="宋体" w:hAnsi="宋体" w:cs="宋体" w:eastAsia="宋体" w:hint="default"/>
                <w:sz w:val="18"/>
                <w:szCs w:val="18"/>
              </w:rPr>
            </w:pPr>
            <w:r>
              <w:rPr>
                <w:rFonts w:ascii="宋体" w:hAnsi="宋体" w:cs="宋体" w:eastAsia="宋体" w:hint="default"/>
                <w:sz w:val="18"/>
                <w:szCs w:val="18"/>
              </w:rPr>
              <w:t>（万元）</w:t>
            </w:r>
          </w:p>
        </w:tc>
        <w:tc>
          <w:tcPr>
            <w:tcW w:w="9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期末余额</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（万元）</w:t>
            </w:r>
          </w:p>
        </w:tc>
      </w:tr>
      <w:tr>
        <w:trPr>
          <w:trHeight w:val="317" w:hRule="exact"/>
        </w:trPr>
        <w:tc>
          <w:tcPr>
            <w:tcW w:w="98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北京中天嘉</w:t>
            </w:r>
          </w:p>
        </w:tc>
        <w:tc>
          <w:tcPr>
            <w:tcW w:w="1109"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c>
          <w:tcPr>
            <w:tcW w:w="880" w:type="dxa"/>
            <w:tcBorders>
              <w:top w:val="single" w:sz="4" w:space="0" w:color="000000"/>
              <w:left w:val="single" w:sz="4" w:space="0" w:color="000000"/>
              <w:bottom w:val="nil" w:sz="6" w:space="0" w:color="auto"/>
              <w:right w:val="single" w:sz="5" w:space="0" w:color="000000"/>
            </w:tcBorders>
          </w:tcPr>
          <w:p>
            <w:pPr/>
          </w:p>
        </w:tc>
        <w:tc>
          <w:tcPr>
            <w:tcW w:w="978" w:type="dxa"/>
            <w:tcBorders>
              <w:top w:val="single" w:sz="4" w:space="0" w:color="000000"/>
              <w:left w:val="single" w:sz="5" w:space="0" w:color="000000"/>
              <w:bottom w:val="nil" w:sz="6" w:space="0" w:color="auto"/>
              <w:right w:val="single" w:sz="4" w:space="0" w:color="000000"/>
            </w:tcBorders>
          </w:tcPr>
          <w:p>
            <w:pPr/>
          </w:p>
        </w:tc>
        <w:tc>
          <w:tcPr>
            <w:tcW w:w="982" w:type="dxa"/>
            <w:tcBorders>
              <w:top w:val="single" w:sz="4" w:space="0" w:color="000000"/>
              <w:left w:val="single" w:sz="4" w:space="0" w:color="000000"/>
              <w:bottom w:val="nil" w:sz="6" w:space="0" w:color="auto"/>
              <w:right w:val="single" w:sz="4" w:space="0" w:color="000000"/>
            </w:tcBorders>
          </w:tcPr>
          <w:p>
            <w:pPr/>
          </w:p>
        </w:tc>
        <w:tc>
          <w:tcPr>
            <w:tcW w:w="984" w:type="dxa"/>
            <w:tcBorders>
              <w:top w:val="single" w:sz="4" w:space="0" w:color="000000"/>
              <w:left w:val="single" w:sz="4" w:space="0" w:color="000000"/>
              <w:bottom w:val="nil" w:sz="6" w:space="0" w:color="auto"/>
              <w:right w:val="single" w:sz="4" w:space="0" w:color="000000"/>
            </w:tcBorders>
          </w:tcPr>
          <w:p>
            <w:pPr/>
          </w:p>
        </w:tc>
        <w:tc>
          <w:tcPr>
            <w:tcW w:w="943" w:type="dxa"/>
            <w:tcBorders>
              <w:top w:val="single" w:sz="4" w:space="0" w:color="000000"/>
              <w:left w:val="single" w:sz="4" w:space="0" w:color="000000"/>
              <w:bottom w:val="nil" w:sz="6" w:space="0" w:color="auto"/>
              <w:right w:val="single" w:sz="4" w:space="0" w:color="000000"/>
            </w:tcBorders>
          </w:tcPr>
          <w:p>
            <w:pPr/>
          </w:p>
        </w:tc>
        <w:tc>
          <w:tcPr>
            <w:tcW w:w="929" w:type="dxa"/>
            <w:tcBorders>
              <w:top w:val="single" w:sz="4" w:space="0" w:color="000000"/>
              <w:left w:val="single" w:sz="4" w:space="0" w:color="000000"/>
              <w:bottom w:val="nil" w:sz="6" w:space="0" w:color="auto"/>
              <w:right w:val="single" w:sz="4" w:space="0" w:color="000000"/>
            </w:tcBorders>
          </w:tcPr>
          <w:p>
            <w:pPr/>
          </w:p>
        </w:tc>
        <w:tc>
          <w:tcPr>
            <w:tcW w:w="931"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98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华通信技术</w:t>
            </w:r>
          </w:p>
        </w:tc>
        <w:tc>
          <w:tcPr>
            <w:tcW w:w="1109"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880" w:type="dxa"/>
            <w:tcBorders>
              <w:top w:val="nil" w:sz="6" w:space="0" w:color="auto"/>
              <w:left w:val="single" w:sz="4" w:space="0" w:color="000000"/>
              <w:bottom w:val="nil" w:sz="6" w:space="0" w:color="auto"/>
              <w:right w:val="single" w:sz="5" w:space="0" w:color="000000"/>
            </w:tcBorders>
          </w:tcPr>
          <w:p>
            <w:pPr>
              <w:pStyle w:val="TableParagraph"/>
              <w:spacing w:line="240" w:lineRule="auto" w:before="10"/>
              <w:ind w:left="345"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78" w:type="dxa"/>
            <w:tcBorders>
              <w:top w:val="nil" w:sz="6" w:space="0" w:color="auto"/>
              <w:left w:val="single" w:sz="5" w:space="0" w:color="000000"/>
              <w:bottom w:val="nil" w:sz="6" w:space="0" w:color="auto"/>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pacing w:val="-1"/>
                <w:sz w:val="18"/>
              </w:rPr>
              <w:t>1,138.27</w:t>
            </w:r>
          </w:p>
        </w:tc>
        <w:tc>
          <w:tcPr>
            <w:tcW w:w="98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8"/>
              <w:jc w:val="right"/>
              <w:rPr>
                <w:rFonts w:ascii="宋体" w:hAnsi="宋体" w:cs="宋体" w:eastAsia="宋体" w:hint="default"/>
                <w:sz w:val="18"/>
                <w:szCs w:val="18"/>
              </w:rPr>
            </w:pPr>
            <w:r>
              <w:rPr>
                <w:rFonts w:ascii="宋体"/>
                <w:sz w:val="18"/>
              </w:rPr>
              <w:t>--</w:t>
            </w:r>
          </w:p>
        </w:tc>
        <w:tc>
          <w:tcPr>
            <w:tcW w:w="98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pacing w:val="-1"/>
                <w:sz w:val="18"/>
              </w:rPr>
              <w:t>1,138.27</w:t>
            </w:r>
          </w:p>
        </w:tc>
        <w:tc>
          <w:tcPr>
            <w:tcW w:w="94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8"/>
              <w:jc w:val="right"/>
              <w:rPr>
                <w:rFonts w:ascii="宋体" w:hAnsi="宋体" w:cs="宋体" w:eastAsia="宋体" w:hint="default"/>
                <w:sz w:val="18"/>
                <w:szCs w:val="18"/>
              </w:rPr>
            </w:pPr>
            <w:r>
              <w:rPr>
                <w:rFonts w:ascii="宋体"/>
                <w:sz w:val="18"/>
              </w:rPr>
              <w:t>--</w:t>
            </w:r>
          </w:p>
        </w:tc>
        <w:tc>
          <w:tcPr>
            <w:tcW w:w="92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8"/>
              <w:jc w:val="right"/>
              <w:rPr>
                <w:rFonts w:ascii="宋体" w:hAnsi="宋体" w:cs="宋体" w:eastAsia="宋体" w:hint="default"/>
                <w:sz w:val="18"/>
                <w:szCs w:val="18"/>
              </w:rPr>
            </w:pPr>
            <w:r>
              <w:rPr>
                <w:rFonts w:ascii="宋体"/>
                <w:sz w:val="18"/>
              </w:rPr>
              <w:t>--</w:t>
            </w:r>
          </w:p>
        </w:tc>
        <w:tc>
          <w:tcPr>
            <w:tcW w:w="93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20"/>
              <w:jc w:val="right"/>
              <w:rPr>
                <w:rFonts w:ascii="宋体" w:hAnsi="宋体" w:cs="宋体" w:eastAsia="宋体" w:hint="default"/>
                <w:sz w:val="18"/>
                <w:szCs w:val="18"/>
              </w:rPr>
            </w:pPr>
            <w:r>
              <w:rPr>
                <w:rFonts w:ascii="宋体"/>
                <w:sz w:val="18"/>
              </w:rPr>
              <w:t>0</w:t>
            </w:r>
          </w:p>
        </w:tc>
      </w:tr>
      <w:tr>
        <w:trPr>
          <w:trHeight w:val="317" w:hRule="exact"/>
        </w:trPr>
        <w:tc>
          <w:tcPr>
            <w:tcW w:w="98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109"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880" w:type="dxa"/>
            <w:tcBorders>
              <w:top w:val="nil" w:sz="6" w:space="0" w:color="auto"/>
              <w:left w:val="single" w:sz="4" w:space="0" w:color="000000"/>
              <w:bottom w:val="single" w:sz="4" w:space="0" w:color="000000"/>
              <w:right w:val="single" w:sz="5" w:space="0" w:color="000000"/>
            </w:tcBorders>
          </w:tcPr>
          <w:p>
            <w:pPr/>
          </w:p>
        </w:tc>
        <w:tc>
          <w:tcPr>
            <w:tcW w:w="978" w:type="dxa"/>
            <w:tcBorders>
              <w:top w:val="nil" w:sz="6" w:space="0" w:color="auto"/>
              <w:left w:val="single" w:sz="5" w:space="0" w:color="000000"/>
              <w:bottom w:val="single" w:sz="4" w:space="0" w:color="000000"/>
              <w:right w:val="single" w:sz="4" w:space="0" w:color="000000"/>
            </w:tcBorders>
          </w:tcPr>
          <w:p>
            <w:pPr/>
          </w:p>
        </w:tc>
        <w:tc>
          <w:tcPr>
            <w:tcW w:w="982" w:type="dxa"/>
            <w:tcBorders>
              <w:top w:val="nil" w:sz="6" w:space="0" w:color="auto"/>
              <w:left w:val="single" w:sz="4" w:space="0" w:color="000000"/>
              <w:bottom w:val="single" w:sz="4" w:space="0" w:color="000000"/>
              <w:right w:val="single" w:sz="4" w:space="0" w:color="000000"/>
            </w:tcBorders>
          </w:tcPr>
          <w:p>
            <w:pPr/>
          </w:p>
        </w:tc>
        <w:tc>
          <w:tcPr>
            <w:tcW w:w="984" w:type="dxa"/>
            <w:tcBorders>
              <w:top w:val="nil" w:sz="6" w:space="0" w:color="auto"/>
              <w:left w:val="single" w:sz="4" w:space="0" w:color="000000"/>
              <w:bottom w:val="single" w:sz="4" w:space="0" w:color="000000"/>
              <w:right w:val="single" w:sz="4" w:space="0" w:color="000000"/>
            </w:tcBorders>
          </w:tcPr>
          <w:p>
            <w:pPr/>
          </w:p>
        </w:tc>
        <w:tc>
          <w:tcPr>
            <w:tcW w:w="943" w:type="dxa"/>
            <w:tcBorders>
              <w:top w:val="nil" w:sz="6" w:space="0" w:color="auto"/>
              <w:left w:val="single" w:sz="4" w:space="0" w:color="000000"/>
              <w:bottom w:val="single" w:sz="4" w:space="0" w:color="000000"/>
              <w:right w:val="single" w:sz="4" w:space="0" w:color="000000"/>
            </w:tcBorders>
          </w:tcPr>
          <w:p>
            <w:pPr/>
          </w:p>
        </w:tc>
        <w:tc>
          <w:tcPr>
            <w:tcW w:w="929" w:type="dxa"/>
            <w:tcBorders>
              <w:top w:val="nil" w:sz="6" w:space="0" w:color="auto"/>
              <w:left w:val="single" w:sz="4" w:space="0" w:color="000000"/>
              <w:bottom w:val="single" w:sz="4" w:space="0" w:color="000000"/>
              <w:right w:val="single" w:sz="4" w:space="0" w:color="000000"/>
            </w:tcBorders>
          </w:tcPr>
          <w:p>
            <w:pPr/>
          </w:p>
        </w:tc>
        <w:tc>
          <w:tcPr>
            <w:tcW w:w="931" w:type="dxa"/>
            <w:tcBorders>
              <w:top w:val="nil" w:sz="6" w:space="0" w:color="auto"/>
              <w:left w:val="single" w:sz="4" w:space="0" w:color="000000"/>
              <w:bottom w:val="single" w:sz="4" w:space="0" w:color="000000"/>
              <w:right w:val="single" w:sz="4" w:space="0" w:color="000000"/>
            </w:tcBorders>
          </w:tcPr>
          <w:p>
            <w:pPr/>
          </w:p>
        </w:tc>
      </w:tr>
      <w:tr>
        <w:trPr>
          <w:trHeight w:val="317" w:hRule="exact"/>
        </w:trPr>
        <w:tc>
          <w:tcPr>
            <w:tcW w:w="98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北京东方般</w:t>
            </w:r>
          </w:p>
        </w:tc>
        <w:tc>
          <w:tcPr>
            <w:tcW w:w="1109"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880" w:type="dxa"/>
            <w:tcBorders>
              <w:top w:val="single" w:sz="4" w:space="0" w:color="000000"/>
              <w:left w:val="single" w:sz="4" w:space="0" w:color="000000"/>
              <w:bottom w:val="nil" w:sz="6" w:space="0" w:color="auto"/>
              <w:right w:val="single" w:sz="5" w:space="0" w:color="000000"/>
            </w:tcBorders>
          </w:tcPr>
          <w:p>
            <w:pPr/>
          </w:p>
        </w:tc>
        <w:tc>
          <w:tcPr>
            <w:tcW w:w="978" w:type="dxa"/>
            <w:tcBorders>
              <w:top w:val="single" w:sz="4" w:space="0" w:color="000000"/>
              <w:left w:val="single" w:sz="5" w:space="0" w:color="000000"/>
              <w:bottom w:val="nil" w:sz="6" w:space="0" w:color="auto"/>
              <w:right w:val="single" w:sz="4" w:space="0" w:color="000000"/>
            </w:tcBorders>
          </w:tcPr>
          <w:p>
            <w:pPr/>
          </w:p>
        </w:tc>
        <w:tc>
          <w:tcPr>
            <w:tcW w:w="982" w:type="dxa"/>
            <w:tcBorders>
              <w:top w:val="single" w:sz="4" w:space="0" w:color="000000"/>
              <w:left w:val="single" w:sz="4" w:space="0" w:color="000000"/>
              <w:bottom w:val="nil" w:sz="6" w:space="0" w:color="auto"/>
              <w:right w:val="single" w:sz="4" w:space="0" w:color="000000"/>
            </w:tcBorders>
          </w:tcPr>
          <w:p>
            <w:pPr/>
          </w:p>
        </w:tc>
        <w:tc>
          <w:tcPr>
            <w:tcW w:w="984" w:type="dxa"/>
            <w:tcBorders>
              <w:top w:val="single" w:sz="4" w:space="0" w:color="000000"/>
              <w:left w:val="single" w:sz="4" w:space="0" w:color="000000"/>
              <w:bottom w:val="nil" w:sz="6" w:space="0" w:color="auto"/>
              <w:right w:val="single" w:sz="4" w:space="0" w:color="000000"/>
            </w:tcBorders>
          </w:tcPr>
          <w:p>
            <w:pPr/>
          </w:p>
        </w:tc>
        <w:tc>
          <w:tcPr>
            <w:tcW w:w="943" w:type="dxa"/>
            <w:tcBorders>
              <w:top w:val="single" w:sz="4" w:space="0" w:color="000000"/>
              <w:left w:val="single" w:sz="4" w:space="0" w:color="000000"/>
              <w:bottom w:val="nil" w:sz="6" w:space="0" w:color="auto"/>
              <w:right w:val="single" w:sz="4" w:space="0" w:color="000000"/>
            </w:tcBorders>
          </w:tcPr>
          <w:p>
            <w:pPr/>
          </w:p>
        </w:tc>
        <w:tc>
          <w:tcPr>
            <w:tcW w:w="929" w:type="dxa"/>
            <w:tcBorders>
              <w:top w:val="single" w:sz="4" w:space="0" w:color="000000"/>
              <w:left w:val="single" w:sz="4" w:space="0" w:color="000000"/>
              <w:bottom w:val="nil" w:sz="6" w:space="0" w:color="auto"/>
              <w:right w:val="single" w:sz="4" w:space="0" w:color="000000"/>
            </w:tcBorders>
          </w:tcPr>
          <w:p>
            <w:pPr/>
          </w:p>
        </w:tc>
        <w:tc>
          <w:tcPr>
            <w:tcW w:w="931" w:type="dxa"/>
            <w:tcBorders>
              <w:top w:val="single" w:sz="4" w:space="0" w:color="000000"/>
              <w:left w:val="single" w:sz="4" w:space="0" w:color="000000"/>
              <w:bottom w:val="nil" w:sz="6" w:space="0" w:color="auto"/>
              <w:right w:val="single" w:sz="4" w:space="0" w:color="000000"/>
            </w:tcBorders>
          </w:tcPr>
          <w:p>
            <w:pPr/>
          </w:p>
        </w:tc>
      </w:tr>
      <w:tr>
        <w:trPr>
          <w:trHeight w:val="319" w:hRule="exact"/>
        </w:trPr>
        <w:tc>
          <w:tcPr>
            <w:tcW w:w="98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若科技发展</w:t>
            </w:r>
          </w:p>
        </w:tc>
        <w:tc>
          <w:tcPr>
            <w:tcW w:w="1109"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15"/>
              <w:ind w:left="23" w:right="0"/>
              <w:jc w:val="left"/>
              <w:rPr>
                <w:rFonts w:ascii="宋体" w:hAnsi="宋体" w:cs="宋体" w:eastAsia="宋体" w:hint="default"/>
                <w:sz w:val="18"/>
                <w:szCs w:val="18"/>
              </w:rPr>
            </w:pPr>
            <w:r>
              <w:rPr>
                <w:rFonts w:ascii="宋体" w:hAnsi="宋体" w:cs="宋体" w:eastAsia="宋体" w:hint="default"/>
                <w:sz w:val="18"/>
                <w:szCs w:val="18"/>
              </w:rPr>
              <w:t>股权收购</w:t>
            </w:r>
          </w:p>
        </w:tc>
        <w:tc>
          <w:tcPr>
            <w:tcW w:w="880" w:type="dxa"/>
            <w:tcBorders>
              <w:top w:val="nil" w:sz="6" w:space="0" w:color="auto"/>
              <w:left w:val="single" w:sz="4" w:space="0" w:color="000000"/>
              <w:bottom w:val="nil" w:sz="6" w:space="0" w:color="auto"/>
              <w:right w:val="single" w:sz="5" w:space="0" w:color="000000"/>
            </w:tcBorders>
          </w:tcPr>
          <w:p>
            <w:pPr>
              <w:pStyle w:val="TableParagraph"/>
              <w:spacing w:line="240" w:lineRule="auto" w:before="10"/>
              <w:ind w:left="345"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78" w:type="dxa"/>
            <w:tcBorders>
              <w:top w:val="nil" w:sz="6" w:space="0" w:color="auto"/>
              <w:left w:val="single" w:sz="5" w:space="0" w:color="000000"/>
              <w:bottom w:val="nil" w:sz="6" w:space="0" w:color="auto"/>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pacing w:val="-1"/>
                <w:sz w:val="18"/>
              </w:rPr>
              <w:t>150.55</w:t>
            </w:r>
            <w:r>
              <w:rPr>
                <w:rFonts w:ascii="宋体"/>
                <w:sz w:val="18"/>
              </w:rPr>
            </w:r>
          </w:p>
        </w:tc>
        <w:tc>
          <w:tcPr>
            <w:tcW w:w="98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z w:val="18"/>
              </w:rPr>
              <w:t>7.37</w:t>
            </w:r>
          </w:p>
        </w:tc>
        <w:tc>
          <w:tcPr>
            <w:tcW w:w="98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8"/>
              <w:jc w:val="right"/>
              <w:rPr>
                <w:rFonts w:ascii="宋体" w:hAnsi="宋体" w:cs="宋体" w:eastAsia="宋体" w:hint="default"/>
                <w:sz w:val="18"/>
                <w:szCs w:val="18"/>
              </w:rPr>
            </w:pPr>
            <w:r>
              <w:rPr>
                <w:rFonts w:ascii="宋体"/>
                <w:spacing w:val="-1"/>
                <w:sz w:val="18"/>
              </w:rPr>
              <w:t>150.55</w:t>
            </w:r>
          </w:p>
        </w:tc>
        <w:tc>
          <w:tcPr>
            <w:tcW w:w="94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8"/>
              <w:jc w:val="right"/>
              <w:rPr>
                <w:rFonts w:ascii="宋体" w:hAnsi="宋体" w:cs="宋体" w:eastAsia="宋体" w:hint="default"/>
                <w:sz w:val="18"/>
                <w:szCs w:val="18"/>
              </w:rPr>
            </w:pPr>
            <w:r>
              <w:rPr>
                <w:rFonts w:ascii="宋体"/>
                <w:sz w:val="18"/>
              </w:rPr>
              <w:t>--</w:t>
            </w:r>
          </w:p>
        </w:tc>
        <w:tc>
          <w:tcPr>
            <w:tcW w:w="92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8"/>
              <w:jc w:val="right"/>
              <w:rPr>
                <w:rFonts w:ascii="宋体" w:hAnsi="宋体" w:cs="宋体" w:eastAsia="宋体" w:hint="default"/>
                <w:sz w:val="18"/>
                <w:szCs w:val="18"/>
              </w:rPr>
            </w:pPr>
            <w:r>
              <w:rPr>
                <w:rFonts w:ascii="宋体"/>
                <w:sz w:val="18"/>
              </w:rPr>
              <w:t>--</w:t>
            </w:r>
          </w:p>
        </w:tc>
        <w:tc>
          <w:tcPr>
            <w:tcW w:w="93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8"/>
              <w:jc w:val="right"/>
              <w:rPr>
                <w:rFonts w:ascii="宋体" w:hAnsi="宋体" w:cs="宋体" w:eastAsia="宋体" w:hint="default"/>
                <w:sz w:val="18"/>
                <w:szCs w:val="18"/>
              </w:rPr>
            </w:pPr>
            <w:r>
              <w:rPr>
                <w:rFonts w:ascii="宋体"/>
                <w:sz w:val="18"/>
              </w:rPr>
              <w:t>7.37</w:t>
            </w:r>
          </w:p>
        </w:tc>
      </w:tr>
      <w:tr>
        <w:trPr>
          <w:trHeight w:val="309" w:hRule="exact"/>
        </w:trPr>
        <w:tc>
          <w:tcPr>
            <w:tcW w:w="98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3"/>
              <w:ind w:left="24"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109"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4" w:right="0"/>
              <w:jc w:val="left"/>
              <w:rPr>
                <w:rFonts w:ascii="宋体" w:hAnsi="宋体" w:cs="宋体" w:eastAsia="宋体" w:hint="default"/>
                <w:sz w:val="18"/>
                <w:szCs w:val="18"/>
              </w:rPr>
            </w:pPr>
            <w:r>
              <w:rPr>
                <w:rFonts w:ascii="宋体" w:hAnsi="宋体" w:cs="宋体" w:eastAsia="宋体" w:hint="default"/>
                <w:sz w:val="18"/>
                <w:szCs w:val="18"/>
              </w:rPr>
              <w:t>股东刘英魁</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3" w:right="0"/>
              <w:jc w:val="left"/>
              <w:rPr>
                <w:rFonts w:ascii="宋体" w:hAnsi="宋体" w:cs="宋体" w:eastAsia="宋体" w:hint="default"/>
                <w:sz w:val="18"/>
                <w:szCs w:val="18"/>
              </w:rPr>
            </w:pPr>
            <w:r>
              <w:rPr>
                <w:rFonts w:ascii="宋体" w:hAnsi="宋体" w:cs="宋体" w:eastAsia="宋体" w:hint="default"/>
                <w:sz w:val="18"/>
                <w:szCs w:val="18"/>
              </w:rPr>
              <w:t>前存量业</w:t>
            </w:r>
          </w:p>
        </w:tc>
        <w:tc>
          <w:tcPr>
            <w:tcW w:w="880" w:type="dxa"/>
            <w:tcBorders>
              <w:top w:val="nil" w:sz="6" w:space="0" w:color="auto"/>
              <w:left w:val="single" w:sz="4" w:space="0" w:color="000000"/>
              <w:bottom w:val="single" w:sz="4" w:space="0" w:color="000000"/>
              <w:right w:val="single" w:sz="5" w:space="0" w:color="000000"/>
            </w:tcBorders>
          </w:tcPr>
          <w:p>
            <w:pPr/>
          </w:p>
        </w:tc>
        <w:tc>
          <w:tcPr>
            <w:tcW w:w="978" w:type="dxa"/>
            <w:tcBorders>
              <w:top w:val="nil" w:sz="6" w:space="0" w:color="auto"/>
              <w:left w:val="single" w:sz="5" w:space="0" w:color="000000"/>
              <w:bottom w:val="single" w:sz="4" w:space="0" w:color="000000"/>
              <w:right w:val="single" w:sz="4" w:space="0" w:color="000000"/>
            </w:tcBorders>
          </w:tcPr>
          <w:p>
            <w:pPr/>
          </w:p>
        </w:tc>
        <w:tc>
          <w:tcPr>
            <w:tcW w:w="982" w:type="dxa"/>
            <w:tcBorders>
              <w:top w:val="nil" w:sz="6" w:space="0" w:color="auto"/>
              <w:left w:val="single" w:sz="4" w:space="0" w:color="000000"/>
              <w:bottom w:val="single" w:sz="4" w:space="0" w:color="000000"/>
              <w:right w:val="single" w:sz="4" w:space="0" w:color="000000"/>
            </w:tcBorders>
          </w:tcPr>
          <w:p>
            <w:pPr/>
          </w:p>
        </w:tc>
        <w:tc>
          <w:tcPr>
            <w:tcW w:w="984" w:type="dxa"/>
            <w:tcBorders>
              <w:top w:val="nil" w:sz="6" w:space="0" w:color="auto"/>
              <w:left w:val="single" w:sz="4" w:space="0" w:color="000000"/>
              <w:bottom w:val="single" w:sz="4" w:space="0" w:color="000000"/>
              <w:right w:val="single" w:sz="4" w:space="0" w:color="000000"/>
            </w:tcBorders>
          </w:tcPr>
          <w:p>
            <w:pPr/>
          </w:p>
        </w:tc>
        <w:tc>
          <w:tcPr>
            <w:tcW w:w="943" w:type="dxa"/>
            <w:tcBorders>
              <w:top w:val="nil" w:sz="6" w:space="0" w:color="auto"/>
              <w:left w:val="single" w:sz="4" w:space="0" w:color="000000"/>
              <w:bottom w:val="single" w:sz="4" w:space="0" w:color="000000"/>
              <w:right w:val="single" w:sz="4" w:space="0" w:color="000000"/>
            </w:tcBorders>
          </w:tcPr>
          <w:p>
            <w:pPr/>
          </w:p>
        </w:tc>
        <w:tc>
          <w:tcPr>
            <w:tcW w:w="929" w:type="dxa"/>
            <w:tcBorders>
              <w:top w:val="nil" w:sz="6" w:space="0" w:color="auto"/>
              <w:left w:val="single" w:sz="4" w:space="0" w:color="000000"/>
              <w:bottom w:val="single" w:sz="4" w:space="0" w:color="000000"/>
              <w:right w:val="single" w:sz="4" w:space="0" w:color="000000"/>
            </w:tcBorders>
          </w:tcPr>
          <w:p>
            <w:pPr/>
          </w:p>
        </w:tc>
        <w:tc>
          <w:tcPr>
            <w:tcW w:w="931" w:type="dxa"/>
            <w:tcBorders>
              <w:top w:val="nil" w:sz="6" w:space="0" w:color="auto"/>
              <w:left w:val="single" w:sz="4" w:space="0" w:color="000000"/>
              <w:bottom w:val="single" w:sz="4" w:space="0" w:color="000000"/>
              <w:right w:val="single" w:sz="4" w:space="0" w:color="000000"/>
            </w:tcBorders>
          </w:tcPr>
          <w:p>
            <w:pPr/>
          </w:p>
        </w:tc>
      </w:tr>
      <w:tr>
        <w:trPr>
          <w:trHeight w:val="317" w:hRule="exact"/>
        </w:trPr>
        <w:tc>
          <w:tcPr>
            <w:tcW w:w="98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北京中天嘉</w:t>
            </w:r>
          </w:p>
        </w:tc>
        <w:tc>
          <w:tcPr>
            <w:tcW w:w="110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控制的公司</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务</w:t>
            </w:r>
          </w:p>
        </w:tc>
        <w:tc>
          <w:tcPr>
            <w:tcW w:w="880" w:type="dxa"/>
            <w:tcBorders>
              <w:top w:val="single" w:sz="4" w:space="0" w:color="000000"/>
              <w:left w:val="single" w:sz="4" w:space="0" w:color="000000"/>
              <w:bottom w:val="nil" w:sz="6" w:space="0" w:color="auto"/>
              <w:right w:val="single" w:sz="5" w:space="0" w:color="000000"/>
            </w:tcBorders>
          </w:tcPr>
          <w:p>
            <w:pPr/>
          </w:p>
        </w:tc>
        <w:tc>
          <w:tcPr>
            <w:tcW w:w="978" w:type="dxa"/>
            <w:tcBorders>
              <w:top w:val="single" w:sz="4" w:space="0" w:color="000000"/>
              <w:left w:val="single" w:sz="5" w:space="0" w:color="000000"/>
              <w:bottom w:val="nil" w:sz="6" w:space="0" w:color="auto"/>
              <w:right w:val="single" w:sz="4" w:space="0" w:color="000000"/>
            </w:tcBorders>
          </w:tcPr>
          <w:p>
            <w:pPr/>
          </w:p>
        </w:tc>
        <w:tc>
          <w:tcPr>
            <w:tcW w:w="982" w:type="dxa"/>
            <w:tcBorders>
              <w:top w:val="single" w:sz="4" w:space="0" w:color="000000"/>
              <w:left w:val="single" w:sz="4" w:space="0" w:color="000000"/>
              <w:bottom w:val="nil" w:sz="6" w:space="0" w:color="auto"/>
              <w:right w:val="single" w:sz="4" w:space="0" w:color="000000"/>
            </w:tcBorders>
          </w:tcPr>
          <w:p>
            <w:pPr/>
          </w:p>
        </w:tc>
        <w:tc>
          <w:tcPr>
            <w:tcW w:w="984" w:type="dxa"/>
            <w:tcBorders>
              <w:top w:val="single" w:sz="4" w:space="0" w:color="000000"/>
              <w:left w:val="single" w:sz="4" w:space="0" w:color="000000"/>
              <w:bottom w:val="nil" w:sz="6" w:space="0" w:color="auto"/>
              <w:right w:val="single" w:sz="4" w:space="0" w:color="000000"/>
            </w:tcBorders>
          </w:tcPr>
          <w:p>
            <w:pPr/>
          </w:p>
        </w:tc>
        <w:tc>
          <w:tcPr>
            <w:tcW w:w="943" w:type="dxa"/>
            <w:tcBorders>
              <w:top w:val="single" w:sz="4" w:space="0" w:color="000000"/>
              <w:left w:val="single" w:sz="4" w:space="0" w:color="000000"/>
              <w:bottom w:val="nil" w:sz="6" w:space="0" w:color="auto"/>
              <w:right w:val="single" w:sz="4" w:space="0" w:color="000000"/>
            </w:tcBorders>
          </w:tcPr>
          <w:p>
            <w:pPr/>
          </w:p>
        </w:tc>
        <w:tc>
          <w:tcPr>
            <w:tcW w:w="929" w:type="dxa"/>
            <w:tcBorders>
              <w:top w:val="single" w:sz="4" w:space="0" w:color="000000"/>
              <w:left w:val="single" w:sz="4" w:space="0" w:color="000000"/>
              <w:bottom w:val="nil" w:sz="6" w:space="0" w:color="auto"/>
              <w:right w:val="single" w:sz="4" w:space="0" w:color="000000"/>
            </w:tcBorders>
          </w:tcPr>
          <w:p>
            <w:pPr/>
          </w:p>
        </w:tc>
        <w:tc>
          <w:tcPr>
            <w:tcW w:w="931"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98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华管理咨询</w:t>
            </w:r>
          </w:p>
        </w:tc>
        <w:tc>
          <w:tcPr>
            <w:tcW w:w="1109"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880" w:type="dxa"/>
            <w:tcBorders>
              <w:top w:val="nil" w:sz="6" w:space="0" w:color="auto"/>
              <w:left w:val="single" w:sz="4" w:space="0" w:color="000000"/>
              <w:bottom w:val="nil" w:sz="6" w:space="0" w:color="auto"/>
              <w:right w:val="single" w:sz="5" w:space="0" w:color="000000"/>
            </w:tcBorders>
          </w:tcPr>
          <w:p>
            <w:pPr>
              <w:pStyle w:val="TableParagraph"/>
              <w:spacing w:line="240" w:lineRule="auto" w:before="10"/>
              <w:ind w:left="345" w:right="0"/>
              <w:jc w:val="left"/>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sz w:val="18"/>
                <w:szCs w:val="18"/>
              </w:rPr>
              <w:t> </w:t>
            </w:r>
          </w:p>
        </w:tc>
        <w:tc>
          <w:tcPr>
            <w:tcW w:w="978" w:type="dxa"/>
            <w:tcBorders>
              <w:top w:val="nil" w:sz="6" w:space="0" w:color="auto"/>
              <w:left w:val="single" w:sz="5" w:space="0" w:color="000000"/>
              <w:bottom w:val="nil" w:sz="6" w:space="0" w:color="auto"/>
              <w:right w:val="single" w:sz="4" w:space="0" w:color="000000"/>
            </w:tcBorders>
          </w:tcPr>
          <w:p>
            <w:pPr>
              <w:pStyle w:val="TableParagraph"/>
              <w:spacing w:line="240" w:lineRule="auto" w:before="10"/>
              <w:ind w:right="18"/>
              <w:jc w:val="right"/>
              <w:rPr>
                <w:rFonts w:ascii="宋体" w:hAnsi="宋体" w:cs="宋体" w:eastAsia="宋体" w:hint="default"/>
                <w:sz w:val="18"/>
                <w:szCs w:val="18"/>
              </w:rPr>
            </w:pPr>
            <w:r>
              <w:rPr>
                <w:rFonts w:ascii="宋体"/>
                <w:sz w:val="18"/>
              </w:rPr>
              <w:t>--</w:t>
            </w:r>
          </w:p>
        </w:tc>
        <w:tc>
          <w:tcPr>
            <w:tcW w:w="98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z w:val="18"/>
              </w:rPr>
              <w:t>35.98</w:t>
            </w:r>
          </w:p>
        </w:tc>
        <w:tc>
          <w:tcPr>
            <w:tcW w:w="98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8"/>
              <w:jc w:val="right"/>
              <w:rPr>
                <w:rFonts w:ascii="宋体" w:hAnsi="宋体" w:cs="宋体" w:eastAsia="宋体" w:hint="default"/>
                <w:sz w:val="18"/>
                <w:szCs w:val="18"/>
              </w:rPr>
            </w:pPr>
            <w:r>
              <w:rPr>
                <w:rFonts w:ascii="宋体"/>
                <w:sz w:val="18"/>
              </w:rPr>
              <w:t>--</w:t>
            </w:r>
          </w:p>
        </w:tc>
        <w:tc>
          <w:tcPr>
            <w:tcW w:w="94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8"/>
              <w:jc w:val="right"/>
              <w:rPr>
                <w:rFonts w:ascii="宋体" w:hAnsi="宋体" w:cs="宋体" w:eastAsia="宋体" w:hint="default"/>
                <w:sz w:val="18"/>
                <w:szCs w:val="18"/>
              </w:rPr>
            </w:pPr>
            <w:r>
              <w:rPr>
                <w:rFonts w:ascii="宋体"/>
                <w:sz w:val="18"/>
              </w:rPr>
              <w:t>--</w:t>
            </w:r>
          </w:p>
        </w:tc>
        <w:tc>
          <w:tcPr>
            <w:tcW w:w="92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8"/>
              <w:jc w:val="right"/>
              <w:rPr>
                <w:rFonts w:ascii="宋体" w:hAnsi="宋体" w:cs="宋体" w:eastAsia="宋体" w:hint="default"/>
                <w:sz w:val="18"/>
                <w:szCs w:val="18"/>
              </w:rPr>
            </w:pPr>
            <w:r>
              <w:rPr>
                <w:rFonts w:ascii="宋体"/>
                <w:sz w:val="18"/>
              </w:rPr>
              <w:t>--</w:t>
            </w:r>
          </w:p>
        </w:tc>
        <w:tc>
          <w:tcPr>
            <w:tcW w:w="93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8"/>
              <w:jc w:val="right"/>
              <w:rPr>
                <w:rFonts w:ascii="宋体" w:hAnsi="宋体" w:cs="宋体" w:eastAsia="宋体" w:hint="default"/>
                <w:sz w:val="18"/>
                <w:szCs w:val="18"/>
              </w:rPr>
            </w:pPr>
            <w:r>
              <w:rPr>
                <w:rFonts w:ascii="宋体"/>
                <w:sz w:val="18"/>
              </w:rPr>
              <w:t>35.98</w:t>
            </w:r>
          </w:p>
        </w:tc>
      </w:tr>
      <w:tr>
        <w:trPr>
          <w:trHeight w:val="317" w:hRule="exact"/>
        </w:trPr>
        <w:tc>
          <w:tcPr>
            <w:tcW w:w="98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有限公司</w:t>
            </w:r>
            <w:r>
              <w:rPr>
                <w:rFonts w:ascii="宋体" w:hAnsi="宋体" w:cs="宋体" w:eastAsia="宋体" w:hint="default"/>
                <w:sz w:val="18"/>
                <w:szCs w:val="18"/>
              </w:rPr>
              <w:t> </w:t>
            </w:r>
          </w:p>
        </w:tc>
        <w:tc>
          <w:tcPr>
            <w:tcW w:w="1109"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880" w:type="dxa"/>
            <w:tcBorders>
              <w:top w:val="nil" w:sz="6" w:space="0" w:color="auto"/>
              <w:left w:val="single" w:sz="4" w:space="0" w:color="000000"/>
              <w:bottom w:val="single" w:sz="4" w:space="0" w:color="000000"/>
              <w:right w:val="single" w:sz="5" w:space="0" w:color="000000"/>
            </w:tcBorders>
          </w:tcPr>
          <w:p>
            <w:pPr/>
          </w:p>
        </w:tc>
        <w:tc>
          <w:tcPr>
            <w:tcW w:w="978" w:type="dxa"/>
            <w:tcBorders>
              <w:top w:val="nil" w:sz="6" w:space="0" w:color="auto"/>
              <w:left w:val="single" w:sz="5" w:space="0" w:color="000000"/>
              <w:bottom w:val="single" w:sz="4" w:space="0" w:color="000000"/>
              <w:right w:val="single" w:sz="4" w:space="0" w:color="000000"/>
            </w:tcBorders>
          </w:tcPr>
          <w:p>
            <w:pPr/>
          </w:p>
        </w:tc>
        <w:tc>
          <w:tcPr>
            <w:tcW w:w="982" w:type="dxa"/>
            <w:tcBorders>
              <w:top w:val="nil" w:sz="6" w:space="0" w:color="auto"/>
              <w:left w:val="single" w:sz="4" w:space="0" w:color="000000"/>
              <w:bottom w:val="single" w:sz="4" w:space="0" w:color="000000"/>
              <w:right w:val="single" w:sz="4" w:space="0" w:color="000000"/>
            </w:tcBorders>
          </w:tcPr>
          <w:p>
            <w:pPr/>
          </w:p>
        </w:tc>
        <w:tc>
          <w:tcPr>
            <w:tcW w:w="984" w:type="dxa"/>
            <w:tcBorders>
              <w:top w:val="nil" w:sz="6" w:space="0" w:color="auto"/>
              <w:left w:val="single" w:sz="4" w:space="0" w:color="000000"/>
              <w:bottom w:val="single" w:sz="4" w:space="0" w:color="000000"/>
              <w:right w:val="single" w:sz="4" w:space="0" w:color="000000"/>
            </w:tcBorders>
          </w:tcPr>
          <w:p>
            <w:pPr/>
          </w:p>
        </w:tc>
        <w:tc>
          <w:tcPr>
            <w:tcW w:w="943" w:type="dxa"/>
            <w:tcBorders>
              <w:top w:val="nil" w:sz="6" w:space="0" w:color="auto"/>
              <w:left w:val="single" w:sz="4" w:space="0" w:color="000000"/>
              <w:bottom w:val="single" w:sz="4" w:space="0" w:color="000000"/>
              <w:right w:val="single" w:sz="4" w:space="0" w:color="000000"/>
            </w:tcBorders>
          </w:tcPr>
          <w:p>
            <w:pPr/>
          </w:p>
        </w:tc>
        <w:tc>
          <w:tcPr>
            <w:tcW w:w="929" w:type="dxa"/>
            <w:tcBorders>
              <w:top w:val="nil" w:sz="6" w:space="0" w:color="auto"/>
              <w:left w:val="single" w:sz="4" w:space="0" w:color="000000"/>
              <w:bottom w:val="single" w:sz="4" w:space="0" w:color="000000"/>
              <w:right w:val="single" w:sz="4" w:space="0" w:color="000000"/>
            </w:tcBorders>
          </w:tcPr>
          <w:p>
            <w:pPr/>
          </w:p>
        </w:tc>
        <w:tc>
          <w:tcPr>
            <w:tcW w:w="931" w:type="dxa"/>
            <w:tcBorders>
              <w:top w:val="nil" w:sz="6" w:space="0" w:color="auto"/>
              <w:left w:val="single" w:sz="4" w:space="0" w:color="000000"/>
              <w:bottom w:val="single" w:sz="4" w:space="0" w:color="000000"/>
              <w:right w:val="single" w:sz="4" w:space="0" w:color="000000"/>
            </w:tcBorders>
          </w:tcPr>
          <w:p>
            <w:pPr/>
          </w:p>
        </w:tc>
      </w:tr>
      <w:tr>
        <w:trPr>
          <w:trHeight w:val="318" w:hRule="exact"/>
        </w:trPr>
        <w:tc>
          <w:tcPr>
            <w:tcW w:w="98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北京中天嘉</w:t>
            </w:r>
          </w:p>
        </w:tc>
        <w:tc>
          <w:tcPr>
            <w:tcW w:w="1109"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880" w:type="dxa"/>
            <w:tcBorders>
              <w:top w:val="single" w:sz="4" w:space="0" w:color="000000"/>
              <w:left w:val="single" w:sz="4" w:space="0" w:color="000000"/>
              <w:bottom w:val="nil" w:sz="6" w:space="0" w:color="auto"/>
              <w:right w:val="single" w:sz="5" w:space="0" w:color="000000"/>
            </w:tcBorders>
          </w:tcPr>
          <w:p>
            <w:pPr/>
          </w:p>
        </w:tc>
        <w:tc>
          <w:tcPr>
            <w:tcW w:w="978" w:type="dxa"/>
            <w:tcBorders>
              <w:top w:val="single" w:sz="4" w:space="0" w:color="000000"/>
              <w:left w:val="single" w:sz="5" w:space="0" w:color="000000"/>
              <w:bottom w:val="nil" w:sz="6" w:space="0" w:color="auto"/>
              <w:right w:val="single" w:sz="4" w:space="0" w:color="000000"/>
            </w:tcBorders>
          </w:tcPr>
          <w:p>
            <w:pPr/>
          </w:p>
        </w:tc>
        <w:tc>
          <w:tcPr>
            <w:tcW w:w="982" w:type="dxa"/>
            <w:tcBorders>
              <w:top w:val="single" w:sz="4" w:space="0" w:color="000000"/>
              <w:left w:val="single" w:sz="4" w:space="0" w:color="000000"/>
              <w:bottom w:val="nil" w:sz="6" w:space="0" w:color="auto"/>
              <w:right w:val="single" w:sz="4" w:space="0" w:color="000000"/>
            </w:tcBorders>
          </w:tcPr>
          <w:p>
            <w:pPr/>
          </w:p>
        </w:tc>
        <w:tc>
          <w:tcPr>
            <w:tcW w:w="984" w:type="dxa"/>
            <w:tcBorders>
              <w:top w:val="single" w:sz="4" w:space="0" w:color="000000"/>
              <w:left w:val="single" w:sz="4" w:space="0" w:color="000000"/>
              <w:bottom w:val="nil" w:sz="6" w:space="0" w:color="auto"/>
              <w:right w:val="single" w:sz="4" w:space="0" w:color="000000"/>
            </w:tcBorders>
          </w:tcPr>
          <w:p>
            <w:pPr/>
          </w:p>
        </w:tc>
        <w:tc>
          <w:tcPr>
            <w:tcW w:w="943" w:type="dxa"/>
            <w:tcBorders>
              <w:top w:val="single" w:sz="4" w:space="0" w:color="000000"/>
              <w:left w:val="single" w:sz="4" w:space="0" w:color="000000"/>
              <w:bottom w:val="nil" w:sz="6" w:space="0" w:color="auto"/>
              <w:right w:val="single" w:sz="4" w:space="0" w:color="000000"/>
            </w:tcBorders>
          </w:tcPr>
          <w:p>
            <w:pPr/>
          </w:p>
        </w:tc>
        <w:tc>
          <w:tcPr>
            <w:tcW w:w="929" w:type="dxa"/>
            <w:tcBorders>
              <w:top w:val="single" w:sz="4" w:space="0" w:color="000000"/>
              <w:left w:val="single" w:sz="4" w:space="0" w:color="000000"/>
              <w:bottom w:val="nil" w:sz="6" w:space="0" w:color="auto"/>
              <w:right w:val="single" w:sz="4" w:space="0" w:color="000000"/>
            </w:tcBorders>
          </w:tcPr>
          <w:p>
            <w:pPr/>
          </w:p>
        </w:tc>
        <w:tc>
          <w:tcPr>
            <w:tcW w:w="931"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98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华保险代理</w:t>
            </w:r>
          </w:p>
        </w:tc>
        <w:tc>
          <w:tcPr>
            <w:tcW w:w="1109"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880" w:type="dxa"/>
            <w:tcBorders>
              <w:top w:val="nil" w:sz="6" w:space="0" w:color="auto"/>
              <w:left w:val="single" w:sz="4" w:space="0" w:color="000000"/>
              <w:bottom w:val="nil" w:sz="6" w:space="0" w:color="auto"/>
              <w:right w:val="single" w:sz="5" w:space="0" w:color="000000"/>
            </w:tcBorders>
          </w:tcPr>
          <w:p>
            <w:pPr>
              <w:pStyle w:val="TableParagraph"/>
              <w:spacing w:line="240" w:lineRule="auto" w:before="10"/>
              <w:ind w:left="345" w:right="0"/>
              <w:jc w:val="left"/>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sz w:val="18"/>
                <w:szCs w:val="18"/>
              </w:rPr>
              <w:t> </w:t>
            </w:r>
          </w:p>
        </w:tc>
        <w:tc>
          <w:tcPr>
            <w:tcW w:w="978" w:type="dxa"/>
            <w:tcBorders>
              <w:top w:val="nil" w:sz="6" w:space="0" w:color="auto"/>
              <w:left w:val="single" w:sz="5" w:space="0" w:color="000000"/>
              <w:bottom w:val="nil" w:sz="6" w:space="0" w:color="auto"/>
              <w:right w:val="single" w:sz="4" w:space="0" w:color="000000"/>
            </w:tcBorders>
          </w:tcPr>
          <w:p>
            <w:pPr>
              <w:pStyle w:val="TableParagraph"/>
              <w:spacing w:line="240" w:lineRule="auto" w:before="10"/>
              <w:ind w:right="18"/>
              <w:jc w:val="right"/>
              <w:rPr>
                <w:rFonts w:ascii="宋体" w:hAnsi="宋体" w:cs="宋体" w:eastAsia="宋体" w:hint="default"/>
                <w:sz w:val="18"/>
                <w:szCs w:val="18"/>
              </w:rPr>
            </w:pPr>
            <w:r>
              <w:rPr>
                <w:rFonts w:ascii="宋体"/>
                <w:sz w:val="18"/>
              </w:rPr>
              <w:t>16.04</w:t>
            </w:r>
          </w:p>
        </w:tc>
        <w:tc>
          <w:tcPr>
            <w:tcW w:w="98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z w:val="18"/>
              </w:rPr>
              <w:t>0.02</w:t>
            </w:r>
          </w:p>
        </w:tc>
        <w:tc>
          <w:tcPr>
            <w:tcW w:w="98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8"/>
              <w:jc w:val="right"/>
              <w:rPr>
                <w:rFonts w:ascii="宋体" w:hAnsi="宋体" w:cs="宋体" w:eastAsia="宋体" w:hint="default"/>
                <w:sz w:val="18"/>
                <w:szCs w:val="18"/>
              </w:rPr>
            </w:pPr>
            <w:r>
              <w:rPr>
                <w:rFonts w:ascii="宋体"/>
                <w:sz w:val="18"/>
              </w:rPr>
              <w:t>--</w:t>
            </w:r>
          </w:p>
        </w:tc>
        <w:tc>
          <w:tcPr>
            <w:tcW w:w="94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8"/>
              <w:jc w:val="right"/>
              <w:rPr>
                <w:rFonts w:ascii="宋体" w:hAnsi="宋体" w:cs="宋体" w:eastAsia="宋体" w:hint="default"/>
                <w:sz w:val="18"/>
                <w:szCs w:val="18"/>
              </w:rPr>
            </w:pPr>
            <w:r>
              <w:rPr>
                <w:rFonts w:ascii="宋体"/>
                <w:sz w:val="18"/>
              </w:rPr>
              <w:t>--</w:t>
            </w:r>
          </w:p>
        </w:tc>
        <w:tc>
          <w:tcPr>
            <w:tcW w:w="92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8"/>
              <w:jc w:val="right"/>
              <w:rPr>
                <w:rFonts w:ascii="宋体" w:hAnsi="宋体" w:cs="宋体" w:eastAsia="宋体" w:hint="default"/>
                <w:sz w:val="18"/>
                <w:szCs w:val="18"/>
              </w:rPr>
            </w:pPr>
            <w:r>
              <w:rPr>
                <w:rFonts w:ascii="宋体"/>
                <w:sz w:val="18"/>
              </w:rPr>
              <w:t>--</w:t>
            </w:r>
          </w:p>
        </w:tc>
        <w:tc>
          <w:tcPr>
            <w:tcW w:w="93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18"/>
              <w:jc w:val="right"/>
              <w:rPr>
                <w:rFonts w:ascii="宋体" w:hAnsi="宋体" w:cs="宋体" w:eastAsia="宋体" w:hint="default"/>
                <w:sz w:val="18"/>
                <w:szCs w:val="18"/>
              </w:rPr>
            </w:pPr>
            <w:r>
              <w:rPr>
                <w:rFonts w:ascii="宋体"/>
                <w:sz w:val="18"/>
              </w:rPr>
              <w:t>16.06</w:t>
            </w:r>
          </w:p>
        </w:tc>
      </w:tr>
      <w:tr>
        <w:trPr>
          <w:trHeight w:val="317" w:hRule="exact"/>
        </w:trPr>
        <w:tc>
          <w:tcPr>
            <w:tcW w:w="98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有限公司</w:t>
            </w:r>
            <w:r>
              <w:rPr>
                <w:rFonts w:ascii="宋体" w:hAnsi="宋体" w:cs="宋体" w:eastAsia="宋体" w:hint="default"/>
                <w:sz w:val="18"/>
                <w:szCs w:val="18"/>
              </w:rPr>
              <w:t> </w:t>
            </w:r>
          </w:p>
        </w:tc>
        <w:tc>
          <w:tcPr>
            <w:tcW w:w="1109"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880" w:type="dxa"/>
            <w:tcBorders>
              <w:top w:val="nil" w:sz="6" w:space="0" w:color="auto"/>
              <w:left w:val="single" w:sz="4" w:space="0" w:color="000000"/>
              <w:bottom w:val="single" w:sz="4" w:space="0" w:color="000000"/>
              <w:right w:val="single" w:sz="5" w:space="0" w:color="000000"/>
            </w:tcBorders>
          </w:tcPr>
          <w:p>
            <w:pPr/>
          </w:p>
        </w:tc>
        <w:tc>
          <w:tcPr>
            <w:tcW w:w="978" w:type="dxa"/>
            <w:tcBorders>
              <w:top w:val="nil" w:sz="6" w:space="0" w:color="auto"/>
              <w:left w:val="single" w:sz="5" w:space="0" w:color="000000"/>
              <w:bottom w:val="single" w:sz="4" w:space="0" w:color="000000"/>
              <w:right w:val="single" w:sz="4" w:space="0" w:color="000000"/>
            </w:tcBorders>
          </w:tcPr>
          <w:p>
            <w:pPr/>
          </w:p>
        </w:tc>
        <w:tc>
          <w:tcPr>
            <w:tcW w:w="982" w:type="dxa"/>
            <w:tcBorders>
              <w:top w:val="nil" w:sz="6" w:space="0" w:color="auto"/>
              <w:left w:val="single" w:sz="4" w:space="0" w:color="000000"/>
              <w:bottom w:val="single" w:sz="4" w:space="0" w:color="000000"/>
              <w:right w:val="single" w:sz="4" w:space="0" w:color="000000"/>
            </w:tcBorders>
          </w:tcPr>
          <w:p>
            <w:pPr/>
          </w:p>
        </w:tc>
        <w:tc>
          <w:tcPr>
            <w:tcW w:w="984" w:type="dxa"/>
            <w:tcBorders>
              <w:top w:val="nil" w:sz="6" w:space="0" w:color="auto"/>
              <w:left w:val="single" w:sz="4" w:space="0" w:color="000000"/>
              <w:bottom w:val="single" w:sz="4" w:space="0" w:color="000000"/>
              <w:right w:val="single" w:sz="4" w:space="0" w:color="000000"/>
            </w:tcBorders>
          </w:tcPr>
          <w:p>
            <w:pPr/>
          </w:p>
        </w:tc>
        <w:tc>
          <w:tcPr>
            <w:tcW w:w="943" w:type="dxa"/>
            <w:tcBorders>
              <w:top w:val="nil" w:sz="6" w:space="0" w:color="auto"/>
              <w:left w:val="single" w:sz="4" w:space="0" w:color="000000"/>
              <w:bottom w:val="single" w:sz="4" w:space="0" w:color="000000"/>
              <w:right w:val="single" w:sz="4" w:space="0" w:color="000000"/>
            </w:tcBorders>
          </w:tcPr>
          <w:p>
            <w:pPr/>
          </w:p>
        </w:tc>
        <w:tc>
          <w:tcPr>
            <w:tcW w:w="929" w:type="dxa"/>
            <w:tcBorders>
              <w:top w:val="nil" w:sz="6" w:space="0" w:color="auto"/>
              <w:left w:val="single" w:sz="4" w:space="0" w:color="000000"/>
              <w:bottom w:val="single" w:sz="4" w:space="0" w:color="000000"/>
              <w:right w:val="single" w:sz="4" w:space="0" w:color="000000"/>
            </w:tcBorders>
          </w:tcPr>
          <w:p>
            <w:pPr/>
          </w:p>
        </w:tc>
        <w:tc>
          <w:tcPr>
            <w:tcW w:w="931" w:type="dxa"/>
            <w:tcBorders>
              <w:top w:val="nil" w:sz="6" w:space="0" w:color="auto"/>
              <w:left w:val="single" w:sz="4" w:space="0" w:color="000000"/>
              <w:bottom w:val="single" w:sz="4" w:space="0" w:color="000000"/>
              <w:right w:val="single" w:sz="4" w:space="0" w:color="000000"/>
            </w:tcBorders>
          </w:tcPr>
          <w:p>
            <w:pPr/>
          </w:p>
        </w:tc>
      </w:tr>
      <w:tr>
        <w:trPr>
          <w:trHeight w:val="319" w:hRule="exact"/>
        </w:trPr>
        <w:tc>
          <w:tcPr>
            <w:tcW w:w="987" w:type="dxa"/>
            <w:tcBorders>
              <w:top w:val="single" w:sz="4" w:space="0" w:color="000000"/>
              <w:left w:val="single" w:sz="4" w:space="0" w:color="000000"/>
              <w:bottom w:val="nil" w:sz="6" w:space="0" w:color="auto"/>
              <w:right w:val="single" w:sz="4" w:space="0" w:color="000000"/>
            </w:tcBorders>
          </w:tcPr>
          <w:p>
            <w:pPr/>
          </w:p>
        </w:tc>
        <w:tc>
          <w:tcPr>
            <w:tcW w:w="110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3"/>
              <w:ind w:left="24" w:right="0"/>
              <w:jc w:val="left"/>
              <w:rPr>
                <w:rFonts w:ascii="宋体" w:hAnsi="宋体" w:cs="宋体" w:eastAsia="宋体" w:hint="default"/>
                <w:sz w:val="18"/>
                <w:szCs w:val="18"/>
              </w:rPr>
            </w:pPr>
            <w:r>
              <w:rPr>
                <w:rFonts w:ascii="宋体" w:hAnsi="宋体" w:cs="宋体" w:eastAsia="宋体" w:hint="default"/>
                <w:sz w:val="18"/>
                <w:szCs w:val="18"/>
              </w:rPr>
              <w:t>公司董事长</w:t>
            </w:r>
          </w:p>
        </w:tc>
        <w:tc>
          <w:tcPr>
            <w:tcW w:w="850" w:type="dxa"/>
            <w:tcBorders>
              <w:top w:val="single" w:sz="4" w:space="0" w:color="000000"/>
              <w:left w:val="single" w:sz="4" w:space="0" w:color="000000"/>
              <w:bottom w:val="nil" w:sz="6" w:space="0" w:color="auto"/>
              <w:right w:val="single" w:sz="4" w:space="0" w:color="000000"/>
            </w:tcBorders>
          </w:tcPr>
          <w:p>
            <w:pPr/>
          </w:p>
        </w:tc>
        <w:tc>
          <w:tcPr>
            <w:tcW w:w="880" w:type="dxa"/>
            <w:tcBorders>
              <w:top w:val="single" w:sz="4" w:space="0" w:color="000000"/>
              <w:left w:val="single" w:sz="4" w:space="0" w:color="000000"/>
              <w:bottom w:val="nil" w:sz="6" w:space="0" w:color="auto"/>
              <w:right w:val="single" w:sz="5" w:space="0" w:color="000000"/>
            </w:tcBorders>
          </w:tcPr>
          <w:p>
            <w:pPr/>
          </w:p>
        </w:tc>
        <w:tc>
          <w:tcPr>
            <w:tcW w:w="978" w:type="dxa"/>
            <w:tcBorders>
              <w:top w:val="single" w:sz="4" w:space="0" w:color="000000"/>
              <w:left w:val="single" w:sz="5" w:space="0" w:color="000000"/>
              <w:bottom w:val="nil" w:sz="6" w:space="0" w:color="auto"/>
              <w:right w:val="single" w:sz="4" w:space="0" w:color="000000"/>
            </w:tcBorders>
          </w:tcPr>
          <w:p>
            <w:pPr/>
          </w:p>
        </w:tc>
        <w:tc>
          <w:tcPr>
            <w:tcW w:w="982" w:type="dxa"/>
            <w:tcBorders>
              <w:top w:val="single" w:sz="4" w:space="0" w:color="000000"/>
              <w:left w:val="single" w:sz="4" w:space="0" w:color="000000"/>
              <w:bottom w:val="nil" w:sz="6" w:space="0" w:color="auto"/>
              <w:right w:val="single" w:sz="4" w:space="0" w:color="000000"/>
            </w:tcBorders>
          </w:tcPr>
          <w:p>
            <w:pPr/>
          </w:p>
        </w:tc>
        <w:tc>
          <w:tcPr>
            <w:tcW w:w="984" w:type="dxa"/>
            <w:tcBorders>
              <w:top w:val="single" w:sz="4" w:space="0" w:color="000000"/>
              <w:left w:val="single" w:sz="4" w:space="0" w:color="000000"/>
              <w:bottom w:val="nil" w:sz="6" w:space="0" w:color="auto"/>
              <w:right w:val="single" w:sz="4" w:space="0" w:color="000000"/>
            </w:tcBorders>
          </w:tcPr>
          <w:p>
            <w:pPr/>
          </w:p>
        </w:tc>
        <w:tc>
          <w:tcPr>
            <w:tcW w:w="943" w:type="dxa"/>
            <w:tcBorders>
              <w:top w:val="single" w:sz="4" w:space="0" w:color="000000"/>
              <w:left w:val="single" w:sz="4" w:space="0" w:color="000000"/>
              <w:bottom w:val="nil" w:sz="6" w:space="0" w:color="auto"/>
              <w:right w:val="single" w:sz="4" w:space="0" w:color="000000"/>
            </w:tcBorders>
          </w:tcPr>
          <w:p>
            <w:pPr/>
          </w:p>
        </w:tc>
        <w:tc>
          <w:tcPr>
            <w:tcW w:w="929" w:type="dxa"/>
            <w:tcBorders>
              <w:top w:val="single" w:sz="4" w:space="0" w:color="000000"/>
              <w:left w:val="single" w:sz="4" w:space="0" w:color="000000"/>
              <w:bottom w:val="nil" w:sz="6" w:space="0" w:color="auto"/>
              <w:right w:val="single" w:sz="4" w:space="0" w:color="000000"/>
            </w:tcBorders>
          </w:tcPr>
          <w:p>
            <w:pPr/>
          </w:p>
        </w:tc>
        <w:tc>
          <w:tcPr>
            <w:tcW w:w="931" w:type="dxa"/>
            <w:tcBorders>
              <w:top w:val="single" w:sz="4" w:space="0" w:color="000000"/>
              <w:left w:val="single" w:sz="4" w:space="0" w:color="000000"/>
              <w:bottom w:val="nil" w:sz="6" w:space="0" w:color="auto"/>
              <w:right w:val="single" w:sz="4" w:space="0" w:color="000000"/>
            </w:tcBorders>
          </w:tcPr>
          <w:p>
            <w:pPr/>
          </w:p>
        </w:tc>
      </w:tr>
      <w:tr>
        <w:trPr>
          <w:trHeight w:val="312" w:hRule="exact"/>
        </w:trPr>
        <w:tc>
          <w:tcPr>
            <w:tcW w:w="987" w:type="dxa"/>
            <w:tcBorders>
              <w:top w:val="nil" w:sz="6" w:space="0" w:color="auto"/>
              <w:left w:val="single" w:sz="4" w:space="0" w:color="000000"/>
              <w:bottom w:val="nil" w:sz="6" w:space="0" w:color="auto"/>
              <w:right w:val="single" w:sz="4" w:space="0" w:color="000000"/>
            </w:tcBorders>
          </w:tcPr>
          <w:p>
            <w:pPr/>
          </w:p>
        </w:tc>
        <w:tc>
          <w:tcPr>
            <w:tcW w:w="110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吴鹰是联动</w:t>
            </w:r>
          </w:p>
        </w:tc>
        <w:tc>
          <w:tcPr>
            <w:tcW w:w="850" w:type="dxa"/>
            <w:tcBorders>
              <w:top w:val="nil" w:sz="6" w:space="0" w:color="auto"/>
              <w:left w:val="single" w:sz="4" w:space="0" w:color="000000"/>
              <w:bottom w:val="nil" w:sz="6" w:space="0" w:color="auto"/>
              <w:right w:val="single" w:sz="4" w:space="0" w:color="000000"/>
            </w:tcBorders>
          </w:tcPr>
          <w:p>
            <w:pPr/>
          </w:p>
        </w:tc>
        <w:tc>
          <w:tcPr>
            <w:tcW w:w="880" w:type="dxa"/>
            <w:tcBorders>
              <w:top w:val="nil" w:sz="6" w:space="0" w:color="auto"/>
              <w:left w:val="single" w:sz="4" w:space="0" w:color="000000"/>
              <w:bottom w:val="nil" w:sz="6" w:space="0" w:color="auto"/>
              <w:right w:val="single" w:sz="5" w:space="0" w:color="000000"/>
            </w:tcBorders>
          </w:tcPr>
          <w:p>
            <w:pPr/>
          </w:p>
        </w:tc>
        <w:tc>
          <w:tcPr>
            <w:tcW w:w="978" w:type="dxa"/>
            <w:tcBorders>
              <w:top w:val="nil" w:sz="6" w:space="0" w:color="auto"/>
              <w:left w:val="single" w:sz="5" w:space="0" w:color="000000"/>
              <w:bottom w:val="nil" w:sz="6" w:space="0" w:color="auto"/>
              <w:right w:val="single" w:sz="4" w:space="0" w:color="000000"/>
            </w:tcBorders>
          </w:tcPr>
          <w:p>
            <w:pPr/>
          </w:p>
        </w:tc>
        <w:tc>
          <w:tcPr>
            <w:tcW w:w="982" w:type="dxa"/>
            <w:tcBorders>
              <w:top w:val="nil" w:sz="6" w:space="0" w:color="auto"/>
              <w:left w:val="single" w:sz="4" w:space="0" w:color="000000"/>
              <w:bottom w:val="nil" w:sz="6" w:space="0" w:color="auto"/>
              <w:right w:val="single" w:sz="4" w:space="0" w:color="000000"/>
            </w:tcBorders>
          </w:tcPr>
          <w:p>
            <w:pPr/>
          </w:p>
        </w:tc>
        <w:tc>
          <w:tcPr>
            <w:tcW w:w="984" w:type="dxa"/>
            <w:tcBorders>
              <w:top w:val="nil" w:sz="6" w:space="0" w:color="auto"/>
              <w:left w:val="single" w:sz="4" w:space="0" w:color="000000"/>
              <w:bottom w:val="nil" w:sz="6" w:space="0" w:color="auto"/>
              <w:right w:val="single" w:sz="4" w:space="0" w:color="000000"/>
            </w:tcBorders>
          </w:tcPr>
          <w:p>
            <w:pPr/>
          </w:p>
        </w:tc>
        <w:tc>
          <w:tcPr>
            <w:tcW w:w="943" w:type="dxa"/>
            <w:tcBorders>
              <w:top w:val="nil" w:sz="6" w:space="0" w:color="auto"/>
              <w:left w:val="single" w:sz="4" w:space="0" w:color="000000"/>
              <w:bottom w:val="nil" w:sz="6" w:space="0" w:color="auto"/>
              <w:right w:val="single" w:sz="4" w:space="0" w:color="000000"/>
            </w:tcBorders>
          </w:tcPr>
          <w:p>
            <w:pPr/>
          </w:p>
        </w:tc>
        <w:tc>
          <w:tcPr>
            <w:tcW w:w="929" w:type="dxa"/>
            <w:tcBorders>
              <w:top w:val="nil" w:sz="6" w:space="0" w:color="auto"/>
              <w:left w:val="single" w:sz="4" w:space="0" w:color="000000"/>
              <w:bottom w:val="nil" w:sz="6" w:space="0" w:color="auto"/>
              <w:right w:val="single" w:sz="4" w:space="0" w:color="000000"/>
            </w:tcBorders>
          </w:tcPr>
          <w:p>
            <w:pPr/>
          </w:p>
        </w:tc>
        <w:tc>
          <w:tcPr>
            <w:tcW w:w="931"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987" w:type="dxa"/>
            <w:tcBorders>
              <w:top w:val="nil" w:sz="6" w:space="0" w:color="auto"/>
              <w:left w:val="single" w:sz="4" w:space="0" w:color="000000"/>
              <w:bottom w:val="nil" w:sz="6" w:space="0" w:color="auto"/>
              <w:right w:val="single" w:sz="4" w:space="0" w:color="000000"/>
            </w:tcBorders>
          </w:tcPr>
          <w:p>
            <w:pPr/>
          </w:p>
        </w:tc>
        <w:tc>
          <w:tcPr>
            <w:tcW w:w="110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优势科技有</w:t>
            </w:r>
          </w:p>
        </w:tc>
        <w:tc>
          <w:tcPr>
            <w:tcW w:w="850" w:type="dxa"/>
            <w:tcBorders>
              <w:top w:val="nil" w:sz="6" w:space="0" w:color="auto"/>
              <w:left w:val="single" w:sz="4" w:space="0" w:color="000000"/>
              <w:bottom w:val="nil" w:sz="6" w:space="0" w:color="auto"/>
              <w:right w:val="single" w:sz="4" w:space="0" w:color="000000"/>
            </w:tcBorders>
          </w:tcPr>
          <w:p>
            <w:pPr/>
          </w:p>
        </w:tc>
        <w:tc>
          <w:tcPr>
            <w:tcW w:w="880" w:type="dxa"/>
            <w:tcBorders>
              <w:top w:val="nil" w:sz="6" w:space="0" w:color="auto"/>
              <w:left w:val="single" w:sz="4" w:space="0" w:color="000000"/>
              <w:bottom w:val="nil" w:sz="6" w:space="0" w:color="auto"/>
              <w:right w:val="single" w:sz="5" w:space="0" w:color="000000"/>
            </w:tcBorders>
          </w:tcPr>
          <w:p>
            <w:pPr/>
          </w:p>
        </w:tc>
        <w:tc>
          <w:tcPr>
            <w:tcW w:w="978" w:type="dxa"/>
            <w:tcBorders>
              <w:top w:val="nil" w:sz="6" w:space="0" w:color="auto"/>
              <w:left w:val="single" w:sz="5" w:space="0" w:color="000000"/>
              <w:bottom w:val="nil" w:sz="6" w:space="0" w:color="auto"/>
              <w:right w:val="single" w:sz="4" w:space="0" w:color="000000"/>
            </w:tcBorders>
          </w:tcPr>
          <w:p>
            <w:pPr/>
          </w:p>
        </w:tc>
        <w:tc>
          <w:tcPr>
            <w:tcW w:w="982" w:type="dxa"/>
            <w:tcBorders>
              <w:top w:val="nil" w:sz="6" w:space="0" w:color="auto"/>
              <w:left w:val="single" w:sz="4" w:space="0" w:color="000000"/>
              <w:bottom w:val="nil" w:sz="6" w:space="0" w:color="auto"/>
              <w:right w:val="single" w:sz="4" w:space="0" w:color="000000"/>
            </w:tcBorders>
          </w:tcPr>
          <w:p>
            <w:pPr/>
          </w:p>
        </w:tc>
        <w:tc>
          <w:tcPr>
            <w:tcW w:w="984" w:type="dxa"/>
            <w:tcBorders>
              <w:top w:val="nil" w:sz="6" w:space="0" w:color="auto"/>
              <w:left w:val="single" w:sz="4" w:space="0" w:color="000000"/>
              <w:bottom w:val="nil" w:sz="6" w:space="0" w:color="auto"/>
              <w:right w:val="single" w:sz="4" w:space="0" w:color="000000"/>
            </w:tcBorders>
          </w:tcPr>
          <w:p>
            <w:pPr/>
          </w:p>
        </w:tc>
        <w:tc>
          <w:tcPr>
            <w:tcW w:w="943" w:type="dxa"/>
            <w:tcBorders>
              <w:top w:val="nil" w:sz="6" w:space="0" w:color="auto"/>
              <w:left w:val="single" w:sz="4" w:space="0" w:color="000000"/>
              <w:bottom w:val="nil" w:sz="6" w:space="0" w:color="auto"/>
              <w:right w:val="single" w:sz="4" w:space="0" w:color="000000"/>
            </w:tcBorders>
          </w:tcPr>
          <w:p>
            <w:pPr/>
          </w:p>
        </w:tc>
        <w:tc>
          <w:tcPr>
            <w:tcW w:w="929" w:type="dxa"/>
            <w:tcBorders>
              <w:top w:val="nil" w:sz="6" w:space="0" w:color="auto"/>
              <w:left w:val="single" w:sz="4" w:space="0" w:color="000000"/>
              <w:bottom w:val="nil" w:sz="6" w:space="0" w:color="auto"/>
              <w:right w:val="single" w:sz="4" w:space="0" w:color="000000"/>
            </w:tcBorders>
          </w:tcPr>
          <w:p>
            <w:pPr/>
          </w:p>
        </w:tc>
        <w:tc>
          <w:tcPr>
            <w:tcW w:w="931" w:type="dxa"/>
            <w:tcBorders>
              <w:top w:val="nil" w:sz="6" w:space="0" w:color="auto"/>
              <w:left w:val="single" w:sz="4" w:space="0" w:color="000000"/>
              <w:bottom w:val="nil" w:sz="6" w:space="0" w:color="auto"/>
              <w:right w:val="single" w:sz="4" w:space="0" w:color="000000"/>
            </w:tcBorders>
          </w:tcPr>
          <w:p>
            <w:pPr/>
          </w:p>
        </w:tc>
      </w:tr>
      <w:tr>
        <w:trPr>
          <w:trHeight w:val="624" w:hRule="exact"/>
        </w:trPr>
        <w:tc>
          <w:tcPr>
            <w:tcW w:w="987"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24" w:right="-38"/>
              <w:jc w:val="left"/>
              <w:rPr>
                <w:rFonts w:ascii="宋体" w:hAnsi="宋体" w:cs="宋体" w:eastAsia="宋体" w:hint="default"/>
                <w:sz w:val="18"/>
                <w:szCs w:val="18"/>
              </w:rPr>
            </w:pPr>
            <w:r>
              <w:rPr>
                <w:rFonts w:ascii="宋体" w:hAnsi="宋体" w:cs="宋体" w:eastAsia="宋体" w:hint="default"/>
                <w:sz w:val="18"/>
                <w:szCs w:val="18"/>
              </w:rPr>
              <w:t>联动优势科 技有限公司</w:t>
            </w:r>
            <w:r>
              <w:rPr>
                <w:rFonts w:ascii="宋体" w:hAnsi="宋体" w:cs="宋体" w:eastAsia="宋体" w:hint="default"/>
                <w:sz w:val="18"/>
                <w:szCs w:val="18"/>
              </w:rPr>
              <w:t> </w:t>
            </w:r>
          </w:p>
        </w:tc>
        <w:tc>
          <w:tcPr>
            <w:tcW w:w="1109"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24" w:right="173"/>
              <w:jc w:val="left"/>
              <w:rPr>
                <w:rFonts w:ascii="宋体" w:hAnsi="宋体" w:cs="宋体" w:eastAsia="宋体" w:hint="default"/>
                <w:sz w:val="18"/>
                <w:szCs w:val="18"/>
              </w:rPr>
            </w:pPr>
            <w:r>
              <w:rPr>
                <w:rFonts w:ascii="宋体" w:hAnsi="宋体" w:cs="宋体" w:eastAsia="宋体" w:hint="default"/>
                <w:sz w:val="18"/>
                <w:szCs w:val="18"/>
              </w:rPr>
              <w:t>限公司母公 司海联金汇</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23" w:right="94"/>
              <w:jc w:val="left"/>
              <w:rPr>
                <w:rFonts w:ascii="宋体" w:hAnsi="宋体" w:cs="宋体" w:eastAsia="宋体" w:hint="default"/>
                <w:sz w:val="18"/>
                <w:szCs w:val="18"/>
              </w:rPr>
            </w:pPr>
            <w:r>
              <w:rPr>
                <w:rFonts w:ascii="宋体" w:hAnsi="宋体" w:cs="宋体" w:eastAsia="宋体" w:hint="default"/>
                <w:sz w:val="18"/>
                <w:szCs w:val="18"/>
              </w:rPr>
              <w:t>日常关联 交易</w:t>
            </w:r>
            <w:r>
              <w:rPr>
                <w:rFonts w:ascii="宋体" w:hAnsi="宋体" w:cs="宋体" w:eastAsia="宋体" w:hint="default"/>
                <w:sz w:val="18"/>
                <w:szCs w:val="18"/>
              </w:rPr>
              <w:t> </w:t>
            </w:r>
          </w:p>
        </w:tc>
        <w:tc>
          <w:tcPr>
            <w:tcW w:w="880" w:type="dxa"/>
            <w:tcBorders>
              <w:top w:val="nil" w:sz="6" w:space="0" w:color="auto"/>
              <w:left w:val="single" w:sz="4" w:space="0" w:color="000000"/>
              <w:bottom w:val="nil" w:sz="6" w:space="0" w:color="auto"/>
              <w:right w:val="single" w:sz="5"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345" w:right="0"/>
              <w:jc w:val="left"/>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sz w:val="18"/>
                <w:szCs w:val="18"/>
              </w:rPr>
              <w:t> </w:t>
            </w:r>
          </w:p>
        </w:tc>
        <w:tc>
          <w:tcPr>
            <w:tcW w:w="978" w:type="dxa"/>
            <w:tcBorders>
              <w:top w:val="nil" w:sz="6" w:space="0" w:color="auto"/>
              <w:left w:val="single" w:sz="5"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9"/>
              <w:jc w:val="right"/>
              <w:rPr>
                <w:rFonts w:ascii="宋体" w:hAnsi="宋体" w:cs="宋体" w:eastAsia="宋体" w:hint="default"/>
                <w:sz w:val="18"/>
                <w:szCs w:val="18"/>
              </w:rPr>
            </w:pPr>
            <w:r>
              <w:rPr>
                <w:rFonts w:ascii="宋体"/>
                <w:spacing w:val="-1"/>
                <w:sz w:val="18"/>
              </w:rPr>
              <w:t>1,935.14</w:t>
            </w:r>
            <w:r>
              <w:rPr>
                <w:rFonts w:ascii="宋体"/>
                <w:sz w:val="18"/>
              </w:rPr>
            </w:r>
          </w:p>
        </w:tc>
        <w:tc>
          <w:tcPr>
            <w:tcW w:w="98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8"/>
              <w:jc w:val="right"/>
              <w:rPr>
                <w:rFonts w:ascii="宋体" w:hAnsi="宋体" w:cs="宋体" w:eastAsia="宋体" w:hint="default"/>
                <w:sz w:val="18"/>
                <w:szCs w:val="18"/>
              </w:rPr>
            </w:pPr>
            <w:r>
              <w:rPr>
                <w:rFonts w:ascii="宋体"/>
                <w:sz w:val="18"/>
              </w:rPr>
              <w:t>350.10</w:t>
            </w:r>
          </w:p>
        </w:tc>
        <w:tc>
          <w:tcPr>
            <w:tcW w:w="984"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8"/>
              <w:jc w:val="right"/>
              <w:rPr>
                <w:rFonts w:ascii="宋体" w:hAnsi="宋体" w:cs="宋体" w:eastAsia="宋体" w:hint="default"/>
                <w:sz w:val="18"/>
                <w:szCs w:val="18"/>
              </w:rPr>
            </w:pPr>
            <w:r>
              <w:rPr>
                <w:rFonts w:ascii="宋体"/>
                <w:spacing w:val="-1"/>
                <w:sz w:val="18"/>
              </w:rPr>
              <w:t>2,131.40</w:t>
            </w:r>
          </w:p>
        </w:tc>
        <w:tc>
          <w:tcPr>
            <w:tcW w:w="943"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8"/>
              <w:jc w:val="right"/>
              <w:rPr>
                <w:rFonts w:ascii="宋体" w:hAnsi="宋体" w:cs="宋体" w:eastAsia="宋体" w:hint="default"/>
                <w:sz w:val="18"/>
                <w:szCs w:val="18"/>
              </w:rPr>
            </w:pPr>
            <w:r>
              <w:rPr>
                <w:rFonts w:ascii="宋体"/>
                <w:sz w:val="18"/>
              </w:rPr>
              <w:t>--</w:t>
            </w:r>
          </w:p>
        </w:tc>
        <w:tc>
          <w:tcPr>
            <w:tcW w:w="929"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8"/>
              <w:jc w:val="right"/>
              <w:rPr>
                <w:rFonts w:ascii="宋体" w:hAnsi="宋体" w:cs="宋体" w:eastAsia="宋体" w:hint="default"/>
                <w:sz w:val="18"/>
                <w:szCs w:val="18"/>
              </w:rPr>
            </w:pPr>
            <w:r>
              <w:rPr>
                <w:rFonts w:ascii="宋体"/>
                <w:sz w:val="18"/>
              </w:rPr>
              <w:t>--</w:t>
            </w:r>
          </w:p>
        </w:tc>
        <w:tc>
          <w:tcPr>
            <w:tcW w:w="93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9"/>
              <w:jc w:val="right"/>
              <w:rPr>
                <w:rFonts w:ascii="宋体" w:hAnsi="宋体" w:cs="宋体" w:eastAsia="宋体" w:hint="default"/>
                <w:sz w:val="18"/>
                <w:szCs w:val="18"/>
              </w:rPr>
            </w:pPr>
            <w:r>
              <w:rPr>
                <w:rFonts w:ascii="宋体"/>
                <w:spacing w:val="-1"/>
                <w:sz w:val="18"/>
              </w:rPr>
              <w:t>153.84</w:t>
            </w:r>
            <w:r>
              <w:rPr>
                <w:rFonts w:ascii="宋体"/>
                <w:sz w:val="18"/>
              </w:rPr>
            </w:r>
          </w:p>
        </w:tc>
      </w:tr>
      <w:tr>
        <w:trPr>
          <w:trHeight w:val="312" w:hRule="exact"/>
        </w:trPr>
        <w:tc>
          <w:tcPr>
            <w:tcW w:w="987" w:type="dxa"/>
            <w:tcBorders>
              <w:top w:val="nil" w:sz="6" w:space="0" w:color="auto"/>
              <w:left w:val="single" w:sz="4" w:space="0" w:color="000000"/>
              <w:bottom w:val="nil" w:sz="6" w:space="0" w:color="auto"/>
              <w:right w:val="single" w:sz="4" w:space="0" w:color="000000"/>
            </w:tcBorders>
          </w:tcPr>
          <w:p>
            <w:pPr/>
          </w:p>
        </w:tc>
        <w:tc>
          <w:tcPr>
            <w:tcW w:w="110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科技股份有</w:t>
            </w:r>
          </w:p>
        </w:tc>
        <w:tc>
          <w:tcPr>
            <w:tcW w:w="850" w:type="dxa"/>
            <w:tcBorders>
              <w:top w:val="nil" w:sz="6" w:space="0" w:color="auto"/>
              <w:left w:val="single" w:sz="4" w:space="0" w:color="000000"/>
              <w:bottom w:val="nil" w:sz="6" w:space="0" w:color="auto"/>
              <w:right w:val="single" w:sz="4" w:space="0" w:color="000000"/>
            </w:tcBorders>
          </w:tcPr>
          <w:p>
            <w:pPr/>
          </w:p>
        </w:tc>
        <w:tc>
          <w:tcPr>
            <w:tcW w:w="880" w:type="dxa"/>
            <w:tcBorders>
              <w:top w:val="nil" w:sz="6" w:space="0" w:color="auto"/>
              <w:left w:val="single" w:sz="4" w:space="0" w:color="000000"/>
              <w:bottom w:val="nil" w:sz="6" w:space="0" w:color="auto"/>
              <w:right w:val="single" w:sz="5" w:space="0" w:color="000000"/>
            </w:tcBorders>
          </w:tcPr>
          <w:p>
            <w:pPr/>
          </w:p>
        </w:tc>
        <w:tc>
          <w:tcPr>
            <w:tcW w:w="978" w:type="dxa"/>
            <w:tcBorders>
              <w:top w:val="nil" w:sz="6" w:space="0" w:color="auto"/>
              <w:left w:val="single" w:sz="5" w:space="0" w:color="000000"/>
              <w:bottom w:val="nil" w:sz="6" w:space="0" w:color="auto"/>
              <w:right w:val="single" w:sz="4" w:space="0" w:color="000000"/>
            </w:tcBorders>
          </w:tcPr>
          <w:p>
            <w:pPr/>
          </w:p>
        </w:tc>
        <w:tc>
          <w:tcPr>
            <w:tcW w:w="982" w:type="dxa"/>
            <w:tcBorders>
              <w:top w:val="nil" w:sz="6" w:space="0" w:color="auto"/>
              <w:left w:val="single" w:sz="4" w:space="0" w:color="000000"/>
              <w:bottom w:val="nil" w:sz="6" w:space="0" w:color="auto"/>
              <w:right w:val="single" w:sz="4" w:space="0" w:color="000000"/>
            </w:tcBorders>
          </w:tcPr>
          <w:p>
            <w:pPr/>
          </w:p>
        </w:tc>
        <w:tc>
          <w:tcPr>
            <w:tcW w:w="984" w:type="dxa"/>
            <w:tcBorders>
              <w:top w:val="nil" w:sz="6" w:space="0" w:color="auto"/>
              <w:left w:val="single" w:sz="4" w:space="0" w:color="000000"/>
              <w:bottom w:val="nil" w:sz="6" w:space="0" w:color="auto"/>
              <w:right w:val="single" w:sz="4" w:space="0" w:color="000000"/>
            </w:tcBorders>
          </w:tcPr>
          <w:p>
            <w:pPr/>
          </w:p>
        </w:tc>
        <w:tc>
          <w:tcPr>
            <w:tcW w:w="943" w:type="dxa"/>
            <w:tcBorders>
              <w:top w:val="nil" w:sz="6" w:space="0" w:color="auto"/>
              <w:left w:val="single" w:sz="4" w:space="0" w:color="000000"/>
              <w:bottom w:val="nil" w:sz="6" w:space="0" w:color="auto"/>
              <w:right w:val="single" w:sz="4" w:space="0" w:color="000000"/>
            </w:tcBorders>
          </w:tcPr>
          <w:p>
            <w:pPr/>
          </w:p>
        </w:tc>
        <w:tc>
          <w:tcPr>
            <w:tcW w:w="929" w:type="dxa"/>
            <w:tcBorders>
              <w:top w:val="nil" w:sz="6" w:space="0" w:color="auto"/>
              <w:left w:val="single" w:sz="4" w:space="0" w:color="000000"/>
              <w:bottom w:val="nil" w:sz="6" w:space="0" w:color="auto"/>
              <w:right w:val="single" w:sz="4" w:space="0" w:color="000000"/>
            </w:tcBorders>
          </w:tcPr>
          <w:p>
            <w:pPr/>
          </w:p>
        </w:tc>
        <w:tc>
          <w:tcPr>
            <w:tcW w:w="931" w:type="dxa"/>
            <w:tcBorders>
              <w:top w:val="nil" w:sz="6" w:space="0" w:color="auto"/>
              <w:left w:val="single" w:sz="4" w:space="0" w:color="000000"/>
              <w:bottom w:val="nil" w:sz="6" w:space="0" w:color="auto"/>
              <w:right w:val="single" w:sz="4" w:space="0" w:color="000000"/>
            </w:tcBorders>
          </w:tcPr>
          <w:p>
            <w:pPr/>
          </w:p>
        </w:tc>
      </w:tr>
      <w:tr>
        <w:trPr>
          <w:trHeight w:val="312" w:hRule="exact"/>
        </w:trPr>
        <w:tc>
          <w:tcPr>
            <w:tcW w:w="987" w:type="dxa"/>
            <w:tcBorders>
              <w:top w:val="nil" w:sz="6" w:space="0" w:color="auto"/>
              <w:left w:val="single" w:sz="4" w:space="0" w:color="000000"/>
              <w:bottom w:val="nil" w:sz="6" w:space="0" w:color="auto"/>
              <w:right w:val="single" w:sz="4" w:space="0" w:color="000000"/>
            </w:tcBorders>
          </w:tcPr>
          <w:p>
            <w:pPr/>
          </w:p>
        </w:tc>
        <w:tc>
          <w:tcPr>
            <w:tcW w:w="1109"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限公司的董</w:t>
            </w:r>
          </w:p>
        </w:tc>
        <w:tc>
          <w:tcPr>
            <w:tcW w:w="850" w:type="dxa"/>
            <w:tcBorders>
              <w:top w:val="nil" w:sz="6" w:space="0" w:color="auto"/>
              <w:left w:val="single" w:sz="4" w:space="0" w:color="000000"/>
              <w:bottom w:val="nil" w:sz="6" w:space="0" w:color="auto"/>
              <w:right w:val="single" w:sz="4" w:space="0" w:color="000000"/>
            </w:tcBorders>
          </w:tcPr>
          <w:p>
            <w:pPr/>
          </w:p>
        </w:tc>
        <w:tc>
          <w:tcPr>
            <w:tcW w:w="880" w:type="dxa"/>
            <w:tcBorders>
              <w:top w:val="nil" w:sz="6" w:space="0" w:color="auto"/>
              <w:left w:val="single" w:sz="4" w:space="0" w:color="000000"/>
              <w:bottom w:val="nil" w:sz="6" w:space="0" w:color="auto"/>
              <w:right w:val="single" w:sz="5" w:space="0" w:color="000000"/>
            </w:tcBorders>
          </w:tcPr>
          <w:p>
            <w:pPr/>
          </w:p>
        </w:tc>
        <w:tc>
          <w:tcPr>
            <w:tcW w:w="978" w:type="dxa"/>
            <w:tcBorders>
              <w:top w:val="nil" w:sz="6" w:space="0" w:color="auto"/>
              <w:left w:val="single" w:sz="5" w:space="0" w:color="000000"/>
              <w:bottom w:val="nil" w:sz="6" w:space="0" w:color="auto"/>
              <w:right w:val="single" w:sz="4" w:space="0" w:color="000000"/>
            </w:tcBorders>
          </w:tcPr>
          <w:p>
            <w:pPr/>
          </w:p>
        </w:tc>
        <w:tc>
          <w:tcPr>
            <w:tcW w:w="982" w:type="dxa"/>
            <w:tcBorders>
              <w:top w:val="nil" w:sz="6" w:space="0" w:color="auto"/>
              <w:left w:val="single" w:sz="4" w:space="0" w:color="000000"/>
              <w:bottom w:val="nil" w:sz="6" w:space="0" w:color="auto"/>
              <w:right w:val="single" w:sz="4" w:space="0" w:color="000000"/>
            </w:tcBorders>
          </w:tcPr>
          <w:p>
            <w:pPr/>
          </w:p>
        </w:tc>
        <w:tc>
          <w:tcPr>
            <w:tcW w:w="984" w:type="dxa"/>
            <w:tcBorders>
              <w:top w:val="nil" w:sz="6" w:space="0" w:color="auto"/>
              <w:left w:val="single" w:sz="4" w:space="0" w:color="000000"/>
              <w:bottom w:val="nil" w:sz="6" w:space="0" w:color="auto"/>
              <w:right w:val="single" w:sz="4" w:space="0" w:color="000000"/>
            </w:tcBorders>
          </w:tcPr>
          <w:p>
            <w:pPr/>
          </w:p>
        </w:tc>
        <w:tc>
          <w:tcPr>
            <w:tcW w:w="943" w:type="dxa"/>
            <w:tcBorders>
              <w:top w:val="nil" w:sz="6" w:space="0" w:color="auto"/>
              <w:left w:val="single" w:sz="4" w:space="0" w:color="000000"/>
              <w:bottom w:val="nil" w:sz="6" w:space="0" w:color="auto"/>
              <w:right w:val="single" w:sz="4" w:space="0" w:color="000000"/>
            </w:tcBorders>
          </w:tcPr>
          <w:p>
            <w:pPr/>
          </w:p>
        </w:tc>
        <w:tc>
          <w:tcPr>
            <w:tcW w:w="929" w:type="dxa"/>
            <w:tcBorders>
              <w:top w:val="nil" w:sz="6" w:space="0" w:color="auto"/>
              <w:left w:val="single" w:sz="4" w:space="0" w:color="000000"/>
              <w:bottom w:val="nil" w:sz="6" w:space="0" w:color="auto"/>
              <w:right w:val="single" w:sz="4" w:space="0" w:color="000000"/>
            </w:tcBorders>
          </w:tcPr>
          <w:p>
            <w:pPr/>
          </w:p>
        </w:tc>
        <w:tc>
          <w:tcPr>
            <w:tcW w:w="931" w:type="dxa"/>
            <w:tcBorders>
              <w:top w:val="nil" w:sz="6" w:space="0" w:color="auto"/>
              <w:left w:val="single" w:sz="4" w:space="0" w:color="000000"/>
              <w:bottom w:val="nil" w:sz="6" w:space="0" w:color="auto"/>
              <w:right w:val="single" w:sz="4" w:space="0" w:color="000000"/>
            </w:tcBorders>
          </w:tcPr>
          <w:p>
            <w:pPr/>
          </w:p>
        </w:tc>
      </w:tr>
      <w:tr>
        <w:trPr>
          <w:trHeight w:val="317" w:hRule="exact"/>
        </w:trPr>
        <w:tc>
          <w:tcPr>
            <w:tcW w:w="987" w:type="dxa"/>
            <w:tcBorders>
              <w:top w:val="nil" w:sz="6" w:space="0" w:color="auto"/>
              <w:left w:val="single" w:sz="4" w:space="0" w:color="000000"/>
              <w:bottom w:val="single" w:sz="4" w:space="0" w:color="000000"/>
              <w:right w:val="single" w:sz="4" w:space="0" w:color="000000"/>
            </w:tcBorders>
          </w:tcPr>
          <w:p>
            <w:pPr/>
          </w:p>
        </w:tc>
        <w:tc>
          <w:tcPr>
            <w:tcW w:w="110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事</w:t>
            </w:r>
            <w:r>
              <w:rPr>
                <w:rFonts w:ascii="宋体" w:hAnsi="宋体" w:cs="宋体" w:eastAsia="宋体" w:hint="default"/>
                <w:sz w:val="18"/>
                <w:szCs w:val="18"/>
              </w:rPr>
              <w:t> </w:t>
            </w:r>
          </w:p>
        </w:tc>
        <w:tc>
          <w:tcPr>
            <w:tcW w:w="850" w:type="dxa"/>
            <w:tcBorders>
              <w:top w:val="nil" w:sz="6" w:space="0" w:color="auto"/>
              <w:left w:val="single" w:sz="4" w:space="0" w:color="000000"/>
              <w:bottom w:val="single" w:sz="4" w:space="0" w:color="000000"/>
              <w:right w:val="single" w:sz="4" w:space="0" w:color="000000"/>
            </w:tcBorders>
          </w:tcPr>
          <w:p>
            <w:pPr/>
          </w:p>
        </w:tc>
        <w:tc>
          <w:tcPr>
            <w:tcW w:w="880" w:type="dxa"/>
            <w:tcBorders>
              <w:top w:val="nil" w:sz="6" w:space="0" w:color="auto"/>
              <w:left w:val="single" w:sz="4" w:space="0" w:color="000000"/>
              <w:bottom w:val="single" w:sz="4" w:space="0" w:color="000000"/>
              <w:right w:val="single" w:sz="5" w:space="0" w:color="000000"/>
            </w:tcBorders>
          </w:tcPr>
          <w:p>
            <w:pPr/>
          </w:p>
        </w:tc>
        <w:tc>
          <w:tcPr>
            <w:tcW w:w="978" w:type="dxa"/>
            <w:tcBorders>
              <w:top w:val="nil" w:sz="6" w:space="0" w:color="auto"/>
              <w:left w:val="single" w:sz="5" w:space="0" w:color="000000"/>
              <w:bottom w:val="single" w:sz="4" w:space="0" w:color="000000"/>
              <w:right w:val="single" w:sz="4" w:space="0" w:color="000000"/>
            </w:tcBorders>
          </w:tcPr>
          <w:p>
            <w:pPr/>
          </w:p>
        </w:tc>
        <w:tc>
          <w:tcPr>
            <w:tcW w:w="982" w:type="dxa"/>
            <w:tcBorders>
              <w:top w:val="nil" w:sz="6" w:space="0" w:color="auto"/>
              <w:left w:val="single" w:sz="4" w:space="0" w:color="000000"/>
              <w:bottom w:val="single" w:sz="4" w:space="0" w:color="000000"/>
              <w:right w:val="single" w:sz="4" w:space="0" w:color="000000"/>
            </w:tcBorders>
          </w:tcPr>
          <w:p>
            <w:pPr/>
          </w:p>
        </w:tc>
        <w:tc>
          <w:tcPr>
            <w:tcW w:w="984" w:type="dxa"/>
            <w:tcBorders>
              <w:top w:val="nil" w:sz="6" w:space="0" w:color="auto"/>
              <w:left w:val="single" w:sz="4" w:space="0" w:color="000000"/>
              <w:bottom w:val="single" w:sz="4" w:space="0" w:color="000000"/>
              <w:right w:val="single" w:sz="4" w:space="0" w:color="000000"/>
            </w:tcBorders>
          </w:tcPr>
          <w:p>
            <w:pPr/>
          </w:p>
        </w:tc>
        <w:tc>
          <w:tcPr>
            <w:tcW w:w="943" w:type="dxa"/>
            <w:tcBorders>
              <w:top w:val="nil" w:sz="6" w:space="0" w:color="auto"/>
              <w:left w:val="single" w:sz="4" w:space="0" w:color="000000"/>
              <w:bottom w:val="single" w:sz="4" w:space="0" w:color="000000"/>
              <w:right w:val="single" w:sz="4" w:space="0" w:color="000000"/>
            </w:tcBorders>
          </w:tcPr>
          <w:p>
            <w:pPr/>
          </w:p>
        </w:tc>
        <w:tc>
          <w:tcPr>
            <w:tcW w:w="929" w:type="dxa"/>
            <w:tcBorders>
              <w:top w:val="nil" w:sz="6" w:space="0" w:color="auto"/>
              <w:left w:val="single" w:sz="4" w:space="0" w:color="000000"/>
              <w:bottom w:val="single" w:sz="4" w:space="0" w:color="000000"/>
              <w:right w:val="single" w:sz="4" w:space="0" w:color="000000"/>
            </w:tcBorders>
          </w:tcPr>
          <w:p>
            <w:pPr/>
          </w:p>
        </w:tc>
        <w:tc>
          <w:tcPr>
            <w:tcW w:w="931" w:type="dxa"/>
            <w:tcBorders>
              <w:top w:val="nil" w:sz="6" w:space="0" w:color="auto"/>
              <w:left w:val="single" w:sz="4" w:space="0" w:color="000000"/>
              <w:bottom w:val="single" w:sz="4" w:space="0" w:color="000000"/>
              <w:right w:val="single" w:sz="4" w:space="0" w:color="000000"/>
            </w:tcBorders>
          </w:tcPr>
          <w:p>
            <w:pPr/>
          </w:p>
        </w:tc>
      </w:tr>
      <w:tr>
        <w:trPr>
          <w:trHeight w:val="1258" w:hRule="exact"/>
        </w:trPr>
        <w:tc>
          <w:tcPr>
            <w:tcW w:w="9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9" w:lineRule="auto"/>
              <w:ind w:left="24" w:right="51"/>
              <w:jc w:val="both"/>
              <w:rPr>
                <w:rFonts w:ascii="宋体" w:hAnsi="宋体" w:cs="宋体" w:eastAsia="宋体" w:hint="default"/>
                <w:sz w:val="18"/>
                <w:szCs w:val="18"/>
              </w:rPr>
            </w:pPr>
            <w:r>
              <w:rPr>
                <w:rFonts w:ascii="宋体" w:hAnsi="宋体" w:cs="宋体" w:eastAsia="宋体" w:hint="default"/>
                <w:sz w:val="18"/>
                <w:szCs w:val="18"/>
              </w:rPr>
              <w:t>北京博升优 势科技发展 有限公司</w:t>
            </w:r>
            <w:r>
              <w:rPr>
                <w:rFonts w:ascii="宋体" w:hAnsi="宋体" w:cs="宋体" w:eastAsia="宋体" w:hint="default"/>
                <w:sz w:val="18"/>
                <w:szCs w:val="18"/>
              </w:rPr>
              <w:t> </w:t>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4" w:right="173"/>
              <w:jc w:val="both"/>
              <w:rPr>
                <w:rFonts w:ascii="宋体" w:hAnsi="宋体" w:cs="宋体" w:eastAsia="宋体" w:hint="default"/>
                <w:sz w:val="18"/>
                <w:szCs w:val="18"/>
              </w:rPr>
            </w:pPr>
            <w:r>
              <w:rPr>
                <w:rFonts w:ascii="宋体" w:hAnsi="宋体" w:cs="宋体" w:eastAsia="宋体" w:hint="default"/>
                <w:sz w:val="18"/>
                <w:szCs w:val="18"/>
              </w:rPr>
              <w:t>本公司董事 长吴鹰也是 博升优势的 董事长</w:t>
            </w:r>
            <w:r>
              <w:rPr>
                <w:rFonts w:ascii="宋体" w:hAnsi="宋体" w:cs="宋体" w:eastAsia="宋体" w:hint="default"/>
                <w:sz w:val="18"/>
                <w:szCs w:val="18"/>
              </w:rPr>
              <w:t> </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316" w:lineRule="auto"/>
              <w:ind w:left="23" w:right="94"/>
              <w:jc w:val="left"/>
              <w:rPr>
                <w:rFonts w:ascii="宋体" w:hAnsi="宋体" w:cs="宋体" w:eastAsia="宋体" w:hint="default"/>
                <w:sz w:val="18"/>
                <w:szCs w:val="18"/>
              </w:rPr>
            </w:pPr>
            <w:r>
              <w:rPr>
                <w:rFonts w:ascii="宋体" w:hAnsi="宋体" w:cs="宋体" w:eastAsia="宋体" w:hint="default"/>
                <w:sz w:val="18"/>
                <w:szCs w:val="18"/>
              </w:rPr>
              <w:t>日常关联 交易</w:t>
            </w:r>
            <w:r>
              <w:rPr>
                <w:rFonts w:ascii="宋体" w:hAnsi="宋体" w:cs="宋体" w:eastAsia="宋体" w:hint="default"/>
                <w:sz w:val="18"/>
                <w:szCs w:val="18"/>
              </w:rPr>
              <w:t> </w:t>
            </w:r>
          </w:p>
        </w:tc>
        <w:tc>
          <w:tcPr>
            <w:tcW w:w="880" w:type="dxa"/>
            <w:tcBorders>
              <w:top w:val="single" w:sz="4" w:space="0" w:color="000000"/>
              <w:left w:val="single" w:sz="4" w:space="0" w:color="000000"/>
              <w:bottom w:val="single" w:sz="4" w:space="0" w:color="000000"/>
              <w:right w:val="single" w:sz="5"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345" w:right="0"/>
              <w:jc w:val="left"/>
              <w:rPr>
                <w:rFonts w:ascii="宋体" w:hAnsi="宋体" w:cs="宋体" w:eastAsia="宋体" w:hint="default"/>
                <w:sz w:val="18"/>
                <w:szCs w:val="18"/>
              </w:rPr>
            </w:pPr>
            <w:r>
              <w:rPr>
                <w:rFonts w:ascii="宋体" w:hAnsi="宋体" w:cs="宋体" w:eastAsia="宋体" w:hint="default"/>
                <w:sz w:val="18"/>
                <w:szCs w:val="18"/>
              </w:rPr>
              <w:t>否</w:t>
            </w:r>
          </w:p>
        </w:tc>
        <w:tc>
          <w:tcPr>
            <w:tcW w:w="978" w:type="dxa"/>
            <w:tcBorders>
              <w:top w:val="single" w:sz="4" w:space="0" w:color="000000"/>
              <w:left w:val="single" w:sz="5"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8"/>
              <w:jc w:val="right"/>
              <w:rPr>
                <w:rFonts w:ascii="宋体" w:hAnsi="宋体" w:cs="宋体" w:eastAsia="宋体" w:hint="default"/>
                <w:sz w:val="18"/>
                <w:szCs w:val="18"/>
              </w:rPr>
            </w:pPr>
            <w:r>
              <w:rPr>
                <w:rFonts w:ascii="宋体"/>
                <w:sz w:val="18"/>
              </w:rPr>
              <w:t>--</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9"/>
              <w:jc w:val="right"/>
              <w:rPr>
                <w:rFonts w:ascii="宋体" w:hAnsi="宋体" w:cs="宋体" w:eastAsia="宋体" w:hint="default"/>
                <w:sz w:val="18"/>
                <w:szCs w:val="18"/>
              </w:rPr>
            </w:pPr>
            <w:r>
              <w:rPr>
                <w:rFonts w:ascii="宋体"/>
                <w:spacing w:val="-1"/>
                <w:sz w:val="18"/>
              </w:rPr>
              <w:t>103.59</w:t>
            </w:r>
          </w:p>
        </w:tc>
        <w:tc>
          <w:tcPr>
            <w:tcW w:w="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7"/>
              <w:jc w:val="right"/>
              <w:rPr>
                <w:rFonts w:ascii="宋体" w:hAnsi="宋体" w:cs="宋体" w:eastAsia="宋体" w:hint="default"/>
                <w:sz w:val="18"/>
                <w:szCs w:val="18"/>
              </w:rPr>
            </w:pPr>
            <w:r>
              <w:rPr>
                <w:rFonts w:ascii="宋体"/>
                <w:sz w:val="18"/>
              </w:rPr>
              <w:t>62.51</w:t>
            </w:r>
          </w:p>
        </w:tc>
        <w:tc>
          <w:tcPr>
            <w:tcW w:w="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8"/>
              <w:jc w:val="right"/>
              <w:rPr>
                <w:rFonts w:ascii="宋体" w:hAnsi="宋体" w:cs="宋体" w:eastAsia="宋体" w:hint="default"/>
                <w:sz w:val="18"/>
                <w:szCs w:val="18"/>
              </w:rPr>
            </w:pPr>
            <w:r>
              <w:rPr>
                <w:rFonts w:ascii="宋体"/>
                <w:sz w:val="18"/>
              </w:rPr>
              <w:t>--</w:t>
            </w:r>
          </w:p>
        </w:tc>
        <w:tc>
          <w:tcPr>
            <w:tcW w:w="9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8"/>
              <w:jc w:val="right"/>
              <w:rPr>
                <w:rFonts w:ascii="宋体" w:hAnsi="宋体" w:cs="宋体" w:eastAsia="宋体" w:hint="default"/>
                <w:sz w:val="18"/>
                <w:szCs w:val="18"/>
              </w:rPr>
            </w:pPr>
            <w:r>
              <w:rPr>
                <w:rFonts w:ascii="宋体"/>
                <w:sz w:val="18"/>
              </w:rPr>
              <w:t>--</w:t>
            </w:r>
          </w:p>
        </w:tc>
        <w:tc>
          <w:tcPr>
            <w:tcW w:w="9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17"/>
              <w:jc w:val="right"/>
              <w:rPr>
                <w:rFonts w:ascii="宋体" w:hAnsi="宋体" w:cs="宋体" w:eastAsia="宋体" w:hint="default"/>
                <w:sz w:val="18"/>
                <w:szCs w:val="18"/>
              </w:rPr>
            </w:pPr>
            <w:r>
              <w:rPr>
                <w:rFonts w:ascii="宋体"/>
                <w:sz w:val="18"/>
              </w:rPr>
              <w:t>41.08</w:t>
            </w:r>
          </w:p>
        </w:tc>
      </w:tr>
      <w:tr>
        <w:trPr>
          <w:trHeight w:val="322" w:hRule="exact"/>
        </w:trPr>
        <w:tc>
          <w:tcPr>
            <w:tcW w:w="3825"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关联债权对公司经营成果及财务状况的影响</w:t>
            </w:r>
          </w:p>
        </w:tc>
        <w:tc>
          <w:tcPr>
            <w:tcW w:w="5748"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7" w:right="0"/>
              <w:jc w:val="left"/>
              <w:rPr>
                <w:rFonts w:ascii="宋体" w:hAnsi="宋体" w:cs="宋体" w:eastAsia="宋体" w:hint="default"/>
                <w:sz w:val="18"/>
                <w:szCs w:val="18"/>
              </w:rPr>
            </w:pPr>
            <w:r>
              <w:rPr>
                <w:rFonts w:ascii="宋体" w:hAnsi="宋体" w:cs="宋体" w:eastAsia="宋体" w:hint="default"/>
                <w:sz w:val="18"/>
                <w:szCs w:val="18"/>
              </w:rPr>
              <w:t>增加公司营业收入。</w:t>
            </w:r>
          </w:p>
        </w:tc>
      </w:tr>
    </w:tbl>
    <w:p>
      <w:pPr>
        <w:spacing w:line="240" w:lineRule="auto" w:before="8"/>
        <w:rPr>
          <w:rFonts w:ascii="宋体" w:hAnsi="宋体" w:cs="宋体" w:eastAsia="宋体" w:hint="default"/>
          <w:sz w:val="14"/>
          <w:szCs w:val="14"/>
        </w:rPr>
      </w:pPr>
    </w:p>
    <w:p>
      <w:pPr>
        <w:pStyle w:val="BodyText"/>
        <w:spacing w:line="240" w:lineRule="auto" w:before="36"/>
        <w:ind w:right="1133"/>
        <w:jc w:val="left"/>
        <w:rPr>
          <w:rFonts w:ascii="宋体" w:hAnsi="宋体" w:cs="宋体" w:eastAsia="宋体" w:hint="default"/>
        </w:rPr>
      </w:pPr>
      <w:r>
        <w:rPr/>
        <w:pict>
          <v:group style="position:absolute;margin-left:106.220001pt;margin-top:-213.836334pt;width:55pt;height:124.8pt;mso-position-horizontal-relative:page;mso-position-vertical-relative:paragraph;z-index:-1012888" coordorigin="2124,-4277" coordsize="1100,2496">
            <v:group style="position:absolute;left:2124;top:-4277;width:1100;height:2496" coordorigin="2124,-4277" coordsize="1100,2496">
              <v:shape style="position:absolute;left:2124;top:-4277;width:1100;height:2496" coordorigin="2124,-4277" coordsize="1100,2496" path="m2124,-1781l3224,-1781,3224,-4277,2124,-4277,2124,-1781xe" filled="true" fillcolor="#ffffff" stroked="false">
                <v:path arrowok="t"/>
                <v:fill type="solid"/>
              </v:shape>
            </v:group>
            <v:group style="position:absolute;left:2148;top:-4277;width:1052;height:312" coordorigin="2148,-4277" coordsize="1052,312">
              <v:shape style="position:absolute;left:2148;top:-4277;width:1052;height:312" coordorigin="2148,-4277" coordsize="1052,312" path="m2148,-3965l3200,-3965,3200,-4277,2148,-4277,2148,-3965xe" filled="true" fillcolor="#ffffff" stroked="false">
                <v:path arrowok="t"/>
                <v:fill type="solid"/>
              </v:shape>
            </v:group>
            <v:group style="position:absolute;left:2148;top:-3965;width:1052;height:312" coordorigin="2148,-3965" coordsize="1052,312">
              <v:shape style="position:absolute;left:2148;top:-3965;width:1052;height:312" coordorigin="2148,-3965" coordsize="1052,312" path="m2148,-3653l3200,-3653,3200,-3965,2148,-3965,2148,-3653xe" filled="true" fillcolor="#ffffff" stroked="false">
                <v:path arrowok="t"/>
                <v:fill type="solid"/>
              </v:shape>
            </v:group>
            <v:group style="position:absolute;left:2148;top:-3653;width:1052;height:312" coordorigin="2148,-3653" coordsize="1052,312">
              <v:shape style="position:absolute;left:2148;top:-3653;width:1052;height:312" coordorigin="2148,-3653" coordsize="1052,312" path="m2148,-3341l3200,-3341,3200,-3653,2148,-3653,2148,-3341xe" filled="true" fillcolor="#ffffff" stroked="false">
                <v:path arrowok="t"/>
                <v:fill type="solid"/>
              </v:shape>
            </v:group>
            <v:group style="position:absolute;left:2148;top:-3341;width:1052;height:312" coordorigin="2148,-3341" coordsize="1052,312">
              <v:shape style="position:absolute;left:2148;top:-3341;width:1052;height:312" coordorigin="2148,-3341" coordsize="1052,312" path="m2148,-3029l3200,-3029,3200,-3341,2148,-3341,2148,-3029xe" filled="true" fillcolor="#ffffff" stroked="false">
                <v:path arrowok="t"/>
                <v:fill type="solid"/>
              </v:shape>
            </v:group>
            <v:group style="position:absolute;left:2148;top:-3029;width:1052;height:312" coordorigin="2148,-3029" coordsize="1052,312">
              <v:shape style="position:absolute;left:2148;top:-3029;width:1052;height:312" coordorigin="2148,-3029" coordsize="1052,312" path="m2148,-2717l3200,-2717,3200,-3029,2148,-3029,2148,-2717xe" filled="true" fillcolor="#ffffff" stroked="false">
                <v:path arrowok="t"/>
                <v:fill type="solid"/>
              </v:shape>
            </v:group>
            <v:group style="position:absolute;left:2148;top:-2717;width:1052;height:312" coordorigin="2148,-2717" coordsize="1052,312">
              <v:shape style="position:absolute;left:2148;top:-2717;width:1052;height:312" coordorigin="2148,-2717" coordsize="1052,312" path="m2148,-2405l3200,-2405,3200,-2717,2148,-2717,2148,-2405xe" filled="true" fillcolor="#ffffff" stroked="false">
                <v:path arrowok="t"/>
                <v:fill type="solid"/>
              </v:shape>
            </v:group>
            <v:group style="position:absolute;left:2148;top:-2405;width:1052;height:312" coordorigin="2148,-2405" coordsize="1052,312">
              <v:shape style="position:absolute;left:2148;top:-2405;width:1052;height:312" coordorigin="2148,-2405" coordsize="1052,312" path="m2148,-2093l3200,-2093,3200,-2405,2148,-2405,2148,-2093xe" filled="true" fillcolor="#ffffff" stroked="false">
                <v:path arrowok="t"/>
                <v:fill type="solid"/>
              </v:shape>
            </v:group>
            <v:group style="position:absolute;left:2148;top:-2093;width:1052;height:312" coordorigin="2148,-2093" coordsize="1052,312">
              <v:shape style="position:absolute;left:2148;top:-2093;width:1052;height:312" coordorigin="2148,-2093" coordsize="1052,312" path="m2148,-1781l3200,-1781,3200,-2093,2148,-2093,2148,-1781xe" filled="true" fillcolor="#ffffff" stroked="false">
                <v:path arrowok="t"/>
                <v:fill type="solid"/>
              </v:shape>
            </v:group>
            <w10:wrap type="none"/>
          </v:group>
        </w:pict>
      </w:r>
      <w:r>
        <w:rPr/>
        <w:t>应付关联方债务</w:t>
      </w:r>
      <w:r>
        <w:rPr>
          <w:rFonts w:ascii="宋体" w:hAnsi="宋体" w:cs="宋体" w:eastAsia="宋体" w:hint="default"/>
        </w:rPr>
        <w:t> </w:t>
      </w:r>
    </w:p>
    <w:p>
      <w:pPr>
        <w:spacing w:line="240" w:lineRule="auto" w:before="12"/>
        <w:rPr>
          <w:rFonts w:ascii="宋体" w:hAnsi="宋体" w:cs="宋体" w:eastAsia="宋体" w:hint="default"/>
          <w:sz w:val="6"/>
          <w:szCs w:val="6"/>
        </w:rPr>
      </w:pPr>
    </w:p>
    <w:tbl>
      <w:tblPr>
        <w:tblW w:w="0" w:type="auto"/>
        <w:jc w:val="left"/>
        <w:tblInd w:w="148" w:type="dxa"/>
        <w:tblLayout w:type="fixed"/>
        <w:tblCellMar>
          <w:top w:w="0" w:type="dxa"/>
          <w:left w:w="0" w:type="dxa"/>
          <w:bottom w:w="0" w:type="dxa"/>
          <w:right w:w="0" w:type="dxa"/>
        </w:tblCellMar>
        <w:tblLook w:val="01E0"/>
      </w:tblPr>
      <w:tblGrid>
        <w:gridCol w:w="2127"/>
        <w:gridCol w:w="1419"/>
        <w:gridCol w:w="850"/>
        <w:gridCol w:w="850"/>
        <w:gridCol w:w="852"/>
        <w:gridCol w:w="850"/>
        <w:gridCol w:w="852"/>
        <w:gridCol w:w="850"/>
        <w:gridCol w:w="924"/>
      </w:tblGrid>
      <w:tr>
        <w:trPr>
          <w:trHeight w:val="946" w:hRule="exact"/>
        </w:trPr>
        <w:tc>
          <w:tcPr>
            <w:tcW w:w="21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790" w:right="0"/>
              <w:jc w:val="left"/>
              <w:rPr>
                <w:rFonts w:ascii="宋体" w:hAnsi="宋体" w:cs="宋体" w:eastAsia="宋体" w:hint="default"/>
                <w:sz w:val="18"/>
                <w:szCs w:val="18"/>
              </w:rPr>
            </w:pPr>
            <w:r>
              <w:rPr>
                <w:rFonts w:ascii="宋体" w:hAnsi="宋体" w:cs="宋体" w:eastAsia="宋体" w:hint="default"/>
                <w:sz w:val="18"/>
                <w:szCs w:val="18"/>
              </w:rPr>
              <w:t>关联方</w:t>
            </w:r>
            <w:r>
              <w:rPr>
                <w:rFonts w:ascii="宋体" w:hAnsi="宋体" w:cs="宋体" w:eastAsia="宋体" w:hint="default"/>
                <w:sz w:val="18"/>
                <w:szCs w:val="18"/>
              </w:rPr>
              <w:t> </w:t>
            </w:r>
          </w:p>
        </w:tc>
        <w:tc>
          <w:tcPr>
            <w:tcW w:w="14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87" w:right="0"/>
              <w:jc w:val="center"/>
              <w:rPr>
                <w:rFonts w:ascii="宋体" w:hAnsi="宋体" w:cs="宋体" w:eastAsia="宋体" w:hint="default"/>
                <w:sz w:val="18"/>
                <w:szCs w:val="18"/>
              </w:rPr>
            </w:pPr>
            <w:r>
              <w:rPr>
                <w:rFonts w:ascii="宋体" w:hAnsi="宋体" w:cs="宋体" w:eastAsia="宋体" w:hint="default"/>
                <w:sz w:val="18"/>
                <w:szCs w:val="18"/>
              </w:rPr>
              <w:t>关联关系</w:t>
            </w:r>
            <w:r>
              <w:rPr>
                <w:rFonts w:ascii="宋体" w:hAnsi="宋体" w:cs="宋体" w:eastAsia="宋体" w:hint="default"/>
                <w:sz w:val="18"/>
                <w:szCs w:val="18"/>
              </w:rPr>
              <w:t> </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right="5"/>
              <w:jc w:val="right"/>
              <w:rPr>
                <w:rFonts w:ascii="宋体" w:hAnsi="宋体" w:cs="宋体" w:eastAsia="宋体" w:hint="default"/>
                <w:sz w:val="18"/>
                <w:szCs w:val="18"/>
              </w:rPr>
            </w:pPr>
            <w:r>
              <w:rPr>
                <w:rFonts w:ascii="宋体" w:hAnsi="宋体" w:cs="宋体" w:eastAsia="宋体" w:hint="default"/>
                <w:sz w:val="18"/>
                <w:szCs w:val="18"/>
              </w:rPr>
              <w:t>形成原因</w:t>
            </w:r>
            <w:r>
              <w:rPr>
                <w:rFonts w:ascii="宋体" w:hAnsi="宋体" w:cs="宋体" w:eastAsia="宋体" w:hint="default"/>
                <w:sz w:val="18"/>
                <w:szCs w:val="18"/>
              </w:rPr>
              <w:t> </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59" w:right="0"/>
              <w:jc w:val="left"/>
              <w:rPr>
                <w:rFonts w:ascii="宋体" w:hAnsi="宋体" w:cs="宋体" w:eastAsia="宋体" w:hint="default"/>
                <w:sz w:val="18"/>
                <w:szCs w:val="18"/>
              </w:rPr>
            </w:pPr>
            <w:r>
              <w:rPr>
                <w:rFonts w:ascii="宋体" w:hAnsi="宋体" w:cs="宋体" w:eastAsia="宋体" w:hint="default"/>
                <w:sz w:val="18"/>
                <w:szCs w:val="18"/>
              </w:rPr>
              <w:t>期初余额</w:t>
            </w:r>
          </w:p>
          <w:p>
            <w:pPr>
              <w:pStyle w:val="TableParagraph"/>
              <w:spacing w:line="240" w:lineRule="auto" w:before="76"/>
              <w:ind w:left="59" w:right="-31"/>
              <w:jc w:val="left"/>
              <w:rPr>
                <w:rFonts w:ascii="宋体" w:hAnsi="宋体" w:cs="宋体" w:eastAsia="宋体" w:hint="default"/>
                <w:sz w:val="18"/>
                <w:szCs w:val="18"/>
              </w:rPr>
            </w:pPr>
            <w:r>
              <w:rPr>
                <w:rFonts w:ascii="宋体" w:hAnsi="宋体" w:cs="宋体" w:eastAsia="宋体" w:hint="default"/>
                <w:sz w:val="18"/>
                <w:szCs w:val="18"/>
              </w:rPr>
              <w:t>（万元）</w:t>
            </w:r>
            <w:r>
              <w:rPr>
                <w:rFonts w:ascii="宋体" w:hAnsi="宋体" w:cs="宋体" w:eastAsia="宋体" w:hint="default"/>
                <w:sz w:val="18"/>
                <w:szCs w:val="18"/>
              </w:rPr>
              <w:t> </w:t>
            </w:r>
          </w:p>
        </w:tc>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10"/>
              <w:ind w:left="242" w:right="58" w:hanging="180"/>
              <w:jc w:val="left"/>
              <w:rPr>
                <w:rFonts w:ascii="宋体" w:hAnsi="宋体" w:cs="宋体" w:eastAsia="宋体" w:hint="default"/>
                <w:sz w:val="18"/>
                <w:szCs w:val="18"/>
              </w:rPr>
            </w:pPr>
            <w:r>
              <w:rPr>
                <w:rFonts w:ascii="宋体" w:hAnsi="宋体" w:cs="宋体" w:eastAsia="宋体" w:hint="default"/>
                <w:sz w:val="18"/>
                <w:szCs w:val="18"/>
              </w:rPr>
              <w:t>本期新增 金额</w:t>
            </w:r>
            <w:r>
              <w:rPr>
                <w:rFonts w:ascii="宋体" w:hAnsi="宋体" w:cs="宋体" w:eastAsia="宋体" w:hint="default"/>
                <w:sz w:val="18"/>
                <w:szCs w:val="18"/>
              </w:rPr>
              <w:t> </w:t>
            </w:r>
          </w:p>
          <w:p>
            <w:pPr>
              <w:pStyle w:val="TableParagraph"/>
              <w:spacing w:line="240" w:lineRule="auto" w:before="19"/>
              <w:ind w:left="62" w:right="-31"/>
              <w:jc w:val="left"/>
              <w:rPr>
                <w:rFonts w:ascii="宋体" w:hAnsi="宋体" w:cs="宋体" w:eastAsia="宋体" w:hint="default"/>
                <w:sz w:val="18"/>
                <w:szCs w:val="18"/>
              </w:rPr>
            </w:pPr>
            <w:r>
              <w:rPr>
                <w:rFonts w:ascii="宋体" w:hAnsi="宋体" w:cs="宋体" w:eastAsia="宋体" w:hint="default"/>
                <w:sz w:val="18"/>
                <w:szCs w:val="18"/>
              </w:rPr>
              <w:t>（万元）</w:t>
            </w:r>
            <w:r>
              <w:rPr>
                <w:rFonts w:ascii="宋体" w:hAnsi="宋体" w:cs="宋体" w:eastAsia="宋体" w:hint="default"/>
                <w:sz w:val="18"/>
                <w:szCs w:val="18"/>
              </w:rPr>
              <w:t> </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10"/>
              <w:ind w:left="239" w:right="59" w:hanging="180"/>
              <w:jc w:val="left"/>
              <w:rPr>
                <w:rFonts w:ascii="宋体" w:hAnsi="宋体" w:cs="宋体" w:eastAsia="宋体" w:hint="default"/>
                <w:sz w:val="18"/>
                <w:szCs w:val="18"/>
              </w:rPr>
            </w:pPr>
            <w:r>
              <w:rPr>
                <w:rFonts w:ascii="宋体" w:hAnsi="宋体" w:cs="宋体" w:eastAsia="宋体" w:hint="default"/>
                <w:sz w:val="18"/>
                <w:szCs w:val="18"/>
              </w:rPr>
              <w:t>本期归还 金额</w:t>
            </w:r>
            <w:r>
              <w:rPr>
                <w:rFonts w:ascii="宋体" w:hAnsi="宋体" w:cs="宋体" w:eastAsia="宋体" w:hint="default"/>
                <w:sz w:val="18"/>
                <w:szCs w:val="18"/>
              </w:rPr>
              <w:t> </w:t>
            </w:r>
          </w:p>
          <w:p>
            <w:pPr>
              <w:pStyle w:val="TableParagraph"/>
              <w:spacing w:line="240" w:lineRule="auto" w:before="19"/>
              <w:ind w:left="59" w:right="-31"/>
              <w:jc w:val="left"/>
              <w:rPr>
                <w:rFonts w:ascii="宋体" w:hAnsi="宋体" w:cs="宋体" w:eastAsia="宋体" w:hint="default"/>
                <w:sz w:val="18"/>
                <w:szCs w:val="18"/>
              </w:rPr>
            </w:pPr>
            <w:r>
              <w:rPr>
                <w:rFonts w:ascii="宋体" w:hAnsi="宋体" w:cs="宋体" w:eastAsia="宋体" w:hint="default"/>
                <w:sz w:val="18"/>
                <w:szCs w:val="18"/>
              </w:rPr>
              <w:t>（万元）</w:t>
            </w:r>
            <w:r>
              <w:rPr>
                <w:rFonts w:ascii="宋体" w:hAnsi="宋体" w:cs="宋体" w:eastAsia="宋体" w:hint="default"/>
                <w:sz w:val="18"/>
                <w:szCs w:val="18"/>
              </w:rPr>
              <w:t> </w:t>
            </w:r>
          </w:p>
        </w:tc>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240" w:right="0"/>
              <w:jc w:val="left"/>
              <w:rPr>
                <w:rFonts w:ascii="宋体" w:hAnsi="宋体" w:cs="宋体" w:eastAsia="宋体" w:hint="default"/>
                <w:sz w:val="18"/>
                <w:szCs w:val="18"/>
              </w:rPr>
            </w:pPr>
            <w:r>
              <w:rPr>
                <w:rFonts w:ascii="宋体" w:hAnsi="宋体" w:cs="宋体" w:eastAsia="宋体" w:hint="default"/>
                <w:sz w:val="18"/>
                <w:szCs w:val="18"/>
              </w:rPr>
              <w:t>利率</w:t>
            </w:r>
            <w:r>
              <w:rPr>
                <w:rFonts w:ascii="宋体" w:hAnsi="宋体" w:cs="宋体" w:eastAsia="宋体" w:hint="default"/>
                <w:sz w:val="18"/>
                <w:szCs w:val="18"/>
              </w:rPr>
              <w:t> </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59" w:right="0"/>
              <w:jc w:val="left"/>
              <w:rPr>
                <w:rFonts w:ascii="宋体" w:hAnsi="宋体" w:cs="宋体" w:eastAsia="宋体" w:hint="default"/>
                <w:sz w:val="18"/>
                <w:szCs w:val="18"/>
              </w:rPr>
            </w:pPr>
            <w:r>
              <w:rPr>
                <w:rFonts w:ascii="宋体" w:hAnsi="宋体" w:cs="宋体" w:eastAsia="宋体" w:hint="default"/>
                <w:sz w:val="18"/>
                <w:szCs w:val="18"/>
              </w:rPr>
              <w:t>本期利息</w:t>
            </w:r>
          </w:p>
          <w:p>
            <w:pPr>
              <w:pStyle w:val="TableParagraph"/>
              <w:spacing w:line="240" w:lineRule="auto" w:before="76"/>
              <w:ind w:left="59" w:right="-31"/>
              <w:jc w:val="left"/>
              <w:rPr>
                <w:rFonts w:ascii="宋体" w:hAnsi="宋体" w:cs="宋体" w:eastAsia="宋体" w:hint="default"/>
                <w:sz w:val="18"/>
                <w:szCs w:val="18"/>
              </w:rPr>
            </w:pPr>
            <w:r>
              <w:rPr>
                <w:rFonts w:ascii="宋体" w:hAnsi="宋体" w:cs="宋体" w:eastAsia="宋体" w:hint="default"/>
                <w:sz w:val="18"/>
                <w:szCs w:val="18"/>
              </w:rPr>
              <w:t>（万元）</w:t>
            </w:r>
            <w:r>
              <w:rPr>
                <w:rFonts w:ascii="宋体" w:hAnsi="宋体" w:cs="宋体" w:eastAsia="宋体" w:hint="default"/>
                <w:sz w:val="18"/>
                <w:szCs w:val="18"/>
              </w:rPr>
              <w:t> </w:t>
            </w:r>
          </w:p>
        </w:tc>
        <w:tc>
          <w:tcPr>
            <w:tcW w:w="9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96"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p>
            <w:pPr>
              <w:pStyle w:val="TableParagraph"/>
              <w:spacing w:line="240" w:lineRule="auto" w:before="76"/>
              <w:ind w:left="96" w:right="0"/>
              <w:jc w:val="left"/>
              <w:rPr>
                <w:rFonts w:ascii="宋体" w:hAnsi="宋体" w:cs="宋体" w:eastAsia="宋体" w:hint="default"/>
                <w:sz w:val="18"/>
                <w:szCs w:val="18"/>
              </w:rPr>
            </w:pPr>
            <w:r>
              <w:rPr>
                <w:rFonts w:ascii="宋体" w:hAnsi="宋体" w:cs="宋体" w:eastAsia="宋体" w:hint="default"/>
                <w:sz w:val="18"/>
                <w:szCs w:val="18"/>
              </w:rPr>
              <w:t>（万元）</w:t>
            </w:r>
            <w:r>
              <w:rPr>
                <w:rFonts w:ascii="宋体" w:hAnsi="宋体" w:cs="宋体" w:eastAsia="宋体" w:hint="default"/>
                <w:sz w:val="18"/>
                <w:szCs w:val="18"/>
              </w:rPr>
              <w:t> </w:t>
            </w:r>
          </w:p>
        </w:tc>
      </w:tr>
      <w:tr>
        <w:trPr>
          <w:trHeight w:val="634" w:hRule="exact"/>
        </w:trPr>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4" w:right="111"/>
              <w:jc w:val="left"/>
              <w:rPr>
                <w:rFonts w:ascii="宋体" w:hAnsi="宋体" w:cs="宋体" w:eastAsia="宋体" w:hint="default"/>
                <w:sz w:val="18"/>
                <w:szCs w:val="18"/>
              </w:rPr>
            </w:pPr>
            <w:r>
              <w:rPr>
                <w:rFonts w:ascii="宋体" w:hAnsi="宋体" w:cs="宋体" w:eastAsia="宋体" w:hint="default"/>
                <w:sz w:val="18"/>
                <w:szCs w:val="18"/>
              </w:rPr>
              <w:t>宁波保税区嘉语春华投资 合伙企业（有限合伙）</w:t>
            </w:r>
            <w:r>
              <w:rPr>
                <w:rFonts w:ascii="宋体" w:hAnsi="宋体" w:cs="宋体" w:eastAsia="宋体" w:hint="default"/>
                <w:sz w:val="18"/>
                <w:szCs w:val="18"/>
              </w:rPr>
              <w:t> </w:t>
            </w:r>
          </w:p>
        </w:tc>
        <w:tc>
          <w:tcPr>
            <w:tcW w:w="1419"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316" w:lineRule="auto"/>
              <w:ind w:left="23" w:right="75"/>
              <w:jc w:val="both"/>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spacing w:val="-44"/>
                <w:sz w:val="18"/>
                <w:szCs w:val="18"/>
              </w:rPr>
              <w:t> </w:t>
            </w:r>
            <w:r>
              <w:rPr>
                <w:rFonts w:ascii="宋体" w:hAnsi="宋体" w:cs="宋体" w:eastAsia="宋体" w:hint="default"/>
                <w:sz w:val="18"/>
                <w:szCs w:val="18"/>
              </w:rPr>
              <w:t>5%</w:t>
            </w:r>
            <w:r>
              <w:rPr>
                <w:rFonts w:ascii="宋体" w:hAnsi="宋体" w:cs="宋体" w:eastAsia="宋体" w:hint="default"/>
                <w:sz w:val="18"/>
                <w:szCs w:val="18"/>
              </w:rPr>
              <w:t>以上股东 刘英魁控制的公 司</w:t>
            </w:r>
            <w:r>
              <w:rPr>
                <w:rFonts w:ascii="宋体" w:hAnsi="宋体" w:cs="宋体" w:eastAsia="宋体" w:hint="default"/>
                <w:sz w:val="18"/>
                <w:szCs w:val="18"/>
              </w:rPr>
              <w:t> </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5"/>
              <w:jc w:val="right"/>
              <w:rPr>
                <w:rFonts w:ascii="宋体" w:hAnsi="宋体" w:cs="宋体" w:eastAsia="宋体" w:hint="default"/>
                <w:sz w:val="18"/>
                <w:szCs w:val="18"/>
              </w:rPr>
            </w:pPr>
            <w:r>
              <w:rPr>
                <w:rFonts w:ascii="宋体" w:hAnsi="宋体" w:cs="宋体" w:eastAsia="宋体" w:hint="default"/>
                <w:sz w:val="18"/>
                <w:szCs w:val="18"/>
              </w:rPr>
              <w:t>股权收购</w:t>
            </w:r>
            <w:r>
              <w:rPr>
                <w:rFonts w:ascii="宋体" w:hAnsi="宋体" w:cs="宋体" w:eastAsia="宋体" w:hint="default"/>
                <w:sz w:val="18"/>
                <w:szCs w:val="18"/>
              </w:rPr>
              <w:t> </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8"/>
              <w:jc w:val="right"/>
              <w:rPr>
                <w:rFonts w:ascii="宋体" w:hAnsi="宋体" w:cs="宋体" w:eastAsia="宋体" w:hint="default"/>
                <w:sz w:val="18"/>
                <w:szCs w:val="18"/>
              </w:rPr>
            </w:pPr>
            <w:r>
              <w:rPr>
                <w:rFonts w:ascii="宋体"/>
                <w:spacing w:val="-1"/>
                <w:sz w:val="18"/>
              </w:rPr>
              <w:t>25,900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9"/>
              <w:jc w:val="right"/>
              <w:rPr>
                <w:rFonts w:ascii="宋体" w:hAnsi="宋体" w:cs="宋体" w:eastAsia="宋体" w:hint="default"/>
                <w:sz w:val="18"/>
                <w:szCs w:val="18"/>
              </w:rPr>
            </w:pPr>
            <w:r>
              <w:rPr>
                <w:rFonts w:ascii="宋体"/>
                <w:spacing w:val="-1"/>
                <w:sz w:val="18"/>
              </w:rPr>
              <w:t>1,108.52</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8"/>
              <w:jc w:val="right"/>
              <w:rPr>
                <w:rFonts w:ascii="宋体" w:hAnsi="宋体" w:cs="宋体" w:eastAsia="宋体" w:hint="default"/>
                <w:sz w:val="18"/>
                <w:szCs w:val="18"/>
              </w:rPr>
            </w:pPr>
            <w:r>
              <w:rPr>
                <w:rFonts w:ascii="宋体"/>
                <w:sz w:val="18"/>
              </w:rPr>
              <w:t>--</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9"/>
              <w:jc w:val="right"/>
              <w:rPr>
                <w:rFonts w:ascii="宋体" w:hAnsi="宋体" w:cs="宋体" w:eastAsia="宋体" w:hint="default"/>
                <w:sz w:val="18"/>
                <w:szCs w:val="18"/>
              </w:rPr>
            </w:pPr>
            <w:r>
              <w:rPr>
                <w:rFonts w:ascii="宋体" w:hAnsi="宋体" w:cs="宋体" w:eastAsia="宋体" w:hint="default"/>
                <w:sz w:val="18"/>
                <w:szCs w:val="18"/>
              </w:rPr>
              <w:t>0.02%/</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9"/>
              <w:jc w:val="right"/>
              <w:rPr>
                <w:rFonts w:ascii="宋体" w:hAnsi="宋体" w:cs="宋体" w:eastAsia="宋体" w:hint="default"/>
                <w:sz w:val="18"/>
                <w:szCs w:val="18"/>
              </w:rPr>
            </w:pPr>
            <w:r>
              <w:rPr>
                <w:rFonts w:ascii="宋体"/>
                <w:spacing w:val="-1"/>
                <w:sz w:val="18"/>
              </w:rPr>
              <w:t>1,108.52</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1"/>
              <w:jc w:val="right"/>
              <w:rPr>
                <w:rFonts w:ascii="宋体" w:hAnsi="宋体" w:cs="宋体" w:eastAsia="宋体" w:hint="default"/>
                <w:sz w:val="18"/>
                <w:szCs w:val="18"/>
              </w:rPr>
            </w:pPr>
            <w:r>
              <w:rPr>
                <w:rFonts w:ascii="宋体"/>
                <w:spacing w:val="-1"/>
                <w:sz w:val="18"/>
              </w:rPr>
              <w:t>27,008.52</w:t>
            </w:r>
          </w:p>
        </w:tc>
      </w:tr>
      <w:tr>
        <w:trPr>
          <w:trHeight w:val="634" w:hRule="exact"/>
        </w:trPr>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4" w:right="111"/>
              <w:jc w:val="left"/>
              <w:rPr>
                <w:rFonts w:ascii="宋体" w:hAnsi="宋体" w:cs="宋体" w:eastAsia="宋体" w:hint="default"/>
                <w:sz w:val="18"/>
                <w:szCs w:val="18"/>
              </w:rPr>
            </w:pPr>
            <w:r>
              <w:rPr>
                <w:rFonts w:ascii="宋体" w:hAnsi="宋体" w:cs="宋体" w:eastAsia="宋体" w:hint="default"/>
                <w:sz w:val="18"/>
                <w:szCs w:val="18"/>
              </w:rPr>
              <w:t>宁波保税区嘉惠秋实投资 合伙企业（有限合伙）</w:t>
            </w:r>
            <w:r>
              <w:rPr>
                <w:rFonts w:ascii="宋体" w:hAnsi="宋体" w:cs="宋体" w:eastAsia="宋体" w:hint="default"/>
                <w:sz w:val="18"/>
                <w:szCs w:val="18"/>
              </w:rPr>
              <w:t> </w:t>
            </w:r>
          </w:p>
        </w:tc>
        <w:tc>
          <w:tcPr>
            <w:tcW w:w="1419" w:type="dxa"/>
            <w:vMerge/>
            <w:tcBorders>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5"/>
              <w:jc w:val="right"/>
              <w:rPr>
                <w:rFonts w:ascii="宋体" w:hAnsi="宋体" w:cs="宋体" w:eastAsia="宋体" w:hint="default"/>
                <w:sz w:val="18"/>
                <w:szCs w:val="18"/>
              </w:rPr>
            </w:pPr>
            <w:r>
              <w:rPr>
                <w:rFonts w:ascii="宋体" w:hAnsi="宋体" w:cs="宋体" w:eastAsia="宋体" w:hint="default"/>
                <w:sz w:val="18"/>
                <w:szCs w:val="18"/>
              </w:rPr>
              <w:t>股权收购</w:t>
            </w:r>
            <w:r>
              <w:rPr>
                <w:rFonts w:ascii="宋体" w:hAnsi="宋体" w:cs="宋体" w:eastAsia="宋体" w:hint="default"/>
                <w:sz w:val="18"/>
                <w:szCs w:val="18"/>
              </w:rPr>
              <w:t> </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8"/>
              <w:jc w:val="right"/>
              <w:rPr>
                <w:rFonts w:ascii="宋体" w:hAnsi="宋体" w:cs="宋体" w:eastAsia="宋体" w:hint="default"/>
                <w:sz w:val="18"/>
                <w:szCs w:val="18"/>
              </w:rPr>
            </w:pPr>
            <w:r>
              <w:rPr>
                <w:rFonts w:ascii="宋体"/>
                <w:sz w:val="18"/>
              </w:rPr>
              <w:t>7,400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9"/>
              <w:jc w:val="right"/>
              <w:rPr>
                <w:rFonts w:ascii="宋体" w:hAnsi="宋体" w:cs="宋体" w:eastAsia="宋体" w:hint="default"/>
                <w:sz w:val="18"/>
                <w:szCs w:val="18"/>
              </w:rPr>
            </w:pPr>
            <w:r>
              <w:rPr>
                <w:rFonts w:ascii="宋体"/>
                <w:spacing w:val="-1"/>
                <w:sz w:val="18"/>
              </w:rPr>
              <w:t>316.72</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8"/>
              <w:jc w:val="right"/>
              <w:rPr>
                <w:rFonts w:ascii="宋体" w:hAnsi="宋体" w:cs="宋体" w:eastAsia="宋体" w:hint="default"/>
                <w:sz w:val="18"/>
                <w:szCs w:val="18"/>
              </w:rPr>
            </w:pPr>
            <w:r>
              <w:rPr>
                <w:rFonts w:ascii="宋体"/>
                <w:sz w:val="18"/>
              </w:rPr>
              <w:t>--</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hAnsi="宋体" w:cs="宋体" w:eastAsia="宋体" w:hint="default"/>
                <w:sz w:val="18"/>
                <w:szCs w:val="18"/>
              </w:rPr>
              <w:t>0.02%/</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9"/>
              <w:jc w:val="right"/>
              <w:rPr>
                <w:rFonts w:ascii="宋体" w:hAnsi="宋体" w:cs="宋体" w:eastAsia="宋体" w:hint="default"/>
                <w:sz w:val="18"/>
                <w:szCs w:val="18"/>
              </w:rPr>
            </w:pPr>
            <w:r>
              <w:rPr>
                <w:rFonts w:ascii="宋体"/>
                <w:spacing w:val="-1"/>
                <w:sz w:val="18"/>
              </w:rPr>
              <w:t>316.72</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1"/>
              <w:jc w:val="right"/>
              <w:rPr>
                <w:rFonts w:ascii="宋体" w:hAnsi="宋体" w:cs="宋体" w:eastAsia="宋体" w:hint="default"/>
                <w:sz w:val="18"/>
                <w:szCs w:val="18"/>
              </w:rPr>
            </w:pPr>
            <w:r>
              <w:rPr>
                <w:rFonts w:ascii="宋体"/>
                <w:spacing w:val="-1"/>
                <w:sz w:val="18"/>
              </w:rPr>
              <w:t>7.716.72</w:t>
            </w:r>
          </w:p>
        </w:tc>
      </w:tr>
      <w:tr>
        <w:trPr>
          <w:trHeight w:val="322" w:hRule="exact"/>
        </w:trPr>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刘英魁</w:t>
            </w:r>
            <w:r>
              <w:rPr>
                <w:rFonts w:ascii="宋体" w:hAnsi="宋体" w:cs="宋体" w:eastAsia="宋体" w:hint="default"/>
                <w:sz w:val="18"/>
                <w:szCs w:val="18"/>
              </w:rPr>
              <w:t> </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11"/>
              <w:jc w:val="center"/>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spacing w:val="-45"/>
                <w:sz w:val="18"/>
                <w:szCs w:val="18"/>
              </w:rPr>
              <w:t> </w:t>
            </w:r>
            <w:r>
              <w:rPr>
                <w:rFonts w:ascii="宋体" w:hAnsi="宋体" w:cs="宋体" w:eastAsia="宋体" w:hint="default"/>
                <w:sz w:val="18"/>
                <w:szCs w:val="18"/>
              </w:rPr>
              <w:t>5%</w:t>
            </w:r>
            <w:r>
              <w:rPr>
                <w:rFonts w:ascii="宋体" w:hAnsi="宋体" w:cs="宋体" w:eastAsia="宋体" w:hint="default"/>
                <w:sz w:val="18"/>
                <w:szCs w:val="18"/>
              </w:rPr>
              <w:t>以上股东</w:t>
            </w:r>
            <w:r>
              <w:rPr>
                <w:rFonts w:ascii="宋体" w:hAnsi="宋体" w:cs="宋体" w:eastAsia="宋体" w:hint="default"/>
                <w:sz w:val="18"/>
                <w:szCs w:val="18"/>
              </w:rPr>
              <w:t> </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5"/>
              <w:jc w:val="right"/>
              <w:rPr>
                <w:rFonts w:ascii="宋体" w:hAnsi="宋体" w:cs="宋体" w:eastAsia="宋体" w:hint="default"/>
                <w:sz w:val="18"/>
                <w:szCs w:val="18"/>
              </w:rPr>
            </w:pPr>
            <w:r>
              <w:rPr>
                <w:rFonts w:ascii="宋体" w:hAnsi="宋体" w:cs="宋体" w:eastAsia="宋体" w:hint="default"/>
                <w:sz w:val="18"/>
                <w:szCs w:val="18"/>
              </w:rPr>
              <w:t>股权收购</w:t>
            </w:r>
            <w:r>
              <w:rPr>
                <w:rFonts w:ascii="宋体" w:hAnsi="宋体" w:cs="宋体" w:eastAsia="宋体" w:hint="default"/>
                <w:sz w:val="18"/>
                <w:szCs w:val="18"/>
              </w:rPr>
              <w:t> </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8"/>
              <w:jc w:val="right"/>
              <w:rPr>
                <w:rFonts w:ascii="宋体" w:hAnsi="宋体" w:cs="宋体" w:eastAsia="宋体" w:hint="default"/>
                <w:sz w:val="18"/>
                <w:szCs w:val="18"/>
              </w:rPr>
            </w:pPr>
            <w:r>
              <w:rPr>
                <w:rFonts w:ascii="宋体"/>
                <w:sz w:val="18"/>
              </w:rPr>
              <w:t>4,440</w:t>
            </w:r>
          </w:p>
        </w:tc>
        <w:tc>
          <w:tcPr>
            <w:tcW w:w="85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pacing w:val="-1"/>
                <w:sz w:val="18"/>
              </w:rPr>
              <w:t>4,000.00</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hAnsi="宋体" w:cs="宋体" w:eastAsia="宋体" w:hint="default"/>
                <w:sz w:val="18"/>
                <w:szCs w:val="18"/>
              </w:rPr>
              <w:t>0.02%/</w:t>
            </w:r>
            <w:r>
              <w:rPr>
                <w:rFonts w:ascii="宋体" w:hAnsi="宋体" w:cs="宋体" w:eastAsia="宋体" w:hint="default"/>
                <w:sz w:val="18"/>
                <w:szCs w:val="18"/>
              </w:rPr>
              <w:t>日</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pacing w:val="-1"/>
                <w:sz w:val="18"/>
              </w:rPr>
              <w:t>166.03</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21"/>
              <w:jc w:val="right"/>
              <w:rPr>
                <w:rFonts w:ascii="宋体" w:hAnsi="宋体" w:cs="宋体" w:eastAsia="宋体" w:hint="default"/>
                <w:sz w:val="18"/>
                <w:szCs w:val="18"/>
              </w:rPr>
            </w:pPr>
            <w:r>
              <w:rPr>
                <w:rFonts w:ascii="宋体"/>
                <w:spacing w:val="-1"/>
                <w:sz w:val="18"/>
              </w:rPr>
              <w:t>606.03</w:t>
            </w:r>
          </w:p>
        </w:tc>
      </w:tr>
      <w:tr>
        <w:trPr>
          <w:trHeight w:val="948" w:hRule="exact"/>
        </w:trPr>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24" w:right="0"/>
              <w:jc w:val="left"/>
              <w:rPr>
                <w:rFonts w:ascii="宋体" w:hAnsi="宋体" w:cs="宋体" w:eastAsia="宋体" w:hint="default"/>
                <w:sz w:val="18"/>
                <w:szCs w:val="18"/>
              </w:rPr>
            </w:pPr>
            <w:r>
              <w:rPr>
                <w:rFonts w:ascii="宋体" w:hAnsi="宋体" w:cs="宋体" w:eastAsia="宋体" w:hint="default"/>
                <w:sz w:val="18"/>
                <w:szCs w:val="18"/>
              </w:rPr>
              <w:t>清远市长实建设有限公司</w:t>
            </w:r>
            <w:r>
              <w:rPr>
                <w:rFonts w:ascii="宋体" w:hAnsi="宋体" w:cs="宋体" w:eastAsia="宋体" w:hint="default"/>
                <w:sz w:val="18"/>
                <w:szCs w:val="18"/>
              </w:rPr>
              <w:t> </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3"/>
              <w:ind w:left="23" w:right="29"/>
              <w:jc w:val="left"/>
              <w:rPr>
                <w:rFonts w:ascii="宋体" w:hAnsi="宋体" w:cs="宋体" w:eastAsia="宋体" w:hint="default"/>
                <w:sz w:val="18"/>
                <w:szCs w:val="18"/>
              </w:rPr>
            </w:pPr>
            <w:r>
              <w:rPr>
                <w:rFonts w:ascii="宋体" w:hAnsi="宋体" w:cs="宋体" w:eastAsia="宋体" w:hint="default"/>
                <w:sz w:val="18"/>
                <w:szCs w:val="18"/>
              </w:rPr>
              <w:t>本公司</w:t>
            </w:r>
            <w:r>
              <w:rPr>
                <w:rFonts w:ascii="宋体" w:hAnsi="宋体" w:cs="宋体" w:eastAsia="宋体" w:hint="default"/>
                <w:spacing w:val="-45"/>
                <w:sz w:val="18"/>
                <w:szCs w:val="18"/>
              </w:rPr>
              <w:t> </w:t>
            </w:r>
            <w:r>
              <w:rPr>
                <w:rFonts w:ascii="宋体" w:hAnsi="宋体" w:cs="宋体" w:eastAsia="宋体" w:hint="default"/>
                <w:sz w:val="18"/>
                <w:szCs w:val="18"/>
              </w:rPr>
              <w:t>2015</w:t>
            </w:r>
            <w:r>
              <w:rPr>
                <w:rFonts w:ascii="宋体" w:hAnsi="宋体" w:cs="宋体" w:eastAsia="宋体" w:hint="default"/>
                <w:spacing w:val="-43"/>
                <w:sz w:val="18"/>
                <w:szCs w:val="18"/>
              </w:rPr>
              <w:t> </w:t>
            </w:r>
            <w:r>
              <w:rPr>
                <w:rFonts w:ascii="宋体" w:hAnsi="宋体" w:cs="宋体" w:eastAsia="宋体" w:hint="default"/>
                <w:sz w:val="18"/>
                <w:szCs w:val="18"/>
              </w:rPr>
              <w:t>年重 组收购交易对方 控股子公司</w:t>
            </w:r>
            <w:r>
              <w:rPr>
                <w:rFonts w:ascii="宋体" w:hAnsi="宋体" w:cs="宋体" w:eastAsia="宋体" w:hint="default"/>
                <w:sz w:val="18"/>
                <w:szCs w:val="18"/>
              </w:rPr>
              <w:t> </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3"/>
              <w:ind w:left="23" w:right="95"/>
              <w:jc w:val="both"/>
              <w:rPr>
                <w:rFonts w:ascii="宋体" w:hAnsi="宋体" w:cs="宋体" w:eastAsia="宋体" w:hint="default"/>
                <w:sz w:val="18"/>
                <w:szCs w:val="18"/>
              </w:rPr>
            </w:pPr>
            <w:r>
              <w:rPr>
                <w:rFonts w:ascii="宋体" w:hAnsi="宋体" w:cs="宋体" w:eastAsia="宋体" w:hint="default"/>
                <w:sz w:val="18"/>
                <w:szCs w:val="18"/>
              </w:rPr>
              <w:t>收购之前 分立时形 成</w:t>
            </w:r>
            <w:r>
              <w:rPr>
                <w:rFonts w:ascii="宋体" w:hAnsi="宋体" w:cs="宋体" w:eastAsia="宋体" w:hint="default"/>
                <w:sz w:val="18"/>
                <w:szCs w:val="18"/>
              </w:rPr>
              <w:t> </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9"/>
              <w:jc w:val="right"/>
              <w:rPr>
                <w:rFonts w:ascii="宋体" w:hAnsi="宋体" w:cs="宋体" w:eastAsia="宋体" w:hint="default"/>
                <w:sz w:val="18"/>
                <w:szCs w:val="18"/>
              </w:rPr>
            </w:pPr>
            <w:r>
              <w:rPr>
                <w:rFonts w:ascii="宋体"/>
                <w:spacing w:val="-1"/>
                <w:sz w:val="18"/>
              </w:rPr>
              <w:t>1,308.63</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8"/>
              <w:jc w:val="right"/>
              <w:rPr>
                <w:rFonts w:ascii="宋体" w:hAnsi="宋体" w:cs="宋体" w:eastAsia="宋体" w:hint="default"/>
                <w:sz w:val="18"/>
                <w:szCs w:val="18"/>
              </w:rPr>
            </w:pPr>
            <w:r>
              <w:rPr>
                <w:rFonts w:ascii="宋体"/>
                <w:spacing w:val="-1"/>
                <w:sz w:val="18"/>
              </w:rPr>
              <w:t>2,831.55</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9"/>
              <w:jc w:val="right"/>
              <w:rPr>
                <w:rFonts w:ascii="宋体" w:hAnsi="宋体" w:cs="宋体" w:eastAsia="宋体" w:hint="default"/>
                <w:sz w:val="18"/>
                <w:szCs w:val="18"/>
              </w:rPr>
            </w:pPr>
            <w:r>
              <w:rPr>
                <w:rFonts w:ascii="宋体"/>
                <w:spacing w:val="-1"/>
                <w:sz w:val="18"/>
              </w:rPr>
              <w:t>3,102.53</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0"/>
              <w:jc w:val="right"/>
              <w:rPr>
                <w:rFonts w:ascii="宋体" w:hAnsi="宋体" w:cs="宋体" w:eastAsia="宋体" w:hint="default"/>
                <w:sz w:val="18"/>
                <w:szCs w:val="18"/>
              </w:rPr>
            </w:pPr>
            <w:r>
              <w:rPr>
                <w:rFonts w:ascii="宋体"/>
                <w:sz w:val="18"/>
              </w:rPr>
              <w:t>--</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8"/>
              <w:jc w:val="right"/>
              <w:rPr>
                <w:rFonts w:ascii="宋体" w:hAnsi="宋体" w:cs="宋体" w:eastAsia="宋体" w:hint="default"/>
                <w:sz w:val="18"/>
                <w:szCs w:val="18"/>
              </w:rPr>
            </w:pPr>
            <w:r>
              <w:rPr>
                <w:rFonts w:ascii="宋体"/>
                <w:sz w:val="18"/>
              </w:rPr>
              <w:t>--</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1"/>
              <w:jc w:val="right"/>
              <w:rPr>
                <w:rFonts w:ascii="宋体" w:hAnsi="宋体" w:cs="宋体" w:eastAsia="宋体" w:hint="default"/>
                <w:sz w:val="18"/>
                <w:szCs w:val="18"/>
              </w:rPr>
            </w:pPr>
            <w:r>
              <w:rPr>
                <w:rFonts w:ascii="宋体"/>
                <w:spacing w:val="-1"/>
                <w:sz w:val="18"/>
              </w:rPr>
              <w:t>1,027.66</w:t>
            </w:r>
          </w:p>
        </w:tc>
      </w:tr>
      <w:tr>
        <w:trPr>
          <w:trHeight w:val="634" w:hRule="exact"/>
        </w:trPr>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联动优势科技有限公司</w:t>
            </w:r>
            <w:r>
              <w:rPr>
                <w:rFonts w:ascii="宋体" w:hAnsi="宋体" w:cs="宋体" w:eastAsia="宋体" w:hint="default"/>
                <w:sz w:val="18"/>
                <w:szCs w:val="18"/>
              </w:rPr>
              <w:t> </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3" w:right="123"/>
              <w:jc w:val="left"/>
              <w:rPr>
                <w:rFonts w:ascii="宋体" w:hAnsi="宋体" w:cs="宋体" w:eastAsia="宋体" w:hint="default"/>
                <w:sz w:val="18"/>
                <w:szCs w:val="18"/>
              </w:rPr>
            </w:pPr>
            <w:r>
              <w:rPr>
                <w:rFonts w:ascii="宋体" w:hAnsi="宋体" w:cs="宋体" w:eastAsia="宋体" w:hint="default"/>
                <w:sz w:val="18"/>
                <w:szCs w:val="18"/>
              </w:rPr>
              <w:t>公司董事长吴鹰 是联动优势科技</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3" w:right="95"/>
              <w:jc w:val="left"/>
              <w:rPr>
                <w:rFonts w:ascii="宋体" w:hAnsi="宋体" w:cs="宋体" w:eastAsia="宋体" w:hint="default"/>
                <w:sz w:val="18"/>
                <w:szCs w:val="18"/>
              </w:rPr>
            </w:pPr>
            <w:r>
              <w:rPr>
                <w:rFonts w:ascii="宋体" w:hAnsi="宋体" w:cs="宋体" w:eastAsia="宋体" w:hint="default"/>
                <w:sz w:val="18"/>
                <w:szCs w:val="18"/>
              </w:rPr>
              <w:t>日常关联 交易</w:t>
            </w:r>
            <w:r>
              <w:rPr>
                <w:rFonts w:ascii="宋体" w:hAnsi="宋体" w:cs="宋体" w:eastAsia="宋体" w:hint="default"/>
                <w:sz w:val="18"/>
                <w:szCs w:val="18"/>
              </w:rPr>
              <w:t> </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8"/>
              <w:jc w:val="right"/>
              <w:rPr>
                <w:rFonts w:ascii="宋体" w:hAnsi="宋体" w:cs="宋体" w:eastAsia="宋体" w:hint="default"/>
                <w:sz w:val="18"/>
                <w:szCs w:val="18"/>
              </w:rPr>
            </w:pPr>
            <w:r>
              <w:rPr>
                <w:rFonts w:ascii="宋体"/>
                <w:sz w:val="18"/>
              </w:rPr>
              <w:t>1.19</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8"/>
              <w:jc w:val="right"/>
              <w:rPr>
                <w:rFonts w:ascii="宋体" w:hAnsi="宋体" w:cs="宋体" w:eastAsia="宋体" w:hint="default"/>
                <w:sz w:val="18"/>
                <w:szCs w:val="18"/>
              </w:rPr>
            </w:pPr>
            <w:r>
              <w:rPr>
                <w:rFonts w:ascii="宋体"/>
                <w:sz w:val="18"/>
              </w:rPr>
              <w:t>14.43</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8"/>
              <w:jc w:val="right"/>
              <w:rPr>
                <w:rFonts w:ascii="宋体" w:hAnsi="宋体" w:cs="宋体" w:eastAsia="宋体" w:hint="default"/>
                <w:sz w:val="18"/>
                <w:szCs w:val="18"/>
              </w:rPr>
            </w:pPr>
            <w:r>
              <w:rPr>
                <w:rFonts w:ascii="宋体"/>
                <w:sz w:val="18"/>
              </w:rPr>
              <w:t>15.29</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宋体" w:hAnsi="宋体" w:cs="宋体" w:eastAsia="宋体" w:hint="default"/>
                <w:sz w:val="18"/>
                <w:szCs w:val="18"/>
              </w:rPr>
            </w:pPr>
            <w:r>
              <w:rPr>
                <w:rFonts w:ascii="宋体"/>
                <w:sz w:val="18"/>
              </w:rPr>
              <w:t>--</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8"/>
              <w:jc w:val="right"/>
              <w:rPr>
                <w:rFonts w:ascii="宋体" w:hAnsi="宋体" w:cs="宋体" w:eastAsia="宋体" w:hint="default"/>
                <w:sz w:val="18"/>
                <w:szCs w:val="18"/>
              </w:rPr>
            </w:pPr>
            <w:r>
              <w:rPr>
                <w:rFonts w:ascii="宋体"/>
                <w:sz w:val="18"/>
              </w:rPr>
              <w:t>--</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宋体" w:hAnsi="宋体" w:cs="宋体" w:eastAsia="宋体" w:hint="default"/>
                <w:sz w:val="18"/>
                <w:szCs w:val="18"/>
              </w:rPr>
            </w:pPr>
            <w:r>
              <w:rPr>
                <w:rFonts w:ascii="宋体"/>
                <w:sz w:val="18"/>
              </w:rPr>
              <w:t>0.33</w:t>
            </w:r>
          </w:p>
        </w:tc>
      </w:tr>
    </w:tbl>
    <w:p>
      <w:pPr>
        <w:spacing w:after="0" w:line="240" w:lineRule="auto"/>
        <w:jc w:val="right"/>
        <w:rPr>
          <w:rFonts w:ascii="宋体" w:hAnsi="宋体" w:cs="宋体" w:eastAsia="宋体" w:hint="default"/>
          <w:sz w:val="18"/>
          <w:szCs w:val="18"/>
        </w:rPr>
        <w:sectPr>
          <w:pgSz w:w="11910" w:h="16840"/>
          <w:pgMar w:header="880" w:footer="975" w:top="1100" w:bottom="1160" w:left="980" w:right="0"/>
        </w:sectPr>
      </w:pPr>
    </w:p>
    <w:p>
      <w:pPr>
        <w:spacing w:line="240" w:lineRule="auto" w:before="8"/>
        <w:rPr>
          <w:rFonts w:ascii="宋体" w:hAnsi="宋体" w:cs="宋体" w:eastAsia="宋体" w:hint="default"/>
          <w:sz w:val="24"/>
          <w:szCs w:val="24"/>
        </w:rPr>
      </w:pPr>
    </w:p>
    <w:tbl>
      <w:tblPr>
        <w:tblW w:w="0" w:type="auto"/>
        <w:jc w:val="left"/>
        <w:tblInd w:w="148" w:type="dxa"/>
        <w:tblLayout w:type="fixed"/>
        <w:tblCellMar>
          <w:top w:w="0" w:type="dxa"/>
          <w:left w:w="0" w:type="dxa"/>
          <w:bottom w:w="0" w:type="dxa"/>
          <w:right w:w="0" w:type="dxa"/>
        </w:tblCellMar>
        <w:tblLook w:val="01E0"/>
      </w:tblPr>
      <w:tblGrid>
        <w:gridCol w:w="2127"/>
        <w:gridCol w:w="1419"/>
        <w:gridCol w:w="850"/>
        <w:gridCol w:w="850"/>
        <w:gridCol w:w="852"/>
        <w:gridCol w:w="850"/>
        <w:gridCol w:w="852"/>
        <w:gridCol w:w="850"/>
        <w:gridCol w:w="924"/>
      </w:tblGrid>
      <w:tr>
        <w:trPr>
          <w:trHeight w:val="1258" w:hRule="exact"/>
        </w:trPr>
        <w:tc>
          <w:tcPr>
            <w:tcW w:w="2127" w:type="dxa"/>
            <w:tcBorders>
              <w:top w:val="single" w:sz="4" w:space="0" w:color="000000"/>
              <w:left w:val="single" w:sz="4" w:space="0" w:color="000000"/>
              <w:bottom w:val="single" w:sz="4" w:space="0" w:color="000000"/>
              <w:right w:val="single" w:sz="4" w:space="0" w:color="000000"/>
            </w:tcBorders>
          </w:tcPr>
          <w:p>
            <w:pPr/>
          </w:p>
        </w:tc>
        <w:tc>
          <w:tcPr>
            <w:tcW w:w="1419" w:type="dxa"/>
            <w:tcBorders>
              <w:top w:val="nil" w:sz="6" w:space="0" w:color="auto"/>
              <w:left w:val="single" w:sz="4" w:space="0" w:color="000000"/>
              <w:bottom w:val="single" w:sz="4" w:space="0" w:color="000000"/>
              <w:right w:val="single" w:sz="4" w:space="0" w:color="000000"/>
            </w:tcBorders>
          </w:tcPr>
          <w:p>
            <w:pPr>
              <w:pStyle w:val="TableParagraph"/>
              <w:spacing w:line="319" w:lineRule="auto" w:before="15"/>
              <w:ind w:left="23" w:right="123"/>
              <w:jc w:val="both"/>
              <w:rPr>
                <w:rFonts w:ascii="宋体" w:hAnsi="宋体" w:cs="宋体" w:eastAsia="宋体" w:hint="default"/>
                <w:sz w:val="18"/>
                <w:szCs w:val="18"/>
              </w:rPr>
            </w:pPr>
            <w:r>
              <w:rPr>
                <w:rFonts w:ascii="宋体" w:hAnsi="宋体" w:cs="宋体" w:eastAsia="宋体" w:hint="default"/>
                <w:sz w:val="18"/>
                <w:szCs w:val="18"/>
              </w:rPr>
              <w:t>有限公司母公司 海联金汇科技股 份有限公司的董 事</w:t>
            </w:r>
            <w:r>
              <w:rPr>
                <w:rFonts w:ascii="宋体" w:hAnsi="宋体" w:cs="宋体" w:eastAsia="宋体" w:hint="default"/>
                <w:sz w:val="18"/>
                <w:szCs w:val="18"/>
              </w:rPr>
              <w:t> </w:t>
            </w:r>
          </w:p>
        </w:tc>
        <w:tc>
          <w:tcPr>
            <w:tcW w:w="850"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852"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c>
          <w:tcPr>
            <w:tcW w:w="924" w:type="dxa"/>
            <w:tcBorders>
              <w:top w:val="single" w:sz="4" w:space="0" w:color="000000"/>
              <w:left w:val="single" w:sz="4" w:space="0" w:color="000000"/>
              <w:bottom w:val="single" w:sz="4" w:space="0" w:color="000000"/>
              <w:right w:val="single" w:sz="4" w:space="0" w:color="000000"/>
            </w:tcBorders>
          </w:tcPr>
          <w:p>
            <w:pPr/>
          </w:p>
        </w:tc>
      </w:tr>
      <w:tr>
        <w:trPr>
          <w:trHeight w:val="946" w:hRule="exact"/>
        </w:trPr>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24" w:right="111"/>
              <w:jc w:val="left"/>
              <w:rPr>
                <w:rFonts w:ascii="宋体" w:hAnsi="宋体" w:cs="宋体" w:eastAsia="宋体" w:hint="default"/>
                <w:sz w:val="18"/>
                <w:szCs w:val="18"/>
              </w:rPr>
            </w:pPr>
            <w:r>
              <w:rPr>
                <w:rFonts w:ascii="宋体" w:hAnsi="宋体" w:cs="宋体" w:eastAsia="宋体" w:hint="default"/>
                <w:sz w:val="18"/>
                <w:szCs w:val="18"/>
              </w:rPr>
              <w:t>北京博升优势科技发展有 限公司</w:t>
            </w:r>
            <w:r>
              <w:rPr>
                <w:rFonts w:ascii="宋体" w:hAnsi="宋体" w:cs="宋体" w:eastAsia="宋体" w:hint="default"/>
                <w:sz w:val="18"/>
                <w:szCs w:val="18"/>
              </w:rPr>
              <w:t> </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23" w:right="123"/>
              <w:jc w:val="both"/>
              <w:rPr>
                <w:rFonts w:ascii="宋体" w:hAnsi="宋体" w:cs="宋体" w:eastAsia="宋体" w:hint="default"/>
                <w:sz w:val="18"/>
                <w:szCs w:val="18"/>
              </w:rPr>
            </w:pPr>
            <w:r>
              <w:rPr>
                <w:rFonts w:ascii="宋体" w:hAnsi="宋体" w:cs="宋体" w:eastAsia="宋体" w:hint="default"/>
                <w:sz w:val="18"/>
                <w:szCs w:val="18"/>
              </w:rPr>
              <w:t>本公司董事长吴 鹰也是博升优势 的董事长</w:t>
            </w:r>
            <w:r>
              <w:rPr>
                <w:rFonts w:ascii="宋体" w:hAnsi="宋体" w:cs="宋体" w:eastAsia="宋体" w:hint="default"/>
                <w:sz w:val="18"/>
                <w:szCs w:val="18"/>
              </w:rPr>
              <w:t> </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23" w:right="95"/>
              <w:jc w:val="left"/>
              <w:rPr>
                <w:rFonts w:ascii="宋体" w:hAnsi="宋体" w:cs="宋体" w:eastAsia="宋体" w:hint="default"/>
                <w:sz w:val="18"/>
                <w:szCs w:val="18"/>
              </w:rPr>
            </w:pPr>
            <w:r>
              <w:rPr>
                <w:rFonts w:ascii="宋体" w:hAnsi="宋体" w:cs="宋体" w:eastAsia="宋体" w:hint="default"/>
                <w:sz w:val="18"/>
                <w:szCs w:val="18"/>
              </w:rPr>
              <w:t>日常关联 交易</w:t>
            </w:r>
            <w:r>
              <w:rPr>
                <w:rFonts w:ascii="宋体" w:hAnsi="宋体" w:cs="宋体" w:eastAsia="宋体" w:hint="default"/>
                <w:sz w:val="18"/>
                <w:szCs w:val="18"/>
              </w:rPr>
              <w:t> </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right="17"/>
              <w:jc w:val="right"/>
              <w:rPr>
                <w:rFonts w:ascii="宋体" w:hAnsi="宋体" w:cs="宋体" w:eastAsia="宋体" w:hint="default"/>
                <w:sz w:val="18"/>
                <w:szCs w:val="18"/>
              </w:rPr>
            </w:pPr>
            <w:r>
              <w:rPr>
                <w:rFonts w:ascii="宋体"/>
                <w:sz w:val="18"/>
              </w:rPr>
              <w:t>--</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370" w:right="0"/>
              <w:jc w:val="left"/>
              <w:rPr>
                <w:rFonts w:ascii="宋体" w:hAnsi="宋体" w:cs="宋体" w:eastAsia="宋体" w:hint="default"/>
                <w:sz w:val="18"/>
                <w:szCs w:val="18"/>
              </w:rPr>
            </w:pPr>
            <w:r>
              <w:rPr>
                <w:rFonts w:ascii="宋体"/>
                <w:sz w:val="18"/>
              </w:rPr>
              <w:t>97.75</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367" w:right="0"/>
              <w:jc w:val="left"/>
              <w:rPr>
                <w:rFonts w:ascii="宋体" w:hAnsi="宋体" w:cs="宋体" w:eastAsia="宋体" w:hint="default"/>
                <w:sz w:val="18"/>
                <w:szCs w:val="18"/>
              </w:rPr>
            </w:pPr>
            <w:r>
              <w:rPr>
                <w:rFonts w:ascii="宋体"/>
                <w:sz w:val="18"/>
              </w:rPr>
              <w:t>89.84</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right="19"/>
              <w:jc w:val="right"/>
              <w:rPr>
                <w:rFonts w:ascii="宋体" w:hAnsi="宋体" w:cs="宋体" w:eastAsia="宋体" w:hint="default"/>
                <w:sz w:val="18"/>
                <w:szCs w:val="18"/>
              </w:rPr>
            </w:pPr>
            <w:r>
              <w:rPr>
                <w:rFonts w:ascii="宋体"/>
                <w:sz w:val="18"/>
              </w:rPr>
              <w:t>--</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right="18"/>
              <w:jc w:val="right"/>
              <w:rPr>
                <w:rFonts w:ascii="宋体" w:hAnsi="宋体" w:cs="宋体" w:eastAsia="宋体" w:hint="default"/>
                <w:sz w:val="18"/>
                <w:szCs w:val="18"/>
              </w:rPr>
            </w:pPr>
            <w:r>
              <w:rPr>
                <w:rFonts w:ascii="宋体"/>
                <w:sz w:val="18"/>
              </w:rPr>
              <w:t>--</w:t>
            </w:r>
          </w:p>
        </w:tc>
        <w:tc>
          <w:tcPr>
            <w:tcW w:w="9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530" w:right="0"/>
              <w:jc w:val="left"/>
              <w:rPr>
                <w:rFonts w:ascii="宋体" w:hAnsi="宋体" w:cs="宋体" w:eastAsia="宋体" w:hint="default"/>
                <w:sz w:val="18"/>
                <w:szCs w:val="18"/>
              </w:rPr>
            </w:pPr>
            <w:r>
              <w:rPr>
                <w:rFonts w:ascii="宋体"/>
                <w:sz w:val="18"/>
              </w:rPr>
              <w:t>7.91</w:t>
            </w:r>
          </w:p>
        </w:tc>
      </w:tr>
      <w:tr>
        <w:trPr>
          <w:trHeight w:val="324" w:hRule="exact"/>
        </w:trPr>
        <w:tc>
          <w:tcPr>
            <w:tcW w:w="4395"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关联债务对公司经营成果及财务状况的影响</w:t>
            </w:r>
            <w:r>
              <w:rPr>
                <w:rFonts w:ascii="宋体" w:hAnsi="宋体" w:cs="宋体" w:eastAsia="宋体" w:hint="default"/>
                <w:sz w:val="18"/>
                <w:szCs w:val="18"/>
              </w:rPr>
              <w:t> </w:t>
            </w:r>
          </w:p>
        </w:tc>
        <w:tc>
          <w:tcPr>
            <w:tcW w:w="5178"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有利于公司业务发展。</w:t>
            </w:r>
            <w:r>
              <w:rPr>
                <w:rFonts w:ascii="宋体" w:hAnsi="宋体" w:cs="宋体" w:eastAsia="宋体" w:hint="default"/>
                <w:sz w:val="18"/>
                <w:szCs w:val="18"/>
              </w:rPr>
              <w:t> </w:t>
            </w:r>
          </w:p>
        </w:tc>
      </w:tr>
    </w:tbl>
    <w:p>
      <w:pPr>
        <w:pStyle w:val="BodyText"/>
        <w:spacing w:line="273" w:lineRule="auto"/>
        <w:ind w:right="1133" w:firstLine="420"/>
        <w:jc w:val="left"/>
        <w:rPr>
          <w:rFonts w:ascii="宋体" w:hAnsi="宋体" w:cs="宋体" w:eastAsia="宋体" w:hint="default"/>
        </w:rPr>
      </w:pPr>
      <w:r>
        <w:rPr/>
        <w:t>（</w:t>
      </w:r>
      <w:r>
        <w:rPr>
          <w:rFonts w:ascii="宋体" w:hAnsi="宋体" w:cs="宋体" w:eastAsia="宋体" w:hint="default"/>
        </w:rPr>
        <w:t>1</w:t>
      </w:r>
      <w:r>
        <w:rPr/>
        <w:t>）北京中天嘉华通信技术有限公司历史期间为本公司子公司嘉华信息代收代付酬金。截止报告期</w:t>
      </w:r>
      <w:r>
        <w:rPr>
          <w:w w:val="100"/>
        </w:rPr>
        <w:t> </w:t>
      </w:r>
      <w:r>
        <w:rPr>
          <w:spacing w:val="-7"/>
        </w:rPr>
        <w:t>末，根据前期重组承诺，北京中天嘉华通信技术有限公司已经完成合同转签，对应应收酬金不再代收代付。</w:t>
      </w:r>
      <w:r>
        <w:rPr>
          <w:spacing w:val="-19"/>
        </w:rPr>
        <w:t> </w:t>
      </w:r>
      <w:r>
        <w:rPr>
          <w:spacing w:val="-19"/>
        </w:rPr>
      </w:r>
      <w:r>
        <w:rPr/>
        <w:t>因此，因此本期收回金额</w:t>
      </w:r>
      <w:r>
        <w:rPr>
          <w:spacing w:val="-54"/>
        </w:rPr>
        <w:t> </w:t>
      </w:r>
      <w:r>
        <w:rPr>
          <w:rFonts w:ascii="宋体" w:hAnsi="宋体" w:cs="宋体" w:eastAsia="宋体" w:hint="default"/>
        </w:rPr>
        <w:t>11,382,679.16</w:t>
      </w:r>
      <w:r>
        <w:rPr>
          <w:rFonts w:ascii="宋体" w:hAnsi="宋体" w:cs="宋体" w:eastAsia="宋体" w:hint="default"/>
          <w:spacing w:val="-54"/>
        </w:rPr>
        <w:t> </w:t>
      </w:r>
      <w:r>
        <w:rPr/>
        <w:t>元，期末余额为</w:t>
      </w:r>
      <w:r>
        <w:rPr>
          <w:spacing w:val="-52"/>
        </w:rPr>
        <w:t> </w:t>
      </w:r>
      <w:r>
        <w:rPr>
          <w:rFonts w:ascii="宋体" w:hAnsi="宋体" w:cs="宋体" w:eastAsia="宋体" w:hint="default"/>
        </w:rPr>
        <w:t>0</w:t>
      </w:r>
      <w:r>
        <w:rPr>
          <w:rFonts w:ascii="宋体" w:hAnsi="宋体" w:cs="宋体" w:eastAsia="宋体" w:hint="default"/>
          <w:spacing w:val="-52"/>
        </w:rPr>
        <w:t> </w:t>
      </w:r>
      <w:r>
        <w:rPr>
          <w:spacing w:val="-3"/>
        </w:rPr>
        <w:t>元。</w:t>
      </w:r>
      <w:r>
        <w:rPr>
          <w:rFonts w:ascii="宋体" w:hAnsi="宋体" w:cs="宋体" w:eastAsia="宋体" w:hint="default"/>
        </w:rPr>
        <w:t> </w:t>
      </w:r>
    </w:p>
    <w:p>
      <w:pPr>
        <w:pStyle w:val="BodyText"/>
        <w:spacing w:line="240" w:lineRule="auto" w:before="7"/>
        <w:ind w:left="573" w:right="1133"/>
        <w:jc w:val="left"/>
      </w:pPr>
      <w:r>
        <w:rPr/>
        <w:t>（</w:t>
      </w:r>
      <w:r>
        <w:rPr>
          <w:rFonts w:ascii="宋体" w:hAnsi="宋体" w:cs="宋体" w:eastAsia="宋体" w:hint="default"/>
        </w:rPr>
        <w:t>2</w:t>
      </w:r>
      <w:r>
        <w:rPr/>
        <w:t>）报告期内，本公司子公司嘉华信息与北京东方般若科技发展有限公司发生代收代付业务，截至</w:t>
      </w:r>
    </w:p>
    <w:p>
      <w:pPr>
        <w:pStyle w:val="BodyText"/>
        <w:spacing w:line="240" w:lineRule="auto" w:before="37"/>
        <w:ind w:right="0"/>
        <w:jc w:val="both"/>
      </w:pPr>
      <w:r>
        <w:rPr>
          <w:rFonts w:ascii="宋体" w:hAnsi="宋体" w:cs="宋体" w:eastAsia="宋体" w:hint="default"/>
        </w:rPr>
        <w:t>2019</w:t>
      </w:r>
      <w:r>
        <w:rPr>
          <w:rFonts w:ascii="宋体" w:hAnsi="宋体" w:cs="宋体" w:eastAsia="宋体" w:hint="default"/>
          <w:spacing w:val="-53"/>
        </w:rPr>
        <w:t> </w:t>
      </w:r>
      <w:r>
        <w:rPr/>
        <w:t>年</w:t>
      </w:r>
      <w:r>
        <w:rPr>
          <w:spacing w:val="-51"/>
        </w:rPr>
        <w:t> </w:t>
      </w:r>
      <w:r>
        <w:rPr>
          <w:rFonts w:ascii="宋体" w:hAnsi="宋体" w:cs="宋体" w:eastAsia="宋体" w:hint="default"/>
        </w:rPr>
        <w:t>12</w:t>
      </w:r>
      <w:r>
        <w:rPr>
          <w:rFonts w:ascii="宋体" w:hAnsi="宋体" w:cs="宋体" w:eastAsia="宋体" w:hint="default"/>
          <w:spacing w:val="-53"/>
        </w:rPr>
        <w:t> </w:t>
      </w:r>
      <w:r>
        <w:rPr/>
        <w:t>月</w:t>
      </w:r>
      <w:r>
        <w:rPr>
          <w:spacing w:val="-51"/>
        </w:rPr>
        <w:t> </w:t>
      </w:r>
      <w:r>
        <w:rPr>
          <w:rFonts w:ascii="宋体" w:hAnsi="宋体" w:cs="宋体" w:eastAsia="宋体" w:hint="default"/>
        </w:rPr>
        <w:t>31</w:t>
      </w:r>
      <w:r>
        <w:rPr>
          <w:rFonts w:ascii="宋体" w:hAnsi="宋体" w:cs="宋体" w:eastAsia="宋体" w:hint="default"/>
          <w:spacing w:val="-51"/>
        </w:rPr>
        <w:t> </w:t>
      </w:r>
      <w:r>
        <w:rPr/>
        <w:t>日收回</w:t>
      </w:r>
      <w:r>
        <w:rPr>
          <w:spacing w:val="-51"/>
        </w:rPr>
        <w:t> </w:t>
      </w:r>
      <w:r>
        <w:rPr>
          <w:rFonts w:ascii="宋体" w:hAnsi="宋体" w:cs="宋体" w:eastAsia="宋体" w:hint="default"/>
        </w:rPr>
        <w:t>1,505,516.07</w:t>
      </w:r>
      <w:r>
        <w:rPr>
          <w:rFonts w:ascii="宋体" w:hAnsi="宋体" w:cs="宋体" w:eastAsia="宋体" w:hint="default"/>
          <w:spacing w:val="-50"/>
        </w:rPr>
        <w:t> </w:t>
      </w:r>
      <w:r>
        <w:rPr>
          <w:spacing w:val="-8"/>
        </w:rPr>
        <w:t>元，新增</w:t>
      </w:r>
      <w:r>
        <w:rPr>
          <w:spacing w:val="-51"/>
        </w:rPr>
        <w:t> </w:t>
      </w:r>
      <w:r>
        <w:rPr>
          <w:rFonts w:ascii="宋体" w:hAnsi="宋体" w:cs="宋体" w:eastAsia="宋体" w:hint="default"/>
        </w:rPr>
        <w:t>73,678.41</w:t>
      </w:r>
      <w:r>
        <w:rPr>
          <w:rFonts w:ascii="宋体" w:hAnsi="宋体" w:cs="宋体" w:eastAsia="宋体" w:hint="default"/>
          <w:spacing w:val="-53"/>
        </w:rPr>
        <w:t> </w:t>
      </w:r>
      <w:r>
        <w:rPr>
          <w:spacing w:val="-8"/>
        </w:rPr>
        <w:t>元，截至</w:t>
      </w:r>
      <w:r>
        <w:rPr>
          <w:spacing w:val="-51"/>
        </w:rPr>
        <w:t> </w:t>
      </w:r>
      <w:r>
        <w:rPr>
          <w:rFonts w:ascii="宋体" w:hAnsi="宋体" w:cs="宋体" w:eastAsia="宋体" w:hint="default"/>
        </w:rPr>
        <w:t>2019</w:t>
      </w:r>
      <w:r>
        <w:rPr>
          <w:rFonts w:ascii="宋体" w:hAnsi="宋体" w:cs="宋体" w:eastAsia="宋体" w:hint="default"/>
          <w:spacing w:val="-53"/>
        </w:rPr>
        <w:t> </w:t>
      </w:r>
      <w:r>
        <w:rPr/>
        <w:t>年</w:t>
      </w:r>
      <w:r>
        <w:rPr>
          <w:spacing w:val="-51"/>
        </w:rPr>
        <w:t> </w:t>
      </w:r>
      <w:r>
        <w:rPr>
          <w:rFonts w:ascii="宋体" w:hAnsi="宋体" w:cs="宋体" w:eastAsia="宋体" w:hint="default"/>
        </w:rPr>
        <w:t>12</w:t>
      </w:r>
      <w:r>
        <w:rPr>
          <w:rFonts w:ascii="宋体" w:hAnsi="宋体" w:cs="宋体" w:eastAsia="宋体" w:hint="default"/>
          <w:spacing w:val="-53"/>
        </w:rPr>
        <w:t> </w:t>
      </w:r>
      <w:r>
        <w:rPr/>
        <w:t>月</w:t>
      </w:r>
      <w:r>
        <w:rPr>
          <w:spacing w:val="-51"/>
        </w:rPr>
        <w:t> </w:t>
      </w:r>
      <w:r>
        <w:rPr>
          <w:rFonts w:ascii="宋体" w:hAnsi="宋体" w:cs="宋体" w:eastAsia="宋体" w:hint="default"/>
        </w:rPr>
        <w:t>31</w:t>
      </w:r>
      <w:r>
        <w:rPr>
          <w:rFonts w:ascii="宋体" w:hAnsi="宋体" w:cs="宋体" w:eastAsia="宋体" w:hint="default"/>
          <w:spacing w:val="-53"/>
        </w:rPr>
        <w:t> </w:t>
      </w:r>
      <w:r>
        <w:rPr>
          <w:spacing w:val="-5"/>
        </w:rPr>
        <w:t>日，与北京东方般若</w:t>
      </w:r>
    </w:p>
    <w:p>
      <w:pPr>
        <w:pStyle w:val="BodyText"/>
        <w:spacing w:line="240" w:lineRule="auto" w:before="37"/>
        <w:ind w:right="0"/>
        <w:jc w:val="both"/>
        <w:rPr>
          <w:rFonts w:ascii="宋体" w:hAnsi="宋体" w:cs="宋体" w:eastAsia="宋体" w:hint="default"/>
        </w:rPr>
      </w:pPr>
      <w:r>
        <w:rPr/>
        <w:t>科技发展有限公司往来为</w:t>
      </w:r>
      <w:r>
        <w:rPr>
          <w:spacing w:val="-55"/>
        </w:rPr>
        <w:t> </w:t>
      </w:r>
      <w:r>
        <w:rPr>
          <w:rFonts w:ascii="宋体" w:hAnsi="宋体" w:cs="宋体" w:eastAsia="宋体" w:hint="default"/>
        </w:rPr>
        <w:t>73,678.41</w:t>
      </w:r>
      <w:r>
        <w:rPr>
          <w:rFonts w:ascii="宋体" w:hAnsi="宋体" w:cs="宋体" w:eastAsia="宋体" w:hint="default"/>
          <w:spacing w:val="-55"/>
        </w:rPr>
        <w:t> </w:t>
      </w:r>
      <w:r>
        <w:rPr/>
        <w:t>元。</w:t>
      </w:r>
      <w:r>
        <w:rPr>
          <w:rFonts w:ascii="宋体" w:hAnsi="宋体" w:cs="宋体" w:eastAsia="宋体" w:hint="default"/>
        </w:rPr>
        <w:t> </w:t>
      </w:r>
    </w:p>
    <w:p>
      <w:pPr>
        <w:pStyle w:val="BodyText"/>
        <w:spacing w:line="240" w:lineRule="auto" w:before="37"/>
        <w:ind w:left="573" w:right="1133"/>
        <w:jc w:val="left"/>
        <w:rPr>
          <w:rFonts w:ascii="宋体" w:hAnsi="宋体" w:cs="宋体" w:eastAsia="宋体" w:hint="default"/>
        </w:rPr>
      </w:pPr>
      <w:r>
        <w:rPr>
          <w:spacing w:val="-2"/>
        </w:rPr>
        <w:t>（</w:t>
      </w:r>
      <w:r>
        <w:rPr>
          <w:rFonts w:ascii="宋体" w:hAnsi="宋体" w:cs="宋体" w:eastAsia="宋体" w:hint="default"/>
          <w:spacing w:val="-2"/>
        </w:rPr>
        <w:t>3</w:t>
      </w:r>
      <w:r>
        <w:rPr>
          <w:spacing w:val="-2"/>
        </w:rPr>
        <w:t>）报告期内，公司全资子公司长实通信现金代收长实建设的通信网络工程建设款</w:t>
      </w:r>
      <w:r>
        <w:rPr>
          <w:spacing w:val="25"/>
        </w:rPr>
        <w:t> </w:t>
      </w:r>
      <w:r>
        <w:rPr>
          <w:rFonts w:ascii="宋体" w:hAnsi="宋体" w:cs="宋体" w:eastAsia="宋体" w:hint="default"/>
          <w:spacing w:val="-1"/>
        </w:rPr>
        <w:t>28,215,515.99</w:t>
      </w:r>
    </w:p>
    <w:p>
      <w:pPr>
        <w:pStyle w:val="BodyText"/>
        <w:spacing w:line="240" w:lineRule="auto" w:before="37"/>
        <w:ind w:right="0"/>
        <w:jc w:val="both"/>
      </w:pPr>
      <w:r>
        <w:rPr/>
        <w:t>元，向长实建设代付了</w:t>
      </w:r>
      <w:r>
        <w:rPr>
          <w:spacing w:val="-57"/>
        </w:rPr>
        <w:t> </w:t>
      </w:r>
      <w:r>
        <w:rPr>
          <w:rFonts w:ascii="宋体" w:hAnsi="宋体" w:cs="宋体" w:eastAsia="宋体" w:hint="default"/>
        </w:rPr>
        <w:t>31,025,261.10</w:t>
      </w:r>
      <w:r>
        <w:rPr>
          <w:rFonts w:ascii="宋体" w:hAnsi="宋体" w:cs="宋体" w:eastAsia="宋体" w:hint="default"/>
          <w:spacing w:val="-57"/>
        </w:rPr>
        <w:t> </w:t>
      </w:r>
      <w:r>
        <w:rPr/>
        <w:t>元，期末尚未支付代收代付余额为</w:t>
      </w:r>
      <w:r>
        <w:rPr>
          <w:spacing w:val="-57"/>
        </w:rPr>
        <w:t> </w:t>
      </w:r>
      <w:r>
        <w:rPr>
          <w:rFonts w:ascii="宋体" w:hAnsi="宋体" w:cs="宋体" w:eastAsia="宋体" w:hint="default"/>
        </w:rPr>
        <w:t>10,276,588.07</w:t>
      </w:r>
      <w:r>
        <w:rPr>
          <w:rFonts w:ascii="宋体" w:hAnsi="宋体" w:cs="宋体" w:eastAsia="宋体" w:hint="default"/>
          <w:spacing w:val="-57"/>
        </w:rPr>
        <w:t> </w:t>
      </w:r>
      <w:r>
        <w:rPr/>
        <w:t>元，房租</w:t>
      </w:r>
    </w:p>
    <w:p>
      <w:pPr>
        <w:pStyle w:val="BodyText"/>
        <w:spacing w:line="273" w:lineRule="auto" w:before="37"/>
        <w:ind w:right="1126"/>
        <w:jc w:val="both"/>
        <w:rPr>
          <w:rFonts w:ascii="宋体" w:hAnsi="宋体" w:cs="宋体" w:eastAsia="宋体" w:hint="default"/>
        </w:rPr>
      </w:pPr>
      <w:r>
        <w:rPr>
          <w:rFonts w:ascii="宋体" w:hAnsi="宋体" w:cs="宋体" w:eastAsia="宋体" w:hint="default"/>
        </w:rPr>
        <w:t>100,000.00</w:t>
      </w:r>
      <w:r>
        <w:rPr>
          <w:rFonts w:ascii="宋体" w:hAnsi="宋体" w:cs="宋体" w:eastAsia="宋体" w:hint="default"/>
          <w:spacing w:val="-55"/>
        </w:rPr>
        <w:t> </w:t>
      </w:r>
      <w:r>
        <w:rPr/>
        <w:t>元。该事项是公司</w:t>
      </w:r>
      <w:r>
        <w:rPr>
          <w:spacing w:val="-56"/>
        </w:rPr>
        <w:t> </w:t>
      </w:r>
      <w:r>
        <w:rPr>
          <w:rFonts w:ascii="宋体" w:hAnsi="宋体" w:cs="宋体" w:eastAsia="宋体" w:hint="default"/>
        </w:rPr>
        <w:t>2015</w:t>
      </w:r>
      <w:r>
        <w:rPr>
          <w:rFonts w:ascii="宋体" w:hAnsi="宋体" w:cs="宋体" w:eastAsia="宋体" w:hint="default"/>
          <w:spacing w:val="-58"/>
        </w:rPr>
        <w:t> </w:t>
      </w:r>
      <w:r>
        <w:rPr/>
        <w:t>年重大资产收购的标的资产长实通信在被收购之前分立时形成。在分</w:t>
      </w:r>
      <w:r>
        <w:rPr>
          <w:w w:val="100"/>
        </w:rPr>
        <w:t> </w:t>
      </w:r>
      <w:r>
        <w:rPr>
          <w:spacing w:val="-2"/>
        </w:rPr>
        <w:t>立过程中，原长实通信尚未执行完毕的通信网络工程业务由长实建设实质承接，根据分立合同应由长实建</w:t>
      </w:r>
      <w:r>
        <w:rPr>
          <w:spacing w:val="-43"/>
        </w:rPr>
        <w:t> </w:t>
      </w:r>
      <w:r>
        <w:rPr>
          <w:spacing w:val="-43"/>
        </w:rPr>
      </w:r>
      <w:r>
        <w:rPr/>
        <w:t>设承担的合同义务及相关债权债务，若因相关合同主体无法变更的原因，可委托长实通信代收代付。</w:t>
      </w:r>
      <w:r>
        <w:rPr>
          <w:rFonts w:ascii="宋体" w:hAnsi="宋体" w:cs="宋体" w:eastAsia="宋体" w:hint="default"/>
        </w:rPr>
        <w:t> </w:t>
      </w:r>
    </w:p>
    <w:p>
      <w:pPr>
        <w:pStyle w:val="BodyText"/>
        <w:spacing w:line="240" w:lineRule="auto" w:before="127"/>
        <w:ind w:left="573" w:right="1133"/>
        <w:jc w:val="left"/>
        <w:rPr>
          <w:rFonts w:ascii="宋体" w:hAnsi="宋体" w:cs="宋体" w:eastAsia="宋体" w:hint="default"/>
        </w:rPr>
      </w:pPr>
      <w:r>
        <w:rPr/>
        <w:t>有关上述代收代付临时报告查询索引</w:t>
      </w:r>
      <w:r>
        <w:rPr>
          <w:rFonts w:ascii="宋体" w:hAnsi="宋体" w:cs="宋体" w:eastAsia="宋体" w:hint="default"/>
        </w:rPr>
        <w:t> </w:t>
      </w:r>
    </w:p>
    <w:p>
      <w:pPr>
        <w:spacing w:line="240" w:lineRule="auto" w:before="10"/>
        <w:rPr>
          <w:rFonts w:ascii="宋体" w:hAnsi="宋体" w:cs="宋体" w:eastAsia="宋体" w:hint="default"/>
          <w:sz w:val="3"/>
          <w:szCs w:val="3"/>
        </w:rPr>
      </w:pPr>
    </w:p>
    <w:tbl>
      <w:tblPr>
        <w:tblW w:w="0" w:type="auto"/>
        <w:jc w:val="left"/>
        <w:tblInd w:w="148" w:type="dxa"/>
        <w:tblLayout w:type="fixed"/>
        <w:tblCellMar>
          <w:top w:w="0" w:type="dxa"/>
          <w:left w:w="0" w:type="dxa"/>
          <w:bottom w:w="0" w:type="dxa"/>
          <w:right w:w="0" w:type="dxa"/>
        </w:tblCellMar>
        <w:tblLook w:val="01E0"/>
      </w:tblPr>
      <w:tblGrid>
        <w:gridCol w:w="6381"/>
        <w:gridCol w:w="1702"/>
        <w:gridCol w:w="1700"/>
      </w:tblGrid>
      <w:tr>
        <w:trPr>
          <w:trHeight w:val="528" w:hRule="exact"/>
        </w:trPr>
        <w:tc>
          <w:tcPr>
            <w:tcW w:w="638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3"/>
              <w:ind w:left="90" w:right="0"/>
              <w:jc w:val="center"/>
              <w:rPr>
                <w:rFonts w:ascii="宋体" w:hAnsi="宋体" w:cs="宋体" w:eastAsia="宋体" w:hint="default"/>
                <w:sz w:val="18"/>
                <w:szCs w:val="18"/>
              </w:rPr>
            </w:pPr>
            <w:r>
              <w:rPr>
                <w:rFonts w:ascii="宋体" w:hAnsi="宋体" w:cs="宋体" w:eastAsia="宋体" w:hint="default"/>
                <w:sz w:val="18"/>
                <w:szCs w:val="18"/>
              </w:rPr>
              <w:t>临时报告名称</w:t>
            </w:r>
            <w:r>
              <w:rPr>
                <w:rFonts w:ascii="宋体" w:hAnsi="宋体" w:cs="宋体" w:eastAsia="宋体" w:hint="default"/>
                <w:sz w:val="18"/>
                <w:szCs w:val="18"/>
              </w:rPr>
              <w:t> </w:t>
            </w:r>
          </w:p>
        </w:tc>
        <w:tc>
          <w:tcPr>
            <w:tcW w:w="17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3"/>
              <w:ind w:right="35"/>
              <w:jc w:val="right"/>
              <w:rPr>
                <w:rFonts w:ascii="宋体" w:hAnsi="宋体" w:cs="宋体" w:eastAsia="宋体" w:hint="default"/>
                <w:sz w:val="18"/>
                <w:szCs w:val="18"/>
              </w:rPr>
            </w:pPr>
            <w:r>
              <w:rPr>
                <w:rFonts w:ascii="宋体" w:hAnsi="宋体" w:cs="宋体" w:eastAsia="宋体" w:hint="default"/>
                <w:sz w:val="18"/>
                <w:szCs w:val="18"/>
              </w:rPr>
              <w:t>临时报告披露日期</w:t>
            </w:r>
            <w:r>
              <w:rPr>
                <w:rFonts w:ascii="宋体" w:hAnsi="宋体" w:cs="宋体" w:eastAsia="宋体" w:hint="default"/>
                <w:sz w:val="18"/>
                <w:szCs w:val="18"/>
              </w:rPr>
              <w:t> </w:t>
            </w:r>
          </w:p>
        </w:tc>
        <w:tc>
          <w:tcPr>
            <w:tcW w:w="170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3"/>
              <w:ind w:right="32"/>
              <w:jc w:val="right"/>
              <w:rPr>
                <w:rFonts w:ascii="宋体" w:hAnsi="宋体" w:cs="宋体" w:eastAsia="宋体" w:hint="default"/>
                <w:sz w:val="18"/>
                <w:szCs w:val="18"/>
              </w:rPr>
            </w:pPr>
            <w:r>
              <w:rPr>
                <w:rFonts w:ascii="宋体" w:hAnsi="宋体" w:cs="宋体" w:eastAsia="宋体" w:hint="default"/>
                <w:sz w:val="18"/>
                <w:szCs w:val="18"/>
              </w:rPr>
              <w:t>临时报告披露网站</w:t>
            </w:r>
            <w:r>
              <w:rPr>
                <w:rFonts w:ascii="宋体" w:hAnsi="宋体" w:cs="宋体" w:eastAsia="宋体" w:hint="default"/>
                <w:sz w:val="18"/>
                <w:szCs w:val="18"/>
              </w:rPr>
              <w:t> </w:t>
            </w:r>
          </w:p>
        </w:tc>
      </w:tr>
      <w:tr>
        <w:trPr>
          <w:trHeight w:val="715" w:hRule="exact"/>
        </w:trPr>
        <w:tc>
          <w:tcPr>
            <w:tcW w:w="6381"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3"/>
              <w:ind w:left="103" w:right="100"/>
              <w:jc w:val="left"/>
              <w:rPr>
                <w:rFonts w:ascii="宋体" w:hAnsi="宋体" w:cs="宋体" w:eastAsia="宋体" w:hint="default"/>
                <w:sz w:val="18"/>
                <w:szCs w:val="18"/>
              </w:rPr>
            </w:pPr>
            <w:r>
              <w:rPr>
                <w:rFonts w:ascii="宋体" w:hAnsi="宋体" w:cs="宋体" w:eastAsia="宋体" w:hint="default"/>
                <w:sz w:val="18"/>
                <w:szCs w:val="18"/>
              </w:rPr>
              <w:t>公司重大资产购买暨关联交易报告书</w:t>
            </w:r>
            <w:r>
              <w:rPr>
                <w:rFonts w:ascii="宋体" w:hAnsi="宋体" w:cs="宋体" w:eastAsia="宋体" w:hint="default"/>
                <w:sz w:val="18"/>
                <w:szCs w:val="18"/>
              </w:rPr>
              <w:t>(</w:t>
            </w:r>
            <w:r>
              <w:rPr>
                <w:rFonts w:ascii="宋体" w:hAnsi="宋体" w:cs="宋体" w:eastAsia="宋体" w:hint="default"/>
                <w:sz w:val="18"/>
                <w:szCs w:val="18"/>
              </w:rPr>
              <w:t>草案</w:t>
            </w:r>
            <w:r>
              <w:rPr>
                <w:rFonts w:ascii="宋体" w:hAnsi="宋体" w:cs="宋体" w:eastAsia="宋体" w:hint="default"/>
                <w:sz w:val="18"/>
                <w:szCs w:val="18"/>
              </w:rPr>
              <w:t>)</w:t>
            </w:r>
            <w:r>
              <w:rPr>
                <w:rFonts w:ascii="宋体" w:hAnsi="宋体" w:cs="宋体" w:eastAsia="宋体" w:hint="default"/>
                <w:sz w:val="18"/>
                <w:szCs w:val="18"/>
              </w:rPr>
              <w:t>——相关内容见第四章交易标的情</w:t>
            </w:r>
            <w:r>
              <w:rPr>
                <w:rFonts w:ascii="宋体" w:hAnsi="宋体" w:cs="宋体" w:eastAsia="宋体" w:hint="default"/>
                <w:spacing w:val="-50"/>
                <w:sz w:val="18"/>
                <w:szCs w:val="18"/>
              </w:rPr>
              <w:t> </w:t>
            </w:r>
            <w:r>
              <w:rPr>
                <w:rFonts w:ascii="宋体" w:hAnsi="宋体" w:cs="宋体" w:eastAsia="宋体" w:hint="default"/>
                <w:spacing w:val="-50"/>
                <w:sz w:val="18"/>
                <w:szCs w:val="18"/>
              </w:rPr>
            </w:r>
            <w:r>
              <w:rPr>
                <w:rFonts w:ascii="宋体" w:hAnsi="宋体" w:cs="宋体" w:eastAsia="宋体" w:hint="default"/>
                <w:sz w:val="18"/>
                <w:szCs w:val="18"/>
              </w:rPr>
              <w:t>况“一、</w:t>
            </w:r>
            <w:r>
              <w:rPr>
                <w:rFonts w:ascii="宋体" w:hAnsi="宋体" w:cs="宋体" w:eastAsia="宋体" w:hint="default"/>
                <w:sz w:val="18"/>
                <w:szCs w:val="18"/>
              </w:rPr>
              <w:t>(</w:t>
            </w:r>
            <w:r>
              <w:rPr>
                <w:rFonts w:ascii="宋体" w:hAnsi="宋体" w:cs="宋体" w:eastAsia="宋体" w:hint="default"/>
                <w:sz w:val="18"/>
                <w:szCs w:val="18"/>
              </w:rPr>
              <w:t>二</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3</w:t>
            </w:r>
            <w:r>
              <w:rPr>
                <w:rFonts w:ascii="宋体" w:hAnsi="宋体" w:cs="宋体" w:eastAsia="宋体" w:hint="default"/>
                <w:sz w:val="18"/>
                <w:szCs w:val="18"/>
              </w:rPr>
              <w:t>、原长实通信分立的情况说明”</w:t>
            </w:r>
            <w:r>
              <w:rPr>
                <w:rFonts w:ascii="宋体" w:hAnsi="宋体" w:cs="宋体" w:eastAsia="宋体" w:hint="default"/>
                <w:sz w:val="18"/>
                <w:szCs w:val="18"/>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11"/>
              <w:jc w:val="right"/>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05</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09</w:t>
            </w:r>
            <w:r>
              <w:rPr>
                <w:rFonts w:ascii="宋体" w:hAnsi="宋体" w:cs="宋体" w:eastAsia="宋体" w:hint="default"/>
                <w:spacing w:val="-45"/>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8"/>
              <w:jc w:val="right"/>
              <w:rPr>
                <w:rFonts w:ascii="宋体" w:hAnsi="宋体" w:cs="宋体" w:eastAsia="宋体" w:hint="default"/>
                <w:sz w:val="18"/>
                <w:szCs w:val="18"/>
              </w:rPr>
            </w:pPr>
            <w:r>
              <w:rPr>
                <w:rFonts w:ascii="宋体" w:hAnsi="宋体" w:cs="宋体" w:eastAsia="宋体" w:hint="default"/>
                <w:sz w:val="18"/>
                <w:szCs w:val="18"/>
              </w:rPr>
              <w:t>巨潮资讯网</w:t>
            </w:r>
            <w:r>
              <w:rPr>
                <w:rFonts w:ascii="宋体" w:hAnsi="宋体" w:cs="宋体" w:eastAsia="宋体" w:hint="default"/>
                <w:sz w:val="18"/>
                <w:szCs w:val="18"/>
              </w:rPr>
              <w:t> </w:t>
            </w:r>
          </w:p>
        </w:tc>
      </w:tr>
      <w:tr>
        <w:trPr>
          <w:trHeight w:val="718" w:hRule="exact"/>
        </w:trPr>
        <w:tc>
          <w:tcPr>
            <w:tcW w:w="63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left="103" w:right="11"/>
              <w:jc w:val="left"/>
              <w:rPr>
                <w:rFonts w:ascii="宋体" w:hAnsi="宋体" w:cs="宋体" w:eastAsia="宋体" w:hint="default"/>
                <w:sz w:val="18"/>
                <w:szCs w:val="18"/>
              </w:rPr>
            </w:pPr>
            <w:r>
              <w:rPr>
                <w:rFonts w:ascii="宋体" w:hAnsi="宋体" w:cs="宋体" w:eastAsia="宋体" w:hint="default"/>
                <w:sz w:val="18"/>
                <w:szCs w:val="18"/>
              </w:rPr>
              <w:t>公司发行股份及支付现金购买资产暨关联交易报告书（草案）——相关内容见</w:t>
            </w:r>
            <w:r>
              <w:rPr>
                <w:rFonts w:ascii="宋体" w:hAnsi="宋体" w:cs="宋体" w:eastAsia="宋体" w:hint="default"/>
                <w:spacing w:val="-51"/>
                <w:sz w:val="18"/>
                <w:szCs w:val="18"/>
              </w:rPr>
              <w:t> </w:t>
            </w:r>
            <w:r>
              <w:rPr>
                <w:rFonts w:ascii="宋体" w:hAnsi="宋体" w:cs="宋体" w:eastAsia="宋体" w:hint="default"/>
                <w:spacing w:val="-51"/>
                <w:sz w:val="18"/>
                <w:szCs w:val="18"/>
              </w:rPr>
            </w:r>
            <w:r>
              <w:rPr>
                <w:rFonts w:ascii="宋体" w:hAnsi="宋体" w:cs="宋体" w:eastAsia="宋体" w:hint="default"/>
                <w:spacing w:val="-7"/>
                <w:sz w:val="18"/>
                <w:szCs w:val="18"/>
              </w:rPr>
              <w:t>第四节标的资产基本情况“十、（三）、</w:t>
            </w:r>
            <w:r>
              <w:rPr>
                <w:rFonts w:ascii="宋体" w:hAnsi="宋体" w:cs="宋体" w:eastAsia="宋体" w:hint="default"/>
                <w:spacing w:val="-7"/>
                <w:sz w:val="18"/>
                <w:szCs w:val="18"/>
              </w:rPr>
              <w:t>3</w:t>
            </w:r>
            <w:r>
              <w:rPr>
                <w:rFonts w:ascii="宋体" w:hAnsi="宋体" w:cs="宋体" w:eastAsia="宋体" w:hint="default"/>
                <w:spacing w:val="-7"/>
                <w:sz w:val="18"/>
                <w:szCs w:val="18"/>
              </w:rPr>
              <w:t>、标的公司与主要客户的业务稳定性”</w:t>
            </w:r>
            <w:r>
              <w:rPr>
                <w:rFonts w:ascii="宋体" w:hAnsi="宋体" w:cs="宋体" w:eastAsia="宋体" w:hint="default"/>
                <w:sz w:val="18"/>
                <w:szCs w:val="18"/>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11"/>
              <w:jc w:val="righ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28</w:t>
            </w:r>
            <w:r>
              <w:rPr>
                <w:rFonts w:ascii="宋体" w:hAnsi="宋体" w:cs="宋体" w:eastAsia="宋体" w:hint="default"/>
                <w:spacing w:val="-45"/>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8"/>
              <w:jc w:val="right"/>
              <w:rPr>
                <w:rFonts w:ascii="宋体" w:hAnsi="宋体" w:cs="宋体" w:eastAsia="宋体" w:hint="default"/>
                <w:sz w:val="18"/>
                <w:szCs w:val="18"/>
              </w:rPr>
            </w:pPr>
            <w:r>
              <w:rPr>
                <w:rFonts w:ascii="宋体" w:hAnsi="宋体" w:cs="宋体" w:eastAsia="宋体" w:hint="default"/>
                <w:sz w:val="18"/>
                <w:szCs w:val="18"/>
              </w:rPr>
              <w:t>巨潮资讯网</w:t>
            </w:r>
            <w:r>
              <w:rPr>
                <w:rFonts w:ascii="宋体" w:hAnsi="宋体" w:cs="宋体" w:eastAsia="宋体" w:hint="default"/>
                <w:sz w:val="18"/>
                <w:szCs w:val="18"/>
              </w:rPr>
              <w:t> </w:t>
            </w:r>
          </w:p>
        </w:tc>
      </w:tr>
    </w:tbl>
    <w:p>
      <w:pPr>
        <w:spacing w:line="240" w:lineRule="auto" w:before="3"/>
        <w:rPr>
          <w:rFonts w:ascii="宋体" w:hAnsi="宋体" w:cs="宋体" w:eastAsia="宋体" w:hint="default"/>
          <w:sz w:val="19"/>
          <w:szCs w:val="19"/>
        </w:rPr>
      </w:pPr>
    </w:p>
    <w:p>
      <w:pPr>
        <w:pStyle w:val="Heading3"/>
        <w:spacing w:line="240" w:lineRule="auto"/>
        <w:ind w:right="1133"/>
        <w:jc w:val="left"/>
        <w:rPr>
          <w:b w:val="0"/>
          <w:bCs w:val="0"/>
        </w:rPr>
      </w:pPr>
      <w:r>
        <w:rPr/>
        <w:t>五、其他重大关联交易</w:t>
      </w:r>
      <w:r>
        <w:rPr>
          <w:b w:val="0"/>
          <w:bCs w:val="0"/>
        </w:rPr>
      </w:r>
    </w:p>
    <w:p>
      <w:pPr>
        <w:pStyle w:val="BodyText"/>
        <w:spacing w:line="307" w:lineRule="auto" w:before="75"/>
        <w:ind w:right="7341"/>
        <w:jc w:val="left"/>
        <w:rPr>
          <w:rFonts w:ascii="宋体" w:hAnsi="宋体" w:cs="宋体" w:eastAsia="宋体" w:hint="default"/>
        </w:rPr>
      </w:pPr>
      <w:r>
        <w:rPr/>
        <w:t>□适用 </w:t>
      </w:r>
      <w:r>
        <w:rPr>
          <w:rFonts w:ascii="宋体" w:hAnsi="宋体" w:cs="宋体" w:eastAsia="宋体" w:hint="default"/>
        </w:rPr>
      </w:r>
      <w:r>
        <w:rPr>
          <w:spacing w:val="-3"/>
        </w:rPr>
        <w:t>√不适用</w:t>
      </w:r>
      <w:r>
        <w:rPr>
          <w:spacing w:val="-96"/>
        </w:rPr>
        <w:t> </w:t>
      </w:r>
      <w:r>
        <w:rPr>
          <w:rFonts w:ascii="宋体" w:hAnsi="宋体" w:cs="宋体" w:eastAsia="宋体" w:hint="default"/>
          <w:spacing w:val="-96"/>
        </w:rPr>
      </w:r>
      <w:r>
        <w:rPr/>
        <w:t>公司报告期无其他重大关联交易。</w:t>
      </w:r>
      <w:r>
        <w:rPr>
          <w:rFonts w:ascii="宋体" w:hAnsi="宋体" w:cs="宋体" w:eastAsia="宋体" w:hint="default"/>
        </w:rPr>
        <w:t> </w:t>
      </w:r>
    </w:p>
    <w:p>
      <w:pPr>
        <w:spacing w:line="240" w:lineRule="auto" w:before="12"/>
        <w:rPr>
          <w:rFonts w:ascii="宋体" w:hAnsi="宋体" w:cs="宋体" w:eastAsia="宋体" w:hint="default"/>
          <w:sz w:val="23"/>
          <w:szCs w:val="23"/>
        </w:rPr>
      </w:pPr>
    </w:p>
    <w:p>
      <w:pPr>
        <w:pStyle w:val="Heading2"/>
        <w:spacing w:line="240" w:lineRule="auto" w:before="0"/>
        <w:ind w:left="3345" w:right="1133"/>
        <w:jc w:val="left"/>
        <w:rPr>
          <w:b w:val="0"/>
          <w:bCs w:val="0"/>
        </w:rPr>
      </w:pPr>
      <w:r>
        <w:rPr/>
        <w:t>第五节</w:t>
      </w:r>
      <w:r>
        <w:rPr>
          <w:spacing w:val="-2"/>
        </w:rPr>
        <w:t> </w:t>
      </w:r>
      <w:r>
        <w:rPr/>
        <w:t>重大合同及其履行情况</w:t>
      </w:r>
      <w:r>
        <w:rPr>
          <w:b w:val="0"/>
          <w:bCs w:val="0"/>
        </w:rPr>
      </w:r>
    </w:p>
    <w:p>
      <w:pPr>
        <w:spacing w:line="240" w:lineRule="auto" w:before="9"/>
        <w:rPr>
          <w:rFonts w:ascii="宋体" w:hAnsi="宋体" w:cs="宋体" w:eastAsia="宋体" w:hint="default"/>
          <w:b/>
          <w:bCs/>
          <w:sz w:val="24"/>
          <w:szCs w:val="24"/>
        </w:rPr>
      </w:pPr>
    </w:p>
    <w:p>
      <w:pPr>
        <w:pStyle w:val="Heading3"/>
        <w:spacing w:line="240" w:lineRule="auto" w:before="0"/>
        <w:ind w:left="575" w:right="1133"/>
        <w:jc w:val="left"/>
        <w:rPr>
          <w:b w:val="0"/>
          <w:bCs w:val="0"/>
        </w:rPr>
      </w:pPr>
      <w:r>
        <w:rPr/>
        <w:t>一、托管、承包、租赁情况</w:t>
      </w:r>
      <w:r>
        <w:rPr>
          <w:b w:val="0"/>
          <w:bCs w:val="0"/>
        </w:rPr>
      </w:r>
    </w:p>
    <w:p>
      <w:pPr>
        <w:spacing w:before="157"/>
        <w:ind w:left="470" w:right="1133" w:firstLine="0"/>
        <w:jc w:val="left"/>
        <w:rPr>
          <w:rFonts w:ascii="宋体" w:hAnsi="宋体" w:cs="宋体" w:eastAsia="宋体" w:hint="default"/>
          <w:sz w:val="21"/>
          <w:szCs w:val="21"/>
        </w:rPr>
      </w:pPr>
      <w:r>
        <w:rPr>
          <w:rFonts w:ascii="宋体" w:hAnsi="宋体" w:cs="宋体" w:eastAsia="宋体" w:hint="default"/>
          <w:b/>
          <w:bCs/>
          <w:sz w:val="21"/>
          <w:szCs w:val="21"/>
        </w:rPr>
        <w:t>（一）公司报告期不存在托管、承包情况。</w:t>
      </w:r>
      <w:r>
        <w:rPr>
          <w:rFonts w:ascii="宋体" w:hAnsi="宋体" w:cs="宋体" w:eastAsia="宋体" w:hint="default"/>
          <w:b/>
          <w:bCs/>
          <w:w w:val="99"/>
          <w:sz w:val="21"/>
          <w:szCs w:val="21"/>
        </w:rPr>
        <w:t> </w:t>
      </w:r>
      <w:r>
        <w:rPr>
          <w:rFonts w:ascii="宋体" w:hAnsi="宋体" w:cs="宋体" w:eastAsia="宋体" w:hint="default"/>
          <w:sz w:val="21"/>
          <w:szCs w:val="21"/>
        </w:rPr>
      </w:r>
    </w:p>
    <w:p>
      <w:pPr>
        <w:spacing w:before="157"/>
        <w:ind w:left="470" w:right="1133" w:firstLine="0"/>
        <w:jc w:val="left"/>
        <w:rPr>
          <w:rFonts w:ascii="宋体" w:hAnsi="宋体" w:cs="宋体" w:eastAsia="宋体" w:hint="default"/>
          <w:sz w:val="21"/>
          <w:szCs w:val="21"/>
        </w:rPr>
      </w:pPr>
      <w:r>
        <w:rPr>
          <w:rFonts w:ascii="宋体" w:hAnsi="宋体" w:cs="宋体" w:eastAsia="宋体" w:hint="default"/>
          <w:b/>
          <w:bCs/>
          <w:sz w:val="21"/>
          <w:szCs w:val="21"/>
        </w:rPr>
        <w:t>（二）租赁情况</w:t>
      </w:r>
      <w:r>
        <w:rPr>
          <w:rFonts w:ascii="宋体" w:hAnsi="宋体" w:cs="宋体" w:eastAsia="宋体" w:hint="default"/>
          <w:sz w:val="21"/>
          <w:szCs w:val="21"/>
        </w:rPr>
      </w:r>
    </w:p>
    <w:p>
      <w:pPr>
        <w:pStyle w:val="BodyText"/>
        <w:spacing w:line="307" w:lineRule="auto" w:before="157"/>
        <w:ind w:left="573" w:right="7341"/>
        <w:jc w:val="left"/>
        <w:rPr>
          <w:rFonts w:ascii="宋体" w:hAnsi="宋体" w:cs="宋体" w:eastAsia="宋体" w:hint="default"/>
        </w:rPr>
      </w:pPr>
      <w:r>
        <w:rPr/>
        <w:t>√ 适用 </w:t>
      </w:r>
      <w:r>
        <w:rPr>
          <w:rFonts w:ascii="宋体" w:hAnsi="宋体" w:cs="宋体" w:eastAsia="宋体" w:hint="default"/>
        </w:rPr>
      </w:r>
      <w:r>
        <w:rPr>
          <w:spacing w:val="-3"/>
        </w:rPr>
        <w:t>□</w:t>
      </w:r>
      <w:r>
        <w:rPr>
          <w:spacing w:val="1"/>
        </w:rPr>
        <w:t> </w:t>
      </w:r>
      <w:r>
        <w:rPr/>
        <w:t>不适用</w:t>
      </w:r>
      <w:r>
        <w:rPr>
          <w:rFonts w:ascii="宋体" w:hAnsi="宋体" w:cs="宋体" w:eastAsia="宋体" w:hint="default"/>
          <w:w w:val="100"/>
        </w:rPr>
        <w:t> </w:t>
      </w:r>
      <w:r>
        <w:rPr>
          <w:rFonts w:ascii="宋体" w:hAnsi="宋体" w:cs="宋体" w:eastAsia="宋体" w:hint="default"/>
        </w:rPr>
        <w:t>1</w:t>
      </w:r>
      <w:r>
        <w:rPr/>
        <w:t>、子公司租赁情况说明</w:t>
      </w:r>
      <w:r>
        <w:rPr>
          <w:rFonts w:ascii="宋体" w:hAnsi="宋体" w:cs="宋体" w:eastAsia="宋体" w:hint="default"/>
        </w:rPr>
        <w:t> </w:t>
      </w:r>
    </w:p>
    <w:p>
      <w:pPr>
        <w:pStyle w:val="BodyText"/>
        <w:spacing w:line="273" w:lineRule="auto" w:before="2"/>
        <w:ind w:right="819" w:firstLine="420"/>
        <w:jc w:val="left"/>
        <w:rPr>
          <w:rFonts w:ascii="宋体" w:hAnsi="宋体" w:cs="宋体" w:eastAsia="宋体" w:hint="default"/>
        </w:rPr>
      </w:pPr>
      <w:r>
        <w:rPr/>
        <w:t>全资子公司长实通信的独资公司新丝路于报告期投资购入服务器开展租赁经营。作为出租方新丝路与</w:t>
      </w:r>
      <w:r>
        <w:rPr>
          <w:w w:val="100"/>
        </w:rPr>
        <w:t> </w:t>
      </w:r>
      <w:r>
        <w:rPr/>
        <w:t>租赁方深圳市创飞高科技有限公司签署租赁合同，租赁资产为服务器，租赁资产涉及金额</w:t>
      </w:r>
      <w:r>
        <w:rPr>
          <w:rFonts w:ascii="宋体" w:hAnsi="宋体" w:cs="宋体" w:eastAsia="宋体" w:hint="default"/>
        </w:rPr>
        <w:t>8,550.00</w:t>
      </w:r>
      <w:r>
        <w:rPr/>
        <w:t>万元，</w:t>
      </w:r>
      <w:r>
        <w:rPr>
          <w:spacing w:val="-19"/>
        </w:rPr>
        <w:t> </w:t>
      </w:r>
      <w:r>
        <w:rPr>
          <w:spacing w:val="-19"/>
        </w:rPr>
      </w:r>
      <w:r>
        <w:rPr/>
        <w:t>租赁起始日</w:t>
      </w:r>
      <w:r>
        <w:rPr>
          <w:rFonts w:ascii="宋体" w:hAnsi="宋体" w:cs="宋体" w:eastAsia="宋体" w:hint="default"/>
        </w:rPr>
        <w:t>2018</w:t>
      </w:r>
      <w:r>
        <w:rPr/>
        <w:t>年</w:t>
      </w:r>
      <w:r>
        <w:rPr>
          <w:rFonts w:ascii="宋体" w:hAnsi="宋体" w:cs="宋体" w:eastAsia="宋体" w:hint="default"/>
        </w:rPr>
        <w:t>6</w:t>
      </w:r>
      <w:r>
        <w:rPr/>
        <w:t>月</w:t>
      </w:r>
      <w:r>
        <w:rPr>
          <w:rFonts w:ascii="宋体" w:hAnsi="宋体" w:cs="宋体" w:eastAsia="宋体" w:hint="default"/>
        </w:rPr>
        <w:t>1</w:t>
      </w:r>
      <w:r>
        <w:rPr/>
        <w:t>日，租赁终止日</w:t>
      </w:r>
      <w:r>
        <w:rPr>
          <w:rFonts w:ascii="宋体" w:hAnsi="宋体" w:cs="宋体" w:eastAsia="宋体" w:hint="default"/>
        </w:rPr>
        <w:t>2021</w:t>
      </w:r>
      <w:r>
        <w:rPr/>
        <w:t>年</w:t>
      </w:r>
      <w:r>
        <w:rPr>
          <w:rFonts w:ascii="宋体" w:hAnsi="宋体" w:cs="宋体" w:eastAsia="宋体" w:hint="default"/>
        </w:rPr>
        <w:t>5</w:t>
      </w:r>
      <w:r>
        <w:rPr/>
        <w:t>月</w:t>
      </w:r>
      <w:r>
        <w:rPr>
          <w:rFonts w:ascii="宋体" w:hAnsi="宋体" w:cs="宋体" w:eastAsia="宋体" w:hint="default"/>
        </w:rPr>
        <w:t>31</w:t>
      </w:r>
      <w:r>
        <w:rPr/>
        <w:t>日，季度租金</w:t>
      </w:r>
      <w:r>
        <w:rPr>
          <w:rFonts w:ascii="宋体" w:hAnsi="宋体" w:cs="宋体" w:eastAsia="宋体" w:hint="default"/>
        </w:rPr>
        <w:t>810.00</w:t>
      </w:r>
      <w:r>
        <w:rPr/>
        <w:t>万元</w:t>
      </w:r>
      <w:r>
        <w:rPr>
          <w:rFonts w:ascii="宋体" w:hAnsi="宋体" w:cs="宋体" w:eastAsia="宋体" w:hint="default"/>
        </w:rPr>
        <w:t>(</w:t>
      </w:r>
      <w:r>
        <w:rPr/>
        <w:t>三年合计</w:t>
      </w:r>
      <w:r>
        <w:rPr>
          <w:rFonts w:ascii="宋体" w:hAnsi="宋体" w:cs="宋体" w:eastAsia="宋体" w:hint="default"/>
        </w:rPr>
        <w:t>9,720.00</w:t>
      </w:r>
      <w:r>
        <w:rPr/>
        <w:t>万元</w:t>
      </w:r>
      <w:r>
        <w:rPr>
          <w:rFonts w:ascii="宋体" w:hAnsi="宋体" w:cs="宋体" w:eastAsia="宋体" w:hint="default"/>
        </w:rPr>
        <w:t>)</w:t>
      </w:r>
      <w:r>
        <w:rPr/>
        <w:t>，</w:t>
      </w:r>
      <w:r>
        <w:rPr>
          <w:spacing w:val="-30"/>
        </w:rPr>
        <w:t> </w:t>
      </w:r>
      <w:r>
        <w:rPr/>
        <w:t>该项租赁双方不存在关联关系，不构成关联交易。</w:t>
      </w:r>
      <w:r>
        <w:rPr>
          <w:rFonts w:ascii="宋体" w:hAnsi="宋体" w:cs="宋体" w:eastAsia="宋体" w:hint="default"/>
        </w:rPr>
        <w:t> </w:t>
      </w:r>
    </w:p>
    <w:p>
      <w:pPr>
        <w:spacing w:after="0" w:line="273" w:lineRule="auto"/>
        <w:jc w:val="left"/>
        <w:rPr>
          <w:rFonts w:ascii="宋体" w:hAnsi="宋体" w:cs="宋体" w:eastAsia="宋体" w:hint="default"/>
        </w:rPr>
        <w:sectPr>
          <w:pgSz w:w="11910" w:h="16840"/>
          <w:pgMar w:header="880" w:footer="975" w:top="1100" w:bottom="1160" w:left="980" w:right="0"/>
        </w:sectPr>
      </w:pPr>
    </w:p>
    <w:p>
      <w:pPr>
        <w:spacing w:line="240" w:lineRule="auto" w:before="11"/>
        <w:rPr>
          <w:rFonts w:ascii="宋体" w:hAnsi="宋体" w:cs="宋体" w:eastAsia="宋体" w:hint="default"/>
          <w:sz w:val="20"/>
          <w:szCs w:val="20"/>
        </w:rPr>
      </w:pPr>
    </w:p>
    <w:p>
      <w:pPr>
        <w:pStyle w:val="BodyText"/>
        <w:spacing w:line="273" w:lineRule="auto" w:before="36"/>
        <w:ind w:right="1126" w:firstLine="420"/>
        <w:jc w:val="both"/>
        <w:rPr>
          <w:rFonts w:ascii="宋体" w:hAnsi="宋体" w:cs="宋体" w:eastAsia="宋体" w:hint="default"/>
        </w:rPr>
      </w:pPr>
      <w:r>
        <w:rPr>
          <w:spacing w:val="-2"/>
        </w:rPr>
        <w:t>公司间接独资公司华赢融资租赁</w:t>
      </w:r>
      <w:r>
        <w:rPr>
          <w:rFonts w:ascii="宋体" w:hAnsi="宋体" w:cs="宋体" w:eastAsia="宋体" w:hint="default"/>
          <w:spacing w:val="-2"/>
        </w:rPr>
        <w:t>(</w:t>
      </w:r>
      <w:r>
        <w:rPr>
          <w:spacing w:val="-2"/>
        </w:rPr>
        <w:t>深圳</w:t>
      </w:r>
      <w:r>
        <w:rPr>
          <w:rFonts w:ascii="宋体" w:hAnsi="宋体" w:cs="宋体" w:eastAsia="宋体" w:hint="default"/>
          <w:spacing w:val="-2"/>
        </w:rPr>
        <w:t>)</w:t>
      </w:r>
      <w:r>
        <w:rPr>
          <w:spacing w:val="-2"/>
        </w:rPr>
        <w:t>有限公司</w:t>
      </w:r>
      <w:r>
        <w:rPr>
          <w:rFonts w:ascii="宋体" w:hAnsi="宋体" w:cs="宋体" w:eastAsia="宋体" w:hint="default"/>
          <w:spacing w:val="-2"/>
        </w:rPr>
        <w:t>(</w:t>
      </w:r>
      <w:r>
        <w:rPr>
          <w:spacing w:val="-2"/>
        </w:rPr>
        <w:t>简称“华赢租赁”</w:t>
      </w:r>
      <w:r>
        <w:rPr>
          <w:rFonts w:ascii="宋体" w:hAnsi="宋体" w:cs="宋体" w:eastAsia="宋体" w:hint="default"/>
          <w:spacing w:val="-2"/>
        </w:rPr>
        <w:t>)</w:t>
      </w:r>
      <w:r>
        <w:rPr>
          <w:spacing w:val="-2"/>
        </w:rPr>
        <w:t>于报告期投资购入服务器开展租</w:t>
      </w:r>
      <w:r>
        <w:rPr>
          <w:w w:val="100"/>
        </w:rPr>
        <w:t> </w:t>
      </w:r>
      <w:r>
        <w:rPr>
          <w:spacing w:val="-2"/>
        </w:rPr>
        <w:t>赁经营。作为出租方华赢租赁与租赁方霍尔果斯泰裕耀华通信科技有限责任公司签署租赁合同，租赁资产</w:t>
      </w:r>
      <w:r>
        <w:rPr>
          <w:spacing w:val="-43"/>
        </w:rPr>
        <w:t> </w:t>
      </w:r>
      <w:r>
        <w:rPr>
          <w:spacing w:val="-43"/>
        </w:rPr>
      </w:r>
      <w:r>
        <w:rPr/>
        <w:t>为服务器，租赁资产涉及金额</w:t>
      </w:r>
      <w:r>
        <w:rPr>
          <w:rFonts w:ascii="宋体" w:hAnsi="宋体" w:cs="宋体" w:eastAsia="宋体" w:hint="default"/>
        </w:rPr>
        <w:t>5,275.00</w:t>
      </w:r>
      <w:r>
        <w:rPr/>
        <w:t>万元，租赁起始日</w:t>
      </w:r>
      <w:r>
        <w:rPr>
          <w:rFonts w:ascii="宋体" w:hAnsi="宋体" w:cs="宋体" w:eastAsia="宋体" w:hint="default"/>
        </w:rPr>
        <w:t>2018</w:t>
      </w:r>
      <w:r>
        <w:rPr/>
        <w:t>年</w:t>
      </w:r>
      <w:r>
        <w:rPr>
          <w:rFonts w:ascii="宋体" w:hAnsi="宋体" w:cs="宋体" w:eastAsia="宋体" w:hint="default"/>
        </w:rPr>
        <w:t>6</w:t>
      </w:r>
      <w:r>
        <w:rPr/>
        <w:t>月</w:t>
      </w:r>
      <w:r>
        <w:rPr>
          <w:rFonts w:ascii="宋体" w:hAnsi="宋体" w:cs="宋体" w:eastAsia="宋体" w:hint="default"/>
        </w:rPr>
        <w:t>1</w:t>
      </w:r>
      <w:r>
        <w:rPr/>
        <w:t>日，租赁终止日</w:t>
      </w:r>
      <w:r>
        <w:rPr>
          <w:rFonts w:ascii="宋体" w:hAnsi="宋体" w:cs="宋体" w:eastAsia="宋体" w:hint="default"/>
        </w:rPr>
        <w:t>2021</w:t>
      </w:r>
      <w:r>
        <w:rPr/>
        <w:t>年</w:t>
      </w:r>
      <w:r>
        <w:rPr>
          <w:rFonts w:ascii="宋体" w:hAnsi="宋体" w:cs="宋体" w:eastAsia="宋体" w:hint="default"/>
        </w:rPr>
        <w:t>5</w:t>
      </w:r>
      <w:r>
        <w:rPr/>
        <w:t>月</w:t>
      </w:r>
      <w:r>
        <w:rPr>
          <w:rFonts w:ascii="宋体" w:hAnsi="宋体" w:cs="宋体" w:eastAsia="宋体" w:hint="default"/>
        </w:rPr>
        <w:t>31</w:t>
      </w:r>
      <w:r>
        <w:rPr/>
        <w:t>日，季</w:t>
      </w:r>
      <w:r>
        <w:rPr>
          <w:spacing w:val="-27"/>
        </w:rPr>
        <w:t> </w:t>
      </w:r>
      <w:r>
        <w:rPr>
          <w:spacing w:val="-27"/>
        </w:rPr>
      </w:r>
      <w:r>
        <w:rPr/>
        <w:t>度租金</w:t>
      </w:r>
      <w:r>
        <w:rPr>
          <w:rFonts w:ascii="宋体" w:hAnsi="宋体" w:cs="宋体" w:eastAsia="宋体" w:hint="default"/>
        </w:rPr>
        <w:t>534.00</w:t>
      </w:r>
      <w:r>
        <w:rPr/>
        <w:t>万元</w:t>
      </w:r>
      <w:r>
        <w:rPr>
          <w:rFonts w:ascii="宋体" w:hAnsi="宋体" w:cs="宋体" w:eastAsia="宋体" w:hint="default"/>
        </w:rPr>
        <w:t>(</w:t>
      </w:r>
      <w:r>
        <w:rPr/>
        <w:t>三年合计</w:t>
      </w:r>
      <w:r>
        <w:rPr>
          <w:rFonts w:ascii="宋体" w:hAnsi="宋体" w:cs="宋体" w:eastAsia="宋体" w:hint="default"/>
        </w:rPr>
        <w:t>6,408.00</w:t>
      </w:r>
      <w:r>
        <w:rPr/>
        <w:t>万元</w:t>
      </w:r>
      <w:r>
        <w:rPr>
          <w:rFonts w:ascii="宋体" w:hAnsi="宋体" w:cs="宋体" w:eastAsia="宋体" w:hint="default"/>
        </w:rPr>
        <w:t>)</w:t>
      </w:r>
      <w:r>
        <w:rPr/>
        <w:t>。该项租赁双方不存在关联关系，不构成关联交易。</w:t>
      </w:r>
      <w:r>
        <w:rPr>
          <w:rFonts w:ascii="宋体" w:hAnsi="宋体" w:cs="宋体" w:eastAsia="宋体" w:hint="default"/>
        </w:rPr>
        <w:t> </w:t>
      </w:r>
    </w:p>
    <w:p>
      <w:pPr>
        <w:pStyle w:val="BodyText"/>
        <w:spacing w:line="240" w:lineRule="auto" w:before="127"/>
        <w:ind w:left="467" w:right="1133"/>
        <w:jc w:val="left"/>
        <w:rPr>
          <w:rFonts w:ascii="宋体" w:hAnsi="宋体" w:cs="宋体" w:eastAsia="宋体" w:hint="default"/>
        </w:rPr>
      </w:pPr>
      <w:r>
        <w:rPr>
          <w:rFonts w:ascii="宋体" w:hAnsi="宋体" w:cs="宋体" w:eastAsia="宋体" w:hint="default"/>
          <w:w w:val="100"/>
        </w:rPr>
        <w:t> </w:t>
      </w:r>
      <w:r>
        <w:rPr>
          <w:rFonts w:ascii="宋体" w:hAnsi="宋体" w:cs="宋体" w:eastAsia="宋体" w:hint="default"/>
          <w:spacing w:val="-2"/>
        </w:rPr>
        <w:t>2</w:t>
      </w:r>
      <w:r>
        <w:rPr>
          <w:spacing w:val="-2"/>
        </w:rPr>
        <w:t>、为公司带来的损益达到公司报告期利润总额</w:t>
      </w:r>
      <w:r>
        <w:rPr>
          <w:spacing w:val="-5"/>
        </w:rPr>
        <w:t> </w:t>
      </w:r>
      <w:r>
        <w:rPr>
          <w:rFonts w:ascii="宋体" w:hAnsi="宋体" w:cs="宋体" w:eastAsia="宋体" w:hint="default"/>
          <w:spacing w:val="-2"/>
        </w:rPr>
        <w:t>10%</w:t>
      </w:r>
      <w:r>
        <w:rPr>
          <w:spacing w:val="-2"/>
        </w:rPr>
        <w:t>以上的项目</w:t>
      </w:r>
      <w:r>
        <w:rPr>
          <w:rFonts w:ascii="宋体" w:hAnsi="宋体" w:cs="宋体" w:eastAsia="宋体" w:hint="default"/>
        </w:rPr>
        <w:t> </w:t>
      </w:r>
    </w:p>
    <w:p>
      <w:pPr>
        <w:pStyle w:val="BodyText"/>
        <w:spacing w:line="240" w:lineRule="auto" w:before="78"/>
        <w:ind w:left="573" w:right="1133"/>
        <w:jc w:val="left"/>
        <w:rPr>
          <w:rFonts w:ascii="宋体" w:hAnsi="宋体" w:cs="宋体" w:eastAsia="宋体" w:hint="default"/>
        </w:rPr>
      </w:pPr>
      <w:r>
        <w:rPr/>
        <w:t>□ 适用 </w:t>
      </w:r>
      <w:r>
        <w:rPr>
          <w:rFonts w:ascii="宋体" w:hAnsi="宋体" w:cs="宋体" w:eastAsia="宋体" w:hint="default"/>
        </w:rPr>
      </w:r>
      <w:r>
        <w:rPr>
          <w:spacing w:val="-3"/>
        </w:rPr>
        <w:t>√</w:t>
      </w:r>
      <w:r>
        <w:rPr/>
        <w:t> 不适用</w:t>
      </w:r>
      <w:r>
        <w:rPr>
          <w:rFonts w:ascii="宋体" w:hAnsi="宋体" w:cs="宋体" w:eastAsia="宋体" w:hint="default"/>
        </w:rPr>
        <w:t> </w:t>
      </w:r>
    </w:p>
    <w:p>
      <w:pPr>
        <w:pStyle w:val="BodyText"/>
        <w:spacing w:line="240" w:lineRule="auto" w:before="75"/>
        <w:ind w:left="573" w:right="1133"/>
        <w:jc w:val="left"/>
        <w:rPr>
          <w:rFonts w:ascii="宋体" w:hAnsi="宋体" w:cs="宋体" w:eastAsia="宋体" w:hint="default"/>
        </w:rPr>
      </w:pPr>
      <w:r>
        <w:rPr>
          <w:spacing w:val="-2"/>
        </w:rPr>
        <w:t>公司报告期不存在为公司带来的损益达到公司报告期利润总额</w:t>
      </w:r>
      <w:r>
        <w:rPr>
          <w:spacing w:val="16"/>
        </w:rPr>
        <w:t> </w:t>
      </w:r>
      <w:r>
        <w:rPr>
          <w:rFonts w:ascii="宋体" w:hAnsi="宋体" w:cs="宋体" w:eastAsia="宋体" w:hint="default"/>
          <w:spacing w:val="-2"/>
        </w:rPr>
        <w:t>10%</w:t>
      </w:r>
      <w:r>
        <w:rPr>
          <w:spacing w:val="-2"/>
        </w:rPr>
        <w:t>以上的租赁项目。</w:t>
      </w:r>
      <w:r>
        <w:rPr>
          <w:rFonts w:ascii="宋体" w:hAnsi="宋体" w:cs="宋体" w:eastAsia="宋体" w:hint="default"/>
        </w:rPr>
        <w:t> </w:t>
      </w:r>
    </w:p>
    <w:p>
      <w:pPr>
        <w:pStyle w:val="Heading3"/>
        <w:spacing w:line="240" w:lineRule="auto" w:before="157"/>
        <w:ind w:left="575" w:right="1133"/>
        <w:jc w:val="left"/>
        <w:rPr>
          <w:b w:val="0"/>
          <w:bCs w:val="0"/>
        </w:rPr>
      </w:pPr>
      <w:r>
        <w:rPr/>
        <w:t>二、重大担保</w:t>
      </w:r>
      <w:r>
        <w:rPr>
          <w:b w:val="0"/>
          <w:bCs w:val="0"/>
        </w:rPr>
      </w:r>
    </w:p>
    <w:p>
      <w:pPr>
        <w:pStyle w:val="BodyText"/>
        <w:spacing w:line="273" w:lineRule="auto" w:before="37"/>
        <w:ind w:left="573" w:right="2896" w:hanging="104"/>
        <w:jc w:val="left"/>
        <w:rPr>
          <w:rFonts w:ascii="宋体" w:hAnsi="宋体" w:cs="宋体" w:eastAsia="宋体" w:hint="default"/>
        </w:rPr>
      </w:pPr>
      <w:r>
        <w:rPr>
          <w:rFonts w:ascii="宋体" w:hAnsi="宋体" w:cs="宋体" w:eastAsia="宋体" w:hint="default"/>
          <w:b/>
          <w:bCs/>
        </w:rPr>
        <w:t>（一）担保情况</w:t>
      </w:r>
      <w:r>
        <w:rPr>
          <w:rFonts w:ascii="宋体" w:hAnsi="宋体" w:cs="宋体" w:eastAsia="宋体" w:hint="default"/>
          <w:b/>
          <w:bCs/>
          <w:spacing w:val="-104"/>
        </w:rPr>
        <w:t> </w:t>
      </w:r>
      <w:r>
        <w:rPr/>
        <w:t>报告期内履行的及尚未履行完毕的担保合同为下列公司对全资子公司的担保：</w:t>
      </w:r>
      <w:r>
        <w:rPr>
          <w:rFonts w:ascii="宋体" w:hAnsi="宋体" w:cs="宋体" w:eastAsia="宋体" w:hint="default"/>
        </w:rPr>
        <w:t> </w:t>
      </w:r>
    </w:p>
    <w:p>
      <w:pPr>
        <w:pStyle w:val="BodyText"/>
        <w:spacing w:line="273" w:lineRule="auto" w:before="48"/>
        <w:ind w:right="1126" w:firstLine="420"/>
        <w:jc w:val="both"/>
      </w:pPr>
      <w:r>
        <w:rPr>
          <w:rFonts w:ascii="宋体" w:hAnsi="宋体" w:cs="宋体" w:eastAsia="宋体" w:hint="default"/>
          <w:spacing w:val="-5"/>
        </w:rPr>
        <w:t>1</w:t>
      </w:r>
      <w:r>
        <w:rPr>
          <w:spacing w:val="-5"/>
        </w:rPr>
        <w:t>、公司为长实通信流动资金贷款，向债权人中国工商银行股份有限公司清远分行提供连带责任保证，</w:t>
      </w:r>
      <w:r>
        <w:rPr>
          <w:w w:val="100"/>
        </w:rPr>
        <w:t> </w:t>
      </w:r>
      <w:r>
        <w:rPr/>
        <w:t>担保金额</w:t>
      </w:r>
      <w:r>
        <w:rPr>
          <w:spacing w:val="-48"/>
        </w:rPr>
        <w:t> </w:t>
      </w:r>
      <w:r>
        <w:rPr>
          <w:rFonts w:ascii="宋体" w:hAnsi="宋体" w:cs="宋体" w:eastAsia="宋体" w:hint="default"/>
        </w:rPr>
        <w:t>20,000.00</w:t>
      </w:r>
      <w:r>
        <w:rPr>
          <w:rFonts w:ascii="宋体" w:hAnsi="宋体" w:cs="宋体" w:eastAsia="宋体" w:hint="default"/>
          <w:spacing w:val="-52"/>
        </w:rPr>
        <w:t> </w:t>
      </w:r>
      <w:r>
        <w:rPr>
          <w:spacing w:val="-3"/>
        </w:rPr>
        <w:t>万元，保证期间：在合同生效之日起至</w:t>
      </w:r>
      <w:r>
        <w:rPr>
          <w:spacing w:val="-50"/>
        </w:rPr>
        <w:t> </w:t>
      </w:r>
      <w:r>
        <w:rPr>
          <w:rFonts w:ascii="宋体" w:hAnsi="宋体" w:cs="宋体" w:eastAsia="宋体" w:hint="default"/>
        </w:rPr>
        <w:t>2020</w:t>
      </w:r>
      <w:r>
        <w:rPr>
          <w:rFonts w:ascii="宋体" w:hAnsi="宋体" w:cs="宋体" w:eastAsia="宋体" w:hint="default"/>
          <w:spacing w:val="-52"/>
        </w:rPr>
        <w:t> </w:t>
      </w:r>
      <w:r>
        <w:rPr/>
        <w:t>年</w:t>
      </w:r>
      <w:r>
        <w:rPr>
          <w:spacing w:val="-50"/>
        </w:rPr>
        <w:t> </w:t>
      </w:r>
      <w:r>
        <w:rPr>
          <w:rFonts w:ascii="宋体" w:hAnsi="宋体" w:cs="宋体" w:eastAsia="宋体" w:hint="default"/>
        </w:rPr>
        <w:t>11</w:t>
      </w:r>
      <w:r>
        <w:rPr>
          <w:rFonts w:ascii="宋体" w:hAnsi="宋体" w:cs="宋体" w:eastAsia="宋体" w:hint="default"/>
          <w:spacing w:val="-52"/>
        </w:rPr>
        <w:t> </w:t>
      </w:r>
      <w:r>
        <w:rPr/>
        <w:t>月</w:t>
      </w:r>
      <w:r>
        <w:rPr>
          <w:spacing w:val="-50"/>
        </w:rPr>
        <w:t> </w:t>
      </w:r>
      <w:r>
        <w:rPr>
          <w:rFonts w:ascii="宋体" w:hAnsi="宋体" w:cs="宋体" w:eastAsia="宋体" w:hint="default"/>
        </w:rPr>
        <w:t>7</w:t>
      </w:r>
      <w:r>
        <w:rPr>
          <w:rFonts w:ascii="宋体" w:hAnsi="宋体" w:cs="宋体" w:eastAsia="宋体" w:hint="default"/>
          <w:spacing w:val="-52"/>
        </w:rPr>
        <w:t> </w:t>
      </w:r>
      <w:r>
        <w:rPr/>
        <w:t>日期间，合同项下借款期限届</w:t>
      </w:r>
    </w:p>
    <w:p>
      <w:pPr>
        <w:pStyle w:val="BodyText"/>
        <w:spacing w:line="273" w:lineRule="auto" w:before="8"/>
        <w:ind w:right="1122"/>
        <w:jc w:val="left"/>
        <w:rPr>
          <w:rFonts w:ascii="宋体" w:hAnsi="宋体" w:cs="宋体" w:eastAsia="宋体" w:hint="default"/>
        </w:rPr>
      </w:pPr>
      <w:r>
        <w:rPr/>
        <w:t>满之次日起两年或自甲方支付信用证项下款项之次日起两年。该项担保经过公司董事会 </w:t>
      </w:r>
      <w:r>
        <w:rPr>
          <w:rFonts w:ascii="宋体" w:hAnsi="宋体" w:cs="宋体" w:eastAsia="宋体" w:hint="default"/>
        </w:rPr>
        <w:t>2017</w:t>
      </w:r>
      <w:r>
        <w:rPr>
          <w:rFonts w:ascii="宋体" w:hAnsi="宋体" w:cs="宋体" w:eastAsia="宋体" w:hint="default"/>
          <w:spacing w:val="-28"/>
        </w:rPr>
        <w:t> </w:t>
      </w:r>
      <w:r>
        <w:rPr/>
        <w:t>年第十四次</w:t>
      </w:r>
      <w:r>
        <w:rPr>
          <w:w w:val="100"/>
        </w:rPr>
        <w:t> </w:t>
      </w:r>
      <w:r>
        <w:rPr/>
        <w:t>会议审议，并取得出席会议三分之二以上的董事同意。</w:t>
      </w:r>
      <w:r>
        <w:rPr>
          <w:rFonts w:ascii="宋体" w:hAnsi="宋体" w:cs="宋体" w:eastAsia="宋体" w:hint="default"/>
        </w:rPr>
        <w:t> </w:t>
      </w:r>
    </w:p>
    <w:p>
      <w:pPr>
        <w:pStyle w:val="BodyText"/>
        <w:spacing w:line="240" w:lineRule="auto" w:before="48"/>
        <w:ind w:left="573" w:right="819"/>
        <w:jc w:val="left"/>
      </w:pPr>
      <w:r>
        <w:rPr>
          <w:rFonts w:ascii="宋体" w:hAnsi="宋体" w:cs="宋体" w:eastAsia="宋体" w:hint="default"/>
          <w:spacing w:val="-3"/>
        </w:rPr>
        <w:t>2</w:t>
      </w:r>
      <w:r>
        <w:rPr>
          <w:spacing w:val="-3"/>
        </w:rPr>
        <w:t>、经公司董事会</w:t>
      </w:r>
      <w:r>
        <w:rPr>
          <w:spacing w:val="-57"/>
        </w:rPr>
        <w:t> </w:t>
      </w:r>
      <w:r>
        <w:rPr>
          <w:rFonts w:ascii="宋体" w:hAnsi="宋体" w:cs="宋体" w:eastAsia="宋体" w:hint="default"/>
        </w:rPr>
        <w:t>2018</w:t>
      </w:r>
      <w:r>
        <w:rPr>
          <w:rFonts w:ascii="宋体" w:hAnsi="宋体" w:cs="宋体" w:eastAsia="宋体" w:hint="default"/>
          <w:spacing w:val="-57"/>
        </w:rPr>
        <w:t> </w:t>
      </w:r>
      <w:r>
        <w:rPr/>
        <w:t>年第八次会议审议通过，公司为长实通信流动资金贷款，向债权人中国银行股</w:t>
      </w:r>
    </w:p>
    <w:p>
      <w:pPr>
        <w:pStyle w:val="BodyText"/>
        <w:spacing w:line="273" w:lineRule="auto" w:before="37"/>
        <w:ind w:right="1123"/>
        <w:jc w:val="left"/>
        <w:rPr>
          <w:rFonts w:ascii="宋体" w:hAnsi="宋体" w:cs="宋体" w:eastAsia="宋体" w:hint="default"/>
        </w:rPr>
      </w:pPr>
      <w:r>
        <w:rPr/>
        <w:t>份有限公司清远分行提供连带责任保证，担保金额在 </w:t>
      </w:r>
      <w:r>
        <w:rPr>
          <w:rFonts w:ascii="宋体" w:hAnsi="宋体" w:cs="宋体" w:eastAsia="宋体" w:hint="default"/>
        </w:rPr>
        <w:t>3,000.00</w:t>
      </w:r>
      <w:r>
        <w:rPr>
          <w:rFonts w:ascii="宋体" w:hAnsi="宋体" w:cs="宋体" w:eastAsia="宋体" w:hint="default"/>
          <w:spacing w:val="-29"/>
        </w:rPr>
        <w:t> </w:t>
      </w:r>
      <w:r>
        <w:rPr/>
        <w:t>万元的最高余额内的担保于报告期解除，</w:t>
      </w:r>
      <w:r>
        <w:rPr>
          <w:w w:val="100"/>
        </w:rPr>
        <w:t> </w:t>
      </w:r>
      <w:r>
        <w:rPr/>
        <w:t>无逾期。</w:t>
      </w:r>
      <w:r>
        <w:rPr>
          <w:rFonts w:ascii="宋体" w:hAnsi="宋体" w:cs="宋体" w:eastAsia="宋体" w:hint="default"/>
        </w:rPr>
        <w:t> </w:t>
      </w:r>
    </w:p>
    <w:p>
      <w:pPr>
        <w:pStyle w:val="BodyText"/>
        <w:spacing w:line="240" w:lineRule="auto" w:before="46"/>
        <w:ind w:right="819"/>
        <w:jc w:val="left"/>
      </w:pPr>
      <w:r>
        <w:rPr>
          <w:rFonts w:ascii="宋体" w:hAnsi="宋体" w:cs="宋体" w:eastAsia="宋体" w:hint="default"/>
          <w:w w:val="100"/>
        </w:rPr>
        <w:t>    </w:t>
      </w:r>
      <w:r>
        <w:rPr>
          <w:rFonts w:ascii="宋体" w:hAnsi="宋体" w:cs="宋体" w:eastAsia="宋体" w:hint="default"/>
          <w:spacing w:val="-3"/>
        </w:rPr>
        <w:t>3</w:t>
      </w:r>
      <w:r>
        <w:rPr>
          <w:spacing w:val="-3"/>
        </w:rPr>
        <w:t>、经公司董事会</w:t>
      </w:r>
      <w:r>
        <w:rPr>
          <w:spacing w:val="-58"/>
        </w:rPr>
        <w:t> </w:t>
      </w:r>
      <w:r>
        <w:rPr>
          <w:rFonts w:ascii="宋体" w:hAnsi="宋体" w:cs="宋体" w:eastAsia="宋体" w:hint="default"/>
        </w:rPr>
        <w:t>2018</w:t>
      </w:r>
      <w:r>
        <w:rPr>
          <w:rFonts w:ascii="宋体" w:hAnsi="宋体" w:cs="宋体" w:eastAsia="宋体" w:hint="default"/>
          <w:spacing w:val="-58"/>
        </w:rPr>
        <w:t> </w:t>
      </w:r>
      <w:r>
        <w:rPr/>
        <w:t>年第八次会议审议通过，公司为长实通信流动资金贷款，向债权人中国民生银</w:t>
      </w:r>
    </w:p>
    <w:p>
      <w:pPr>
        <w:pStyle w:val="BodyText"/>
        <w:spacing w:line="273" w:lineRule="auto" w:before="37"/>
        <w:ind w:right="819"/>
        <w:jc w:val="left"/>
        <w:rPr>
          <w:rFonts w:ascii="宋体" w:hAnsi="宋体" w:cs="宋体" w:eastAsia="宋体" w:hint="default"/>
        </w:rPr>
      </w:pPr>
      <w:r>
        <w:rPr>
          <w:spacing w:val="-3"/>
        </w:rPr>
        <w:t>行股份有限公司广州分行提供连带责任保证，担保金额在</w:t>
      </w:r>
      <w:r>
        <w:rPr>
          <w:spacing w:val="-35"/>
        </w:rPr>
        <w:t> </w:t>
      </w:r>
      <w:r>
        <w:rPr>
          <w:rFonts w:ascii="宋体" w:hAnsi="宋体" w:cs="宋体" w:eastAsia="宋体" w:hint="default"/>
        </w:rPr>
        <w:t>10,000.00</w:t>
      </w:r>
      <w:r>
        <w:rPr>
          <w:rFonts w:ascii="宋体" w:hAnsi="宋体" w:cs="宋体" w:eastAsia="宋体" w:hint="default"/>
          <w:spacing w:val="-34"/>
        </w:rPr>
        <w:t> </w:t>
      </w:r>
      <w:r>
        <w:rPr/>
        <w:t>万元的最高余额内的担保于报告期解</w:t>
      </w:r>
      <w:r>
        <w:rPr>
          <w:spacing w:val="-98"/>
        </w:rPr>
        <w:t> </w:t>
      </w:r>
      <w:r>
        <w:rPr>
          <w:spacing w:val="-98"/>
        </w:rPr>
      </w:r>
      <w:r>
        <w:rPr/>
        <w:t>除，无逾期。</w:t>
      </w:r>
      <w:r>
        <w:rPr>
          <w:rFonts w:ascii="宋体" w:hAnsi="宋体" w:cs="宋体" w:eastAsia="宋体" w:hint="default"/>
        </w:rPr>
        <w:t> </w:t>
      </w:r>
    </w:p>
    <w:p>
      <w:pPr>
        <w:pStyle w:val="BodyText"/>
        <w:spacing w:line="240" w:lineRule="auto" w:before="48"/>
        <w:ind w:left="573" w:right="819"/>
        <w:jc w:val="left"/>
      </w:pPr>
      <w:r>
        <w:rPr>
          <w:rFonts w:ascii="宋体" w:hAnsi="宋体" w:cs="宋体" w:eastAsia="宋体" w:hint="default"/>
          <w:spacing w:val="-3"/>
        </w:rPr>
        <w:t>4</w:t>
      </w:r>
      <w:r>
        <w:rPr>
          <w:spacing w:val="-3"/>
        </w:rPr>
        <w:t>、经公司董事会</w:t>
      </w:r>
      <w:r>
        <w:rPr>
          <w:spacing w:val="-57"/>
        </w:rPr>
        <w:t> </w:t>
      </w:r>
      <w:r>
        <w:rPr>
          <w:rFonts w:ascii="宋体" w:hAnsi="宋体" w:cs="宋体" w:eastAsia="宋体" w:hint="default"/>
        </w:rPr>
        <w:t>2018</w:t>
      </w:r>
      <w:r>
        <w:rPr>
          <w:rFonts w:ascii="宋体" w:hAnsi="宋体" w:cs="宋体" w:eastAsia="宋体" w:hint="default"/>
          <w:spacing w:val="-57"/>
        </w:rPr>
        <w:t> </w:t>
      </w:r>
      <w:r>
        <w:rPr/>
        <w:t>年第八次会议审议通过，公司为长实通信流动资金贷款，向债权人招商银行股</w:t>
      </w:r>
    </w:p>
    <w:p>
      <w:pPr>
        <w:pStyle w:val="BodyText"/>
        <w:spacing w:line="273" w:lineRule="auto" w:before="37"/>
        <w:ind w:right="1125"/>
        <w:jc w:val="left"/>
        <w:rPr>
          <w:rFonts w:ascii="宋体" w:hAnsi="宋体" w:cs="宋体" w:eastAsia="宋体" w:hint="default"/>
        </w:rPr>
      </w:pPr>
      <w:r>
        <w:rPr/>
        <w:t>份有限公司广州分行提供连带责任保证，担保金额 </w:t>
      </w:r>
      <w:r>
        <w:rPr>
          <w:rFonts w:ascii="宋体" w:hAnsi="宋体" w:cs="宋体" w:eastAsia="宋体" w:hint="default"/>
        </w:rPr>
        <w:t>5,000.00</w:t>
      </w:r>
      <w:r>
        <w:rPr>
          <w:rFonts w:ascii="宋体" w:hAnsi="宋体" w:cs="宋体" w:eastAsia="宋体" w:hint="default"/>
          <w:spacing w:val="-31"/>
        </w:rPr>
        <w:t> </w:t>
      </w:r>
      <w:r>
        <w:rPr/>
        <w:t>万元的最高余额内的担保于报告期解除，无</w:t>
      </w:r>
      <w:r>
        <w:rPr>
          <w:w w:val="100"/>
        </w:rPr>
        <w:t> </w:t>
      </w:r>
      <w:r>
        <w:rPr/>
        <w:t>逾期。</w:t>
      </w:r>
      <w:r>
        <w:rPr>
          <w:rFonts w:ascii="宋体" w:hAnsi="宋体" w:cs="宋体" w:eastAsia="宋体" w:hint="default"/>
        </w:rPr>
        <w:t> </w:t>
      </w:r>
    </w:p>
    <w:p>
      <w:pPr>
        <w:pStyle w:val="BodyText"/>
        <w:spacing w:line="273" w:lineRule="auto" w:before="48"/>
        <w:ind w:right="1126" w:firstLine="420"/>
        <w:jc w:val="both"/>
      </w:pPr>
      <w:r>
        <w:rPr>
          <w:rFonts w:ascii="宋体" w:hAnsi="宋体" w:cs="宋体" w:eastAsia="宋体" w:hint="default"/>
        </w:rPr>
        <w:t>5</w:t>
      </w:r>
      <w:r>
        <w:rPr/>
        <w:t>、公司为长实通信流动资金贷款，向债权人中国建设银行股份有限公司清远市分行提供连带责任保</w:t>
      </w:r>
      <w:r>
        <w:rPr>
          <w:w w:val="100"/>
        </w:rPr>
        <w:t> </w:t>
      </w:r>
      <w:r>
        <w:rPr/>
        <w:t>证，担保金额</w:t>
      </w:r>
      <w:r>
        <w:rPr>
          <w:spacing w:val="-50"/>
        </w:rPr>
        <w:t> </w:t>
      </w:r>
      <w:r>
        <w:rPr>
          <w:rFonts w:ascii="宋体" w:hAnsi="宋体" w:cs="宋体" w:eastAsia="宋体" w:hint="default"/>
        </w:rPr>
        <w:t>20,000.00</w:t>
      </w:r>
      <w:r>
        <w:rPr>
          <w:rFonts w:ascii="宋体" w:hAnsi="宋体" w:cs="宋体" w:eastAsia="宋体" w:hint="default"/>
          <w:spacing w:val="-50"/>
        </w:rPr>
        <w:t> </w:t>
      </w:r>
      <w:r>
        <w:rPr/>
        <w:t>万元，覆盖本公司于 </w:t>
      </w:r>
      <w:r>
        <w:rPr>
          <w:rFonts w:ascii="宋体" w:hAnsi="宋体" w:cs="宋体" w:eastAsia="宋体" w:hint="default"/>
        </w:rPr>
        <w:t>2017</w:t>
      </w:r>
      <w:r>
        <w:rPr>
          <w:rFonts w:ascii="宋体" w:hAnsi="宋体" w:cs="宋体" w:eastAsia="宋体" w:hint="default"/>
          <w:spacing w:val="-48"/>
        </w:rPr>
        <w:t> </w:t>
      </w:r>
      <w:r>
        <w:rPr/>
        <w:t>年</w:t>
      </w:r>
      <w:r>
        <w:rPr>
          <w:spacing w:val="-50"/>
        </w:rPr>
        <w:t> </w:t>
      </w:r>
      <w:r>
        <w:rPr>
          <w:rFonts w:ascii="宋体" w:hAnsi="宋体" w:cs="宋体" w:eastAsia="宋体" w:hint="default"/>
        </w:rPr>
        <w:t>3</w:t>
      </w:r>
      <w:r>
        <w:rPr>
          <w:rFonts w:ascii="宋体" w:hAnsi="宋体" w:cs="宋体" w:eastAsia="宋体" w:hint="default"/>
          <w:spacing w:val="-50"/>
        </w:rPr>
        <w:t> </w:t>
      </w:r>
      <w:r>
        <w:rPr/>
        <w:t>月</w:t>
      </w:r>
      <w:r>
        <w:rPr>
          <w:spacing w:val="-48"/>
        </w:rPr>
        <w:t> </w:t>
      </w:r>
      <w:r>
        <w:rPr>
          <w:rFonts w:ascii="宋体" w:hAnsi="宋体" w:cs="宋体" w:eastAsia="宋体" w:hint="default"/>
        </w:rPr>
        <w:t>3</w:t>
      </w:r>
      <w:r>
        <w:rPr>
          <w:rFonts w:ascii="宋体" w:hAnsi="宋体" w:cs="宋体" w:eastAsia="宋体" w:hint="default"/>
          <w:spacing w:val="-50"/>
        </w:rPr>
        <w:t> </w:t>
      </w:r>
      <w:r>
        <w:rPr/>
        <w:t>日与债权人建行清远分行签署的担保金额为</w:t>
      </w:r>
    </w:p>
    <w:p>
      <w:pPr>
        <w:pStyle w:val="BodyText"/>
        <w:spacing w:line="240" w:lineRule="auto" w:before="7"/>
        <w:ind w:right="819"/>
        <w:jc w:val="left"/>
      </w:pPr>
      <w:r>
        <w:rPr>
          <w:rFonts w:ascii="宋体" w:hAnsi="宋体" w:cs="宋体" w:eastAsia="宋体" w:hint="default"/>
        </w:rPr>
        <w:t>10,000.00</w:t>
      </w:r>
      <w:r>
        <w:rPr>
          <w:rFonts w:ascii="宋体" w:hAnsi="宋体" w:cs="宋体" w:eastAsia="宋体" w:hint="default"/>
          <w:spacing w:val="29"/>
        </w:rPr>
        <w:t> </w:t>
      </w:r>
      <w:r>
        <w:rPr>
          <w:spacing w:val="-4"/>
        </w:rPr>
        <w:t>万元的《本金最高额保证合同》</w:t>
      </w:r>
      <w:r>
        <w:rPr>
          <w:rFonts w:ascii="宋体" w:hAnsi="宋体" w:cs="宋体" w:eastAsia="宋体" w:hint="default"/>
          <w:spacing w:val="-4"/>
        </w:rPr>
        <w:t>,</w:t>
      </w:r>
      <w:r>
        <w:rPr>
          <w:spacing w:val="-4"/>
        </w:rPr>
        <w:t>保证期间：自单笔授信业务的主合同签订之日起至债务人在该</w:t>
      </w:r>
    </w:p>
    <w:p>
      <w:pPr>
        <w:pStyle w:val="BodyText"/>
        <w:spacing w:line="273" w:lineRule="auto" w:before="37"/>
        <w:ind w:right="1123"/>
        <w:jc w:val="left"/>
        <w:rPr>
          <w:rFonts w:ascii="宋体" w:hAnsi="宋体" w:cs="宋体" w:eastAsia="宋体" w:hint="default"/>
        </w:rPr>
      </w:pPr>
      <w:r>
        <w:rPr/>
        <w:t>主合同项下的债务履行期限届满日后三年止。该项担保经过公司董事会 </w:t>
      </w:r>
      <w:r>
        <w:rPr>
          <w:rFonts w:ascii="宋体" w:hAnsi="宋体" w:cs="宋体" w:eastAsia="宋体" w:hint="default"/>
        </w:rPr>
        <w:t>2018</w:t>
      </w:r>
      <w:r>
        <w:rPr>
          <w:rFonts w:ascii="宋体" w:hAnsi="宋体" w:cs="宋体" w:eastAsia="宋体" w:hint="default"/>
          <w:spacing w:val="-29"/>
        </w:rPr>
        <w:t> </w:t>
      </w:r>
      <w:r>
        <w:rPr/>
        <w:t>年第二十次会议审议，并取</w:t>
      </w:r>
      <w:r>
        <w:rPr>
          <w:w w:val="100"/>
        </w:rPr>
        <w:t> </w:t>
      </w:r>
      <w:r>
        <w:rPr/>
        <w:t>得出席会议三分之二以上的董事同意。</w:t>
      </w:r>
      <w:r>
        <w:rPr>
          <w:rFonts w:ascii="宋体" w:hAnsi="宋体" w:cs="宋体" w:eastAsia="宋体" w:hint="default"/>
        </w:rPr>
        <w:t> </w:t>
      </w:r>
    </w:p>
    <w:p>
      <w:pPr>
        <w:pStyle w:val="BodyText"/>
        <w:spacing w:line="273" w:lineRule="auto" w:before="46"/>
        <w:ind w:right="1128" w:firstLine="420"/>
        <w:jc w:val="both"/>
      </w:pPr>
      <w:r>
        <w:rPr>
          <w:rFonts w:ascii="宋体" w:hAnsi="宋体" w:cs="宋体" w:eastAsia="宋体" w:hint="default"/>
        </w:rPr>
        <w:t>6</w:t>
      </w:r>
      <w:r>
        <w:rPr/>
        <w:t>、公司为长实通信流动资金贷款，向债权人中国银行股份有限公司清远分行提供连带责任保证，担</w:t>
      </w:r>
      <w:r>
        <w:rPr>
          <w:w w:val="100"/>
        </w:rPr>
        <w:t> </w:t>
      </w:r>
      <w:r>
        <w:rPr/>
        <w:t>保金额</w:t>
      </w:r>
      <w:r>
        <w:rPr>
          <w:spacing w:val="-47"/>
        </w:rPr>
        <w:t> </w:t>
      </w:r>
      <w:r>
        <w:rPr>
          <w:rFonts w:ascii="宋体" w:hAnsi="宋体" w:cs="宋体" w:eastAsia="宋体" w:hint="default"/>
        </w:rPr>
        <w:t>6,000.00</w:t>
      </w:r>
      <w:r>
        <w:rPr>
          <w:rFonts w:ascii="宋体" w:hAnsi="宋体" w:cs="宋体" w:eastAsia="宋体" w:hint="default"/>
          <w:spacing w:val="-48"/>
        </w:rPr>
        <w:t> </w:t>
      </w:r>
      <w:r>
        <w:rPr/>
        <w:t>万元，保证期间：在</w:t>
      </w:r>
      <w:r>
        <w:rPr>
          <w:spacing w:val="-48"/>
        </w:rPr>
        <w:t> </w:t>
      </w:r>
      <w:r>
        <w:rPr>
          <w:rFonts w:ascii="宋体" w:hAnsi="宋体" w:cs="宋体" w:eastAsia="宋体" w:hint="default"/>
        </w:rPr>
        <w:t>2019</w:t>
      </w:r>
      <w:r>
        <w:rPr>
          <w:rFonts w:ascii="宋体" w:hAnsi="宋体" w:cs="宋体" w:eastAsia="宋体" w:hint="default"/>
          <w:spacing w:val="-48"/>
        </w:rPr>
        <w:t> </w:t>
      </w:r>
      <w:r>
        <w:rPr/>
        <w:t>年</w:t>
      </w:r>
      <w:r>
        <w:rPr>
          <w:spacing w:val="-48"/>
        </w:rPr>
        <w:t> </w:t>
      </w:r>
      <w:r>
        <w:rPr>
          <w:rFonts w:ascii="宋体" w:hAnsi="宋体" w:cs="宋体" w:eastAsia="宋体" w:hint="default"/>
        </w:rPr>
        <w:t>6</w:t>
      </w:r>
      <w:r>
        <w:rPr>
          <w:rFonts w:ascii="宋体" w:hAnsi="宋体" w:cs="宋体" w:eastAsia="宋体" w:hint="default"/>
          <w:spacing w:val="-48"/>
        </w:rPr>
        <w:t> </w:t>
      </w:r>
      <w:r>
        <w:rPr/>
        <w:t>月</w:t>
      </w:r>
      <w:r>
        <w:rPr>
          <w:spacing w:val="-48"/>
        </w:rPr>
        <w:t> </w:t>
      </w:r>
      <w:r>
        <w:rPr>
          <w:rFonts w:ascii="宋体" w:hAnsi="宋体" w:cs="宋体" w:eastAsia="宋体" w:hint="default"/>
        </w:rPr>
        <w:t>4</w:t>
      </w:r>
      <w:r>
        <w:rPr>
          <w:rFonts w:ascii="宋体" w:hAnsi="宋体" w:cs="宋体" w:eastAsia="宋体" w:hint="default"/>
          <w:spacing w:val="-50"/>
        </w:rPr>
        <w:t> </w:t>
      </w:r>
      <w:r>
        <w:rPr/>
        <w:t>日起至</w:t>
      </w:r>
      <w:r>
        <w:rPr>
          <w:spacing w:val="-47"/>
        </w:rPr>
        <w:t> </w:t>
      </w:r>
      <w:r>
        <w:rPr>
          <w:rFonts w:ascii="宋体" w:hAnsi="宋体" w:cs="宋体" w:eastAsia="宋体" w:hint="default"/>
        </w:rPr>
        <w:t>2021</w:t>
      </w:r>
      <w:r>
        <w:rPr>
          <w:rFonts w:ascii="宋体" w:hAnsi="宋体" w:cs="宋体" w:eastAsia="宋体" w:hint="default"/>
          <w:spacing w:val="-48"/>
        </w:rPr>
        <w:t> </w:t>
      </w:r>
      <w:r>
        <w:rPr/>
        <w:t>年</w:t>
      </w:r>
      <w:r>
        <w:rPr>
          <w:spacing w:val="-48"/>
        </w:rPr>
        <w:t> </w:t>
      </w:r>
      <w:r>
        <w:rPr>
          <w:rFonts w:ascii="宋体" w:hAnsi="宋体" w:cs="宋体" w:eastAsia="宋体" w:hint="default"/>
        </w:rPr>
        <w:t>6</w:t>
      </w:r>
      <w:r>
        <w:rPr>
          <w:rFonts w:ascii="宋体" w:hAnsi="宋体" w:cs="宋体" w:eastAsia="宋体" w:hint="default"/>
          <w:spacing w:val="-48"/>
        </w:rPr>
        <w:t> </w:t>
      </w:r>
      <w:r>
        <w:rPr/>
        <w:t>月</w:t>
      </w:r>
      <w:r>
        <w:rPr>
          <w:spacing w:val="-48"/>
        </w:rPr>
        <w:t> </w:t>
      </w:r>
      <w:r>
        <w:rPr>
          <w:rFonts w:ascii="宋体" w:hAnsi="宋体" w:cs="宋体" w:eastAsia="宋体" w:hint="default"/>
        </w:rPr>
        <w:t>3</w:t>
      </w:r>
      <w:r>
        <w:rPr>
          <w:rFonts w:ascii="宋体" w:hAnsi="宋体" w:cs="宋体" w:eastAsia="宋体" w:hint="default"/>
          <w:spacing w:val="-48"/>
        </w:rPr>
        <w:t> </w:t>
      </w:r>
      <w:r>
        <w:rPr/>
        <w:t>日期间，保证合同项下借款期</w:t>
      </w:r>
    </w:p>
    <w:p>
      <w:pPr>
        <w:pStyle w:val="BodyText"/>
        <w:spacing w:line="273" w:lineRule="auto" w:before="7"/>
        <w:ind w:right="1123"/>
        <w:jc w:val="left"/>
        <w:rPr>
          <w:rFonts w:ascii="宋体" w:hAnsi="宋体" w:cs="宋体" w:eastAsia="宋体" w:hint="default"/>
        </w:rPr>
      </w:pPr>
      <w:r>
        <w:rPr/>
        <w:t>限届满之日起两年。该项担保经过公司董事会 </w:t>
      </w:r>
      <w:r>
        <w:rPr>
          <w:rFonts w:ascii="宋体" w:hAnsi="宋体" w:cs="宋体" w:eastAsia="宋体" w:hint="default"/>
        </w:rPr>
        <w:t>2019</w:t>
      </w:r>
      <w:r>
        <w:rPr>
          <w:rFonts w:ascii="宋体" w:hAnsi="宋体" w:cs="宋体" w:eastAsia="宋体" w:hint="default"/>
          <w:spacing w:val="-29"/>
        </w:rPr>
        <w:t> </w:t>
      </w:r>
      <w:r>
        <w:rPr/>
        <w:t>年第五次会议审议，并取得出席会议三分之二以上的</w:t>
      </w:r>
      <w:r>
        <w:rPr>
          <w:w w:val="100"/>
        </w:rPr>
        <w:t> </w:t>
      </w:r>
      <w:r>
        <w:rPr/>
        <w:t>董事同意。</w:t>
      </w:r>
      <w:r>
        <w:rPr>
          <w:rFonts w:ascii="宋体" w:hAnsi="宋体" w:cs="宋体" w:eastAsia="宋体" w:hint="default"/>
        </w:rPr>
        <w:t> </w:t>
      </w:r>
    </w:p>
    <w:p>
      <w:pPr>
        <w:pStyle w:val="BodyText"/>
        <w:spacing w:line="273" w:lineRule="auto" w:before="48"/>
        <w:ind w:right="1126" w:firstLine="420"/>
        <w:jc w:val="both"/>
        <w:rPr>
          <w:rFonts w:ascii="宋体" w:hAnsi="宋体" w:cs="宋体" w:eastAsia="宋体" w:hint="default"/>
        </w:rPr>
      </w:pPr>
      <w:r>
        <w:rPr>
          <w:rFonts w:ascii="宋体" w:hAnsi="宋体" w:cs="宋体" w:eastAsia="宋体" w:hint="default"/>
        </w:rPr>
        <w:t>7</w:t>
      </w:r>
      <w:r>
        <w:rPr/>
        <w:t>、公司为长实通信流动资金贷款，向债权人招商银行股份有限公司广州分行提供连带责任保证，担</w:t>
      </w:r>
      <w:r>
        <w:rPr>
          <w:w w:val="100"/>
        </w:rPr>
        <w:t> </w:t>
      </w:r>
      <w:r>
        <w:rPr/>
        <w:t>保金额</w:t>
      </w:r>
      <w:r>
        <w:rPr>
          <w:spacing w:val="-49"/>
        </w:rPr>
        <w:t> </w:t>
      </w:r>
      <w:r>
        <w:rPr>
          <w:rFonts w:ascii="宋体" w:hAnsi="宋体" w:cs="宋体" w:eastAsia="宋体" w:hint="default"/>
        </w:rPr>
        <w:t>10,000.00</w:t>
      </w:r>
      <w:r>
        <w:rPr>
          <w:rFonts w:ascii="宋体" w:hAnsi="宋体" w:cs="宋体" w:eastAsia="宋体" w:hint="default"/>
          <w:spacing w:val="-50"/>
        </w:rPr>
        <w:t> </w:t>
      </w:r>
      <w:r>
        <w:rPr>
          <w:spacing w:val="-3"/>
        </w:rPr>
        <w:t>万元，保证期间：在担保书生效之日起至</w:t>
      </w:r>
      <w:r>
        <w:rPr>
          <w:spacing w:val="-50"/>
        </w:rPr>
        <w:t> </w:t>
      </w:r>
      <w:r>
        <w:rPr>
          <w:rFonts w:ascii="宋体" w:hAnsi="宋体" w:cs="宋体" w:eastAsia="宋体" w:hint="default"/>
        </w:rPr>
        <w:t>2021</w:t>
      </w:r>
      <w:r>
        <w:rPr>
          <w:rFonts w:ascii="宋体" w:hAnsi="宋体" w:cs="宋体" w:eastAsia="宋体" w:hint="default"/>
          <w:spacing w:val="-52"/>
        </w:rPr>
        <w:t> </w:t>
      </w:r>
      <w:r>
        <w:rPr/>
        <w:t>年</w:t>
      </w:r>
      <w:r>
        <w:rPr>
          <w:spacing w:val="-50"/>
        </w:rPr>
        <w:t> </w:t>
      </w:r>
      <w:r>
        <w:rPr>
          <w:rFonts w:ascii="宋体" w:hAnsi="宋体" w:cs="宋体" w:eastAsia="宋体" w:hint="default"/>
        </w:rPr>
        <w:t>8</w:t>
      </w:r>
      <w:r>
        <w:rPr>
          <w:rFonts w:ascii="宋体" w:hAnsi="宋体" w:cs="宋体" w:eastAsia="宋体" w:hint="default"/>
          <w:spacing w:val="-52"/>
        </w:rPr>
        <w:t> </w:t>
      </w:r>
      <w:r>
        <w:rPr/>
        <w:t>月</w:t>
      </w:r>
      <w:r>
        <w:rPr>
          <w:spacing w:val="-50"/>
        </w:rPr>
        <w:t> </w:t>
      </w:r>
      <w:r>
        <w:rPr>
          <w:rFonts w:ascii="宋体" w:hAnsi="宋体" w:cs="宋体" w:eastAsia="宋体" w:hint="default"/>
        </w:rPr>
        <w:t>19</w:t>
      </w:r>
      <w:r>
        <w:rPr>
          <w:rFonts w:ascii="宋体" w:hAnsi="宋体" w:cs="宋体" w:eastAsia="宋体" w:hint="default"/>
          <w:spacing w:val="-52"/>
        </w:rPr>
        <w:t> </w:t>
      </w:r>
      <w:r>
        <w:rPr/>
        <w:t>日期间，授信协议项下每笔贷</w:t>
      </w:r>
      <w:r>
        <w:rPr>
          <w:w w:val="100"/>
        </w:rPr>
        <w:t> </w:t>
      </w:r>
      <w:r>
        <w:rPr>
          <w:spacing w:val="-2"/>
        </w:rPr>
        <w:t>款或其他融资或贷款人受让的应收账款债权的到期日或每笔垫款的垫款日另加三年。该项担保经过公司董</w:t>
      </w:r>
      <w:r>
        <w:rPr>
          <w:spacing w:val="-43"/>
        </w:rPr>
        <w:t> </w:t>
      </w:r>
      <w:r>
        <w:rPr>
          <w:spacing w:val="-43"/>
        </w:rPr>
      </w:r>
      <w:r>
        <w:rPr/>
        <w:t>事会</w:t>
      </w:r>
      <w:r>
        <w:rPr>
          <w:spacing w:val="-56"/>
        </w:rPr>
        <w:t> </w:t>
      </w:r>
      <w:r>
        <w:rPr>
          <w:rFonts w:ascii="宋体" w:hAnsi="宋体" w:cs="宋体" w:eastAsia="宋体" w:hint="default"/>
        </w:rPr>
        <w:t>2019</w:t>
      </w:r>
      <w:r>
        <w:rPr>
          <w:rFonts w:ascii="宋体" w:hAnsi="宋体" w:cs="宋体" w:eastAsia="宋体" w:hint="default"/>
          <w:spacing w:val="-59"/>
        </w:rPr>
        <w:t> </w:t>
      </w:r>
      <w:r>
        <w:rPr/>
        <w:t>年第十次会议审议，并取得出席会议三分之二以上的董事同意。</w:t>
      </w:r>
      <w:r>
        <w:rPr>
          <w:rFonts w:ascii="宋体" w:hAnsi="宋体" w:cs="宋体" w:eastAsia="宋体" w:hint="default"/>
        </w:rPr>
        <w:t> </w:t>
      </w:r>
    </w:p>
    <w:p>
      <w:pPr>
        <w:pStyle w:val="BodyText"/>
        <w:spacing w:line="273" w:lineRule="auto" w:before="49"/>
        <w:ind w:right="1126" w:firstLine="420"/>
        <w:jc w:val="both"/>
        <w:rPr>
          <w:rFonts w:ascii="宋体" w:hAnsi="宋体" w:cs="宋体" w:eastAsia="宋体" w:hint="default"/>
        </w:rPr>
      </w:pPr>
      <w:r>
        <w:rPr>
          <w:rFonts w:ascii="宋体" w:hAnsi="宋体" w:cs="宋体" w:eastAsia="宋体" w:hint="default"/>
          <w:spacing w:val="-5"/>
        </w:rPr>
        <w:t>8</w:t>
      </w:r>
      <w:r>
        <w:rPr>
          <w:spacing w:val="-5"/>
        </w:rPr>
        <w:t>、公司为长实通信流动资金贷款，向债权人中国民生银行股份有限公司广州分行提供连带责任保证，</w:t>
      </w:r>
      <w:r>
        <w:rPr>
          <w:w w:val="100"/>
        </w:rPr>
        <w:t> </w:t>
      </w:r>
      <w:r>
        <w:rPr/>
        <w:t>担保金额</w:t>
      </w:r>
      <w:r>
        <w:rPr>
          <w:spacing w:val="-48"/>
        </w:rPr>
        <w:t> </w:t>
      </w:r>
      <w:r>
        <w:rPr>
          <w:rFonts w:ascii="宋体" w:hAnsi="宋体" w:cs="宋体" w:eastAsia="宋体" w:hint="default"/>
        </w:rPr>
        <w:t>10,000.00</w:t>
      </w:r>
      <w:r>
        <w:rPr>
          <w:rFonts w:ascii="宋体" w:hAnsi="宋体" w:cs="宋体" w:eastAsia="宋体" w:hint="default"/>
          <w:spacing w:val="-52"/>
        </w:rPr>
        <w:t> </w:t>
      </w:r>
      <w:r>
        <w:rPr>
          <w:spacing w:val="-3"/>
        </w:rPr>
        <w:t>万元，保证期间：在保证合同生效之日起至</w:t>
      </w:r>
      <w:r>
        <w:rPr>
          <w:spacing w:val="-48"/>
        </w:rPr>
        <w:t> </w:t>
      </w:r>
      <w:r>
        <w:rPr>
          <w:rFonts w:ascii="宋体" w:hAnsi="宋体" w:cs="宋体" w:eastAsia="宋体" w:hint="default"/>
        </w:rPr>
        <w:t>2020</w:t>
      </w:r>
      <w:r>
        <w:rPr>
          <w:rFonts w:ascii="宋体" w:hAnsi="宋体" w:cs="宋体" w:eastAsia="宋体" w:hint="default"/>
          <w:spacing w:val="-52"/>
        </w:rPr>
        <w:t> </w:t>
      </w:r>
      <w:r>
        <w:rPr/>
        <w:t>年</w:t>
      </w:r>
      <w:r>
        <w:rPr>
          <w:spacing w:val="-49"/>
        </w:rPr>
        <w:t> </w:t>
      </w:r>
      <w:r>
        <w:rPr>
          <w:rFonts w:ascii="宋体" w:hAnsi="宋体" w:cs="宋体" w:eastAsia="宋体" w:hint="default"/>
        </w:rPr>
        <w:t>8</w:t>
      </w:r>
      <w:r>
        <w:rPr>
          <w:rFonts w:ascii="宋体" w:hAnsi="宋体" w:cs="宋体" w:eastAsia="宋体" w:hint="default"/>
          <w:spacing w:val="-52"/>
        </w:rPr>
        <w:t> </w:t>
      </w:r>
      <w:r>
        <w:rPr/>
        <w:t>月</w:t>
      </w:r>
      <w:r>
        <w:rPr>
          <w:spacing w:val="-49"/>
        </w:rPr>
        <w:t> </w:t>
      </w:r>
      <w:r>
        <w:rPr>
          <w:rFonts w:ascii="宋体" w:hAnsi="宋体" w:cs="宋体" w:eastAsia="宋体" w:hint="default"/>
        </w:rPr>
        <w:t>29</w:t>
      </w:r>
      <w:r>
        <w:rPr>
          <w:rFonts w:ascii="宋体" w:hAnsi="宋体" w:cs="宋体" w:eastAsia="宋体" w:hint="default"/>
          <w:spacing w:val="-52"/>
        </w:rPr>
        <w:t> </w:t>
      </w:r>
      <w:r>
        <w:rPr/>
        <w:t>日期间，保证合同项下借</w:t>
      </w:r>
      <w:r>
        <w:rPr>
          <w:w w:val="100"/>
        </w:rPr>
        <w:t> </w:t>
      </w:r>
      <w:r>
        <w:rPr/>
        <w:t>款期限届满之次日起三年。本次《最高额保证合同》保证范围包括上述</w:t>
      </w:r>
      <w:r>
        <w:rPr>
          <w:spacing w:val="-28"/>
        </w:rPr>
        <w:t> </w:t>
      </w:r>
      <w:r>
        <w:rPr>
          <w:rFonts w:ascii="宋体" w:hAnsi="宋体" w:cs="宋体" w:eastAsia="宋体" w:hint="default"/>
        </w:rPr>
        <w:t>3</w:t>
      </w:r>
      <w:r>
        <w:rPr/>
        <w:t>、条款债权人民生银行广州分行</w:t>
      </w:r>
      <w:r>
        <w:rPr>
          <w:w w:val="100"/>
        </w:rPr>
        <w:t> </w:t>
      </w:r>
      <w:r>
        <w:rPr>
          <w:spacing w:val="-3"/>
        </w:rPr>
        <w:t>和长实通信原签有编号为：公授信字第</w:t>
      </w:r>
      <w:r>
        <w:rPr>
          <w:spacing w:val="-41"/>
        </w:rPr>
        <w:t> </w:t>
      </w:r>
      <w:r>
        <w:rPr>
          <w:rFonts w:ascii="宋体" w:hAnsi="宋体" w:cs="宋体" w:eastAsia="宋体" w:hint="default"/>
        </w:rPr>
        <w:t>ZH1800000059960</w:t>
      </w:r>
      <w:r>
        <w:rPr>
          <w:rFonts w:ascii="宋体" w:hAnsi="宋体" w:cs="宋体" w:eastAsia="宋体" w:hint="default"/>
          <w:spacing w:val="27"/>
        </w:rPr>
        <w:t> </w:t>
      </w:r>
      <w:r>
        <w:rPr>
          <w:spacing w:val="-4"/>
        </w:rPr>
        <w:t>号的《综合授信合同》项目具体业务中尚未结清</w:t>
      </w:r>
      <w:r>
        <w:rPr>
          <w:spacing w:val="-98"/>
        </w:rPr>
        <w:t> </w:t>
      </w:r>
      <w:r>
        <w:rPr>
          <w:spacing w:val="-98"/>
        </w:rPr>
      </w:r>
      <w:r>
        <w:rPr/>
        <w:t>的余额部分。该项担保经过公司董事会 </w:t>
      </w:r>
      <w:r>
        <w:rPr>
          <w:rFonts w:ascii="宋体" w:hAnsi="宋体" w:cs="宋体" w:eastAsia="宋体" w:hint="default"/>
        </w:rPr>
        <w:t>2019</w:t>
      </w:r>
      <w:r>
        <w:rPr>
          <w:rFonts w:ascii="宋体" w:hAnsi="宋体" w:cs="宋体" w:eastAsia="宋体" w:hint="default"/>
          <w:spacing w:val="-29"/>
        </w:rPr>
        <w:t> </w:t>
      </w:r>
      <w:r>
        <w:rPr/>
        <w:t>年第十一次会议审议，并取得出席会议三分之二以上的董事</w:t>
      </w:r>
      <w:r>
        <w:rPr>
          <w:w w:val="100"/>
        </w:rPr>
        <w:t> </w:t>
      </w:r>
      <w:r>
        <w:rPr/>
        <w:t>同意。</w:t>
      </w:r>
      <w:r>
        <w:rPr>
          <w:rFonts w:ascii="宋体" w:hAnsi="宋体" w:cs="宋体" w:eastAsia="宋体" w:hint="default"/>
        </w:rPr>
        <w:t> </w:t>
      </w:r>
    </w:p>
    <w:p>
      <w:pPr>
        <w:spacing w:after="0" w:line="273" w:lineRule="auto"/>
        <w:jc w:val="both"/>
        <w:rPr>
          <w:rFonts w:ascii="宋体" w:hAnsi="宋体" w:cs="宋体" w:eastAsia="宋体" w:hint="default"/>
        </w:rPr>
        <w:sectPr>
          <w:pgSz w:w="11910" w:h="16840"/>
          <w:pgMar w:header="880" w:footer="975" w:top="1100" w:bottom="1160" w:left="980" w:right="0"/>
        </w:sectPr>
      </w:pPr>
    </w:p>
    <w:p>
      <w:pPr>
        <w:spacing w:line="240" w:lineRule="auto" w:before="11"/>
        <w:rPr>
          <w:rFonts w:ascii="宋体" w:hAnsi="宋体" w:cs="宋体" w:eastAsia="宋体" w:hint="default"/>
          <w:sz w:val="20"/>
          <w:szCs w:val="20"/>
        </w:rPr>
      </w:pPr>
    </w:p>
    <w:p>
      <w:pPr>
        <w:pStyle w:val="BodyText"/>
        <w:spacing w:line="273" w:lineRule="auto" w:before="36"/>
        <w:ind w:right="1122" w:firstLine="420"/>
        <w:jc w:val="left"/>
      </w:pPr>
      <w:r>
        <w:rPr>
          <w:rFonts w:ascii="宋体" w:hAnsi="宋体" w:cs="宋体" w:eastAsia="宋体" w:hint="default"/>
        </w:rPr>
        <w:t>9</w:t>
      </w:r>
      <w:r>
        <w:rPr/>
        <w:t>、公司为长实通信流动资金贷款，向债权人广发银行股份有限公司清远分行提供连带责任保证，担</w:t>
      </w:r>
      <w:r>
        <w:rPr>
          <w:w w:val="100"/>
        </w:rPr>
        <w:t> </w:t>
      </w:r>
      <w:r>
        <w:rPr/>
        <w:t>保金额 </w:t>
      </w:r>
      <w:r>
        <w:rPr>
          <w:rFonts w:ascii="宋体" w:hAnsi="宋体" w:cs="宋体" w:eastAsia="宋体" w:hint="default"/>
        </w:rPr>
        <w:t>2,000.00</w:t>
      </w:r>
      <w:r>
        <w:rPr>
          <w:rFonts w:ascii="宋体" w:hAnsi="宋体" w:cs="宋体" w:eastAsia="宋体" w:hint="default"/>
          <w:spacing w:val="-28"/>
        </w:rPr>
        <w:t> </w:t>
      </w:r>
      <w:r>
        <w:rPr/>
        <w:t>万元，保证期间：自主合同债务人履行债务期限届满之日起两年。该项担保经过公司董</w:t>
      </w:r>
    </w:p>
    <w:p>
      <w:pPr>
        <w:pStyle w:val="BodyText"/>
        <w:spacing w:line="240" w:lineRule="auto" w:before="7"/>
        <w:ind w:right="1133"/>
        <w:jc w:val="left"/>
        <w:rPr>
          <w:rFonts w:ascii="宋体" w:hAnsi="宋体" w:cs="宋体" w:eastAsia="宋体" w:hint="default"/>
        </w:rPr>
      </w:pPr>
      <w:r>
        <w:rPr/>
        <w:t>事会</w:t>
      </w:r>
      <w:r>
        <w:rPr>
          <w:spacing w:val="-55"/>
        </w:rPr>
        <w:t> </w:t>
      </w:r>
      <w:r>
        <w:rPr>
          <w:rFonts w:ascii="宋体" w:hAnsi="宋体" w:cs="宋体" w:eastAsia="宋体" w:hint="default"/>
        </w:rPr>
        <w:t>2019</w:t>
      </w:r>
      <w:r>
        <w:rPr>
          <w:rFonts w:ascii="宋体" w:hAnsi="宋体" w:cs="宋体" w:eastAsia="宋体" w:hint="default"/>
          <w:spacing w:val="-58"/>
        </w:rPr>
        <w:t> </w:t>
      </w:r>
      <w:r>
        <w:rPr/>
        <w:t>年第十六次会议审议，并取得出席会议三分之二以上的董事同意。</w:t>
      </w:r>
      <w:r>
        <w:rPr>
          <w:rFonts w:ascii="宋体" w:hAnsi="宋体" w:cs="宋体" w:eastAsia="宋体" w:hint="default"/>
        </w:rPr>
        <w:t> </w:t>
      </w:r>
    </w:p>
    <w:p>
      <w:pPr>
        <w:pStyle w:val="BodyText"/>
        <w:spacing w:line="240" w:lineRule="auto" w:before="78"/>
        <w:ind w:left="573" w:right="819"/>
        <w:jc w:val="left"/>
      </w:pPr>
      <w:r>
        <w:rPr>
          <w:rFonts w:ascii="宋体" w:hAnsi="宋体" w:cs="宋体" w:eastAsia="宋体" w:hint="default"/>
        </w:rPr>
        <w:t>10</w:t>
      </w:r>
      <w:r>
        <w:rPr/>
        <w:t>、经公司董事会 </w:t>
      </w:r>
      <w:r>
        <w:rPr>
          <w:rFonts w:ascii="宋体" w:hAnsi="宋体" w:cs="宋体" w:eastAsia="宋体" w:hint="default"/>
        </w:rPr>
        <w:t>2018</w:t>
      </w:r>
      <w:r>
        <w:rPr>
          <w:rFonts w:ascii="宋体" w:hAnsi="宋体" w:cs="宋体" w:eastAsia="宋体" w:hint="default"/>
          <w:spacing w:val="-29"/>
        </w:rPr>
        <w:t> </w:t>
      </w:r>
      <w:r>
        <w:rPr/>
        <w:t>年第七次会议审议通过，公司为创世漫道流动资金贷款，向债权人杭州银行</w:t>
      </w:r>
    </w:p>
    <w:p>
      <w:pPr>
        <w:pStyle w:val="BodyText"/>
        <w:spacing w:line="273" w:lineRule="auto" w:before="37"/>
        <w:ind w:right="819"/>
        <w:jc w:val="left"/>
        <w:rPr>
          <w:rFonts w:ascii="宋体" w:hAnsi="宋体" w:cs="宋体" w:eastAsia="宋体" w:hint="default"/>
        </w:rPr>
      </w:pPr>
      <w:r>
        <w:rPr>
          <w:spacing w:val="-6"/>
          <w:w w:val="100"/>
        </w:rPr>
        <w:t>股份有限公司北京分行提供连带责任保证，担保金额在</w:t>
      </w:r>
      <w:r>
        <w:rPr>
          <w:spacing w:val="-57"/>
          <w:w w:val="100"/>
        </w:rPr>
        <w:t> </w:t>
      </w:r>
      <w:r>
        <w:rPr>
          <w:rFonts w:ascii="宋体" w:hAnsi="宋体" w:cs="宋体" w:eastAsia="宋体" w:hint="default"/>
          <w:spacing w:val="-1"/>
          <w:w w:val="100"/>
        </w:rPr>
        <w:t>10,000.00</w:t>
      </w:r>
      <w:r>
        <w:rPr>
          <w:rFonts w:ascii="宋体" w:hAnsi="宋体" w:cs="宋体" w:eastAsia="宋体" w:hint="default"/>
          <w:spacing w:val="-59"/>
          <w:w w:val="100"/>
        </w:rPr>
        <w:t> </w:t>
      </w:r>
      <w:r>
        <w:rPr>
          <w:spacing w:val="-2"/>
          <w:w w:val="100"/>
        </w:rPr>
        <w:t>万元的最高余额内的担保于报告期解除，</w:t>
      </w:r>
      <w:r>
        <w:rPr>
          <w:spacing w:val="-101"/>
          <w:w w:val="100"/>
        </w:rPr>
        <w:t> </w:t>
      </w:r>
      <w:r>
        <w:rPr>
          <w:spacing w:val="-101"/>
          <w:w w:val="100"/>
        </w:rPr>
      </w:r>
      <w:r>
        <w:rPr/>
        <w:t>无逾期。</w:t>
      </w:r>
      <w:r>
        <w:rPr>
          <w:rFonts w:ascii="宋体" w:hAnsi="宋体" w:cs="宋体" w:eastAsia="宋体" w:hint="default"/>
        </w:rPr>
        <w:t> </w:t>
      </w:r>
    </w:p>
    <w:p>
      <w:pPr>
        <w:pStyle w:val="BodyText"/>
        <w:spacing w:line="240" w:lineRule="auto" w:before="46"/>
        <w:ind w:left="573" w:right="819"/>
        <w:jc w:val="left"/>
      </w:pPr>
      <w:r>
        <w:rPr>
          <w:rFonts w:ascii="宋体" w:hAnsi="宋体" w:cs="宋体" w:eastAsia="宋体" w:hint="default"/>
        </w:rPr>
        <w:t>11</w:t>
      </w:r>
      <w:r>
        <w:rPr/>
        <w:t>、经公司董事会 </w:t>
      </w:r>
      <w:r>
        <w:rPr>
          <w:rFonts w:ascii="宋体" w:hAnsi="宋体" w:cs="宋体" w:eastAsia="宋体" w:hint="default"/>
        </w:rPr>
        <w:t>2018</w:t>
      </w:r>
      <w:r>
        <w:rPr>
          <w:rFonts w:ascii="宋体" w:hAnsi="宋体" w:cs="宋体" w:eastAsia="宋体" w:hint="default"/>
          <w:spacing w:val="-29"/>
        </w:rPr>
        <w:t> </w:t>
      </w:r>
      <w:r>
        <w:rPr/>
        <w:t>年第十五次会议审议通过，公司为创世漫道流动资金贷款，向债权人厦门国</w:t>
      </w:r>
    </w:p>
    <w:p>
      <w:pPr>
        <w:pStyle w:val="BodyText"/>
        <w:spacing w:line="273" w:lineRule="auto" w:before="37"/>
        <w:ind w:right="819"/>
        <w:jc w:val="left"/>
        <w:rPr>
          <w:rFonts w:ascii="宋体" w:hAnsi="宋体" w:cs="宋体" w:eastAsia="宋体" w:hint="default"/>
        </w:rPr>
      </w:pPr>
      <w:r>
        <w:rPr>
          <w:spacing w:val="-3"/>
        </w:rPr>
        <w:t>际银行股份有限公司北京分行提供连带责任保证，担保金额在</w:t>
      </w:r>
      <w:r>
        <w:rPr>
          <w:spacing w:val="-31"/>
        </w:rPr>
        <w:t> </w:t>
      </w:r>
      <w:r>
        <w:rPr>
          <w:rFonts w:ascii="宋体" w:hAnsi="宋体" w:cs="宋体" w:eastAsia="宋体" w:hint="default"/>
        </w:rPr>
        <w:t>14,000.00</w:t>
      </w:r>
      <w:r>
        <w:rPr>
          <w:rFonts w:ascii="宋体" w:hAnsi="宋体" w:cs="宋体" w:eastAsia="宋体" w:hint="default"/>
          <w:spacing w:val="-33"/>
        </w:rPr>
        <w:t> </w:t>
      </w:r>
      <w:r>
        <w:rPr/>
        <w:t>万元的最高余额内的担保于报告</w:t>
      </w:r>
      <w:r>
        <w:rPr>
          <w:spacing w:val="-97"/>
        </w:rPr>
        <w:t> </w:t>
      </w:r>
      <w:r>
        <w:rPr>
          <w:spacing w:val="-97"/>
        </w:rPr>
      </w:r>
      <w:r>
        <w:rPr/>
        <w:t>期解除，无逾期。</w:t>
      </w:r>
      <w:r>
        <w:rPr>
          <w:rFonts w:ascii="宋体" w:hAnsi="宋体" w:cs="宋体" w:eastAsia="宋体" w:hint="default"/>
        </w:rPr>
        <w:t> </w:t>
      </w:r>
    </w:p>
    <w:p>
      <w:pPr>
        <w:pStyle w:val="BodyText"/>
        <w:spacing w:line="273" w:lineRule="auto" w:before="48"/>
        <w:ind w:right="819" w:firstLine="420"/>
        <w:jc w:val="left"/>
      </w:pPr>
      <w:r>
        <w:rPr>
          <w:rFonts w:ascii="宋体" w:hAnsi="宋体" w:cs="宋体" w:eastAsia="宋体" w:hint="default"/>
        </w:rPr>
        <w:t>12</w:t>
      </w:r>
      <w:r>
        <w:rPr/>
        <w:t>、公司为创世漫道流动资金贷款，向债权人北京银行股份有限公司清华园支行提供连带责任保证，</w:t>
      </w:r>
      <w:r>
        <w:rPr>
          <w:w w:val="100"/>
        </w:rPr>
        <w:t> </w:t>
      </w:r>
      <w:r>
        <w:rPr/>
        <w:t>担保金额 </w:t>
      </w:r>
      <w:r>
        <w:rPr>
          <w:rFonts w:ascii="宋体" w:hAnsi="宋体" w:cs="宋体" w:eastAsia="宋体" w:hint="default"/>
        </w:rPr>
        <w:t>8,000.00</w:t>
      </w:r>
      <w:r>
        <w:rPr>
          <w:rFonts w:ascii="宋体" w:hAnsi="宋体" w:cs="宋体" w:eastAsia="宋体" w:hint="default"/>
          <w:spacing w:val="-50"/>
        </w:rPr>
        <w:t> </w:t>
      </w:r>
      <w:r>
        <w:rPr>
          <w:spacing w:val="-5"/>
        </w:rPr>
        <w:t>万元，保证期间：自合同生效之日起至主合同项下被担保债务履行期届满之日起两年。</w:t>
      </w:r>
    </w:p>
    <w:p>
      <w:pPr>
        <w:pStyle w:val="BodyText"/>
        <w:spacing w:line="307" w:lineRule="auto" w:before="7"/>
        <w:ind w:left="573" w:right="819" w:hanging="421"/>
        <w:jc w:val="left"/>
      </w:pPr>
      <w:r>
        <w:rPr/>
        <w:t>该项担保经过公司董事会</w:t>
      </w:r>
      <w:r>
        <w:rPr>
          <w:spacing w:val="-56"/>
        </w:rPr>
        <w:t> </w:t>
      </w:r>
      <w:r>
        <w:rPr>
          <w:rFonts w:ascii="宋体" w:hAnsi="宋体" w:cs="宋体" w:eastAsia="宋体" w:hint="default"/>
        </w:rPr>
        <w:t>2019</w:t>
      </w:r>
      <w:r>
        <w:rPr>
          <w:rFonts w:ascii="宋体" w:hAnsi="宋体" w:cs="宋体" w:eastAsia="宋体" w:hint="default"/>
          <w:spacing w:val="-56"/>
        </w:rPr>
        <w:t> </w:t>
      </w:r>
      <w:r>
        <w:rPr/>
        <w:t>年第七次会议审议，并取得出席会议三分之二以上的董事同意。</w:t>
      </w:r>
      <w:r>
        <w:rPr>
          <w:rFonts w:ascii="宋体" w:hAnsi="宋体" w:cs="宋体" w:eastAsia="宋体" w:hint="default"/>
          <w:w w:val="100"/>
        </w:rPr>
        <w:t> </w:t>
      </w:r>
      <w:r>
        <w:rPr>
          <w:rFonts w:ascii="宋体" w:hAnsi="宋体" w:cs="宋体" w:eastAsia="宋体" w:hint="default"/>
          <w:spacing w:val="-5"/>
        </w:rPr>
        <w:t>13</w:t>
      </w:r>
      <w:r>
        <w:rPr>
          <w:spacing w:val="-5"/>
        </w:rPr>
        <w:t>、公司为创世漫道流动资金贷款，向债权人杭州银行股份有限公司北京丰台支行提供连带责任保证，</w:t>
      </w:r>
    </w:p>
    <w:p>
      <w:pPr>
        <w:pStyle w:val="BodyText"/>
        <w:spacing w:line="254" w:lineRule="exact"/>
        <w:ind w:right="819"/>
        <w:jc w:val="left"/>
      </w:pPr>
      <w:r>
        <w:rPr/>
        <w:t>担保金额 </w:t>
      </w:r>
      <w:r>
        <w:rPr>
          <w:rFonts w:ascii="宋体" w:hAnsi="宋体" w:cs="宋体" w:eastAsia="宋体" w:hint="default"/>
        </w:rPr>
        <w:t>8,000.00</w:t>
      </w:r>
      <w:r>
        <w:rPr>
          <w:rFonts w:ascii="宋体" w:hAnsi="宋体" w:cs="宋体" w:eastAsia="宋体" w:hint="default"/>
          <w:spacing w:val="-30"/>
        </w:rPr>
        <w:t> </w:t>
      </w:r>
      <w:r>
        <w:rPr/>
        <w:t>万元，保证期间：主合同项下第一笔具体融资业务的保证期限单独计算，为自具体融</w:t>
      </w:r>
    </w:p>
    <w:p>
      <w:pPr>
        <w:pStyle w:val="BodyText"/>
        <w:spacing w:line="273" w:lineRule="auto" w:before="37"/>
        <w:ind w:right="1125"/>
        <w:jc w:val="left"/>
        <w:rPr>
          <w:rFonts w:ascii="宋体" w:hAnsi="宋体" w:cs="宋体" w:eastAsia="宋体" w:hint="default"/>
        </w:rPr>
      </w:pPr>
      <w:r>
        <w:rPr/>
        <w:t>资合同约定的债务人履行期限届满之日起两年。该项担保经过公司董事会 </w:t>
      </w:r>
      <w:r>
        <w:rPr>
          <w:rFonts w:ascii="宋体" w:hAnsi="宋体" w:cs="宋体" w:eastAsia="宋体" w:hint="default"/>
        </w:rPr>
        <w:t>2019</w:t>
      </w:r>
      <w:r>
        <w:rPr>
          <w:rFonts w:ascii="宋体" w:hAnsi="宋体" w:cs="宋体" w:eastAsia="宋体" w:hint="default"/>
          <w:spacing w:val="-31"/>
        </w:rPr>
        <w:t> </w:t>
      </w:r>
      <w:r>
        <w:rPr/>
        <w:t>年第十二次会议审议，并</w:t>
      </w:r>
      <w:r>
        <w:rPr>
          <w:w w:val="100"/>
        </w:rPr>
        <w:t> </w:t>
      </w:r>
      <w:r>
        <w:rPr/>
        <w:t>取得出席会议三分之二以上的董事同意。</w:t>
      </w:r>
      <w:r>
        <w:rPr>
          <w:rFonts w:ascii="宋体" w:hAnsi="宋体" w:cs="宋体" w:eastAsia="宋体" w:hint="default"/>
        </w:rPr>
        <w:t> </w:t>
      </w:r>
    </w:p>
    <w:p>
      <w:pPr>
        <w:pStyle w:val="BodyText"/>
        <w:spacing w:line="273" w:lineRule="auto" w:before="46"/>
        <w:ind w:right="819" w:firstLine="420"/>
        <w:jc w:val="left"/>
      </w:pPr>
      <w:r>
        <w:rPr>
          <w:rFonts w:ascii="宋体" w:hAnsi="宋体" w:cs="宋体" w:eastAsia="宋体" w:hint="default"/>
        </w:rPr>
        <w:t>14</w:t>
      </w:r>
      <w:r>
        <w:rPr/>
        <w:t>、公司为嘉华信息流动资金贷款，向债权人北京银行股份有限公司清华园支行提供连带责任保证，</w:t>
      </w:r>
      <w:r>
        <w:rPr>
          <w:w w:val="100"/>
        </w:rPr>
        <w:t> </w:t>
      </w:r>
      <w:r>
        <w:rPr/>
        <w:t>担保金额 </w:t>
      </w:r>
      <w:r>
        <w:rPr>
          <w:rFonts w:ascii="宋体" w:hAnsi="宋体" w:cs="宋体" w:eastAsia="宋体" w:hint="default"/>
        </w:rPr>
        <w:t>5,000.00</w:t>
      </w:r>
      <w:r>
        <w:rPr>
          <w:rFonts w:ascii="宋体" w:hAnsi="宋体" w:cs="宋体" w:eastAsia="宋体" w:hint="default"/>
          <w:spacing w:val="-50"/>
        </w:rPr>
        <w:t> </w:t>
      </w:r>
      <w:r>
        <w:rPr>
          <w:spacing w:val="-5"/>
        </w:rPr>
        <w:t>万元，保证期间：自合同生效之日起至主合同项下被担保债务履行期届满之日起两年。</w:t>
      </w:r>
    </w:p>
    <w:p>
      <w:pPr>
        <w:pStyle w:val="BodyText"/>
        <w:spacing w:line="307" w:lineRule="auto" w:before="7"/>
        <w:ind w:left="573" w:right="1133" w:hanging="421"/>
        <w:jc w:val="left"/>
      </w:pPr>
      <w:r>
        <w:rPr/>
        <w:t>该项担保经过公司董事会</w:t>
      </w:r>
      <w:r>
        <w:rPr>
          <w:spacing w:val="-56"/>
        </w:rPr>
        <w:t> </w:t>
      </w:r>
      <w:r>
        <w:rPr>
          <w:rFonts w:ascii="宋体" w:hAnsi="宋体" w:cs="宋体" w:eastAsia="宋体" w:hint="default"/>
        </w:rPr>
        <w:t>2019</w:t>
      </w:r>
      <w:r>
        <w:rPr>
          <w:rFonts w:ascii="宋体" w:hAnsi="宋体" w:cs="宋体" w:eastAsia="宋体" w:hint="default"/>
          <w:spacing w:val="-56"/>
        </w:rPr>
        <w:t> </w:t>
      </w:r>
      <w:r>
        <w:rPr/>
        <w:t>年第十次会议审议，并取得出席会议三分之二以上的董事同意。</w:t>
      </w:r>
      <w:r>
        <w:rPr>
          <w:rFonts w:ascii="宋体" w:hAnsi="宋体" w:cs="宋体" w:eastAsia="宋体" w:hint="default"/>
          <w:w w:val="100"/>
        </w:rPr>
        <w:t> </w:t>
      </w:r>
      <w:r>
        <w:rPr>
          <w:rFonts w:ascii="宋体" w:hAnsi="宋体" w:cs="宋体" w:eastAsia="宋体" w:hint="default"/>
          <w:spacing w:val="-2"/>
        </w:rPr>
        <w:t>15</w:t>
      </w:r>
      <w:r>
        <w:rPr>
          <w:spacing w:val="-2"/>
        </w:rPr>
        <w:t>、公司为嘉华信息流动资金贷款，对债权人北京中关村科技融资担保有限公司向受益人交通银行股</w:t>
      </w:r>
    </w:p>
    <w:p>
      <w:pPr>
        <w:pStyle w:val="BodyText"/>
        <w:spacing w:line="253" w:lineRule="exact"/>
        <w:ind w:right="819"/>
        <w:jc w:val="left"/>
      </w:pPr>
      <w:r>
        <w:rPr/>
        <w:t>份有限公司北京天通苑支行提供的保证担保均提供保证反担保连带责任保证，担保金额 </w:t>
      </w:r>
      <w:r>
        <w:rPr>
          <w:rFonts w:ascii="宋体" w:hAnsi="宋体" w:cs="宋体" w:eastAsia="宋体" w:hint="default"/>
        </w:rPr>
        <w:t>3,000.00</w:t>
      </w:r>
      <w:r>
        <w:rPr>
          <w:rFonts w:ascii="宋体" w:hAnsi="宋体" w:cs="宋体" w:eastAsia="宋体" w:hint="default"/>
          <w:spacing w:val="-28"/>
        </w:rPr>
        <w:t> </w:t>
      </w:r>
      <w:r>
        <w:rPr/>
        <w:t>万元，</w:t>
      </w:r>
    </w:p>
    <w:p>
      <w:pPr>
        <w:pStyle w:val="BodyText"/>
        <w:spacing w:line="273" w:lineRule="auto" w:before="37"/>
        <w:ind w:right="1126"/>
        <w:jc w:val="both"/>
        <w:rPr>
          <w:rFonts w:ascii="宋体" w:hAnsi="宋体" w:cs="宋体" w:eastAsia="宋体" w:hint="default"/>
        </w:rPr>
      </w:pPr>
      <w:r>
        <w:rPr>
          <w:spacing w:val="-2"/>
        </w:rPr>
        <w:t>保证期间：本合同项下的保证期间按主合同项下每笔债权分别计算，自每笔借款合同或其他形成债权债务</w:t>
      </w:r>
      <w:r>
        <w:rPr>
          <w:spacing w:val="-43"/>
        </w:rPr>
        <w:t> </w:t>
      </w:r>
      <w:r>
        <w:rPr>
          <w:spacing w:val="-43"/>
        </w:rPr>
      </w:r>
      <w:r>
        <w:rPr/>
        <w:t>所签订的法律性文件签订之日起至该笔债权履行期限届满之日后两年止。该项担保经过公司董事会</w:t>
      </w:r>
      <w:r>
        <w:rPr>
          <w:spacing w:val="70"/>
        </w:rPr>
        <w:t> </w:t>
      </w:r>
      <w:r>
        <w:rPr>
          <w:rFonts w:ascii="宋体" w:hAnsi="宋体" w:cs="宋体" w:eastAsia="宋体" w:hint="default"/>
        </w:rPr>
        <w:t>2019</w:t>
      </w:r>
      <w:r>
        <w:rPr>
          <w:rFonts w:ascii="宋体" w:hAnsi="宋体" w:cs="宋体" w:eastAsia="宋体" w:hint="default"/>
          <w:spacing w:val="-96"/>
        </w:rPr>
        <w:t> </w:t>
      </w:r>
      <w:r>
        <w:rPr>
          <w:rFonts w:ascii="宋体" w:hAnsi="宋体" w:cs="宋体" w:eastAsia="宋体" w:hint="default"/>
          <w:spacing w:val="-96"/>
        </w:rPr>
      </w:r>
      <w:r>
        <w:rPr/>
        <w:t>年第十一次会议审议，并取得出席会议三分之二以上的董事同意。</w:t>
      </w:r>
      <w:r>
        <w:rPr>
          <w:rFonts w:ascii="宋体" w:hAnsi="宋体" w:cs="宋体" w:eastAsia="宋体" w:hint="default"/>
        </w:rPr>
        <w:t> </w:t>
      </w:r>
    </w:p>
    <w:p>
      <w:pPr>
        <w:pStyle w:val="BodyText"/>
        <w:spacing w:line="240" w:lineRule="auto" w:before="49"/>
        <w:ind w:left="573" w:right="819"/>
        <w:jc w:val="left"/>
      </w:pPr>
      <w:r>
        <w:rPr>
          <w:rFonts w:ascii="宋体" w:hAnsi="宋体" w:cs="宋体" w:eastAsia="宋体" w:hint="default"/>
        </w:rPr>
        <w:t>16</w:t>
      </w:r>
      <w:r>
        <w:rPr/>
        <w:t>、公司为嘉华信息流动资金贷款，向江苏银行股份有限公司北京分行提供连带责任保证，担保金额</w:t>
      </w:r>
    </w:p>
    <w:p>
      <w:pPr>
        <w:pStyle w:val="BodyText"/>
        <w:spacing w:line="240" w:lineRule="auto" w:before="37"/>
        <w:ind w:right="819"/>
        <w:jc w:val="left"/>
      </w:pPr>
      <w:r>
        <w:rPr>
          <w:rFonts w:ascii="宋体" w:hAnsi="宋体" w:cs="宋体" w:eastAsia="宋体" w:hint="default"/>
        </w:rPr>
        <w:t>5,000.00</w:t>
      </w:r>
      <w:r>
        <w:rPr>
          <w:rFonts w:ascii="宋体" w:hAnsi="宋体" w:cs="宋体" w:eastAsia="宋体" w:hint="default"/>
          <w:spacing w:val="27"/>
        </w:rPr>
        <w:t> </w:t>
      </w:r>
      <w:r>
        <w:rPr>
          <w:spacing w:val="-4"/>
        </w:rPr>
        <w:t>万元，保证期间：自合同生效之日起至主合同项下债务到期后满两年之日止。该项担保经过公司</w:t>
      </w:r>
    </w:p>
    <w:p>
      <w:pPr>
        <w:pStyle w:val="BodyText"/>
        <w:spacing w:line="307" w:lineRule="auto" w:before="37"/>
        <w:ind w:left="573" w:right="1133" w:hanging="421"/>
        <w:jc w:val="left"/>
      </w:pPr>
      <w:r>
        <w:rPr/>
        <w:t>董事会</w:t>
      </w:r>
      <w:r>
        <w:rPr>
          <w:spacing w:val="-53"/>
        </w:rPr>
        <w:t> </w:t>
      </w:r>
      <w:r>
        <w:rPr>
          <w:rFonts w:ascii="宋体" w:hAnsi="宋体" w:cs="宋体" w:eastAsia="宋体" w:hint="default"/>
        </w:rPr>
        <w:t>2019</w:t>
      </w:r>
      <w:r>
        <w:rPr>
          <w:rFonts w:ascii="宋体" w:hAnsi="宋体" w:cs="宋体" w:eastAsia="宋体" w:hint="default"/>
          <w:spacing w:val="-54"/>
        </w:rPr>
        <w:t> </w:t>
      </w:r>
      <w:r>
        <w:rPr/>
        <w:t>年第十三次会议审议，并取得出席会议三分之二以上的董事同意。</w:t>
      </w:r>
      <w:r>
        <w:rPr>
          <w:rFonts w:ascii="宋体" w:hAnsi="宋体" w:cs="宋体" w:eastAsia="宋体" w:hint="default"/>
          <w:w w:val="100"/>
        </w:rPr>
        <w:t> </w:t>
      </w:r>
      <w:r>
        <w:rPr>
          <w:spacing w:val="-2"/>
        </w:rPr>
        <w:t>除上述公司对子公司的担保外，公司及其子公司没有对外担保、没有子公司与子公司之间的担保，无</w:t>
      </w:r>
    </w:p>
    <w:p>
      <w:pPr>
        <w:pStyle w:val="BodyText"/>
        <w:spacing w:line="253" w:lineRule="exact"/>
        <w:ind w:right="819"/>
        <w:jc w:val="left"/>
      </w:pPr>
      <w:r>
        <w:rPr>
          <w:spacing w:val="-2"/>
        </w:rPr>
        <w:t>逾期担保，无为股东、实际控制人及其关联方提供的担保，无直接或间接为资产负债率超过</w:t>
      </w:r>
      <w:r>
        <w:rPr>
          <w:spacing w:val="63"/>
        </w:rPr>
        <w:t> </w:t>
      </w:r>
      <w:r>
        <w:rPr>
          <w:rFonts w:ascii="宋体" w:hAnsi="宋体" w:cs="宋体" w:eastAsia="宋体" w:hint="default"/>
          <w:spacing w:val="-2"/>
        </w:rPr>
        <w:t>70%</w:t>
      </w:r>
      <w:r>
        <w:rPr>
          <w:spacing w:val="-2"/>
        </w:rPr>
        <w:t>的对象提</w:t>
      </w:r>
    </w:p>
    <w:p>
      <w:pPr>
        <w:pStyle w:val="BodyText"/>
        <w:spacing w:line="273" w:lineRule="auto" w:before="37"/>
        <w:ind w:right="1121"/>
        <w:jc w:val="left"/>
      </w:pPr>
      <w:r>
        <w:rPr/>
        <w:t>供担保，无为本公司持股</w:t>
      </w:r>
      <w:r>
        <w:rPr>
          <w:spacing w:val="-31"/>
        </w:rPr>
        <w:t> </w:t>
      </w:r>
      <w:r>
        <w:rPr>
          <w:rFonts w:ascii="宋体" w:hAnsi="宋体" w:cs="宋体" w:eastAsia="宋体" w:hint="default"/>
        </w:rPr>
        <w:t>50%</w:t>
      </w:r>
      <w:r>
        <w:rPr/>
        <w:t>以下的其他关联方、其他法人、任何非法人单位或个人提供担保，无其他违</w:t>
      </w:r>
      <w:r>
        <w:rPr>
          <w:w w:val="100"/>
        </w:rPr>
        <w:t> </w:t>
      </w:r>
      <w:r>
        <w:rPr/>
        <w:t>规担保。截至报告期末，公司累计担保额 </w:t>
      </w:r>
      <w:r>
        <w:rPr>
          <w:rFonts w:ascii="宋体" w:hAnsi="宋体" w:cs="宋体" w:eastAsia="宋体" w:hint="default"/>
        </w:rPr>
        <w:t>32,849.13 </w:t>
      </w:r>
      <w:r>
        <w:rPr/>
        <w:t>万元</w:t>
      </w:r>
      <w:r>
        <w:rPr>
          <w:rFonts w:ascii="宋体" w:hAnsi="宋体" w:cs="宋体" w:eastAsia="宋体" w:hint="default"/>
        </w:rPr>
        <w:t>(</w:t>
      </w:r>
      <w:r>
        <w:rPr/>
        <w:t>其中：银行贷款 </w:t>
      </w:r>
      <w:r>
        <w:rPr>
          <w:rFonts w:ascii="宋体" w:hAnsi="宋体" w:cs="宋体" w:eastAsia="宋体" w:hint="default"/>
        </w:rPr>
        <w:t>30,173.02</w:t>
      </w:r>
      <w:r>
        <w:rPr>
          <w:rFonts w:ascii="宋体" w:hAnsi="宋体" w:cs="宋体" w:eastAsia="宋体" w:hint="default"/>
          <w:spacing w:val="78"/>
        </w:rPr>
        <w:t> </w:t>
      </w:r>
      <w:r>
        <w:rPr/>
        <w:t>万元，银行保函</w:t>
      </w:r>
    </w:p>
    <w:p>
      <w:pPr>
        <w:pStyle w:val="BodyText"/>
        <w:spacing w:line="240" w:lineRule="auto" w:before="7"/>
        <w:ind w:right="1133"/>
        <w:jc w:val="left"/>
        <w:rPr>
          <w:rFonts w:ascii="宋体" w:hAnsi="宋体" w:cs="宋体" w:eastAsia="宋体" w:hint="default"/>
        </w:rPr>
      </w:pPr>
      <w:r>
        <w:rPr>
          <w:rFonts w:ascii="宋体" w:hAnsi="宋体" w:cs="宋体" w:eastAsia="宋体" w:hint="default"/>
        </w:rPr>
        <w:t>2,586.62</w:t>
      </w:r>
      <w:r>
        <w:rPr>
          <w:rFonts w:ascii="宋体" w:hAnsi="宋体" w:cs="宋体" w:eastAsia="宋体" w:hint="default"/>
          <w:spacing w:val="-57"/>
        </w:rPr>
        <w:t> </w:t>
      </w:r>
      <w:r>
        <w:rPr/>
        <w:t>万元，银行承兑汇票</w:t>
      </w:r>
      <w:r>
        <w:rPr>
          <w:spacing w:val="-55"/>
        </w:rPr>
        <w:t> </w:t>
      </w:r>
      <w:r>
        <w:rPr>
          <w:rFonts w:ascii="宋体" w:hAnsi="宋体" w:cs="宋体" w:eastAsia="宋体" w:hint="default"/>
        </w:rPr>
        <w:t>89.49</w:t>
      </w:r>
      <w:r>
        <w:rPr>
          <w:rFonts w:ascii="宋体" w:hAnsi="宋体" w:cs="宋体" w:eastAsia="宋体" w:hint="default"/>
          <w:spacing w:val="-57"/>
        </w:rPr>
        <w:t> </w:t>
      </w:r>
      <w:r>
        <w:rPr/>
        <w:t>万元</w:t>
      </w:r>
      <w:r>
        <w:rPr>
          <w:rFonts w:ascii="宋体" w:hAnsi="宋体" w:cs="宋体" w:eastAsia="宋体" w:hint="default"/>
        </w:rPr>
        <w:t>)</w:t>
      </w:r>
      <w:r>
        <w:rPr/>
        <w:t>，占公司最近一期经审计净资产的</w:t>
      </w:r>
      <w:r>
        <w:rPr>
          <w:spacing w:val="-57"/>
        </w:rPr>
        <w:t> </w:t>
      </w:r>
      <w:r>
        <w:rPr>
          <w:rFonts w:ascii="宋体" w:hAnsi="宋体" w:cs="宋体" w:eastAsia="宋体" w:hint="default"/>
        </w:rPr>
        <w:t>14.14%</w:t>
      </w:r>
      <w:r>
        <w:rPr/>
        <w:t>。</w:t>
      </w:r>
      <w:r>
        <w:rPr>
          <w:rFonts w:ascii="宋体" w:hAnsi="宋体" w:cs="宋体" w:eastAsia="宋体" w:hint="default"/>
        </w:rPr>
        <w:t> </w:t>
      </w:r>
    </w:p>
    <w:p>
      <w:pPr>
        <w:pStyle w:val="BodyText"/>
        <w:spacing w:line="240" w:lineRule="auto" w:before="78"/>
        <w:ind w:left="573" w:right="1133"/>
        <w:jc w:val="left"/>
        <w:rPr>
          <w:rFonts w:ascii="宋体" w:hAnsi="宋体" w:cs="宋体" w:eastAsia="宋体" w:hint="default"/>
        </w:rPr>
      </w:pPr>
      <w:r>
        <w:rPr>
          <w:rFonts w:ascii="宋体" w:hAnsi="宋体" w:cs="宋体" w:eastAsia="宋体" w:hint="default"/>
        </w:rPr>
        <w:t>17</w:t>
      </w:r>
      <w:r>
        <w:rPr/>
        <w:t>、担保分项列示</w:t>
      </w:r>
      <w:r>
        <w:rPr>
          <w:rFonts w:ascii="宋体" w:hAnsi="宋体" w:cs="宋体" w:eastAsia="宋体" w:hint="default"/>
        </w:rPr>
        <w:t>(</w:t>
      </w:r>
      <w:r>
        <w:rPr/>
        <w:t>单位：万元</w:t>
      </w:r>
      <w:r>
        <w:rPr>
          <w:rFonts w:ascii="宋体" w:hAnsi="宋体" w:cs="宋体" w:eastAsia="宋体" w:hint="default"/>
        </w:rPr>
        <w:t>) </w:t>
      </w:r>
    </w:p>
    <w:p>
      <w:pPr>
        <w:spacing w:line="240" w:lineRule="auto" w:before="2"/>
        <w:rPr>
          <w:rFonts w:ascii="宋体" w:hAnsi="宋体" w:cs="宋体" w:eastAsia="宋体" w:hint="default"/>
          <w:sz w:val="6"/>
          <w:szCs w:val="6"/>
        </w:rPr>
      </w:pPr>
    </w:p>
    <w:tbl>
      <w:tblPr>
        <w:tblW w:w="0" w:type="auto"/>
        <w:jc w:val="left"/>
        <w:tblInd w:w="148" w:type="dxa"/>
        <w:tblLayout w:type="fixed"/>
        <w:tblCellMar>
          <w:top w:w="0" w:type="dxa"/>
          <w:left w:w="0" w:type="dxa"/>
          <w:bottom w:w="0" w:type="dxa"/>
          <w:right w:w="0" w:type="dxa"/>
        </w:tblCellMar>
        <w:tblLook w:val="01E0"/>
      </w:tblPr>
      <w:tblGrid>
        <w:gridCol w:w="1419"/>
        <w:gridCol w:w="1277"/>
        <w:gridCol w:w="1133"/>
        <w:gridCol w:w="1274"/>
        <w:gridCol w:w="1184"/>
        <w:gridCol w:w="802"/>
        <w:gridCol w:w="852"/>
        <w:gridCol w:w="709"/>
        <w:gridCol w:w="991"/>
      </w:tblGrid>
      <w:tr>
        <w:trPr>
          <w:trHeight w:val="502" w:hRule="exact"/>
        </w:trPr>
        <w:tc>
          <w:tcPr>
            <w:tcW w:w="9640" w:type="dxa"/>
            <w:gridSpan w:val="9"/>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1"/>
              <w:ind w:left="2566" w:right="0"/>
              <w:jc w:val="left"/>
              <w:rPr>
                <w:rFonts w:ascii="宋体" w:hAnsi="宋体" w:cs="宋体" w:eastAsia="宋体" w:hint="default"/>
                <w:sz w:val="18"/>
                <w:szCs w:val="18"/>
              </w:rPr>
            </w:pPr>
            <w:r>
              <w:rPr>
                <w:rFonts w:ascii="宋体" w:hAnsi="宋体" w:cs="宋体" w:eastAsia="宋体" w:hint="default"/>
                <w:sz w:val="18"/>
                <w:szCs w:val="18"/>
              </w:rPr>
              <w:t>公司及其子公司对外担保情况（不包括对子公司的担保）</w:t>
            </w:r>
            <w:r>
              <w:rPr>
                <w:rFonts w:ascii="宋体" w:hAnsi="宋体" w:cs="宋体" w:eastAsia="宋体" w:hint="default"/>
                <w:sz w:val="18"/>
                <w:szCs w:val="18"/>
              </w:rPr>
              <w:t> </w:t>
            </w:r>
          </w:p>
        </w:tc>
      </w:tr>
      <w:tr>
        <w:trPr>
          <w:trHeight w:val="605" w:hRule="exact"/>
        </w:trPr>
        <w:tc>
          <w:tcPr>
            <w:tcW w:w="14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61"/>
              <w:ind w:left="165" w:right="0"/>
              <w:jc w:val="left"/>
              <w:rPr>
                <w:rFonts w:ascii="宋体" w:hAnsi="宋体" w:cs="宋体" w:eastAsia="宋体" w:hint="default"/>
                <w:sz w:val="18"/>
                <w:szCs w:val="18"/>
              </w:rPr>
            </w:pPr>
            <w:r>
              <w:rPr>
                <w:rFonts w:ascii="宋体" w:hAnsi="宋体" w:cs="宋体" w:eastAsia="宋体" w:hint="default"/>
                <w:sz w:val="18"/>
                <w:szCs w:val="18"/>
              </w:rPr>
              <w:t>担保对象名称</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4"/>
              <w:ind w:left="93" w:right="1"/>
              <w:jc w:val="left"/>
              <w:rPr>
                <w:rFonts w:ascii="宋体" w:hAnsi="宋体" w:cs="宋体" w:eastAsia="宋体" w:hint="default"/>
                <w:sz w:val="18"/>
                <w:szCs w:val="18"/>
              </w:rPr>
            </w:pPr>
            <w:r>
              <w:rPr>
                <w:rFonts w:ascii="宋体" w:hAnsi="宋体" w:cs="宋体" w:eastAsia="宋体" w:hint="default"/>
                <w:sz w:val="18"/>
                <w:szCs w:val="18"/>
              </w:rPr>
              <w:t>担保额度相关 公告披露日期</w:t>
            </w:r>
            <w:r>
              <w:rPr>
                <w:rFonts w:ascii="宋体" w:hAnsi="宋体" w:cs="宋体" w:eastAsia="宋体" w:hint="default"/>
                <w:sz w:val="18"/>
                <w:szCs w:val="18"/>
              </w:rPr>
              <w:t> </w:t>
            </w:r>
          </w:p>
        </w:tc>
        <w:tc>
          <w:tcPr>
            <w:tcW w:w="11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61"/>
              <w:ind w:left="202" w:right="0"/>
              <w:jc w:val="left"/>
              <w:rPr>
                <w:rFonts w:ascii="宋体" w:hAnsi="宋体" w:cs="宋体" w:eastAsia="宋体" w:hint="default"/>
                <w:sz w:val="18"/>
                <w:szCs w:val="18"/>
              </w:rPr>
            </w:pPr>
            <w:r>
              <w:rPr>
                <w:rFonts w:ascii="宋体" w:hAnsi="宋体" w:cs="宋体" w:eastAsia="宋体" w:hint="default"/>
                <w:sz w:val="18"/>
                <w:szCs w:val="18"/>
              </w:rPr>
              <w:t>担保额度</w:t>
            </w:r>
            <w:r>
              <w:rPr>
                <w:rFonts w:ascii="宋体" w:hAnsi="宋体" w:cs="宋体" w:eastAsia="宋体" w:hint="default"/>
                <w:sz w:val="18"/>
                <w:szCs w:val="18"/>
              </w:rPr>
              <w:t> </w:t>
            </w:r>
          </w:p>
        </w:tc>
        <w:tc>
          <w:tcPr>
            <w:tcW w:w="127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5" w:lineRule="exact" w:before="44"/>
              <w:ind w:left="93" w:right="0"/>
              <w:jc w:val="left"/>
              <w:rPr>
                <w:rFonts w:ascii="宋体" w:hAnsi="宋体" w:cs="宋体" w:eastAsia="宋体" w:hint="default"/>
                <w:sz w:val="18"/>
                <w:szCs w:val="18"/>
              </w:rPr>
            </w:pPr>
            <w:r>
              <w:rPr>
                <w:rFonts w:ascii="宋体" w:hAnsi="宋体" w:cs="宋体" w:eastAsia="宋体" w:hint="default"/>
                <w:sz w:val="18"/>
                <w:szCs w:val="18"/>
              </w:rPr>
              <w:t>实际发生日期</w:t>
            </w: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协议签署日</w:t>
            </w:r>
            <w:r>
              <w:rPr>
                <w:rFonts w:ascii="宋体" w:hAnsi="宋体" w:cs="宋体" w:eastAsia="宋体" w:hint="default"/>
                <w:sz w:val="18"/>
                <w:szCs w:val="18"/>
              </w:rPr>
              <w:t>) </w:t>
            </w:r>
          </w:p>
        </w:tc>
        <w:tc>
          <w:tcPr>
            <w:tcW w:w="11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43"/>
              <w:jc w:val="right"/>
              <w:rPr>
                <w:rFonts w:ascii="宋体" w:hAnsi="宋体" w:cs="宋体" w:eastAsia="宋体" w:hint="default"/>
                <w:sz w:val="18"/>
                <w:szCs w:val="18"/>
              </w:rPr>
            </w:pPr>
            <w:r>
              <w:rPr>
                <w:rFonts w:ascii="宋体" w:hAnsi="宋体" w:cs="宋体" w:eastAsia="宋体" w:hint="default"/>
                <w:sz w:val="18"/>
                <w:szCs w:val="18"/>
              </w:rPr>
              <w:t>实际担保金额</w:t>
            </w:r>
            <w:r>
              <w:rPr>
                <w:rFonts w:ascii="宋体" w:hAnsi="宋体" w:cs="宋体" w:eastAsia="宋体" w:hint="default"/>
                <w:sz w:val="18"/>
                <w:szCs w:val="18"/>
              </w:rPr>
              <w:t> </w:t>
            </w:r>
          </w:p>
        </w:tc>
        <w:tc>
          <w:tcPr>
            <w:tcW w:w="8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61"/>
              <w:ind w:right="35"/>
              <w:jc w:val="right"/>
              <w:rPr>
                <w:rFonts w:ascii="宋体" w:hAnsi="宋体" w:cs="宋体" w:eastAsia="宋体" w:hint="default"/>
                <w:sz w:val="18"/>
                <w:szCs w:val="18"/>
              </w:rPr>
            </w:pPr>
            <w:r>
              <w:rPr>
                <w:rFonts w:ascii="宋体" w:hAnsi="宋体" w:cs="宋体" w:eastAsia="宋体" w:hint="default"/>
                <w:sz w:val="18"/>
                <w:szCs w:val="18"/>
              </w:rPr>
              <w:t>担保类型</w:t>
            </w:r>
          </w:p>
        </w:tc>
        <w:tc>
          <w:tcPr>
            <w:tcW w:w="8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61"/>
              <w:ind w:right="59"/>
              <w:jc w:val="right"/>
              <w:rPr>
                <w:rFonts w:ascii="宋体" w:hAnsi="宋体" w:cs="宋体" w:eastAsia="宋体" w:hint="default"/>
                <w:sz w:val="18"/>
                <w:szCs w:val="18"/>
              </w:rPr>
            </w:pPr>
            <w:r>
              <w:rPr>
                <w:rFonts w:ascii="宋体" w:hAnsi="宋体" w:cs="宋体" w:eastAsia="宋体" w:hint="default"/>
                <w:sz w:val="18"/>
                <w:szCs w:val="18"/>
              </w:rPr>
              <w:t>担保期</w:t>
            </w:r>
            <w:r>
              <w:rPr>
                <w:rFonts w:ascii="宋体" w:hAnsi="宋体" w:cs="宋体" w:eastAsia="宋体" w:hint="default"/>
                <w:sz w:val="18"/>
                <w:szCs w:val="18"/>
              </w:rPr>
              <w:t> </w:t>
            </w:r>
          </w:p>
        </w:tc>
        <w:tc>
          <w:tcPr>
            <w:tcW w:w="7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4"/>
              <w:ind w:left="79" w:right="-11"/>
              <w:jc w:val="left"/>
              <w:rPr>
                <w:rFonts w:ascii="宋体" w:hAnsi="宋体" w:cs="宋体" w:eastAsia="宋体" w:hint="default"/>
                <w:sz w:val="18"/>
                <w:szCs w:val="18"/>
              </w:rPr>
            </w:pPr>
            <w:r>
              <w:rPr>
                <w:rFonts w:ascii="宋体" w:hAnsi="宋体" w:cs="宋体" w:eastAsia="宋体" w:hint="default"/>
                <w:sz w:val="18"/>
                <w:szCs w:val="18"/>
              </w:rPr>
              <w:t>是否履 行完毕</w:t>
            </w:r>
            <w:r>
              <w:rPr>
                <w:rFonts w:ascii="宋体" w:hAnsi="宋体" w:cs="宋体" w:eastAsia="宋体" w:hint="default"/>
                <w:sz w:val="18"/>
                <w:szCs w:val="18"/>
              </w:rPr>
              <w:t> </w:t>
            </w:r>
          </w:p>
        </w:tc>
        <w:tc>
          <w:tcPr>
            <w:tcW w:w="9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6" w:lineRule="auto" w:before="27"/>
              <w:ind w:left="132" w:right="37"/>
              <w:jc w:val="left"/>
              <w:rPr>
                <w:rFonts w:ascii="宋体" w:hAnsi="宋体" w:cs="宋体" w:eastAsia="宋体" w:hint="default"/>
                <w:sz w:val="18"/>
                <w:szCs w:val="18"/>
              </w:rPr>
            </w:pPr>
            <w:r>
              <w:rPr>
                <w:rFonts w:ascii="宋体" w:hAnsi="宋体" w:cs="宋体" w:eastAsia="宋体" w:hint="default"/>
                <w:sz w:val="18"/>
                <w:szCs w:val="18"/>
              </w:rPr>
              <w:t>是否为关</w:t>
            </w:r>
            <w:r>
              <w:rPr>
                <w:rFonts w:ascii="宋体" w:hAnsi="宋体" w:cs="宋体" w:eastAsia="宋体" w:hint="default"/>
                <w:sz w:val="18"/>
                <w:szCs w:val="18"/>
              </w:rPr>
              <w:t> </w:t>
            </w:r>
            <w:r>
              <w:rPr>
                <w:rFonts w:ascii="宋体" w:hAnsi="宋体" w:cs="宋体" w:eastAsia="宋体" w:hint="default"/>
                <w:sz w:val="18"/>
                <w:szCs w:val="18"/>
              </w:rPr>
              <w:t>联方担保</w:t>
            </w:r>
            <w:r>
              <w:rPr>
                <w:rFonts w:ascii="宋体" w:hAnsi="宋体" w:cs="宋体" w:eastAsia="宋体" w:hint="default"/>
                <w:sz w:val="18"/>
                <w:szCs w:val="18"/>
              </w:rPr>
              <w:t> </w:t>
            </w:r>
          </w:p>
        </w:tc>
      </w:tr>
      <w:tr>
        <w:trPr>
          <w:trHeight w:val="382" w:hRule="exact"/>
        </w:trPr>
        <w:tc>
          <w:tcPr>
            <w:tcW w:w="1419" w:type="dxa"/>
            <w:tcBorders>
              <w:top w:val="single" w:sz="4" w:space="0" w:color="000000"/>
              <w:left w:val="single" w:sz="4" w:space="0" w:color="000000"/>
              <w:bottom w:val="single" w:sz="19" w:space="0" w:color="D9D9D9"/>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sz w:val="18"/>
              </w:rPr>
              <w:t>---</w:t>
            </w:r>
          </w:p>
        </w:tc>
        <w:tc>
          <w:tcPr>
            <w:tcW w:w="1277" w:type="dxa"/>
            <w:tcBorders>
              <w:top w:val="single" w:sz="4" w:space="0" w:color="000000"/>
              <w:left w:val="single" w:sz="4" w:space="0" w:color="000000"/>
              <w:bottom w:val="single" w:sz="19" w:space="0" w:color="D9D9D9"/>
              <w:right w:val="single" w:sz="4" w:space="0" w:color="000000"/>
            </w:tcBorders>
          </w:tcPr>
          <w:p>
            <w:pPr>
              <w:pStyle w:val="TableParagraph"/>
              <w:spacing w:line="240" w:lineRule="auto" w:before="51"/>
              <w:ind w:right="19"/>
              <w:jc w:val="right"/>
              <w:rPr>
                <w:rFonts w:ascii="宋体" w:hAnsi="宋体" w:cs="宋体" w:eastAsia="宋体" w:hint="default"/>
                <w:sz w:val="18"/>
                <w:szCs w:val="18"/>
              </w:rPr>
            </w:pPr>
            <w:r>
              <w:rPr>
                <w:rFonts w:ascii="宋体"/>
                <w:sz w:val="18"/>
              </w:rPr>
              <w:t>---</w:t>
            </w:r>
          </w:p>
        </w:tc>
        <w:tc>
          <w:tcPr>
            <w:tcW w:w="1133" w:type="dxa"/>
            <w:tcBorders>
              <w:top w:val="single" w:sz="4" w:space="0" w:color="000000"/>
              <w:left w:val="single" w:sz="4" w:space="0" w:color="000000"/>
              <w:bottom w:val="single" w:sz="19" w:space="0" w:color="D9D9D9"/>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sz w:val="18"/>
              </w:rPr>
              <w:t>---</w:t>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sz w:val="18"/>
              </w:rPr>
              <w:t>---</w:t>
            </w:r>
          </w:p>
        </w:tc>
        <w:tc>
          <w:tcPr>
            <w:tcW w:w="1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宋体" w:hAnsi="宋体" w:cs="宋体" w:eastAsia="宋体" w:hint="default"/>
                <w:sz w:val="18"/>
                <w:szCs w:val="18"/>
              </w:rPr>
            </w:pPr>
            <w:r>
              <w:rPr>
                <w:rFonts w:ascii="宋体"/>
                <w:sz w:val="18"/>
              </w:rPr>
              <w:t>---</w:t>
            </w:r>
          </w:p>
        </w:tc>
        <w:tc>
          <w:tcPr>
            <w:tcW w:w="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sz w:val="18"/>
              </w:rPr>
              <w:t>---</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宋体" w:hAnsi="宋体" w:cs="宋体" w:eastAsia="宋体" w:hint="default"/>
                <w:sz w:val="18"/>
                <w:szCs w:val="18"/>
              </w:rPr>
            </w:pPr>
            <w:r>
              <w:rPr>
                <w:rFonts w:ascii="宋体"/>
                <w:sz w:val="18"/>
              </w:rPr>
              <w:t>---</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06" w:right="0"/>
              <w:jc w:val="left"/>
              <w:rPr>
                <w:rFonts w:ascii="宋体" w:hAnsi="宋体" w:cs="宋体" w:eastAsia="宋体" w:hint="default"/>
                <w:sz w:val="18"/>
                <w:szCs w:val="18"/>
              </w:rPr>
            </w:pPr>
            <w:r>
              <w:rPr>
                <w:rFonts w:ascii="宋体"/>
                <w:sz w:val="18"/>
              </w:rPr>
              <w:t>---</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sz w:val="18"/>
              </w:rPr>
              <w:t>---</w:t>
            </w:r>
          </w:p>
        </w:tc>
      </w:tr>
      <w:tr>
        <w:trPr>
          <w:trHeight w:val="383" w:hRule="exact"/>
        </w:trPr>
        <w:tc>
          <w:tcPr>
            <w:tcW w:w="3829" w:type="dxa"/>
            <w:gridSpan w:val="3"/>
            <w:tcBorders>
              <w:top w:val="single" w:sz="19" w:space="0" w:color="D9D9D9"/>
              <w:left w:val="single" w:sz="4" w:space="0" w:color="000000"/>
              <w:bottom w:val="single" w:sz="16" w:space="0" w:color="D9D9D9"/>
              <w:right w:val="single" w:sz="4" w:space="0" w:color="000000"/>
            </w:tcBorders>
          </w:tcPr>
          <w:p>
            <w:pPr>
              <w:pStyle w:val="TableParagraph"/>
              <w:tabs>
                <w:tab w:pos="3797" w:val="left" w:leader="none"/>
              </w:tabs>
              <w:spacing w:line="240" w:lineRule="auto" w:before="32"/>
              <w:ind w:left="24" w:right="0"/>
              <w:jc w:val="lef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shd w:fill="D9D9D9" w:color="auto" w:val="clear"/>
              </w:rPr>
              <w:t>报告期内审批的对外担保额度合计</w:t>
            </w:r>
            <w:r>
              <w:rPr>
                <w:rFonts w:ascii="宋体" w:hAnsi="宋体" w:cs="宋体" w:eastAsia="宋体" w:hint="default"/>
                <w:sz w:val="18"/>
                <w:szCs w:val="18"/>
                <w:shd w:fill="D9D9D9" w:color="auto" w:val="clear"/>
              </w:rPr>
              <w:t>(A1) </w:t>
              <w:tab/>
            </w:r>
            <w:r>
              <w:rPr>
                <w:rFonts w:ascii="宋体" w:hAnsi="宋体" w:cs="宋体" w:eastAsia="宋体" w:hint="default"/>
                <w:sz w:val="18"/>
                <w:szCs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z w:val="18"/>
              </w:rPr>
              <w:t>0.00</w:t>
            </w:r>
          </w:p>
        </w:tc>
        <w:tc>
          <w:tcPr>
            <w:tcW w:w="3546" w:type="dxa"/>
            <w:gridSpan w:val="4"/>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报告期内对外担保实际发生额合计</w:t>
            </w:r>
            <w:r>
              <w:rPr>
                <w:rFonts w:ascii="宋体" w:hAnsi="宋体" w:cs="宋体" w:eastAsia="宋体" w:hint="default"/>
                <w:sz w:val="18"/>
                <w:szCs w:val="18"/>
              </w:rPr>
              <w:t>(A2) </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z w:val="18"/>
              </w:rPr>
              <w:t>0.00</w:t>
            </w:r>
          </w:p>
        </w:tc>
      </w:tr>
      <w:tr>
        <w:trPr>
          <w:trHeight w:val="385" w:hRule="exact"/>
        </w:trPr>
        <w:tc>
          <w:tcPr>
            <w:tcW w:w="3829" w:type="dxa"/>
            <w:gridSpan w:val="3"/>
            <w:tcBorders>
              <w:top w:val="single" w:sz="16" w:space="0" w:color="D9D9D9"/>
              <w:left w:val="single" w:sz="4" w:space="0" w:color="000000"/>
              <w:bottom w:val="single" w:sz="15" w:space="0" w:color="D9D9D9"/>
              <w:right w:val="single" w:sz="4" w:space="0" w:color="000000"/>
            </w:tcBorders>
          </w:tcPr>
          <w:p>
            <w:pPr>
              <w:pStyle w:val="TableParagraph"/>
              <w:tabs>
                <w:tab w:pos="3797" w:val="left" w:leader="none"/>
              </w:tabs>
              <w:spacing w:line="240" w:lineRule="auto" w:before="37"/>
              <w:ind w:left="24" w:right="0"/>
              <w:jc w:val="lef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shd w:fill="D9D9D9" w:color="auto" w:val="clear"/>
              </w:rPr>
              <w:t>报告期末已审批的对外担保额度合计</w:t>
            </w:r>
            <w:r>
              <w:rPr>
                <w:rFonts w:ascii="宋体" w:hAnsi="宋体" w:cs="宋体" w:eastAsia="宋体" w:hint="default"/>
                <w:sz w:val="18"/>
                <w:szCs w:val="18"/>
                <w:shd w:fill="D9D9D9" w:color="auto" w:val="clear"/>
              </w:rPr>
              <w:t>(A3) </w:t>
              <w:tab/>
            </w:r>
            <w:r>
              <w:rPr>
                <w:rFonts w:ascii="宋体" w:hAnsi="宋体" w:cs="宋体" w:eastAsia="宋体" w:hint="default"/>
                <w:sz w:val="18"/>
                <w:szCs w:val="18"/>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8"/>
              <w:jc w:val="right"/>
              <w:rPr>
                <w:rFonts w:ascii="宋体" w:hAnsi="宋体" w:cs="宋体" w:eastAsia="宋体" w:hint="default"/>
                <w:sz w:val="18"/>
                <w:szCs w:val="18"/>
              </w:rPr>
            </w:pPr>
            <w:r>
              <w:rPr>
                <w:rFonts w:ascii="宋体"/>
                <w:sz w:val="18"/>
              </w:rPr>
              <w:t>0.00</w:t>
            </w:r>
          </w:p>
        </w:tc>
        <w:tc>
          <w:tcPr>
            <w:tcW w:w="3546" w:type="dxa"/>
            <w:gridSpan w:val="4"/>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0"/>
              <w:ind w:left="23" w:right="0"/>
              <w:jc w:val="left"/>
              <w:rPr>
                <w:rFonts w:ascii="宋体" w:hAnsi="宋体" w:cs="宋体" w:eastAsia="宋体" w:hint="default"/>
                <w:sz w:val="18"/>
                <w:szCs w:val="18"/>
              </w:rPr>
            </w:pPr>
            <w:r>
              <w:rPr>
                <w:rFonts w:ascii="宋体" w:hAnsi="宋体" w:cs="宋体" w:eastAsia="宋体" w:hint="default"/>
                <w:sz w:val="18"/>
                <w:szCs w:val="18"/>
              </w:rPr>
              <w:t>报告期末实际对外担保余额合计</w:t>
            </w:r>
            <w:r>
              <w:rPr>
                <w:rFonts w:ascii="宋体" w:hAnsi="宋体" w:cs="宋体" w:eastAsia="宋体" w:hint="default"/>
                <w:sz w:val="18"/>
                <w:szCs w:val="18"/>
              </w:rPr>
              <w:t>(A4) </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right="18"/>
              <w:jc w:val="right"/>
              <w:rPr>
                <w:rFonts w:ascii="宋体" w:hAnsi="宋体" w:cs="宋体" w:eastAsia="宋体" w:hint="default"/>
                <w:sz w:val="18"/>
                <w:szCs w:val="18"/>
              </w:rPr>
            </w:pPr>
            <w:r>
              <w:rPr>
                <w:rFonts w:ascii="宋体"/>
                <w:sz w:val="18"/>
              </w:rPr>
              <w:t>0.00</w:t>
            </w:r>
          </w:p>
        </w:tc>
      </w:tr>
      <w:tr>
        <w:trPr>
          <w:trHeight w:val="378" w:hRule="exact"/>
        </w:trPr>
        <w:tc>
          <w:tcPr>
            <w:tcW w:w="9640" w:type="dxa"/>
            <w:gridSpan w:val="9"/>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6"/>
              <w:ind w:left="92" w:right="0"/>
              <w:jc w:val="center"/>
              <w:rPr>
                <w:rFonts w:ascii="宋体" w:hAnsi="宋体" w:cs="宋体" w:eastAsia="宋体" w:hint="default"/>
                <w:sz w:val="18"/>
                <w:szCs w:val="18"/>
              </w:rPr>
            </w:pPr>
            <w:r>
              <w:rPr>
                <w:rFonts w:ascii="宋体" w:hAnsi="宋体" w:cs="宋体" w:eastAsia="宋体" w:hint="default"/>
                <w:sz w:val="18"/>
                <w:szCs w:val="18"/>
              </w:rPr>
              <w:t>公司对子公司的担保情况</w:t>
            </w:r>
            <w:r>
              <w:rPr>
                <w:rFonts w:ascii="宋体" w:hAnsi="宋体" w:cs="宋体" w:eastAsia="宋体" w:hint="default"/>
                <w:sz w:val="18"/>
                <w:szCs w:val="18"/>
              </w:rPr>
              <w:t> </w:t>
            </w:r>
          </w:p>
        </w:tc>
      </w:tr>
      <w:tr>
        <w:trPr>
          <w:trHeight w:val="577" w:hRule="exact"/>
        </w:trPr>
        <w:tc>
          <w:tcPr>
            <w:tcW w:w="14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8"/>
              <w:ind w:left="165" w:right="0"/>
              <w:jc w:val="left"/>
              <w:rPr>
                <w:rFonts w:ascii="宋体" w:hAnsi="宋体" w:cs="宋体" w:eastAsia="宋体" w:hint="default"/>
                <w:sz w:val="18"/>
                <w:szCs w:val="18"/>
              </w:rPr>
            </w:pPr>
            <w:r>
              <w:rPr>
                <w:rFonts w:ascii="宋体" w:hAnsi="宋体" w:cs="宋体" w:eastAsia="宋体" w:hint="default"/>
                <w:sz w:val="18"/>
                <w:szCs w:val="18"/>
              </w:rPr>
              <w:t>担保对象名称</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1"/>
              <w:ind w:left="93" w:right="1"/>
              <w:jc w:val="left"/>
              <w:rPr>
                <w:rFonts w:ascii="宋体" w:hAnsi="宋体" w:cs="宋体" w:eastAsia="宋体" w:hint="default"/>
                <w:sz w:val="18"/>
                <w:szCs w:val="18"/>
              </w:rPr>
            </w:pPr>
            <w:r>
              <w:rPr>
                <w:rFonts w:ascii="宋体" w:hAnsi="宋体" w:cs="宋体" w:eastAsia="宋体" w:hint="default"/>
                <w:sz w:val="18"/>
                <w:szCs w:val="18"/>
              </w:rPr>
              <w:t>担保额度相关 公告披露日期</w:t>
            </w:r>
            <w:r>
              <w:rPr>
                <w:rFonts w:ascii="宋体" w:hAnsi="宋体" w:cs="宋体" w:eastAsia="宋体" w:hint="default"/>
                <w:sz w:val="18"/>
                <w:szCs w:val="18"/>
              </w:rPr>
              <w:t> </w:t>
            </w:r>
          </w:p>
        </w:tc>
        <w:tc>
          <w:tcPr>
            <w:tcW w:w="11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8"/>
              <w:ind w:left="202" w:right="0"/>
              <w:jc w:val="left"/>
              <w:rPr>
                <w:rFonts w:ascii="宋体" w:hAnsi="宋体" w:cs="宋体" w:eastAsia="宋体" w:hint="default"/>
                <w:sz w:val="18"/>
                <w:szCs w:val="18"/>
              </w:rPr>
            </w:pPr>
            <w:r>
              <w:rPr>
                <w:rFonts w:ascii="宋体" w:hAnsi="宋体" w:cs="宋体" w:eastAsia="宋体" w:hint="default"/>
                <w:sz w:val="18"/>
                <w:szCs w:val="18"/>
              </w:rPr>
              <w:t>担保额度</w:t>
            </w:r>
            <w:r>
              <w:rPr>
                <w:rFonts w:ascii="宋体" w:hAnsi="宋体" w:cs="宋体" w:eastAsia="宋体" w:hint="default"/>
                <w:sz w:val="18"/>
                <w:szCs w:val="18"/>
              </w:rPr>
              <w:t> </w:t>
            </w:r>
          </w:p>
        </w:tc>
        <w:tc>
          <w:tcPr>
            <w:tcW w:w="127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5" w:lineRule="exact" w:before="31"/>
              <w:ind w:left="93" w:right="0"/>
              <w:jc w:val="left"/>
              <w:rPr>
                <w:rFonts w:ascii="宋体" w:hAnsi="宋体" w:cs="宋体" w:eastAsia="宋体" w:hint="default"/>
                <w:sz w:val="18"/>
                <w:szCs w:val="18"/>
              </w:rPr>
            </w:pPr>
            <w:r>
              <w:rPr>
                <w:rFonts w:ascii="宋体" w:hAnsi="宋体" w:cs="宋体" w:eastAsia="宋体" w:hint="default"/>
                <w:sz w:val="18"/>
                <w:szCs w:val="18"/>
              </w:rPr>
              <w:t>实际发生日期</w:t>
            </w: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协议签署日</w:t>
            </w:r>
            <w:r>
              <w:rPr>
                <w:rFonts w:ascii="宋体" w:hAnsi="宋体" w:cs="宋体" w:eastAsia="宋体" w:hint="default"/>
                <w:sz w:val="18"/>
                <w:szCs w:val="18"/>
              </w:rPr>
              <w:t>) </w:t>
            </w:r>
          </w:p>
        </w:tc>
        <w:tc>
          <w:tcPr>
            <w:tcW w:w="11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8"/>
              <w:ind w:right="-43"/>
              <w:jc w:val="right"/>
              <w:rPr>
                <w:rFonts w:ascii="宋体" w:hAnsi="宋体" w:cs="宋体" w:eastAsia="宋体" w:hint="default"/>
                <w:sz w:val="18"/>
                <w:szCs w:val="18"/>
              </w:rPr>
            </w:pPr>
            <w:r>
              <w:rPr>
                <w:rFonts w:ascii="宋体" w:hAnsi="宋体" w:cs="宋体" w:eastAsia="宋体" w:hint="default"/>
                <w:sz w:val="18"/>
                <w:szCs w:val="18"/>
              </w:rPr>
              <w:t>实际担保金额</w:t>
            </w:r>
            <w:r>
              <w:rPr>
                <w:rFonts w:ascii="宋体" w:hAnsi="宋体" w:cs="宋体" w:eastAsia="宋体" w:hint="default"/>
                <w:sz w:val="18"/>
                <w:szCs w:val="18"/>
              </w:rPr>
              <w:t> </w:t>
            </w:r>
          </w:p>
        </w:tc>
        <w:tc>
          <w:tcPr>
            <w:tcW w:w="80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8"/>
              <w:ind w:right="35"/>
              <w:jc w:val="right"/>
              <w:rPr>
                <w:rFonts w:ascii="宋体" w:hAnsi="宋体" w:cs="宋体" w:eastAsia="宋体" w:hint="default"/>
                <w:sz w:val="18"/>
                <w:szCs w:val="18"/>
              </w:rPr>
            </w:pPr>
            <w:r>
              <w:rPr>
                <w:rFonts w:ascii="宋体" w:hAnsi="宋体" w:cs="宋体" w:eastAsia="宋体" w:hint="default"/>
                <w:sz w:val="18"/>
                <w:szCs w:val="18"/>
              </w:rPr>
              <w:t>担保类型</w:t>
            </w:r>
          </w:p>
        </w:tc>
        <w:tc>
          <w:tcPr>
            <w:tcW w:w="8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8"/>
              <w:ind w:right="59"/>
              <w:jc w:val="right"/>
              <w:rPr>
                <w:rFonts w:ascii="宋体" w:hAnsi="宋体" w:cs="宋体" w:eastAsia="宋体" w:hint="default"/>
                <w:sz w:val="18"/>
                <w:szCs w:val="18"/>
              </w:rPr>
            </w:pPr>
            <w:r>
              <w:rPr>
                <w:rFonts w:ascii="宋体" w:hAnsi="宋体" w:cs="宋体" w:eastAsia="宋体" w:hint="default"/>
                <w:sz w:val="18"/>
                <w:szCs w:val="18"/>
              </w:rPr>
              <w:t>担保期</w:t>
            </w:r>
            <w:r>
              <w:rPr>
                <w:rFonts w:ascii="宋体" w:hAnsi="宋体" w:cs="宋体" w:eastAsia="宋体" w:hint="default"/>
                <w:sz w:val="18"/>
                <w:szCs w:val="18"/>
              </w:rPr>
              <w:t> </w:t>
            </w:r>
          </w:p>
        </w:tc>
        <w:tc>
          <w:tcPr>
            <w:tcW w:w="70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1"/>
              <w:ind w:left="79" w:right="-11"/>
              <w:jc w:val="left"/>
              <w:rPr>
                <w:rFonts w:ascii="宋体" w:hAnsi="宋体" w:cs="宋体" w:eastAsia="宋体" w:hint="default"/>
                <w:sz w:val="18"/>
                <w:szCs w:val="18"/>
              </w:rPr>
            </w:pPr>
            <w:r>
              <w:rPr>
                <w:rFonts w:ascii="宋体" w:hAnsi="宋体" w:cs="宋体" w:eastAsia="宋体" w:hint="default"/>
                <w:sz w:val="18"/>
                <w:szCs w:val="18"/>
              </w:rPr>
              <w:t>是否履 行完毕</w:t>
            </w:r>
            <w:r>
              <w:rPr>
                <w:rFonts w:ascii="宋体" w:hAnsi="宋体" w:cs="宋体" w:eastAsia="宋体" w:hint="default"/>
                <w:sz w:val="18"/>
                <w:szCs w:val="18"/>
              </w:rPr>
              <w:t> </w:t>
            </w:r>
          </w:p>
        </w:tc>
        <w:tc>
          <w:tcPr>
            <w:tcW w:w="9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6" w:lineRule="auto" w:before="14"/>
              <w:ind w:left="132" w:right="37"/>
              <w:jc w:val="left"/>
              <w:rPr>
                <w:rFonts w:ascii="宋体" w:hAnsi="宋体" w:cs="宋体" w:eastAsia="宋体" w:hint="default"/>
                <w:sz w:val="18"/>
                <w:szCs w:val="18"/>
              </w:rPr>
            </w:pPr>
            <w:r>
              <w:rPr>
                <w:rFonts w:ascii="宋体" w:hAnsi="宋体" w:cs="宋体" w:eastAsia="宋体" w:hint="default"/>
                <w:sz w:val="18"/>
                <w:szCs w:val="18"/>
              </w:rPr>
              <w:t>是否为关</w:t>
            </w:r>
            <w:r>
              <w:rPr>
                <w:rFonts w:ascii="宋体" w:hAnsi="宋体" w:cs="宋体" w:eastAsia="宋体" w:hint="default"/>
                <w:sz w:val="18"/>
                <w:szCs w:val="18"/>
              </w:rPr>
              <w:t> </w:t>
            </w:r>
            <w:r>
              <w:rPr>
                <w:rFonts w:ascii="宋体" w:hAnsi="宋体" w:cs="宋体" w:eastAsia="宋体" w:hint="default"/>
                <w:sz w:val="18"/>
                <w:szCs w:val="18"/>
              </w:rPr>
              <w:t>联方担保</w:t>
            </w:r>
            <w:r>
              <w:rPr>
                <w:rFonts w:ascii="宋体" w:hAnsi="宋体" w:cs="宋体" w:eastAsia="宋体" w:hint="default"/>
                <w:sz w:val="18"/>
                <w:szCs w:val="18"/>
              </w:rPr>
              <w:t> </w:t>
            </w:r>
          </w:p>
        </w:tc>
      </w:tr>
    </w:tbl>
    <w:p>
      <w:pPr>
        <w:spacing w:after="0" w:line="276" w:lineRule="auto"/>
        <w:jc w:val="left"/>
        <w:rPr>
          <w:rFonts w:ascii="宋体" w:hAnsi="宋体" w:cs="宋体" w:eastAsia="宋体" w:hint="default"/>
          <w:sz w:val="18"/>
          <w:szCs w:val="18"/>
        </w:rPr>
        <w:sectPr>
          <w:pgSz w:w="11910" w:h="16840"/>
          <w:pgMar w:header="880" w:footer="975" w:top="1100" w:bottom="1160" w:left="980" w:right="0"/>
        </w:sectPr>
      </w:pPr>
    </w:p>
    <w:p>
      <w:pPr>
        <w:spacing w:line="240" w:lineRule="auto" w:before="11"/>
        <w:rPr>
          <w:rFonts w:ascii="Times New Roman" w:hAnsi="Times New Roman" w:cs="Times New Roman" w:eastAsia="Times New Roman" w:hint="default"/>
          <w:sz w:val="27"/>
          <w:szCs w:val="27"/>
        </w:rPr>
      </w:pPr>
    </w:p>
    <w:tbl>
      <w:tblPr>
        <w:tblW w:w="0" w:type="auto"/>
        <w:jc w:val="left"/>
        <w:tblInd w:w="148" w:type="dxa"/>
        <w:tblLayout w:type="fixed"/>
        <w:tblCellMar>
          <w:top w:w="0" w:type="dxa"/>
          <w:left w:w="0" w:type="dxa"/>
          <w:bottom w:w="0" w:type="dxa"/>
          <w:right w:w="0" w:type="dxa"/>
        </w:tblCellMar>
        <w:tblLook w:val="01E0"/>
      </w:tblPr>
      <w:tblGrid>
        <w:gridCol w:w="1277"/>
        <w:gridCol w:w="142"/>
        <w:gridCol w:w="1133"/>
        <w:gridCol w:w="144"/>
        <w:gridCol w:w="992"/>
        <w:gridCol w:w="142"/>
        <w:gridCol w:w="1135"/>
        <w:gridCol w:w="139"/>
        <w:gridCol w:w="852"/>
        <w:gridCol w:w="331"/>
        <w:gridCol w:w="660"/>
        <w:gridCol w:w="142"/>
        <w:gridCol w:w="710"/>
        <w:gridCol w:w="142"/>
        <w:gridCol w:w="709"/>
        <w:gridCol w:w="991"/>
      </w:tblGrid>
      <w:tr>
        <w:trPr>
          <w:trHeight w:val="382" w:hRule="exact"/>
        </w:trPr>
        <w:tc>
          <w:tcPr>
            <w:tcW w:w="1419" w:type="dxa"/>
            <w:gridSpan w:val="2"/>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76" w:lineRule="auto" w:before="116"/>
              <w:ind w:left="165" w:right="71"/>
              <w:jc w:val="left"/>
              <w:rPr>
                <w:rFonts w:ascii="宋体" w:hAnsi="宋体" w:cs="宋体" w:eastAsia="宋体" w:hint="default"/>
                <w:sz w:val="18"/>
                <w:szCs w:val="18"/>
              </w:rPr>
            </w:pPr>
            <w:r>
              <w:rPr>
                <w:rFonts w:ascii="宋体" w:hAnsi="宋体" w:cs="宋体" w:eastAsia="宋体" w:hint="default"/>
                <w:sz w:val="18"/>
                <w:szCs w:val="18"/>
              </w:rPr>
              <w:t>广东长实通信</w:t>
            </w:r>
            <w:r>
              <w:rPr>
                <w:rFonts w:ascii="宋体" w:hAnsi="宋体" w:cs="宋体" w:eastAsia="宋体" w:hint="default"/>
                <w:sz w:val="18"/>
                <w:szCs w:val="18"/>
              </w:rPr>
              <w:t> </w:t>
            </w:r>
            <w:r>
              <w:rPr>
                <w:rFonts w:ascii="宋体" w:hAnsi="宋体" w:cs="宋体" w:eastAsia="宋体" w:hint="default"/>
                <w:sz w:val="18"/>
                <w:szCs w:val="18"/>
              </w:rPr>
              <w:t>科技有限公司</w:t>
            </w:r>
            <w:r>
              <w:rPr>
                <w:rFonts w:ascii="宋体" w:hAnsi="宋体" w:cs="宋体" w:eastAsia="宋体" w:hint="default"/>
                <w:sz w:val="18"/>
                <w:szCs w:val="18"/>
              </w:rPr>
              <w:t> </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43" w:right="0"/>
              <w:jc w:val="left"/>
              <w:rPr>
                <w:rFonts w:ascii="宋体" w:hAnsi="宋体" w:cs="宋体" w:eastAsia="宋体" w:hint="default"/>
                <w:sz w:val="18"/>
                <w:szCs w:val="18"/>
              </w:rPr>
            </w:pPr>
            <w:r>
              <w:rPr>
                <w:rFonts w:ascii="宋体"/>
                <w:sz w:val="18"/>
              </w:rPr>
              <w:t>2017-11-10</w:t>
            </w:r>
          </w:p>
        </w:tc>
        <w:tc>
          <w:tcPr>
            <w:tcW w:w="113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62" w:right="0"/>
              <w:jc w:val="left"/>
              <w:rPr>
                <w:rFonts w:ascii="宋体" w:hAnsi="宋体" w:cs="宋体" w:eastAsia="宋体" w:hint="default"/>
                <w:sz w:val="18"/>
                <w:szCs w:val="18"/>
              </w:rPr>
            </w:pPr>
            <w:r>
              <w:rPr>
                <w:rFonts w:ascii="宋体"/>
                <w:sz w:val="18"/>
              </w:rPr>
              <w:t>20,000</w:t>
            </w:r>
          </w:p>
        </w:tc>
        <w:tc>
          <w:tcPr>
            <w:tcW w:w="12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43" w:right="0"/>
              <w:jc w:val="left"/>
              <w:rPr>
                <w:rFonts w:ascii="宋体" w:hAnsi="宋体" w:cs="宋体" w:eastAsia="宋体" w:hint="default"/>
                <w:sz w:val="18"/>
                <w:szCs w:val="18"/>
              </w:rPr>
            </w:pPr>
            <w:r>
              <w:rPr>
                <w:rFonts w:ascii="宋体"/>
                <w:sz w:val="18"/>
              </w:rPr>
              <w:t>2017-11-08</w:t>
            </w:r>
          </w:p>
        </w:tc>
        <w:tc>
          <w:tcPr>
            <w:tcW w:w="118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38" w:right="0"/>
              <w:jc w:val="left"/>
              <w:rPr>
                <w:rFonts w:ascii="宋体" w:hAnsi="宋体" w:cs="宋体" w:eastAsia="宋体" w:hint="default"/>
                <w:sz w:val="18"/>
                <w:szCs w:val="18"/>
              </w:rPr>
            </w:pPr>
            <w:r>
              <w:rPr>
                <w:rFonts w:ascii="宋体"/>
                <w:sz w:val="18"/>
              </w:rPr>
              <w:t>23,961.81</w:t>
            </w:r>
          </w:p>
        </w:tc>
        <w:tc>
          <w:tcPr>
            <w:tcW w:w="802" w:type="dxa"/>
            <w:gridSpan w:val="2"/>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5"/>
                <w:szCs w:val="15"/>
              </w:rPr>
            </w:pPr>
          </w:p>
          <w:p>
            <w:pPr>
              <w:pStyle w:val="TableParagraph"/>
              <w:spacing w:line="240" w:lineRule="auto"/>
              <w:ind w:left="50" w:right="0"/>
              <w:jc w:val="left"/>
              <w:rPr>
                <w:rFonts w:ascii="宋体" w:hAnsi="宋体" w:cs="宋体" w:eastAsia="宋体" w:hint="default"/>
                <w:sz w:val="18"/>
                <w:szCs w:val="18"/>
              </w:rPr>
            </w:pPr>
            <w:r>
              <w:rPr>
                <w:rFonts w:ascii="宋体" w:hAnsi="宋体" w:cs="宋体" w:eastAsia="宋体" w:hint="default"/>
                <w:sz w:val="18"/>
                <w:szCs w:val="18"/>
              </w:rPr>
              <w:t>连带责任</w:t>
            </w:r>
          </w:p>
        </w:tc>
        <w:tc>
          <w:tcPr>
            <w:tcW w:w="852" w:type="dxa"/>
            <w:gridSpan w:val="2"/>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25"/>
                <w:szCs w:val="25"/>
              </w:rPr>
            </w:pPr>
          </w:p>
          <w:p>
            <w:pPr>
              <w:pStyle w:val="TableParagraph"/>
              <w:spacing w:line="276" w:lineRule="auto"/>
              <w:ind w:left="23" w:right="6"/>
              <w:jc w:val="left"/>
              <w:rPr>
                <w:rFonts w:ascii="宋体" w:hAnsi="宋体" w:cs="宋体" w:eastAsia="宋体" w:hint="default"/>
                <w:sz w:val="18"/>
                <w:szCs w:val="18"/>
              </w:rPr>
            </w:pPr>
            <w:r>
              <w:rPr>
                <w:rFonts w:ascii="宋体" w:hAnsi="宋体" w:cs="宋体" w:eastAsia="宋体" w:hint="default"/>
                <w:sz w:val="18"/>
                <w:szCs w:val="18"/>
              </w:rPr>
              <w:t>贷款到期</w:t>
            </w:r>
            <w:r>
              <w:rPr>
                <w:rFonts w:ascii="宋体" w:hAnsi="宋体" w:cs="宋体" w:eastAsia="宋体" w:hint="default"/>
                <w:sz w:val="18"/>
                <w:szCs w:val="18"/>
              </w:rPr>
              <w:t> </w:t>
            </w:r>
            <w:r>
              <w:rPr>
                <w:rFonts w:ascii="宋体" w:hAnsi="宋体" w:cs="宋体" w:eastAsia="宋体" w:hint="default"/>
                <w:sz w:val="18"/>
                <w:szCs w:val="18"/>
              </w:rPr>
              <w:t>日后两年</w:t>
            </w:r>
            <w:r>
              <w:rPr>
                <w:rFonts w:ascii="宋体" w:hAnsi="宋体" w:cs="宋体" w:eastAsia="宋体" w:hint="default"/>
                <w:sz w:val="18"/>
                <w:szCs w:val="18"/>
              </w:rPr>
              <w:t> </w:t>
            </w: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67"/>
              <w:jc w:val="right"/>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sz w:val="18"/>
                <w:szCs w:val="18"/>
              </w:rPr>
              <w:t> </w:t>
            </w:r>
          </w:p>
        </w:tc>
        <w:tc>
          <w:tcPr>
            <w:tcW w:w="99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15"/>
                <w:szCs w:val="15"/>
              </w:rPr>
            </w:pPr>
          </w:p>
          <w:p>
            <w:pPr>
              <w:pStyle w:val="TableParagraph"/>
              <w:spacing w:line="240" w:lineRule="auto"/>
              <w:ind w:left="400" w:right="0"/>
              <w:jc w:val="left"/>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sz w:val="18"/>
                <w:szCs w:val="18"/>
              </w:rPr>
              <w:t> </w:t>
            </w:r>
          </w:p>
        </w:tc>
      </w:tr>
      <w:tr>
        <w:trPr>
          <w:trHeight w:val="382" w:hRule="exact"/>
        </w:trPr>
        <w:tc>
          <w:tcPr>
            <w:tcW w:w="1419" w:type="dxa"/>
            <w:gridSpan w:val="2"/>
            <w:vMerge/>
            <w:tcBorders>
              <w:left w:val="single" w:sz="4" w:space="0" w:color="000000"/>
              <w:right w:val="single" w:sz="4" w:space="0" w:color="000000"/>
            </w:tcBorders>
          </w:tcPr>
          <w:p>
            <w:pPr/>
          </w:p>
        </w:tc>
        <w:tc>
          <w:tcPr>
            <w:tcW w:w="1277" w:type="dxa"/>
            <w:gridSpan w:val="2"/>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19"/>
                <w:szCs w:val="19"/>
              </w:rPr>
            </w:pPr>
          </w:p>
          <w:p>
            <w:pPr>
              <w:pStyle w:val="TableParagraph"/>
              <w:spacing w:line="240" w:lineRule="auto"/>
              <w:ind w:left="343" w:right="0"/>
              <w:jc w:val="left"/>
              <w:rPr>
                <w:rFonts w:ascii="宋体" w:hAnsi="宋体" w:cs="宋体" w:eastAsia="宋体" w:hint="default"/>
                <w:sz w:val="18"/>
                <w:szCs w:val="18"/>
              </w:rPr>
            </w:pPr>
            <w:r>
              <w:rPr>
                <w:rFonts w:ascii="宋体"/>
                <w:sz w:val="18"/>
              </w:rPr>
              <w:t>2018-06-05</w:t>
            </w:r>
          </w:p>
        </w:tc>
        <w:tc>
          <w:tcPr>
            <w:tcW w:w="113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650" w:right="0"/>
              <w:jc w:val="left"/>
              <w:rPr>
                <w:rFonts w:ascii="宋体" w:hAnsi="宋体" w:cs="宋体" w:eastAsia="宋体" w:hint="default"/>
                <w:sz w:val="18"/>
                <w:szCs w:val="18"/>
              </w:rPr>
            </w:pPr>
            <w:r>
              <w:rPr>
                <w:rFonts w:ascii="宋体"/>
                <w:sz w:val="18"/>
              </w:rPr>
              <w:t>3,000</w:t>
            </w:r>
          </w:p>
        </w:tc>
        <w:tc>
          <w:tcPr>
            <w:tcW w:w="1274" w:type="dxa"/>
            <w:gridSpan w:val="2"/>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19"/>
                <w:szCs w:val="19"/>
              </w:rPr>
            </w:pPr>
          </w:p>
          <w:p>
            <w:pPr>
              <w:pStyle w:val="TableParagraph"/>
              <w:spacing w:line="240" w:lineRule="auto"/>
              <w:ind w:left="343" w:right="0"/>
              <w:jc w:val="left"/>
              <w:rPr>
                <w:rFonts w:ascii="宋体" w:hAnsi="宋体" w:cs="宋体" w:eastAsia="宋体" w:hint="default"/>
                <w:sz w:val="18"/>
                <w:szCs w:val="18"/>
              </w:rPr>
            </w:pPr>
            <w:r>
              <w:rPr>
                <w:rFonts w:ascii="宋体"/>
                <w:sz w:val="18"/>
              </w:rPr>
              <w:t>2018-06-04</w:t>
            </w:r>
          </w:p>
        </w:tc>
        <w:tc>
          <w:tcPr>
            <w:tcW w:w="118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0.00</w:t>
            </w:r>
          </w:p>
        </w:tc>
        <w:tc>
          <w:tcPr>
            <w:tcW w:w="802" w:type="dxa"/>
            <w:gridSpan w:val="2"/>
            <w:vMerge/>
            <w:tcBorders>
              <w:left w:val="single" w:sz="4" w:space="0" w:color="000000"/>
              <w:right w:val="single" w:sz="4" w:space="0" w:color="000000"/>
            </w:tcBorders>
          </w:tcPr>
          <w:p>
            <w:pPr/>
          </w:p>
        </w:tc>
        <w:tc>
          <w:tcPr>
            <w:tcW w:w="852" w:type="dxa"/>
            <w:gridSpan w:val="2"/>
            <w:vMerge/>
            <w:tcBorders>
              <w:left w:val="single" w:sz="4" w:space="0" w:color="000000"/>
              <w:right w:val="single" w:sz="4" w:space="0" w:color="000000"/>
            </w:tcBorders>
          </w:tcPr>
          <w:p>
            <w:pPr/>
          </w:p>
        </w:tc>
        <w:tc>
          <w:tcPr>
            <w:tcW w:w="709" w:type="dxa"/>
            <w:vMerge w:val="restart"/>
            <w:tcBorders>
              <w:top w:val="single" w:sz="4" w:space="0" w:color="000000"/>
              <w:left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22"/>
                <w:szCs w:val="22"/>
              </w:rPr>
            </w:pPr>
          </w:p>
          <w:p>
            <w:pPr>
              <w:pStyle w:val="TableParagraph"/>
              <w:spacing w:line="240" w:lineRule="auto"/>
              <w:ind w:left="89" w:right="0"/>
              <w:jc w:val="center"/>
              <w:rPr>
                <w:rFonts w:ascii="宋体" w:hAnsi="宋体" w:cs="宋体" w:eastAsia="宋体" w:hint="default"/>
                <w:sz w:val="18"/>
                <w:szCs w:val="18"/>
              </w:rPr>
            </w:pPr>
            <w:r>
              <w:rPr>
                <w:rFonts w:ascii="宋体" w:hAnsi="宋体" w:cs="宋体" w:eastAsia="宋体" w:hint="default"/>
                <w:sz w:val="18"/>
                <w:szCs w:val="18"/>
              </w:rPr>
              <w:t>是</w:t>
            </w:r>
            <w:r>
              <w:rPr>
                <w:rFonts w:ascii="宋体" w:hAnsi="宋体" w:cs="宋体" w:eastAsia="宋体" w:hint="default"/>
                <w:sz w:val="18"/>
                <w:szCs w:val="18"/>
              </w:rPr>
              <w:t> </w:t>
            </w:r>
          </w:p>
          <w:p>
            <w:pPr>
              <w:pStyle w:val="TableParagraph"/>
              <w:spacing w:line="240" w:lineRule="auto" w:before="117"/>
              <w:ind w:left="92" w:right="0"/>
              <w:jc w:val="center"/>
              <w:rPr>
                <w:rFonts w:ascii="宋体" w:hAnsi="宋体" w:cs="宋体" w:eastAsia="宋体" w:hint="default"/>
                <w:sz w:val="18"/>
                <w:szCs w:val="18"/>
              </w:rPr>
            </w:pPr>
            <w:r>
              <w:rPr>
                <w:rFonts w:ascii="宋体"/>
                <w:sz w:val="18"/>
              </w:rPr>
              <w:t> </w:t>
            </w:r>
          </w:p>
        </w:tc>
        <w:tc>
          <w:tcPr>
            <w:tcW w:w="991" w:type="dxa"/>
            <w:vMerge/>
            <w:tcBorders>
              <w:left w:val="single" w:sz="4" w:space="0" w:color="000000"/>
              <w:right w:val="single" w:sz="4" w:space="0" w:color="000000"/>
            </w:tcBorders>
          </w:tcPr>
          <w:p>
            <w:pPr/>
          </w:p>
        </w:tc>
      </w:tr>
      <w:tr>
        <w:trPr>
          <w:trHeight w:val="382" w:hRule="exact"/>
        </w:trPr>
        <w:tc>
          <w:tcPr>
            <w:tcW w:w="1419" w:type="dxa"/>
            <w:gridSpan w:val="2"/>
            <w:vMerge/>
            <w:tcBorders>
              <w:left w:val="single" w:sz="4" w:space="0" w:color="000000"/>
              <w:right w:val="single" w:sz="4" w:space="0" w:color="000000"/>
            </w:tcBorders>
          </w:tcPr>
          <w:p>
            <w:pPr/>
          </w:p>
        </w:tc>
        <w:tc>
          <w:tcPr>
            <w:tcW w:w="1277" w:type="dxa"/>
            <w:gridSpan w:val="2"/>
            <w:vMerge/>
            <w:tcBorders>
              <w:left w:val="single" w:sz="4" w:space="0" w:color="000000"/>
              <w:right w:val="single" w:sz="4" w:space="0" w:color="000000"/>
            </w:tcBorders>
          </w:tcPr>
          <w:p>
            <w:pPr/>
          </w:p>
        </w:tc>
        <w:tc>
          <w:tcPr>
            <w:tcW w:w="113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62" w:right="0"/>
              <w:jc w:val="left"/>
              <w:rPr>
                <w:rFonts w:ascii="宋体" w:hAnsi="宋体" w:cs="宋体" w:eastAsia="宋体" w:hint="default"/>
                <w:sz w:val="18"/>
                <w:szCs w:val="18"/>
              </w:rPr>
            </w:pPr>
            <w:r>
              <w:rPr>
                <w:rFonts w:ascii="宋体"/>
                <w:sz w:val="18"/>
              </w:rPr>
              <w:t>10,000</w:t>
            </w:r>
          </w:p>
        </w:tc>
        <w:tc>
          <w:tcPr>
            <w:tcW w:w="1274" w:type="dxa"/>
            <w:gridSpan w:val="2"/>
            <w:vMerge/>
            <w:tcBorders>
              <w:left w:val="single" w:sz="4" w:space="0" w:color="000000"/>
              <w:right w:val="single" w:sz="4" w:space="0" w:color="000000"/>
            </w:tcBorders>
          </w:tcPr>
          <w:p>
            <w:pPr/>
          </w:p>
        </w:tc>
        <w:tc>
          <w:tcPr>
            <w:tcW w:w="118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0.00</w:t>
            </w:r>
          </w:p>
        </w:tc>
        <w:tc>
          <w:tcPr>
            <w:tcW w:w="802" w:type="dxa"/>
            <w:gridSpan w:val="2"/>
            <w:vMerge/>
            <w:tcBorders>
              <w:left w:val="single" w:sz="4" w:space="0" w:color="000000"/>
              <w:right w:val="single" w:sz="4" w:space="0" w:color="000000"/>
            </w:tcBorders>
          </w:tcPr>
          <w:p>
            <w:pPr/>
          </w:p>
        </w:tc>
        <w:tc>
          <w:tcPr>
            <w:tcW w:w="852" w:type="dxa"/>
            <w:gridSpan w:val="2"/>
            <w:vMerge/>
            <w:tcBorders>
              <w:left w:val="single" w:sz="4" w:space="0" w:color="000000"/>
              <w:bottom w:val="single" w:sz="4" w:space="0" w:color="000000"/>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384" w:hRule="exact"/>
        </w:trPr>
        <w:tc>
          <w:tcPr>
            <w:tcW w:w="1419" w:type="dxa"/>
            <w:gridSpan w:val="2"/>
            <w:vMerge/>
            <w:tcBorders>
              <w:left w:val="single" w:sz="4" w:space="0" w:color="000000"/>
              <w:right w:val="single" w:sz="4" w:space="0" w:color="000000"/>
            </w:tcBorders>
          </w:tcPr>
          <w:p>
            <w:pPr/>
          </w:p>
        </w:tc>
        <w:tc>
          <w:tcPr>
            <w:tcW w:w="1277" w:type="dxa"/>
            <w:gridSpan w:val="2"/>
            <w:vMerge/>
            <w:tcBorders>
              <w:left w:val="single" w:sz="4" w:space="0" w:color="000000"/>
              <w:bottom w:val="single" w:sz="4" w:space="0" w:color="000000"/>
              <w:right w:val="single" w:sz="4" w:space="0" w:color="000000"/>
            </w:tcBorders>
          </w:tcPr>
          <w:p>
            <w:pPr/>
          </w:p>
        </w:tc>
        <w:tc>
          <w:tcPr>
            <w:tcW w:w="113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650" w:right="0"/>
              <w:jc w:val="left"/>
              <w:rPr>
                <w:rFonts w:ascii="宋体" w:hAnsi="宋体" w:cs="宋体" w:eastAsia="宋体" w:hint="default"/>
                <w:sz w:val="18"/>
                <w:szCs w:val="18"/>
              </w:rPr>
            </w:pPr>
            <w:r>
              <w:rPr>
                <w:rFonts w:ascii="宋体"/>
                <w:sz w:val="18"/>
              </w:rPr>
              <w:t>5,000</w:t>
            </w:r>
          </w:p>
        </w:tc>
        <w:tc>
          <w:tcPr>
            <w:tcW w:w="1274" w:type="dxa"/>
            <w:gridSpan w:val="2"/>
            <w:vMerge/>
            <w:tcBorders>
              <w:left w:val="single" w:sz="4" w:space="0" w:color="000000"/>
              <w:bottom w:val="single" w:sz="4" w:space="0" w:color="000000"/>
              <w:right w:val="single" w:sz="4" w:space="0" w:color="000000"/>
            </w:tcBorders>
          </w:tcPr>
          <w:p>
            <w:pPr/>
          </w:p>
        </w:tc>
        <w:tc>
          <w:tcPr>
            <w:tcW w:w="118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宋体" w:hAnsi="宋体" w:cs="宋体" w:eastAsia="宋体" w:hint="default"/>
                <w:sz w:val="18"/>
                <w:szCs w:val="18"/>
              </w:rPr>
            </w:pPr>
            <w:r>
              <w:rPr>
                <w:rFonts w:ascii="宋体"/>
                <w:sz w:val="18"/>
              </w:rPr>
              <w:t>0.00</w:t>
            </w:r>
          </w:p>
        </w:tc>
        <w:tc>
          <w:tcPr>
            <w:tcW w:w="802" w:type="dxa"/>
            <w:gridSpan w:val="2"/>
            <w:vMerge/>
            <w:tcBorders>
              <w:left w:val="single" w:sz="4" w:space="0" w:color="000000"/>
              <w:right w:val="single" w:sz="4" w:space="0" w:color="000000"/>
            </w:tcBorders>
          </w:tcPr>
          <w:p>
            <w:pPr/>
          </w:p>
        </w:tc>
        <w:tc>
          <w:tcPr>
            <w:tcW w:w="852" w:type="dxa"/>
            <w:gridSpan w:val="2"/>
            <w:vMerge w:val="restart"/>
            <w:tcBorders>
              <w:top w:val="single" w:sz="4" w:space="0" w:color="000000"/>
              <w:left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4"/>
                <w:szCs w:val="24"/>
              </w:rPr>
            </w:pPr>
          </w:p>
          <w:p>
            <w:pPr>
              <w:pStyle w:val="TableParagraph"/>
              <w:spacing w:line="276" w:lineRule="auto"/>
              <w:ind w:left="23" w:right="6"/>
              <w:jc w:val="left"/>
              <w:rPr>
                <w:rFonts w:ascii="宋体" w:hAnsi="宋体" w:cs="宋体" w:eastAsia="宋体" w:hint="default"/>
                <w:sz w:val="18"/>
                <w:szCs w:val="18"/>
              </w:rPr>
            </w:pPr>
            <w:r>
              <w:rPr>
                <w:rFonts w:ascii="宋体" w:hAnsi="宋体" w:cs="宋体" w:eastAsia="宋体" w:hint="default"/>
                <w:sz w:val="18"/>
                <w:szCs w:val="18"/>
              </w:rPr>
              <w:t>贷款到期</w:t>
            </w:r>
            <w:r>
              <w:rPr>
                <w:rFonts w:ascii="宋体" w:hAnsi="宋体" w:cs="宋体" w:eastAsia="宋体" w:hint="default"/>
                <w:sz w:val="18"/>
                <w:szCs w:val="18"/>
              </w:rPr>
              <w:t> </w:t>
            </w:r>
            <w:r>
              <w:rPr>
                <w:rFonts w:ascii="宋体" w:hAnsi="宋体" w:cs="宋体" w:eastAsia="宋体" w:hint="default"/>
                <w:sz w:val="18"/>
                <w:szCs w:val="18"/>
              </w:rPr>
              <w:t>日后三年</w:t>
            </w:r>
            <w:r>
              <w:rPr>
                <w:rFonts w:ascii="宋体" w:hAnsi="宋体" w:cs="宋体" w:eastAsia="宋体" w:hint="default"/>
                <w:sz w:val="18"/>
                <w:szCs w:val="18"/>
              </w:rPr>
              <w:t> </w:t>
            </w:r>
          </w:p>
        </w:tc>
        <w:tc>
          <w:tcPr>
            <w:tcW w:w="709" w:type="dxa"/>
            <w:vMerge/>
            <w:tcBorders>
              <w:left w:val="single" w:sz="4" w:space="0" w:color="000000"/>
              <w:bottom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732" w:hRule="exact"/>
        </w:trPr>
        <w:tc>
          <w:tcPr>
            <w:tcW w:w="1419" w:type="dxa"/>
            <w:gridSpan w:val="2"/>
            <w:vMerge/>
            <w:tcBorders>
              <w:left w:val="single" w:sz="4" w:space="0" w:color="000000"/>
              <w:right w:val="single" w:sz="4" w:space="0" w:color="000000"/>
            </w:tcBorders>
          </w:tcPr>
          <w:p>
            <w:pPr/>
          </w:p>
        </w:tc>
        <w:tc>
          <w:tcPr>
            <w:tcW w:w="12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43" w:right="0"/>
              <w:jc w:val="left"/>
              <w:rPr>
                <w:rFonts w:ascii="宋体" w:hAnsi="宋体" w:cs="宋体" w:eastAsia="宋体" w:hint="default"/>
                <w:sz w:val="18"/>
                <w:szCs w:val="18"/>
              </w:rPr>
            </w:pPr>
            <w:r>
              <w:rPr>
                <w:rFonts w:ascii="宋体"/>
                <w:sz w:val="18"/>
              </w:rPr>
              <w:t>2017-03-04</w:t>
            </w:r>
          </w:p>
          <w:p>
            <w:pPr>
              <w:pStyle w:val="TableParagraph"/>
              <w:spacing w:line="240" w:lineRule="auto" w:before="117"/>
              <w:ind w:left="343" w:right="0"/>
              <w:jc w:val="left"/>
              <w:rPr>
                <w:rFonts w:ascii="宋体" w:hAnsi="宋体" w:cs="宋体" w:eastAsia="宋体" w:hint="default"/>
                <w:sz w:val="18"/>
                <w:szCs w:val="18"/>
              </w:rPr>
            </w:pPr>
            <w:r>
              <w:rPr>
                <w:rFonts w:ascii="宋体"/>
                <w:sz w:val="18"/>
              </w:rPr>
              <w:t>2018-11-23</w:t>
            </w:r>
          </w:p>
        </w:tc>
        <w:tc>
          <w:tcPr>
            <w:tcW w:w="113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9"/>
                <w:szCs w:val="19"/>
              </w:rPr>
            </w:pPr>
          </w:p>
          <w:p>
            <w:pPr>
              <w:pStyle w:val="TableParagraph"/>
              <w:spacing w:line="240" w:lineRule="auto"/>
              <w:ind w:left="562" w:right="0"/>
              <w:jc w:val="left"/>
              <w:rPr>
                <w:rFonts w:ascii="宋体" w:hAnsi="宋体" w:cs="宋体" w:eastAsia="宋体" w:hint="default"/>
                <w:sz w:val="18"/>
                <w:szCs w:val="18"/>
              </w:rPr>
            </w:pPr>
            <w:r>
              <w:rPr>
                <w:rFonts w:ascii="宋体"/>
                <w:sz w:val="18"/>
              </w:rPr>
              <w:t>20,000</w:t>
            </w:r>
          </w:p>
        </w:tc>
        <w:tc>
          <w:tcPr>
            <w:tcW w:w="12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9"/>
                <w:szCs w:val="19"/>
              </w:rPr>
            </w:pPr>
          </w:p>
          <w:p>
            <w:pPr>
              <w:pStyle w:val="TableParagraph"/>
              <w:spacing w:line="240" w:lineRule="auto"/>
              <w:ind w:left="343" w:right="0"/>
              <w:jc w:val="left"/>
              <w:rPr>
                <w:rFonts w:ascii="宋体" w:hAnsi="宋体" w:cs="宋体" w:eastAsia="宋体" w:hint="default"/>
                <w:sz w:val="18"/>
                <w:szCs w:val="18"/>
              </w:rPr>
            </w:pPr>
            <w:r>
              <w:rPr>
                <w:rFonts w:ascii="宋体"/>
                <w:sz w:val="18"/>
              </w:rPr>
              <w:t>2017-03-03</w:t>
            </w:r>
          </w:p>
        </w:tc>
        <w:tc>
          <w:tcPr>
            <w:tcW w:w="118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9"/>
                <w:szCs w:val="19"/>
              </w:rPr>
            </w:pPr>
          </w:p>
          <w:p>
            <w:pPr>
              <w:pStyle w:val="TableParagraph"/>
              <w:spacing w:line="240" w:lineRule="auto"/>
              <w:ind w:left="338" w:right="0"/>
              <w:jc w:val="left"/>
              <w:rPr>
                <w:rFonts w:ascii="宋体" w:hAnsi="宋体" w:cs="宋体" w:eastAsia="宋体" w:hint="default"/>
                <w:sz w:val="18"/>
                <w:szCs w:val="18"/>
              </w:rPr>
            </w:pPr>
            <w:r>
              <w:rPr>
                <w:rFonts w:ascii="宋体"/>
                <w:sz w:val="18"/>
              </w:rPr>
              <w:t>17,910.70</w:t>
            </w:r>
          </w:p>
        </w:tc>
        <w:tc>
          <w:tcPr>
            <w:tcW w:w="802" w:type="dxa"/>
            <w:gridSpan w:val="2"/>
            <w:vMerge/>
            <w:tcBorders>
              <w:left w:val="single" w:sz="4" w:space="0" w:color="000000"/>
              <w:right w:val="single" w:sz="4" w:space="0" w:color="000000"/>
            </w:tcBorders>
          </w:tcPr>
          <w:p>
            <w:pPr/>
          </w:p>
        </w:tc>
        <w:tc>
          <w:tcPr>
            <w:tcW w:w="852" w:type="dxa"/>
            <w:gridSpan w:val="2"/>
            <w:vMerge/>
            <w:tcBorders>
              <w:left w:val="single" w:sz="4" w:space="0" w:color="000000"/>
              <w:bottom w:val="single" w:sz="4" w:space="0" w:color="000000"/>
              <w:right w:val="single" w:sz="4" w:space="0" w:color="000000"/>
            </w:tcBorders>
          </w:tcPr>
          <w:p>
            <w:pPr/>
          </w:p>
        </w:tc>
        <w:tc>
          <w:tcPr>
            <w:tcW w:w="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9"/>
                <w:szCs w:val="19"/>
              </w:rPr>
            </w:pPr>
          </w:p>
          <w:p>
            <w:pPr>
              <w:pStyle w:val="TableParagraph"/>
              <w:spacing w:line="240" w:lineRule="auto"/>
              <w:ind w:right="167"/>
              <w:jc w:val="right"/>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sz w:val="18"/>
                <w:szCs w:val="18"/>
              </w:rPr>
              <w:t> </w:t>
            </w:r>
          </w:p>
        </w:tc>
        <w:tc>
          <w:tcPr>
            <w:tcW w:w="991" w:type="dxa"/>
            <w:vMerge/>
            <w:tcBorders>
              <w:left w:val="single" w:sz="4" w:space="0" w:color="000000"/>
              <w:right w:val="single" w:sz="4" w:space="0" w:color="000000"/>
            </w:tcBorders>
          </w:tcPr>
          <w:p>
            <w:pPr/>
          </w:p>
        </w:tc>
      </w:tr>
      <w:tr>
        <w:trPr>
          <w:trHeight w:val="672" w:hRule="exact"/>
        </w:trPr>
        <w:tc>
          <w:tcPr>
            <w:tcW w:w="1419" w:type="dxa"/>
            <w:gridSpan w:val="2"/>
            <w:vMerge/>
            <w:tcBorders>
              <w:left w:val="single" w:sz="4" w:space="0" w:color="000000"/>
              <w:right w:val="single" w:sz="4" w:space="0" w:color="000000"/>
            </w:tcBorders>
          </w:tcPr>
          <w:p>
            <w:pPr/>
          </w:p>
        </w:tc>
        <w:tc>
          <w:tcPr>
            <w:tcW w:w="12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left="343" w:right="0"/>
              <w:jc w:val="left"/>
              <w:rPr>
                <w:rFonts w:ascii="宋体" w:hAnsi="宋体" w:cs="宋体" w:eastAsia="宋体" w:hint="default"/>
                <w:sz w:val="18"/>
                <w:szCs w:val="18"/>
              </w:rPr>
            </w:pPr>
            <w:r>
              <w:rPr>
                <w:rFonts w:ascii="宋体"/>
                <w:sz w:val="18"/>
              </w:rPr>
              <w:t>2019-04-23</w:t>
            </w:r>
          </w:p>
        </w:tc>
        <w:tc>
          <w:tcPr>
            <w:tcW w:w="113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left="650" w:right="0"/>
              <w:jc w:val="left"/>
              <w:rPr>
                <w:rFonts w:ascii="宋体" w:hAnsi="宋体" w:cs="宋体" w:eastAsia="宋体" w:hint="default"/>
                <w:sz w:val="18"/>
                <w:szCs w:val="18"/>
              </w:rPr>
            </w:pPr>
            <w:r>
              <w:rPr>
                <w:rFonts w:ascii="宋体"/>
                <w:sz w:val="18"/>
              </w:rPr>
              <w:t>6,000</w:t>
            </w:r>
          </w:p>
        </w:tc>
        <w:tc>
          <w:tcPr>
            <w:tcW w:w="12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left="343" w:right="0"/>
              <w:jc w:val="left"/>
              <w:rPr>
                <w:rFonts w:ascii="宋体" w:hAnsi="宋体" w:cs="宋体" w:eastAsia="宋体" w:hint="default"/>
                <w:sz w:val="18"/>
                <w:szCs w:val="18"/>
              </w:rPr>
            </w:pPr>
            <w:r>
              <w:rPr>
                <w:rFonts w:ascii="宋体"/>
                <w:sz w:val="18"/>
              </w:rPr>
              <w:t>2019-06-04</w:t>
            </w:r>
          </w:p>
        </w:tc>
        <w:tc>
          <w:tcPr>
            <w:tcW w:w="118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7"/>
                <w:szCs w:val="17"/>
              </w:rPr>
            </w:pPr>
          </w:p>
          <w:p>
            <w:pPr>
              <w:pStyle w:val="TableParagraph"/>
              <w:spacing w:line="240" w:lineRule="auto"/>
              <w:ind w:left="429" w:right="0"/>
              <w:jc w:val="left"/>
              <w:rPr>
                <w:rFonts w:ascii="宋体" w:hAnsi="宋体" w:cs="宋体" w:eastAsia="宋体" w:hint="default"/>
                <w:sz w:val="18"/>
                <w:szCs w:val="18"/>
              </w:rPr>
            </w:pPr>
            <w:r>
              <w:rPr>
                <w:rFonts w:ascii="宋体"/>
                <w:sz w:val="18"/>
              </w:rPr>
              <w:t>2,557.51</w:t>
            </w:r>
          </w:p>
        </w:tc>
        <w:tc>
          <w:tcPr>
            <w:tcW w:w="802" w:type="dxa"/>
            <w:gridSpan w:val="2"/>
            <w:vMerge/>
            <w:tcBorders>
              <w:left w:val="single" w:sz="4" w:space="0" w:color="000000"/>
              <w:right w:val="single" w:sz="4" w:space="0" w:color="000000"/>
            </w:tcBorders>
          </w:tcPr>
          <w:p>
            <w:pPr/>
          </w:p>
        </w:tc>
        <w:tc>
          <w:tcPr>
            <w:tcW w:w="852" w:type="dxa"/>
            <w:gridSpan w:val="2"/>
            <w:tcBorders>
              <w:top w:val="single" w:sz="4" w:space="0" w:color="000000"/>
              <w:left w:val="single" w:sz="4" w:space="0" w:color="000000"/>
              <w:bottom w:val="single" w:sz="4" w:space="0" w:color="000000"/>
              <w:right w:val="single" w:sz="4" w:space="0" w:color="000000"/>
            </w:tcBorders>
          </w:tcPr>
          <w:p>
            <w:pPr>
              <w:pStyle w:val="TableParagraph"/>
              <w:spacing w:line="278" w:lineRule="auto" w:before="61"/>
              <w:ind w:left="23" w:right="6"/>
              <w:jc w:val="left"/>
              <w:rPr>
                <w:rFonts w:ascii="宋体" w:hAnsi="宋体" w:cs="宋体" w:eastAsia="宋体" w:hint="default"/>
                <w:sz w:val="18"/>
                <w:szCs w:val="18"/>
              </w:rPr>
            </w:pPr>
            <w:r>
              <w:rPr>
                <w:rFonts w:ascii="宋体" w:hAnsi="宋体" w:cs="宋体" w:eastAsia="宋体" w:hint="default"/>
                <w:sz w:val="18"/>
                <w:szCs w:val="18"/>
              </w:rPr>
              <w:t>贷款到期</w:t>
            </w:r>
            <w:r>
              <w:rPr>
                <w:rFonts w:ascii="宋体" w:hAnsi="宋体" w:cs="宋体" w:eastAsia="宋体" w:hint="default"/>
                <w:sz w:val="18"/>
                <w:szCs w:val="18"/>
              </w:rPr>
              <w:t> </w:t>
            </w:r>
            <w:r>
              <w:rPr>
                <w:rFonts w:ascii="宋体" w:hAnsi="宋体" w:cs="宋体" w:eastAsia="宋体" w:hint="default"/>
                <w:sz w:val="18"/>
                <w:szCs w:val="18"/>
              </w:rPr>
              <w:t>日后两年</w:t>
            </w:r>
            <w:r>
              <w:rPr>
                <w:rFonts w:ascii="宋体" w:hAnsi="宋体" w:cs="宋体" w:eastAsia="宋体" w:hint="default"/>
                <w:sz w:val="18"/>
                <w:szCs w:val="18"/>
              </w:rPr>
              <w:t> </w:t>
            </w:r>
          </w:p>
        </w:tc>
        <w:tc>
          <w:tcPr>
            <w:tcW w:w="70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7"/>
              <w:ind w:left="259" w:right="0"/>
              <w:jc w:val="left"/>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sz w:val="18"/>
                <w:szCs w:val="18"/>
              </w:rPr>
              <w:t> </w:t>
            </w:r>
          </w:p>
        </w:tc>
        <w:tc>
          <w:tcPr>
            <w:tcW w:w="991" w:type="dxa"/>
            <w:vMerge/>
            <w:tcBorders>
              <w:left w:val="single" w:sz="4" w:space="0" w:color="000000"/>
              <w:right w:val="single" w:sz="4" w:space="0" w:color="000000"/>
            </w:tcBorders>
          </w:tcPr>
          <w:p>
            <w:pPr/>
          </w:p>
        </w:tc>
      </w:tr>
      <w:tr>
        <w:trPr>
          <w:trHeight w:val="389" w:hRule="exact"/>
        </w:trPr>
        <w:tc>
          <w:tcPr>
            <w:tcW w:w="1419" w:type="dxa"/>
            <w:gridSpan w:val="2"/>
            <w:vMerge/>
            <w:tcBorders>
              <w:left w:val="single" w:sz="4" w:space="0" w:color="000000"/>
              <w:right w:val="single" w:sz="4" w:space="0" w:color="000000"/>
            </w:tcBorders>
          </w:tcPr>
          <w:p>
            <w:pPr/>
          </w:p>
        </w:tc>
        <w:tc>
          <w:tcPr>
            <w:tcW w:w="12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343" w:right="0"/>
              <w:jc w:val="left"/>
              <w:rPr>
                <w:rFonts w:ascii="宋体" w:hAnsi="宋体" w:cs="宋体" w:eastAsia="宋体" w:hint="default"/>
                <w:sz w:val="18"/>
                <w:szCs w:val="18"/>
              </w:rPr>
            </w:pPr>
            <w:r>
              <w:rPr>
                <w:rFonts w:ascii="宋体"/>
                <w:sz w:val="18"/>
              </w:rPr>
              <w:t>2019-08-08</w:t>
            </w:r>
          </w:p>
        </w:tc>
        <w:tc>
          <w:tcPr>
            <w:tcW w:w="113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62" w:right="0"/>
              <w:jc w:val="left"/>
              <w:rPr>
                <w:rFonts w:ascii="宋体" w:hAnsi="宋体" w:cs="宋体" w:eastAsia="宋体" w:hint="default"/>
                <w:sz w:val="18"/>
                <w:szCs w:val="18"/>
              </w:rPr>
            </w:pPr>
            <w:r>
              <w:rPr>
                <w:rFonts w:ascii="宋体"/>
                <w:sz w:val="18"/>
              </w:rPr>
              <w:t>10,000</w:t>
            </w:r>
          </w:p>
        </w:tc>
        <w:tc>
          <w:tcPr>
            <w:tcW w:w="12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343" w:right="0"/>
              <w:jc w:val="left"/>
              <w:rPr>
                <w:rFonts w:ascii="宋体" w:hAnsi="宋体" w:cs="宋体" w:eastAsia="宋体" w:hint="default"/>
                <w:sz w:val="18"/>
                <w:szCs w:val="18"/>
              </w:rPr>
            </w:pPr>
            <w:r>
              <w:rPr>
                <w:rFonts w:ascii="宋体"/>
                <w:sz w:val="18"/>
              </w:rPr>
              <w:t>2019-08-20</w:t>
            </w:r>
          </w:p>
        </w:tc>
        <w:tc>
          <w:tcPr>
            <w:tcW w:w="118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429" w:right="0"/>
              <w:jc w:val="left"/>
              <w:rPr>
                <w:rFonts w:ascii="宋体" w:hAnsi="宋体" w:cs="宋体" w:eastAsia="宋体" w:hint="default"/>
                <w:sz w:val="18"/>
                <w:szCs w:val="18"/>
              </w:rPr>
            </w:pPr>
            <w:r>
              <w:rPr>
                <w:rFonts w:ascii="宋体"/>
                <w:sz w:val="18"/>
              </w:rPr>
              <w:t>4,490.79</w:t>
            </w:r>
          </w:p>
        </w:tc>
        <w:tc>
          <w:tcPr>
            <w:tcW w:w="802" w:type="dxa"/>
            <w:gridSpan w:val="2"/>
            <w:vMerge/>
            <w:tcBorders>
              <w:left w:val="single" w:sz="4" w:space="0" w:color="000000"/>
              <w:right w:val="single" w:sz="4" w:space="0" w:color="000000"/>
            </w:tcBorders>
          </w:tcPr>
          <w:p>
            <w:pPr/>
          </w:p>
        </w:tc>
        <w:tc>
          <w:tcPr>
            <w:tcW w:w="852" w:type="dxa"/>
            <w:gridSpan w:val="2"/>
            <w:vMerge w:val="restart"/>
            <w:tcBorders>
              <w:top w:val="single" w:sz="4" w:space="0" w:color="000000"/>
              <w:left w:val="single" w:sz="4" w:space="0" w:color="000000"/>
              <w:right w:val="single" w:sz="4" w:space="0" w:color="000000"/>
            </w:tcBorders>
          </w:tcPr>
          <w:p>
            <w:pPr>
              <w:pStyle w:val="TableParagraph"/>
              <w:spacing w:line="276" w:lineRule="auto" w:before="116"/>
              <w:ind w:left="23" w:right="6"/>
              <w:jc w:val="left"/>
              <w:rPr>
                <w:rFonts w:ascii="宋体" w:hAnsi="宋体" w:cs="宋体" w:eastAsia="宋体" w:hint="default"/>
                <w:sz w:val="18"/>
                <w:szCs w:val="18"/>
              </w:rPr>
            </w:pPr>
            <w:r>
              <w:rPr>
                <w:rFonts w:ascii="宋体" w:hAnsi="宋体" w:cs="宋体" w:eastAsia="宋体" w:hint="default"/>
                <w:sz w:val="18"/>
                <w:szCs w:val="18"/>
              </w:rPr>
              <w:t>贷款到期</w:t>
            </w:r>
            <w:r>
              <w:rPr>
                <w:rFonts w:ascii="宋体" w:hAnsi="宋体" w:cs="宋体" w:eastAsia="宋体" w:hint="default"/>
                <w:sz w:val="18"/>
                <w:szCs w:val="18"/>
              </w:rPr>
              <w:t> </w:t>
            </w:r>
            <w:r>
              <w:rPr>
                <w:rFonts w:ascii="宋体" w:hAnsi="宋体" w:cs="宋体" w:eastAsia="宋体" w:hint="default"/>
                <w:sz w:val="18"/>
                <w:szCs w:val="18"/>
              </w:rPr>
              <w:t>日后三年</w:t>
            </w:r>
            <w:r>
              <w:rPr>
                <w:rFonts w:ascii="宋体" w:hAnsi="宋体" w:cs="宋体" w:eastAsia="宋体" w:hint="default"/>
                <w:sz w:val="18"/>
                <w:szCs w:val="18"/>
              </w:rPr>
              <w:t> </w:t>
            </w: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391" w:hRule="exact"/>
        </w:trPr>
        <w:tc>
          <w:tcPr>
            <w:tcW w:w="1419" w:type="dxa"/>
            <w:gridSpan w:val="2"/>
            <w:vMerge/>
            <w:tcBorders>
              <w:left w:val="single" w:sz="4" w:space="0" w:color="000000"/>
              <w:right w:val="single" w:sz="4" w:space="0" w:color="000000"/>
            </w:tcBorders>
          </w:tcPr>
          <w:p>
            <w:pPr/>
          </w:p>
        </w:tc>
        <w:tc>
          <w:tcPr>
            <w:tcW w:w="12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343" w:right="0"/>
              <w:jc w:val="left"/>
              <w:rPr>
                <w:rFonts w:ascii="宋体" w:hAnsi="宋体" w:cs="宋体" w:eastAsia="宋体" w:hint="default"/>
                <w:sz w:val="18"/>
                <w:szCs w:val="18"/>
              </w:rPr>
            </w:pPr>
            <w:r>
              <w:rPr>
                <w:rFonts w:ascii="宋体"/>
                <w:sz w:val="18"/>
              </w:rPr>
              <w:t>2019-08-27</w:t>
            </w:r>
          </w:p>
        </w:tc>
        <w:tc>
          <w:tcPr>
            <w:tcW w:w="113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562" w:right="0"/>
              <w:jc w:val="left"/>
              <w:rPr>
                <w:rFonts w:ascii="宋体" w:hAnsi="宋体" w:cs="宋体" w:eastAsia="宋体" w:hint="default"/>
                <w:sz w:val="18"/>
                <w:szCs w:val="18"/>
              </w:rPr>
            </w:pPr>
            <w:r>
              <w:rPr>
                <w:rFonts w:ascii="宋体"/>
                <w:sz w:val="18"/>
              </w:rPr>
              <w:t>10,000</w:t>
            </w:r>
          </w:p>
        </w:tc>
        <w:tc>
          <w:tcPr>
            <w:tcW w:w="12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343" w:right="0"/>
              <w:jc w:val="left"/>
              <w:rPr>
                <w:rFonts w:ascii="宋体" w:hAnsi="宋体" w:cs="宋体" w:eastAsia="宋体" w:hint="default"/>
                <w:sz w:val="18"/>
                <w:szCs w:val="18"/>
              </w:rPr>
            </w:pPr>
            <w:r>
              <w:rPr>
                <w:rFonts w:ascii="宋体"/>
                <w:sz w:val="18"/>
              </w:rPr>
              <w:t>2018-06-05</w:t>
            </w:r>
          </w:p>
        </w:tc>
        <w:tc>
          <w:tcPr>
            <w:tcW w:w="118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429" w:right="0"/>
              <w:jc w:val="left"/>
              <w:rPr>
                <w:rFonts w:ascii="宋体" w:hAnsi="宋体" w:cs="宋体" w:eastAsia="宋体" w:hint="default"/>
                <w:sz w:val="18"/>
                <w:szCs w:val="18"/>
              </w:rPr>
            </w:pPr>
            <w:r>
              <w:rPr>
                <w:rFonts w:ascii="宋体"/>
                <w:sz w:val="18"/>
              </w:rPr>
              <w:t>3,000.00</w:t>
            </w:r>
          </w:p>
        </w:tc>
        <w:tc>
          <w:tcPr>
            <w:tcW w:w="802" w:type="dxa"/>
            <w:gridSpan w:val="2"/>
            <w:vMerge/>
            <w:tcBorders>
              <w:left w:val="single" w:sz="4" w:space="0" w:color="000000"/>
              <w:right w:val="single" w:sz="4" w:space="0" w:color="000000"/>
            </w:tcBorders>
          </w:tcPr>
          <w:p>
            <w:pPr/>
          </w:p>
        </w:tc>
        <w:tc>
          <w:tcPr>
            <w:tcW w:w="852" w:type="dxa"/>
            <w:gridSpan w:val="2"/>
            <w:vMerge/>
            <w:tcBorders>
              <w:left w:val="single" w:sz="4" w:space="0" w:color="000000"/>
              <w:bottom w:val="single" w:sz="4" w:space="0" w:color="000000"/>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382" w:hRule="exact"/>
        </w:trPr>
        <w:tc>
          <w:tcPr>
            <w:tcW w:w="1419" w:type="dxa"/>
            <w:gridSpan w:val="2"/>
            <w:vMerge/>
            <w:tcBorders>
              <w:left w:val="single" w:sz="4" w:space="0" w:color="000000"/>
              <w:bottom w:val="single" w:sz="4" w:space="0" w:color="000000"/>
              <w:right w:val="single" w:sz="4" w:space="0" w:color="000000"/>
            </w:tcBorders>
          </w:tcPr>
          <w:p>
            <w:pPr/>
          </w:p>
        </w:tc>
        <w:tc>
          <w:tcPr>
            <w:tcW w:w="12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43" w:right="0"/>
              <w:jc w:val="left"/>
              <w:rPr>
                <w:rFonts w:ascii="宋体" w:hAnsi="宋体" w:cs="宋体" w:eastAsia="宋体" w:hint="default"/>
                <w:sz w:val="18"/>
                <w:szCs w:val="18"/>
              </w:rPr>
            </w:pPr>
            <w:r>
              <w:rPr>
                <w:rFonts w:ascii="宋体"/>
                <w:sz w:val="18"/>
              </w:rPr>
              <w:t>2019-12-20</w:t>
            </w:r>
          </w:p>
        </w:tc>
        <w:tc>
          <w:tcPr>
            <w:tcW w:w="113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650" w:right="0"/>
              <w:jc w:val="left"/>
              <w:rPr>
                <w:rFonts w:ascii="宋体" w:hAnsi="宋体" w:cs="宋体" w:eastAsia="宋体" w:hint="default"/>
                <w:sz w:val="18"/>
                <w:szCs w:val="18"/>
              </w:rPr>
            </w:pPr>
            <w:r>
              <w:rPr>
                <w:rFonts w:ascii="宋体"/>
                <w:sz w:val="18"/>
              </w:rPr>
              <w:t>2,000</w:t>
            </w:r>
          </w:p>
        </w:tc>
        <w:tc>
          <w:tcPr>
            <w:tcW w:w="12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43" w:right="0"/>
              <w:jc w:val="left"/>
              <w:rPr>
                <w:rFonts w:ascii="宋体" w:hAnsi="宋体" w:cs="宋体" w:eastAsia="宋体" w:hint="default"/>
                <w:sz w:val="18"/>
                <w:szCs w:val="18"/>
              </w:rPr>
            </w:pPr>
            <w:r>
              <w:rPr>
                <w:rFonts w:ascii="宋体"/>
                <w:sz w:val="18"/>
              </w:rPr>
              <w:t>2019-12-27</w:t>
            </w:r>
          </w:p>
        </w:tc>
        <w:tc>
          <w:tcPr>
            <w:tcW w:w="118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0.00</w:t>
            </w:r>
          </w:p>
        </w:tc>
        <w:tc>
          <w:tcPr>
            <w:tcW w:w="802" w:type="dxa"/>
            <w:gridSpan w:val="2"/>
            <w:vMerge/>
            <w:tcBorders>
              <w:left w:val="single" w:sz="4" w:space="0" w:color="000000"/>
              <w:right w:val="single" w:sz="4" w:space="0" w:color="000000"/>
            </w:tcBorders>
          </w:tcPr>
          <w:p>
            <w:pPr/>
          </w:p>
        </w:tc>
        <w:tc>
          <w:tcPr>
            <w:tcW w:w="852" w:type="dxa"/>
            <w:gridSpan w:val="2"/>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2"/>
                <w:szCs w:val="22"/>
              </w:rPr>
            </w:pPr>
          </w:p>
          <w:p>
            <w:pPr>
              <w:pStyle w:val="TableParagraph"/>
              <w:spacing w:line="276" w:lineRule="auto"/>
              <w:ind w:left="23" w:right="6"/>
              <w:jc w:val="left"/>
              <w:rPr>
                <w:rFonts w:ascii="宋体" w:hAnsi="宋体" w:cs="宋体" w:eastAsia="宋体" w:hint="default"/>
                <w:sz w:val="18"/>
                <w:szCs w:val="18"/>
              </w:rPr>
            </w:pPr>
            <w:r>
              <w:rPr>
                <w:rFonts w:ascii="宋体" w:hAnsi="宋体" w:cs="宋体" w:eastAsia="宋体" w:hint="default"/>
                <w:sz w:val="18"/>
                <w:szCs w:val="18"/>
              </w:rPr>
              <w:t>贷款到期</w:t>
            </w:r>
            <w:r>
              <w:rPr>
                <w:rFonts w:ascii="宋体" w:hAnsi="宋体" w:cs="宋体" w:eastAsia="宋体" w:hint="default"/>
                <w:sz w:val="18"/>
                <w:szCs w:val="18"/>
              </w:rPr>
              <w:t> </w:t>
            </w:r>
            <w:r>
              <w:rPr>
                <w:rFonts w:ascii="宋体" w:hAnsi="宋体" w:cs="宋体" w:eastAsia="宋体" w:hint="default"/>
                <w:sz w:val="18"/>
                <w:szCs w:val="18"/>
              </w:rPr>
              <w:t>日后两年</w:t>
            </w:r>
            <w:r>
              <w:rPr>
                <w:rFonts w:ascii="宋体" w:hAnsi="宋体" w:cs="宋体" w:eastAsia="宋体" w:hint="default"/>
                <w:sz w:val="18"/>
                <w:szCs w:val="18"/>
              </w:rPr>
              <w:t> </w:t>
            </w:r>
          </w:p>
        </w:tc>
        <w:tc>
          <w:tcPr>
            <w:tcW w:w="709" w:type="dxa"/>
            <w:vMerge/>
            <w:tcBorders>
              <w:left w:val="single" w:sz="4" w:space="0" w:color="000000"/>
              <w:bottom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382" w:hRule="exact"/>
        </w:trPr>
        <w:tc>
          <w:tcPr>
            <w:tcW w:w="1419" w:type="dxa"/>
            <w:gridSpan w:val="2"/>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76" w:lineRule="auto" w:before="118"/>
              <w:ind w:left="165" w:right="71"/>
              <w:jc w:val="left"/>
              <w:rPr>
                <w:rFonts w:ascii="宋体" w:hAnsi="宋体" w:cs="宋体" w:eastAsia="宋体" w:hint="default"/>
                <w:sz w:val="18"/>
                <w:szCs w:val="18"/>
              </w:rPr>
            </w:pPr>
            <w:r>
              <w:rPr>
                <w:rFonts w:ascii="宋体" w:hAnsi="宋体" w:cs="宋体" w:eastAsia="宋体" w:hint="default"/>
                <w:sz w:val="18"/>
                <w:szCs w:val="18"/>
              </w:rPr>
              <w:t>北京创世漫道</w:t>
            </w:r>
            <w:r>
              <w:rPr>
                <w:rFonts w:ascii="宋体" w:hAnsi="宋体" w:cs="宋体" w:eastAsia="宋体" w:hint="default"/>
                <w:sz w:val="18"/>
                <w:szCs w:val="18"/>
              </w:rPr>
              <w:t> </w:t>
            </w:r>
            <w:r>
              <w:rPr>
                <w:rFonts w:ascii="宋体" w:hAnsi="宋体" w:cs="宋体" w:eastAsia="宋体" w:hint="default"/>
                <w:sz w:val="18"/>
                <w:szCs w:val="18"/>
              </w:rPr>
              <w:t>科技有限公司</w:t>
            </w:r>
            <w:r>
              <w:rPr>
                <w:rFonts w:ascii="宋体" w:hAnsi="宋体" w:cs="宋体" w:eastAsia="宋体" w:hint="default"/>
                <w:sz w:val="18"/>
                <w:szCs w:val="18"/>
              </w:rPr>
              <w:t> </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343" w:right="0"/>
              <w:jc w:val="left"/>
              <w:rPr>
                <w:rFonts w:ascii="宋体" w:hAnsi="宋体" w:cs="宋体" w:eastAsia="宋体" w:hint="default"/>
                <w:sz w:val="18"/>
                <w:szCs w:val="18"/>
              </w:rPr>
            </w:pPr>
            <w:r>
              <w:rPr>
                <w:rFonts w:ascii="宋体"/>
                <w:sz w:val="18"/>
              </w:rPr>
              <w:t>2018-04-28</w:t>
            </w:r>
          </w:p>
        </w:tc>
        <w:tc>
          <w:tcPr>
            <w:tcW w:w="113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562" w:right="0"/>
              <w:jc w:val="left"/>
              <w:rPr>
                <w:rFonts w:ascii="宋体" w:hAnsi="宋体" w:cs="宋体" w:eastAsia="宋体" w:hint="default"/>
                <w:sz w:val="18"/>
                <w:szCs w:val="18"/>
              </w:rPr>
            </w:pPr>
            <w:r>
              <w:rPr>
                <w:rFonts w:ascii="宋体"/>
                <w:sz w:val="18"/>
              </w:rPr>
              <w:t>10,000</w:t>
            </w:r>
          </w:p>
        </w:tc>
        <w:tc>
          <w:tcPr>
            <w:tcW w:w="12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343" w:right="0"/>
              <w:jc w:val="left"/>
              <w:rPr>
                <w:rFonts w:ascii="宋体" w:hAnsi="宋体" w:cs="宋体" w:eastAsia="宋体" w:hint="default"/>
                <w:sz w:val="18"/>
                <w:szCs w:val="18"/>
              </w:rPr>
            </w:pPr>
            <w:r>
              <w:rPr>
                <w:rFonts w:ascii="宋体"/>
                <w:sz w:val="18"/>
              </w:rPr>
              <w:t>2018-05-11</w:t>
            </w:r>
          </w:p>
        </w:tc>
        <w:tc>
          <w:tcPr>
            <w:tcW w:w="118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429" w:right="0"/>
              <w:jc w:val="left"/>
              <w:rPr>
                <w:rFonts w:ascii="宋体" w:hAnsi="宋体" w:cs="宋体" w:eastAsia="宋体" w:hint="default"/>
                <w:sz w:val="18"/>
                <w:szCs w:val="18"/>
              </w:rPr>
            </w:pPr>
            <w:r>
              <w:rPr>
                <w:rFonts w:ascii="宋体"/>
                <w:sz w:val="18"/>
              </w:rPr>
              <w:t>9,925.08</w:t>
            </w:r>
          </w:p>
        </w:tc>
        <w:tc>
          <w:tcPr>
            <w:tcW w:w="802" w:type="dxa"/>
            <w:gridSpan w:val="2"/>
            <w:vMerge/>
            <w:tcBorders>
              <w:left w:val="single" w:sz="4" w:space="0" w:color="000000"/>
              <w:right w:val="single" w:sz="4" w:space="0" w:color="000000"/>
            </w:tcBorders>
          </w:tcPr>
          <w:p>
            <w:pPr/>
          </w:p>
        </w:tc>
        <w:tc>
          <w:tcPr>
            <w:tcW w:w="852" w:type="dxa"/>
            <w:gridSpan w:val="2"/>
            <w:vMerge/>
            <w:tcBorders>
              <w:left w:val="single" w:sz="4" w:space="0" w:color="000000"/>
              <w:right w:val="single" w:sz="4" w:space="0" w:color="000000"/>
            </w:tcBorders>
          </w:tcPr>
          <w:p>
            <w:pPr/>
          </w:p>
        </w:tc>
        <w:tc>
          <w:tcPr>
            <w:tcW w:w="709" w:type="dxa"/>
            <w:vMerge w:val="restart"/>
            <w:tcBorders>
              <w:top w:val="single" w:sz="4" w:space="0" w:color="000000"/>
              <w:left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21"/>
                <w:szCs w:val="21"/>
              </w:rPr>
            </w:pPr>
          </w:p>
          <w:p>
            <w:pPr>
              <w:pStyle w:val="TableParagraph"/>
              <w:spacing w:line="240" w:lineRule="auto"/>
              <w:ind w:left="259" w:right="0"/>
              <w:jc w:val="left"/>
              <w:rPr>
                <w:rFonts w:ascii="宋体" w:hAnsi="宋体" w:cs="宋体" w:eastAsia="宋体" w:hint="default"/>
                <w:sz w:val="18"/>
                <w:szCs w:val="18"/>
              </w:rPr>
            </w:pPr>
            <w:r>
              <w:rPr>
                <w:rFonts w:ascii="宋体" w:hAnsi="宋体" w:cs="宋体" w:eastAsia="宋体" w:hint="default"/>
                <w:sz w:val="18"/>
                <w:szCs w:val="18"/>
              </w:rPr>
              <w:t>是</w:t>
            </w:r>
            <w:r>
              <w:rPr>
                <w:rFonts w:ascii="宋体" w:hAnsi="宋体" w:cs="宋体" w:eastAsia="宋体" w:hint="default"/>
                <w:sz w:val="18"/>
                <w:szCs w:val="18"/>
              </w:rPr>
              <w:t> </w:t>
            </w:r>
          </w:p>
        </w:tc>
        <w:tc>
          <w:tcPr>
            <w:tcW w:w="991" w:type="dxa"/>
            <w:vMerge/>
            <w:tcBorders>
              <w:left w:val="single" w:sz="4" w:space="0" w:color="000000"/>
              <w:right w:val="single" w:sz="4" w:space="0" w:color="000000"/>
            </w:tcBorders>
          </w:tcPr>
          <w:p>
            <w:pPr/>
          </w:p>
        </w:tc>
      </w:tr>
      <w:tr>
        <w:trPr>
          <w:trHeight w:val="382" w:hRule="exact"/>
        </w:trPr>
        <w:tc>
          <w:tcPr>
            <w:tcW w:w="1419" w:type="dxa"/>
            <w:gridSpan w:val="2"/>
            <w:vMerge/>
            <w:tcBorders>
              <w:left w:val="single" w:sz="4" w:space="0" w:color="000000"/>
              <w:right w:val="single" w:sz="4" w:space="0" w:color="000000"/>
            </w:tcBorders>
          </w:tcPr>
          <w:p>
            <w:pPr/>
          </w:p>
        </w:tc>
        <w:tc>
          <w:tcPr>
            <w:tcW w:w="12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43" w:right="0"/>
              <w:jc w:val="left"/>
              <w:rPr>
                <w:rFonts w:ascii="宋体" w:hAnsi="宋体" w:cs="宋体" w:eastAsia="宋体" w:hint="default"/>
                <w:sz w:val="18"/>
                <w:szCs w:val="18"/>
              </w:rPr>
            </w:pPr>
            <w:r>
              <w:rPr>
                <w:rFonts w:ascii="宋体"/>
                <w:sz w:val="18"/>
              </w:rPr>
              <w:t>2018-09-04</w:t>
            </w:r>
          </w:p>
        </w:tc>
        <w:tc>
          <w:tcPr>
            <w:tcW w:w="113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62" w:right="0"/>
              <w:jc w:val="left"/>
              <w:rPr>
                <w:rFonts w:ascii="宋体" w:hAnsi="宋体" w:cs="宋体" w:eastAsia="宋体" w:hint="default"/>
                <w:sz w:val="18"/>
                <w:szCs w:val="18"/>
              </w:rPr>
            </w:pPr>
            <w:r>
              <w:rPr>
                <w:rFonts w:ascii="宋体"/>
                <w:sz w:val="18"/>
              </w:rPr>
              <w:t>14,000</w:t>
            </w:r>
          </w:p>
        </w:tc>
        <w:tc>
          <w:tcPr>
            <w:tcW w:w="12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43" w:right="0"/>
              <w:jc w:val="left"/>
              <w:rPr>
                <w:rFonts w:ascii="宋体" w:hAnsi="宋体" w:cs="宋体" w:eastAsia="宋体" w:hint="default"/>
                <w:sz w:val="18"/>
                <w:szCs w:val="18"/>
              </w:rPr>
            </w:pPr>
            <w:r>
              <w:rPr>
                <w:rFonts w:ascii="宋体"/>
                <w:sz w:val="18"/>
              </w:rPr>
              <w:t>2018-09-03</w:t>
            </w:r>
          </w:p>
        </w:tc>
        <w:tc>
          <w:tcPr>
            <w:tcW w:w="118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29" w:right="0"/>
              <w:jc w:val="left"/>
              <w:rPr>
                <w:rFonts w:ascii="宋体" w:hAnsi="宋体" w:cs="宋体" w:eastAsia="宋体" w:hint="default"/>
                <w:sz w:val="18"/>
                <w:szCs w:val="18"/>
              </w:rPr>
            </w:pPr>
            <w:r>
              <w:rPr>
                <w:rFonts w:ascii="宋体"/>
                <w:sz w:val="18"/>
              </w:rPr>
              <w:t>8,126.74</w:t>
            </w:r>
          </w:p>
        </w:tc>
        <w:tc>
          <w:tcPr>
            <w:tcW w:w="802" w:type="dxa"/>
            <w:gridSpan w:val="2"/>
            <w:vMerge/>
            <w:tcBorders>
              <w:left w:val="single" w:sz="4" w:space="0" w:color="000000"/>
              <w:right w:val="single" w:sz="4" w:space="0" w:color="000000"/>
            </w:tcBorders>
          </w:tcPr>
          <w:p>
            <w:pPr/>
          </w:p>
        </w:tc>
        <w:tc>
          <w:tcPr>
            <w:tcW w:w="852" w:type="dxa"/>
            <w:gridSpan w:val="2"/>
            <w:vMerge/>
            <w:tcBorders>
              <w:left w:val="single" w:sz="4" w:space="0" w:color="000000"/>
              <w:right w:val="single" w:sz="4" w:space="0" w:color="000000"/>
            </w:tcBorders>
          </w:tcPr>
          <w:p>
            <w:pPr/>
          </w:p>
        </w:tc>
        <w:tc>
          <w:tcPr>
            <w:tcW w:w="709" w:type="dxa"/>
            <w:vMerge/>
            <w:tcBorders>
              <w:left w:val="single" w:sz="4" w:space="0" w:color="000000"/>
              <w:bottom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468" w:hRule="exact"/>
        </w:trPr>
        <w:tc>
          <w:tcPr>
            <w:tcW w:w="1419" w:type="dxa"/>
            <w:gridSpan w:val="2"/>
            <w:vMerge/>
            <w:tcBorders>
              <w:left w:val="single" w:sz="4" w:space="0" w:color="000000"/>
              <w:right w:val="single" w:sz="4" w:space="0" w:color="000000"/>
            </w:tcBorders>
          </w:tcPr>
          <w:p>
            <w:pPr/>
          </w:p>
        </w:tc>
        <w:tc>
          <w:tcPr>
            <w:tcW w:w="12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343" w:right="0"/>
              <w:jc w:val="left"/>
              <w:rPr>
                <w:rFonts w:ascii="宋体" w:hAnsi="宋体" w:cs="宋体" w:eastAsia="宋体" w:hint="default"/>
                <w:sz w:val="18"/>
                <w:szCs w:val="18"/>
              </w:rPr>
            </w:pPr>
            <w:r>
              <w:rPr>
                <w:rFonts w:ascii="宋体"/>
                <w:sz w:val="18"/>
              </w:rPr>
              <w:t>2019-05-17</w:t>
            </w:r>
          </w:p>
        </w:tc>
        <w:tc>
          <w:tcPr>
            <w:tcW w:w="113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650" w:right="0"/>
              <w:jc w:val="left"/>
              <w:rPr>
                <w:rFonts w:ascii="宋体" w:hAnsi="宋体" w:cs="宋体" w:eastAsia="宋体" w:hint="default"/>
                <w:sz w:val="18"/>
                <w:szCs w:val="18"/>
              </w:rPr>
            </w:pPr>
            <w:r>
              <w:rPr>
                <w:rFonts w:ascii="宋体"/>
                <w:sz w:val="18"/>
              </w:rPr>
              <w:t>8,000</w:t>
            </w:r>
          </w:p>
        </w:tc>
        <w:tc>
          <w:tcPr>
            <w:tcW w:w="12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343" w:right="0"/>
              <w:jc w:val="left"/>
              <w:rPr>
                <w:rFonts w:ascii="宋体" w:hAnsi="宋体" w:cs="宋体" w:eastAsia="宋体" w:hint="default"/>
                <w:sz w:val="18"/>
                <w:szCs w:val="18"/>
              </w:rPr>
            </w:pPr>
            <w:r>
              <w:rPr>
                <w:rFonts w:ascii="宋体"/>
                <w:sz w:val="18"/>
              </w:rPr>
              <w:t>2019-05-15</w:t>
            </w:r>
          </w:p>
        </w:tc>
        <w:tc>
          <w:tcPr>
            <w:tcW w:w="118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429" w:right="0"/>
              <w:jc w:val="left"/>
              <w:rPr>
                <w:rFonts w:ascii="宋体" w:hAnsi="宋体" w:cs="宋体" w:eastAsia="宋体" w:hint="default"/>
                <w:sz w:val="18"/>
                <w:szCs w:val="18"/>
              </w:rPr>
            </w:pPr>
            <w:r>
              <w:rPr>
                <w:rFonts w:ascii="宋体"/>
                <w:sz w:val="18"/>
              </w:rPr>
              <w:t>7,910.07</w:t>
            </w:r>
          </w:p>
        </w:tc>
        <w:tc>
          <w:tcPr>
            <w:tcW w:w="802" w:type="dxa"/>
            <w:gridSpan w:val="2"/>
            <w:vMerge/>
            <w:tcBorders>
              <w:left w:val="single" w:sz="4" w:space="0" w:color="000000"/>
              <w:right w:val="single" w:sz="4" w:space="0" w:color="000000"/>
            </w:tcBorders>
          </w:tcPr>
          <w:p>
            <w:pPr/>
          </w:p>
        </w:tc>
        <w:tc>
          <w:tcPr>
            <w:tcW w:w="852" w:type="dxa"/>
            <w:gridSpan w:val="2"/>
            <w:vMerge/>
            <w:tcBorders>
              <w:left w:val="single" w:sz="4" w:space="0" w:color="000000"/>
              <w:right w:val="single" w:sz="4" w:space="0" w:color="000000"/>
            </w:tcBorders>
          </w:tcPr>
          <w:p>
            <w:pPr/>
          </w:p>
        </w:tc>
        <w:tc>
          <w:tcPr>
            <w:tcW w:w="709"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20"/>
                <w:szCs w:val="20"/>
              </w:rPr>
            </w:pPr>
          </w:p>
          <w:p>
            <w:pPr>
              <w:pStyle w:val="TableParagraph"/>
              <w:spacing w:line="240" w:lineRule="auto"/>
              <w:ind w:left="259" w:right="0"/>
              <w:jc w:val="left"/>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sz w:val="18"/>
                <w:szCs w:val="18"/>
              </w:rPr>
              <w:t> </w:t>
            </w:r>
          </w:p>
        </w:tc>
        <w:tc>
          <w:tcPr>
            <w:tcW w:w="991" w:type="dxa"/>
            <w:vMerge/>
            <w:tcBorders>
              <w:left w:val="single" w:sz="4" w:space="0" w:color="000000"/>
              <w:right w:val="single" w:sz="4" w:space="0" w:color="000000"/>
            </w:tcBorders>
          </w:tcPr>
          <w:p>
            <w:pPr/>
          </w:p>
        </w:tc>
      </w:tr>
      <w:tr>
        <w:trPr>
          <w:trHeight w:val="382" w:hRule="exact"/>
        </w:trPr>
        <w:tc>
          <w:tcPr>
            <w:tcW w:w="1419" w:type="dxa"/>
            <w:gridSpan w:val="2"/>
            <w:vMerge/>
            <w:tcBorders>
              <w:left w:val="single" w:sz="4" w:space="0" w:color="000000"/>
              <w:bottom w:val="single" w:sz="4" w:space="0" w:color="000000"/>
              <w:right w:val="single" w:sz="4" w:space="0" w:color="000000"/>
            </w:tcBorders>
          </w:tcPr>
          <w:p>
            <w:pPr/>
          </w:p>
        </w:tc>
        <w:tc>
          <w:tcPr>
            <w:tcW w:w="12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43" w:right="0"/>
              <w:jc w:val="left"/>
              <w:rPr>
                <w:rFonts w:ascii="宋体" w:hAnsi="宋体" w:cs="宋体" w:eastAsia="宋体" w:hint="default"/>
                <w:sz w:val="18"/>
                <w:szCs w:val="18"/>
              </w:rPr>
            </w:pPr>
            <w:r>
              <w:rPr>
                <w:rFonts w:ascii="宋体"/>
                <w:sz w:val="18"/>
              </w:rPr>
              <w:t>2019-10-18</w:t>
            </w:r>
          </w:p>
        </w:tc>
        <w:tc>
          <w:tcPr>
            <w:tcW w:w="113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650" w:right="0"/>
              <w:jc w:val="left"/>
              <w:rPr>
                <w:rFonts w:ascii="宋体" w:hAnsi="宋体" w:cs="宋体" w:eastAsia="宋体" w:hint="default"/>
                <w:sz w:val="18"/>
                <w:szCs w:val="18"/>
              </w:rPr>
            </w:pPr>
            <w:r>
              <w:rPr>
                <w:rFonts w:ascii="宋体"/>
                <w:sz w:val="18"/>
              </w:rPr>
              <w:t>8,000</w:t>
            </w:r>
          </w:p>
        </w:tc>
        <w:tc>
          <w:tcPr>
            <w:tcW w:w="12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43" w:right="0"/>
              <w:jc w:val="left"/>
              <w:rPr>
                <w:rFonts w:ascii="宋体" w:hAnsi="宋体" w:cs="宋体" w:eastAsia="宋体" w:hint="default"/>
                <w:sz w:val="18"/>
                <w:szCs w:val="18"/>
              </w:rPr>
            </w:pPr>
            <w:r>
              <w:rPr>
                <w:rFonts w:ascii="宋体"/>
                <w:sz w:val="18"/>
              </w:rPr>
              <w:t>2019-11-20</w:t>
            </w:r>
          </w:p>
        </w:tc>
        <w:tc>
          <w:tcPr>
            <w:tcW w:w="118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29" w:right="0"/>
              <w:jc w:val="left"/>
              <w:rPr>
                <w:rFonts w:ascii="宋体" w:hAnsi="宋体" w:cs="宋体" w:eastAsia="宋体" w:hint="default"/>
                <w:sz w:val="18"/>
                <w:szCs w:val="18"/>
              </w:rPr>
            </w:pPr>
            <w:r>
              <w:rPr>
                <w:rFonts w:ascii="宋体"/>
                <w:sz w:val="18"/>
              </w:rPr>
              <w:t>3,586.55</w:t>
            </w:r>
          </w:p>
        </w:tc>
        <w:tc>
          <w:tcPr>
            <w:tcW w:w="802" w:type="dxa"/>
            <w:gridSpan w:val="2"/>
            <w:vMerge/>
            <w:tcBorders>
              <w:left w:val="single" w:sz="4" w:space="0" w:color="000000"/>
              <w:right w:val="single" w:sz="4" w:space="0" w:color="000000"/>
            </w:tcBorders>
          </w:tcPr>
          <w:p>
            <w:pPr/>
          </w:p>
        </w:tc>
        <w:tc>
          <w:tcPr>
            <w:tcW w:w="852" w:type="dxa"/>
            <w:gridSpan w:val="2"/>
            <w:vMerge/>
            <w:tcBorders>
              <w:left w:val="single" w:sz="4" w:space="0" w:color="000000"/>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382" w:hRule="exact"/>
        </w:trPr>
        <w:tc>
          <w:tcPr>
            <w:tcW w:w="1419" w:type="dxa"/>
            <w:gridSpan w:val="2"/>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24"/>
                <w:szCs w:val="24"/>
              </w:rPr>
            </w:pPr>
          </w:p>
          <w:p>
            <w:pPr>
              <w:pStyle w:val="TableParagraph"/>
              <w:spacing w:line="316" w:lineRule="auto"/>
              <w:ind w:left="74" w:right="-16"/>
              <w:jc w:val="left"/>
              <w:rPr>
                <w:rFonts w:ascii="宋体" w:hAnsi="宋体" w:cs="宋体" w:eastAsia="宋体" w:hint="default"/>
                <w:sz w:val="18"/>
                <w:szCs w:val="18"/>
              </w:rPr>
            </w:pPr>
            <w:r>
              <w:rPr>
                <w:rFonts w:ascii="宋体" w:hAnsi="宋体" w:cs="宋体" w:eastAsia="宋体" w:hint="default"/>
                <w:sz w:val="18"/>
                <w:szCs w:val="18"/>
              </w:rPr>
              <w:t>北京中天嘉华信 息技术有限公司</w:t>
            </w:r>
            <w:r>
              <w:rPr>
                <w:rFonts w:ascii="宋体" w:hAnsi="宋体" w:cs="宋体" w:eastAsia="宋体" w:hint="default"/>
                <w:sz w:val="18"/>
                <w:szCs w:val="18"/>
              </w:rPr>
              <w:t> </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43" w:right="0"/>
              <w:jc w:val="left"/>
              <w:rPr>
                <w:rFonts w:ascii="宋体" w:hAnsi="宋体" w:cs="宋体" w:eastAsia="宋体" w:hint="default"/>
                <w:sz w:val="18"/>
                <w:szCs w:val="18"/>
              </w:rPr>
            </w:pPr>
            <w:r>
              <w:rPr>
                <w:rFonts w:ascii="宋体"/>
                <w:sz w:val="18"/>
              </w:rPr>
              <w:t>2019-08-08</w:t>
            </w:r>
          </w:p>
        </w:tc>
        <w:tc>
          <w:tcPr>
            <w:tcW w:w="113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650" w:right="0"/>
              <w:jc w:val="left"/>
              <w:rPr>
                <w:rFonts w:ascii="宋体" w:hAnsi="宋体" w:cs="宋体" w:eastAsia="宋体" w:hint="default"/>
                <w:sz w:val="18"/>
                <w:szCs w:val="18"/>
              </w:rPr>
            </w:pPr>
            <w:r>
              <w:rPr>
                <w:rFonts w:ascii="宋体"/>
                <w:sz w:val="18"/>
              </w:rPr>
              <w:t>5,000</w:t>
            </w:r>
          </w:p>
        </w:tc>
        <w:tc>
          <w:tcPr>
            <w:tcW w:w="12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43" w:right="0"/>
              <w:jc w:val="left"/>
              <w:rPr>
                <w:rFonts w:ascii="宋体" w:hAnsi="宋体" w:cs="宋体" w:eastAsia="宋体" w:hint="default"/>
                <w:sz w:val="18"/>
                <w:szCs w:val="18"/>
              </w:rPr>
            </w:pPr>
            <w:r>
              <w:rPr>
                <w:rFonts w:ascii="宋体"/>
                <w:sz w:val="18"/>
              </w:rPr>
              <w:t>2019-07-09</w:t>
            </w:r>
          </w:p>
        </w:tc>
        <w:tc>
          <w:tcPr>
            <w:tcW w:w="118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0.00</w:t>
            </w:r>
          </w:p>
        </w:tc>
        <w:tc>
          <w:tcPr>
            <w:tcW w:w="802" w:type="dxa"/>
            <w:gridSpan w:val="2"/>
            <w:vMerge/>
            <w:tcBorders>
              <w:left w:val="single" w:sz="4" w:space="0" w:color="000000"/>
              <w:right w:val="single" w:sz="4" w:space="0" w:color="000000"/>
            </w:tcBorders>
          </w:tcPr>
          <w:p>
            <w:pPr/>
          </w:p>
        </w:tc>
        <w:tc>
          <w:tcPr>
            <w:tcW w:w="852" w:type="dxa"/>
            <w:gridSpan w:val="2"/>
            <w:vMerge/>
            <w:tcBorders>
              <w:left w:val="single" w:sz="4" w:space="0" w:color="000000"/>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382" w:hRule="exact"/>
        </w:trPr>
        <w:tc>
          <w:tcPr>
            <w:tcW w:w="1419" w:type="dxa"/>
            <w:gridSpan w:val="2"/>
            <w:vMerge/>
            <w:tcBorders>
              <w:left w:val="single" w:sz="4" w:space="0" w:color="000000"/>
              <w:right w:val="single" w:sz="4" w:space="0" w:color="000000"/>
            </w:tcBorders>
          </w:tcPr>
          <w:p>
            <w:pPr/>
          </w:p>
        </w:tc>
        <w:tc>
          <w:tcPr>
            <w:tcW w:w="12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43" w:right="0"/>
              <w:jc w:val="left"/>
              <w:rPr>
                <w:rFonts w:ascii="宋体" w:hAnsi="宋体" w:cs="宋体" w:eastAsia="宋体" w:hint="default"/>
                <w:sz w:val="18"/>
                <w:szCs w:val="18"/>
              </w:rPr>
            </w:pPr>
            <w:r>
              <w:rPr>
                <w:rFonts w:ascii="宋体"/>
                <w:sz w:val="18"/>
              </w:rPr>
              <w:t>2019-08-27</w:t>
            </w:r>
          </w:p>
        </w:tc>
        <w:tc>
          <w:tcPr>
            <w:tcW w:w="113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650" w:right="0"/>
              <w:jc w:val="left"/>
              <w:rPr>
                <w:rFonts w:ascii="宋体" w:hAnsi="宋体" w:cs="宋体" w:eastAsia="宋体" w:hint="default"/>
                <w:sz w:val="18"/>
                <w:szCs w:val="18"/>
              </w:rPr>
            </w:pPr>
            <w:r>
              <w:rPr>
                <w:rFonts w:ascii="宋体"/>
                <w:sz w:val="18"/>
              </w:rPr>
              <w:t>3,000</w:t>
            </w:r>
          </w:p>
        </w:tc>
        <w:tc>
          <w:tcPr>
            <w:tcW w:w="12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43" w:right="0"/>
              <w:jc w:val="left"/>
              <w:rPr>
                <w:rFonts w:ascii="宋体" w:hAnsi="宋体" w:cs="宋体" w:eastAsia="宋体" w:hint="default"/>
                <w:sz w:val="18"/>
                <w:szCs w:val="18"/>
              </w:rPr>
            </w:pPr>
            <w:r>
              <w:rPr>
                <w:rFonts w:ascii="宋体"/>
                <w:sz w:val="18"/>
              </w:rPr>
              <w:t>2019-12-16</w:t>
            </w:r>
          </w:p>
        </w:tc>
        <w:tc>
          <w:tcPr>
            <w:tcW w:w="118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609" w:right="0"/>
              <w:jc w:val="left"/>
              <w:rPr>
                <w:rFonts w:ascii="宋体" w:hAnsi="宋体" w:cs="宋体" w:eastAsia="宋体" w:hint="default"/>
                <w:sz w:val="18"/>
                <w:szCs w:val="18"/>
              </w:rPr>
            </w:pPr>
            <w:r>
              <w:rPr>
                <w:rFonts w:ascii="宋体"/>
                <w:sz w:val="18"/>
              </w:rPr>
              <w:t>500.00</w:t>
            </w:r>
          </w:p>
        </w:tc>
        <w:tc>
          <w:tcPr>
            <w:tcW w:w="802" w:type="dxa"/>
            <w:gridSpan w:val="2"/>
            <w:vMerge/>
            <w:tcBorders>
              <w:left w:val="single" w:sz="4" w:space="0" w:color="000000"/>
              <w:right w:val="single" w:sz="4" w:space="0" w:color="000000"/>
            </w:tcBorders>
          </w:tcPr>
          <w:p>
            <w:pPr/>
          </w:p>
        </w:tc>
        <w:tc>
          <w:tcPr>
            <w:tcW w:w="852" w:type="dxa"/>
            <w:gridSpan w:val="2"/>
            <w:vMerge/>
            <w:tcBorders>
              <w:left w:val="single" w:sz="4" w:space="0" w:color="000000"/>
              <w:right w:val="single" w:sz="4" w:space="0" w:color="000000"/>
            </w:tcBorders>
          </w:tcPr>
          <w:p>
            <w:pPr/>
          </w:p>
        </w:tc>
        <w:tc>
          <w:tcPr>
            <w:tcW w:w="709" w:type="dxa"/>
            <w:vMerge/>
            <w:tcBorders>
              <w:left w:val="single" w:sz="4" w:space="0" w:color="000000"/>
              <w:right w:val="single" w:sz="4" w:space="0" w:color="000000"/>
            </w:tcBorders>
          </w:tcPr>
          <w:p>
            <w:pPr/>
          </w:p>
        </w:tc>
        <w:tc>
          <w:tcPr>
            <w:tcW w:w="991" w:type="dxa"/>
            <w:vMerge/>
            <w:tcBorders>
              <w:left w:val="single" w:sz="4" w:space="0" w:color="000000"/>
              <w:right w:val="single" w:sz="4" w:space="0" w:color="000000"/>
            </w:tcBorders>
          </w:tcPr>
          <w:p>
            <w:pPr/>
          </w:p>
        </w:tc>
      </w:tr>
      <w:tr>
        <w:trPr>
          <w:trHeight w:val="382" w:hRule="exact"/>
        </w:trPr>
        <w:tc>
          <w:tcPr>
            <w:tcW w:w="1419" w:type="dxa"/>
            <w:gridSpan w:val="2"/>
            <w:vMerge/>
            <w:tcBorders>
              <w:left w:val="single" w:sz="4" w:space="0" w:color="000000"/>
              <w:bottom w:val="single" w:sz="4" w:space="0" w:color="000000"/>
              <w:right w:val="single" w:sz="4" w:space="0" w:color="000000"/>
            </w:tcBorders>
          </w:tcPr>
          <w:p>
            <w:pPr/>
          </w:p>
        </w:tc>
        <w:tc>
          <w:tcPr>
            <w:tcW w:w="12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43" w:right="0"/>
              <w:jc w:val="left"/>
              <w:rPr>
                <w:rFonts w:ascii="宋体" w:hAnsi="宋体" w:cs="宋体" w:eastAsia="宋体" w:hint="default"/>
                <w:sz w:val="18"/>
                <w:szCs w:val="18"/>
              </w:rPr>
            </w:pPr>
            <w:r>
              <w:rPr>
                <w:rFonts w:ascii="宋体"/>
                <w:sz w:val="18"/>
              </w:rPr>
              <w:t>2019-10-29</w:t>
            </w:r>
          </w:p>
        </w:tc>
        <w:tc>
          <w:tcPr>
            <w:tcW w:w="113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650" w:right="0"/>
              <w:jc w:val="left"/>
              <w:rPr>
                <w:rFonts w:ascii="宋体" w:hAnsi="宋体" w:cs="宋体" w:eastAsia="宋体" w:hint="default"/>
                <w:sz w:val="18"/>
                <w:szCs w:val="18"/>
              </w:rPr>
            </w:pPr>
            <w:r>
              <w:rPr>
                <w:rFonts w:ascii="宋体"/>
                <w:sz w:val="18"/>
              </w:rPr>
              <w:t>5,000</w:t>
            </w:r>
          </w:p>
        </w:tc>
        <w:tc>
          <w:tcPr>
            <w:tcW w:w="12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43" w:right="0"/>
              <w:jc w:val="left"/>
              <w:rPr>
                <w:rFonts w:ascii="宋体" w:hAnsi="宋体" w:cs="宋体" w:eastAsia="宋体" w:hint="default"/>
                <w:sz w:val="18"/>
                <w:szCs w:val="18"/>
              </w:rPr>
            </w:pPr>
            <w:r>
              <w:rPr>
                <w:rFonts w:ascii="宋体"/>
                <w:sz w:val="18"/>
              </w:rPr>
              <w:t>2019-12-13</w:t>
            </w:r>
          </w:p>
        </w:tc>
        <w:tc>
          <w:tcPr>
            <w:tcW w:w="118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609" w:right="0"/>
              <w:jc w:val="left"/>
              <w:rPr>
                <w:rFonts w:ascii="宋体" w:hAnsi="宋体" w:cs="宋体" w:eastAsia="宋体" w:hint="default"/>
                <w:sz w:val="18"/>
                <w:szCs w:val="18"/>
              </w:rPr>
            </w:pPr>
            <w:r>
              <w:rPr>
                <w:rFonts w:ascii="宋体"/>
                <w:sz w:val="18"/>
              </w:rPr>
              <w:t>500.00</w:t>
            </w:r>
          </w:p>
        </w:tc>
        <w:tc>
          <w:tcPr>
            <w:tcW w:w="802" w:type="dxa"/>
            <w:gridSpan w:val="2"/>
            <w:vMerge/>
            <w:tcBorders>
              <w:left w:val="single" w:sz="4" w:space="0" w:color="000000"/>
              <w:bottom w:val="single" w:sz="4" w:space="0" w:color="000000"/>
              <w:right w:val="single" w:sz="4" w:space="0" w:color="000000"/>
            </w:tcBorders>
          </w:tcPr>
          <w:p>
            <w:pPr/>
          </w:p>
        </w:tc>
        <w:tc>
          <w:tcPr>
            <w:tcW w:w="852" w:type="dxa"/>
            <w:gridSpan w:val="2"/>
            <w:vMerge/>
            <w:tcBorders>
              <w:left w:val="single" w:sz="4" w:space="0" w:color="000000"/>
              <w:bottom w:val="single" w:sz="4" w:space="0" w:color="000000"/>
              <w:right w:val="single" w:sz="4" w:space="0" w:color="000000"/>
            </w:tcBorders>
          </w:tcPr>
          <w:p>
            <w:pPr/>
          </w:p>
        </w:tc>
        <w:tc>
          <w:tcPr>
            <w:tcW w:w="709" w:type="dxa"/>
            <w:vMerge/>
            <w:tcBorders>
              <w:left w:val="single" w:sz="4" w:space="0" w:color="000000"/>
              <w:bottom w:val="single" w:sz="4" w:space="0" w:color="000000"/>
              <w:right w:val="single" w:sz="4" w:space="0" w:color="000000"/>
            </w:tcBorders>
          </w:tcPr>
          <w:p>
            <w:pPr/>
          </w:p>
        </w:tc>
        <w:tc>
          <w:tcPr>
            <w:tcW w:w="991" w:type="dxa"/>
            <w:vMerge/>
            <w:tcBorders>
              <w:left w:val="single" w:sz="4" w:space="0" w:color="000000"/>
              <w:bottom w:val="single" w:sz="4" w:space="0" w:color="000000"/>
              <w:right w:val="single" w:sz="4" w:space="0" w:color="000000"/>
            </w:tcBorders>
          </w:tcPr>
          <w:p>
            <w:pPr/>
          </w:p>
        </w:tc>
      </w:tr>
      <w:tr>
        <w:trPr>
          <w:trHeight w:val="384" w:hRule="exact"/>
        </w:trPr>
        <w:tc>
          <w:tcPr>
            <w:tcW w:w="3829" w:type="dxa"/>
            <w:gridSpan w:val="6"/>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报告期内审批对子公司担保额度合计</w:t>
            </w:r>
            <w:r>
              <w:rPr>
                <w:rFonts w:ascii="宋体" w:hAnsi="宋体" w:cs="宋体" w:eastAsia="宋体" w:hint="default"/>
                <w:sz w:val="18"/>
                <w:szCs w:val="18"/>
              </w:rPr>
              <w:t>(B1) </w:t>
            </w:r>
          </w:p>
        </w:tc>
        <w:tc>
          <w:tcPr>
            <w:tcW w:w="12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703" w:right="0"/>
              <w:jc w:val="left"/>
              <w:rPr>
                <w:rFonts w:ascii="宋体" w:hAnsi="宋体" w:cs="宋体" w:eastAsia="宋体" w:hint="default"/>
                <w:sz w:val="18"/>
                <w:szCs w:val="18"/>
              </w:rPr>
            </w:pPr>
            <w:r>
              <w:rPr>
                <w:rFonts w:ascii="宋体"/>
                <w:sz w:val="18"/>
              </w:rPr>
              <w:t>57,000</w:t>
            </w:r>
          </w:p>
        </w:tc>
        <w:tc>
          <w:tcPr>
            <w:tcW w:w="3546" w:type="dxa"/>
            <w:gridSpan w:val="7"/>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报告期内对子公司担保实际发生额合计</w:t>
            </w:r>
            <w:r>
              <w:rPr>
                <w:rFonts w:ascii="宋体" w:hAnsi="宋体" w:cs="宋体" w:eastAsia="宋体" w:hint="default"/>
                <w:sz w:val="18"/>
                <w:szCs w:val="18"/>
              </w:rPr>
              <w:t>(B2) </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8"/>
              <w:jc w:val="right"/>
              <w:rPr>
                <w:rFonts w:ascii="宋体" w:hAnsi="宋体" w:cs="宋体" w:eastAsia="宋体" w:hint="default"/>
                <w:sz w:val="18"/>
                <w:szCs w:val="18"/>
              </w:rPr>
            </w:pPr>
            <w:r>
              <w:rPr>
                <w:rFonts w:ascii="宋体"/>
                <w:spacing w:val="-1"/>
                <w:sz w:val="18"/>
              </w:rPr>
              <w:t>82,469.25</w:t>
            </w:r>
          </w:p>
        </w:tc>
      </w:tr>
      <w:tr>
        <w:trPr>
          <w:trHeight w:val="419" w:hRule="exact"/>
        </w:trPr>
        <w:tc>
          <w:tcPr>
            <w:tcW w:w="3829" w:type="dxa"/>
            <w:gridSpan w:val="6"/>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报告期末已审批的对子公司担保额度合计</w:t>
            </w:r>
            <w:r>
              <w:rPr>
                <w:rFonts w:ascii="宋体" w:hAnsi="宋体" w:cs="宋体" w:eastAsia="宋体" w:hint="default"/>
                <w:sz w:val="18"/>
                <w:szCs w:val="18"/>
              </w:rPr>
              <w:t>(B3) </w:t>
            </w:r>
          </w:p>
        </w:tc>
        <w:tc>
          <w:tcPr>
            <w:tcW w:w="1274" w:type="dxa"/>
            <w:gridSpan w:val="2"/>
            <w:tcBorders>
              <w:top w:val="single" w:sz="4" w:space="0" w:color="000000"/>
              <w:left w:val="single" w:sz="4" w:space="0" w:color="000000"/>
              <w:bottom w:val="single" w:sz="30" w:space="0" w:color="D9D9D9"/>
              <w:right w:val="single" w:sz="4" w:space="0" w:color="000000"/>
            </w:tcBorders>
          </w:tcPr>
          <w:p>
            <w:pPr>
              <w:pStyle w:val="TableParagraph"/>
              <w:spacing w:line="240" w:lineRule="auto" w:before="51"/>
              <w:ind w:left="612" w:right="0"/>
              <w:jc w:val="left"/>
              <w:rPr>
                <w:rFonts w:ascii="宋体" w:hAnsi="宋体" w:cs="宋体" w:eastAsia="宋体" w:hint="default"/>
                <w:sz w:val="18"/>
                <w:szCs w:val="18"/>
              </w:rPr>
            </w:pPr>
            <w:r>
              <w:rPr>
                <w:rFonts w:ascii="宋体"/>
                <w:sz w:val="18"/>
              </w:rPr>
              <w:t>111,000</w:t>
            </w:r>
          </w:p>
        </w:tc>
        <w:tc>
          <w:tcPr>
            <w:tcW w:w="3546" w:type="dxa"/>
            <w:gridSpan w:val="7"/>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报告期末对子公司实际担保余额合计</w:t>
            </w:r>
            <w:r>
              <w:rPr>
                <w:rFonts w:ascii="宋体" w:hAnsi="宋体" w:cs="宋体" w:eastAsia="宋体" w:hint="default"/>
                <w:sz w:val="18"/>
                <w:szCs w:val="18"/>
              </w:rPr>
              <w:t>(B4) </w:t>
            </w:r>
          </w:p>
        </w:tc>
        <w:tc>
          <w:tcPr>
            <w:tcW w:w="991" w:type="dxa"/>
            <w:tcBorders>
              <w:top w:val="single" w:sz="4" w:space="0" w:color="000000"/>
              <w:left w:val="single" w:sz="4" w:space="0" w:color="000000"/>
              <w:bottom w:val="single" w:sz="30" w:space="0" w:color="D9D9D9"/>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sz w:val="18"/>
              </w:rPr>
              <w:t>32,849.13</w:t>
            </w:r>
          </w:p>
        </w:tc>
      </w:tr>
      <w:tr>
        <w:trPr>
          <w:trHeight w:val="456" w:hRule="exact"/>
        </w:trPr>
        <w:tc>
          <w:tcPr>
            <w:tcW w:w="9640" w:type="dxa"/>
            <w:gridSpan w:val="16"/>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8"/>
              <w:ind w:left="90" w:right="0"/>
              <w:jc w:val="center"/>
              <w:rPr>
                <w:rFonts w:ascii="宋体" w:hAnsi="宋体" w:cs="宋体" w:eastAsia="宋体" w:hint="default"/>
                <w:sz w:val="18"/>
                <w:szCs w:val="18"/>
              </w:rPr>
            </w:pPr>
            <w:r>
              <w:rPr>
                <w:rFonts w:ascii="宋体" w:hAnsi="宋体" w:cs="宋体" w:eastAsia="宋体" w:hint="default"/>
                <w:sz w:val="18"/>
                <w:szCs w:val="18"/>
              </w:rPr>
              <w:t>子公司对子公司的担保情况</w:t>
            </w:r>
            <w:r>
              <w:rPr>
                <w:rFonts w:ascii="宋体" w:hAnsi="宋体" w:cs="宋体" w:eastAsia="宋体" w:hint="default"/>
                <w:sz w:val="18"/>
                <w:szCs w:val="18"/>
              </w:rPr>
              <w:t> </w:t>
            </w:r>
          </w:p>
        </w:tc>
      </w:tr>
      <w:tr>
        <w:trPr>
          <w:trHeight w:val="772" w:hRule="exact"/>
        </w:trPr>
        <w:tc>
          <w:tcPr>
            <w:tcW w:w="127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Times New Roman" w:hAnsi="Times New Roman" w:cs="Times New Roman" w:eastAsia="Times New Roman" w:hint="default"/>
                <w:sz w:val="22"/>
                <w:szCs w:val="22"/>
              </w:rPr>
            </w:pPr>
          </w:p>
          <w:p>
            <w:pPr>
              <w:pStyle w:val="TableParagraph"/>
              <w:spacing w:line="240" w:lineRule="auto"/>
              <w:ind w:right="1"/>
              <w:jc w:val="right"/>
              <w:rPr>
                <w:rFonts w:ascii="宋体" w:hAnsi="宋体" w:cs="宋体" w:eastAsia="宋体" w:hint="default"/>
                <w:sz w:val="18"/>
                <w:szCs w:val="18"/>
              </w:rPr>
            </w:pPr>
            <w:r>
              <w:rPr>
                <w:rFonts w:ascii="宋体" w:hAnsi="宋体" w:cs="宋体" w:eastAsia="宋体" w:hint="default"/>
                <w:sz w:val="18"/>
                <w:szCs w:val="18"/>
              </w:rPr>
              <w:t>担保对象名称</w:t>
            </w:r>
            <w:r>
              <w:rPr>
                <w:rFonts w:ascii="宋体" w:hAnsi="宋体" w:cs="宋体" w:eastAsia="宋体" w:hint="default"/>
                <w:sz w:val="18"/>
                <w:szCs w:val="18"/>
              </w:rPr>
              <w:t> </w:t>
            </w:r>
          </w:p>
        </w:tc>
        <w:tc>
          <w:tcPr>
            <w:tcW w:w="1274"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6"/>
              <w:ind w:left="93" w:right="1"/>
              <w:jc w:val="left"/>
              <w:rPr>
                <w:rFonts w:ascii="宋体" w:hAnsi="宋体" w:cs="宋体" w:eastAsia="宋体" w:hint="default"/>
                <w:sz w:val="18"/>
                <w:szCs w:val="18"/>
              </w:rPr>
            </w:pPr>
            <w:r>
              <w:rPr>
                <w:rFonts w:ascii="宋体" w:hAnsi="宋体" w:cs="宋体" w:eastAsia="宋体" w:hint="default"/>
                <w:sz w:val="18"/>
                <w:szCs w:val="18"/>
              </w:rPr>
              <w:t>担保额度相关 公告披露日期</w:t>
            </w:r>
            <w:r>
              <w:rPr>
                <w:rFonts w:ascii="宋体" w:hAnsi="宋体" w:cs="宋体" w:eastAsia="宋体" w:hint="default"/>
                <w:sz w:val="18"/>
                <w:szCs w:val="18"/>
              </w:rPr>
              <w:t> </w:t>
            </w:r>
          </w:p>
        </w:tc>
        <w:tc>
          <w:tcPr>
            <w:tcW w:w="1136"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Times New Roman" w:hAnsi="Times New Roman" w:cs="Times New Roman" w:eastAsia="Times New Roman" w:hint="default"/>
                <w:sz w:val="22"/>
                <w:szCs w:val="22"/>
              </w:rPr>
            </w:pPr>
          </w:p>
          <w:p>
            <w:pPr>
              <w:pStyle w:val="TableParagraph"/>
              <w:spacing w:line="240" w:lineRule="auto"/>
              <w:ind w:left="201" w:right="0"/>
              <w:jc w:val="left"/>
              <w:rPr>
                <w:rFonts w:ascii="宋体" w:hAnsi="宋体" w:cs="宋体" w:eastAsia="宋体" w:hint="default"/>
                <w:sz w:val="18"/>
                <w:szCs w:val="18"/>
              </w:rPr>
            </w:pPr>
            <w:r>
              <w:rPr>
                <w:rFonts w:ascii="宋体" w:hAnsi="宋体" w:cs="宋体" w:eastAsia="宋体" w:hint="default"/>
                <w:sz w:val="18"/>
                <w:szCs w:val="18"/>
              </w:rPr>
              <w:t>担保额度</w:t>
            </w:r>
            <w:r>
              <w:rPr>
                <w:rFonts w:ascii="宋体" w:hAnsi="宋体" w:cs="宋体" w:eastAsia="宋体" w:hint="default"/>
                <w:sz w:val="18"/>
                <w:szCs w:val="18"/>
              </w:rPr>
              <w:t> </w:t>
            </w:r>
          </w:p>
        </w:tc>
        <w:tc>
          <w:tcPr>
            <w:tcW w:w="1277"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5" w:lineRule="exact" w:before="146"/>
              <w:ind w:left="93" w:right="0"/>
              <w:jc w:val="left"/>
              <w:rPr>
                <w:rFonts w:ascii="宋体" w:hAnsi="宋体" w:cs="宋体" w:eastAsia="宋体" w:hint="default"/>
                <w:sz w:val="18"/>
                <w:szCs w:val="18"/>
              </w:rPr>
            </w:pPr>
            <w:r>
              <w:rPr>
                <w:rFonts w:ascii="宋体" w:hAnsi="宋体" w:cs="宋体" w:eastAsia="宋体" w:hint="default"/>
                <w:sz w:val="18"/>
                <w:szCs w:val="18"/>
              </w:rPr>
              <w:t>实际发生日期</w:t>
            </w: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协议签署日</w:t>
            </w:r>
            <w:r>
              <w:rPr>
                <w:rFonts w:ascii="宋体" w:hAnsi="宋体" w:cs="宋体" w:eastAsia="宋体" w:hint="default"/>
                <w:sz w:val="18"/>
                <w:szCs w:val="18"/>
              </w:rPr>
              <w:t>) </w:t>
            </w:r>
          </w:p>
        </w:tc>
        <w:tc>
          <w:tcPr>
            <w:tcW w:w="992"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60" w:lineRule="auto" w:before="88"/>
              <w:ind w:left="311" w:right="37" w:hanging="180"/>
              <w:jc w:val="left"/>
              <w:rPr>
                <w:rFonts w:ascii="宋体" w:hAnsi="宋体" w:cs="宋体" w:eastAsia="宋体" w:hint="default"/>
                <w:sz w:val="18"/>
                <w:szCs w:val="18"/>
              </w:rPr>
            </w:pPr>
            <w:r>
              <w:rPr>
                <w:rFonts w:ascii="宋体" w:hAnsi="宋体" w:cs="宋体" w:eastAsia="宋体" w:hint="default"/>
                <w:sz w:val="18"/>
                <w:szCs w:val="18"/>
              </w:rPr>
              <w:t>实际担保</w:t>
            </w:r>
            <w:r>
              <w:rPr>
                <w:rFonts w:ascii="宋体" w:hAnsi="宋体" w:cs="宋体" w:eastAsia="宋体" w:hint="default"/>
                <w:sz w:val="18"/>
                <w:szCs w:val="18"/>
              </w:rPr>
              <w:t> </w:t>
            </w:r>
            <w:r>
              <w:rPr>
                <w:rFonts w:ascii="宋体" w:hAnsi="宋体" w:cs="宋体" w:eastAsia="宋体" w:hint="default"/>
                <w:sz w:val="18"/>
                <w:szCs w:val="18"/>
              </w:rPr>
              <w:t>金额</w:t>
            </w:r>
            <w:r>
              <w:rPr>
                <w:rFonts w:ascii="宋体" w:hAnsi="宋体" w:cs="宋体" w:eastAsia="宋体" w:hint="default"/>
                <w:sz w:val="18"/>
                <w:szCs w:val="18"/>
              </w:rPr>
              <w:t> </w:t>
            </w:r>
          </w:p>
        </w:tc>
        <w:tc>
          <w:tcPr>
            <w:tcW w:w="991"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Times New Roman" w:hAnsi="Times New Roman" w:cs="Times New Roman" w:eastAsia="Times New Roman" w:hint="default"/>
                <w:sz w:val="22"/>
                <w:szCs w:val="22"/>
              </w:rPr>
            </w:pPr>
          </w:p>
          <w:p>
            <w:pPr>
              <w:pStyle w:val="TableParagraph"/>
              <w:spacing w:line="240" w:lineRule="auto"/>
              <w:ind w:left="132" w:right="0"/>
              <w:jc w:val="left"/>
              <w:rPr>
                <w:rFonts w:ascii="宋体" w:hAnsi="宋体" w:cs="宋体" w:eastAsia="宋体" w:hint="default"/>
                <w:sz w:val="18"/>
                <w:szCs w:val="18"/>
              </w:rPr>
            </w:pPr>
            <w:r>
              <w:rPr>
                <w:rFonts w:ascii="宋体" w:hAnsi="宋体" w:cs="宋体" w:eastAsia="宋体" w:hint="default"/>
                <w:sz w:val="18"/>
                <w:szCs w:val="18"/>
              </w:rPr>
              <w:t>担保类型</w:t>
            </w:r>
            <w:r>
              <w:rPr>
                <w:rFonts w:ascii="宋体" w:hAnsi="宋体" w:cs="宋体" w:eastAsia="宋体" w:hint="default"/>
                <w:sz w:val="18"/>
                <w:szCs w:val="18"/>
              </w:rPr>
              <w:t> </w:t>
            </w:r>
          </w:p>
        </w:tc>
        <w:tc>
          <w:tcPr>
            <w:tcW w:w="852"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Times New Roman" w:hAnsi="Times New Roman" w:cs="Times New Roman" w:eastAsia="Times New Roman" w:hint="default"/>
                <w:sz w:val="22"/>
                <w:szCs w:val="22"/>
              </w:rPr>
            </w:pPr>
          </w:p>
          <w:p>
            <w:pPr>
              <w:pStyle w:val="TableParagraph"/>
              <w:spacing w:line="240" w:lineRule="auto"/>
              <w:ind w:left="151" w:right="0"/>
              <w:jc w:val="left"/>
              <w:rPr>
                <w:rFonts w:ascii="宋体" w:hAnsi="宋体" w:cs="宋体" w:eastAsia="宋体" w:hint="default"/>
                <w:sz w:val="18"/>
                <w:szCs w:val="18"/>
              </w:rPr>
            </w:pPr>
            <w:r>
              <w:rPr>
                <w:rFonts w:ascii="宋体" w:hAnsi="宋体" w:cs="宋体" w:eastAsia="宋体" w:hint="default"/>
                <w:sz w:val="18"/>
                <w:szCs w:val="18"/>
              </w:rPr>
              <w:t>担保期</w:t>
            </w:r>
            <w:r>
              <w:rPr>
                <w:rFonts w:ascii="宋体" w:hAnsi="宋体" w:cs="宋体" w:eastAsia="宋体" w:hint="default"/>
                <w:sz w:val="18"/>
                <w:szCs w:val="18"/>
              </w:rPr>
              <w:t> </w:t>
            </w:r>
          </w:p>
        </w:tc>
        <w:tc>
          <w:tcPr>
            <w:tcW w:w="850"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6"/>
              <w:ind w:left="239" w:right="58" w:hanging="180"/>
              <w:jc w:val="left"/>
              <w:rPr>
                <w:rFonts w:ascii="宋体" w:hAnsi="宋体" w:cs="宋体" w:eastAsia="宋体" w:hint="default"/>
                <w:sz w:val="18"/>
                <w:szCs w:val="18"/>
              </w:rPr>
            </w:pPr>
            <w:r>
              <w:rPr>
                <w:rFonts w:ascii="宋体" w:hAnsi="宋体" w:cs="宋体" w:eastAsia="宋体" w:hint="default"/>
                <w:sz w:val="18"/>
                <w:szCs w:val="18"/>
              </w:rPr>
              <w:t>是否履行 完毕</w:t>
            </w:r>
            <w:r>
              <w:rPr>
                <w:rFonts w:ascii="宋体" w:hAnsi="宋体" w:cs="宋体" w:eastAsia="宋体" w:hint="default"/>
                <w:sz w:val="18"/>
                <w:szCs w:val="18"/>
              </w:rPr>
              <w:t> </w:t>
            </w:r>
          </w:p>
        </w:tc>
        <w:tc>
          <w:tcPr>
            <w:tcW w:w="9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6" w:lineRule="auto" w:before="129"/>
              <w:ind w:left="132" w:right="37"/>
              <w:jc w:val="left"/>
              <w:rPr>
                <w:rFonts w:ascii="宋体" w:hAnsi="宋体" w:cs="宋体" w:eastAsia="宋体" w:hint="default"/>
                <w:sz w:val="18"/>
                <w:szCs w:val="18"/>
              </w:rPr>
            </w:pPr>
            <w:r>
              <w:rPr>
                <w:rFonts w:ascii="宋体" w:hAnsi="宋体" w:cs="宋体" w:eastAsia="宋体" w:hint="default"/>
                <w:sz w:val="18"/>
                <w:szCs w:val="18"/>
              </w:rPr>
              <w:t>是否为关</w:t>
            </w:r>
            <w:r>
              <w:rPr>
                <w:rFonts w:ascii="宋体" w:hAnsi="宋体" w:cs="宋体" w:eastAsia="宋体" w:hint="default"/>
                <w:sz w:val="18"/>
                <w:szCs w:val="18"/>
              </w:rPr>
              <w:t> </w:t>
            </w:r>
            <w:r>
              <w:rPr>
                <w:rFonts w:ascii="宋体" w:hAnsi="宋体" w:cs="宋体" w:eastAsia="宋体" w:hint="default"/>
                <w:sz w:val="18"/>
                <w:szCs w:val="18"/>
              </w:rPr>
              <w:t>联方担保</w:t>
            </w:r>
            <w:r>
              <w:rPr>
                <w:rFonts w:ascii="宋体" w:hAnsi="宋体" w:cs="宋体" w:eastAsia="宋体" w:hint="default"/>
                <w:sz w:val="18"/>
                <w:szCs w:val="18"/>
              </w:rPr>
              <w:t> </w:t>
            </w:r>
          </w:p>
        </w:tc>
      </w:tr>
      <w:tr>
        <w:trPr>
          <w:trHeight w:val="382" w:hRule="exact"/>
        </w:trPr>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宋体" w:hAnsi="宋体" w:cs="宋体" w:eastAsia="宋体" w:hint="default"/>
                <w:sz w:val="18"/>
                <w:szCs w:val="18"/>
              </w:rPr>
            </w:pPr>
            <w:r>
              <w:rPr>
                <w:rFonts w:ascii="宋体"/>
                <w:sz w:val="18"/>
              </w:rPr>
              <w:t>---</w:t>
            </w:r>
          </w:p>
        </w:tc>
        <w:tc>
          <w:tcPr>
            <w:tcW w:w="12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sz w:val="18"/>
              </w:rPr>
              <w:t>---</w:t>
            </w:r>
          </w:p>
        </w:tc>
        <w:tc>
          <w:tcPr>
            <w:tcW w:w="113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宋体" w:hAnsi="宋体" w:cs="宋体" w:eastAsia="宋体" w:hint="default"/>
                <w:sz w:val="18"/>
                <w:szCs w:val="18"/>
              </w:rPr>
            </w:pPr>
            <w:r>
              <w:rPr>
                <w:rFonts w:ascii="宋体"/>
                <w:sz w:val="18"/>
              </w:rPr>
              <w:t>---</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宋体" w:hAnsi="宋体" w:cs="宋体" w:eastAsia="宋体" w:hint="default"/>
                <w:sz w:val="18"/>
                <w:szCs w:val="18"/>
              </w:rPr>
            </w:pPr>
            <w:r>
              <w:rPr>
                <w:rFonts w:ascii="宋体"/>
                <w:sz w:val="18"/>
              </w:rPr>
              <w:t>---</w:t>
            </w:r>
          </w:p>
        </w:tc>
        <w:tc>
          <w:tcPr>
            <w:tcW w:w="99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sz w:val="18"/>
              </w:rPr>
              <w:t>---</w:t>
            </w:r>
          </w:p>
        </w:tc>
        <w:tc>
          <w:tcPr>
            <w:tcW w:w="99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sz w:val="18"/>
              </w:rPr>
              <w:t>---</w:t>
            </w:r>
          </w:p>
        </w:tc>
        <w:tc>
          <w:tcPr>
            <w:tcW w:w="85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47" w:right="0"/>
              <w:jc w:val="left"/>
              <w:rPr>
                <w:rFonts w:ascii="宋体" w:hAnsi="宋体" w:cs="宋体" w:eastAsia="宋体" w:hint="default"/>
                <w:sz w:val="18"/>
                <w:szCs w:val="18"/>
              </w:rPr>
            </w:pPr>
            <w:r>
              <w:rPr>
                <w:rFonts w:ascii="宋体"/>
                <w:sz w:val="18"/>
              </w:rPr>
              <w:t>---</w:t>
            </w:r>
          </w:p>
        </w:tc>
        <w:tc>
          <w:tcPr>
            <w:tcW w:w="8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47" w:right="0"/>
              <w:jc w:val="left"/>
              <w:rPr>
                <w:rFonts w:ascii="宋体" w:hAnsi="宋体" w:cs="宋体" w:eastAsia="宋体" w:hint="default"/>
                <w:sz w:val="18"/>
                <w:szCs w:val="18"/>
              </w:rPr>
            </w:pPr>
            <w:r>
              <w:rPr>
                <w:rFonts w:ascii="宋体"/>
                <w:sz w:val="18"/>
              </w:rPr>
              <w:t>---</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sz w:val="18"/>
              </w:rPr>
              <w:t>---</w:t>
            </w:r>
          </w:p>
        </w:tc>
      </w:tr>
      <w:tr>
        <w:trPr>
          <w:trHeight w:val="382" w:hRule="exact"/>
        </w:trPr>
        <w:tc>
          <w:tcPr>
            <w:tcW w:w="3687" w:type="dxa"/>
            <w:gridSpan w:val="5"/>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报告期内审批对子公司担保额度合计</w:t>
            </w:r>
            <w:r>
              <w:rPr>
                <w:rFonts w:ascii="宋体" w:hAnsi="宋体" w:cs="宋体" w:eastAsia="宋体" w:hint="default"/>
                <w:sz w:val="18"/>
                <w:szCs w:val="18"/>
              </w:rPr>
              <w:t>(C1) </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0.00</w:t>
            </w:r>
          </w:p>
        </w:tc>
        <w:tc>
          <w:tcPr>
            <w:tcW w:w="3685" w:type="dxa"/>
            <w:gridSpan w:val="8"/>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报告期内对子公司担保实际发生额合计</w:t>
            </w:r>
            <w:r>
              <w:rPr>
                <w:rFonts w:ascii="宋体" w:hAnsi="宋体" w:cs="宋体" w:eastAsia="宋体" w:hint="default"/>
                <w:sz w:val="18"/>
                <w:szCs w:val="18"/>
              </w:rPr>
              <w:t>(C2) </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z w:val="18"/>
              </w:rPr>
              <w:t>0.00</w:t>
            </w:r>
          </w:p>
        </w:tc>
      </w:tr>
      <w:tr>
        <w:trPr>
          <w:trHeight w:val="386" w:hRule="exact"/>
        </w:trPr>
        <w:tc>
          <w:tcPr>
            <w:tcW w:w="3687" w:type="dxa"/>
            <w:gridSpan w:val="5"/>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4" w:right="-38"/>
              <w:jc w:val="left"/>
              <w:rPr>
                <w:rFonts w:ascii="宋体" w:hAnsi="宋体" w:cs="宋体" w:eastAsia="宋体" w:hint="default"/>
                <w:sz w:val="18"/>
                <w:szCs w:val="18"/>
              </w:rPr>
            </w:pPr>
            <w:r>
              <w:rPr>
                <w:rFonts w:ascii="宋体" w:hAnsi="宋体" w:cs="宋体" w:eastAsia="宋体" w:hint="default"/>
                <w:sz w:val="18"/>
                <w:szCs w:val="18"/>
              </w:rPr>
              <w:t>报告期末已审批的对子公司担保额度合计</w:t>
            </w:r>
            <w:r>
              <w:rPr>
                <w:rFonts w:ascii="宋体" w:hAnsi="宋体" w:cs="宋体" w:eastAsia="宋体" w:hint="default"/>
                <w:sz w:val="18"/>
                <w:szCs w:val="18"/>
              </w:rPr>
              <w:t>(C3) </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0.00</w:t>
            </w:r>
          </w:p>
        </w:tc>
        <w:tc>
          <w:tcPr>
            <w:tcW w:w="3685" w:type="dxa"/>
            <w:gridSpan w:val="8"/>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报告期末对子公司实际担保余额合计</w:t>
            </w:r>
            <w:r>
              <w:rPr>
                <w:rFonts w:ascii="宋体" w:hAnsi="宋体" w:cs="宋体" w:eastAsia="宋体" w:hint="default"/>
                <w:sz w:val="18"/>
                <w:szCs w:val="18"/>
              </w:rPr>
              <w:t>(C4) </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z w:val="18"/>
              </w:rPr>
              <w:t>0.00</w:t>
            </w:r>
          </w:p>
        </w:tc>
      </w:tr>
      <w:tr>
        <w:trPr>
          <w:trHeight w:val="378" w:hRule="exact"/>
        </w:trPr>
        <w:tc>
          <w:tcPr>
            <w:tcW w:w="9640" w:type="dxa"/>
            <w:gridSpan w:val="16"/>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46"/>
              <w:ind w:left="90" w:right="0"/>
              <w:jc w:val="center"/>
              <w:rPr>
                <w:rFonts w:ascii="宋体" w:hAnsi="宋体" w:cs="宋体" w:eastAsia="宋体" w:hint="default"/>
                <w:sz w:val="18"/>
                <w:szCs w:val="18"/>
              </w:rPr>
            </w:pPr>
            <w:r>
              <w:rPr>
                <w:rFonts w:ascii="宋体" w:hAnsi="宋体" w:cs="宋体" w:eastAsia="宋体" w:hint="default"/>
                <w:sz w:val="18"/>
                <w:szCs w:val="18"/>
              </w:rPr>
              <w:t>公司担保总额</w:t>
            </w:r>
            <w:r>
              <w:rPr>
                <w:rFonts w:ascii="宋体" w:hAnsi="宋体" w:cs="宋体" w:eastAsia="宋体" w:hint="default"/>
                <w:sz w:val="18"/>
                <w:szCs w:val="18"/>
              </w:rPr>
              <w:t>(</w:t>
            </w:r>
            <w:r>
              <w:rPr>
                <w:rFonts w:ascii="宋体" w:hAnsi="宋体" w:cs="宋体" w:eastAsia="宋体" w:hint="default"/>
                <w:sz w:val="18"/>
                <w:szCs w:val="18"/>
              </w:rPr>
              <w:t>即前三大项的合计</w:t>
            </w:r>
            <w:r>
              <w:rPr>
                <w:rFonts w:ascii="宋体" w:hAnsi="宋体" w:cs="宋体" w:eastAsia="宋体" w:hint="default"/>
                <w:sz w:val="18"/>
                <w:szCs w:val="18"/>
              </w:rPr>
              <w:t>) </w:t>
            </w:r>
          </w:p>
        </w:tc>
      </w:tr>
      <w:tr>
        <w:trPr>
          <w:trHeight w:val="389" w:hRule="exact"/>
        </w:trPr>
        <w:tc>
          <w:tcPr>
            <w:tcW w:w="3687" w:type="dxa"/>
            <w:gridSpan w:val="5"/>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z w:val="18"/>
                <w:szCs w:val="18"/>
              </w:rPr>
              <w:t>报告期内审批担保额度合计</w:t>
            </w:r>
            <w:r>
              <w:rPr>
                <w:rFonts w:ascii="宋体" w:hAnsi="宋体" w:cs="宋体" w:eastAsia="宋体" w:hint="default"/>
                <w:sz w:val="18"/>
                <w:szCs w:val="18"/>
              </w:rPr>
              <w:t>(A1+B1+C1) </w:t>
            </w:r>
          </w:p>
        </w:tc>
        <w:tc>
          <w:tcPr>
            <w:tcW w:w="127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703" w:right="0"/>
              <w:jc w:val="left"/>
              <w:rPr>
                <w:rFonts w:ascii="宋体" w:hAnsi="宋体" w:cs="宋体" w:eastAsia="宋体" w:hint="default"/>
                <w:sz w:val="18"/>
                <w:szCs w:val="18"/>
              </w:rPr>
            </w:pPr>
            <w:r>
              <w:rPr>
                <w:rFonts w:ascii="宋体"/>
                <w:sz w:val="18"/>
              </w:rPr>
              <w:t>57,000</w:t>
            </w:r>
          </w:p>
        </w:tc>
        <w:tc>
          <w:tcPr>
            <w:tcW w:w="3685" w:type="dxa"/>
            <w:gridSpan w:val="8"/>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报告期内担保实际发生额合计</w:t>
            </w:r>
            <w:r>
              <w:rPr>
                <w:rFonts w:ascii="宋体" w:hAnsi="宋体" w:cs="宋体" w:eastAsia="宋体" w:hint="default"/>
                <w:sz w:val="18"/>
                <w:szCs w:val="18"/>
              </w:rPr>
              <w:t>(A2+B2+C2) </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8"/>
              <w:jc w:val="right"/>
              <w:rPr>
                <w:rFonts w:ascii="宋体" w:hAnsi="宋体" w:cs="宋体" w:eastAsia="宋体" w:hint="default"/>
                <w:sz w:val="18"/>
                <w:szCs w:val="18"/>
              </w:rPr>
            </w:pPr>
            <w:r>
              <w:rPr>
                <w:rFonts w:ascii="宋体"/>
                <w:spacing w:val="-1"/>
                <w:sz w:val="18"/>
              </w:rPr>
              <w:t>82,469.25</w:t>
            </w:r>
          </w:p>
        </w:tc>
      </w:tr>
      <w:tr>
        <w:trPr>
          <w:trHeight w:val="402" w:hRule="exact"/>
        </w:trPr>
        <w:tc>
          <w:tcPr>
            <w:tcW w:w="3687" w:type="dxa"/>
            <w:gridSpan w:val="5"/>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7"/>
              <w:ind w:left="24" w:right="0"/>
              <w:jc w:val="left"/>
              <w:rPr>
                <w:rFonts w:ascii="宋体" w:hAnsi="宋体" w:cs="宋体" w:eastAsia="宋体" w:hint="default"/>
                <w:sz w:val="18"/>
                <w:szCs w:val="18"/>
              </w:rPr>
            </w:pPr>
            <w:r>
              <w:rPr>
                <w:rFonts w:ascii="宋体" w:hAnsi="宋体" w:cs="宋体" w:eastAsia="宋体" w:hint="default"/>
                <w:sz w:val="18"/>
                <w:szCs w:val="18"/>
              </w:rPr>
              <w:t>报告期末已审批的担保额度合计</w:t>
            </w:r>
            <w:r>
              <w:rPr>
                <w:rFonts w:ascii="宋体" w:hAnsi="宋体" w:cs="宋体" w:eastAsia="宋体" w:hint="default"/>
                <w:sz w:val="18"/>
                <w:szCs w:val="18"/>
              </w:rPr>
              <w:t>(A3+B3+C3) </w:t>
            </w:r>
          </w:p>
        </w:tc>
        <w:tc>
          <w:tcPr>
            <w:tcW w:w="1277" w:type="dxa"/>
            <w:gridSpan w:val="2"/>
            <w:tcBorders>
              <w:top w:val="single" w:sz="4" w:space="0" w:color="000000"/>
              <w:left w:val="single" w:sz="4" w:space="0" w:color="000000"/>
              <w:bottom w:val="single" w:sz="12" w:space="0" w:color="D9D9D9"/>
              <w:right w:val="single" w:sz="4" w:space="0" w:color="000000"/>
            </w:tcBorders>
          </w:tcPr>
          <w:p>
            <w:pPr>
              <w:pStyle w:val="TableParagraph"/>
              <w:spacing w:line="240" w:lineRule="auto" w:before="57"/>
              <w:ind w:left="612" w:right="0"/>
              <w:jc w:val="left"/>
              <w:rPr>
                <w:rFonts w:ascii="宋体" w:hAnsi="宋体" w:cs="宋体" w:eastAsia="宋体" w:hint="default"/>
                <w:sz w:val="18"/>
                <w:szCs w:val="18"/>
              </w:rPr>
            </w:pPr>
            <w:r>
              <w:rPr>
                <w:rFonts w:ascii="宋体"/>
                <w:sz w:val="18"/>
              </w:rPr>
              <w:t>111,000</w:t>
            </w:r>
          </w:p>
        </w:tc>
        <w:tc>
          <w:tcPr>
            <w:tcW w:w="3685" w:type="dxa"/>
            <w:gridSpan w:val="8"/>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7"/>
              <w:ind w:left="23" w:right="0"/>
              <w:jc w:val="left"/>
              <w:rPr>
                <w:rFonts w:ascii="宋体" w:hAnsi="宋体" w:cs="宋体" w:eastAsia="宋体" w:hint="default"/>
                <w:sz w:val="18"/>
                <w:szCs w:val="18"/>
              </w:rPr>
            </w:pPr>
            <w:r>
              <w:rPr>
                <w:rFonts w:ascii="宋体" w:hAnsi="宋体" w:cs="宋体" w:eastAsia="宋体" w:hint="default"/>
                <w:sz w:val="18"/>
                <w:szCs w:val="18"/>
              </w:rPr>
              <w:t>报告期末实际担保余额合计</w:t>
            </w:r>
            <w:r>
              <w:rPr>
                <w:rFonts w:ascii="宋体" w:hAnsi="宋体" w:cs="宋体" w:eastAsia="宋体" w:hint="default"/>
                <w:sz w:val="18"/>
                <w:szCs w:val="18"/>
              </w:rPr>
              <w:t>(A4+B4+C4) </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7"/>
              <w:jc w:val="right"/>
              <w:rPr>
                <w:rFonts w:ascii="宋体" w:hAnsi="宋体" w:cs="宋体" w:eastAsia="宋体" w:hint="default"/>
                <w:sz w:val="18"/>
                <w:szCs w:val="18"/>
              </w:rPr>
            </w:pPr>
            <w:r>
              <w:rPr>
                <w:rFonts w:ascii="宋体"/>
                <w:sz w:val="18"/>
              </w:rPr>
              <w:t>32,849.13</w:t>
            </w:r>
          </w:p>
        </w:tc>
      </w:tr>
      <w:tr>
        <w:trPr>
          <w:trHeight w:val="406" w:hRule="exact"/>
        </w:trPr>
        <w:tc>
          <w:tcPr>
            <w:tcW w:w="4964" w:type="dxa"/>
            <w:gridSpan w:val="7"/>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5"/>
              <w:ind w:left="24" w:right="0"/>
              <w:jc w:val="left"/>
              <w:rPr>
                <w:rFonts w:ascii="宋体" w:hAnsi="宋体" w:cs="宋体" w:eastAsia="宋体" w:hint="default"/>
                <w:sz w:val="18"/>
                <w:szCs w:val="18"/>
              </w:rPr>
            </w:pPr>
            <w:r>
              <w:rPr>
                <w:rFonts w:ascii="宋体" w:hAnsi="宋体" w:cs="宋体" w:eastAsia="宋体" w:hint="default"/>
                <w:sz w:val="18"/>
                <w:szCs w:val="18"/>
              </w:rPr>
              <w:t>实际担保总额</w:t>
            </w:r>
            <w:r>
              <w:rPr>
                <w:rFonts w:ascii="宋体" w:hAnsi="宋体" w:cs="宋体" w:eastAsia="宋体" w:hint="default"/>
                <w:sz w:val="18"/>
                <w:szCs w:val="18"/>
              </w:rPr>
              <w:t>(</w:t>
            </w:r>
            <w:r>
              <w:rPr>
                <w:rFonts w:ascii="宋体" w:hAnsi="宋体" w:cs="宋体" w:eastAsia="宋体" w:hint="default"/>
                <w:sz w:val="18"/>
                <w:szCs w:val="18"/>
              </w:rPr>
              <w:t>即</w:t>
            </w:r>
            <w:r>
              <w:rPr>
                <w:rFonts w:ascii="宋体" w:hAnsi="宋体" w:cs="宋体" w:eastAsia="宋体" w:hint="default"/>
                <w:spacing w:val="-49"/>
                <w:sz w:val="18"/>
                <w:szCs w:val="18"/>
              </w:rPr>
              <w:t> </w:t>
            </w:r>
            <w:r>
              <w:rPr>
                <w:rFonts w:ascii="宋体" w:hAnsi="宋体" w:cs="宋体" w:eastAsia="宋体" w:hint="default"/>
                <w:sz w:val="18"/>
                <w:szCs w:val="18"/>
              </w:rPr>
              <w:t>A4+B4+C4)</w:t>
            </w:r>
            <w:r>
              <w:rPr>
                <w:rFonts w:ascii="宋体" w:hAnsi="宋体" w:cs="宋体" w:eastAsia="宋体" w:hint="default"/>
                <w:sz w:val="18"/>
                <w:szCs w:val="18"/>
              </w:rPr>
              <w:t>占公司净资产的比例</w:t>
            </w:r>
            <w:r>
              <w:rPr>
                <w:rFonts w:ascii="宋体" w:hAnsi="宋体" w:cs="宋体" w:eastAsia="宋体" w:hint="default"/>
                <w:sz w:val="18"/>
                <w:szCs w:val="18"/>
              </w:rPr>
              <w:t>(%) </w:t>
            </w:r>
          </w:p>
        </w:tc>
        <w:tc>
          <w:tcPr>
            <w:tcW w:w="4676" w:type="dxa"/>
            <w:gridSpan w:val="9"/>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18"/>
              <w:jc w:val="right"/>
              <w:rPr>
                <w:rFonts w:ascii="宋体" w:hAnsi="宋体" w:cs="宋体" w:eastAsia="宋体" w:hint="default"/>
                <w:sz w:val="18"/>
                <w:szCs w:val="18"/>
              </w:rPr>
            </w:pPr>
            <w:r>
              <w:rPr>
                <w:rFonts w:ascii="宋体"/>
                <w:sz w:val="18"/>
              </w:rPr>
              <w:t>14.14</w:t>
            </w:r>
          </w:p>
        </w:tc>
      </w:tr>
      <w:tr>
        <w:trPr>
          <w:trHeight w:val="392" w:hRule="exact"/>
        </w:trPr>
        <w:tc>
          <w:tcPr>
            <w:tcW w:w="9640" w:type="dxa"/>
            <w:gridSpan w:val="16"/>
            <w:tcBorders>
              <w:top w:val="single" w:sz="8" w:space="0" w:color="D9D9D9"/>
              <w:left w:val="single" w:sz="4" w:space="0" w:color="000000"/>
              <w:bottom w:val="single" w:sz="4" w:space="0" w:color="000000"/>
              <w:right w:val="single" w:sz="4" w:space="0" w:color="000000"/>
            </w:tcBorders>
          </w:tcPr>
          <w:p>
            <w:pPr>
              <w:pStyle w:val="TableParagraph"/>
              <w:spacing w:line="240" w:lineRule="auto" w:before="56"/>
              <w:ind w:left="24" w:right="0"/>
              <w:jc w:val="left"/>
              <w:rPr>
                <w:rFonts w:ascii="宋体" w:hAnsi="宋体" w:cs="宋体" w:eastAsia="宋体" w:hint="default"/>
                <w:sz w:val="18"/>
                <w:szCs w:val="18"/>
              </w:rPr>
            </w:pPr>
            <w:r>
              <w:rPr>
                <w:rFonts w:ascii="宋体" w:hAnsi="宋体" w:cs="宋体" w:eastAsia="宋体" w:hint="default"/>
                <w:sz w:val="18"/>
                <w:szCs w:val="18"/>
              </w:rPr>
              <w:t>其中：</w:t>
            </w:r>
            <w:r>
              <w:rPr>
                <w:rFonts w:ascii="宋体" w:hAnsi="宋体" w:cs="宋体" w:eastAsia="宋体" w:hint="default"/>
                <w:sz w:val="18"/>
                <w:szCs w:val="18"/>
              </w:rPr>
              <w:t> </w:t>
            </w:r>
          </w:p>
        </w:tc>
      </w:tr>
      <w:tr>
        <w:trPr>
          <w:trHeight w:val="382" w:hRule="exact"/>
        </w:trPr>
        <w:tc>
          <w:tcPr>
            <w:tcW w:w="5956" w:type="dxa"/>
            <w:gridSpan w:val="9"/>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为股东、实际控制人及其关联方提供担保的金额</w:t>
            </w:r>
            <w:r>
              <w:rPr>
                <w:rFonts w:ascii="宋体" w:hAnsi="宋体" w:cs="宋体" w:eastAsia="宋体" w:hint="default"/>
                <w:sz w:val="18"/>
                <w:szCs w:val="18"/>
              </w:rPr>
              <w:t>(D) </w:t>
            </w:r>
          </w:p>
        </w:tc>
        <w:tc>
          <w:tcPr>
            <w:tcW w:w="3685"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z w:val="18"/>
              </w:rPr>
              <w:t>0.00</w:t>
            </w:r>
          </w:p>
        </w:tc>
      </w:tr>
      <w:tr>
        <w:trPr>
          <w:trHeight w:val="383" w:hRule="exact"/>
        </w:trPr>
        <w:tc>
          <w:tcPr>
            <w:tcW w:w="5956" w:type="dxa"/>
            <w:gridSpan w:val="9"/>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直接或间接为资产负债率超过</w:t>
            </w:r>
            <w:r>
              <w:rPr>
                <w:rFonts w:ascii="宋体" w:hAnsi="宋体" w:cs="宋体" w:eastAsia="宋体" w:hint="default"/>
                <w:spacing w:val="-44"/>
                <w:sz w:val="18"/>
                <w:szCs w:val="18"/>
              </w:rPr>
              <w:t> </w:t>
            </w:r>
            <w:r>
              <w:rPr>
                <w:rFonts w:ascii="宋体" w:hAnsi="宋体" w:cs="宋体" w:eastAsia="宋体" w:hint="default"/>
                <w:sz w:val="18"/>
                <w:szCs w:val="18"/>
              </w:rPr>
              <w:t>70%</w:t>
            </w:r>
            <w:r>
              <w:rPr>
                <w:rFonts w:ascii="宋体" w:hAnsi="宋体" w:cs="宋体" w:eastAsia="宋体" w:hint="default"/>
                <w:sz w:val="18"/>
                <w:szCs w:val="18"/>
              </w:rPr>
              <w:t>的被担保对象提供的债务担保金额</w:t>
            </w:r>
            <w:r>
              <w:rPr>
                <w:rFonts w:ascii="宋体" w:hAnsi="宋体" w:cs="宋体" w:eastAsia="宋体" w:hint="default"/>
                <w:sz w:val="18"/>
                <w:szCs w:val="18"/>
              </w:rPr>
              <w:t>(E) </w:t>
            </w:r>
          </w:p>
        </w:tc>
        <w:tc>
          <w:tcPr>
            <w:tcW w:w="3685"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z w:val="18"/>
              </w:rPr>
              <w:t>0.00</w:t>
            </w:r>
          </w:p>
        </w:tc>
      </w:tr>
      <w:tr>
        <w:trPr>
          <w:trHeight w:val="383" w:hRule="exact"/>
        </w:trPr>
        <w:tc>
          <w:tcPr>
            <w:tcW w:w="5956" w:type="dxa"/>
            <w:gridSpan w:val="9"/>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z w:val="18"/>
                <w:szCs w:val="18"/>
              </w:rPr>
              <w:t>担保总额超过净资产</w:t>
            </w:r>
            <w:r>
              <w:rPr>
                <w:rFonts w:ascii="宋体" w:hAnsi="宋体" w:cs="宋体" w:eastAsia="宋体" w:hint="default"/>
                <w:spacing w:val="-47"/>
                <w:sz w:val="18"/>
                <w:szCs w:val="18"/>
              </w:rPr>
              <w:t> </w:t>
            </w:r>
            <w:r>
              <w:rPr>
                <w:rFonts w:ascii="宋体" w:hAnsi="宋体" w:cs="宋体" w:eastAsia="宋体" w:hint="default"/>
                <w:sz w:val="18"/>
                <w:szCs w:val="18"/>
              </w:rPr>
              <w:t>50%</w:t>
            </w:r>
            <w:r>
              <w:rPr>
                <w:rFonts w:ascii="宋体" w:hAnsi="宋体" w:cs="宋体" w:eastAsia="宋体" w:hint="default"/>
                <w:sz w:val="18"/>
                <w:szCs w:val="18"/>
              </w:rPr>
              <w:t>部分的金额</w:t>
            </w:r>
            <w:r>
              <w:rPr>
                <w:rFonts w:ascii="宋体" w:hAnsi="宋体" w:cs="宋体" w:eastAsia="宋体" w:hint="default"/>
                <w:sz w:val="18"/>
                <w:szCs w:val="18"/>
              </w:rPr>
              <w:t>(F) </w:t>
            </w:r>
          </w:p>
        </w:tc>
        <w:tc>
          <w:tcPr>
            <w:tcW w:w="3685"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8"/>
              <w:jc w:val="right"/>
              <w:rPr>
                <w:rFonts w:ascii="宋体" w:hAnsi="宋体" w:cs="宋体" w:eastAsia="宋体" w:hint="default"/>
                <w:sz w:val="18"/>
                <w:szCs w:val="18"/>
              </w:rPr>
            </w:pPr>
            <w:r>
              <w:rPr>
                <w:rFonts w:ascii="宋体"/>
                <w:sz w:val="18"/>
              </w:rPr>
              <w:t>0.00</w:t>
            </w:r>
          </w:p>
        </w:tc>
      </w:tr>
      <w:tr>
        <w:trPr>
          <w:trHeight w:val="382" w:hRule="exact"/>
        </w:trPr>
        <w:tc>
          <w:tcPr>
            <w:tcW w:w="5956" w:type="dxa"/>
            <w:gridSpan w:val="9"/>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上述三项担保金额合计</w:t>
            </w:r>
            <w:r>
              <w:rPr>
                <w:rFonts w:ascii="宋体" w:hAnsi="宋体" w:cs="宋体" w:eastAsia="宋体" w:hint="default"/>
                <w:sz w:val="18"/>
                <w:szCs w:val="18"/>
              </w:rPr>
              <w:t>(D+E+F) </w:t>
            </w:r>
          </w:p>
        </w:tc>
        <w:tc>
          <w:tcPr>
            <w:tcW w:w="3685"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z w:val="18"/>
              </w:rPr>
              <w:t>0.00</w:t>
            </w:r>
          </w:p>
        </w:tc>
      </w:tr>
    </w:tbl>
    <w:p>
      <w:pPr>
        <w:spacing w:after="0" w:line="240" w:lineRule="auto"/>
        <w:jc w:val="right"/>
        <w:rPr>
          <w:rFonts w:ascii="宋体" w:hAnsi="宋体" w:cs="宋体" w:eastAsia="宋体" w:hint="default"/>
          <w:sz w:val="18"/>
          <w:szCs w:val="18"/>
        </w:rPr>
        <w:sectPr>
          <w:pgSz w:w="11910" w:h="16840"/>
          <w:pgMar w:header="880" w:footer="975" w:top="1100" w:bottom="1160" w:left="980" w:right="0"/>
        </w:sectPr>
      </w:pPr>
    </w:p>
    <w:p>
      <w:pPr>
        <w:spacing w:line="240" w:lineRule="auto" w:before="8"/>
        <w:rPr>
          <w:rFonts w:ascii="Times New Roman" w:hAnsi="Times New Roman" w:cs="Times New Roman" w:eastAsia="Times New Roman" w:hint="default"/>
          <w:sz w:val="23"/>
          <w:szCs w:val="23"/>
        </w:rPr>
      </w:pPr>
    </w:p>
    <w:p>
      <w:pPr>
        <w:pStyle w:val="Heading3"/>
        <w:spacing w:line="240" w:lineRule="auto"/>
        <w:ind w:left="470" w:right="1133"/>
        <w:jc w:val="left"/>
        <w:rPr>
          <w:b w:val="0"/>
          <w:bCs w:val="0"/>
        </w:rPr>
      </w:pPr>
      <w:r>
        <w:rPr/>
        <w:t>（二）违规对外担保情况</w:t>
      </w:r>
      <w:r>
        <w:rPr>
          <w:b w:val="0"/>
          <w:bCs w:val="0"/>
        </w:rPr>
      </w:r>
    </w:p>
    <w:p>
      <w:pPr>
        <w:pStyle w:val="BodyText"/>
        <w:spacing w:line="240" w:lineRule="auto" w:before="157"/>
        <w:ind w:right="1133"/>
        <w:jc w:val="left"/>
        <w:rPr>
          <w:rFonts w:ascii="宋体" w:hAnsi="宋体" w:cs="宋体" w:eastAsia="宋体" w:hint="default"/>
        </w:rPr>
      </w:pPr>
      <w:r>
        <w:rPr>
          <w:rFonts w:ascii="宋体" w:hAnsi="宋体" w:cs="宋体" w:eastAsia="宋体" w:hint="default"/>
          <w:w w:val="100"/>
        </w:rPr>
        <w:t>    </w:t>
      </w:r>
      <w:r>
        <w:rPr>
          <w:spacing w:val="-3"/>
        </w:rPr>
        <w:t>□ </w:t>
      </w:r>
      <w:r>
        <w:rPr/>
        <w:t>适用 </w:t>
      </w:r>
      <w:r>
        <w:rPr>
          <w:rFonts w:ascii="宋体" w:hAnsi="宋体" w:cs="宋体" w:eastAsia="宋体" w:hint="default"/>
        </w:rPr>
      </w:r>
      <w:r>
        <w:rPr>
          <w:spacing w:val="-3"/>
        </w:rPr>
        <w:t>√</w:t>
      </w:r>
      <w:r>
        <w:rPr>
          <w:spacing w:val="3"/>
        </w:rPr>
        <w:t> </w:t>
      </w:r>
      <w:r>
        <w:rPr/>
        <w:t>不适用</w:t>
      </w:r>
      <w:r>
        <w:rPr>
          <w:rFonts w:ascii="宋体" w:hAnsi="宋体" w:cs="宋体" w:eastAsia="宋体" w:hint="default"/>
        </w:rPr>
        <w:t> </w:t>
      </w:r>
    </w:p>
    <w:p>
      <w:pPr>
        <w:pStyle w:val="BodyText"/>
        <w:spacing w:line="240" w:lineRule="auto" w:before="78"/>
        <w:ind w:right="1133"/>
        <w:jc w:val="left"/>
        <w:rPr>
          <w:rFonts w:ascii="宋体" w:hAnsi="宋体" w:cs="宋体" w:eastAsia="宋体" w:hint="default"/>
        </w:rPr>
      </w:pPr>
      <w:r>
        <w:rPr>
          <w:rFonts w:ascii="宋体" w:hAnsi="宋体" w:cs="宋体" w:eastAsia="宋体" w:hint="default"/>
          <w:w w:val="100"/>
        </w:rPr>
        <w:t>    </w:t>
      </w:r>
      <w:r>
        <w:rPr/>
        <w:t>公司报告期无违规对外担保情况。</w:t>
      </w:r>
      <w:r>
        <w:rPr>
          <w:rFonts w:ascii="宋体" w:hAnsi="宋体" w:cs="宋体" w:eastAsia="宋体" w:hint="default"/>
        </w:rPr>
        <w:t> </w:t>
      </w:r>
    </w:p>
    <w:p>
      <w:pPr>
        <w:spacing w:line="240" w:lineRule="auto" w:before="8"/>
        <w:rPr>
          <w:rFonts w:ascii="宋体" w:hAnsi="宋体" w:cs="宋体" w:eastAsia="宋体" w:hint="default"/>
          <w:sz w:val="14"/>
          <w:szCs w:val="14"/>
        </w:rPr>
      </w:pPr>
    </w:p>
    <w:p>
      <w:pPr>
        <w:pStyle w:val="Heading3"/>
        <w:spacing w:line="240" w:lineRule="auto" w:before="0"/>
        <w:ind w:left="575" w:right="1133"/>
        <w:jc w:val="left"/>
        <w:rPr>
          <w:b w:val="0"/>
          <w:bCs w:val="0"/>
        </w:rPr>
      </w:pPr>
      <w:r>
        <w:rPr/>
        <w:t>三、委托他人进行现金资产管理情况</w:t>
      </w:r>
      <w:r>
        <w:rPr>
          <w:b w:val="0"/>
          <w:bCs w:val="0"/>
        </w:rPr>
      </w:r>
    </w:p>
    <w:p>
      <w:pPr>
        <w:spacing w:before="159"/>
        <w:ind w:left="470" w:right="1133" w:firstLine="0"/>
        <w:jc w:val="left"/>
        <w:rPr>
          <w:rFonts w:ascii="宋体" w:hAnsi="宋体" w:cs="宋体" w:eastAsia="宋体" w:hint="default"/>
          <w:sz w:val="21"/>
          <w:szCs w:val="21"/>
        </w:rPr>
      </w:pPr>
      <w:r>
        <w:rPr>
          <w:rFonts w:ascii="宋体" w:hAnsi="宋体" w:cs="宋体" w:eastAsia="宋体" w:hint="default"/>
          <w:b/>
          <w:bCs/>
          <w:sz w:val="21"/>
          <w:szCs w:val="21"/>
        </w:rPr>
        <w:t>（一）委托理财情况</w:t>
      </w:r>
      <w:r>
        <w:rPr>
          <w:rFonts w:ascii="宋体" w:hAnsi="宋体" w:cs="宋体" w:eastAsia="宋体" w:hint="default"/>
          <w:sz w:val="21"/>
          <w:szCs w:val="21"/>
        </w:rPr>
      </w:r>
    </w:p>
    <w:p>
      <w:pPr>
        <w:pStyle w:val="BodyText"/>
        <w:spacing w:line="240" w:lineRule="auto" w:before="75"/>
        <w:ind w:left="573" w:right="1133"/>
        <w:jc w:val="left"/>
        <w:rPr>
          <w:rFonts w:ascii="宋体" w:hAnsi="宋体" w:cs="宋体" w:eastAsia="宋体" w:hint="default"/>
        </w:rPr>
      </w:pPr>
      <w:r>
        <w:rPr/>
        <w:t>√ </w:t>
      </w:r>
      <w:r>
        <w:rPr>
          <w:rFonts w:ascii="宋体" w:hAnsi="宋体" w:cs="宋体" w:eastAsia="宋体" w:hint="default"/>
        </w:rPr>
      </w:r>
      <w:r>
        <w:rPr/>
        <w:t>适用 </w:t>
      </w:r>
      <w:r>
        <w:rPr>
          <w:rFonts w:ascii="宋体" w:hAnsi="宋体" w:cs="宋体" w:eastAsia="宋体" w:hint="default"/>
        </w:rPr>
      </w:r>
      <w:r>
        <w:rPr>
          <w:spacing w:val="-3"/>
        </w:rPr>
        <w:t>□</w:t>
      </w:r>
      <w:r>
        <w:rPr>
          <w:spacing w:val="2"/>
        </w:rPr>
        <w:t> </w:t>
      </w:r>
      <w:r>
        <w:rPr>
          <w:rFonts w:ascii="宋体" w:hAnsi="宋体" w:cs="宋体" w:eastAsia="宋体" w:hint="default"/>
          <w:spacing w:val="2"/>
        </w:rPr>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2"/>
        <w:rPr>
          <w:rFonts w:ascii="宋体" w:hAnsi="宋体" w:cs="宋体" w:eastAsia="宋体" w:hint="default"/>
          <w:sz w:val="21"/>
          <w:szCs w:val="21"/>
        </w:rPr>
      </w:pPr>
    </w:p>
    <w:p>
      <w:pPr>
        <w:pStyle w:val="BodyText"/>
        <w:spacing w:line="240" w:lineRule="auto"/>
        <w:ind w:left="573" w:right="1133"/>
        <w:jc w:val="left"/>
        <w:rPr>
          <w:rFonts w:ascii="宋体" w:hAnsi="宋体" w:cs="宋体" w:eastAsia="宋体" w:hint="default"/>
        </w:rPr>
      </w:pPr>
      <w:r>
        <w:rPr>
          <w:rFonts w:ascii="宋体" w:hAnsi="宋体" w:cs="宋体" w:eastAsia="宋体" w:hint="default"/>
        </w:rPr>
        <w:t>1</w:t>
      </w:r>
      <w:r>
        <w:rPr/>
        <w:t>、报告期内委托理财概况</w:t>
      </w:r>
      <w:r>
        <w:rPr>
          <w:rFonts w:ascii="宋体" w:hAnsi="宋体" w:cs="宋体" w:eastAsia="宋体" w:hint="default"/>
        </w:rPr>
        <w:t>     </w:t>
      </w:r>
      <w:r>
        <w:rPr>
          <w:rFonts w:ascii="宋体" w:hAnsi="宋体" w:cs="宋体" w:eastAsia="宋体" w:hint="default"/>
          <w:spacing w:val="-3"/>
        </w:rPr>
        <w:t> </w:t>
      </w:r>
      <w:r>
        <w:rPr>
          <w:rFonts w:ascii="宋体" w:hAnsi="宋体" w:cs="宋体" w:eastAsia="宋体" w:hint="default"/>
        </w:rPr>
        <w:t>   </w:t>
      </w:r>
      <w:r>
        <w:rPr>
          <w:rFonts w:ascii="宋体" w:hAnsi="宋体" w:cs="宋体" w:eastAsia="宋体" w:hint="default"/>
          <w:spacing w:val="-3"/>
        </w:rPr>
        <w:t> </w:t>
      </w:r>
      <w:r>
        <w:rPr>
          <w:rFonts w:ascii="宋体" w:hAnsi="宋体" w:cs="宋体" w:eastAsia="宋体" w:hint="default"/>
        </w:rPr>
        <w:t>   </w:t>
      </w:r>
      <w:r>
        <w:rPr>
          <w:rFonts w:ascii="宋体" w:hAnsi="宋体" w:cs="宋体" w:eastAsia="宋体" w:hint="default"/>
          <w:spacing w:val="-3"/>
        </w:rPr>
        <w:t> </w:t>
      </w:r>
      <w:r>
        <w:rPr>
          <w:rFonts w:ascii="宋体" w:hAnsi="宋体" w:cs="宋体" w:eastAsia="宋体" w:hint="default"/>
        </w:rPr>
        <w:t>   </w:t>
      </w:r>
      <w:r>
        <w:rPr>
          <w:rFonts w:ascii="宋体" w:hAnsi="宋体" w:cs="宋体" w:eastAsia="宋体" w:hint="default"/>
          <w:spacing w:val="-3"/>
        </w:rPr>
        <w:t> </w:t>
      </w:r>
      <w:r>
        <w:rPr>
          <w:rFonts w:ascii="宋体" w:hAnsi="宋体" w:cs="宋体" w:eastAsia="宋体" w:hint="default"/>
        </w:rPr>
        <w:t>   </w:t>
      </w:r>
      <w:r>
        <w:rPr>
          <w:rFonts w:ascii="宋体" w:hAnsi="宋体" w:cs="宋体" w:eastAsia="宋体" w:hint="default"/>
          <w:spacing w:val="-3"/>
        </w:rPr>
        <w:t>  </w:t>
      </w:r>
      <w:r>
        <w:rPr>
          <w:rFonts w:ascii="宋体" w:hAnsi="宋体" w:cs="宋体" w:eastAsia="宋体" w:hint="default"/>
        </w:rPr>
        <w:t>     </w:t>
      </w:r>
      <w:r>
        <w:rPr>
          <w:rFonts w:ascii="宋体" w:hAnsi="宋体" w:cs="宋体" w:eastAsia="宋体" w:hint="default"/>
          <w:spacing w:val="-3"/>
        </w:rPr>
        <w:t> </w:t>
      </w:r>
      <w:r>
        <w:rPr>
          <w:rFonts w:ascii="宋体" w:hAnsi="宋体" w:cs="宋体" w:eastAsia="宋体" w:hint="default"/>
        </w:rPr>
        <w:t>   </w:t>
      </w:r>
      <w:r>
        <w:rPr>
          <w:rFonts w:ascii="宋体" w:hAnsi="宋体" w:cs="宋体" w:eastAsia="宋体" w:hint="default"/>
          <w:spacing w:val="-3"/>
        </w:rPr>
        <w:t> </w:t>
      </w:r>
      <w:r>
        <w:rPr>
          <w:rFonts w:ascii="宋体" w:hAnsi="宋体" w:cs="宋体" w:eastAsia="宋体" w:hint="default"/>
        </w:rPr>
        <w:t>   </w:t>
      </w:r>
      <w:r>
        <w:rPr>
          <w:rFonts w:ascii="宋体" w:hAnsi="宋体" w:cs="宋体" w:eastAsia="宋体" w:hint="default"/>
          <w:spacing w:val="-3"/>
        </w:rPr>
        <w:t> </w:t>
      </w:r>
      <w:r>
        <w:rPr>
          <w:rFonts w:ascii="宋体" w:hAnsi="宋体" w:cs="宋体" w:eastAsia="宋体" w:hint="default"/>
        </w:rPr>
        <w:t>   </w:t>
      </w:r>
      <w:r>
        <w:rPr>
          <w:rFonts w:ascii="宋体" w:hAnsi="宋体" w:cs="宋体" w:eastAsia="宋体" w:hint="default"/>
          <w:spacing w:val="-3"/>
        </w:rPr>
        <w:t> </w:t>
      </w:r>
      <w:r>
        <w:rPr>
          <w:rFonts w:ascii="宋体" w:hAnsi="宋体" w:cs="宋体" w:eastAsia="宋体" w:hint="default"/>
        </w:rPr>
        <w:t>   </w:t>
      </w:r>
      <w:r>
        <w:rPr>
          <w:rFonts w:ascii="宋体" w:hAnsi="宋体" w:cs="宋体" w:eastAsia="宋体" w:hint="default"/>
          <w:spacing w:val="-3"/>
        </w:rPr>
        <w:t>  </w:t>
      </w:r>
      <w:r>
        <w:rPr>
          <w:rFonts w:ascii="宋体" w:hAnsi="宋体" w:cs="宋体" w:eastAsia="宋体" w:hint="default"/>
        </w:rPr>
        <w:t>     </w:t>
      </w:r>
      <w:r>
        <w:rPr>
          <w:rFonts w:ascii="宋体" w:hAnsi="宋体" w:cs="宋体" w:eastAsia="宋体" w:hint="default"/>
          <w:spacing w:val="-3"/>
        </w:rPr>
        <w:t> </w:t>
      </w:r>
      <w:r>
        <w:rPr>
          <w:rFonts w:ascii="宋体" w:hAnsi="宋体" w:cs="宋体" w:eastAsia="宋体" w:hint="default"/>
          <w:spacing w:val="-2"/>
        </w:rPr>
        <w:t> </w:t>
      </w:r>
      <w:r>
        <w:rPr>
          <w:rFonts w:ascii="宋体" w:hAnsi="宋体" w:cs="宋体" w:eastAsia="宋体" w:hint="default"/>
        </w:rPr>
        <w:t> </w:t>
      </w:r>
    </w:p>
    <w:p>
      <w:pPr>
        <w:pStyle w:val="BodyText"/>
        <w:spacing w:line="240" w:lineRule="auto" w:before="78"/>
        <w:ind w:left="0" w:right="1004"/>
        <w:jc w:val="right"/>
        <w:rPr>
          <w:rFonts w:ascii="宋体" w:hAnsi="宋体" w:cs="宋体" w:eastAsia="宋体" w:hint="default"/>
        </w:rPr>
      </w:pPr>
      <w:r>
        <w:rPr>
          <w:spacing w:val="-2"/>
        </w:rPr>
        <w:t>单位：万元</w:t>
      </w:r>
      <w:r>
        <w:rPr>
          <w:rFonts w:ascii="宋体" w:hAnsi="宋体" w:cs="宋体" w:eastAsia="宋体" w:hint="default"/>
        </w:rPr>
        <w:t> </w:t>
      </w:r>
      <w:r>
        <w:rPr>
          <w:rFonts w:ascii="宋体" w:hAnsi="宋体" w:cs="宋体" w:eastAsia="宋体" w:hint="default"/>
          <w:spacing w:val="-3"/>
        </w:rPr>
        <w:t> </w:t>
      </w:r>
      <w:r>
        <w:rPr>
          <w:rFonts w:ascii="宋体" w:hAnsi="宋体" w:cs="宋体" w:eastAsia="宋体" w:hint="default"/>
        </w:rPr>
        <w:t> </w:t>
      </w:r>
    </w:p>
    <w:p>
      <w:pPr>
        <w:spacing w:line="240" w:lineRule="auto" w:before="10"/>
        <w:rPr>
          <w:rFonts w:ascii="宋体" w:hAnsi="宋体" w:cs="宋体" w:eastAsia="宋体" w:hint="default"/>
          <w:sz w:val="3"/>
          <w:szCs w:val="3"/>
        </w:rPr>
      </w:pPr>
    </w:p>
    <w:tbl>
      <w:tblPr>
        <w:tblW w:w="0" w:type="auto"/>
        <w:jc w:val="left"/>
        <w:tblInd w:w="148" w:type="dxa"/>
        <w:tblLayout w:type="fixed"/>
        <w:tblCellMar>
          <w:top w:w="0" w:type="dxa"/>
          <w:left w:w="0" w:type="dxa"/>
          <w:bottom w:w="0" w:type="dxa"/>
          <w:right w:w="0" w:type="dxa"/>
        </w:tblCellMar>
        <w:tblLook w:val="01E0"/>
      </w:tblPr>
      <w:tblGrid>
        <w:gridCol w:w="1868"/>
        <w:gridCol w:w="1961"/>
        <w:gridCol w:w="1980"/>
        <w:gridCol w:w="1908"/>
        <w:gridCol w:w="1851"/>
      </w:tblGrid>
      <w:tr>
        <w:trPr>
          <w:trHeight w:val="401" w:hRule="exact"/>
        </w:trPr>
        <w:tc>
          <w:tcPr>
            <w:tcW w:w="18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9" w:right="0"/>
              <w:jc w:val="left"/>
              <w:rPr>
                <w:rFonts w:ascii="宋体" w:hAnsi="宋体" w:cs="宋体" w:eastAsia="宋体" w:hint="default"/>
                <w:sz w:val="18"/>
                <w:szCs w:val="18"/>
              </w:rPr>
            </w:pPr>
            <w:r>
              <w:rPr>
                <w:rFonts w:ascii="宋体" w:hAnsi="宋体" w:cs="宋体" w:eastAsia="宋体" w:hint="default"/>
                <w:sz w:val="18"/>
                <w:szCs w:val="18"/>
              </w:rPr>
              <w:t>具体类型</w:t>
            </w:r>
          </w:p>
        </w:tc>
        <w:tc>
          <w:tcPr>
            <w:tcW w:w="19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5" w:right="0"/>
              <w:jc w:val="left"/>
              <w:rPr>
                <w:rFonts w:ascii="宋体" w:hAnsi="宋体" w:cs="宋体" w:eastAsia="宋体" w:hint="default"/>
                <w:sz w:val="18"/>
                <w:szCs w:val="18"/>
              </w:rPr>
            </w:pPr>
            <w:r>
              <w:rPr>
                <w:rFonts w:ascii="宋体" w:hAnsi="宋体" w:cs="宋体" w:eastAsia="宋体" w:hint="default"/>
                <w:sz w:val="18"/>
                <w:szCs w:val="18"/>
              </w:rPr>
              <w:t>委托理财的资金来源</w:t>
            </w:r>
          </w:p>
        </w:tc>
        <w:tc>
          <w:tcPr>
            <w:tcW w:w="19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55" w:right="0"/>
              <w:jc w:val="left"/>
              <w:rPr>
                <w:rFonts w:ascii="宋体" w:hAnsi="宋体" w:cs="宋体" w:eastAsia="宋体" w:hint="default"/>
                <w:sz w:val="18"/>
                <w:szCs w:val="18"/>
              </w:rPr>
            </w:pPr>
            <w:r>
              <w:rPr>
                <w:rFonts w:ascii="宋体" w:hAnsi="宋体" w:cs="宋体" w:eastAsia="宋体" w:hint="default"/>
                <w:sz w:val="18"/>
                <w:szCs w:val="18"/>
              </w:rPr>
              <w:t>委托理财发生额</w:t>
            </w:r>
          </w:p>
        </w:tc>
        <w:tc>
          <w:tcPr>
            <w:tcW w:w="19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99" w:right="0"/>
              <w:jc w:val="left"/>
              <w:rPr>
                <w:rFonts w:ascii="宋体" w:hAnsi="宋体" w:cs="宋体" w:eastAsia="宋体" w:hint="default"/>
                <w:sz w:val="18"/>
                <w:szCs w:val="18"/>
              </w:rPr>
            </w:pPr>
            <w:r>
              <w:rPr>
                <w:rFonts w:ascii="宋体" w:hAnsi="宋体" w:cs="宋体" w:eastAsia="宋体" w:hint="default"/>
                <w:sz w:val="18"/>
                <w:szCs w:val="18"/>
              </w:rPr>
              <w:t>未到期余额</w:t>
            </w:r>
          </w:p>
        </w:tc>
        <w:tc>
          <w:tcPr>
            <w:tcW w:w="18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1" w:right="0"/>
              <w:jc w:val="left"/>
              <w:rPr>
                <w:rFonts w:ascii="宋体" w:hAnsi="宋体" w:cs="宋体" w:eastAsia="宋体" w:hint="default"/>
                <w:sz w:val="18"/>
                <w:szCs w:val="18"/>
              </w:rPr>
            </w:pPr>
            <w:r>
              <w:rPr>
                <w:rFonts w:ascii="宋体" w:hAnsi="宋体" w:cs="宋体" w:eastAsia="宋体" w:hint="default"/>
                <w:sz w:val="18"/>
                <w:szCs w:val="18"/>
              </w:rPr>
              <w:t>逾期未收回的金额</w:t>
            </w:r>
          </w:p>
        </w:tc>
      </w:tr>
      <w:tr>
        <w:trPr>
          <w:trHeight w:val="403" w:hRule="exact"/>
        </w:trPr>
        <w:tc>
          <w:tcPr>
            <w:tcW w:w="18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银行理财产品</w:t>
            </w:r>
          </w:p>
        </w:tc>
        <w:tc>
          <w:tcPr>
            <w:tcW w:w="19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自有资金</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7"/>
              <w:jc w:val="right"/>
              <w:rPr>
                <w:rFonts w:ascii="宋体" w:hAnsi="宋体" w:cs="宋体" w:eastAsia="宋体" w:hint="default"/>
                <w:sz w:val="18"/>
                <w:szCs w:val="18"/>
              </w:rPr>
            </w:pPr>
            <w:r>
              <w:rPr>
                <w:rFonts w:ascii="宋体"/>
                <w:sz w:val="18"/>
              </w:rPr>
              <w:t>500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宋体" w:hAnsi="宋体" w:cs="宋体" w:eastAsia="宋体" w:hint="default"/>
                <w:sz w:val="18"/>
                <w:szCs w:val="18"/>
              </w:rPr>
            </w:pPr>
            <w:r>
              <w:rPr>
                <w:rFonts w:ascii="宋体"/>
                <w:sz w:val="18"/>
              </w:rPr>
              <w:t>0</w:t>
            </w:r>
          </w:p>
        </w:tc>
        <w:tc>
          <w:tcPr>
            <w:tcW w:w="1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宋体" w:hAnsi="宋体" w:cs="宋体" w:eastAsia="宋体" w:hint="default"/>
                <w:sz w:val="18"/>
                <w:szCs w:val="18"/>
              </w:rPr>
            </w:pPr>
            <w:r>
              <w:rPr>
                <w:rFonts w:ascii="宋体"/>
                <w:sz w:val="18"/>
              </w:rPr>
              <w:t>0</w:t>
            </w:r>
          </w:p>
        </w:tc>
      </w:tr>
      <w:tr>
        <w:trPr>
          <w:trHeight w:val="404" w:hRule="exact"/>
        </w:trPr>
        <w:tc>
          <w:tcPr>
            <w:tcW w:w="382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7"/>
              <w:jc w:val="right"/>
              <w:rPr>
                <w:rFonts w:ascii="宋体" w:hAnsi="宋体" w:cs="宋体" w:eastAsia="宋体" w:hint="default"/>
                <w:sz w:val="18"/>
                <w:szCs w:val="18"/>
              </w:rPr>
            </w:pPr>
            <w:r>
              <w:rPr>
                <w:rFonts w:ascii="宋体"/>
                <w:sz w:val="18"/>
              </w:rPr>
              <w:t>500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0</w:t>
            </w:r>
          </w:p>
        </w:tc>
        <w:tc>
          <w:tcPr>
            <w:tcW w:w="1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0</w:t>
            </w:r>
          </w:p>
        </w:tc>
      </w:tr>
    </w:tbl>
    <w:p>
      <w:pPr>
        <w:spacing w:line="240" w:lineRule="auto" w:before="8"/>
        <w:rPr>
          <w:rFonts w:ascii="宋体" w:hAnsi="宋体" w:cs="宋体" w:eastAsia="宋体" w:hint="default"/>
          <w:sz w:val="14"/>
          <w:szCs w:val="14"/>
        </w:rPr>
      </w:pPr>
    </w:p>
    <w:p>
      <w:pPr>
        <w:pStyle w:val="BodyText"/>
        <w:spacing w:line="240" w:lineRule="auto" w:before="36"/>
        <w:ind w:right="1133"/>
        <w:jc w:val="left"/>
        <w:rPr>
          <w:rFonts w:ascii="宋体" w:hAnsi="宋体" w:cs="宋体" w:eastAsia="宋体" w:hint="default"/>
        </w:rPr>
      </w:pPr>
      <w:r>
        <w:rPr>
          <w:rFonts w:ascii="宋体" w:hAnsi="宋体" w:cs="宋体" w:eastAsia="宋体" w:hint="default"/>
          <w:w w:val="100"/>
        </w:rPr>
        <w:t>    </w:t>
      </w:r>
      <w:r>
        <w:rPr>
          <w:rFonts w:ascii="宋体" w:hAnsi="宋体" w:cs="宋体" w:eastAsia="宋体" w:hint="default"/>
        </w:rPr>
        <w:t>2</w:t>
      </w:r>
      <w:r>
        <w:rPr/>
        <w:t>、单项金额重大或安全性较低、流动性较差、不保本的高风险委托理财具体情况</w:t>
      </w:r>
      <w:r>
        <w:rPr>
          <w:rFonts w:ascii="宋体" w:hAnsi="宋体" w:cs="宋体" w:eastAsia="宋体" w:hint="default"/>
        </w:rPr>
        <w:t> </w:t>
      </w:r>
    </w:p>
    <w:p>
      <w:pPr>
        <w:pStyle w:val="BodyText"/>
        <w:spacing w:line="240" w:lineRule="auto" w:before="37"/>
        <w:ind w:left="573" w:right="1133"/>
        <w:jc w:val="left"/>
        <w:rPr>
          <w:rFonts w:ascii="宋体" w:hAnsi="宋体" w:cs="宋体" w:eastAsia="宋体" w:hint="default"/>
        </w:rPr>
      </w:pPr>
      <w:r>
        <w:rPr/>
        <w:t>√适用 </w:t>
      </w:r>
      <w:r>
        <w:rPr>
          <w:rFonts w:ascii="宋体" w:hAnsi="宋体" w:cs="宋体" w:eastAsia="宋体" w:hint="default"/>
        </w:rPr>
      </w:r>
      <w:r>
        <w:rPr/>
        <w:t>□</w:t>
      </w:r>
      <w:r>
        <w:rPr>
          <w:spacing w:val="-1"/>
        </w:rPr>
        <w:t> </w:t>
      </w:r>
      <w:r>
        <w:rPr/>
        <w:t>不适用</w:t>
      </w:r>
      <w:r>
        <w:rPr>
          <w:rFonts w:ascii="宋体" w:hAnsi="宋体" w:cs="宋体" w:eastAsia="宋体" w:hint="default"/>
        </w:rPr>
        <w:t> </w:t>
      </w:r>
      <w:r>
        <w:rPr>
          <w:rFonts w:ascii="宋体" w:hAnsi="宋体" w:cs="宋体" w:eastAsia="宋体" w:hint="default"/>
          <w:spacing w:val="-3"/>
        </w:rPr>
        <w:t> </w:t>
      </w:r>
      <w:r>
        <w:rPr>
          <w:rFonts w:ascii="宋体" w:hAnsi="宋体" w:cs="宋体" w:eastAsia="宋体" w:hint="default"/>
        </w:rPr>
        <w:t>   </w:t>
      </w:r>
      <w:r>
        <w:rPr>
          <w:rFonts w:ascii="宋体" w:hAnsi="宋体" w:cs="宋体" w:eastAsia="宋体" w:hint="default"/>
          <w:spacing w:val="-3"/>
        </w:rPr>
        <w:t>  </w:t>
      </w:r>
      <w:r>
        <w:rPr>
          <w:rFonts w:ascii="宋体" w:hAnsi="宋体" w:cs="宋体" w:eastAsia="宋体" w:hint="default"/>
        </w:rPr>
        <w:t>     </w:t>
      </w:r>
      <w:r>
        <w:rPr>
          <w:rFonts w:ascii="宋体" w:hAnsi="宋体" w:cs="宋体" w:eastAsia="宋体" w:hint="default"/>
          <w:spacing w:val="-3"/>
        </w:rPr>
        <w:t> </w:t>
      </w:r>
      <w:r>
        <w:rPr>
          <w:rFonts w:ascii="宋体" w:hAnsi="宋体" w:cs="宋体" w:eastAsia="宋体" w:hint="default"/>
        </w:rPr>
        <w:t>   </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37"/>
        <w:ind w:left="573" w:right="1133"/>
        <w:jc w:val="left"/>
        <w:rPr>
          <w:rFonts w:ascii="宋体" w:hAnsi="宋体" w:cs="宋体" w:eastAsia="宋体" w:hint="default"/>
        </w:rPr>
      </w:pP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2"/>
          <w:w w:val="100"/>
        </w:rPr>
        <w:t> </w:t>
      </w:r>
      <w:r>
        <w:rPr>
          <w:rFonts w:ascii="宋体" w:hAnsi="宋体" w:cs="宋体" w:eastAsia="宋体" w:hint="default"/>
          <w:w w:val="100"/>
        </w:rPr>
        <w:t> </w:t>
      </w:r>
      <w:r>
        <w:rPr/>
        <w:t>单位：万元</w:t>
      </w:r>
      <w:r>
        <w:rPr>
          <w:rFonts w:ascii="宋体" w:hAnsi="宋体" w:cs="宋体" w:eastAsia="宋体" w:hint="default"/>
        </w:rPr>
        <w:t> </w:t>
      </w:r>
    </w:p>
    <w:p>
      <w:pPr>
        <w:spacing w:line="240" w:lineRule="auto" w:before="10"/>
        <w:rPr>
          <w:rFonts w:ascii="宋体" w:hAnsi="宋体" w:cs="宋体" w:eastAsia="宋体" w:hint="default"/>
          <w:sz w:val="3"/>
          <w:szCs w:val="3"/>
        </w:rPr>
      </w:pPr>
    </w:p>
    <w:tbl>
      <w:tblPr>
        <w:tblW w:w="0" w:type="auto"/>
        <w:jc w:val="left"/>
        <w:tblInd w:w="148" w:type="dxa"/>
        <w:tblLayout w:type="fixed"/>
        <w:tblCellMar>
          <w:top w:w="0" w:type="dxa"/>
          <w:left w:w="0" w:type="dxa"/>
          <w:bottom w:w="0" w:type="dxa"/>
          <w:right w:w="0" w:type="dxa"/>
        </w:tblCellMar>
        <w:tblLook w:val="01E0"/>
      </w:tblPr>
      <w:tblGrid>
        <w:gridCol w:w="572"/>
        <w:gridCol w:w="590"/>
        <w:gridCol w:w="607"/>
        <w:gridCol w:w="574"/>
        <w:gridCol w:w="562"/>
        <w:gridCol w:w="559"/>
        <w:gridCol w:w="562"/>
        <w:gridCol w:w="562"/>
        <w:gridCol w:w="562"/>
        <w:gridCol w:w="560"/>
        <w:gridCol w:w="562"/>
        <w:gridCol w:w="562"/>
        <w:gridCol w:w="562"/>
        <w:gridCol w:w="547"/>
        <w:gridCol w:w="548"/>
        <w:gridCol w:w="547"/>
        <w:gridCol w:w="538"/>
      </w:tblGrid>
      <w:tr>
        <w:trPr>
          <w:trHeight w:val="2273" w:hRule="exact"/>
        </w:trPr>
        <w:tc>
          <w:tcPr>
            <w:tcW w:w="5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0" w:right="99"/>
              <w:jc w:val="both"/>
              <w:rPr>
                <w:rFonts w:ascii="宋体" w:hAnsi="宋体" w:cs="宋体" w:eastAsia="宋体" w:hint="default"/>
                <w:sz w:val="18"/>
                <w:szCs w:val="18"/>
              </w:rPr>
            </w:pPr>
            <w:r>
              <w:rPr>
                <w:rFonts w:ascii="宋体" w:hAnsi="宋体" w:cs="宋体" w:eastAsia="宋体" w:hint="default"/>
                <w:sz w:val="18"/>
                <w:szCs w:val="18"/>
              </w:rPr>
              <w:t>受托 机构 名称</w:t>
            </w:r>
          </w:p>
          <w:p>
            <w:pPr>
              <w:pStyle w:val="TableParagraph"/>
              <w:spacing w:line="316" w:lineRule="auto" w:before="19"/>
              <w:ind w:left="100" w:right="99"/>
              <w:jc w:val="both"/>
              <w:rPr>
                <w:rFonts w:ascii="宋体" w:hAnsi="宋体" w:cs="宋体" w:eastAsia="宋体" w:hint="default"/>
                <w:sz w:val="18"/>
                <w:szCs w:val="18"/>
              </w:rPr>
            </w:pPr>
            <w:r>
              <w:rPr>
                <w:rFonts w:ascii="宋体" w:hAnsi="宋体" w:cs="宋体" w:eastAsia="宋体" w:hint="default"/>
                <w:sz w:val="18"/>
                <w:szCs w:val="18"/>
              </w:rPr>
              <w:t>（或 受托 人姓 名）</w:t>
            </w:r>
          </w:p>
        </w:tc>
        <w:tc>
          <w:tcPr>
            <w:tcW w:w="5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4" w:lineRule="auto"/>
              <w:ind w:left="110" w:right="108"/>
              <w:jc w:val="center"/>
              <w:rPr>
                <w:rFonts w:ascii="宋体" w:hAnsi="宋体" w:cs="宋体" w:eastAsia="宋体" w:hint="default"/>
                <w:sz w:val="18"/>
                <w:szCs w:val="18"/>
              </w:rPr>
            </w:pPr>
            <w:r>
              <w:rPr>
                <w:rFonts w:ascii="宋体" w:hAnsi="宋体" w:cs="宋体" w:eastAsia="宋体" w:hint="default"/>
                <w:sz w:val="18"/>
                <w:szCs w:val="18"/>
              </w:rPr>
              <w:t>受托 机构</w:t>
            </w:r>
          </w:p>
          <w:p>
            <w:pPr>
              <w:pStyle w:val="TableParagraph"/>
              <w:spacing w:line="316" w:lineRule="auto" w:before="20"/>
              <w:ind w:left="24" w:right="21"/>
              <w:jc w:val="center"/>
              <w:rPr>
                <w:rFonts w:ascii="宋体" w:hAnsi="宋体" w:cs="宋体" w:eastAsia="宋体" w:hint="default"/>
                <w:sz w:val="18"/>
                <w:szCs w:val="18"/>
              </w:rPr>
            </w:pPr>
            <w:r>
              <w:rPr>
                <w:rFonts w:ascii="宋体" w:hAnsi="宋体" w:cs="宋体" w:eastAsia="宋体" w:hint="default"/>
                <w:sz w:val="18"/>
                <w:szCs w:val="18"/>
              </w:rPr>
              <w:t>（或 受托 </w:t>
            </w:r>
            <w:r>
              <w:rPr>
                <w:rFonts w:ascii="宋体" w:hAnsi="宋体" w:cs="宋体" w:eastAsia="宋体" w:hint="default"/>
                <w:spacing w:val="-3"/>
                <w:sz w:val="18"/>
                <w:szCs w:val="18"/>
              </w:rPr>
              <w:t>人）类</w:t>
            </w:r>
            <w:r>
              <w:rPr>
                <w:rFonts w:ascii="宋体" w:hAnsi="宋体" w:cs="宋体" w:eastAsia="宋体" w:hint="default"/>
                <w:sz w:val="18"/>
                <w:szCs w:val="18"/>
              </w:rPr>
              <w:t> 型</w:t>
            </w:r>
          </w:p>
        </w:tc>
        <w:tc>
          <w:tcPr>
            <w:tcW w:w="6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4" w:lineRule="auto" w:before="124"/>
              <w:ind w:left="208" w:right="26" w:hanging="180"/>
              <w:jc w:val="left"/>
              <w:rPr>
                <w:rFonts w:ascii="宋体" w:hAnsi="宋体" w:cs="宋体" w:eastAsia="宋体" w:hint="default"/>
                <w:sz w:val="18"/>
                <w:szCs w:val="18"/>
              </w:rPr>
            </w:pPr>
            <w:r>
              <w:rPr>
                <w:rFonts w:ascii="宋体" w:hAnsi="宋体" w:cs="宋体" w:eastAsia="宋体" w:hint="default"/>
                <w:sz w:val="18"/>
                <w:szCs w:val="18"/>
              </w:rPr>
              <w:t>产品类 型</w:t>
            </w:r>
          </w:p>
        </w:tc>
        <w:tc>
          <w:tcPr>
            <w:tcW w:w="5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5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4" w:lineRule="auto" w:before="124"/>
              <w:ind w:left="96" w:right="94"/>
              <w:jc w:val="left"/>
              <w:rPr>
                <w:rFonts w:ascii="宋体" w:hAnsi="宋体" w:cs="宋体" w:eastAsia="宋体" w:hint="default"/>
                <w:sz w:val="18"/>
                <w:szCs w:val="18"/>
              </w:rPr>
            </w:pPr>
            <w:r>
              <w:rPr>
                <w:rFonts w:ascii="宋体" w:hAnsi="宋体" w:cs="宋体" w:eastAsia="宋体" w:hint="default"/>
                <w:sz w:val="18"/>
                <w:szCs w:val="18"/>
              </w:rPr>
              <w:t>资金 来源</w:t>
            </w:r>
          </w:p>
        </w:tc>
        <w:tc>
          <w:tcPr>
            <w:tcW w:w="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4" w:lineRule="auto" w:before="124"/>
              <w:ind w:left="95" w:right="91"/>
              <w:jc w:val="left"/>
              <w:rPr>
                <w:rFonts w:ascii="宋体" w:hAnsi="宋体" w:cs="宋体" w:eastAsia="宋体" w:hint="default"/>
                <w:sz w:val="18"/>
                <w:szCs w:val="18"/>
              </w:rPr>
            </w:pPr>
            <w:r>
              <w:rPr>
                <w:rFonts w:ascii="宋体" w:hAnsi="宋体" w:cs="宋体" w:eastAsia="宋体" w:hint="default"/>
                <w:sz w:val="18"/>
                <w:szCs w:val="18"/>
              </w:rPr>
              <w:t>起始 日期</w:t>
            </w:r>
          </w:p>
        </w:tc>
        <w:tc>
          <w:tcPr>
            <w:tcW w:w="5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4" w:lineRule="auto" w:before="124"/>
              <w:ind w:left="95" w:right="95"/>
              <w:jc w:val="left"/>
              <w:rPr>
                <w:rFonts w:ascii="宋体" w:hAnsi="宋体" w:cs="宋体" w:eastAsia="宋体" w:hint="default"/>
                <w:sz w:val="18"/>
                <w:szCs w:val="18"/>
              </w:rPr>
            </w:pPr>
            <w:r>
              <w:rPr>
                <w:rFonts w:ascii="宋体" w:hAnsi="宋体" w:cs="宋体" w:eastAsia="宋体" w:hint="default"/>
                <w:sz w:val="18"/>
                <w:szCs w:val="18"/>
              </w:rPr>
              <w:t>终止 日期</w:t>
            </w:r>
          </w:p>
        </w:tc>
        <w:tc>
          <w:tcPr>
            <w:tcW w:w="5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4" w:lineRule="auto" w:before="124"/>
              <w:ind w:left="95" w:right="95"/>
              <w:jc w:val="left"/>
              <w:rPr>
                <w:rFonts w:ascii="宋体" w:hAnsi="宋体" w:cs="宋体" w:eastAsia="宋体" w:hint="default"/>
                <w:sz w:val="18"/>
                <w:szCs w:val="18"/>
              </w:rPr>
            </w:pPr>
            <w:r>
              <w:rPr>
                <w:rFonts w:ascii="宋体" w:hAnsi="宋体" w:cs="宋体" w:eastAsia="宋体" w:hint="default"/>
                <w:sz w:val="18"/>
                <w:szCs w:val="18"/>
              </w:rPr>
              <w:t>资金 投向</w:t>
            </w:r>
          </w:p>
        </w:tc>
        <w:tc>
          <w:tcPr>
            <w:tcW w:w="5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316" w:lineRule="auto"/>
              <w:ind w:left="95" w:right="95"/>
              <w:jc w:val="both"/>
              <w:rPr>
                <w:rFonts w:ascii="宋体" w:hAnsi="宋体" w:cs="宋体" w:eastAsia="宋体" w:hint="default"/>
                <w:sz w:val="18"/>
                <w:szCs w:val="18"/>
              </w:rPr>
            </w:pPr>
            <w:r>
              <w:rPr>
                <w:rFonts w:ascii="宋体" w:hAnsi="宋体" w:cs="宋体" w:eastAsia="宋体" w:hint="default"/>
                <w:sz w:val="18"/>
                <w:szCs w:val="18"/>
              </w:rPr>
              <w:t>报酬 确定 方式</w:t>
            </w:r>
          </w:p>
        </w:tc>
        <w:tc>
          <w:tcPr>
            <w:tcW w:w="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95" w:right="93"/>
              <w:jc w:val="both"/>
              <w:rPr>
                <w:rFonts w:ascii="宋体" w:hAnsi="宋体" w:cs="宋体" w:eastAsia="宋体" w:hint="default"/>
                <w:sz w:val="18"/>
                <w:szCs w:val="18"/>
              </w:rPr>
            </w:pPr>
            <w:r>
              <w:rPr>
                <w:rFonts w:ascii="宋体" w:hAnsi="宋体" w:cs="宋体" w:eastAsia="宋体" w:hint="default"/>
                <w:sz w:val="18"/>
                <w:szCs w:val="18"/>
              </w:rPr>
              <w:t>参考 年化 收益 率</w:t>
            </w:r>
          </w:p>
        </w:tc>
        <w:tc>
          <w:tcPr>
            <w:tcW w:w="5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4" w:lineRule="auto"/>
              <w:ind w:left="95" w:right="95"/>
              <w:jc w:val="left"/>
              <w:rPr>
                <w:rFonts w:ascii="宋体" w:hAnsi="宋体" w:cs="宋体" w:eastAsia="宋体" w:hint="default"/>
                <w:sz w:val="18"/>
                <w:szCs w:val="18"/>
              </w:rPr>
            </w:pPr>
            <w:r>
              <w:rPr>
                <w:rFonts w:ascii="宋体" w:hAnsi="宋体" w:cs="宋体" w:eastAsia="宋体" w:hint="default"/>
                <w:sz w:val="18"/>
                <w:szCs w:val="18"/>
              </w:rPr>
              <w:t>预期 收益</w:t>
            </w:r>
          </w:p>
          <w:p>
            <w:pPr>
              <w:pStyle w:val="TableParagraph"/>
              <w:spacing w:line="316" w:lineRule="auto" w:before="20"/>
              <w:ind w:left="184" w:right="95" w:hanging="89"/>
              <w:jc w:val="left"/>
              <w:rPr>
                <w:rFonts w:ascii="宋体" w:hAnsi="宋体" w:cs="宋体" w:eastAsia="宋体" w:hint="default"/>
                <w:sz w:val="18"/>
                <w:szCs w:val="18"/>
              </w:rPr>
            </w:pPr>
            <w:r>
              <w:rPr>
                <w:rFonts w:ascii="宋体" w:hAnsi="宋体" w:cs="宋体" w:eastAsia="宋体" w:hint="default"/>
                <w:sz w:val="18"/>
                <w:szCs w:val="18"/>
              </w:rPr>
              <w:t>（如 有</w:t>
            </w:r>
          </w:p>
        </w:tc>
        <w:tc>
          <w:tcPr>
            <w:tcW w:w="5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96" w:right="95"/>
              <w:jc w:val="both"/>
              <w:rPr>
                <w:rFonts w:ascii="宋体" w:hAnsi="宋体" w:cs="宋体" w:eastAsia="宋体" w:hint="default"/>
                <w:sz w:val="18"/>
                <w:szCs w:val="18"/>
              </w:rPr>
            </w:pPr>
            <w:r>
              <w:rPr>
                <w:rFonts w:ascii="宋体" w:hAnsi="宋体" w:cs="宋体" w:eastAsia="宋体" w:hint="default"/>
                <w:sz w:val="18"/>
                <w:szCs w:val="18"/>
              </w:rPr>
              <w:t>报告 期实 际损 益金 额</w:t>
            </w:r>
          </w:p>
        </w:tc>
        <w:tc>
          <w:tcPr>
            <w:tcW w:w="5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95" w:right="95"/>
              <w:jc w:val="both"/>
              <w:rPr>
                <w:rFonts w:ascii="宋体" w:hAnsi="宋体" w:cs="宋体" w:eastAsia="宋体" w:hint="default"/>
                <w:sz w:val="18"/>
                <w:szCs w:val="18"/>
              </w:rPr>
            </w:pPr>
            <w:r>
              <w:rPr>
                <w:rFonts w:ascii="宋体" w:hAnsi="宋体" w:cs="宋体" w:eastAsia="宋体" w:hint="default"/>
                <w:sz w:val="18"/>
                <w:szCs w:val="18"/>
              </w:rPr>
              <w:t>报告 期损 益实 际收 回情 况</w:t>
            </w:r>
          </w:p>
        </w:tc>
        <w:tc>
          <w:tcPr>
            <w:tcW w:w="5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88" w:right="86"/>
              <w:jc w:val="both"/>
              <w:rPr>
                <w:rFonts w:ascii="宋体" w:hAnsi="宋体" w:cs="宋体" w:eastAsia="宋体" w:hint="default"/>
                <w:sz w:val="18"/>
                <w:szCs w:val="18"/>
              </w:rPr>
            </w:pPr>
            <w:r>
              <w:rPr>
                <w:rFonts w:ascii="宋体" w:hAnsi="宋体" w:cs="宋体" w:eastAsia="宋体" w:hint="default"/>
                <w:sz w:val="18"/>
                <w:szCs w:val="18"/>
              </w:rPr>
              <w:t>计提 减值 准备 金额</w:t>
            </w:r>
          </w:p>
          <w:p>
            <w:pPr>
              <w:pStyle w:val="TableParagraph"/>
              <w:spacing w:line="316" w:lineRule="auto" w:before="19"/>
              <w:ind w:left="88" w:right="86"/>
              <w:jc w:val="both"/>
              <w:rPr>
                <w:rFonts w:ascii="宋体" w:hAnsi="宋体" w:cs="宋体" w:eastAsia="宋体" w:hint="default"/>
                <w:sz w:val="18"/>
                <w:szCs w:val="18"/>
              </w:rPr>
            </w:pPr>
            <w:r>
              <w:rPr>
                <w:rFonts w:ascii="宋体" w:hAnsi="宋体" w:cs="宋体" w:eastAsia="宋体" w:hint="default"/>
                <w:sz w:val="18"/>
                <w:szCs w:val="18"/>
              </w:rPr>
              <w:t>（如 有）</w:t>
            </w:r>
          </w:p>
        </w:tc>
        <w:tc>
          <w:tcPr>
            <w:tcW w:w="5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6" w:lineRule="auto"/>
              <w:ind w:left="88" w:right="87"/>
              <w:jc w:val="both"/>
              <w:rPr>
                <w:rFonts w:ascii="宋体" w:hAnsi="宋体" w:cs="宋体" w:eastAsia="宋体" w:hint="default"/>
                <w:sz w:val="18"/>
                <w:szCs w:val="18"/>
              </w:rPr>
            </w:pPr>
            <w:r>
              <w:rPr>
                <w:rFonts w:ascii="宋体" w:hAnsi="宋体" w:cs="宋体" w:eastAsia="宋体" w:hint="default"/>
                <w:sz w:val="18"/>
                <w:szCs w:val="18"/>
              </w:rPr>
              <w:t>是否 经过 法定 程序</w:t>
            </w:r>
          </w:p>
        </w:tc>
        <w:tc>
          <w:tcPr>
            <w:tcW w:w="5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88" w:right="86"/>
              <w:jc w:val="both"/>
              <w:rPr>
                <w:rFonts w:ascii="宋体" w:hAnsi="宋体" w:cs="宋体" w:eastAsia="宋体" w:hint="default"/>
                <w:sz w:val="18"/>
                <w:szCs w:val="18"/>
              </w:rPr>
            </w:pPr>
            <w:r>
              <w:rPr>
                <w:rFonts w:ascii="宋体" w:hAnsi="宋体" w:cs="宋体" w:eastAsia="宋体" w:hint="default"/>
                <w:sz w:val="18"/>
                <w:szCs w:val="18"/>
              </w:rPr>
              <w:t>未来 是否 还有 委托 理财 计划</w:t>
            </w:r>
          </w:p>
        </w:tc>
        <w:tc>
          <w:tcPr>
            <w:tcW w:w="5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3" w:right="19" w:hanging="3"/>
              <w:jc w:val="center"/>
              <w:rPr>
                <w:rFonts w:ascii="宋体" w:hAnsi="宋体" w:cs="宋体" w:eastAsia="宋体" w:hint="default"/>
                <w:sz w:val="18"/>
                <w:szCs w:val="18"/>
              </w:rPr>
            </w:pPr>
            <w:r>
              <w:rPr>
                <w:rFonts w:ascii="宋体" w:hAnsi="宋体" w:cs="宋体" w:eastAsia="宋体" w:hint="default"/>
                <w:sz w:val="18"/>
                <w:szCs w:val="18"/>
              </w:rPr>
              <w:t>事项 概述 及相 关查 询索 </w:t>
            </w:r>
            <w:r>
              <w:rPr>
                <w:rFonts w:ascii="宋体" w:hAnsi="宋体" w:cs="宋体" w:eastAsia="宋体" w:hint="default"/>
                <w:spacing w:val="-20"/>
                <w:sz w:val="18"/>
                <w:szCs w:val="18"/>
              </w:rPr>
              <w:t>引（如</w:t>
            </w:r>
            <w:r>
              <w:rPr>
                <w:rFonts w:ascii="宋体" w:hAnsi="宋体" w:cs="宋体" w:eastAsia="宋体" w:hint="default"/>
                <w:sz w:val="18"/>
                <w:szCs w:val="18"/>
              </w:rPr>
              <w:t> 有）</w:t>
            </w:r>
          </w:p>
        </w:tc>
      </w:tr>
      <w:tr>
        <w:trPr>
          <w:trHeight w:val="1340" w:hRule="exact"/>
        </w:trPr>
        <w:tc>
          <w:tcPr>
            <w:tcW w:w="5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100" w:right="99"/>
              <w:jc w:val="left"/>
              <w:rPr>
                <w:rFonts w:ascii="宋体" w:hAnsi="宋体" w:cs="宋体" w:eastAsia="宋体" w:hint="default"/>
                <w:sz w:val="18"/>
                <w:szCs w:val="18"/>
              </w:rPr>
            </w:pPr>
            <w:r>
              <w:rPr>
                <w:rFonts w:ascii="宋体" w:hAnsi="宋体" w:cs="宋体" w:eastAsia="宋体" w:hint="default"/>
                <w:sz w:val="18"/>
                <w:szCs w:val="18"/>
              </w:rPr>
              <w:t>建设 银行</w:t>
            </w:r>
          </w:p>
        </w:tc>
        <w:tc>
          <w:tcPr>
            <w:tcW w:w="5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110" w:right="0"/>
              <w:jc w:val="left"/>
              <w:rPr>
                <w:rFonts w:ascii="宋体" w:hAnsi="宋体" w:cs="宋体" w:eastAsia="宋体" w:hint="default"/>
                <w:sz w:val="18"/>
                <w:szCs w:val="18"/>
              </w:rPr>
            </w:pPr>
            <w:r>
              <w:rPr>
                <w:rFonts w:ascii="宋体" w:hAnsi="宋体" w:cs="宋体" w:eastAsia="宋体" w:hint="default"/>
                <w:sz w:val="18"/>
                <w:szCs w:val="18"/>
              </w:rPr>
              <w:t>银行</w:t>
            </w:r>
          </w:p>
        </w:tc>
        <w:tc>
          <w:tcPr>
            <w:tcW w:w="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3" w:right="31"/>
              <w:jc w:val="left"/>
              <w:rPr>
                <w:rFonts w:ascii="宋体" w:hAnsi="宋体" w:cs="宋体" w:eastAsia="宋体" w:hint="default"/>
                <w:sz w:val="18"/>
                <w:szCs w:val="18"/>
              </w:rPr>
            </w:pPr>
            <w:r>
              <w:rPr>
                <w:rFonts w:ascii="宋体" w:hAnsi="宋体" w:cs="宋体" w:eastAsia="宋体" w:hint="default"/>
                <w:sz w:val="18"/>
                <w:szCs w:val="18"/>
              </w:rPr>
              <w:t>理财产 品</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17"/>
              <w:jc w:val="right"/>
              <w:rPr>
                <w:rFonts w:ascii="宋体" w:hAnsi="宋体" w:cs="宋体" w:eastAsia="宋体" w:hint="default"/>
                <w:sz w:val="18"/>
                <w:szCs w:val="18"/>
              </w:rPr>
            </w:pPr>
            <w:r>
              <w:rPr>
                <w:rFonts w:ascii="宋体"/>
                <w:sz w:val="18"/>
              </w:rPr>
              <w:t>500</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4" w:right="166"/>
              <w:jc w:val="left"/>
              <w:rPr>
                <w:rFonts w:ascii="宋体" w:hAnsi="宋体" w:cs="宋体" w:eastAsia="宋体" w:hint="default"/>
                <w:sz w:val="18"/>
                <w:szCs w:val="18"/>
              </w:rPr>
            </w:pPr>
            <w:r>
              <w:rPr>
                <w:rFonts w:ascii="宋体" w:hAnsi="宋体" w:cs="宋体" w:eastAsia="宋体" w:hint="default"/>
                <w:sz w:val="18"/>
                <w:szCs w:val="18"/>
              </w:rPr>
              <w:t>经营 收入</w:t>
            </w:r>
          </w:p>
        </w:tc>
        <w:tc>
          <w:tcPr>
            <w:tcW w:w="5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23" w:right="0"/>
              <w:jc w:val="left"/>
              <w:rPr>
                <w:rFonts w:ascii="Times New Roman" w:hAnsi="Times New Roman" w:cs="Times New Roman" w:eastAsia="Times New Roman" w:hint="default"/>
                <w:sz w:val="18"/>
                <w:szCs w:val="18"/>
              </w:rPr>
            </w:pPr>
            <w:r>
              <w:rPr>
                <w:rFonts w:ascii="Times New Roman"/>
                <w:sz w:val="18"/>
              </w:rPr>
              <w:t>2018</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03</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29</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23" w:right="0"/>
              <w:jc w:val="left"/>
              <w:rPr>
                <w:rFonts w:ascii="Times New Roman" w:hAnsi="Times New Roman" w:cs="Times New Roman" w:eastAsia="Times New Roman" w:hint="default"/>
                <w:sz w:val="18"/>
                <w:szCs w:val="18"/>
              </w:rPr>
            </w:pPr>
            <w:r>
              <w:rPr>
                <w:rFonts w:ascii="Times New Roman"/>
                <w:sz w:val="18"/>
              </w:rPr>
              <w:t>2019</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08</w:t>
            </w:r>
          </w:p>
          <w:p>
            <w:pPr>
              <w:pStyle w:val="TableParagraph"/>
              <w:spacing w:line="240" w:lineRule="auto" w:before="63"/>
              <w:ind w:left="2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3"/>
                <w:sz w:val="18"/>
                <w:szCs w:val="18"/>
              </w:rPr>
              <w:t> </w:t>
            </w:r>
            <w:r>
              <w:rPr>
                <w:rFonts w:ascii="Times New Roman" w:hAnsi="Times New Roman" w:cs="Times New Roman" w:eastAsia="Times New Roman" w:hint="default"/>
                <w:sz w:val="18"/>
                <w:szCs w:val="18"/>
              </w:rPr>
              <w:t>21</w:t>
            </w:r>
          </w:p>
          <w:p>
            <w:pPr>
              <w:pStyle w:val="TableParagraph"/>
              <w:spacing w:line="240" w:lineRule="auto" w:before="63"/>
              <w:ind w:left="2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09" w:lineRule="auto"/>
              <w:ind w:left="23" w:right="106"/>
              <w:jc w:val="left"/>
              <w:rPr>
                <w:rFonts w:ascii="宋体" w:hAnsi="宋体" w:cs="宋体" w:eastAsia="宋体" w:hint="default"/>
                <w:sz w:val="18"/>
                <w:szCs w:val="18"/>
              </w:rPr>
            </w:pPr>
            <w:r>
              <w:rPr>
                <w:rFonts w:ascii="宋体" w:hAnsi="宋体" w:cs="宋体" w:eastAsia="宋体" w:hint="default"/>
                <w:sz w:val="18"/>
                <w:szCs w:val="18"/>
              </w:rPr>
              <w:t>乾元</w:t>
            </w:r>
            <w:r>
              <w:rPr>
                <w:rFonts w:ascii="Times New Roman" w:hAnsi="Times New Roman" w:cs="Times New Roman" w:eastAsia="Times New Roman" w:hint="default"/>
                <w:sz w:val="18"/>
                <w:szCs w:val="18"/>
              </w:rPr>
              <w:t>- </w:t>
            </w:r>
            <w:r>
              <w:rPr>
                <w:rFonts w:ascii="宋体" w:hAnsi="宋体" w:cs="宋体" w:eastAsia="宋体" w:hint="default"/>
                <w:sz w:val="18"/>
                <w:szCs w:val="18"/>
              </w:rPr>
              <w:t>日鑫 月溢</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23" w:right="167"/>
              <w:jc w:val="both"/>
              <w:rPr>
                <w:rFonts w:ascii="宋体" w:hAnsi="宋体" w:cs="宋体" w:eastAsia="宋体" w:hint="default"/>
                <w:sz w:val="18"/>
                <w:szCs w:val="18"/>
              </w:rPr>
            </w:pPr>
            <w:r>
              <w:rPr>
                <w:rFonts w:ascii="宋体" w:hAnsi="宋体" w:cs="宋体" w:eastAsia="宋体" w:hint="default"/>
                <w:sz w:val="18"/>
                <w:szCs w:val="18"/>
              </w:rPr>
              <w:t>非保 本浮 动收 益型</w:t>
            </w:r>
          </w:p>
        </w:tc>
        <w:tc>
          <w:tcPr>
            <w:tcW w:w="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55" w:right="0"/>
              <w:jc w:val="center"/>
              <w:rPr>
                <w:rFonts w:ascii="宋体" w:hAnsi="宋体" w:cs="宋体" w:eastAsia="宋体" w:hint="default"/>
                <w:sz w:val="18"/>
                <w:szCs w:val="18"/>
              </w:rPr>
            </w:pPr>
            <w:r>
              <w:rPr>
                <w:rFonts w:ascii="宋体"/>
                <w:sz w:val="18"/>
              </w:rPr>
              <w:t>3.70%</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87" w:right="0"/>
              <w:jc w:val="center"/>
              <w:rPr>
                <w:rFonts w:ascii="宋体" w:hAnsi="宋体" w:cs="宋体" w:eastAsia="宋体" w:hint="default"/>
                <w:sz w:val="18"/>
                <w:szCs w:val="18"/>
              </w:rPr>
            </w:pPr>
            <w:r>
              <w:rPr>
                <w:rFonts w:ascii="宋体"/>
                <w:sz w:val="18"/>
              </w:rPr>
              <w:t>-- </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53" w:right="0"/>
              <w:jc w:val="center"/>
              <w:rPr>
                <w:rFonts w:ascii="宋体" w:hAnsi="宋体" w:cs="宋体" w:eastAsia="宋体" w:hint="default"/>
                <w:sz w:val="18"/>
                <w:szCs w:val="18"/>
              </w:rPr>
            </w:pPr>
            <w:r>
              <w:rPr>
                <w:rFonts w:ascii="宋体"/>
                <w:sz w:val="18"/>
              </w:rPr>
              <w:t>25.63</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50" w:right="-40"/>
              <w:jc w:val="center"/>
              <w:rPr>
                <w:rFonts w:ascii="宋体" w:hAnsi="宋体" w:cs="宋体" w:eastAsia="宋体" w:hint="default"/>
                <w:sz w:val="18"/>
                <w:szCs w:val="18"/>
              </w:rPr>
            </w:pPr>
            <w:r>
              <w:rPr>
                <w:rFonts w:ascii="宋体"/>
                <w:sz w:val="18"/>
              </w:rPr>
              <w:t>25.63 </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5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176"/>
              <w:jc w:val="right"/>
              <w:rPr>
                <w:rFonts w:ascii="宋体" w:hAnsi="宋体" w:cs="宋体" w:eastAsia="宋体" w:hint="default"/>
                <w:sz w:val="18"/>
                <w:szCs w:val="18"/>
              </w:rPr>
            </w:pPr>
            <w:r>
              <w:rPr>
                <w:rFonts w:ascii="宋体" w:hAnsi="宋体" w:cs="宋体" w:eastAsia="宋体" w:hint="default"/>
                <w:sz w:val="18"/>
                <w:szCs w:val="18"/>
              </w:rPr>
              <w:t>否</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5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4"/>
                <w:szCs w:val="24"/>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r>
      <w:tr>
        <w:trPr>
          <w:trHeight w:val="401" w:hRule="exact"/>
        </w:trPr>
        <w:tc>
          <w:tcPr>
            <w:tcW w:w="1769"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5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7"/>
              <w:jc w:val="right"/>
              <w:rPr>
                <w:rFonts w:ascii="宋体" w:hAnsi="宋体" w:cs="宋体" w:eastAsia="宋体" w:hint="default"/>
                <w:sz w:val="18"/>
                <w:szCs w:val="18"/>
              </w:rPr>
            </w:pPr>
            <w:r>
              <w:rPr>
                <w:rFonts w:ascii="宋体"/>
                <w:sz w:val="18"/>
              </w:rPr>
              <w:t>500</w:t>
            </w:r>
          </w:p>
        </w:tc>
        <w:tc>
          <w:tcPr>
            <w:tcW w:w="5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w:t>
            </w:r>
          </w:p>
        </w:tc>
        <w:tc>
          <w:tcPr>
            <w:tcW w:w="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left="2" w:right="0"/>
              <w:jc w:val="center"/>
              <w:rPr>
                <w:rFonts w:ascii="Times New Roman" w:hAnsi="Times New Roman" w:cs="Times New Roman" w:eastAsia="Times New Roman" w:hint="default"/>
                <w:sz w:val="18"/>
                <w:szCs w:val="18"/>
              </w:rPr>
            </w:pPr>
            <w:r>
              <w:rPr>
                <w:rFonts w:ascii="Times New Roman"/>
                <w:sz w:val="18"/>
              </w:rPr>
              <w:t>--</w:t>
            </w:r>
          </w:p>
        </w:tc>
        <w:tc>
          <w:tcPr>
            <w:tcW w:w="5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w:t>
            </w:r>
          </w:p>
        </w:tc>
        <w:tc>
          <w:tcPr>
            <w:tcW w:w="5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w:t>
            </w:r>
          </w:p>
        </w:tc>
        <w:tc>
          <w:tcPr>
            <w:tcW w:w="5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w:t>
            </w:r>
          </w:p>
        </w:tc>
        <w:tc>
          <w:tcPr>
            <w:tcW w:w="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left="91" w:right="0"/>
              <w:jc w:val="center"/>
              <w:rPr>
                <w:rFonts w:ascii="宋体" w:hAnsi="宋体" w:cs="宋体" w:eastAsia="宋体" w:hint="default"/>
                <w:sz w:val="18"/>
                <w:szCs w:val="18"/>
              </w:rPr>
            </w:pPr>
            <w:r>
              <w:rPr>
                <w:rFonts w:ascii="Times New Roman"/>
                <w:sz w:val="18"/>
              </w:rPr>
              <w:t>--</w:t>
            </w:r>
            <w:r>
              <w:rPr>
                <w:rFonts w:ascii="宋体"/>
                <w:sz w:val="18"/>
              </w:rPr>
              <w:t> </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89" w:right="0"/>
              <w:jc w:val="center"/>
              <w:rPr>
                <w:rFonts w:ascii="宋体" w:hAnsi="宋体" w:cs="宋体" w:eastAsia="宋体" w:hint="default"/>
                <w:sz w:val="18"/>
                <w:szCs w:val="18"/>
              </w:rPr>
            </w:pPr>
            <w:r>
              <w:rPr>
                <w:rFonts w:ascii="Times New Roman"/>
                <w:sz w:val="18"/>
              </w:rPr>
              <w:t>--</w:t>
            </w:r>
            <w:r>
              <w:rPr>
                <w:rFonts w:ascii="宋体"/>
                <w:sz w:val="18"/>
              </w:rPr>
              <w:t> </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3" w:right="0"/>
              <w:jc w:val="center"/>
              <w:rPr>
                <w:rFonts w:ascii="宋体" w:hAnsi="宋体" w:cs="宋体" w:eastAsia="宋体" w:hint="default"/>
                <w:sz w:val="18"/>
                <w:szCs w:val="18"/>
              </w:rPr>
            </w:pPr>
            <w:r>
              <w:rPr>
                <w:rFonts w:ascii="宋体"/>
                <w:sz w:val="18"/>
              </w:rPr>
              <w:t>25.63</w:t>
            </w:r>
          </w:p>
        </w:tc>
        <w:tc>
          <w:tcPr>
            <w:tcW w:w="5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left="89" w:right="0"/>
              <w:jc w:val="center"/>
              <w:rPr>
                <w:rFonts w:ascii="宋体" w:hAnsi="宋体" w:cs="宋体" w:eastAsia="宋体" w:hint="default"/>
                <w:sz w:val="18"/>
                <w:szCs w:val="18"/>
              </w:rPr>
            </w:pPr>
            <w:r>
              <w:rPr>
                <w:rFonts w:ascii="Times New Roman"/>
                <w:sz w:val="18"/>
              </w:rPr>
              <w:t>--</w:t>
            </w:r>
            <w:r>
              <w:rPr>
                <w:rFonts w:ascii="宋体"/>
                <w:sz w:val="18"/>
              </w:rPr>
              <w:t> </w:t>
            </w:r>
          </w:p>
        </w:tc>
        <w:tc>
          <w:tcPr>
            <w:tcW w:w="5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w:t>
            </w:r>
          </w:p>
        </w:tc>
        <w:tc>
          <w:tcPr>
            <w:tcW w:w="5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207"/>
              <w:jc w:val="right"/>
              <w:rPr>
                <w:rFonts w:ascii="Times New Roman" w:hAnsi="Times New Roman" w:cs="Times New Roman" w:eastAsia="Times New Roman" w:hint="default"/>
                <w:sz w:val="18"/>
                <w:szCs w:val="18"/>
              </w:rPr>
            </w:pPr>
            <w:r>
              <w:rPr>
                <w:rFonts w:ascii="Times New Roman"/>
                <w:sz w:val="18"/>
              </w:rPr>
              <w:t>--</w:t>
            </w:r>
          </w:p>
        </w:tc>
        <w:tc>
          <w:tcPr>
            <w:tcW w:w="54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w:t>
            </w:r>
          </w:p>
        </w:tc>
        <w:tc>
          <w:tcPr>
            <w:tcW w:w="5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3"/>
              <w:ind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6"/>
        <w:rPr>
          <w:rFonts w:ascii="宋体" w:hAnsi="宋体" w:cs="宋体" w:eastAsia="宋体" w:hint="default"/>
          <w:sz w:val="5"/>
          <w:szCs w:val="5"/>
        </w:rPr>
      </w:pPr>
    </w:p>
    <w:p>
      <w:pPr>
        <w:pStyle w:val="BodyText"/>
        <w:spacing w:line="240" w:lineRule="auto" w:before="36"/>
        <w:ind w:right="1133"/>
        <w:jc w:val="left"/>
        <w:rPr>
          <w:rFonts w:ascii="宋体" w:hAnsi="宋体" w:cs="宋体" w:eastAsia="宋体" w:hint="default"/>
        </w:rPr>
      </w:pPr>
      <w:r>
        <w:rPr/>
        <w:pict>
          <v:group style="position:absolute;margin-left:426.549988pt;margin-top:-90.600319pt;width:27pt;height:66.55pt;mso-position-horizontal-relative:page;mso-position-vertical-relative:paragraph;z-index:-1012864" coordorigin="8531,-1812" coordsize="540,1331">
            <v:group style="position:absolute;left:8531;top:-1812;width:540;height:1331" coordorigin="8531,-1812" coordsize="540,1331">
              <v:shape style="position:absolute;left:8531;top:-1812;width:540;height:1331" coordorigin="8531,-1812" coordsize="540,1331" path="m8531,-482l9071,-482,9071,-1812,8531,-1812,8531,-482xe" filled="true" fillcolor="#ffffff" stroked="false">
                <v:path arrowok="t"/>
                <v:fill type="solid"/>
              </v:shape>
            </v:group>
            <v:group style="position:absolute;left:8555;top:-1344;width:492;height:394" coordorigin="8555,-1344" coordsize="492,394">
              <v:shape style="position:absolute;left:8555;top:-1344;width:492;height:394" coordorigin="8555,-1344" coordsize="492,394" path="m8555,-950l9047,-950,9047,-1344,8555,-1344,8555,-950xe" filled="true" fillcolor="#ffffff" stroked="false">
                <v:path arrowok="t"/>
                <v:fill type="solid"/>
              </v:shape>
            </v:group>
            <w10:wrap type="none"/>
          </v:group>
        </w:pict>
      </w:r>
      <w:r>
        <w:rPr>
          <w:rFonts w:ascii="宋体" w:hAnsi="宋体" w:cs="宋体" w:eastAsia="宋体" w:hint="default"/>
          <w:w w:val="100"/>
        </w:rPr>
        <w:t>    </w:t>
      </w:r>
      <w:r>
        <w:rPr>
          <w:rFonts w:ascii="宋体" w:hAnsi="宋体" w:cs="宋体" w:eastAsia="宋体" w:hint="default"/>
        </w:rPr>
        <w:t>3</w:t>
      </w:r>
      <w:r>
        <w:rPr/>
        <w:t>、委托理财出现预期无法收回本金或存在其他可能导致减值的情形</w:t>
      </w:r>
      <w:r>
        <w:rPr>
          <w:rFonts w:ascii="宋体" w:hAnsi="宋体" w:cs="宋体" w:eastAsia="宋体" w:hint="default"/>
        </w:rPr>
        <w:t> </w:t>
      </w:r>
    </w:p>
    <w:p>
      <w:pPr>
        <w:pStyle w:val="BodyText"/>
        <w:spacing w:line="240" w:lineRule="auto" w:before="157"/>
        <w:ind w:right="1133"/>
        <w:jc w:val="left"/>
        <w:rPr>
          <w:rFonts w:ascii="宋体" w:hAnsi="宋体" w:cs="宋体" w:eastAsia="宋体" w:hint="default"/>
        </w:rPr>
      </w:pPr>
      <w:r>
        <w:rPr>
          <w:rFonts w:ascii="宋体" w:hAnsi="宋体" w:cs="宋体" w:eastAsia="宋体" w:hint="default"/>
          <w:w w:val="100"/>
        </w:rPr>
        <w:t>    </w:t>
      </w:r>
      <w:r>
        <w:rPr>
          <w:spacing w:val="-3"/>
        </w:rPr>
        <w:t>□ </w:t>
      </w:r>
      <w:r>
        <w:rPr/>
        <w:t>适用 </w:t>
      </w:r>
      <w:r>
        <w:rPr>
          <w:rFonts w:ascii="宋体" w:hAnsi="宋体" w:cs="宋体" w:eastAsia="宋体" w:hint="default"/>
        </w:rPr>
      </w:r>
      <w:r>
        <w:rPr>
          <w:spacing w:val="-3"/>
        </w:rPr>
        <w:t>√</w:t>
      </w:r>
      <w:r>
        <w:rPr>
          <w:spacing w:val="5"/>
        </w:rPr>
        <w:t> </w:t>
      </w:r>
      <w:r>
        <w:rPr/>
        <w:t>不适用</w:t>
      </w:r>
      <w:r>
        <w:rPr>
          <w:rFonts w:ascii="宋体" w:hAnsi="宋体" w:cs="宋体" w:eastAsia="宋体" w:hint="default"/>
          <w:spacing w:val="-3"/>
        </w:rPr>
        <w:t> </w:t>
      </w:r>
      <w:r>
        <w:rPr>
          <w:rFonts w:ascii="宋体" w:hAnsi="宋体" w:cs="宋体" w:eastAsia="宋体" w:hint="default"/>
        </w:rPr>
        <w:t> </w:t>
      </w:r>
    </w:p>
    <w:p>
      <w:pPr>
        <w:spacing w:line="240" w:lineRule="auto" w:before="2"/>
        <w:rPr>
          <w:rFonts w:ascii="宋体" w:hAnsi="宋体" w:cs="宋体" w:eastAsia="宋体" w:hint="default"/>
          <w:sz w:val="21"/>
          <w:szCs w:val="21"/>
        </w:rPr>
      </w:pPr>
    </w:p>
    <w:p>
      <w:pPr>
        <w:pStyle w:val="Heading3"/>
        <w:spacing w:line="240" w:lineRule="auto" w:before="0"/>
        <w:ind w:left="0" w:right="8085"/>
        <w:jc w:val="center"/>
        <w:rPr>
          <w:b w:val="0"/>
          <w:bCs w:val="0"/>
        </w:rPr>
      </w:pPr>
      <w:r>
        <w:rPr/>
        <w:t>（二）委托贷款情况</w:t>
      </w:r>
      <w:r>
        <w:rPr>
          <w:b w:val="0"/>
          <w:bCs w:val="0"/>
        </w:rPr>
      </w:r>
    </w:p>
    <w:p>
      <w:pPr>
        <w:pStyle w:val="BodyText"/>
        <w:spacing w:line="240" w:lineRule="auto" w:before="75"/>
        <w:ind w:right="1133"/>
        <w:jc w:val="left"/>
        <w:rPr>
          <w:rFonts w:ascii="宋体" w:hAnsi="宋体" w:cs="宋体" w:eastAsia="宋体" w:hint="default"/>
        </w:rPr>
      </w:pPr>
      <w:r>
        <w:rPr>
          <w:rFonts w:ascii="宋体" w:hAnsi="宋体" w:cs="宋体" w:eastAsia="宋体" w:hint="default"/>
          <w:w w:val="100"/>
        </w:rPr>
        <w:t>    </w:t>
      </w:r>
      <w:r>
        <w:rPr>
          <w:spacing w:val="-3"/>
        </w:rPr>
        <w:t>□ </w:t>
      </w:r>
      <w:r>
        <w:rPr/>
        <w:t>适用 </w:t>
      </w:r>
      <w:r>
        <w:rPr>
          <w:rFonts w:ascii="宋体" w:hAnsi="宋体" w:cs="宋体" w:eastAsia="宋体" w:hint="default"/>
        </w:rPr>
      </w:r>
      <w:r>
        <w:rPr>
          <w:spacing w:val="-3"/>
        </w:rPr>
        <w:t>√</w:t>
      </w:r>
      <w:r>
        <w:rPr>
          <w:spacing w:val="3"/>
        </w:rPr>
        <w:t> </w:t>
      </w:r>
      <w:r>
        <w:rPr/>
        <w:t>不适用</w:t>
      </w:r>
      <w:r>
        <w:rPr>
          <w:rFonts w:ascii="宋体" w:hAnsi="宋体" w:cs="宋体" w:eastAsia="宋体" w:hint="default"/>
        </w:rPr>
        <w:t> </w:t>
      </w:r>
    </w:p>
    <w:p>
      <w:pPr>
        <w:pStyle w:val="BodyText"/>
        <w:spacing w:line="240" w:lineRule="auto" w:before="80"/>
        <w:ind w:right="1133"/>
        <w:jc w:val="left"/>
        <w:rPr>
          <w:rFonts w:ascii="宋体" w:hAnsi="宋体" w:cs="宋体" w:eastAsia="宋体" w:hint="default"/>
        </w:rPr>
      </w:pPr>
      <w:r>
        <w:rPr>
          <w:rFonts w:ascii="宋体" w:hAnsi="宋体" w:cs="宋体" w:eastAsia="宋体" w:hint="default"/>
          <w:w w:val="100"/>
        </w:rPr>
        <w:t>    </w:t>
      </w:r>
      <w:r>
        <w:rPr/>
        <w:t>公司报告期不存在委托贷款。</w:t>
      </w:r>
      <w:r>
        <w:rPr>
          <w:rFonts w:ascii="宋体" w:hAnsi="宋体" w:cs="宋体" w:eastAsia="宋体" w:hint="default"/>
        </w:rPr>
        <w:t> </w:t>
      </w:r>
    </w:p>
    <w:p>
      <w:pPr>
        <w:spacing w:line="240" w:lineRule="auto" w:before="8"/>
        <w:rPr>
          <w:rFonts w:ascii="宋体" w:hAnsi="宋体" w:cs="宋体" w:eastAsia="宋体" w:hint="default"/>
          <w:sz w:val="14"/>
          <w:szCs w:val="14"/>
        </w:rPr>
      </w:pPr>
    </w:p>
    <w:p>
      <w:pPr>
        <w:pStyle w:val="Heading3"/>
        <w:spacing w:line="240" w:lineRule="auto" w:before="0"/>
        <w:ind w:left="575" w:right="1133"/>
        <w:jc w:val="left"/>
        <w:rPr>
          <w:b w:val="0"/>
          <w:bCs w:val="0"/>
        </w:rPr>
      </w:pPr>
      <w:r>
        <w:rPr/>
        <w:t>四、其他重大合同</w:t>
      </w:r>
      <w:r>
        <w:rPr>
          <w:b w:val="0"/>
          <w:bCs w:val="0"/>
        </w:rPr>
      </w:r>
    </w:p>
    <w:p>
      <w:pPr>
        <w:pStyle w:val="BodyText"/>
        <w:spacing w:line="307" w:lineRule="auto" w:before="159"/>
        <w:ind w:left="573" w:right="5542"/>
        <w:jc w:val="left"/>
        <w:rPr>
          <w:rFonts w:ascii="宋体" w:hAnsi="宋体" w:cs="宋体" w:eastAsia="宋体" w:hint="default"/>
        </w:rPr>
      </w:pPr>
      <w:r>
        <w:rPr/>
        <w:t>□ </w:t>
      </w:r>
      <w:r>
        <w:rPr>
          <w:rFonts w:ascii="宋体" w:hAnsi="宋体" w:cs="宋体" w:eastAsia="宋体" w:hint="default"/>
        </w:rPr>
      </w:r>
      <w:r>
        <w:rPr/>
        <w:t>适用 </w:t>
      </w:r>
      <w:r>
        <w:rPr>
          <w:rFonts w:ascii="宋体" w:hAnsi="宋体" w:cs="宋体" w:eastAsia="宋体" w:hint="default"/>
        </w:rPr>
      </w:r>
      <w:r>
        <w:rPr>
          <w:spacing w:val="-3"/>
        </w:rPr>
        <w:t>√</w:t>
      </w:r>
      <w:r>
        <w:rPr>
          <w:spacing w:val="1"/>
        </w:rPr>
        <w:t> </w:t>
      </w:r>
      <w:r>
        <w:rPr>
          <w:rFonts w:ascii="宋体" w:hAnsi="宋体" w:cs="宋体" w:eastAsia="宋体" w:hint="default"/>
          <w:spacing w:val="1"/>
        </w:rPr>
      </w:r>
      <w:r>
        <w:rPr/>
        <w:t>不适用</w:t>
      </w:r>
      <w:r>
        <w:rPr>
          <w:rFonts w:ascii="宋体" w:hAnsi="宋体" w:cs="宋体" w:eastAsia="宋体" w:hint="default"/>
          <w:w w:val="100"/>
        </w:rPr>
        <w:t> </w:t>
      </w:r>
      <w:r>
        <w:rPr/>
        <w:t>公司报告期不存在其他重大合同。</w:t>
      </w:r>
      <w:r>
        <w:rPr>
          <w:rFonts w:ascii="宋体" w:hAnsi="宋体" w:cs="宋体" w:eastAsia="宋体" w:hint="default"/>
        </w:rPr>
        <w:t> </w:t>
      </w:r>
    </w:p>
    <w:p>
      <w:pPr>
        <w:spacing w:after="0" w:line="307" w:lineRule="auto"/>
        <w:jc w:val="left"/>
        <w:rPr>
          <w:rFonts w:ascii="宋体" w:hAnsi="宋体" w:cs="宋体" w:eastAsia="宋体" w:hint="default"/>
        </w:rPr>
        <w:sectPr>
          <w:pgSz w:w="11910" w:h="16840"/>
          <w:pgMar w:header="880" w:footer="975" w:top="1100" w:bottom="1160" w:left="980" w:right="0"/>
        </w:sectPr>
      </w:pPr>
    </w:p>
    <w:p>
      <w:pPr>
        <w:spacing w:line="240" w:lineRule="auto" w:before="9"/>
        <w:rPr>
          <w:rFonts w:ascii="宋体" w:hAnsi="宋体" w:cs="宋体" w:eastAsia="宋体" w:hint="default"/>
          <w:sz w:val="19"/>
          <w:szCs w:val="19"/>
        </w:rPr>
      </w:pPr>
    </w:p>
    <w:p>
      <w:pPr>
        <w:pStyle w:val="Heading2"/>
        <w:tabs>
          <w:tab w:pos="1084" w:val="left" w:leader="none"/>
        </w:tabs>
        <w:spacing w:line="240" w:lineRule="auto"/>
        <w:ind w:left="0" w:right="978"/>
        <w:jc w:val="center"/>
        <w:rPr>
          <w:b w:val="0"/>
          <w:bCs w:val="0"/>
        </w:rPr>
      </w:pPr>
      <w:r>
        <w:rPr>
          <w:w w:val="95"/>
        </w:rPr>
        <w:t>第六节</w:t>
        <w:tab/>
      </w:r>
      <w:r>
        <w:rPr/>
        <w:t>社会责任情况</w:t>
      </w:r>
      <w:r>
        <w:rPr>
          <w:b w:val="0"/>
          <w:bCs w:val="0"/>
        </w:rPr>
      </w:r>
    </w:p>
    <w:p>
      <w:pPr>
        <w:spacing w:line="240" w:lineRule="auto" w:before="12"/>
        <w:rPr>
          <w:rFonts w:ascii="宋体" w:hAnsi="宋体" w:cs="宋体" w:eastAsia="宋体" w:hint="default"/>
          <w:b/>
          <w:bCs/>
          <w:sz w:val="28"/>
          <w:szCs w:val="28"/>
        </w:rPr>
      </w:pPr>
    </w:p>
    <w:p>
      <w:pPr>
        <w:pStyle w:val="Heading3"/>
        <w:spacing w:line="240" w:lineRule="auto"/>
        <w:ind w:left="575" w:right="1133"/>
        <w:jc w:val="left"/>
        <w:rPr>
          <w:b w:val="0"/>
          <w:bCs w:val="0"/>
        </w:rPr>
      </w:pPr>
      <w:r>
        <w:rPr/>
        <w:t>一、履行社会责任情况</w:t>
      </w:r>
      <w:r>
        <w:rPr>
          <w:b w:val="0"/>
          <w:bCs w:val="0"/>
        </w:rPr>
      </w:r>
    </w:p>
    <w:p>
      <w:pPr>
        <w:spacing w:line="240" w:lineRule="auto" w:before="10"/>
        <w:rPr>
          <w:rFonts w:ascii="宋体" w:hAnsi="宋体" w:cs="宋体" w:eastAsia="宋体" w:hint="default"/>
          <w:b/>
          <w:bCs/>
          <w:sz w:val="14"/>
          <w:szCs w:val="14"/>
        </w:rPr>
      </w:pPr>
    </w:p>
    <w:p>
      <w:pPr>
        <w:pStyle w:val="BodyText"/>
        <w:spacing w:line="273" w:lineRule="auto"/>
        <w:ind w:left="573" w:right="1133"/>
        <w:jc w:val="left"/>
      </w:pPr>
      <w:r>
        <w:rPr>
          <w:rFonts w:ascii="宋体" w:hAnsi="宋体" w:cs="宋体" w:eastAsia="宋体" w:hint="default"/>
          <w:b/>
          <w:bCs/>
        </w:rPr>
        <w:t>（一）概述</w:t>
      </w:r>
      <w:r>
        <w:rPr>
          <w:rFonts w:ascii="宋体" w:hAnsi="宋体" w:cs="宋体" w:eastAsia="宋体" w:hint="default"/>
          <w:b/>
          <w:bCs/>
          <w:w w:val="100"/>
        </w:rPr>
        <w:t> </w:t>
      </w:r>
      <w:r>
        <w:rPr>
          <w:spacing w:val="-2"/>
        </w:rPr>
        <w:t>坚持技术进步和服务客户、让消费者满意、以员工为本、追求利润回报投资者和追求社会及市场良好</w:t>
      </w:r>
    </w:p>
    <w:p>
      <w:pPr>
        <w:pStyle w:val="BodyText"/>
        <w:spacing w:line="273" w:lineRule="auto" w:before="7"/>
        <w:ind w:right="1126"/>
        <w:jc w:val="both"/>
        <w:rPr>
          <w:rFonts w:ascii="宋体" w:hAnsi="宋体" w:cs="宋体" w:eastAsia="宋体" w:hint="default"/>
        </w:rPr>
      </w:pPr>
      <w:r>
        <w:rPr>
          <w:spacing w:val="-7"/>
        </w:rPr>
        <w:t>影响是公司发展战略的构成内容。为此公司完善相关制度，落实部门职能和企业责任，依据公司所处行业、</w:t>
      </w:r>
      <w:r>
        <w:rPr>
          <w:spacing w:val="-17"/>
        </w:rPr>
        <w:t> </w:t>
      </w:r>
      <w:r>
        <w:rPr>
          <w:spacing w:val="-17"/>
        </w:rPr>
      </w:r>
      <w:r>
        <w:rPr>
          <w:spacing w:val="-2"/>
        </w:rPr>
        <w:t>业务性质、周边环境、相关者利益，按照法律法规规章要求，做好履行社会责任工作。报告期在参与抗击</w:t>
      </w:r>
      <w:r>
        <w:rPr>
          <w:spacing w:val="-43"/>
        </w:rPr>
        <w:t> </w:t>
      </w:r>
      <w:r>
        <w:rPr>
          <w:spacing w:val="-43"/>
        </w:rPr>
      </w:r>
      <w:r>
        <w:rPr>
          <w:spacing w:val="-2"/>
        </w:rPr>
        <w:t>“利奇马”台风的通信保障抢修工作中表现出全局意识和荣辱观念，获得中国铁塔股份有限公司济南分公</w:t>
      </w:r>
      <w:r>
        <w:rPr>
          <w:spacing w:val="-43"/>
        </w:rPr>
        <w:t> </w:t>
      </w:r>
      <w:r>
        <w:rPr>
          <w:spacing w:val="-43"/>
        </w:rPr>
      </w:r>
      <w:r>
        <w:rPr/>
        <w:t>司的表扬信。</w:t>
      </w:r>
      <w:r>
        <w:rPr>
          <w:rFonts w:ascii="宋体" w:hAnsi="宋体" w:cs="宋体" w:eastAsia="宋体" w:hint="default"/>
        </w:rPr>
        <w:t> </w:t>
      </w:r>
    </w:p>
    <w:p>
      <w:pPr>
        <w:pStyle w:val="BodyText"/>
        <w:spacing w:line="273" w:lineRule="auto" w:before="7"/>
        <w:ind w:right="1126" w:firstLine="420"/>
        <w:jc w:val="both"/>
      </w:pPr>
      <w:r>
        <w:rPr>
          <w:spacing w:val="-2"/>
        </w:rPr>
        <w:t>子公司创世漫道在履行社会责任中获得由北京市经济和信息化委员会、首都精神文明建设委员会办公</w:t>
      </w:r>
      <w:r>
        <w:rPr>
          <w:w w:val="100"/>
        </w:rPr>
        <w:t> </w:t>
      </w:r>
      <w:r>
        <w:rPr/>
        <w:t>室、北京市工商行政管理局、北京市地方税务局联合颁发的北京市诚信创建企业称号。</w:t>
      </w:r>
    </w:p>
    <w:p>
      <w:pPr>
        <w:pStyle w:val="Heading3"/>
        <w:spacing w:line="240" w:lineRule="auto" w:before="163"/>
        <w:ind w:left="573" w:right="1133"/>
        <w:jc w:val="left"/>
        <w:rPr>
          <w:b w:val="0"/>
          <w:bCs w:val="0"/>
        </w:rPr>
      </w:pPr>
      <w:r>
        <w:rPr/>
        <w:t>（二）社会责任履行情况</w:t>
      </w:r>
      <w:r>
        <w:rPr>
          <w:b w:val="0"/>
          <w:bCs w:val="0"/>
        </w:rPr>
      </w:r>
    </w:p>
    <w:p>
      <w:pPr>
        <w:pStyle w:val="BodyText"/>
        <w:spacing w:line="264" w:lineRule="auto" w:before="37"/>
        <w:ind w:right="1126" w:firstLine="420"/>
        <w:jc w:val="both"/>
      </w:pPr>
      <w:r>
        <w:rPr>
          <w:rFonts w:ascii="Times New Roman" w:hAnsi="Times New Roman" w:cs="Times New Roman" w:eastAsia="Times New Roman" w:hint="default"/>
        </w:rPr>
        <w:t>1</w:t>
      </w:r>
      <w:r>
        <w:rPr/>
        <w:t>、公司按规范性程序、采用现场表决和网络投票方式召开股东大会，保障中小投资者依法行使表决</w:t>
      </w:r>
      <w:r>
        <w:rPr>
          <w:w w:val="100"/>
        </w:rPr>
        <w:t> </w:t>
      </w:r>
      <w:r>
        <w:rPr>
          <w:spacing w:val="-2"/>
        </w:rPr>
        <w:t>权；及时、真实、准确、完整、公平披露信息，不存在选择性披露；按照《公司章程》规定、股东大会决</w:t>
      </w:r>
      <w:r>
        <w:rPr>
          <w:spacing w:val="-44"/>
        </w:rPr>
        <w:t> </w:t>
      </w:r>
      <w:r>
        <w:rPr>
          <w:spacing w:val="-44"/>
        </w:rPr>
      </w:r>
      <w:r>
        <w:rPr/>
        <w:t>议进行现金分红；通过业绩说明会、</w:t>
      </w:r>
      <w:r>
        <w:rPr>
          <w:rFonts w:ascii="Times New Roman" w:hAnsi="Times New Roman" w:cs="Times New Roman" w:eastAsia="Times New Roman" w:hint="default"/>
        </w:rPr>
        <w:t>“</w:t>
      </w:r>
      <w:r>
        <w:rPr/>
        <w:t>互动易</w:t>
      </w:r>
      <w:r>
        <w:rPr>
          <w:rFonts w:ascii="Times New Roman" w:hAnsi="Times New Roman" w:cs="Times New Roman" w:eastAsia="Times New Roman" w:hint="default"/>
        </w:rPr>
        <w:t>”</w:t>
      </w:r>
      <w:r>
        <w:rPr/>
        <w:t>及时回复投资者咨询。</w:t>
      </w:r>
    </w:p>
    <w:p>
      <w:pPr>
        <w:pStyle w:val="BodyText"/>
        <w:spacing w:line="268" w:lineRule="auto"/>
        <w:ind w:right="1126" w:firstLine="420"/>
        <w:jc w:val="both"/>
      </w:pPr>
      <w:r>
        <w:rPr>
          <w:rFonts w:ascii="Times New Roman" w:hAnsi="Times New Roman" w:cs="Times New Roman" w:eastAsia="Times New Roman" w:hint="default"/>
        </w:rPr>
        <w:t>2</w:t>
      </w:r>
      <w:r>
        <w:rPr/>
        <w:t>、重视维护员工合法权益，建立并施行符合《公司法》和公司章程的职工监事选任制度，保证职工</w:t>
      </w:r>
      <w:r>
        <w:rPr>
          <w:w w:val="100"/>
        </w:rPr>
        <w:t> </w:t>
      </w:r>
      <w:r>
        <w:rPr>
          <w:spacing w:val="-2"/>
        </w:rPr>
        <w:t>在公司治理中享有充分的权利；建立并施行符合《劳动法》、《劳动合同法》的用工管理制度，公司按国</w:t>
      </w:r>
      <w:r>
        <w:rPr>
          <w:spacing w:val="-44"/>
        </w:rPr>
        <w:t> </w:t>
      </w:r>
      <w:r>
        <w:rPr>
          <w:spacing w:val="-44"/>
        </w:rPr>
      </w:r>
      <w:r>
        <w:rPr>
          <w:spacing w:val="-2"/>
        </w:rPr>
        <w:t>家规定和标准提供社会统筹和各项保障，签劳动合同，休带薪年休假，提供健康、安全的工作环境，开展</w:t>
      </w:r>
      <w:r>
        <w:rPr>
          <w:spacing w:val="-43"/>
        </w:rPr>
        <w:t> </w:t>
      </w:r>
      <w:r>
        <w:rPr>
          <w:spacing w:val="-43"/>
        </w:rPr>
      </w:r>
      <w:r>
        <w:rPr>
          <w:spacing w:val="-2"/>
        </w:rPr>
        <w:t>各种相关培训，对涉及职工切身利益的事项，通过职工代表大会、工会会议的形式听取意见，关心和重视</w:t>
      </w:r>
      <w:r>
        <w:rPr>
          <w:spacing w:val="-50"/>
        </w:rPr>
        <w:t> </w:t>
      </w:r>
      <w:r>
        <w:rPr>
          <w:spacing w:val="-50"/>
        </w:rPr>
      </w:r>
      <w:r>
        <w:rPr/>
        <w:t>职工的合理要求，保障员工工资及福利。</w:t>
      </w:r>
    </w:p>
    <w:p>
      <w:pPr>
        <w:pStyle w:val="BodyText"/>
        <w:spacing w:line="273" w:lineRule="auto" w:before="12"/>
        <w:ind w:right="1126" w:firstLine="420"/>
        <w:jc w:val="both"/>
      </w:pPr>
      <w:r>
        <w:rPr>
          <w:spacing w:val="-2"/>
        </w:rPr>
        <w:t>长实通信报告期开展了管理干部能力提升培训班、员工特种作业（电工证、登高证、焊工证）等各种</w:t>
      </w:r>
      <w:r>
        <w:rPr>
          <w:w w:val="100"/>
        </w:rPr>
        <w:t> </w:t>
      </w:r>
      <w:r>
        <w:rPr/>
        <w:t>相关培训。</w:t>
      </w:r>
    </w:p>
    <w:p>
      <w:pPr>
        <w:pStyle w:val="BodyText"/>
        <w:spacing w:line="273" w:lineRule="auto" w:before="7"/>
        <w:ind w:right="819" w:firstLine="420"/>
        <w:jc w:val="left"/>
      </w:pPr>
      <w:r>
        <w:rPr/>
        <w:t>创世漫道通过科学有效的绩效考核管理机制，进一步完善公司薪酬体系，充分发挥薪酬的激励作用，</w:t>
      </w:r>
      <w:r>
        <w:rPr>
          <w:w w:val="100"/>
        </w:rPr>
        <w:t> </w:t>
      </w:r>
      <w:r>
        <w:rPr>
          <w:spacing w:val="-2"/>
        </w:rPr>
        <w:t>为员工提供广阔的发展平台；通过组织户外拓展、羽毛球、乒乓球、篮球兴趣小组等文体活动，组织员工</w:t>
      </w:r>
      <w:r>
        <w:rPr>
          <w:spacing w:val="-43"/>
        </w:rPr>
        <w:t> </w:t>
      </w:r>
      <w:r>
        <w:rPr>
          <w:spacing w:val="-43"/>
        </w:rPr>
      </w:r>
      <w:r>
        <w:rPr>
          <w:spacing w:val="-2"/>
        </w:rPr>
        <w:t>参加了海淀区街道组织的篮球比赛，活跃员工业余生活；通过向海淀园区申请公司人才公租房，解决部分</w:t>
      </w:r>
      <w:r>
        <w:rPr>
          <w:spacing w:val="-44"/>
        </w:rPr>
        <w:t> </w:t>
      </w:r>
      <w:r>
        <w:rPr>
          <w:spacing w:val="-44"/>
        </w:rPr>
      </w:r>
      <w:r>
        <w:rPr>
          <w:spacing w:val="-2"/>
        </w:rPr>
        <w:t>员工住房问题；通过对办公区的改造、美化，塑造员工更为舒适的工作环境；还定期以邮件、短信、板报</w:t>
      </w:r>
      <w:r>
        <w:rPr>
          <w:spacing w:val="-42"/>
        </w:rPr>
        <w:t> </w:t>
      </w:r>
      <w:r>
        <w:rPr>
          <w:spacing w:val="-42"/>
        </w:rPr>
      </w:r>
      <w:r>
        <w:rPr>
          <w:spacing w:val="-2"/>
        </w:rPr>
        <w:t>的形式提示员工在上下班驾车和乘坐公共交通工具时，注意出行交通安全，树立文明的交通安全意识，增</w:t>
      </w:r>
      <w:r>
        <w:rPr>
          <w:spacing w:val="-43"/>
        </w:rPr>
        <w:t> </w:t>
      </w:r>
      <w:r>
        <w:rPr>
          <w:spacing w:val="-43"/>
        </w:rPr>
      </w:r>
      <w:r>
        <w:rPr/>
        <w:t>强交通法制观念，为营造平安、和谐、有序的公共交通环境尽自己的一份责任。</w:t>
      </w:r>
    </w:p>
    <w:p>
      <w:pPr>
        <w:pStyle w:val="BodyText"/>
        <w:spacing w:line="266" w:lineRule="auto" w:before="7"/>
        <w:ind w:right="1126" w:firstLine="420"/>
        <w:jc w:val="both"/>
      </w:pPr>
      <w:r>
        <w:rPr>
          <w:rFonts w:ascii="Times New Roman" w:hAnsi="Times New Roman" w:cs="Times New Roman" w:eastAsia="Times New Roman" w:hint="default"/>
        </w:rPr>
        <w:t>3</w:t>
      </w:r>
      <w:r>
        <w:rPr/>
        <w:t>、诚信对待供应商、客户和消费者。公司采取学习宣传教育、健全举报查处制度、规范签约采购流</w:t>
      </w:r>
      <w:r>
        <w:rPr>
          <w:w w:val="100"/>
        </w:rPr>
        <w:t> </w:t>
      </w:r>
      <w:r>
        <w:rPr>
          <w:spacing w:val="-2"/>
        </w:rPr>
        <w:t>程等措施反商业贿赂，没有通过贿赂等非法活动牟取不正当利益。公司以双方平等协商签订的合同确认供</w:t>
      </w:r>
      <w:r>
        <w:rPr>
          <w:spacing w:val="-43"/>
        </w:rPr>
        <w:t> </w:t>
      </w:r>
      <w:r>
        <w:rPr>
          <w:spacing w:val="-43"/>
        </w:rPr>
      </w:r>
      <w:r>
        <w:rPr>
          <w:spacing w:val="-2"/>
        </w:rPr>
        <w:t>应商、客户的权利、义务，通过拓展服务范围和提升服务质量以满足客户的多元化需求，不断提升客户满</w:t>
      </w:r>
      <w:r>
        <w:rPr>
          <w:spacing w:val="-47"/>
        </w:rPr>
        <w:t> </w:t>
      </w:r>
      <w:r>
        <w:rPr>
          <w:spacing w:val="-47"/>
        </w:rPr>
      </w:r>
      <w:r>
        <w:rPr/>
        <w:t>意度。</w:t>
      </w:r>
    </w:p>
    <w:p>
      <w:pPr>
        <w:pStyle w:val="BodyText"/>
        <w:spacing w:line="273" w:lineRule="auto" w:before="14"/>
        <w:ind w:right="1126" w:firstLine="420"/>
        <w:jc w:val="both"/>
      </w:pPr>
      <w:r>
        <w:rPr>
          <w:spacing w:val="-2"/>
        </w:rPr>
        <w:t>长实通信采取学习宣传教育、健全举报查处制度、规范签约采购流程等措施反商业贿赂，成立审计监</w:t>
      </w:r>
      <w:r>
        <w:rPr>
          <w:w w:val="100"/>
        </w:rPr>
        <w:t> </w:t>
      </w:r>
      <w:r>
        <w:rPr/>
        <w:t>察部，组织相关人员召开反腐倡廉教育会议，与管理干部签订了廉洁从业承诺书。</w:t>
      </w:r>
    </w:p>
    <w:p>
      <w:pPr>
        <w:pStyle w:val="BodyText"/>
        <w:spacing w:line="273" w:lineRule="auto" w:before="7"/>
        <w:ind w:right="1128" w:firstLine="420"/>
        <w:jc w:val="both"/>
      </w:pPr>
      <w:r>
        <w:rPr>
          <w:spacing w:val="-2"/>
        </w:rPr>
        <w:t>创世漫道以一切源自用心，感动所有人，以客户为中心的服务理念，构造服务保障机制，提高员工服</w:t>
      </w:r>
      <w:r>
        <w:rPr>
          <w:w w:val="100"/>
        </w:rPr>
        <w:t> </w:t>
      </w:r>
      <w:r>
        <w:rPr/>
        <w:t>务素质，凭借多年来良好的服务及声誉，与主要客户之间的合作关系一直保持稳定。</w:t>
      </w:r>
    </w:p>
    <w:p>
      <w:pPr>
        <w:pStyle w:val="BodyText"/>
        <w:spacing w:line="256" w:lineRule="auto" w:before="8"/>
        <w:ind w:right="1136" w:firstLine="420"/>
        <w:jc w:val="both"/>
      </w:pPr>
      <w:r>
        <w:rPr>
          <w:rFonts w:ascii="Times New Roman" w:hAnsi="Times New Roman" w:cs="Times New Roman" w:eastAsia="Times New Roman" w:hint="default"/>
        </w:rPr>
        <w:t>4</w:t>
      </w:r>
      <w:r>
        <w:rPr/>
        <w:t>、公司遵循自愿、公平、等价有偿、诚实信用的原则，遵守社会公德、商业道德，接受政府和社会</w:t>
      </w:r>
      <w:r>
        <w:rPr>
          <w:w w:val="100"/>
        </w:rPr>
        <w:t> </w:t>
      </w:r>
      <w:r>
        <w:rPr/>
        <w:t>公众的监督，没有侵犯他人的商标权、专利权和著作权等知识产权，没有从事不正当竞争行为。</w:t>
      </w:r>
    </w:p>
    <w:p>
      <w:pPr>
        <w:spacing w:line="273" w:lineRule="auto" w:before="178"/>
        <w:ind w:left="573" w:right="1133" w:firstLine="0"/>
        <w:jc w:val="left"/>
        <w:rPr>
          <w:rFonts w:ascii="宋体" w:hAnsi="宋体" w:cs="宋体" w:eastAsia="宋体" w:hint="default"/>
          <w:sz w:val="21"/>
          <w:szCs w:val="21"/>
        </w:rPr>
      </w:pPr>
      <w:r>
        <w:rPr>
          <w:rFonts w:ascii="宋体" w:hAnsi="宋体" w:cs="宋体" w:eastAsia="宋体" w:hint="default"/>
          <w:b/>
          <w:bCs/>
          <w:sz w:val="21"/>
          <w:szCs w:val="21"/>
        </w:rPr>
        <w:t>（三）环境保护和可持续发展</w:t>
      </w:r>
      <w:r>
        <w:rPr>
          <w:rFonts w:ascii="宋体" w:hAnsi="宋体" w:cs="宋体" w:eastAsia="宋体" w:hint="default"/>
          <w:b/>
          <w:bCs/>
          <w:w w:val="100"/>
          <w:sz w:val="21"/>
          <w:szCs w:val="21"/>
        </w:rPr>
        <w:t> </w:t>
      </w:r>
      <w:r>
        <w:rPr>
          <w:rFonts w:ascii="宋体" w:hAnsi="宋体" w:cs="宋体" w:eastAsia="宋体" w:hint="default"/>
          <w:spacing w:val="-2"/>
          <w:sz w:val="21"/>
          <w:szCs w:val="21"/>
        </w:rPr>
        <w:t>公司信息传输、网络维护业务属于绿色可持续发展行业，没有高能耗、污染物排放，通信网络维护及</w:t>
      </w:r>
    </w:p>
    <w:p>
      <w:pPr>
        <w:pStyle w:val="BodyText"/>
        <w:spacing w:line="273" w:lineRule="auto" w:before="7"/>
        <w:ind w:right="819"/>
        <w:jc w:val="left"/>
      </w:pPr>
      <w:r>
        <w:rPr>
          <w:spacing w:val="-2"/>
        </w:rPr>
        <w:t>相关业务注重环保和使用倡导的环保材料。在日常的经营活动中，公司和员工积极践行低碳、环保和可持</w:t>
      </w:r>
      <w:r>
        <w:rPr>
          <w:spacing w:val="-45"/>
        </w:rPr>
        <w:t> </w:t>
      </w:r>
      <w:r>
        <w:rPr>
          <w:spacing w:val="-45"/>
        </w:rPr>
      </w:r>
      <w:r>
        <w:rPr/>
        <w:t>续发展的理念，合理用电、用水、用纸，养成节约习惯，提倡绿色办公，及时关闭不使用的电脑、灯具，</w:t>
      </w:r>
      <w:r>
        <w:rPr>
          <w:spacing w:val="-24"/>
        </w:rPr>
        <w:t> </w:t>
      </w:r>
      <w:r>
        <w:rPr>
          <w:spacing w:val="-24"/>
        </w:rPr>
      </w:r>
      <w:r>
        <w:rPr/>
        <w:t>充分利用再生纸，外出时尽可能乘坐公共交通工具。</w:t>
      </w:r>
    </w:p>
    <w:p>
      <w:pPr>
        <w:spacing w:after="0" w:line="273" w:lineRule="auto"/>
        <w:jc w:val="left"/>
        <w:sectPr>
          <w:pgSz w:w="11910" w:h="16840"/>
          <w:pgMar w:header="880" w:footer="975" w:top="1100" w:bottom="1160" w:left="980" w:right="0"/>
        </w:sectPr>
      </w:pPr>
    </w:p>
    <w:p>
      <w:pPr>
        <w:spacing w:line="240" w:lineRule="auto" w:before="11"/>
        <w:rPr>
          <w:rFonts w:ascii="宋体" w:hAnsi="宋体" w:cs="宋体" w:eastAsia="宋体" w:hint="default"/>
          <w:sz w:val="20"/>
          <w:szCs w:val="20"/>
        </w:rPr>
      </w:pPr>
    </w:p>
    <w:p>
      <w:pPr>
        <w:spacing w:line="273" w:lineRule="auto" w:before="36"/>
        <w:ind w:left="573" w:right="1133" w:firstLine="0"/>
        <w:jc w:val="left"/>
        <w:rPr>
          <w:rFonts w:ascii="宋体" w:hAnsi="宋体" w:cs="宋体" w:eastAsia="宋体" w:hint="default"/>
          <w:sz w:val="21"/>
          <w:szCs w:val="21"/>
        </w:rPr>
      </w:pPr>
      <w:r>
        <w:rPr>
          <w:rFonts w:ascii="宋体" w:hAnsi="宋体" w:cs="宋体" w:eastAsia="宋体" w:hint="default"/>
          <w:b/>
          <w:bCs/>
          <w:sz w:val="21"/>
          <w:szCs w:val="21"/>
        </w:rPr>
        <w:t>（四）公共关系和社会公益事业</w:t>
      </w:r>
      <w:r>
        <w:rPr>
          <w:rFonts w:ascii="宋体" w:hAnsi="宋体" w:cs="宋体" w:eastAsia="宋体" w:hint="default"/>
          <w:b/>
          <w:bCs/>
          <w:w w:val="99"/>
          <w:sz w:val="21"/>
          <w:szCs w:val="21"/>
        </w:rPr>
        <w:t> </w:t>
      </w:r>
      <w:r>
        <w:rPr>
          <w:rFonts w:ascii="宋体" w:hAnsi="宋体" w:cs="宋体" w:eastAsia="宋体" w:hint="default"/>
          <w:spacing w:val="-2"/>
          <w:sz w:val="21"/>
          <w:szCs w:val="21"/>
        </w:rPr>
        <w:t>长实通信在台风、泥石流、龙卷风、地震、水灾、冰灾、火灾、雪灾、重大会议及重大活动等灾害发</w:t>
      </w:r>
    </w:p>
    <w:p>
      <w:pPr>
        <w:pStyle w:val="BodyText"/>
        <w:spacing w:line="264" w:lineRule="auto" w:before="7"/>
        <w:ind w:right="1126"/>
        <w:jc w:val="both"/>
      </w:pPr>
      <w:r>
        <w:rPr>
          <w:spacing w:val="-2"/>
        </w:rPr>
        <w:t>生时，为了保障各地通信网络畅通，累计投入</w:t>
      </w:r>
      <w:r>
        <w:rPr>
          <w:rFonts w:ascii="Times New Roman" w:hAnsi="Times New Roman" w:cs="Times New Roman" w:eastAsia="Times New Roman" w:hint="default"/>
          <w:spacing w:val="-2"/>
        </w:rPr>
        <w:t>11,827</w:t>
      </w:r>
      <w:r>
        <w:rPr>
          <w:spacing w:val="-2"/>
        </w:rPr>
        <w:t>余人次及</w:t>
      </w:r>
      <w:r>
        <w:rPr>
          <w:rFonts w:ascii="Times New Roman" w:hAnsi="Times New Roman" w:cs="Times New Roman" w:eastAsia="Times New Roman" w:hint="default"/>
          <w:spacing w:val="-2"/>
        </w:rPr>
        <w:t>5,980</w:t>
      </w:r>
      <w:r>
        <w:rPr>
          <w:spacing w:val="-2"/>
        </w:rPr>
        <w:t>余车次，协助当地政府、运营商及铁塔</w:t>
      </w:r>
      <w:r>
        <w:rPr>
          <w:spacing w:val="-38"/>
        </w:rPr>
        <w:t> </w:t>
      </w:r>
      <w:r>
        <w:rPr>
          <w:spacing w:val="-38"/>
        </w:rPr>
      </w:r>
      <w:r>
        <w:rPr>
          <w:spacing w:val="-5"/>
        </w:rPr>
        <w:t>公司进行通信网络的抢修及维护。特别是在“利奇马”台风的通信保障、第四届中国</w:t>
      </w:r>
      <w:r>
        <w:rPr>
          <w:rFonts w:ascii="宋体" w:hAnsi="宋体" w:cs="宋体" w:eastAsia="宋体" w:hint="default"/>
          <w:spacing w:val="-5"/>
        </w:rPr>
        <w:t>-</w:t>
      </w:r>
      <w:r>
        <w:rPr>
          <w:spacing w:val="-5"/>
        </w:rPr>
        <w:t>阿拉伯国家博览会、</w:t>
      </w:r>
      <w:r>
        <w:rPr>
          <w:spacing w:val="-8"/>
        </w:rPr>
        <w:t> </w:t>
      </w:r>
      <w:r>
        <w:rPr>
          <w:spacing w:val="-8"/>
        </w:rPr>
      </w:r>
      <w:r>
        <w:rPr>
          <w:spacing w:val="-2"/>
        </w:rPr>
        <w:t>南阳</w:t>
      </w:r>
      <w:r>
        <w:rPr>
          <w:rFonts w:ascii="宋体" w:hAnsi="宋体" w:cs="宋体" w:eastAsia="宋体" w:hint="default"/>
          <w:spacing w:val="-2"/>
        </w:rPr>
        <w:t>2019</w:t>
      </w:r>
      <w:r>
        <w:rPr>
          <w:spacing w:val="-2"/>
        </w:rPr>
        <w:t>世界月季洲际大会暨第九届中国月季展、第二届数字中国建设峰会、</w:t>
      </w:r>
      <w:r>
        <w:rPr>
          <w:rFonts w:ascii="宋体" w:hAnsi="宋体" w:cs="宋体" w:eastAsia="宋体" w:hint="default"/>
          <w:spacing w:val="-2"/>
        </w:rPr>
        <w:t>2019</w:t>
      </w:r>
      <w:r>
        <w:rPr>
          <w:spacing w:val="-2"/>
        </w:rPr>
        <w:t>年央视春晚井冈山分会</w:t>
      </w:r>
      <w:r>
        <w:rPr>
          <w:spacing w:val="-36"/>
        </w:rPr>
        <w:t> </w:t>
      </w:r>
      <w:r>
        <w:rPr>
          <w:spacing w:val="-36"/>
        </w:rPr>
      </w:r>
      <w:r>
        <w:rPr>
          <w:spacing w:val="-2"/>
        </w:rPr>
        <w:t>场等重点大型活动通信保障中出动支援人员</w:t>
      </w:r>
      <w:r>
        <w:rPr>
          <w:rFonts w:ascii="Times New Roman" w:hAnsi="Times New Roman" w:cs="Times New Roman" w:eastAsia="Times New Roman" w:hint="default"/>
          <w:spacing w:val="-2"/>
        </w:rPr>
        <w:t>3,680</w:t>
      </w:r>
      <w:r>
        <w:rPr>
          <w:spacing w:val="-2"/>
        </w:rPr>
        <w:t>人次，调入车辆支援</w:t>
      </w:r>
      <w:r>
        <w:rPr>
          <w:rFonts w:ascii="Times New Roman" w:hAnsi="Times New Roman" w:cs="Times New Roman" w:eastAsia="Times New Roman" w:hint="default"/>
          <w:spacing w:val="-2"/>
        </w:rPr>
        <w:t>982</w:t>
      </w:r>
      <w:r>
        <w:rPr>
          <w:spacing w:val="-2"/>
        </w:rPr>
        <w:t>车次，配置发电机</w:t>
      </w:r>
      <w:r>
        <w:rPr>
          <w:rFonts w:ascii="Times New Roman" w:hAnsi="Times New Roman" w:cs="Times New Roman" w:eastAsia="Times New Roman" w:hint="default"/>
          <w:spacing w:val="-2"/>
        </w:rPr>
        <w:t>4,520</w:t>
      </w:r>
      <w:r>
        <w:rPr>
          <w:spacing w:val="-2"/>
        </w:rPr>
        <w:t>台次，为</w:t>
      </w:r>
      <w:r>
        <w:rPr>
          <w:spacing w:val="-36"/>
        </w:rPr>
        <w:t> </w:t>
      </w:r>
      <w:r>
        <w:rPr>
          <w:spacing w:val="-36"/>
        </w:rPr>
      </w:r>
      <w:r>
        <w:rPr/>
        <w:t>保障网络通信畅通做出了突出贡献，获得了当地政府和运营商的一致好评。</w:t>
      </w:r>
    </w:p>
    <w:p>
      <w:pPr>
        <w:pStyle w:val="Heading3"/>
        <w:spacing w:line="240" w:lineRule="auto" w:before="136"/>
        <w:ind w:left="575" w:right="1133"/>
        <w:jc w:val="left"/>
        <w:rPr>
          <w:b w:val="0"/>
          <w:bCs w:val="0"/>
        </w:rPr>
      </w:pPr>
      <w:r>
        <w:rPr/>
        <w:t>二、履行精准扶贫社会责任情况</w:t>
      </w:r>
      <w:r>
        <w:rPr>
          <w:b w:val="0"/>
          <w:bCs w:val="0"/>
        </w:rPr>
      </w:r>
    </w:p>
    <w:p>
      <w:pPr>
        <w:pStyle w:val="BodyText"/>
        <w:spacing w:line="240" w:lineRule="auto" w:before="37"/>
        <w:ind w:right="0"/>
        <w:jc w:val="both"/>
      </w:pPr>
      <w:r>
        <w:rPr>
          <w:rFonts w:ascii="宋体" w:hAnsi="宋体" w:cs="宋体" w:eastAsia="宋体" w:hint="default"/>
          <w:w w:val="100"/>
        </w:rPr>
        <w:t>    </w:t>
      </w:r>
      <w:r>
        <w:rPr/>
        <w:t>公司报告年度暂未开展精准扶贫工作，也暂无后续精准扶贫计划。</w:t>
      </w:r>
    </w:p>
    <w:p>
      <w:pPr>
        <w:spacing w:line="273" w:lineRule="auto" w:before="157"/>
        <w:ind w:left="573" w:right="819" w:firstLine="2"/>
        <w:jc w:val="left"/>
        <w:rPr>
          <w:rFonts w:ascii="宋体" w:hAnsi="宋体" w:cs="宋体" w:eastAsia="宋体" w:hint="default"/>
          <w:sz w:val="21"/>
          <w:szCs w:val="21"/>
        </w:rPr>
      </w:pPr>
      <w:r>
        <w:rPr>
          <w:rFonts w:ascii="宋体" w:hAnsi="宋体" w:cs="宋体" w:eastAsia="宋体" w:hint="default"/>
          <w:b/>
          <w:bCs/>
          <w:sz w:val="21"/>
          <w:szCs w:val="21"/>
        </w:rPr>
        <w:t>三、环境保护相关的情况</w:t>
      </w:r>
      <w:r>
        <w:rPr>
          <w:rFonts w:ascii="宋体" w:hAnsi="宋体" w:cs="宋体" w:eastAsia="宋体" w:hint="default"/>
          <w:b/>
          <w:bCs/>
          <w:w w:val="100"/>
          <w:sz w:val="21"/>
          <w:szCs w:val="21"/>
        </w:rPr>
        <w:t> </w:t>
      </w:r>
      <w:r>
        <w:rPr>
          <w:rFonts w:ascii="宋体" w:hAnsi="宋体" w:cs="宋体" w:eastAsia="宋体" w:hint="default"/>
          <w:sz w:val="21"/>
          <w:szCs w:val="21"/>
        </w:rPr>
        <w:t>公司主业及辅业不发生破坏生态、不产生污染情形，公司及子公司不属于环保部门监测、强制对象，</w:t>
      </w:r>
    </w:p>
    <w:p>
      <w:pPr>
        <w:pStyle w:val="BodyText"/>
        <w:spacing w:line="240" w:lineRule="auto" w:before="7"/>
        <w:ind w:right="0"/>
        <w:jc w:val="both"/>
      </w:pPr>
      <w:r>
        <w:rPr/>
        <w:t>公司经营注重节能、节约、绿色环保。</w:t>
      </w:r>
    </w:p>
    <w:p>
      <w:pPr>
        <w:spacing w:line="240" w:lineRule="auto" w:before="10"/>
        <w:rPr>
          <w:rFonts w:ascii="宋体" w:hAnsi="宋体" w:cs="宋体" w:eastAsia="宋体" w:hint="default"/>
          <w:sz w:val="24"/>
          <w:szCs w:val="24"/>
        </w:rPr>
      </w:pPr>
    </w:p>
    <w:p>
      <w:pPr>
        <w:pStyle w:val="Heading2"/>
        <w:spacing w:line="240" w:lineRule="auto" w:before="0"/>
        <w:ind w:left="3465" w:right="1133"/>
        <w:jc w:val="left"/>
        <w:rPr>
          <w:b w:val="0"/>
          <w:bCs w:val="0"/>
        </w:rPr>
      </w:pPr>
      <w:r>
        <w:rPr/>
        <w:t>第七节</w:t>
      </w:r>
      <w:r>
        <w:rPr>
          <w:spacing w:val="-3"/>
        </w:rPr>
        <w:t> </w:t>
      </w:r>
      <w:r>
        <w:rPr/>
        <w:t>其他重大事项的说明</w:t>
      </w:r>
      <w:r>
        <w:rPr>
          <w:b w:val="0"/>
          <w:bCs w:val="0"/>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4"/>
          <w:szCs w:val="14"/>
        </w:rPr>
      </w:pPr>
    </w:p>
    <w:p>
      <w:pPr>
        <w:pStyle w:val="Heading3"/>
        <w:spacing w:line="240" w:lineRule="auto" w:before="0"/>
        <w:ind w:left="575" w:right="1133"/>
        <w:jc w:val="left"/>
        <w:rPr>
          <w:b w:val="0"/>
          <w:bCs w:val="0"/>
        </w:rPr>
      </w:pPr>
      <w:r>
        <w:rPr/>
        <w:t>一、公司重大事项</w:t>
      </w:r>
      <w:r>
        <w:rPr>
          <w:b w:val="0"/>
          <w:bCs w:val="0"/>
        </w:rPr>
      </w:r>
    </w:p>
    <w:p>
      <w:pPr>
        <w:spacing w:line="273" w:lineRule="auto" w:before="37"/>
        <w:ind w:left="573" w:right="1133" w:firstLine="2"/>
        <w:jc w:val="left"/>
        <w:rPr>
          <w:rFonts w:ascii="宋体" w:hAnsi="宋体" w:cs="宋体" w:eastAsia="宋体" w:hint="default"/>
          <w:sz w:val="21"/>
          <w:szCs w:val="21"/>
        </w:rPr>
      </w:pPr>
      <w:r>
        <w:rPr>
          <w:rFonts w:ascii="宋体" w:hAnsi="宋体" w:cs="宋体" w:eastAsia="宋体" w:hint="default"/>
          <w:b/>
          <w:bCs/>
          <w:sz w:val="21"/>
          <w:szCs w:val="21"/>
        </w:rPr>
        <w:t>（一）公开发行可转换公司债券事项</w:t>
      </w:r>
      <w:r>
        <w:rPr>
          <w:rFonts w:ascii="宋体" w:hAnsi="宋体" w:cs="宋体" w:eastAsia="宋体" w:hint="default"/>
          <w:b/>
          <w:bCs/>
          <w:w w:val="99"/>
          <w:sz w:val="21"/>
          <w:szCs w:val="21"/>
        </w:rPr>
        <w:t> </w:t>
      </w:r>
      <w:r>
        <w:rPr>
          <w:rFonts w:ascii="宋体" w:hAnsi="宋体" w:cs="宋体" w:eastAsia="宋体" w:hint="default"/>
          <w:spacing w:val="-2"/>
          <w:sz w:val="21"/>
          <w:szCs w:val="21"/>
        </w:rPr>
        <w:t>本次公开发行可转换公司债券是经公司</w:t>
      </w:r>
      <w:r>
        <w:rPr>
          <w:rFonts w:ascii="宋体" w:hAnsi="宋体" w:cs="宋体" w:eastAsia="宋体" w:hint="default"/>
          <w:spacing w:val="-2"/>
          <w:sz w:val="21"/>
          <w:szCs w:val="21"/>
        </w:rPr>
        <w:t>2019</w:t>
      </w:r>
      <w:r>
        <w:rPr>
          <w:rFonts w:ascii="宋体" w:hAnsi="宋体" w:cs="宋体" w:eastAsia="宋体" w:hint="default"/>
          <w:spacing w:val="-2"/>
          <w:sz w:val="21"/>
          <w:szCs w:val="21"/>
        </w:rPr>
        <w:t>年</w:t>
      </w:r>
      <w:r>
        <w:rPr>
          <w:rFonts w:ascii="宋体" w:hAnsi="宋体" w:cs="宋体" w:eastAsia="宋体" w:hint="default"/>
          <w:spacing w:val="-2"/>
          <w:sz w:val="21"/>
          <w:szCs w:val="21"/>
        </w:rPr>
        <w:t>1</w:t>
      </w:r>
      <w:r>
        <w:rPr>
          <w:rFonts w:ascii="宋体" w:hAnsi="宋体" w:cs="宋体" w:eastAsia="宋体" w:hint="default"/>
          <w:spacing w:val="-2"/>
          <w:sz w:val="21"/>
          <w:szCs w:val="21"/>
        </w:rPr>
        <w:t>月</w:t>
      </w:r>
      <w:r>
        <w:rPr>
          <w:rFonts w:ascii="宋体" w:hAnsi="宋体" w:cs="宋体" w:eastAsia="宋体" w:hint="default"/>
          <w:spacing w:val="-2"/>
          <w:sz w:val="21"/>
          <w:szCs w:val="21"/>
        </w:rPr>
        <w:t>3</w:t>
      </w:r>
      <w:r>
        <w:rPr>
          <w:rFonts w:ascii="宋体" w:hAnsi="宋体" w:cs="宋体" w:eastAsia="宋体" w:hint="default"/>
          <w:spacing w:val="-2"/>
          <w:sz w:val="21"/>
          <w:szCs w:val="21"/>
        </w:rPr>
        <w:t>日召开的第七届董事会</w:t>
      </w:r>
      <w:r>
        <w:rPr>
          <w:rFonts w:ascii="宋体" w:hAnsi="宋体" w:cs="宋体" w:eastAsia="宋体" w:hint="default"/>
          <w:spacing w:val="-2"/>
          <w:sz w:val="21"/>
          <w:szCs w:val="21"/>
        </w:rPr>
        <w:t>2019</w:t>
      </w:r>
      <w:r>
        <w:rPr>
          <w:rFonts w:ascii="宋体" w:hAnsi="宋体" w:cs="宋体" w:eastAsia="宋体" w:hint="default"/>
          <w:spacing w:val="-2"/>
          <w:sz w:val="21"/>
          <w:szCs w:val="21"/>
        </w:rPr>
        <w:t>年第一次会议、</w:t>
      </w:r>
      <w:r>
        <w:rPr>
          <w:rFonts w:ascii="宋体" w:hAnsi="宋体" w:cs="宋体" w:eastAsia="宋体" w:hint="default"/>
          <w:spacing w:val="-2"/>
          <w:sz w:val="21"/>
          <w:szCs w:val="21"/>
        </w:rPr>
        <w:t>2019</w:t>
      </w:r>
      <w:r>
        <w:rPr>
          <w:rFonts w:ascii="宋体" w:hAnsi="宋体" w:cs="宋体" w:eastAsia="宋体" w:hint="default"/>
          <w:spacing w:val="-2"/>
          <w:sz w:val="21"/>
          <w:szCs w:val="21"/>
        </w:rPr>
        <w:t>年</w:t>
      </w:r>
    </w:p>
    <w:p>
      <w:pPr>
        <w:pStyle w:val="BodyText"/>
        <w:spacing w:line="240" w:lineRule="auto" w:before="7"/>
        <w:ind w:right="0"/>
        <w:jc w:val="both"/>
      </w:pPr>
      <w:r>
        <w:rPr>
          <w:rFonts w:ascii="宋体" w:hAnsi="宋体" w:cs="宋体" w:eastAsia="宋体" w:hint="default"/>
        </w:rPr>
        <w:t>4</w:t>
      </w:r>
      <w:r>
        <w:rPr/>
        <w:t>月</w:t>
      </w:r>
      <w:r>
        <w:rPr>
          <w:rFonts w:ascii="宋体" w:hAnsi="宋体" w:cs="宋体" w:eastAsia="宋体" w:hint="default"/>
        </w:rPr>
        <w:t>19</w:t>
      </w:r>
      <w:r>
        <w:rPr/>
        <w:t>日召开的第七届董事会</w:t>
      </w:r>
      <w:r>
        <w:rPr>
          <w:rFonts w:ascii="宋体" w:hAnsi="宋体" w:cs="宋体" w:eastAsia="宋体" w:hint="default"/>
        </w:rPr>
        <w:t>2019</w:t>
      </w:r>
      <w:r>
        <w:rPr/>
        <w:t>年第五次会议、</w:t>
      </w:r>
      <w:r>
        <w:rPr>
          <w:rFonts w:ascii="宋体" w:hAnsi="宋体" w:cs="宋体" w:eastAsia="宋体" w:hint="default"/>
        </w:rPr>
        <w:t>2019</w:t>
      </w:r>
      <w:r>
        <w:rPr/>
        <w:t>年</w:t>
      </w:r>
      <w:r>
        <w:rPr>
          <w:rFonts w:ascii="宋体" w:hAnsi="宋体" w:cs="宋体" w:eastAsia="宋体" w:hint="default"/>
        </w:rPr>
        <w:t>5</w:t>
      </w:r>
      <w:r>
        <w:rPr/>
        <w:t>月</w:t>
      </w:r>
      <w:r>
        <w:rPr>
          <w:rFonts w:ascii="宋体" w:hAnsi="宋体" w:cs="宋体" w:eastAsia="宋体" w:hint="default"/>
        </w:rPr>
        <w:t>20</w:t>
      </w:r>
      <w:r>
        <w:rPr/>
        <w:t>日召开的第七届董事会</w:t>
      </w:r>
      <w:r>
        <w:rPr>
          <w:rFonts w:ascii="宋体" w:hAnsi="宋体" w:cs="宋体" w:eastAsia="宋体" w:hint="default"/>
        </w:rPr>
        <w:t>2019</w:t>
      </w:r>
      <w:r>
        <w:rPr/>
        <w:t>年第八次会议、</w:t>
      </w:r>
    </w:p>
    <w:p>
      <w:pPr>
        <w:pStyle w:val="BodyText"/>
        <w:spacing w:line="273" w:lineRule="auto" w:before="37"/>
        <w:ind w:right="1129"/>
        <w:jc w:val="both"/>
        <w:rPr>
          <w:rFonts w:ascii="宋体" w:hAnsi="宋体" w:cs="宋体" w:eastAsia="宋体" w:hint="default"/>
        </w:rPr>
      </w:pPr>
      <w:r>
        <w:rPr>
          <w:rFonts w:ascii="宋体" w:hAnsi="宋体" w:cs="宋体" w:eastAsia="宋体" w:hint="default"/>
        </w:rPr>
        <w:t>2019</w:t>
      </w:r>
      <w:r>
        <w:rPr/>
        <w:t>年</w:t>
      </w:r>
      <w:r>
        <w:rPr>
          <w:rFonts w:ascii="宋体" w:hAnsi="宋体" w:cs="宋体" w:eastAsia="宋体" w:hint="default"/>
        </w:rPr>
        <w:t>8</w:t>
      </w:r>
      <w:r>
        <w:rPr/>
        <w:t>月</w:t>
      </w:r>
      <w:r>
        <w:rPr>
          <w:rFonts w:ascii="宋体" w:hAnsi="宋体" w:cs="宋体" w:eastAsia="宋体" w:hint="default"/>
        </w:rPr>
        <w:t>1</w:t>
      </w:r>
      <w:r>
        <w:rPr/>
        <w:t>日召开的第七届董事会</w:t>
      </w:r>
      <w:r>
        <w:rPr>
          <w:rFonts w:ascii="宋体" w:hAnsi="宋体" w:cs="宋体" w:eastAsia="宋体" w:hint="default"/>
        </w:rPr>
        <w:t>2019</w:t>
      </w:r>
      <w:r>
        <w:rPr/>
        <w:t>年第九次会议，以及公司</w:t>
      </w:r>
      <w:r>
        <w:rPr>
          <w:rFonts w:ascii="宋体" w:hAnsi="宋体" w:cs="宋体" w:eastAsia="宋体" w:hint="default"/>
        </w:rPr>
        <w:t>2019</w:t>
      </w:r>
      <w:r>
        <w:rPr/>
        <w:t>年</w:t>
      </w:r>
      <w:r>
        <w:rPr>
          <w:rFonts w:ascii="宋体" w:hAnsi="宋体" w:cs="宋体" w:eastAsia="宋体" w:hint="default"/>
        </w:rPr>
        <w:t>1</w:t>
      </w:r>
      <w:r>
        <w:rPr/>
        <w:t>月</w:t>
      </w:r>
      <w:r>
        <w:rPr>
          <w:rFonts w:ascii="宋体" w:hAnsi="宋体" w:cs="宋体" w:eastAsia="宋体" w:hint="default"/>
        </w:rPr>
        <w:t>14</w:t>
      </w:r>
      <w:r>
        <w:rPr/>
        <w:t>日召开的公司</w:t>
      </w:r>
      <w:r>
        <w:rPr>
          <w:rFonts w:ascii="宋体" w:hAnsi="宋体" w:cs="宋体" w:eastAsia="宋体" w:hint="default"/>
        </w:rPr>
        <w:t>2019</w:t>
      </w:r>
      <w:r>
        <w:rPr/>
        <w:t>年第一次</w:t>
      </w:r>
      <w:r>
        <w:rPr>
          <w:spacing w:val="-29"/>
        </w:rPr>
        <w:t> </w:t>
      </w:r>
      <w:r>
        <w:rPr>
          <w:spacing w:val="-29"/>
        </w:rPr>
      </w:r>
      <w:r>
        <w:rPr/>
        <w:t>临时股东大会、</w:t>
      </w:r>
      <w:r>
        <w:rPr>
          <w:rFonts w:ascii="宋体" w:hAnsi="宋体" w:cs="宋体" w:eastAsia="宋体" w:hint="default"/>
        </w:rPr>
        <w:t>2019</w:t>
      </w:r>
      <w:r>
        <w:rPr/>
        <w:t>年</w:t>
      </w:r>
      <w:r>
        <w:rPr>
          <w:rFonts w:ascii="宋体" w:hAnsi="宋体" w:cs="宋体" w:eastAsia="宋体" w:hint="default"/>
        </w:rPr>
        <w:t>5</w:t>
      </w:r>
      <w:r>
        <w:rPr/>
        <w:t>月</w:t>
      </w:r>
      <w:r>
        <w:rPr>
          <w:rFonts w:ascii="宋体" w:hAnsi="宋体" w:cs="宋体" w:eastAsia="宋体" w:hint="default"/>
        </w:rPr>
        <w:t>14</w:t>
      </w:r>
      <w:r>
        <w:rPr/>
        <w:t>日召开的公司</w:t>
      </w:r>
      <w:r>
        <w:rPr>
          <w:rFonts w:ascii="宋体" w:hAnsi="宋体" w:cs="宋体" w:eastAsia="宋体" w:hint="default"/>
        </w:rPr>
        <w:t>2018</w:t>
      </w:r>
      <w:r>
        <w:rPr/>
        <w:t>年度股东大会审议通过，拟公开发行可转换公司债券募集</w:t>
      </w:r>
      <w:r>
        <w:rPr>
          <w:spacing w:val="-29"/>
        </w:rPr>
        <w:t> </w:t>
      </w:r>
      <w:r>
        <w:rPr>
          <w:spacing w:val="-29"/>
        </w:rPr>
      </w:r>
      <w:r>
        <w:rPr>
          <w:spacing w:val="-6"/>
          <w:w w:val="100"/>
        </w:rPr>
        <w:t>资金总额不超过人民币</w:t>
      </w:r>
      <w:r>
        <w:rPr>
          <w:rFonts w:ascii="宋体" w:hAnsi="宋体" w:cs="宋体" w:eastAsia="宋体" w:hint="default"/>
          <w:spacing w:val="-6"/>
          <w:w w:val="100"/>
        </w:rPr>
        <w:t>69,700.00</w:t>
      </w:r>
      <w:r>
        <w:rPr>
          <w:spacing w:val="-6"/>
          <w:w w:val="100"/>
        </w:rPr>
        <w:t>万元（含本数）。</w:t>
      </w:r>
      <w:r>
        <w:rPr>
          <w:rFonts w:ascii="宋体" w:hAnsi="宋体" w:cs="宋体" w:eastAsia="宋体" w:hint="default"/>
          <w:w w:val="100"/>
        </w:rPr>
        <w:t> </w:t>
      </w:r>
    </w:p>
    <w:p>
      <w:pPr>
        <w:pStyle w:val="BodyText"/>
        <w:spacing w:line="273" w:lineRule="auto" w:before="7"/>
        <w:ind w:right="819" w:firstLine="420"/>
        <w:jc w:val="left"/>
        <w:rPr>
          <w:rFonts w:ascii="宋体" w:hAnsi="宋体" w:cs="宋体" w:eastAsia="宋体" w:hint="default"/>
        </w:rPr>
      </w:pPr>
      <w:r>
        <w:rPr>
          <w:spacing w:val="-5"/>
        </w:rPr>
        <w:t>后鉴于市场环境和融资政策发生变化，公司综合考虑实际经营情况及资金需求，对比多种融资方案后，</w:t>
      </w:r>
      <w:r>
        <w:rPr>
          <w:w w:val="100"/>
        </w:rPr>
        <w:t> </w:t>
      </w:r>
      <w:r>
        <w:rPr/>
        <w:t>经审慎研究，于</w:t>
      </w:r>
      <w:r>
        <w:rPr>
          <w:rFonts w:ascii="宋体" w:hAnsi="宋体" w:cs="宋体" w:eastAsia="宋体" w:hint="default"/>
        </w:rPr>
        <w:t>2019</w:t>
      </w:r>
      <w:r>
        <w:rPr/>
        <w:t>年</w:t>
      </w:r>
      <w:r>
        <w:rPr>
          <w:rFonts w:ascii="宋体" w:hAnsi="宋体" w:cs="宋体" w:eastAsia="宋体" w:hint="default"/>
        </w:rPr>
        <w:t>11</w:t>
      </w:r>
      <w:r>
        <w:rPr/>
        <w:t>月</w:t>
      </w:r>
      <w:r>
        <w:rPr>
          <w:rFonts w:ascii="宋体" w:hAnsi="宋体" w:cs="宋体" w:eastAsia="宋体" w:hint="default"/>
        </w:rPr>
        <w:t>18</w:t>
      </w:r>
      <w:r>
        <w:rPr/>
        <w:t>日召开的第七届董事会</w:t>
      </w:r>
      <w:r>
        <w:rPr>
          <w:rFonts w:ascii="宋体" w:hAnsi="宋体" w:cs="宋体" w:eastAsia="宋体" w:hint="default"/>
        </w:rPr>
        <w:t>2019</w:t>
      </w:r>
      <w:r>
        <w:rPr/>
        <w:t>年第十五次会议，审议通过了《关于终止公开发</w:t>
      </w:r>
      <w:r>
        <w:rPr>
          <w:w w:val="100"/>
        </w:rPr>
        <w:t> </w:t>
      </w:r>
      <w:r>
        <w:rPr>
          <w:spacing w:val="-2"/>
          <w:w w:val="100"/>
        </w:rPr>
        <w:t>行可转换公司债券事项并撤回申请文件的议案》。公司终止了公开发行可转换公司债券事项，并向中国证</w:t>
      </w:r>
      <w:r>
        <w:rPr>
          <w:spacing w:val="-94"/>
          <w:w w:val="100"/>
        </w:rPr>
        <w:t> </w:t>
      </w:r>
      <w:r>
        <w:rPr>
          <w:spacing w:val="-94"/>
          <w:w w:val="100"/>
        </w:rPr>
      </w:r>
      <w:r>
        <w:rPr/>
        <w:t>监会申请撤回可转债的申请文件，此事项不会对公司正常生产经营与持续稳定发展造成重大不利影响。</w:t>
      </w:r>
      <w:r>
        <w:rPr>
          <w:rFonts w:ascii="宋体" w:hAnsi="宋体" w:cs="宋体" w:eastAsia="宋体" w:hint="default"/>
        </w:rPr>
        <w:t> </w:t>
      </w:r>
    </w:p>
    <w:p>
      <w:pPr>
        <w:pStyle w:val="BodyText"/>
        <w:spacing w:line="240" w:lineRule="auto" w:before="7"/>
        <w:ind w:left="573" w:right="1133"/>
        <w:jc w:val="left"/>
        <w:rPr>
          <w:rFonts w:ascii="宋体" w:hAnsi="宋体" w:cs="宋体" w:eastAsia="宋体" w:hint="default"/>
        </w:rPr>
      </w:pPr>
      <w:r>
        <w:rPr/>
        <w:t>有关信息查询索引见下表：</w:t>
      </w:r>
      <w:r>
        <w:rPr>
          <w:rFonts w:ascii="宋体" w:hAnsi="宋体" w:cs="宋体" w:eastAsia="宋体" w:hint="default"/>
        </w:rPr>
        <w:t> </w:t>
      </w:r>
    </w:p>
    <w:p>
      <w:pPr>
        <w:spacing w:line="240" w:lineRule="auto" w:before="13"/>
        <w:rPr>
          <w:rFonts w:ascii="宋体" w:hAnsi="宋体" w:cs="宋体" w:eastAsia="宋体" w:hint="default"/>
          <w:sz w:val="14"/>
          <w:szCs w:val="14"/>
        </w:rPr>
      </w:pPr>
    </w:p>
    <w:tbl>
      <w:tblPr>
        <w:tblW w:w="0" w:type="auto"/>
        <w:jc w:val="left"/>
        <w:tblInd w:w="148" w:type="dxa"/>
        <w:tblLayout w:type="fixed"/>
        <w:tblCellMar>
          <w:top w:w="0" w:type="dxa"/>
          <w:left w:w="0" w:type="dxa"/>
          <w:bottom w:w="0" w:type="dxa"/>
          <w:right w:w="0" w:type="dxa"/>
        </w:tblCellMar>
        <w:tblLook w:val="01E0"/>
      </w:tblPr>
      <w:tblGrid>
        <w:gridCol w:w="2835"/>
        <w:gridCol w:w="5072"/>
        <w:gridCol w:w="1733"/>
      </w:tblGrid>
      <w:tr>
        <w:trPr>
          <w:trHeight w:val="406" w:hRule="exact"/>
        </w:trPr>
        <w:tc>
          <w:tcPr>
            <w:tcW w:w="28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临时报告披露网站查询索引</w:t>
            </w:r>
            <w:r>
              <w:rPr>
                <w:rFonts w:ascii="宋体" w:hAnsi="宋体" w:cs="宋体" w:eastAsia="宋体" w:hint="default"/>
                <w:sz w:val="18"/>
                <w:szCs w:val="18"/>
              </w:rPr>
              <w:t> </w:t>
            </w:r>
          </w:p>
        </w:tc>
        <w:tc>
          <w:tcPr>
            <w:tcW w:w="5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巨潮资讯网</w:t>
            </w:r>
            <w:r>
              <w:rPr>
                <w:rFonts w:ascii="宋体" w:hAnsi="宋体" w:cs="宋体" w:eastAsia="宋体" w:hint="default"/>
                <w:sz w:val="18"/>
                <w:szCs w:val="18"/>
              </w:rPr>
              <w:t>(</w:t>
            </w:r>
            <w:r>
              <w:rPr>
                <w:rFonts w:ascii="宋体" w:hAnsi="宋体" w:cs="宋体" w:eastAsia="宋体" w:hint="default"/>
                <w:sz w:val="18"/>
                <w:szCs w:val="18"/>
              </w:rPr>
              <w:t>网址：</w:t>
            </w:r>
            <w:r>
              <w:rPr>
                <w:rFonts w:ascii="宋体" w:hAnsi="宋体" w:cs="宋体" w:eastAsia="宋体" w:hint="default"/>
                <w:sz w:val="18"/>
                <w:szCs w:val="18"/>
              </w:rPr>
              <w:t>www.cninfo.com.cn) </w:t>
            </w:r>
          </w:p>
        </w:tc>
        <w:tc>
          <w:tcPr>
            <w:tcW w:w="1733"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502" w:right="0"/>
              <w:jc w:val="left"/>
              <w:rPr>
                <w:rFonts w:ascii="宋体" w:hAnsi="宋体" w:cs="宋体" w:eastAsia="宋体" w:hint="default"/>
                <w:sz w:val="18"/>
                <w:szCs w:val="18"/>
              </w:rPr>
            </w:pPr>
            <w:r>
              <w:rPr>
                <w:rFonts w:ascii="宋体" w:hAnsi="宋体" w:cs="宋体" w:eastAsia="宋体" w:hint="default"/>
                <w:sz w:val="18"/>
                <w:szCs w:val="18"/>
              </w:rPr>
              <w:t>披露日期</w:t>
            </w:r>
          </w:p>
        </w:tc>
      </w:tr>
      <w:tr>
        <w:trPr>
          <w:trHeight w:val="409" w:hRule="exact"/>
        </w:trPr>
        <w:tc>
          <w:tcPr>
            <w:tcW w:w="28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重要事项概述</w:t>
            </w:r>
            <w:r>
              <w:rPr>
                <w:rFonts w:ascii="宋体" w:hAnsi="宋体" w:cs="宋体" w:eastAsia="宋体" w:hint="default"/>
                <w:sz w:val="18"/>
                <w:szCs w:val="18"/>
              </w:rPr>
              <w:t> </w:t>
            </w:r>
          </w:p>
        </w:tc>
        <w:tc>
          <w:tcPr>
            <w:tcW w:w="5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公开发行可转换公司债券事项</w:t>
            </w:r>
            <w:r>
              <w:rPr>
                <w:rFonts w:ascii="宋体" w:hAnsi="宋体" w:cs="宋体" w:eastAsia="宋体" w:hint="default"/>
                <w:sz w:val="18"/>
                <w:szCs w:val="18"/>
              </w:rPr>
              <w:t> </w:t>
            </w:r>
          </w:p>
        </w:tc>
        <w:tc>
          <w:tcPr>
            <w:tcW w:w="1733" w:type="dxa"/>
            <w:vMerge/>
            <w:tcBorders>
              <w:left w:val="single" w:sz="4" w:space="0" w:color="000000"/>
              <w:right w:val="single" w:sz="4" w:space="0" w:color="000000"/>
            </w:tcBorders>
            <w:shd w:val="clear" w:color="auto" w:fill="D9D9D9"/>
          </w:tcPr>
          <w:p>
            <w:pPr/>
          </w:p>
        </w:tc>
      </w:tr>
      <w:tr>
        <w:trPr>
          <w:trHeight w:val="406" w:hRule="exact"/>
        </w:trPr>
        <w:tc>
          <w:tcPr>
            <w:tcW w:w="7907"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公告名称</w:t>
            </w:r>
            <w:r>
              <w:rPr>
                <w:rFonts w:ascii="宋体" w:hAnsi="宋体" w:cs="宋体" w:eastAsia="宋体" w:hint="default"/>
                <w:sz w:val="18"/>
                <w:szCs w:val="18"/>
              </w:rPr>
              <w:t>(</w:t>
            </w:r>
            <w:r>
              <w:rPr>
                <w:rFonts w:ascii="宋体" w:hAnsi="宋体" w:cs="宋体" w:eastAsia="宋体" w:hint="default"/>
                <w:sz w:val="18"/>
                <w:szCs w:val="18"/>
              </w:rPr>
              <w:t>编号</w:t>
            </w:r>
            <w:r>
              <w:rPr>
                <w:rFonts w:ascii="宋体" w:hAnsi="宋体" w:cs="宋体" w:eastAsia="宋体" w:hint="default"/>
                <w:sz w:val="18"/>
                <w:szCs w:val="18"/>
              </w:rPr>
              <w:t>) </w:t>
            </w:r>
          </w:p>
        </w:tc>
        <w:tc>
          <w:tcPr>
            <w:tcW w:w="1733" w:type="dxa"/>
            <w:vMerge/>
            <w:tcBorders>
              <w:left w:val="single" w:sz="4" w:space="0" w:color="000000"/>
              <w:bottom w:val="single" w:sz="4" w:space="0" w:color="000000"/>
              <w:right w:val="single" w:sz="4" w:space="0" w:color="000000"/>
            </w:tcBorders>
            <w:shd w:val="clear" w:color="auto" w:fill="D9D9D9"/>
          </w:tcPr>
          <w:p>
            <w:pPr/>
          </w:p>
        </w:tc>
      </w:tr>
      <w:tr>
        <w:trPr>
          <w:trHeight w:val="407" w:hRule="exact"/>
        </w:trPr>
        <w:tc>
          <w:tcPr>
            <w:tcW w:w="790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103" w:right="0"/>
              <w:jc w:val="left"/>
              <w:rPr>
                <w:rFonts w:ascii="宋体" w:hAnsi="宋体" w:cs="宋体" w:eastAsia="宋体" w:hint="default"/>
                <w:sz w:val="18"/>
                <w:szCs w:val="18"/>
              </w:rPr>
            </w:pPr>
            <w:r>
              <w:rPr>
                <w:rFonts w:ascii="宋体" w:hAnsi="宋体" w:cs="宋体" w:eastAsia="宋体" w:hint="default"/>
                <w:sz w:val="18"/>
                <w:szCs w:val="18"/>
              </w:rPr>
              <w:t>中嘉博创：公司第七届董事会</w:t>
            </w:r>
            <w:r>
              <w:rPr>
                <w:rFonts w:ascii="宋体" w:hAnsi="宋体" w:cs="宋体" w:eastAsia="宋体" w:hint="default"/>
                <w:spacing w:val="-48"/>
                <w:sz w:val="18"/>
                <w:szCs w:val="18"/>
              </w:rPr>
              <w:t> </w:t>
            </w:r>
            <w:r>
              <w:rPr>
                <w:rFonts w:ascii="宋体" w:hAnsi="宋体" w:cs="宋体" w:eastAsia="宋体" w:hint="default"/>
                <w:sz w:val="18"/>
                <w:szCs w:val="18"/>
              </w:rPr>
              <w:t>2019</w:t>
            </w:r>
            <w:r>
              <w:rPr>
                <w:rFonts w:ascii="宋体" w:hAnsi="宋体" w:cs="宋体" w:eastAsia="宋体" w:hint="default"/>
                <w:spacing w:val="-47"/>
                <w:sz w:val="18"/>
                <w:szCs w:val="18"/>
              </w:rPr>
              <w:t> </w:t>
            </w:r>
            <w:r>
              <w:rPr>
                <w:rFonts w:ascii="宋体" w:hAnsi="宋体" w:cs="宋体" w:eastAsia="宋体" w:hint="default"/>
                <w:sz w:val="18"/>
                <w:szCs w:val="18"/>
              </w:rPr>
              <w:t>年第一次会议决议公告</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2019</w:t>
            </w:r>
            <w:r>
              <w:rPr>
                <w:rFonts w:ascii="宋体" w:hAnsi="宋体" w:cs="宋体" w:eastAsia="宋体" w:hint="default"/>
                <w:sz w:val="18"/>
                <w:szCs w:val="18"/>
              </w:rPr>
              <w:t>—</w:t>
            </w:r>
            <w:r>
              <w:rPr>
                <w:rFonts w:ascii="宋体" w:hAnsi="宋体" w:cs="宋体" w:eastAsia="宋体" w:hint="default"/>
                <w:sz w:val="18"/>
                <w:szCs w:val="18"/>
              </w:rPr>
              <w:t>02) </w:t>
            </w:r>
          </w:p>
        </w:tc>
        <w:tc>
          <w:tcPr>
            <w:tcW w:w="17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日</w:t>
            </w:r>
          </w:p>
        </w:tc>
      </w:tr>
      <w:tr>
        <w:trPr>
          <w:trHeight w:val="408" w:hRule="exact"/>
        </w:trPr>
        <w:tc>
          <w:tcPr>
            <w:tcW w:w="790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中嘉博创：</w:t>
            </w:r>
            <w:r>
              <w:rPr>
                <w:rFonts w:ascii="宋体" w:hAnsi="宋体" w:cs="宋体" w:eastAsia="宋体" w:hint="default"/>
                <w:sz w:val="18"/>
                <w:szCs w:val="18"/>
              </w:rPr>
              <w:t>2019</w:t>
            </w:r>
            <w:r>
              <w:rPr>
                <w:rFonts w:ascii="宋体" w:hAnsi="宋体" w:cs="宋体" w:eastAsia="宋体" w:hint="default"/>
                <w:spacing w:val="-49"/>
                <w:sz w:val="18"/>
                <w:szCs w:val="18"/>
              </w:rPr>
              <w:t> </w:t>
            </w:r>
            <w:r>
              <w:rPr>
                <w:rFonts w:ascii="宋体" w:hAnsi="宋体" w:cs="宋体" w:eastAsia="宋体" w:hint="default"/>
                <w:sz w:val="18"/>
                <w:szCs w:val="18"/>
              </w:rPr>
              <w:t>年第一次临时股东大会决议公告（公告编号：</w:t>
            </w:r>
            <w:r>
              <w:rPr>
                <w:rFonts w:ascii="宋体" w:hAnsi="宋体" w:cs="宋体" w:eastAsia="宋体" w:hint="default"/>
                <w:sz w:val="18"/>
                <w:szCs w:val="18"/>
              </w:rPr>
              <w:t>2019</w:t>
            </w:r>
            <w:r>
              <w:rPr>
                <w:rFonts w:ascii="宋体" w:hAnsi="宋体" w:cs="宋体" w:eastAsia="宋体" w:hint="default"/>
                <w:sz w:val="18"/>
                <w:szCs w:val="18"/>
              </w:rPr>
              <w:t>—</w:t>
            </w:r>
            <w:r>
              <w:rPr>
                <w:rFonts w:ascii="宋体" w:hAnsi="宋体" w:cs="宋体" w:eastAsia="宋体" w:hint="default"/>
                <w:sz w:val="18"/>
                <w:szCs w:val="18"/>
              </w:rPr>
              <w:t>10</w:t>
            </w:r>
            <w:r>
              <w:rPr>
                <w:rFonts w:ascii="宋体" w:hAnsi="宋体" w:cs="宋体" w:eastAsia="宋体" w:hint="default"/>
                <w:sz w:val="18"/>
                <w:szCs w:val="18"/>
              </w:rPr>
              <w:t>）</w:t>
            </w:r>
            <w:r>
              <w:rPr>
                <w:rFonts w:ascii="宋体" w:hAnsi="宋体" w:cs="宋体" w:eastAsia="宋体" w:hint="default"/>
                <w:sz w:val="18"/>
                <w:szCs w:val="18"/>
              </w:rPr>
              <w:t> </w:t>
            </w:r>
          </w:p>
        </w:tc>
        <w:tc>
          <w:tcPr>
            <w:tcW w:w="17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15 </w:t>
            </w:r>
            <w:r>
              <w:rPr>
                <w:rFonts w:ascii="宋体" w:hAnsi="宋体" w:cs="宋体" w:eastAsia="宋体" w:hint="default"/>
                <w:sz w:val="18"/>
                <w:szCs w:val="18"/>
              </w:rPr>
              <w:t>日</w:t>
            </w:r>
          </w:p>
        </w:tc>
      </w:tr>
      <w:tr>
        <w:trPr>
          <w:trHeight w:val="406" w:hRule="exact"/>
        </w:trPr>
        <w:tc>
          <w:tcPr>
            <w:tcW w:w="790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中嘉博创：公司第七届董事会</w:t>
            </w:r>
            <w:r>
              <w:rPr>
                <w:rFonts w:ascii="宋体" w:hAnsi="宋体" w:cs="宋体" w:eastAsia="宋体" w:hint="default"/>
                <w:spacing w:val="-48"/>
                <w:sz w:val="18"/>
                <w:szCs w:val="18"/>
              </w:rPr>
              <w:t> </w:t>
            </w:r>
            <w:r>
              <w:rPr>
                <w:rFonts w:ascii="宋体" w:hAnsi="宋体" w:cs="宋体" w:eastAsia="宋体" w:hint="default"/>
                <w:sz w:val="18"/>
                <w:szCs w:val="18"/>
              </w:rPr>
              <w:t>2019</w:t>
            </w:r>
            <w:r>
              <w:rPr>
                <w:rFonts w:ascii="宋体" w:hAnsi="宋体" w:cs="宋体" w:eastAsia="宋体" w:hint="default"/>
                <w:spacing w:val="-47"/>
                <w:sz w:val="18"/>
                <w:szCs w:val="18"/>
              </w:rPr>
              <w:t> </w:t>
            </w:r>
            <w:r>
              <w:rPr>
                <w:rFonts w:ascii="宋体" w:hAnsi="宋体" w:cs="宋体" w:eastAsia="宋体" w:hint="default"/>
                <w:sz w:val="18"/>
                <w:szCs w:val="18"/>
              </w:rPr>
              <w:t>年第五次会议决议公告</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2019</w:t>
            </w:r>
            <w:r>
              <w:rPr>
                <w:rFonts w:ascii="宋体" w:hAnsi="宋体" w:cs="宋体" w:eastAsia="宋体" w:hint="default"/>
                <w:sz w:val="18"/>
                <w:szCs w:val="18"/>
              </w:rPr>
              <w:t>—</w:t>
            </w:r>
            <w:r>
              <w:rPr>
                <w:rFonts w:ascii="宋体" w:hAnsi="宋体" w:cs="宋体" w:eastAsia="宋体" w:hint="default"/>
                <w:sz w:val="18"/>
                <w:szCs w:val="18"/>
              </w:rPr>
              <w:t>35) </w:t>
            </w:r>
          </w:p>
        </w:tc>
        <w:tc>
          <w:tcPr>
            <w:tcW w:w="17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23 </w:t>
            </w:r>
            <w:r>
              <w:rPr>
                <w:rFonts w:ascii="宋体" w:hAnsi="宋体" w:cs="宋体" w:eastAsia="宋体" w:hint="default"/>
                <w:sz w:val="18"/>
                <w:szCs w:val="18"/>
              </w:rPr>
              <w:t>日</w:t>
            </w:r>
          </w:p>
        </w:tc>
      </w:tr>
      <w:tr>
        <w:trPr>
          <w:trHeight w:val="409" w:hRule="exact"/>
        </w:trPr>
        <w:tc>
          <w:tcPr>
            <w:tcW w:w="790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中嘉博创：</w:t>
            </w: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年度股东大会决议公告（公告编号：</w:t>
            </w:r>
            <w:r>
              <w:rPr>
                <w:rFonts w:ascii="宋体" w:hAnsi="宋体" w:cs="宋体" w:eastAsia="宋体" w:hint="default"/>
                <w:sz w:val="18"/>
                <w:szCs w:val="18"/>
              </w:rPr>
              <w:t>2019</w:t>
            </w:r>
            <w:r>
              <w:rPr>
                <w:rFonts w:ascii="宋体" w:hAnsi="宋体" w:cs="宋体" w:eastAsia="宋体" w:hint="default"/>
                <w:sz w:val="18"/>
                <w:szCs w:val="18"/>
              </w:rPr>
              <w:t>—</w:t>
            </w:r>
            <w:r>
              <w:rPr>
                <w:rFonts w:ascii="宋体" w:hAnsi="宋体" w:cs="宋体" w:eastAsia="宋体" w:hint="default"/>
                <w:sz w:val="18"/>
                <w:szCs w:val="18"/>
              </w:rPr>
              <w:t>48</w:t>
            </w:r>
            <w:r>
              <w:rPr>
                <w:rFonts w:ascii="宋体" w:hAnsi="宋体" w:cs="宋体" w:eastAsia="宋体" w:hint="default"/>
                <w:sz w:val="18"/>
                <w:szCs w:val="18"/>
              </w:rPr>
              <w:t>）</w:t>
            </w:r>
            <w:r>
              <w:rPr>
                <w:rFonts w:ascii="宋体" w:hAnsi="宋体" w:cs="宋体" w:eastAsia="宋体" w:hint="default"/>
                <w:sz w:val="18"/>
                <w:szCs w:val="18"/>
              </w:rPr>
              <w:t> </w:t>
            </w:r>
          </w:p>
        </w:tc>
        <w:tc>
          <w:tcPr>
            <w:tcW w:w="17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15 </w:t>
            </w:r>
            <w:r>
              <w:rPr>
                <w:rFonts w:ascii="宋体" w:hAnsi="宋体" w:cs="宋体" w:eastAsia="宋体" w:hint="default"/>
                <w:sz w:val="18"/>
                <w:szCs w:val="18"/>
              </w:rPr>
              <w:t>日</w:t>
            </w:r>
          </w:p>
        </w:tc>
      </w:tr>
      <w:tr>
        <w:trPr>
          <w:trHeight w:val="406" w:hRule="exact"/>
        </w:trPr>
        <w:tc>
          <w:tcPr>
            <w:tcW w:w="790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中嘉博创：公司第七届董事会</w:t>
            </w:r>
            <w:r>
              <w:rPr>
                <w:rFonts w:ascii="宋体" w:hAnsi="宋体" w:cs="宋体" w:eastAsia="宋体" w:hint="default"/>
                <w:spacing w:val="-48"/>
                <w:sz w:val="18"/>
                <w:szCs w:val="18"/>
              </w:rPr>
              <w:t> </w:t>
            </w:r>
            <w:r>
              <w:rPr>
                <w:rFonts w:ascii="宋体" w:hAnsi="宋体" w:cs="宋体" w:eastAsia="宋体" w:hint="default"/>
                <w:sz w:val="18"/>
                <w:szCs w:val="18"/>
              </w:rPr>
              <w:t>2019</w:t>
            </w:r>
            <w:r>
              <w:rPr>
                <w:rFonts w:ascii="宋体" w:hAnsi="宋体" w:cs="宋体" w:eastAsia="宋体" w:hint="default"/>
                <w:spacing w:val="-47"/>
                <w:sz w:val="18"/>
                <w:szCs w:val="18"/>
              </w:rPr>
              <w:t> </w:t>
            </w:r>
            <w:r>
              <w:rPr>
                <w:rFonts w:ascii="宋体" w:hAnsi="宋体" w:cs="宋体" w:eastAsia="宋体" w:hint="default"/>
                <w:sz w:val="18"/>
                <w:szCs w:val="18"/>
              </w:rPr>
              <w:t>年第八次会议决议公告</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2019</w:t>
            </w:r>
            <w:r>
              <w:rPr>
                <w:rFonts w:ascii="宋体" w:hAnsi="宋体" w:cs="宋体" w:eastAsia="宋体" w:hint="default"/>
                <w:sz w:val="18"/>
                <w:szCs w:val="18"/>
              </w:rPr>
              <w:t>—</w:t>
            </w:r>
            <w:r>
              <w:rPr>
                <w:rFonts w:ascii="宋体" w:hAnsi="宋体" w:cs="宋体" w:eastAsia="宋体" w:hint="default"/>
                <w:sz w:val="18"/>
                <w:szCs w:val="18"/>
              </w:rPr>
              <w:t>52) </w:t>
            </w:r>
          </w:p>
        </w:tc>
        <w:tc>
          <w:tcPr>
            <w:tcW w:w="17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21 </w:t>
            </w:r>
            <w:r>
              <w:rPr>
                <w:rFonts w:ascii="宋体" w:hAnsi="宋体" w:cs="宋体" w:eastAsia="宋体" w:hint="default"/>
                <w:sz w:val="18"/>
                <w:szCs w:val="18"/>
              </w:rPr>
              <w:t>日</w:t>
            </w:r>
          </w:p>
        </w:tc>
      </w:tr>
      <w:tr>
        <w:trPr>
          <w:trHeight w:val="408" w:hRule="exact"/>
        </w:trPr>
        <w:tc>
          <w:tcPr>
            <w:tcW w:w="790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中嘉博创：关于公开发行可转换公司债券申请获得中国证监会受理的公告</w:t>
            </w:r>
            <w:r>
              <w:rPr>
                <w:rFonts w:ascii="Times New Roman" w:hAnsi="Times New Roman" w:cs="Times New Roman" w:eastAsia="Times New Roman" w:hint="default"/>
                <w:sz w:val="18"/>
                <w:szCs w:val="18"/>
              </w:rPr>
              <w:t>(</w:t>
            </w:r>
            <w:r>
              <w:rPr>
                <w:rFonts w:ascii="宋体" w:hAnsi="宋体" w:cs="宋体" w:eastAsia="宋体" w:hint="default"/>
                <w:sz w:val="18"/>
                <w:szCs w:val="18"/>
              </w:rPr>
              <w:t>公告编号：</w:t>
            </w:r>
            <w:r>
              <w:rPr>
                <w:rFonts w:ascii="Times New Roman" w:hAnsi="Times New Roman" w:cs="Times New Roman" w:eastAsia="Times New Roman" w:hint="default"/>
                <w:sz w:val="18"/>
                <w:szCs w:val="18"/>
              </w:rPr>
              <w:t>2019</w:t>
            </w:r>
            <w:r>
              <w:rPr>
                <w:rFonts w:ascii="宋体" w:hAnsi="宋体" w:cs="宋体" w:eastAsia="宋体" w:hint="default"/>
                <w:sz w:val="18"/>
                <w:szCs w:val="18"/>
              </w:rPr>
              <w:t>—</w:t>
            </w:r>
            <w:r>
              <w:rPr>
                <w:rFonts w:ascii="Times New Roman" w:hAnsi="Times New Roman" w:cs="Times New Roman" w:eastAsia="Times New Roman" w:hint="default"/>
                <w:sz w:val="18"/>
                <w:szCs w:val="18"/>
              </w:rPr>
              <w:t>56)</w:t>
            </w:r>
            <w:r>
              <w:rPr>
                <w:rFonts w:ascii="宋体" w:hAnsi="宋体" w:cs="宋体" w:eastAsia="宋体" w:hint="default"/>
                <w:sz w:val="18"/>
                <w:szCs w:val="18"/>
              </w:rPr>
              <w:t> </w:t>
            </w:r>
          </w:p>
        </w:tc>
        <w:tc>
          <w:tcPr>
            <w:tcW w:w="17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6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日</w:t>
            </w:r>
          </w:p>
        </w:tc>
      </w:tr>
      <w:tr>
        <w:trPr>
          <w:trHeight w:val="408" w:hRule="exact"/>
        </w:trPr>
        <w:tc>
          <w:tcPr>
            <w:tcW w:w="790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中嘉博创：公司第七届董事会</w:t>
            </w:r>
            <w:r>
              <w:rPr>
                <w:rFonts w:ascii="宋体" w:hAnsi="宋体" w:cs="宋体" w:eastAsia="宋体" w:hint="default"/>
                <w:spacing w:val="-48"/>
                <w:sz w:val="18"/>
                <w:szCs w:val="18"/>
              </w:rPr>
              <w:t> </w:t>
            </w:r>
            <w:r>
              <w:rPr>
                <w:rFonts w:ascii="宋体" w:hAnsi="宋体" w:cs="宋体" w:eastAsia="宋体" w:hint="default"/>
                <w:sz w:val="18"/>
                <w:szCs w:val="18"/>
              </w:rPr>
              <w:t>2019</w:t>
            </w:r>
            <w:r>
              <w:rPr>
                <w:rFonts w:ascii="宋体" w:hAnsi="宋体" w:cs="宋体" w:eastAsia="宋体" w:hint="default"/>
                <w:spacing w:val="-47"/>
                <w:sz w:val="18"/>
                <w:szCs w:val="18"/>
              </w:rPr>
              <w:t> </w:t>
            </w:r>
            <w:r>
              <w:rPr>
                <w:rFonts w:ascii="宋体" w:hAnsi="宋体" w:cs="宋体" w:eastAsia="宋体" w:hint="default"/>
                <w:sz w:val="18"/>
                <w:szCs w:val="18"/>
              </w:rPr>
              <w:t>年第九次会议决议公告</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2019</w:t>
            </w:r>
            <w:r>
              <w:rPr>
                <w:rFonts w:ascii="宋体" w:hAnsi="宋体" w:cs="宋体" w:eastAsia="宋体" w:hint="default"/>
                <w:sz w:val="18"/>
                <w:szCs w:val="18"/>
              </w:rPr>
              <w:t>—</w:t>
            </w:r>
            <w:r>
              <w:rPr>
                <w:rFonts w:ascii="宋体" w:hAnsi="宋体" w:cs="宋体" w:eastAsia="宋体" w:hint="default"/>
                <w:sz w:val="18"/>
                <w:szCs w:val="18"/>
              </w:rPr>
              <w:t>67) </w:t>
            </w:r>
          </w:p>
        </w:tc>
        <w:tc>
          <w:tcPr>
            <w:tcW w:w="17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6" w:hRule="exact"/>
        </w:trPr>
        <w:tc>
          <w:tcPr>
            <w:tcW w:w="790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中嘉博创：公司第七届董事会</w:t>
            </w:r>
            <w:r>
              <w:rPr>
                <w:rFonts w:ascii="宋体" w:hAnsi="宋体" w:cs="宋体" w:eastAsia="宋体" w:hint="default"/>
                <w:spacing w:val="-47"/>
                <w:sz w:val="18"/>
                <w:szCs w:val="18"/>
              </w:rPr>
              <w:t> </w:t>
            </w: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年第十五次会议决议公告</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2019</w:t>
            </w:r>
            <w:r>
              <w:rPr>
                <w:rFonts w:ascii="宋体" w:hAnsi="宋体" w:cs="宋体" w:eastAsia="宋体" w:hint="default"/>
                <w:sz w:val="18"/>
                <w:szCs w:val="18"/>
              </w:rPr>
              <w:t>—</w:t>
            </w:r>
            <w:r>
              <w:rPr>
                <w:rFonts w:ascii="宋体" w:hAnsi="宋体" w:cs="宋体" w:eastAsia="宋体" w:hint="default"/>
                <w:sz w:val="18"/>
                <w:szCs w:val="18"/>
              </w:rPr>
              <w:t>103) </w:t>
            </w:r>
          </w:p>
        </w:tc>
        <w:tc>
          <w:tcPr>
            <w:tcW w:w="1733"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pacing w:val="-5"/>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 </w:t>
            </w:r>
            <w:r>
              <w:rPr>
                <w:rFonts w:ascii="宋体" w:hAnsi="宋体" w:cs="宋体" w:eastAsia="宋体" w:hint="default"/>
                <w:sz w:val="18"/>
                <w:szCs w:val="18"/>
              </w:rPr>
              <w:t>日</w:t>
            </w:r>
          </w:p>
        </w:tc>
      </w:tr>
      <w:tr>
        <w:trPr>
          <w:trHeight w:val="408" w:hRule="exact"/>
        </w:trPr>
        <w:tc>
          <w:tcPr>
            <w:tcW w:w="790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中嘉博创：关于终止公开发行可转换公司债券并撤回申请文件的公告</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2019</w:t>
            </w:r>
            <w:r>
              <w:rPr>
                <w:rFonts w:ascii="宋体" w:hAnsi="宋体" w:cs="宋体" w:eastAsia="宋体" w:hint="default"/>
                <w:sz w:val="18"/>
                <w:szCs w:val="18"/>
              </w:rPr>
              <w:t>—</w:t>
            </w:r>
            <w:r>
              <w:rPr>
                <w:rFonts w:ascii="宋体" w:hAnsi="宋体" w:cs="宋体" w:eastAsia="宋体" w:hint="default"/>
                <w:sz w:val="18"/>
                <w:szCs w:val="18"/>
              </w:rPr>
              <w:t>105) </w:t>
            </w:r>
          </w:p>
        </w:tc>
        <w:tc>
          <w:tcPr>
            <w:tcW w:w="1733" w:type="dxa"/>
            <w:vMerge/>
            <w:tcBorders>
              <w:left w:val="single" w:sz="4" w:space="0" w:color="000000"/>
              <w:bottom w:val="single" w:sz="4" w:space="0" w:color="000000"/>
              <w:right w:val="single" w:sz="4" w:space="0" w:color="000000"/>
            </w:tcBorders>
          </w:tcPr>
          <w:p>
            <w:pPr/>
          </w:p>
        </w:tc>
      </w:tr>
    </w:tbl>
    <w:p>
      <w:pPr>
        <w:spacing w:after="0"/>
        <w:sectPr>
          <w:pgSz w:w="11910" w:h="16840"/>
          <w:pgMar w:header="880" w:footer="975" w:top="1100" w:bottom="1160" w:left="980" w:right="0"/>
        </w:sectPr>
      </w:pPr>
    </w:p>
    <w:p>
      <w:pPr>
        <w:spacing w:line="240" w:lineRule="auto" w:before="11"/>
        <w:rPr>
          <w:rFonts w:ascii="宋体" w:hAnsi="宋体" w:cs="宋体" w:eastAsia="宋体" w:hint="default"/>
          <w:sz w:val="20"/>
          <w:szCs w:val="20"/>
        </w:rPr>
      </w:pPr>
    </w:p>
    <w:p>
      <w:pPr>
        <w:pStyle w:val="Heading3"/>
        <w:spacing w:line="240" w:lineRule="auto"/>
        <w:ind w:left="470" w:right="1133"/>
        <w:jc w:val="left"/>
        <w:rPr>
          <w:rFonts w:ascii="宋体" w:hAnsi="宋体" w:cs="宋体" w:eastAsia="宋体" w:hint="default"/>
          <w:b w:val="0"/>
          <w:bCs w:val="0"/>
        </w:rPr>
      </w:pPr>
      <w:r>
        <w:rPr/>
        <w:t>（二）延期支付股权转让款，产生利息事项</w:t>
      </w:r>
      <w:r>
        <w:rPr>
          <w:rFonts w:ascii="宋体" w:hAnsi="宋体" w:cs="宋体" w:eastAsia="宋体" w:hint="default"/>
          <w:w w:val="99"/>
        </w:rPr>
        <w:t> </w:t>
      </w:r>
      <w:r>
        <w:rPr>
          <w:rFonts w:ascii="宋体" w:hAnsi="宋体" w:cs="宋体" w:eastAsia="宋体" w:hint="default"/>
          <w:b w:val="0"/>
          <w:bCs w:val="0"/>
        </w:rPr>
      </w:r>
    </w:p>
    <w:p>
      <w:pPr>
        <w:pStyle w:val="BodyText"/>
        <w:spacing w:line="273" w:lineRule="auto" w:before="157"/>
        <w:ind w:right="1126" w:firstLine="420"/>
        <w:jc w:val="both"/>
      </w:pPr>
      <w:r>
        <w:rPr/>
        <w:t>公司 </w:t>
      </w:r>
      <w:r>
        <w:rPr>
          <w:rFonts w:ascii="宋体" w:hAnsi="宋体" w:cs="宋体" w:eastAsia="宋体" w:hint="default"/>
        </w:rPr>
        <w:t>2018</w:t>
      </w:r>
      <w:r>
        <w:rPr>
          <w:rFonts w:ascii="宋体" w:hAnsi="宋体" w:cs="宋体" w:eastAsia="宋体" w:hint="default"/>
          <w:spacing w:val="-29"/>
        </w:rPr>
        <w:t> </w:t>
      </w:r>
      <w:r>
        <w:rPr/>
        <w:t>年重大资产重组事项（即向交易对方刘英魁以及嘉语春华、嘉惠秋实发行股份及支付现金</w:t>
      </w:r>
      <w:r>
        <w:rPr>
          <w:w w:val="100"/>
        </w:rPr>
        <w:t> </w:t>
      </w:r>
      <w:r>
        <w:rPr/>
        <w:t>购买其合计持有的嘉华信息</w:t>
      </w:r>
      <w:r>
        <w:rPr>
          <w:spacing w:val="-34"/>
        </w:rPr>
        <w:t> </w:t>
      </w:r>
      <w:r>
        <w:rPr>
          <w:rFonts w:ascii="宋体" w:hAnsi="宋体" w:cs="宋体" w:eastAsia="宋体" w:hint="default"/>
        </w:rPr>
        <w:t>100%</w:t>
      </w:r>
      <w:r>
        <w:rPr/>
        <w:t>股权事项）已于</w:t>
      </w:r>
      <w:r>
        <w:rPr>
          <w:spacing w:val="-34"/>
        </w:rPr>
        <w:t> </w:t>
      </w:r>
      <w:r>
        <w:rPr>
          <w:rFonts w:ascii="宋体" w:hAnsi="宋体" w:cs="宋体" w:eastAsia="宋体" w:hint="default"/>
        </w:rPr>
        <w:t>2018</w:t>
      </w:r>
      <w:r>
        <w:rPr>
          <w:rFonts w:ascii="宋体" w:hAnsi="宋体" w:cs="宋体" w:eastAsia="宋体" w:hint="default"/>
          <w:spacing w:val="-37"/>
        </w:rPr>
        <w:t> </w:t>
      </w:r>
      <w:r>
        <w:rPr/>
        <w:t>年实施完成，其中以现金方式购买嘉华信息</w:t>
      </w:r>
      <w:r>
        <w:rPr>
          <w:spacing w:val="-36"/>
        </w:rPr>
        <w:t> </w:t>
      </w:r>
      <w:r>
        <w:rPr>
          <w:rFonts w:ascii="宋体" w:hAnsi="宋体" w:cs="宋体" w:eastAsia="宋体" w:hint="default"/>
        </w:rPr>
        <w:t>51%</w:t>
      </w:r>
      <w:r>
        <w:rPr/>
        <w:t>股</w:t>
      </w:r>
      <w:r>
        <w:rPr>
          <w:w w:val="100"/>
        </w:rPr>
        <w:t> </w:t>
      </w:r>
      <w:r>
        <w:rPr/>
        <w:t>权，以发行股份方式购买嘉华信息</w:t>
      </w:r>
      <w:r>
        <w:rPr>
          <w:spacing w:val="-51"/>
        </w:rPr>
        <w:t> </w:t>
      </w:r>
      <w:r>
        <w:rPr>
          <w:rFonts w:ascii="宋体" w:hAnsi="宋体" w:cs="宋体" w:eastAsia="宋体" w:hint="default"/>
        </w:rPr>
        <w:t>49%</w:t>
      </w:r>
      <w:r>
        <w:rPr/>
        <w:t>股权。有关详情可查阅</w:t>
      </w:r>
      <w:r>
        <w:rPr>
          <w:spacing w:val="-49"/>
        </w:rPr>
        <w:t> </w:t>
      </w:r>
      <w:r>
        <w:rPr>
          <w:rFonts w:ascii="宋体" w:hAnsi="宋体" w:cs="宋体" w:eastAsia="宋体" w:hint="default"/>
        </w:rPr>
        <w:t>2018</w:t>
      </w:r>
      <w:r>
        <w:rPr>
          <w:rFonts w:ascii="宋体" w:hAnsi="宋体" w:cs="宋体" w:eastAsia="宋体" w:hint="default"/>
          <w:spacing w:val="-51"/>
        </w:rPr>
        <w:t> </w:t>
      </w:r>
      <w:r>
        <w:rPr/>
        <w:t>年</w:t>
      </w:r>
      <w:r>
        <w:rPr>
          <w:spacing w:val="-49"/>
        </w:rPr>
        <w:t> </w:t>
      </w:r>
      <w:r>
        <w:rPr>
          <w:rFonts w:ascii="宋体" w:hAnsi="宋体" w:cs="宋体" w:eastAsia="宋体" w:hint="default"/>
        </w:rPr>
        <w:t>8</w:t>
      </w:r>
      <w:r>
        <w:rPr>
          <w:rFonts w:ascii="宋体" w:hAnsi="宋体" w:cs="宋体" w:eastAsia="宋体" w:hint="default"/>
          <w:spacing w:val="-51"/>
        </w:rPr>
        <w:t> </w:t>
      </w:r>
      <w:r>
        <w:rPr/>
        <w:t>月</w:t>
      </w:r>
      <w:r>
        <w:rPr>
          <w:spacing w:val="-49"/>
        </w:rPr>
        <w:t> </w:t>
      </w:r>
      <w:r>
        <w:rPr>
          <w:rFonts w:ascii="宋体" w:hAnsi="宋体" w:cs="宋体" w:eastAsia="宋体" w:hint="default"/>
        </w:rPr>
        <w:t>10</w:t>
      </w:r>
      <w:r>
        <w:rPr>
          <w:rFonts w:ascii="宋体" w:hAnsi="宋体" w:cs="宋体" w:eastAsia="宋体" w:hint="default"/>
          <w:spacing w:val="-49"/>
        </w:rPr>
        <w:t> </w:t>
      </w:r>
      <w:r>
        <w:rPr/>
        <w:t>日刊载于巨潮资讯网的《公</w:t>
      </w:r>
    </w:p>
    <w:p>
      <w:pPr>
        <w:pStyle w:val="BodyText"/>
        <w:spacing w:line="273" w:lineRule="auto" w:before="7"/>
        <w:ind w:right="1126"/>
        <w:jc w:val="both"/>
      </w:pPr>
      <w:r>
        <w:rPr>
          <w:spacing w:val="-5"/>
          <w:w w:val="100"/>
        </w:rPr>
        <w:t>司关于发行股份及支付现金购买资产暨关联交易报告书</w:t>
      </w:r>
      <w:r>
        <w:rPr>
          <w:rFonts w:ascii="宋体" w:hAnsi="宋体" w:cs="宋体" w:eastAsia="宋体" w:hint="default"/>
          <w:spacing w:val="-5"/>
          <w:w w:val="100"/>
        </w:rPr>
        <w:t>(</w:t>
      </w:r>
      <w:r>
        <w:rPr>
          <w:spacing w:val="-5"/>
          <w:w w:val="100"/>
        </w:rPr>
        <w:t>修订稿</w:t>
      </w:r>
      <w:r>
        <w:rPr>
          <w:rFonts w:ascii="宋体" w:hAnsi="宋体" w:cs="宋体" w:eastAsia="宋体" w:hint="default"/>
          <w:spacing w:val="-5"/>
          <w:w w:val="100"/>
        </w:rPr>
        <w:t>)</w:t>
      </w:r>
      <w:r>
        <w:rPr>
          <w:spacing w:val="-5"/>
          <w:w w:val="100"/>
        </w:rPr>
        <w:t>》，以及</w:t>
      </w:r>
      <w:r>
        <w:rPr>
          <w:spacing w:val="-36"/>
          <w:w w:val="100"/>
        </w:rPr>
        <w:t> </w:t>
      </w:r>
      <w:r>
        <w:rPr>
          <w:rFonts w:ascii="宋体" w:hAnsi="宋体" w:cs="宋体" w:eastAsia="宋体" w:hint="default"/>
          <w:spacing w:val="-2"/>
          <w:w w:val="100"/>
        </w:rPr>
        <w:t>2018</w:t>
      </w:r>
      <w:r>
        <w:rPr>
          <w:rFonts w:ascii="宋体" w:hAnsi="宋体" w:cs="宋体" w:eastAsia="宋体" w:hint="default"/>
          <w:spacing w:val="-36"/>
          <w:w w:val="100"/>
        </w:rPr>
        <w:t> </w:t>
      </w:r>
      <w:r>
        <w:rPr>
          <w:w w:val="100"/>
        </w:rPr>
        <w:t>年</w:t>
      </w:r>
      <w:r>
        <w:rPr>
          <w:spacing w:val="-39"/>
          <w:w w:val="100"/>
        </w:rPr>
        <w:t> </w:t>
      </w:r>
      <w:r>
        <w:rPr>
          <w:rFonts w:ascii="宋体" w:hAnsi="宋体" w:cs="宋体" w:eastAsia="宋体" w:hint="default"/>
          <w:w w:val="100"/>
        </w:rPr>
        <w:t>11</w:t>
      </w:r>
      <w:r>
        <w:rPr>
          <w:rFonts w:ascii="宋体" w:hAnsi="宋体" w:cs="宋体" w:eastAsia="宋体" w:hint="default"/>
          <w:spacing w:val="-39"/>
          <w:w w:val="100"/>
        </w:rPr>
        <w:t> </w:t>
      </w:r>
      <w:r>
        <w:rPr>
          <w:w w:val="100"/>
        </w:rPr>
        <w:t>月</w:t>
      </w:r>
      <w:r>
        <w:rPr>
          <w:spacing w:val="-39"/>
          <w:w w:val="100"/>
        </w:rPr>
        <w:t> </w:t>
      </w:r>
      <w:r>
        <w:rPr>
          <w:rFonts w:ascii="宋体" w:hAnsi="宋体" w:cs="宋体" w:eastAsia="宋体" w:hint="default"/>
          <w:w w:val="100"/>
        </w:rPr>
        <w:t>8</w:t>
      </w:r>
      <w:r>
        <w:rPr>
          <w:rFonts w:ascii="宋体" w:hAnsi="宋体" w:cs="宋体" w:eastAsia="宋体" w:hint="default"/>
          <w:spacing w:val="-36"/>
          <w:w w:val="100"/>
        </w:rPr>
        <w:t> </w:t>
      </w:r>
      <w:r>
        <w:rPr>
          <w:spacing w:val="-2"/>
          <w:w w:val="100"/>
        </w:rPr>
        <w:t>日发布的《关于</w:t>
      </w:r>
      <w:r>
        <w:rPr>
          <w:w w:val="100"/>
        </w:rPr>
        <w:t> </w:t>
      </w:r>
      <w:r>
        <w:rPr>
          <w:spacing w:val="-6"/>
          <w:w w:val="100"/>
        </w:rPr>
        <w:t>重大资产重组实施完成的公告》（公告编号：</w:t>
      </w:r>
      <w:r>
        <w:rPr>
          <w:rFonts w:ascii="宋体" w:hAnsi="宋体" w:cs="宋体" w:eastAsia="宋体" w:hint="default"/>
          <w:spacing w:val="-6"/>
          <w:w w:val="100"/>
        </w:rPr>
        <w:t>2018-109</w:t>
      </w:r>
      <w:r>
        <w:rPr>
          <w:spacing w:val="-6"/>
          <w:w w:val="100"/>
        </w:rPr>
        <w:t>）。按照交易各方签署的《发行股份及支付现金购买</w:t>
      </w:r>
      <w:r>
        <w:rPr>
          <w:spacing w:val="-101"/>
          <w:w w:val="100"/>
        </w:rPr>
        <w:t> </w:t>
      </w:r>
      <w:r>
        <w:rPr>
          <w:spacing w:val="-101"/>
          <w:w w:val="100"/>
        </w:rPr>
      </w:r>
      <w:r>
        <w:rPr/>
        <w:t>资产协议》</w:t>
      </w:r>
      <w:r>
        <w:rPr>
          <w:rFonts w:ascii="宋体" w:hAnsi="宋体" w:cs="宋体" w:eastAsia="宋体" w:hint="default"/>
        </w:rPr>
        <w:t>(</w:t>
      </w:r>
      <w:r>
        <w:rPr/>
        <w:t>简称《协议》</w:t>
      </w:r>
      <w:r>
        <w:rPr>
          <w:rFonts w:ascii="宋体" w:hAnsi="宋体" w:cs="宋体" w:eastAsia="宋体" w:hint="default"/>
        </w:rPr>
        <w:t>)</w:t>
      </w:r>
      <w:r>
        <w:rPr/>
        <w:t>约定，在满足《协议》生效、标的公司</w:t>
      </w:r>
      <w:r>
        <w:rPr>
          <w:spacing w:val="-32"/>
        </w:rPr>
        <w:t> </w:t>
      </w:r>
      <w:r>
        <w:rPr>
          <w:rFonts w:ascii="宋体" w:hAnsi="宋体" w:cs="宋体" w:eastAsia="宋体" w:hint="default"/>
        </w:rPr>
        <w:t>51%</w:t>
      </w:r>
      <w:r>
        <w:rPr/>
        <w:t>的股权完成过户、相关方及人员签</w:t>
      </w:r>
      <w:r>
        <w:rPr>
          <w:w w:val="100"/>
        </w:rPr>
        <w:t> </w:t>
      </w:r>
      <w:r>
        <w:rPr/>
        <w:t>署竞业禁止协议、嘉华信息财务状况和业务经营没有重大不利变化等条件下，本公司应在嘉华信息</w:t>
      </w:r>
      <w:r>
        <w:rPr>
          <w:spacing w:val="-28"/>
        </w:rPr>
        <w:t> </w:t>
      </w:r>
      <w:r>
        <w:rPr>
          <w:rFonts w:ascii="宋体" w:hAnsi="宋体" w:cs="宋体" w:eastAsia="宋体" w:hint="default"/>
        </w:rPr>
        <w:t>51%</w:t>
      </w:r>
      <w:r>
        <w:rPr/>
        <w:t>的</w:t>
      </w:r>
      <w:r>
        <w:rPr>
          <w:w w:val="100"/>
        </w:rPr>
        <w:t> </w:t>
      </w:r>
      <w:r>
        <w:rPr/>
        <w:t>股份过户至公司名下的工商登记完成之日后</w:t>
      </w:r>
      <w:r>
        <w:rPr>
          <w:spacing w:val="-34"/>
        </w:rPr>
        <w:t> </w:t>
      </w:r>
      <w:r>
        <w:rPr>
          <w:rFonts w:ascii="宋体" w:hAnsi="宋体" w:cs="宋体" w:eastAsia="宋体" w:hint="default"/>
        </w:rPr>
        <w:t>30</w:t>
      </w:r>
      <w:r>
        <w:rPr>
          <w:rFonts w:ascii="宋体" w:hAnsi="宋体" w:cs="宋体" w:eastAsia="宋体" w:hint="default"/>
          <w:spacing w:val="-34"/>
        </w:rPr>
        <w:t> </w:t>
      </w:r>
      <w:r>
        <w:rPr/>
        <w:t>日内向交易对方支付第一期现金对价</w:t>
      </w:r>
      <w:r>
        <w:rPr>
          <w:spacing w:val="-35"/>
        </w:rPr>
        <w:t> </w:t>
      </w:r>
      <w:r>
        <w:rPr>
          <w:rFonts w:ascii="宋体" w:hAnsi="宋体" w:cs="宋体" w:eastAsia="宋体" w:hint="default"/>
        </w:rPr>
        <w:t>15,096</w:t>
      </w:r>
      <w:r>
        <w:rPr>
          <w:rFonts w:ascii="宋体" w:hAnsi="宋体" w:cs="宋体" w:eastAsia="宋体" w:hint="default"/>
          <w:spacing w:val="-34"/>
        </w:rPr>
        <w:t> </w:t>
      </w:r>
      <w:r>
        <w:rPr/>
        <w:t>万元</w:t>
      </w:r>
      <w:r>
        <w:rPr>
          <w:rFonts w:ascii="宋体" w:hAnsi="宋体" w:cs="宋体" w:eastAsia="宋体" w:hint="default"/>
        </w:rPr>
        <w:t>(</w:t>
      </w:r>
      <w:r>
        <w:rPr/>
        <w:t>占现金</w:t>
      </w:r>
    </w:p>
    <w:p>
      <w:pPr>
        <w:pStyle w:val="BodyText"/>
        <w:spacing w:line="240" w:lineRule="auto" w:before="7"/>
        <w:ind w:right="0"/>
        <w:jc w:val="both"/>
        <w:rPr>
          <w:rFonts w:ascii="宋体" w:hAnsi="宋体" w:cs="宋体" w:eastAsia="宋体" w:hint="default"/>
        </w:rPr>
      </w:pPr>
      <w:r>
        <w:rPr>
          <w:w w:val="100"/>
        </w:rPr>
        <w:t>对价</w:t>
      </w:r>
      <w:r>
        <w:rPr>
          <w:spacing w:val="-3"/>
          <w:w w:val="100"/>
        </w:rPr>
        <w:t>总</w:t>
      </w:r>
      <w:r>
        <w:rPr>
          <w:w w:val="100"/>
        </w:rPr>
        <w:t>额</w:t>
      </w:r>
      <w:r>
        <w:rPr>
          <w:spacing w:val="-52"/>
        </w:rPr>
        <w:t> </w:t>
      </w:r>
      <w:r>
        <w:rPr>
          <w:rFonts w:ascii="宋体" w:hAnsi="宋体" w:cs="宋体" w:eastAsia="宋体" w:hint="default"/>
          <w:spacing w:val="-3"/>
          <w:w w:val="100"/>
        </w:rPr>
        <w:t>7</w:t>
      </w:r>
      <w:r>
        <w:rPr>
          <w:rFonts w:ascii="宋体" w:hAnsi="宋体" w:cs="宋体" w:eastAsia="宋体" w:hint="default"/>
          <w:w w:val="100"/>
        </w:rPr>
        <w:t>5,4</w:t>
      </w:r>
      <w:r>
        <w:rPr>
          <w:rFonts w:ascii="宋体" w:hAnsi="宋体" w:cs="宋体" w:eastAsia="宋体" w:hint="default"/>
          <w:spacing w:val="-3"/>
          <w:w w:val="100"/>
        </w:rPr>
        <w:t>8</w:t>
      </w:r>
      <w:r>
        <w:rPr>
          <w:rFonts w:ascii="宋体" w:hAnsi="宋体" w:cs="宋体" w:eastAsia="宋体" w:hint="default"/>
          <w:w w:val="100"/>
        </w:rPr>
        <w:t>0</w:t>
      </w:r>
      <w:r>
        <w:rPr>
          <w:rFonts w:ascii="宋体" w:hAnsi="宋体" w:cs="宋体" w:eastAsia="宋体" w:hint="default"/>
          <w:spacing w:val="-53"/>
        </w:rPr>
        <w:t> </w:t>
      </w:r>
      <w:r>
        <w:rPr>
          <w:spacing w:val="-3"/>
          <w:w w:val="100"/>
        </w:rPr>
        <w:t>万</w:t>
      </w:r>
      <w:r>
        <w:rPr>
          <w:w w:val="100"/>
        </w:rPr>
        <w:t>元的</w:t>
      </w:r>
      <w:r>
        <w:rPr>
          <w:spacing w:val="-55"/>
        </w:rPr>
        <w:t> </w:t>
      </w:r>
      <w:r>
        <w:rPr>
          <w:rFonts w:ascii="宋体" w:hAnsi="宋体" w:cs="宋体" w:eastAsia="宋体" w:hint="default"/>
          <w:spacing w:val="-3"/>
          <w:w w:val="100"/>
        </w:rPr>
        <w:t>2</w:t>
      </w:r>
      <w:r>
        <w:rPr>
          <w:rFonts w:ascii="宋体" w:hAnsi="宋体" w:cs="宋体" w:eastAsia="宋体" w:hint="default"/>
          <w:w w:val="100"/>
        </w:rPr>
        <w:t>0%</w:t>
      </w:r>
      <w:r>
        <w:rPr>
          <w:rFonts w:ascii="宋体" w:hAnsi="宋体" w:cs="宋体" w:eastAsia="宋体" w:hint="default"/>
          <w:spacing w:val="-3"/>
          <w:w w:val="100"/>
        </w:rPr>
        <w:t>)</w:t>
      </w:r>
      <w:r>
        <w:rPr>
          <w:spacing w:val="-89"/>
          <w:w w:val="100"/>
        </w:rPr>
        <w:t>；</w:t>
      </w:r>
      <w:r>
        <w:rPr>
          <w:spacing w:val="-3"/>
          <w:w w:val="100"/>
        </w:rPr>
        <w:t>后</w:t>
      </w:r>
      <w:r>
        <w:rPr>
          <w:w w:val="100"/>
        </w:rPr>
        <w:t>续</w:t>
      </w:r>
      <w:r>
        <w:rPr>
          <w:spacing w:val="-3"/>
          <w:w w:val="100"/>
        </w:rPr>
        <w:t>第</w:t>
      </w:r>
      <w:r>
        <w:rPr>
          <w:w w:val="100"/>
        </w:rPr>
        <w:t>二</w:t>
      </w:r>
      <w:r>
        <w:rPr>
          <w:spacing w:val="-3"/>
          <w:w w:val="100"/>
        </w:rPr>
        <w:t>期</w:t>
      </w:r>
      <w:r>
        <w:rPr>
          <w:w w:val="100"/>
        </w:rPr>
        <w:t>支</w:t>
      </w:r>
      <w:r>
        <w:rPr>
          <w:spacing w:val="-3"/>
          <w:w w:val="100"/>
        </w:rPr>
        <w:t>付</w:t>
      </w:r>
      <w:r>
        <w:rPr>
          <w:w w:val="100"/>
        </w:rPr>
        <w:t>的</w:t>
      </w:r>
      <w:r>
        <w:rPr>
          <w:spacing w:val="-3"/>
          <w:w w:val="100"/>
        </w:rPr>
        <w:t>现</w:t>
      </w:r>
      <w:r>
        <w:rPr>
          <w:w w:val="100"/>
        </w:rPr>
        <w:t>金</w:t>
      </w:r>
      <w:r>
        <w:rPr>
          <w:spacing w:val="-3"/>
          <w:w w:val="100"/>
        </w:rPr>
        <w:t>对</w:t>
      </w:r>
      <w:r>
        <w:rPr>
          <w:w w:val="100"/>
        </w:rPr>
        <w:t>价</w:t>
      </w:r>
      <w:r>
        <w:rPr>
          <w:spacing w:val="-53"/>
        </w:rPr>
        <w:t> </w:t>
      </w:r>
      <w:r>
        <w:rPr>
          <w:rFonts w:ascii="宋体" w:hAnsi="宋体" w:cs="宋体" w:eastAsia="宋体" w:hint="default"/>
          <w:w w:val="100"/>
        </w:rPr>
        <w:t>22</w:t>
      </w:r>
      <w:r>
        <w:rPr>
          <w:rFonts w:ascii="宋体" w:hAnsi="宋体" w:cs="宋体" w:eastAsia="宋体" w:hint="default"/>
          <w:spacing w:val="-3"/>
          <w:w w:val="100"/>
        </w:rPr>
        <w:t>,</w:t>
      </w:r>
      <w:r>
        <w:rPr>
          <w:rFonts w:ascii="宋体" w:hAnsi="宋体" w:cs="宋体" w:eastAsia="宋体" w:hint="default"/>
          <w:w w:val="100"/>
        </w:rPr>
        <w:t>644</w:t>
      </w:r>
      <w:r>
        <w:rPr>
          <w:rFonts w:ascii="宋体" w:hAnsi="宋体" w:cs="宋体" w:eastAsia="宋体" w:hint="default"/>
          <w:spacing w:val="-55"/>
        </w:rPr>
        <w:t> </w:t>
      </w:r>
      <w:r>
        <w:rPr>
          <w:w w:val="100"/>
        </w:rPr>
        <w:t>万元</w:t>
      </w:r>
      <w:r>
        <w:rPr>
          <w:rFonts w:ascii="宋体" w:hAnsi="宋体" w:cs="宋体" w:eastAsia="宋体" w:hint="default"/>
          <w:spacing w:val="-3"/>
          <w:w w:val="100"/>
        </w:rPr>
        <w:t>(</w:t>
      </w:r>
      <w:r>
        <w:rPr>
          <w:w w:val="100"/>
        </w:rPr>
        <w:t>占</w:t>
      </w:r>
      <w:r>
        <w:rPr>
          <w:spacing w:val="-3"/>
          <w:w w:val="100"/>
        </w:rPr>
        <w:t>总</w:t>
      </w:r>
      <w:r>
        <w:rPr>
          <w:w w:val="100"/>
        </w:rPr>
        <w:t>额的</w:t>
      </w:r>
      <w:r>
        <w:rPr>
          <w:spacing w:val="-53"/>
        </w:rPr>
        <w:t> </w:t>
      </w:r>
      <w:r>
        <w:rPr>
          <w:rFonts w:ascii="宋体" w:hAnsi="宋体" w:cs="宋体" w:eastAsia="宋体" w:hint="default"/>
          <w:spacing w:val="-3"/>
          <w:w w:val="100"/>
        </w:rPr>
        <w:t>3</w:t>
      </w:r>
      <w:r>
        <w:rPr>
          <w:rFonts w:ascii="宋体" w:hAnsi="宋体" w:cs="宋体" w:eastAsia="宋体" w:hint="default"/>
          <w:w w:val="100"/>
        </w:rPr>
        <w:t>0%</w:t>
      </w:r>
      <w:r>
        <w:rPr>
          <w:rFonts w:ascii="宋体" w:hAnsi="宋体" w:cs="宋体" w:eastAsia="宋体" w:hint="default"/>
          <w:spacing w:val="-3"/>
          <w:w w:val="100"/>
        </w:rPr>
        <w:t>)</w:t>
      </w:r>
      <w:r>
        <w:rPr>
          <w:spacing w:val="-89"/>
          <w:w w:val="100"/>
        </w:rPr>
        <w:t>，</w:t>
      </w:r>
      <w:r>
        <w:rPr>
          <w:spacing w:val="-3"/>
          <w:w w:val="100"/>
        </w:rPr>
        <w:t>将</w:t>
      </w:r>
      <w:r>
        <w:rPr>
          <w:w w:val="100"/>
        </w:rPr>
        <w:t>在</w:t>
      </w:r>
      <w:r>
        <w:rPr>
          <w:spacing w:val="-3"/>
          <w:w w:val="100"/>
        </w:rPr>
        <w:t>嘉</w:t>
      </w:r>
      <w:r>
        <w:rPr>
          <w:w w:val="100"/>
        </w:rPr>
        <w:t>华</w:t>
      </w:r>
      <w:r>
        <w:rPr>
          <w:spacing w:val="-3"/>
          <w:w w:val="100"/>
        </w:rPr>
        <w:t>信</w:t>
      </w:r>
      <w:r>
        <w:rPr>
          <w:w w:val="100"/>
        </w:rPr>
        <w:t>息</w:t>
      </w:r>
      <w:r>
        <w:rPr>
          <w:spacing w:val="-52"/>
        </w:rPr>
        <w:t> </w:t>
      </w:r>
      <w:r>
        <w:rPr>
          <w:rFonts w:ascii="宋体" w:hAnsi="宋体" w:cs="宋体" w:eastAsia="宋体" w:hint="default"/>
          <w:spacing w:val="-3"/>
          <w:w w:val="100"/>
        </w:rPr>
        <w:t>5</w:t>
      </w:r>
      <w:r>
        <w:rPr>
          <w:rFonts w:ascii="宋体" w:hAnsi="宋体" w:cs="宋体" w:eastAsia="宋体" w:hint="default"/>
          <w:w w:val="100"/>
        </w:rPr>
        <w:t>1%</w:t>
      </w:r>
    </w:p>
    <w:p>
      <w:pPr>
        <w:pStyle w:val="BodyText"/>
        <w:spacing w:line="240" w:lineRule="auto" w:before="37"/>
        <w:ind w:right="0"/>
        <w:jc w:val="both"/>
      </w:pPr>
      <w:r>
        <w:rPr/>
        <w:t>的股份过户至公司的工商登记完成之日后</w:t>
      </w:r>
      <w:r>
        <w:rPr>
          <w:spacing w:val="-43"/>
        </w:rPr>
        <w:t> </w:t>
      </w:r>
      <w:r>
        <w:rPr>
          <w:rFonts w:ascii="宋体" w:hAnsi="宋体" w:cs="宋体" w:eastAsia="宋体" w:hint="default"/>
        </w:rPr>
        <w:t>4</w:t>
      </w:r>
      <w:r>
        <w:rPr>
          <w:rFonts w:ascii="宋体" w:hAnsi="宋体" w:cs="宋体" w:eastAsia="宋体" w:hint="default"/>
          <w:spacing w:val="-45"/>
        </w:rPr>
        <w:t> </w:t>
      </w:r>
      <w:r>
        <w:rPr/>
        <w:t>个月内且不晚于</w:t>
      </w:r>
      <w:r>
        <w:rPr>
          <w:spacing w:val="-43"/>
        </w:rPr>
        <w:t> </w:t>
      </w:r>
      <w:r>
        <w:rPr>
          <w:rFonts w:ascii="宋体" w:hAnsi="宋体" w:cs="宋体" w:eastAsia="宋体" w:hint="default"/>
        </w:rPr>
        <w:t>2018</w:t>
      </w:r>
      <w:r>
        <w:rPr>
          <w:rFonts w:ascii="宋体" w:hAnsi="宋体" w:cs="宋体" w:eastAsia="宋体" w:hint="default"/>
          <w:spacing w:val="-43"/>
        </w:rPr>
        <w:t> </w:t>
      </w:r>
      <w:r>
        <w:rPr/>
        <w:t>年</w:t>
      </w:r>
      <w:r>
        <w:rPr>
          <w:spacing w:val="-43"/>
        </w:rPr>
        <w:t> </w:t>
      </w:r>
      <w:r>
        <w:rPr>
          <w:rFonts w:ascii="宋体" w:hAnsi="宋体" w:cs="宋体" w:eastAsia="宋体" w:hint="default"/>
        </w:rPr>
        <w:t>12</w:t>
      </w:r>
      <w:r>
        <w:rPr>
          <w:rFonts w:ascii="宋体" w:hAnsi="宋体" w:cs="宋体" w:eastAsia="宋体" w:hint="default"/>
          <w:spacing w:val="-43"/>
        </w:rPr>
        <w:t> </w:t>
      </w:r>
      <w:r>
        <w:rPr/>
        <w:t>月</w:t>
      </w:r>
      <w:r>
        <w:rPr>
          <w:spacing w:val="-45"/>
        </w:rPr>
        <w:t> </w:t>
      </w:r>
      <w:r>
        <w:rPr>
          <w:rFonts w:ascii="宋体" w:hAnsi="宋体" w:cs="宋体" w:eastAsia="宋体" w:hint="default"/>
        </w:rPr>
        <w:t>31</w:t>
      </w:r>
      <w:r>
        <w:rPr>
          <w:rFonts w:ascii="宋体" w:hAnsi="宋体" w:cs="宋体" w:eastAsia="宋体" w:hint="default"/>
          <w:spacing w:val="-43"/>
        </w:rPr>
        <w:t> </w:t>
      </w:r>
      <w:r>
        <w:rPr/>
        <w:t>日支付；后续第三期支付的</w:t>
      </w:r>
    </w:p>
    <w:p>
      <w:pPr>
        <w:pStyle w:val="BodyText"/>
        <w:spacing w:line="273" w:lineRule="auto" w:before="37"/>
        <w:ind w:right="1126"/>
        <w:jc w:val="both"/>
        <w:rPr>
          <w:rFonts w:ascii="宋体" w:hAnsi="宋体" w:cs="宋体" w:eastAsia="宋体" w:hint="default"/>
        </w:rPr>
      </w:pPr>
      <w:r>
        <w:rPr/>
        <w:t>现金对价</w:t>
      </w:r>
      <w:r>
        <w:rPr>
          <w:spacing w:val="-48"/>
        </w:rPr>
        <w:t> </w:t>
      </w:r>
      <w:r>
        <w:rPr>
          <w:rFonts w:ascii="宋体" w:hAnsi="宋体" w:cs="宋体" w:eastAsia="宋体" w:hint="default"/>
        </w:rPr>
        <w:t>37,740</w:t>
      </w:r>
      <w:r>
        <w:rPr>
          <w:rFonts w:ascii="宋体" w:hAnsi="宋体" w:cs="宋体" w:eastAsia="宋体" w:hint="default"/>
          <w:spacing w:val="-49"/>
        </w:rPr>
        <w:t> </w:t>
      </w:r>
      <w:r>
        <w:rPr/>
        <w:t>万元</w:t>
      </w:r>
      <w:r>
        <w:rPr>
          <w:rFonts w:ascii="宋体" w:hAnsi="宋体" w:cs="宋体" w:eastAsia="宋体" w:hint="default"/>
        </w:rPr>
        <w:t>(</w:t>
      </w:r>
      <w:r>
        <w:rPr/>
        <w:t>占总额的</w:t>
      </w:r>
      <w:r>
        <w:rPr>
          <w:spacing w:val="-48"/>
        </w:rPr>
        <w:t> </w:t>
      </w:r>
      <w:r>
        <w:rPr>
          <w:rFonts w:ascii="宋体" w:hAnsi="宋体" w:cs="宋体" w:eastAsia="宋体" w:hint="default"/>
        </w:rPr>
        <w:t>50%)</w:t>
      </w:r>
      <w:r>
        <w:rPr/>
        <w:t>不晚于</w:t>
      </w:r>
      <w:r>
        <w:rPr>
          <w:spacing w:val="-49"/>
        </w:rPr>
        <w:t> </w:t>
      </w:r>
      <w:r>
        <w:rPr>
          <w:rFonts w:ascii="宋体" w:hAnsi="宋体" w:cs="宋体" w:eastAsia="宋体" w:hint="default"/>
        </w:rPr>
        <w:t>2019</w:t>
      </w:r>
      <w:r>
        <w:rPr>
          <w:rFonts w:ascii="宋体" w:hAnsi="宋体" w:cs="宋体" w:eastAsia="宋体" w:hint="default"/>
          <w:spacing w:val="-51"/>
        </w:rPr>
        <w:t> </w:t>
      </w:r>
      <w:r>
        <w:rPr/>
        <w:t>年</w:t>
      </w:r>
      <w:r>
        <w:rPr>
          <w:spacing w:val="-49"/>
        </w:rPr>
        <w:t> </w:t>
      </w:r>
      <w:r>
        <w:rPr>
          <w:rFonts w:ascii="宋体" w:hAnsi="宋体" w:cs="宋体" w:eastAsia="宋体" w:hint="default"/>
        </w:rPr>
        <w:t>5</w:t>
      </w:r>
      <w:r>
        <w:rPr>
          <w:rFonts w:ascii="宋体" w:hAnsi="宋体" w:cs="宋体" w:eastAsia="宋体" w:hint="default"/>
          <w:spacing w:val="-51"/>
        </w:rPr>
        <w:t> </w:t>
      </w:r>
      <w:r>
        <w:rPr/>
        <w:t>月</w:t>
      </w:r>
      <w:r>
        <w:rPr>
          <w:spacing w:val="-49"/>
        </w:rPr>
        <w:t> </w:t>
      </w:r>
      <w:r>
        <w:rPr>
          <w:rFonts w:ascii="宋体" w:hAnsi="宋体" w:cs="宋体" w:eastAsia="宋体" w:hint="default"/>
        </w:rPr>
        <w:t>31</w:t>
      </w:r>
      <w:r>
        <w:rPr>
          <w:rFonts w:ascii="宋体" w:hAnsi="宋体" w:cs="宋体" w:eastAsia="宋体" w:hint="default"/>
          <w:spacing w:val="-51"/>
        </w:rPr>
        <w:t> </w:t>
      </w:r>
      <w:r>
        <w:rPr>
          <w:spacing w:val="-6"/>
        </w:rPr>
        <w:t>日支付。若由于可归责于上市公司的原因导致</w:t>
      </w:r>
      <w:r>
        <w:rPr>
          <w:spacing w:val="-103"/>
        </w:rPr>
        <w:t> </w:t>
      </w:r>
      <w:r>
        <w:rPr>
          <w:spacing w:val="-103"/>
        </w:rPr>
      </w:r>
      <w:r>
        <w:rPr>
          <w:spacing w:val="-2"/>
        </w:rPr>
        <w:t>上市公司未能按照本协议约定向乙方支付现金，则每逾期一日，应当按当期应付现金对价之万分之二向乙</w:t>
      </w:r>
      <w:r>
        <w:rPr>
          <w:spacing w:val="-44"/>
        </w:rPr>
        <w:t> </w:t>
      </w:r>
      <w:r>
        <w:rPr>
          <w:spacing w:val="-44"/>
        </w:rPr>
      </w:r>
      <w:r>
        <w:rPr>
          <w:spacing w:val="-2"/>
        </w:rPr>
        <w:t>方支付违约金；若逾期超过三十日，则交易对方有权单方终止本协议，并要求上市公司支付相当于本协议</w:t>
      </w:r>
      <w:r>
        <w:rPr>
          <w:spacing w:val="-44"/>
        </w:rPr>
        <w:t> </w:t>
      </w:r>
      <w:r>
        <w:rPr>
          <w:spacing w:val="-44"/>
        </w:rPr>
      </w:r>
      <w:r>
        <w:rPr/>
        <w:t>约定的交易价格之百分之五的违约金。</w:t>
      </w:r>
      <w:r>
        <w:rPr>
          <w:rFonts w:ascii="宋体" w:hAnsi="宋体" w:cs="宋体" w:eastAsia="宋体" w:hint="default"/>
        </w:rPr>
        <w:t> </w:t>
      </w:r>
    </w:p>
    <w:p>
      <w:pPr>
        <w:pStyle w:val="BodyText"/>
        <w:spacing w:line="240" w:lineRule="auto" w:before="127"/>
        <w:ind w:left="573" w:right="819"/>
        <w:jc w:val="left"/>
      </w:pPr>
      <w:r>
        <w:rPr>
          <w:rFonts w:ascii="宋体" w:hAnsi="宋体" w:cs="宋体" w:eastAsia="宋体" w:hint="default"/>
        </w:rPr>
        <w:t>2018</w:t>
      </w:r>
      <w:r>
        <w:rPr>
          <w:rFonts w:ascii="宋体" w:hAnsi="宋体" w:cs="宋体" w:eastAsia="宋体" w:hint="default"/>
          <w:spacing w:val="-47"/>
        </w:rPr>
        <w:t> </w:t>
      </w:r>
      <w:r>
        <w:rPr/>
        <w:t>年</w:t>
      </w:r>
      <w:r>
        <w:rPr>
          <w:spacing w:val="-44"/>
        </w:rPr>
        <w:t> </w:t>
      </w:r>
      <w:r>
        <w:rPr>
          <w:rFonts w:ascii="宋体" w:hAnsi="宋体" w:cs="宋体" w:eastAsia="宋体" w:hint="default"/>
        </w:rPr>
        <w:t>6</w:t>
      </w:r>
      <w:r>
        <w:rPr>
          <w:rFonts w:ascii="宋体" w:hAnsi="宋体" w:cs="宋体" w:eastAsia="宋体" w:hint="default"/>
          <w:spacing w:val="-47"/>
        </w:rPr>
        <w:t> </w:t>
      </w:r>
      <w:r>
        <w:rPr/>
        <w:t>月</w:t>
      </w:r>
      <w:r>
        <w:rPr>
          <w:spacing w:val="-44"/>
        </w:rPr>
        <w:t> </w:t>
      </w:r>
      <w:r>
        <w:rPr>
          <w:rFonts w:ascii="宋体" w:hAnsi="宋体" w:cs="宋体" w:eastAsia="宋体" w:hint="default"/>
        </w:rPr>
        <w:t>12</w:t>
      </w:r>
      <w:r>
        <w:rPr>
          <w:rFonts w:ascii="宋体" w:hAnsi="宋体" w:cs="宋体" w:eastAsia="宋体" w:hint="default"/>
          <w:spacing w:val="-47"/>
        </w:rPr>
        <w:t> </w:t>
      </w:r>
      <w:r>
        <w:rPr>
          <w:spacing w:val="-4"/>
        </w:rPr>
        <w:t>日，公司完成了本次交易第一期交易价款</w:t>
      </w:r>
      <w:r>
        <w:rPr>
          <w:spacing w:val="-43"/>
        </w:rPr>
        <w:t> </w:t>
      </w:r>
      <w:r>
        <w:rPr>
          <w:rFonts w:ascii="宋体" w:hAnsi="宋体" w:cs="宋体" w:eastAsia="宋体" w:hint="default"/>
        </w:rPr>
        <w:t>15,096</w:t>
      </w:r>
      <w:r>
        <w:rPr>
          <w:rFonts w:ascii="宋体" w:hAnsi="宋体" w:cs="宋体" w:eastAsia="宋体" w:hint="default"/>
          <w:spacing w:val="-44"/>
        </w:rPr>
        <w:t> </w:t>
      </w:r>
      <w:r>
        <w:rPr>
          <w:spacing w:val="-4"/>
        </w:rPr>
        <w:t>万元的支付。有关情况可查阅公司于</w:t>
      </w:r>
    </w:p>
    <w:p>
      <w:pPr>
        <w:pStyle w:val="BodyText"/>
        <w:spacing w:line="273" w:lineRule="auto" w:before="37"/>
        <w:ind w:right="1126"/>
        <w:jc w:val="both"/>
        <w:rPr>
          <w:rFonts w:ascii="宋体" w:hAnsi="宋体" w:cs="宋体" w:eastAsia="宋体" w:hint="default"/>
        </w:rPr>
      </w:pPr>
      <w:r>
        <w:rPr>
          <w:rFonts w:ascii="宋体" w:hAnsi="宋体" w:cs="宋体" w:eastAsia="宋体" w:hint="default"/>
          <w:w w:val="100"/>
        </w:rPr>
        <w:t>2018</w:t>
      </w:r>
      <w:r>
        <w:rPr>
          <w:rFonts w:ascii="宋体" w:hAnsi="宋体" w:cs="宋体" w:eastAsia="宋体" w:hint="default"/>
          <w:spacing w:val="-45"/>
          <w:w w:val="100"/>
        </w:rPr>
        <w:t> </w:t>
      </w:r>
      <w:r>
        <w:rPr>
          <w:w w:val="100"/>
        </w:rPr>
        <w:t>年</w:t>
      </w:r>
      <w:r>
        <w:rPr>
          <w:spacing w:val="-46"/>
          <w:w w:val="100"/>
        </w:rPr>
        <w:t> </w:t>
      </w:r>
      <w:r>
        <w:rPr>
          <w:rFonts w:ascii="宋体" w:hAnsi="宋体" w:cs="宋体" w:eastAsia="宋体" w:hint="default"/>
          <w:w w:val="100"/>
        </w:rPr>
        <w:t>6</w:t>
      </w:r>
      <w:r>
        <w:rPr>
          <w:rFonts w:ascii="宋体" w:hAnsi="宋体" w:cs="宋体" w:eastAsia="宋体" w:hint="default"/>
          <w:spacing w:val="-46"/>
          <w:w w:val="100"/>
        </w:rPr>
        <w:t> </w:t>
      </w:r>
      <w:r>
        <w:rPr>
          <w:w w:val="100"/>
        </w:rPr>
        <w:t>月</w:t>
      </w:r>
      <w:r>
        <w:rPr>
          <w:spacing w:val="-46"/>
          <w:w w:val="100"/>
        </w:rPr>
        <w:t> </w:t>
      </w:r>
      <w:r>
        <w:rPr>
          <w:rFonts w:ascii="宋体" w:hAnsi="宋体" w:cs="宋体" w:eastAsia="宋体" w:hint="default"/>
          <w:w w:val="100"/>
        </w:rPr>
        <w:t>13</w:t>
      </w:r>
      <w:r>
        <w:rPr>
          <w:rFonts w:ascii="宋体" w:hAnsi="宋体" w:cs="宋体" w:eastAsia="宋体" w:hint="default"/>
          <w:spacing w:val="-46"/>
          <w:w w:val="100"/>
        </w:rPr>
        <w:t> </w:t>
      </w:r>
      <w:r>
        <w:rPr>
          <w:spacing w:val="-7"/>
          <w:w w:val="100"/>
        </w:rPr>
        <w:t>日，在《中国证券报》、《证券时报》及巨潮资讯网上刊载的《关于重组一期现金对价支付</w:t>
      </w:r>
      <w:r>
        <w:rPr>
          <w:w w:val="100"/>
        </w:rPr>
        <w:t> </w:t>
      </w:r>
      <w:r>
        <w:rPr/>
        <w:t>完毕的公告》</w:t>
      </w:r>
      <w:r>
        <w:rPr>
          <w:rFonts w:ascii="宋体" w:hAnsi="宋体" w:cs="宋体" w:eastAsia="宋体" w:hint="default"/>
        </w:rPr>
        <w:t>(</w:t>
      </w:r>
      <w:r>
        <w:rPr/>
        <w:t>公告编号：</w:t>
      </w:r>
      <w:r>
        <w:rPr>
          <w:rFonts w:ascii="宋体" w:hAnsi="宋体" w:cs="宋体" w:eastAsia="宋体" w:hint="default"/>
        </w:rPr>
        <w:t>2018</w:t>
      </w:r>
      <w:r>
        <w:rPr/>
        <w:t>—</w:t>
      </w:r>
      <w:r>
        <w:rPr>
          <w:rFonts w:ascii="宋体" w:hAnsi="宋体" w:cs="宋体" w:eastAsia="宋体" w:hint="default"/>
        </w:rPr>
        <w:t>61)</w:t>
      </w:r>
      <w:r>
        <w:rPr/>
        <w:t>。</w:t>
      </w:r>
      <w:r>
        <w:rPr>
          <w:rFonts w:ascii="宋体" w:hAnsi="宋体" w:cs="宋体" w:eastAsia="宋体" w:hint="default"/>
        </w:rPr>
        <w:t> </w:t>
      </w:r>
    </w:p>
    <w:p>
      <w:pPr>
        <w:pStyle w:val="BodyText"/>
        <w:spacing w:line="273" w:lineRule="auto" w:before="127"/>
        <w:ind w:right="1126" w:firstLine="420"/>
        <w:jc w:val="both"/>
      </w:pPr>
      <w:r>
        <w:rPr/>
        <w:t>公司于</w:t>
      </w:r>
      <w:r>
        <w:rPr>
          <w:spacing w:val="-39"/>
        </w:rPr>
        <w:t> </w:t>
      </w:r>
      <w:r>
        <w:rPr>
          <w:rFonts w:ascii="宋体" w:hAnsi="宋体" w:cs="宋体" w:eastAsia="宋体" w:hint="default"/>
        </w:rPr>
        <w:t>2018</w:t>
      </w:r>
      <w:r>
        <w:rPr>
          <w:rFonts w:ascii="宋体" w:hAnsi="宋体" w:cs="宋体" w:eastAsia="宋体" w:hint="default"/>
          <w:spacing w:val="-42"/>
        </w:rPr>
        <w:t> </w:t>
      </w:r>
      <w:r>
        <w:rPr/>
        <w:t>年</w:t>
      </w:r>
      <w:r>
        <w:rPr>
          <w:spacing w:val="-39"/>
        </w:rPr>
        <w:t> </w:t>
      </w:r>
      <w:r>
        <w:rPr>
          <w:rFonts w:ascii="宋体" w:hAnsi="宋体" w:cs="宋体" w:eastAsia="宋体" w:hint="default"/>
        </w:rPr>
        <w:t>10</w:t>
      </w:r>
      <w:r>
        <w:rPr>
          <w:rFonts w:ascii="宋体" w:hAnsi="宋体" w:cs="宋体" w:eastAsia="宋体" w:hint="default"/>
          <w:spacing w:val="-42"/>
        </w:rPr>
        <w:t> </w:t>
      </w:r>
      <w:r>
        <w:rPr/>
        <w:t>月</w:t>
      </w:r>
      <w:r>
        <w:rPr>
          <w:spacing w:val="-39"/>
        </w:rPr>
        <w:t> </w:t>
      </w:r>
      <w:r>
        <w:rPr>
          <w:rFonts w:ascii="宋体" w:hAnsi="宋体" w:cs="宋体" w:eastAsia="宋体" w:hint="default"/>
        </w:rPr>
        <w:t>19</w:t>
      </w:r>
      <w:r>
        <w:rPr>
          <w:rFonts w:ascii="宋体" w:hAnsi="宋体" w:cs="宋体" w:eastAsia="宋体" w:hint="default"/>
          <w:spacing w:val="-42"/>
        </w:rPr>
        <w:t> </w:t>
      </w:r>
      <w:r>
        <w:rPr/>
        <w:t>日，向交易对方刘英魁、嘉语春华、嘉惠秋实的监管账户分别支付第二期现</w:t>
      </w:r>
      <w:r>
        <w:rPr>
          <w:w w:val="100"/>
        </w:rPr>
        <w:t> </w:t>
      </w:r>
      <w:r>
        <w:rPr/>
        <w:t>金对价</w:t>
      </w:r>
      <w:r>
        <w:rPr>
          <w:spacing w:val="-54"/>
        </w:rPr>
        <w:t> </w:t>
      </w:r>
      <w:r>
        <w:rPr>
          <w:rFonts w:ascii="宋体" w:hAnsi="宋体" w:cs="宋体" w:eastAsia="宋体" w:hint="default"/>
        </w:rPr>
        <w:t>588.24</w:t>
      </w:r>
      <w:r>
        <w:rPr>
          <w:rFonts w:ascii="宋体" w:hAnsi="宋体" w:cs="宋体" w:eastAsia="宋体" w:hint="default"/>
          <w:spacing w:val="-57"/>
        </w:rPr>
        <w:t> </w:t>
      </w:r>
      <w:r>
        <w:rPr/>
        <w:t>万元</w:t>
      </w:r>
      <w:r>
        <w:rPr>
          <w:rFonts w:ascii="宋体" w:hAnsi="宋体" w:cs="宋体" w:eastAsia="宋体" w:hint="default"/>
        </w:rPr>
        <w:t>(</w:t>
      </w:r>
      <w:r>
        <w:rPr/>
        <w:t>人民币</w:t>
      </w:r>
      <w:r>
        <w:rPr>
          <w:rFonts w:ascii="宋体" w:hAnsi="宋体" w:cs="宋体" w:eastAsia="宋体" w:hint="default"/>
        </w:rPr>
        <w:t>.</w:t>
      </w:r>
      <w:r>
        <w:rPr/>
        <w:t>下同</w:t>
      </w:r>
      <w:r>
        <w:rPr>
          <w:rFonts w:ascii="宋体" w:hAnsi="宋体" w:cs="宋体" w:eastAsia="宋体" w:hint="default"/>
        </w:rPr>
        <w:t>)</w:t>
      </w:r>
      <w:r>
        <w:rPr/>
        <w:t>、</w:t>
      </w:r>
      <w:r>
        <w:rPr>
          <w:rFonts w:ascii="宋体" w:hAnsi="宋体" w:cs="宋体" w:eastAsia="宋体" w:hint="default"/>
        </w:rPr>
        <w:t>3,431.37</w:t>
      </w:r>
      <w:r>
        <w:rPr>
          <w:rFonts w:ascii="宋体" w:hAnsi="宋体" w:cs="宋体" w:eastAsia="宋体" w:hint="default"/>
          <w:spacing w:val="-55"/>
        </w:rPr>
        <w:t> </w:t>
      </w:r>
      <w:r>
        <w:rPr/>
        <w:t>万元、</w:t>
      </w:r>
      <w:r>
        <w:rPr>
          <w:rFonts w:ascii="宋体" w:hAnsi="宋体" w:cs="宋体" w:eastAsia="宋体" w:hint="default"/>
        </w:rPr>
        <w:t>980.39</w:t>
      </w:r>
      <w:r>
        <w:rPr>
          <w:rFonts w:ascii="宋体" w:hAnsi="宋体" w:cs="宋体" w:eastAsia="宋体" w:hint="default"/>
          <w:spacing w:val="-57"/>
        </w:rPr>
        <w:t> </w:t>
      </w:r>
      <w:r>
        <w:rPr>
          <w:spacing w:val="-3"/>
        </w:rPr>
        <w:t>万元，合计</w:t>
      </w:r>
      <w:r>
        <w:rPr>
          <w:spacing w:val="-57"/>
        </w:rPr>
        <w:t> </w:t>
      </w:r>
      <w:r>
        <w:rPr>
          <w:rFonts w:ascii="宋体" w:hAnsi="宋体" w:cs="宋体" w:eastAsia="宋体" w:hint="default"/>
        </w:rPr>
        <w:t>5,000.00</w:t>
      </w:r>
      <w:r>
        <w:rPr>
          <w:rFonts w:ascii="宋体" w:hAnsi="宋体" w:cs="宋体" w:eastAsia="宋体" w:hint="default"/>
          <w:spacing w:val="-57"/>
        </w:rPr>
        <w:t> </w:t>
      </w:r>
      <w:r>
        <w:rPr/>
        <w:t>万元。之后公司继续向</w:t>
      </w:r>
      <w:r>
        <w:rPr>
          <w:w w:val="100"/>
        </w:rPr>
        <w:t> </w:t>
      </w:r>
      <w:r>
        <w:rPr>
          <w:spacing w:val="7"/>
        </w:rPr>
        <w:t>交易对方刘英魁、嘉语春华、嘉惠秋实的监管账户分别支付余下的第二期现金对价 </w:t>
      </w:r>
      <w:r>
        <w:rPr>
          <w:rFonts w:ascii="宋体" w:hAnsi="宋体" w:cs="宋体" w:eastAsia="宋体" w:hint="default"/>
        </w:rPr>
        <w:t>2,075.76 </w:t>
      </w:r>
      <w:r>
        <w:rPr>
          <w:rFonts w:ascii="宋体" w:hAnsi="宋体" w:cs="宋体" w:eastAsia="宋体" w:hint="default"/>
          <w:spacing w:val="3"/>
        </w:rPr>
        <w:t> </w:t>
      </w:r>
      <w:r>
        <w:rPr>
          <w:spacing w:val="4"/>
        </w:rPr>
        <w:t>万元、</w:t>
      </w:r>
    </w:p>
    <w:p>
      <w:pPr>
        <w:pStyle w:val="BodyText"/>
        <w:spacing w:line="240" w:lineRule="auto" w:before="7"/>
        <w:ind w:right="0"/>
        <w:jc w:val="both"/>
      </w:pPr>
      <w:r>
        <w:rPr>
          <w:rFonts w:ascii="宋体" w:hAnsi="宋体" w:cs="宋体" w:eastAsia="宋体" w:hint="default"/>
        </w:rPr>
        <w:t>12,108.63</w:t>
      </w:r>
      <w:r>
        <w:rPr>
          <w:rFonts w:ascii="宋体" w:hAnsi="宋体" w:cs="宋体" w:eastAsia="宋体" w:hint="default"/>
          <w:spacing w:val="-57"/>
        </w:rPr>
        <w:t> </w:t>
      </w:r>
      <w:r>
        <w:rPr/>
        <w:t>万元、</w:t>
      </w:r>
      <w:r>
        <w:rPr>
          <w:rFonts w:ascii="宋体" w:hAnsi="宋体" w:cs="宋体" w:eastAsia="宋体" w:hint="default"/>
        </w:rPr>
        <w:t>3,459.61</w:t>
      </w:r>
      <w:r>
        <w:rPr>
          <w:rFonts w:ascii="宋体" w:hAnsi="宋体" w:cs="宋体" w:eastAsia="宋体" w:hint="default"/>
          <w:spacing w:val="-56"/>
        </w:rPr>
        <w:t> </w:t>
      </w:r>
      <w:r>
        <w:rPr>
          <w:spacing w:val="-3"/>
        </w:rPr>
        <w:t>万元，合计</w:t>
      </w:r>
      <w:r>
        <w:rPr>
          <w:spacing w:val="-55"/>
        </w:rPr>
        <w:t> </w:t>
      </w:r>
      <w:r>
        <w:rPr>
          <w:rFonts w:ascii="宋体" w:hAnsi="宋体" w:cs="宋体" w:eastAsia="宋体" w:hint="default"/>
        </w:rPr>
        <w:t>17,644.00</w:t>
      </w:r>
      <w:r>
        <w:rPr>
          <w:rFonts w:ascii="宋体" w:hAnsi="宋体" w:cs="宋体" w:eastAsia="宋体" w:hint="default"/>
          <w:spacing w:val="-57"/>
        </w:rPr>
        <w:t> </w:t>
      </w:r>
      <w:r>
        <w:rPr/>
        <w:t>万元，本次交易第二期交易价款</w:t>
      </w:r>
      <w:r>
        <w:rPr>
          <w:spacing w:val="-56"/>
        </w:rPr>
        <w:t> </w:t>
      </w:r>
      <w:r>
        <w:rPr>
          <w:rFonts w:ascii="宋体" w:hAnsi="宋体" w:cs="宋体" w:eastAsia="宋体" w:hint="default"/>
        </w:rPr>
        <w:t>22,644.00</w:t>
      </w:r>
      <w:r>
        <w:rPr>
          <w:rFonts w:ascii="宋体" w:hAnsi="宋体" w:cs="宋体" w:eastAsia="宋体" w:hint="default"/>
          <w:spacing w:val="-55"/>
        </w:rPr>
        <w:t> </w:t>
      </w:r>
      <w:r>
        <w:rPr/>
        <w:t>万元按约定</w:t>
      </w:r>
    </w:p>
    <w:p>
      <w:pPr>
        <w:pStyle w:val="BodyText"/>
        <w:spacing w:line="273" w:lineRule="auto" w:before="37"/>
        <w:ind w:right="1126"/>
        <w:jc w:val="both"/>
        <w:rPr>
          <w:rFonts w:ascii="宋体" w:hAnsi="宋体" w:cs="宋体" w:eastAsia="宋体" w:hint="default"/>
        </w:rPr>
      </w:pPr>
      <w:r>
        <w:rPr>
          <w:spacing w:val="-2"/>
          <w:w w:val="100"/>
        </w:rPr>
        <w:t>支付完毕。有关情况可查阅公司于</w:t>
      </w:r>
      <w:r>
        <w:rPr>
          <w:spacing w:val="-36"/>
          <w:w w:val="100"/>
        </w:rPr>
        <w:t> </w:t>
      </w:r>
      <w:r>
        <w:rPr>
          <w:rFonts w:ascii="宋体" w:hAnsi="宋体" w:cs="宋体" w:eastAsia="宋体" w:hint="default"/>
          <w:spacing w:val="-1"/>
          <w:w w:val="100"/>
        </w:rPr>
        <w:t>2018</w:t>
      </w:r>
      <w:r>
        <w:rPr>
          <w:rFonts w:ascii="宋体" w:hAnsi="宋体" w:cs="宋体" w:eastAsia="宋体" w:hint="default"/>
          <w:spacing w:val="-37"/>
          <w:w w:val="100"/>
        </w:rPr>
        <w:t> </w:t>
      </w:r>
      <w:r>
        <w:rPr>
          <w:w w:val="100"/>
        </w:rPr>
        <w:t>年</w:t>
      </w:r>
      <w:r>
        <w:rPr>
          <w:spacing w:val="-33"/>
          <w:w w:val="100"/>
        </w:rPr>
        <w:t> </w:t>
      </w:r>
      <w:r>
        <w:rPr>
          <w:rFonts w:ascii="宋体" w:hAnsi="宋体" w:cs="宋体" w:eastAsia="宋体" w:hint="default"/>
          <w:w w:val="100"/>
        </w:rPr>
        <w:t>12</w:t>
      </w:r>
      <w:r>
        <w:rPr>
          <w:rFonts w:ascii="宋体" w:hAnsi="宋体" w:cs="宋体" w:eastAsia="宋体" w:hint="default"/>
          <w:spacing w:val="-37"/>
          <w:w w:val="100"/>
        </w:rPr>
        <w:t> </w:t>
      </w:r>
      <w:r>
        <w:rPr>
          <w:w w:val="100"/>
        </w:rPr>
        <w:t>月</w:t>
      </w:r>
      <w:r>
        <w:rPr>
          <w:spacing w:val="-33"/>
          <w:w w:val="100"/>
        </w:rPr>
        <w:t> </w:t>
      </w:r>
      <w:r>
        <w:rPr>
          <w:rFonts w:ascii="宋体" w:hAnsi="宋体" w:cs="宋体" w:eastAsia="宋体" w:hint="default"/>
          <w:spacing w:val="-2"/>
          <w:w w:val="100"/>
        </w:rPr>
        <w:t>14</w:t>
      </w:r>
      <w:r>
        <w:rPr>
          <w:rFonts w:ascii="宋体" w:hAnsi="宋体" w:cs="宋体" w:eastAsia="宋体" w:hint="default"/>
          <w:spacing w:val="-33"/>
          <w:w w:val="100"/>
        </w:rPr>
        <w:t> </w:t>
      </w:r>
      <w:r>
        <w:rPr>
          <w:spacing w:val="-11"/>
          <w:w w:val="100"/>
        </w:rPr>
        <w:t>日，在《中国证券报》、《证券时报》及巨潮资讯网上</w:t>
      </w:r>
      <w:r>
        <w:rPr>
          <w:w w:val="100"/>
        </w:rPr>
        <w:t> </w:t>
      </w:r>
      <w:r>
        <w:rPr/>
        <w:t>刊载的《关于重组二期现金对价支付完毕的公告》</w:t>
      </w:r>
      <w:r>
        <w:rPr>
          <w:rFonts w:ascii="宋体" w:hAnsi="宋体" w:cs="宋体" w:eastAsia="宋体" w:hint="default"/>
        </w:rPr>
        <w:t>(</w:t>
      </w:r>
      <w:r>
        <w:rPr/>
        <w:t>公告编号：</w:t>
      </w:r>
      <w:r>
        <w:rPr>
          <w:rFonts w:ascii="宋体" w:hAnsi="宋体" w:cs="宋体" w:eastAsia="宋体" w:hint="default"/>
        </w:rPr>
        <w:t>2018</w:t>
      </w:r>
      <w:r>
        <w:rPr/>
        <w:t>—</w:t>
      </w:r>
      <w:r>
        <w:rPr>
          <w:rFonts w:ascii="宋体" w:hAnsi="宋体" w:cs="宋体" w:eastAsia="宋体" w:hint="default"/>
        </w:rPr>
        <w:t>125)</w:t>
      </w:r>
      <w:r>
        <w:rPr/>
        <w:t>。</w:t>
      </w:r>
      <w:r>
        <w:rPr>
          <w:rFonts w:ascii="宋体" w:hAnsi="宋体" w:cs="宋体" w:eastAsia="宋体" w:hint="default"/>
        </w:rPr>
        <w:t> </w:t>
      </w:r>
    </w:p>
    <w:p>
      <w:pPr>
        <w:pStyle w:val="BodyText"/>
        <w:spacing w:line="240" w:lineRule="auto" w:before="128"/>
        <w:ind w:left="573" w:right="819"/>
        <w:jc w:val="left"/>
      </w:pPr>
      <w:r>
        <w:rPr/>
        <w:t>报告期公司共向交易对方支付第三期现金对价</w:t>
      </w:r>
      <w:r>
        <w:rPr>
          <w:spacing w:val="-35"/>
        </w:rPr>
        <w:t> </w:t>
      </w:r>
      <w:r>
        <w:rPr>
          <w:rFonts w:ascii="宋体" w:hAnsi="宋体" w:cs="宋体" w:eastAsia="宋体" w:hint="default"/>
        </w:rPr>
        <w:t>4,000</w:t>
      </w:r>
      <w:r>
        <w:rPr>
          <w:rFonts w:ascii="宋体" w:hAnsi="宋体" w:cs="宋体" w:eastAsia="宋体" w:hint="default"/>
          <w:spacing w:val="-35"/>
        </w:rPr>
        <w:t> </w:t>
      </w:r>
      <w:r>
        <w:rPr/>
        <w:t>万元，还有</w:t>
      </w:r>
      <w:r>
        <w:rPr>
          <w:spacing w:val="-35"/>
        </w:rPr>
        <w:t> </w:t>
      </w:r>
      <w:r>
        <w:rPr>
          <w:rFonts w:ascii="宋体" w:hAnsi="宋体" w:cs="宋体" w:eastAsia="宋体" w:hint="default"/>
        </w:rPr>
        <w:t>33,740</w:t>
      </w:r>
      <w:r>
        <w:rPr>
          <w:rFonts w:ascii="宋体" w:hAnsi="宋体" w:cs="宋体" w:eastAsia="宋体" w:hint="default"/>
          <w:spacing w:val="-35"/>
        </w:rPr>
        <w:t> </w:t>
      </w:r>
      <w:r>
        <w:rPr/>
        <w:t>万元股权转让款未支付。考</w:t>
      </w:r>
    </w:p>
    <w:p>
      <w:pPr>
        <w:pStyle w:val="BodyText"/>
        <w:spacing w:line="240" w:lineRule="auto" w:before="37"/>
        <w:ind w:right="0"/>
        <w:jc w:val="both"/>
      </w:pPr>
      <w:r>
        <w:rPr/>
        <w:t>虑到公司后期资金安排，公司按照万分之二每日支付逾期交易价款利息。本次支付已计入公司 </w:t>
      </w:r>
      <w:r>
        <w:rPr>
          <w:rFonts w:ascii="宋体" w:hAnsi="宋体" w:cs="宋体" w:eastAsia="宋体" w:hint="default"/>
        </w:rPr>
        <w:t>2019</w:t>
      </w:r>
      <w:r>
        <w:rPr>
          <w:rFonts w:ascii="宋体" w:hAnsi="宋体" w:cs="宋体" w:eastAsia="宋体" w:hint="default"/>
          <w:spacing w:val="-28"/>
        </w:rPr>
        <w:t> </w:t>
      </w:r>
      <w:r>
        <w:rPr/>
        <w:t>年度</w:t>
      </w:r>
    </w:p>
    <w:p>
      <w:pPr>
        <w:pStyle w:val="BodyText"/>
        <w:spacing w:line="240" w:lineRule="auto" w:before="37"/>
        <w:ind w:right="0"/>
        <w:jc w:val="both"/>
        <w:rPr>
          <w:rFonts w:ascii="宋体" w:hAnsi="宋体" w:cs="宋体" w:eastAsia="宋体" w:hint="default"/>
        </w:rPr>
      </w:pPr>
      <w:r>
        <w:rPr/>
        <w:t>财务核算，未对公司</w:t>
      </w:r>
      <w:r>
        <w:rPr>
          <w:spacing w:val="-55"/>
        </w:rPr>
        <w:t> </w:t>
      </w:r>
      <w:r>
        <w:rPr>
          <w:rFonts w:ascii="宋体" w:hAnsi="宋体" w:cs="宋体" w:eastAsia="宋体" w:hint="default"/>
        </w:rPr>
        <w:t>2019</w:t>
      </w:r>
      <w:r>
        <w:rPr>
          <w:rFonts w:ascii="宋体" w:hAnsi="宋体" w:cs="宋体" w:eastAsia="宋体" w:hint="default"/>
          <w:spacing w:val="-57"/>
        </w:rPr>
        <w:t> </w:t>
      </w:r>
      <w:r>
        <w:rPr/>
        <w:t>年度业绩造成重大影响。</w:t>
      </w:r>
      <w:r>
        <w:rPr>
          <w:rFonts w:ascii="宋体" w:hAnsi="宋体" w:cs="宋体" w:eastAsia="宋体" w:hint="default"/>
        </w:rPr>
        <w:t> </w:t>
      </w:r>
    </w:p>
    <w:p>
      <w:pPr>
        <w:spacing w:line="430" w:lineRule="atLeast" w:before="2"/>
        <w:ind w:left="573" w:right="5542" w:hanging="104"/>
        <w:jc w:val="left"/>
        <w:rPr>
          <w:rFonts w:ascii="宋体" w:hAnsi="宋体" w:cs="宋体" w:eastAsia="宋体" w:hint="default"/>
          <w:sz w:val="21"/>
          <w:szCs w:val="21"/>
        </w:rPr>
      </w:pPr>
      <w:r>
        <w:rPr>
          <w:rFonts w:ascii="宋体" w:hAnsi="宋体" w:cs="宋体" w:eastAsia="宋体" w:hint="default"/>
          <w:b/>
          <w:bCs/>
          <w:sz w:val="21"/>
          <w:szCs w:val="21"/>
        </w:rPr>
        <w:t>（三）债务重组</w:t>
      </w:r>
      <w:r>
        <w:rPr>
          <w:rFonts w:ascii="宋体" w:hAnsi="宋体" w:cs="宋体" w:eastAsia="宋体" w:hint="default"/>
          <w:b/>
          <w:bCs/>
          <w:w w:val="99"/>
          <w:sz w:val="21"/>
          <w:szCs w:val="21"/>
        </w:rPr>
        <w:t> </w:t>
      </w:r>
      <w:r>
        <w:rPr>
          <w:rFonts w:ascii="宋体" w:hAnsi="宋体" w:cs="宋体" w:eastAsia="宋体" w:hint="default"/>
          <w:sz w:val="21"/>
          <w:szCs w:val="21"/>
        </w:rPr>
        <w:t>1</w:t>
      </w:r>
      <w:r>
        <w:rPr>
          <w:rFonts w:ascii="宋体" w:hAnsi="宋体" w:cs="宋体" w:eastAsia="宋体" w:hint="default"/>
          <w:sz w:val="21"/>
          <w:szCs w:val="21"/>
        </w:rPr>
        <w:t>、关于泰盛亚德茌平数据中心项目债务重组</w:t>
      </w:r>
      <w:r>
        <w:rPr>
          <w:rFonts w:ascii="宋体" w:hAnsi="宋体" w:cs="宋体" w:eastAsia="宋体" w:hint="default"/>
          <w:sz w:val="21"/>
          <w:szCs w:val="21"/>
        </w:rPr>
        <w:t> </w:t>
      </w:r>
    </w:p>
    <w:p>
      <w:pPr>
        <w:pStyle w:val="BodyText"/>
        <w:spacing w:line="273" w:lineRule="auto" w:before="37"/>
        <w:ind w:right="1126" w:firstLine="420"/>
        <w:jc w:val="both"/>
        <w:rPr>
          <w:rFonts w:ascii="宋体" w:hAnsi="宋体" w:cs="宋体" w:eastAsia="宋体" w:hint="default"/>
        </w:rPr>
      </w:pPr>
      <w:r>
        <w:rPr>
          <w:rFonts w:ascii="宋体" w:hAnsi="宋体" w:cs="宋体" w:eastAsia="宋体" w:hint="default"/>
        </w:rPr>
        <w:t>2019</w:t>
      </w:r>
      <w:r>
        <w:rPr>
          <w:rFonts w:ascii="宋体" w:hAnsi="宋体" w:cs="宋体" w:eastAsia="宋体" w:hint="default"/>
          <w:spacing w:val="-32"/>
        </w:rPr>
        <w:t> </w:t>
      </w:r>
      <w:r>
        <w:rPr/>
        <w:t>年</w:t>
      </w:r>
      <w:r>
        <w:rPr>
          <w:spacing w:val="-29"/>
        </w:rPr>
        <w:t> </w:t>
      </w:r>
      <w:r>
        <w:rPr>
          <w:rFonts w:ascii="宋体" w:hAnsi="宋体" w:cs="宋体" w:eastAsia="宋体" w:hint="default"/>
        </w:rPr>
        <w:t>7</w:t>
      </w:r>
      <w:r>
        <w:rPr>
          <w:rFonts w:ascii="宋体" w:hAnsi="宋体" w:cs="宋体" w:eastAsia="宋体" w:hint="default"/>
          <w:spacing w:val="-32"/>
        </w:rPr>
        <w:t> </w:t>
      </w:r>
      <w:r>
        <w:rPr>
          <w:spacing w:val="-4"/>
        </w:rPr>
        <w:t>月，长实通信、北京泰盛亚德数字科技有限公司茌平分公司（以下简称“泰盛亚德茌平分公</w:t>
      </w:r>
      <w:r>
        <w:rPr>
          <w:w w:val="100"/>
        </w:rPr>
        <w:t> </w:t>
      </w:r>
      <w:r>
        <w:rPr>
          <w:spacing w:val="-4"/>
          <w:w w:val="100"/>
        </w:rPr>
        <w:t>司”）与中国联合网络通信有限公司清远市分公司（以下简称“清远联通”）签订了《</w:t>
      </w:r>
      <w:r>
        <w:rPr>
          <w:rFonts w:ascii="宋体" w:hAnsi="宋体" w:cs="宋体" w:eastAsia="宋体" w:hint="default"/>
          <w:spacing w:val="-4"/>
          <w:w w:val="100"/>
        </w:rPr>
        <w:t>&lt;</w:t>
      </w:r>
      <w:r>
        <w:rPr>
          <w:spacing w:val="-4"/>
          <w:w w:val="100"/>
        </w:rPr>
        <w:t>关于数据中心建设</w:t>
      </w:r>
      <w:r>
        <w:rPr>
          <w:spacing w:val="-100"/>
          <w:w w:val="100"/>
        </w:rPr>
        <w:t> </w:t>
      </w:r>
      <w:r>
        <w:rPr>
          <w:spacing w:val="-100"/>
          <w:w w:val="100"/>
        </w:rPr>
      </w:r>
      <w:r>
        <w:rPr>
          <w:spacing w:val="-9"/>
          <w:w w:val="100"/>
        </w:rPr>
        <w:t>项目合同</w:t>
      </w:r>
      <w:r>
        <w:rPr>
          <w:rFonts w:ascii="宋体" w:hAnsi="宋体" w:cs="宋体" w:eastAsia="宋体" w:hint="default"/>
          <w:spacing w:val="-9"/>
          <w:w w:val="100"/>
        </w:rPr>
        <w:t>&gt;</w:t>
      </w:r>
      <w:r>
        <w:rPr>
          <w:spacing w:val="-9"/>
          <w:w w:val="100"/>
        </w:rPr>
        <w:t>的终止协议》（以下简称“终止协议”），因泰盛亚德茌平分公司业务发展规划及市场的变化，三</w:t>
      </w:r>
      <w:r>
        <w:rPr>
          <w:spacing w:val="-76"/>
          <w:w w:val="100"/>
        </w:rPr>
        <w:t> </w:t>
      </w:r>
      <w:r>
        <w:rPr>
          <w:spacing w:val="-76"/>
          <w:w w:val="100"/>
        </w:rPr>
      </w:r>
      <w:r>
        <w:rPr>
          <w:spacing w:val="-1"/>
          <w:w w:val="100"/>
        </w:rPr>
        <w:t>方决定终止于</w:t>
      </w:r>
      <w:r>
        <w:rPr>
          <w:spacing w:val="-39"/>
          <w:w w:val="100"/>
        </w:rPr>
        <w:t> </w:t>
      </w:r>
      <w:r>
        <w:rPr>
          <w:rFonts w:ascii="宋体" w:hAnsi="宋体" w:cs="宋体" w:eastAsia="宋体" w:hint="default"/>
          <w:spacing w:val="-1"/>
          <w:w w:val="100"/>
        </w:rPr>
        <w:t>2018</w:t>
      </w:r>
      <w:r>
        <w:rPr>
          <w:rFonts w:ascii="宋体" w:hAnsi="宋体" w:cs="宋体" w:eastAsia="宋体" w:hint="default"/>
          <w:spacing w:val="-40"/>
          <w:w w:val="100"/>
        </w:rPr>
        <w:t> </w:t>
      </w:r>
      <w:r>
        <w:rPr>
          <w:w w:val="100"/>
        </w:rPr>
        <w:t>年</w:t>
      </w:r>
      <w:r>
        <w:rPr>
          <w:spacing w:val="-37"/>
          <w:w w:val="100"/>
        </w:rPr>
        <w:t> </w:t>
      </w:r>
      <w:r>
        <w:rPr>
          <w:rFonts w:ascii="宋体" w:hAnsi="宋体" w:cs="宋体" w:eastAsia="宋体" w:hint="default"/>
          <w:w w:val="100"/>
        </w:rPr>
        <w:t>12</w:t>
      </w:r>
      <w:r>
        <w:rPr>
          <w:rFonts w:ascii="宋体" w:hAnsi="宋体" w:cs="宋体" w:eastAsia="宋体" w:hint="default"/>
          <w:spacing w:val="-40"/>
          <w:w w:val="100"/>
        </w:rPr>
        <w:t> </w:t>
      </w:r>
      <w:r>
        <w:rPr>
          <w:w w:val="100"/>
        </w:rPr>
        <w:t>月</w:t>
      </w:r>
      <w:r>
        <w:rPr>
          <w:spacing w:val="-37"/>
          <w:w w:val="100"/>
        </w:rPr>
        <w:t> </w:t>
      </w:r>
      <w:r>
        <w:rPr>
          <w:rFonts w:ascii="宋体" w:hAnsi="宋体" w:cs="宋体" w:eastAsia="宋体" w:hint="default"/>
          <w:w w:val="100"/>
        </w:rPr>
        <w:t>6</w:t>
      </w:r>
      <w:r>
        <w:rPr>
          <w:rFonts w:ascii="宋体" w:hAnsi="宋体" w:cs="宋体" w:eastAsia="宋体" w:hint="default"/>
          <w:spacing w:val="-40"/>
          <w:w w:val="100"/>
        </w:rPr>
        <w:t> </w:t>
      </w:r>
      <w:r>
        <w:rPr>
          <w:spacing w:val="-11"/>
          <w:w w:val="100"/>
        </w:rPr>
        <w:t>日签订的《关于数据中心建设项目合同》（以下简称“原合同”）。同日，泰</w:t>
      </w:r>
      <w:r>
        <w:rPr>
          <w:w w:val="100"/>
        </w:rPr>
        <w:t> </w:t>
      </w:r>
      <w:r>
        <w:rPr>
          <w:spacing w:val="-7"/>
          <w:w w:val="100"/>
        </w:rPr>
        <w:t>盛亚德茌平分公司与长实通信签订《数据中心建设项目回款协议》（以下简称“回款协议”），终止协议及</w:t>
      </w:r>
      <w:r>
        <w:rPr>
          <w:spacing w:val="-69"/>
          <w:w w:val="100"/>
        </w:rPr>
        <w:t> </w:t>
      </w:r>
      <w:r>
        <w:rPr>
          <w:spacing w:val="-69"/>
          <w:w w:val="100"/>
        </w:rPr>
      </w:r>
      <w:r>
        <w:rPr/>
        <w:t>回款协议约定，自</w:t>
      </w:r>
      <w:r>
        <w:rPr>
          <w:spacing w:val="-34"/>
        </w:rPr>
        <w:t> </w:t>
      </w:r>
      <w:r>
        <w:rPr>
          <w:rFonts w:ascii="宋体" w:hAnsi="宋体" w:cs="宋体" w:eastAsia="宋体" w:hint="default"/>
        </w:rPr>
        <w:t>2019</w:t>
      </w:r>
      <w:r>
        <w:rPr>
          <w:rFonts w:ascii="宋体" w:hAnsi="宋体" w:cs="宋体" w:eastAsia="宋体" w:hint="default"/>
          <w:spacing w:val="-35"/>
        </w:rPr>
        <w:t> </w:t>
      </w:r>
      <w:r>
        <w:rPr/>
        <w:t>年</w:t>
      </w:r>
      <w:r>
        <w:rPr>
          <w:spacing w:val="-34"/>
        </w:rPr>
        <w:t> </w:t>
      </w:r>
      <w:r>
        <w:rPr>
          <w:rFonts w:ascii="宋体" w:hAnsi="宋体" w:cs="宋体" w:eastAsia="宋体" w:hint="default"/>
        </w:rPr>
        <w:t>7</w:t>
      </w:r>
      <w:r>
        <w:rPr>
          <w:rFonts w:ascii="宋体" w:hAnsi="宋体" w:cs="宋体" w:eastAsia="宋体" w:hint="default"/>
          <w:spacing w:val="-32"/>
        </w:rPr>
        <w:t> </w:t>
      </w:r>
      <w:r>
        <w:rPr/>
        <w:t>月起，原合同中长实通信的权益，由泰盛亚德茌平分公司与长实通信协商解</w:t>
      </w:r>
      <w:r>
        <w:rPr>
          <w:w w:val="100"/>
        </w:rPr>
        <w:t> </w:t>
      </w:r>
      <w:r>
        <w:rPr>
          <w:spacing w:val="-2"/>
        </w:rPr>
        <w:t>决，数据中心建设项目的工程款由泰盛亚德茌平分公司直接结算给长实通信。回款协议同时约定，泰盛亚</w:t>
      </w:r>
      <w:r>
        <w:rPr>
          <w:spacing w:val="-43"/>
        </w:rPr>
        <w:t> </w:t>
      </w:r>
      <w:r>
        <w:rPr>
          <w:spacing w:val="-43"/>
        </w:rPr>
      </w:r>
      <w:r>
        <w:rPr>
          <w:spacing w:val="-2"/>
        </w:rPr>
        <w:t>德茌平分公司将数据中心相关资产抵押给长实通信，长实通信继续提供运维服务。如泰盛亚德茌平分公司</w:t>
      </w:r>
      <w:r>
        <w:rPr>
          <w:spacing w:val="-43"/>
        </w:rPr>
        <w:t> </w:t>
      </w:r>
      <w:r>
        <w:rPr>
          <w:spacing w:val="-43"/>
        </w:rPr>
      </w:r>
      <w:r>
        <w:rPr/>
        <w:t>延期支付欠付长实通信的建设款或维护费超过</w:t>
      </w:r>
      <w:r>
        <w:rPr>
          <w:spacing w:val="-55"/>
        </w:rPr>
        <w:t> </w:t>
      </w:r>
      <w:r>
        <w:rPr>
          <w:rFonts w:ascii="宋体" w:hAnsi="宋体" w:cs="宋体" w:eastAsia="宋体" w:hint="default"/>
        </w:rPr>
        <w:t>15</w:t>
      </w:r>
      <w:r>
        <w:rPr>
          <w:rFonts w:ascii="宋体" w:hAnsi="宋体" w:cs="宋体" w:eastAsia="宋体" w:hint="default"/>
          <w:spacing w:val="-58"/>
        </w:rPr>
        <w:t> </w:t>
      </w:r>
      <w:r>
        <w:rPr/>
        <w:t>天，长实通信有权解除合同。</w:t>
      </w:r>
      <w:r>
        <w:rPr>
          <w:rFonts w:ascii="宋体" w:hAnsi="宋体" w:cs="宋体" w:eastAsia="宋体" w:hint="default"/>
        </w:rPr>
        <w:t> </w:t>
      </w:r>
    </w:p>
    <w:p>
      <w:pPr>
        <w:pStyle w:val="BodyText"/>
        <w:spacing w:line="273" w:lineRule="auto" w:before="127"/>
        <w:ind w:right="1126" w:firstLine="420"/>
        <w:jc w:val="both"/>
      </w:pPr>
      <w:r>
        <w:rPr>
          <w:spacing w:val="-2"/>
        </w:rPr>
        <w:t>由于数据中心所在地工业园区电力供应政策的影响，造成数据中心无法正常运营，泰盛亚德茌平分公</w:t>
      </w:r>
      <w:r>
        <w:rPr>
          <w:w w:val="100"/>
        </w:rPr>
        <w:t> </w:t>
      </w:r>
      <w:r>
        <w:rPr/>
        <w:t>司无法按照回款协议约定时间及时支付数据机房工程款。</w:t>
      </w:r>
      <w:r>
        <w:rPr>
          <w:rFonts w:ascii="宋体" w:hAnsi="宋体" w:cs="宋体" w:eastAsia="宋体" w:hint="default"/>
        </w:rPr>
        <w:t>2019</w:t>
      </w:r>
      <w:r>
        <w:rPr>
          <w:rFonts w:ascii="宋体" w:hAnsi="宋体" w:cs="宋体" w:eastAsia="宋体" w:hint="default"/>
          <w:spacing w:val="-45"/>
        </w:rPr>
        <w:t> </w:t>
      </w:r>
      <w:r>
        <w:rPr/>
        <w:t>年</w:t>
      </w:r>
      <w:r>
        <w:rPr>
          <w:spacing w:val="-43"/>
        </w:rPr>
        <w:t> </w:t>
      </w:r>
      <w:r>
        <w:rPr>
          <w:rFonts w:ascii="宋体" w:hAnsi="宋体" w:cs="宋体" w:eastAsia="宋体" w:hint="default"/>
        </w:rPr>
        <w:t>12</w:t>
      </w:r>
      <w:r>
        <w:rPr>
          <w:rFonts w:ascii="宋体" w:hAnsi="宋体" w:cs="宋体" w:eastAsia="宋体" w:hint="default"/>
          <w:spacing w:val="-45"/>
        </w:rPr>
        <w:t> </w:t>
      </w:r>
      <w:r>
        <w:rPr/>
        <w:t>月，长实通信与泰盛亚德茌平分公司</w:t>
      </w:r>
      <w:r>
        <w:rPr>
          <w:w w:val="100"/>
        </w:rPr>
        <w:t> </w:t>
      </w:r>
      <w:r>
        <w:rPr>
          <w:spacing w:val="-2"/>
          <w:w w:val="100"/>
        </w:rPr>
        <w:t>签订《以资抵债协议》，泰盛亚德茌平分公司将位于茌平县信立源织业园内的数据中心及其相关附属品转</w:t>
      </w:r>
      <w:r>
        <w:rPr>
          <w:spacing w:val="-94"/>
          <w:w w:val="100"/>
        </w:rPr>
        <w:t> </w:t>
      </w:r>
      <w:r>
        <w:rPr>
          <w:spacing w:val="-94"/>
          <w:w w:val="100"/>
        </w:rPr>
      </w:r>
      <w:r>
        <w:rPr/>
        <w:t>让给长实通信作抵偿所欠工程款。截止</w:t>
      </w:r>
      <w:r>
        <w:rPr>
          <w:spacing w:val="-41"/>
        </w:rPr>
        <w:t> </w:t>
      </w:r>
      <w:r>
        <w:rPr>
          <w:rFonts w:ascii="宋体" w:hAnsi="宋体" w:cs="宋体" w:eastAsia="宋体" w:hint="default"/>
        </w:rPr>
        <w:t>2019</w:t>
      </w:r>
      <w:r>
        <w:rPr>
          <w:rFonts w:ascii="宋体" w:hAnsi="宋体" w:cs="宋体" w:eastAsia="宋体" w:hint="default"/>
          <w:spacing w:val="-42"/>
        </w:rPr>
        <w:t> </w:t>
      </w:r>
      <w:r>
        <w:rPr/>
        <w:t>年</w:t>
      </w:r>
      <w:r>
        <w:rPr>
          <w:spacing w:val="-39"/>
        </w:rPr>
        <w:t> </w:t>
      </w:r>
      <w:r>
        <w:rPr>
          <w:rFonts w:ascii="宋体" w:hAnsi="宋体" w:cs="宋体" w:eastAsia="宋体" w:hint="default"/>
        </w:rPr>
        <w:t>12</w:t>
      </w:r>
      <w:r>
        <w:rPr>
          <w:rFonts w:ascii="宋体" w:hAnsi="宋体" w:cs="宋体" w:eastAsia="宋体" w:hint="default"/>
          <w:spacing w:val="-42"/>
        </w:rPr>
        <w:t> </w:t>
      </w:r>
      <w:r>
        <w:rPr/>
        <w:t>月</w:t>
      </w:r>
      <w:r>
        <w:rPr>
          <w:spacing w:val="-39"/>
        </w:rPr>
        <w:t> </w:t>
      </w:r>
      <w:r>
        <w:rPr>
          <w:rFonts w:ascii="宋体" w:hAnsi="宋体" w:cs="宋体" w:eastAsia="宋体" w:hint="default"/>
        </w:rPr>
        <w:t>23</w:t>
      </w:r>
      <w:r>
        <w:rPr>
          <w:rFonts w:ascii="宋体" w:hAnsi="宋体" w:cs="宋体" w:eastAsia="宋体" w:hint="default"/>
          <w:spacing w:val="-39"/>
        </w:rPr>
        <w:t> </w:t>
      </w:r>
      <w:r>
        <w:rPr/>
        <w:t>日，长实通信应收泰盛亚德茌平数据中心项目涉</w:t>
      </w:r>
    </w:p>
    <w:p>
      <w:pPr>
        <w:spacing w:after="0" w:line="273" w:lineRule="auto"/>
        <w:jc w:val="both"/>
        <w:sectPr>
          <w:pgSz w:w="11910" w:h="16840"/>
          <w:pgMar w:header="880" w:footer="975" w:top="1100" w:bottom="1160" w:left="980" w:right="0"/>
        </w:sectPr>
      </w:pPr>
    </w:p>
    <w:p>
      <w:pPr>
        <w:spacing w:line="240" w:lineRule="auto" w:before="11"/>
        <w:rPr>
          <w:rFonts w:ascii="宋体" w:hAnsi="宋体" w:cs="宋体" w:eastAsia="宋体" w:hint="default"/>
          <w:sz w:val="20"/>
          <w:szCs w:val="20"/>
        </w:rPr>
      </w:pPr>
    </w:p>
    <w:p>
      <w:pPr>
        <w:pStyle w:val="BodyText"/>
        <w:spacing w:line="273" w:lineRule="auto" w:before="36"/>
        <w:ind w:right="1128"/>
        <w:jc w:val="both"/>
        <w:rPr>
          <w:rFonts w:ascii="宋体" w:hAnsi="宋体" w:cs="宋体" w:eastAsia="宋体" w:hint="default"/>
        </w:rPr>
      </w:pPr>
      <w:r>
        <w:rPr>
          <w:spacing w:val="-2"/>
          <w:w w:val="100"/>
        </w:rPr>
        <w:t>及长期应收款净额</w:t>
      </w:r>
      <w:r>
        <w:rPr>
          <w:w w:val="100"/>
        </w:rPr>
        <w:t> </w:t>
      </w:r>
      <w:r>
        <w:rPr>
          <w:rFonts w:ascii="宋体" w:hAnsi="宋体" w:cs="宋体" w:eastAsia="宋体" w:hint="default"/>
          <w:spacing w:val="-1"/>
          <w:w w:val="100"/>
        </w:rPr>
        <w:t>47,710,369.11</w:t>
      </w:r>
      <w:r>
        <w:rPr>
          <w:rFonts w:ascii="宋体" w:hAnsi="宋体" w:cs="宋体" w:eastAsia="宋体" w:hint="default"/>
          <w:spacing w:val="-11"/>
          <w:w w:val="100"/>
        </w:rPr>
        <w:t> </w:t>
      </w:r>
      <w:r>
        <w:rPr>
          <w:spacing w:val="-5"/>
          <w:w w:val="100"/>
        </w:rPr>
        <w:t>元（扣除未实现确认融资收益），根据北京国融兴华资产评估有限责任</w:t>
      </w:r>
      <w:r>
        <w:rPr>
          <w:w w:val="100"/>
        </w:rPr>
        <w:t> </w:t>
      </w:r>
      <w:r>
        <w:rPr>
          <w:spacing w:val="-2"/>
          <w:w w:val="100"/>
        </w:rPr>
        <w:t>公司出具的《广东长实通信科技有限公司建设茌平数据机房抵债收回的资产项目资产评估报告》，茌平数</w:t>
      </w:r>
      <w:r>
        <w:rPr>
          <w:spacing w:val="-94"/>
          <w:w w:val="100"/>
        </w:rPr>
        <w:t> </w:t>
      </w:r>
      <w:r>
        <w:rPr>
          <w:spacing w:val="-94"/>
          <w:w w:val="100"/>
        </w:rPr>
      </w:r>
      <w:r>
        <w:rPr/>
        <w:t>据中心及相关附属品评估价值为</w:t>
      </w:r>
      <w:r>
        <w:rPr>
          <w:spacing w:val="-54"/>
        </w:rPr>
        <w:t> </w:t>
      </w:r>
      <w:r>
        <w:rPr>
          <w:rFonts w:ascii="宋体" w:hAnsi="宋体" w:cs="宋体" w:eastAsia="宋体" w:hint="default"/>
        </w:rPr>
        <w:t>18,056,534.00</w:t>
      </w:r>
      <w:r>
        <w:rPr>
          <w:rFonts w:ascii="宋体" w:hAnsi="宋体" w:cs="宋体" w:eastAsia="宋体" w:hint="default"/>
          <w:spacing w:val="-55"/>
        </w:rPr>
        <w:t> </w:t>
      </w:r>
      <w:r>
        <w:rPr/>
        <w:t>元，差额确认债务重组损失</w:t>
      </w:r>
      <w:r>
        <w:rPr>
          <w:spacing w:val="-57"/>
        </w:rPr>
        <w:t> </w:t>
      </w:r>
      <w:r>
        <w:rPr>
          <w:rFonts w:ascii="宋体" w:hAnsi="宋体" w:cs="宋体" w:eastAsia="宋体" w:hint="default"/>
        </w:rPr>
        <w:t>29,653,835.11</w:t>
      </w:r>
      <w:r>
        <w:rPr>
          <w:rFonts w:ascii="宋体" w:hAnsi="宋体" w:cs="宋体" w:eastAsia="宋体" w:hint="default"/>
          <w:spacing w:val="-57"/>
        </w:rPr>
        <w:t> </w:t>
      </w:r>
      <w:r>
        <w:rPr/>
        <w:t>元。</w:t>
      </w:r>
      <w:r>
        <w:rPr>
          <w:rFonts w:ascii="宋体" w:hAnsi="宋体" w:cs="宋体" w:eastAsia="宋体" w:hint="default"/>
        </w:rPr>
        <w:t> </w:t>
      </w:r>
    </w:p>
    <w:p>
      <w:pPr>
        <w:pStyle w:val="BodyText"/>
        <w:spacing w:line="240" w:lineRule="auto" w:before="127"/>
        <w:ind w:left="573" w:right="1133"/>
        <w:jc w:val="left"/>
        <w:rPr>
          <w:rFonts w:ascii="宋体" w:hAnsi="宋体" w:cs="宋体" w:eastAsia="宋体" w:hint="default"/>
        </w:rPr>
      </w:pPr>
      <w:r>
        <w:rPr>
          <w:rFonts w:ascii="宋体" w:hAnsi="宋体" w:cs="宋体" w:eastAsia="宋体" w:hint="default"/>
        </w:rPr>
        <w:t>2</w:t>
      </w:r>
      <w:r>
        <w:rPr/>
        <w:t>、关于泰盛亚德汶川数据中心项目债务重组</w:t>
      </w:r>
      <w:r>
        <w:rPr>
          <w:rFonts w:ascii="宋体" w:hAnsi="宋体" w:cs="宋体" w:eastAsia="宋体" w:hint="default"/>
        </w:rPr>
        <w:t> </w:t>
      </w:r>
    </w:p>
    <w:p>
      <w:pPr>
        <w:pStyle w:val="BodyText"/>
        <w:spacing w:line="273" w:lineRule="auto" w:before="37"/>
        <w:ind w:right="1017" w:firstLine="420"/>
        <w:jc w:val="left"/>
        <w:rPr>
          <w:rFonts w:ascii="宋体" w:hAnsi="宋体" w:cs="宋体" w:eastAsia="宋体" w:hint="default"/>
        </w:rPr>
      </w:pPr>
      <w:r>
        <w:rPr>
          <w:rFonts w:ascii="宋体" w:hAnsi="宋体" w:cs="宋体" w:eastAsia="宋体" w:hint="default"/>
        </w:rPr>
        <w:t>2018</w:t>
      </w:r>
      <w:r>
        <w:rPr>
          <w:rFonts w:ascii="宋体" w:hAnsi="宋体" w:cs="宋体" w:eastAsia="宋体" w:hint="default"/>
          <w:spacing w:val="-28"/>
        </w:rPr>
        <w:t> </w:t>
      </w:r>
      <w:r>
        <w:rPr/>
        <w:t>年度，长实通信以分期收款方式承建北京泰盛亚德数字科技有限公司汶川数据中心的建设项目，</w:t>
      </w:r>
      <w:r>
        <w:rPr>
          <w:w w:val="100"/>
        </w:rPr>
        <w:t> </w:t>
      </w:r>
      <w:r>
        <w:rPr>
          <w:spacing w:val="-3"/>
        </w:rPr>
        <w:t>同时建成后为其提供维护服务。</w:t>
      </w:r>
      <w:r>
        <w:rPr>
          <w:rFonts w:ascii="宋体" w:hAnsi="宋体" w:cs="宋体" w:eastAsia="宋体" w:hint="default"/>
          <w:spacing w:val="-3"/>
        </w:rPr>
        <w:t>2019</w:t>
      </w:r>
      <w:r>
        <w:rPr>
          <w:rFonts w:ascii="宋体" w:hAnsi="宋体" w:cs="宋体" w:eastAsia="宋体" w:hint="default"/>
          <w:spacing w:val="-41"/>
        </w:rPr>
        <w:t> </w:t>
      </w:r>
      <w:r>
        <w:rPr/>
        <w:t>年</w:t>
      </w:r>
      <w:r>
        <w:rPr>
          <w:spacing w:val="-38"/>
        </w:rPr>
        <w:t> </w:t>
      </w:r>
      <w:r>
        <w:rPr>
          <w:rFonts w:ascii="宋体" w:hAnsi="宋体" w:cs="宋体" w:eastAsia="宋体" w:hint="default"/>
        </w:rPr>
        <w:t>8</w:t>
      </w:r>
      <w:r>
        <w:rPr>
          <w:rFonts w:ascii="宋体" w:hAnsi="宋体" w:cs="宋体" w:eastAsia="宋体" w:hint="default"/>
          <w:spacing w:val="-38"/>
        </w:rPr>
        <w:t> </w:t>
      </w:r>
      <w:r>
        <w:rPr>
          <w:spacing w:val="-4"/>
        </w:rPr>
        <w:t>月，四川省汶川县发生特大泥石流灾害，汶川县水磨镇数据中心</w:t>
      </w:r>
      <w:r>
        <w:rPr>
          <w:spacing w:val="-67"/>
        </w:rPr>
        <w:t> </w:t>
      </w:r>
      <w:r>
        <w:rPr>
          <w:spacing w:val="-67"/>
        </w:rPr>
      </w:r>
      <w:r>
        <w:rPr/>
        <w:t>及其设备等受到严重破坏，已无法运营。</w:t>
      </w:r>
      <w:r>
        <w:rPr>
          <w:rFonts w:ascii="宋体" w:hAnsi="宋体" w:cs="宋体" w:eastAsia="宋体" w:hint="default"/>
        </w:rPr>
        <w:t>2019</w:t>
      </w:r>
      <w:r>
        <w:rPr>
          <w:rFonts w:ascii="宋体" w:hAnsi="宋体" w:cs="宋体" w:eastAsia="宋体" w:hint="default"/>
          <w:spacing w:val="-46"/>
        </w:rPr>
        <w:t> </w:t>
      </w:r>
      <w:r>
        <w:rPr/>
        <w:t>年</w:t>
      </w:r>
      <w:r>
        <w:rPr>
          <w:spacing w:val="-44"/>
        </w:rPr>
        <w:t> </w:t>
      </w:r>
      <w:r>
        <w:rPr>
          <w:rFonts w:ascii="宋体" w:hAnsi="宋体" w:cs="宋体" w:eastAsia="宋体" w:hint="default"/>
        </w:rPr>
        <w:t>12</w:t>
      </w:r>
      <w:r>
        <w:rPr>
          <w:rFonts w:ascii="宋体" w:hAnsi="宋体" w:cs="宋体" w:eastAsia="宋体" w:hint="default"/>
          <w:spacing w:val="-44"/>
        </w:rPr>
        <w:t> </w:t>
      </w:r>
      <w:r>
        <w:rPr/>
        <w:t>月，泰盛亚德与长实通信汶川分公司（以下简称“汶</w:t>
      </w:r>
      <w:r>
        <w:rPr>
          <w:w w:val="100"/>
        </w:rPr>
        <w:t> </w:t>
      </w:r>
      <w:r>
        <w:rPr>
          <w:spacing w:val="-5"/>
          <w:w w:val="100"/>
        </w:rPr>
        <w:t>川分公司”）签订《关于汶川水磨镇数据中心建设、维护项目终止的协议》，协议规定，泰盛亚德于</w:t>
      </w:r>
      <w:r>
        <w:rPr>
          <w:spacing w:val="42"/>
          <w:w w:val="100"/>
        </w:rPr>
        <w:t> </w:t>
      </w:r>
      <w:r>
        <w:rPr>
          <w:rFonts w:ascii="宋体" w:hAnsi="宋体" w:cs="宋体" w:eastAsia="宋体" w:hint="default"/>
          <w:spacing w:val="-1"/>
          <w:w w:val="100"/>
        </w:rPr>
        <w:t>2019</w:t>
      </w:r>
    </w:p>
    <w:p>
      <w:pPr>
        <w:pStyle w:val="BodyText"/>
        <w:spacing w:line="240" w:lineRule="auto" w:before="7"/>
        <w:ind w:right="0"/>
        <w:jc w:val="both"/>
      </w:pPr>
      <w:r>
        <w:rPr/>
        <w:t>年</w:t>
      </w:r>
      <w:r>
        <w:rPr>
          <w:spacing w:val="-41"/>
        </w:rPr>
        <w:t> </w:t>
      </w:r>
      <w:r>
        <w:rPr>
          <w:rFonts w:ascii="宋体" w:hAnsi="宋体" w:cs="宋体" w:eastAsia="宋体" w:hint="default"/>
        </w:rPr>
        <w:t>12</w:t>
      </w:r>
      <w:r>
        <w:rPr>
          <w:rFonts w:ascii="宋体" w:hAnsi="宋体" w:cs="宋体" w:eastAsia="宋体" w:hint="default"/>
          <w:spacing w:val="-45"/>
        </w:rPr>
        <w:t> </w:t>
      </w:r>
      <w:r>
        <w:rPr/>
        <w:t>月</w:t>
      </w:r>
      <w:r>
        <w:rPr>
          <w:spacing w:val="-42"/>
        </w:rPr>
        <w:t> </w:t>
      </w:r>
      <w:r>
        <w:rPr>
          <w:rFonts w:ascii="宋体" w:hAnsi="宋体" w:cs="宋体" w:eastAsia="宋体" w:hint="default"/>
        </w:rPr>
        <w:t>30</w:t>
      </w:r>
      <w:r>
        <w:rPr>
          <w:rFonts w:ascii="宋体" w:hAnsi="宋体" w:cs="宋体" w:eastAsia="宋体" w:hint="default"/>
          <w:spacing w:val="-45"/>
        </w:rPr>
        <w:t> </w:t>
      </w:r>
      <w:r>
        <w:rPr/>
        <w:t>日前支付应付建设款</w:t>
      </w:r>
      <w:r>
        <w:rPr>
          <w:spacing w:val="-41"/>
        </w:rPr>
        <w:t> </w:t>
      </w:r>
      <w:r>
        <w:rPr>
          <w:rFonts w:ascii="宋体" w:hAnsi="宋体" w:cs="宋体" w:eastAsia="宋体" w:hint="default"/>
        </w:rPr>
        <w:t>240</w:t>
      </w:r>
      <w:r>
        <w:rPr>
          <w:rFonts w:ascii="宋体" w:hAnsi="宋体" w:cs="宋体" w:eastAsia="宋体" w:hint="default"/>
          <w:spacing w:val="-45"/>
        </w:rPr>
        <w:t> </w:t>
      </w:r>
      <w:r>
        <w:rPr>
          <w:spacing w:val="-3"/>
        </w:rPr>
        <w:t>万元，以汶川数据中心现有资产交割给汶川分公司，以抵偿欠付长实</w:t>
      </w:r>
    </w:p>
    <w:p>
      <w:pPr>
        <w:pStyle w:val="BodyText"/>
        <w:spacing w:line="240" w:lineRule="auto" w:before="37"/>
        <w:ind w:right="0"/>
        <w:jc w:val="both"/>
      </w:pPr>
      <w:r>
        <w:rPr/>
        <w:t>通信其余</w:t>
      </w:r>
      <w:r>
        <w:rPr>
          <w:spacing w:val="-43"/>
        </w:rPr>
        <w:t> </w:t>
      </w:r>
      <w:r>
        <w:rPr>
          <w:rFonts w:ascii="宋体" w:hAnsi="宋体" w:cs="宋体" w:eastAsia="宋体" w:hint="default"/>
        </w:rPr>
        <w:t>350</w:t>
      </w:r>
      <w:r>
        <w:rPr>
          <w:rFonts w:ascii="宋体" w:hAnsi="宋体" w:cs="宋体" w:eastAsia="宋体" w:hint="default"/>
          <w:spacing w:val="-45"/>
        </w:rPr>
        <w:t> </w:t>
      </w:r>
      <w:r>
        <w:rPr/>
        <w:t>万元（不含未确认实现融资收益）建设款。截止</w:t>
      </w:r>
      <w:r>
        <w:rPr>
          <w:spacing w:val="-45"/>
        </w:rPr>
        <w:t> </w:t>
      </w:r>
      <w:r>
        <w:rPr>
          <w:rFonts w:ascii="宋体" w:hAnsi="宋体" w:cs="宋体" w:eastAsia="宋体" w:hint="default"/>
        </w:rPr>
        <w:t>2019</w:t>
      </w:r>
      <w:r>
        <w:rPr>
          <w:rFonts w:ascii="宋体" w:hAnsi="宋体" w:cs="宋体" w:eastAsia="宋体" w:hint="default"/>
          <w:spacing w:val="-43"/>
        </w:rPr>
        <w:t> </w:t>
      </w:r>
      <w:r>
        <w:rPr/>
        <w:t>年</w:t>
      </w:r>
      <w:r>
        <w:rPr>
          <w:spacing w:val="-45"/>
        </w:rPr>
        <w:t> </w:t>
      </w:r>
      <w:r>
        <w:rPr>
          <w:rFonts w:ascii="宋体" w:hAnsi="宋体" w:cs="宋体" w:eastAsia="宋体" w:hint="default"/>
        </w:rPr>
        <w:t>12</w:t>
      </w:r>
      <w:r>
        <w:rPr>
          <w:rFonts w:ascii="宋体" w:hAnsi="宋体" w:cs="宋体" w:eastAsia="宋体" w:hint="default"/>
          <w:spacing w:val="-43"/>
        </w:rPr>
        <w:t> </w:t>
      </w:r>
      <w:r>
        <w:rPr/>
        <w:t>月</w:t>
      </w:r>
      <w:r>
        <w:rPr>
          <w:spacing w:val="-45"/>
        </w:rPr>
        <w:t> </w:t>
      </w:r>
      <w:r>
        <w:rPr>
          <w:rFonts w:ascii="宋体" w:hAnsi="宋体" w:cs="宋体" w:eastAsia="宋体" w:hint="default"/>
        </w:rPr>
        <w:t>20</w:t>
      </w:r>
      <w:r>
        <w:rPr>
          <w:rFonts w:ascii="宋体" w:hAnsi="宋体" w:cs="宋体" w:eastAsia="宋体" w:hint="default"/>
          <w:spacing w:val="-43"/>
        </w:rPr>
        <w:t> </w:t>
      </w:r>
      <w:r>
        <w:rPr/>
        <w:t>日，经管理层评估，汶川</w:t>
      </w:r>
    </w:p>
    <w:p>
      <w:pPr>
        <w:pStyle w:val="BodyText"/>
        <w:spacing w:line="240" w:lineRule="auto" w:before="37"/>
        <w:ind w:right="0"/>
        <w:jc w:val="both"/>
        <w:rPr>
          <w:rFonts w:ascii="宋体" w:hAnsi="宋体" w:cs="宋体" w:eastAsia="宋体" w:hint="default"/>
        </w:rPr>
      </w:pPr>
      <w:r>
        <w:rPr/>
        <w:t>数据中心及其相关附属品已无实际价值，确认债务重组损失</w:t>
      </w:r>
      <w:r>
        <w:rPr>
          <w:spacing w:val="-56"/>
        </w:rPr>
        <w:t> </w:t>
      </w:r>
      <w:r>
        <w:rPr>
          <w:rFonts w:ascii="宋体" w:hAnsi="宋体" w:cs="宋体" w:eastAsia="宋体" w:hint="default"/>
        </w:rPr>
        <w:t>3,291,351.96</w:t>
      </w:r>
      <w:r>
        <w:rPr>
          <w:rFonts w:ascii="宋体" w:hAnsi="宋体" w:cs="宋体" w:eastAsia="宋体" w:hint="default"/>
          <w:spacing w:val="-57"/>
        </w:rPr>
        <w:t> </w:t>
      </w:r>
      <w:r>
        <w:rPr/>
        <w:t>元。</w:t>
      </w:r>
      <w:r>
        <w:rPr>
          <w:rFonts w:ascii="宋体" w:hAnsi="宋体" w:cs="宋体" w:eastAsia="宋体" w:hint="default"/>
        </w:rPr>
        <w:t> </w:t>
      </w:r>
    </w:p>
    <w:p>
      <w:pPr>
        <w:spacing w:line="240" w:lineRule="auto" w:before="2"/>
        <w:rPr>
          <w:rFonts w:ascii="宋体" w:hAnsi="宋体" w:cs="宋体" w:eastAsia="宋体" w:hint="default"/>
          <w:sz w:val="21"/>
          <w:szCs w:val="21"/>
        </w:rPr>
      </w:pPr>
    </w:p>
    <w:p>
      <w:pPr>
        <w:pStyle w:val="Heading3"/>
        <w:spacing w:line="240" w:lineRule="auto" w:before="0"/>
        <w:ind w:left="470" w:right="1133"/>
        <w:jc w:val="left"/>
        <w:rPr>
          <w:rFonts w:ascii="宋体" w:hAnsi="宋体" w:cs="宋体" w:eastAsia="宋体" w:hint="default"/>
          <w:b w:val="0"/>
          <w:bCs w:val="0"/>
        </w:rPr>
      </w:pPr>
      <w:r>
        <w:rPr/>
        <w:t>（四）其他重大事项相关的信息披露指定网站查询索引及日期</w:t>
      </w:r>
      <w:r>
        <w:rPr>
          <w:rFonts w:ascii="宋体" w:hAnsi="宋体" w:cs="宋体" w:eastAsia="宋体" w:hint="default"/>
          <w:w w:val="99"/>
        </w:rPr>
        <w:t> </w:t>
      </w:r>
      <w:r>
        <w:rPr>
          <w:rFonts w:ascii="宋体" w:hAnsi="宋体" w:cs="宋体" w:eastAsia="宋体" w:hint="default"/>
          <w:b w:val="0"/>
          <w:bCs w:val="0"/>
        </w:rPr>
      </w:r>
    </w:p>
    <w:p>
      <w:pPr>
        <w:spacing w:line="240" w:lineRule="auto" w:before="12"/>
        <w:rPr>
          <w:rFonts w:ascii="宋体" w:hAnsi="宋体" w:cs="宋体" w:eastAsia="宋体" w:hint="default"/>
          <w:b/>
          <w:bCs/>
          <w:sz w:val="6"/>
          <w:szCs w:val="6"/>
        </w:rPr>
      </w:pPr>
    </w:p>
    <w:tbl>
      <w:tblPr>
        <w:tblW w:w="0" w:type="auto"/>
        <w:jc w:val="left"/>
        <w:tblInd w:w="145" w:type="dxa"/>
        <w:tblLayout w:type="fixed"/>
        <w:tblCellMar>
          <w:top w:w="0" w:type="dxa"/>
          <w:left w:w="0" w:type="dxa"/>
          <w:bottom w:w="0" w:type="dxa"/>
          <w:right w:w="0" w:type="dxa"/>
        </w:tblCellMar>
        <w:tblLook w:val="01E0"/>
      </w:tblPr>
      <w:tblGrid>
        <w:gridCol w:w="2977"/>
        <w:gridCol w:w="4964"/>
        <w:gridCol w:w="1700"/>
      </w:tblGrid>
      <w:tr>
        <w:trPr>
          <w:trHeight w:val="428" w:hRule="exact"/>
        </w:trPr>
        <w:tc>
          <w:tcPr>
            <w:tcW w:w="2977"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1"/>
              <w:ind w:left="4" w:right="0"/>
              <w:jc w:val="center"/>
              <w:rPr>
                <w:rFonts w:ascii="宋体" w:hAnsi="宋体" w:cs="宋体" w:eastAsia="宋体" w:hint="default"/>
                <w:sz w:val="18"/>
                <w:szCs w:val="18"/>
              </w:rPr>
            </w:pPr>
            <w:r>
              <w:rPr>
                <w:rFonts w:ascii="宋体" w:hAnsi="宋体" w:cs="宋体" w:eastAsia="宋体" w:hint="default"/>
                <w:sz w:val="18"/>
                <w:szCs w:val="18"/>
              </w:rPr>
              <w:t>指定网站</w:t>
            </w:r>
          </w:p>
        </w:tc>
        <w:tc>
          <w:tcPr>
            <w:tcW w:w="6663" w:type="dxa"/>
            <w:gridSpan w:val="2"/>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1"/>
              <w:ind w:left="95"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巨潮资讯网：</w:t>
            </w:r>
            <w:hyperlink r:id="rId13">
              <w:r>
                <w:rPr>
                  <w:rFonts w:ascii="Times New Roman" w:hAnsi="Times New Roman" w:cs="Times New Roman" w:eastAsia="Times New Roman" w:hint="default"/>
                  <w:sz w:val="18"/>
                  <w:szCs w:val="18"/>
                </w:rPr>
                <w:t>www.cninfo.com.cn</w:t>
              </w:r>
            </w:hyperlink>
          </w:p>
        </w:tc>
      </w:tr>
      <w:tr>
        <w:trPr>
          <w:trHeight w:val="425" w:hRule="exact"/>
        </w:trPr>
        <w:tc>
          <w:tcPr>
            <w:tcW w:w="7941" w:type="dxa"/>
            <w:gridSpan w:val="2"/>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1"/>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信息披露标题</w:t>
            </w:r>
            <w:r>
              <w:rPr>
                <w:rFonts w:ascii="Times New Roman" w:hAnsi="Times New Roman" w:cs="Times New Roman" w:eastAsia="Times New Roman" w:hint="default"/>
                <w:sz w:val="18"/>
                <w:szCs w:val="18"/>
              </w:rPr>
              <w:t>(</w:t>
            </w:r>
            <w:r>
              <w:rPr>
                <w:rFonts w:ascii="宋体" w:hAnsi="宋体" w:cs="宋体" w:eastAsia="宋体" w:hint="default"/>
                <w:sz w:val="18"/>
                <w:szCs w:val="18"/>
              </w:rPr>
              <w:t>公告编号</w:t>
            </w:r>
            <w:r>
              <w:rPr>
                <w:rFonts w:ascii="Times New Roman" w:hAnsi="Times New Roman" w:cs="Times New Roman" w:eastAsia="Times New Roman" w:hint="default"/>
                <w:sz w:val="18"/>
                <w:szCs w:val="18"/>
              </w:rPr>
              <w:t>)</w:t>
            </w:r>
          </w:p>
        </w:tc>
        <w:tc>
          <w:tcPr>
            <w:tcW w:w="1700" w:type="dxa"/>
            <w:tcBorders>
              <w:top w:val="single" w:sz="6" w:space="0" w:color="000000"/>
              <w:left w:val="single" w:sz="6" w:space="0" w:color="000000"/>
              <w:bottom w:val="single" w:sz="6" w:space="0" w:color="000000"/>
              <w:right w:val="single" w:sz="6" w:space="0" w:color="000000"/>
            </w:tcBorders>
            <w:shd w:val="clear" w:color="auto" w:fill="D9D9D9"/>
          </w:tcPr>
          <w:p>
            <w:pPr>
              <w:pStyle w:val="TableParagraph"/>
              <w:spacing w:line="240" w:lineRule="auto" w:before="61"/>
              <w:ind w:right="0"/>
              <w:jc w:val="center"/>
              <w:rPr>
                <w:rFonts w:ascii="宋体" w:hAnsi="宋体" w:cs="宋体" w:eastAsia="宋体" w:hint="default"/>
                <w:sz w:val="18"/>
                <w:szCs w:val="18"/>
              </w:rPr>
            </w:pPr>
            <w:r>
              <w:rPr>
                <w:rFonts w:ascii="宋体" w:hAnsi="宋体" w:cs="宋体" w:eastAsia="宋体" w:hint="default"/>
                <w:sz w:val="18"/>
                <w:szCs w:val="18"/>
              </w:rPr>
              <w:t>披露日期</w:t>
            </w:r>
          </w:p>
        </w:tc>
      </w:tr>
      <w:tr>
        <w:trPr>
          <w:trHeight w:val="449" w:hRule="exact"/>
        </w:trPr>
        <w:tc>
          <w:tcPr>
            <w:tcW w:w="7941"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left="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中嘉博创：关于变更会计师事务所的公告</w:t>
            </w:r>
            <w:r>
              <w:rPr>
                <w:rFonts w:ascii="宋体" w:hAnsi="宋体" w:cs="宋体" w:eastAsia="宋体" w:hint="default"/>
                <w:spacing w:val="-17"/>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22)</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3"/>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02</w:t>
            </w:r>
            <w:r>
              <w:rPr>
                <w:rFonts w:ascii="宋体" w:hAnsi="宋体" w:cs="宋体" w:eastAsia="宋体" w:hint="default"/>
                <w:sz w:val="18"/>
                <w:szCs w:val="18"/>
              </w:rPr>
              <w:t>月</w:t>
            </w:r>
            <w:r>
              <w:rPr>
                <w:rFonts w:ascii="Times New Roman" w:hAnsi="Times New Roman" w:cs="Times New Roman" w:eastAsia="Times New Roman" w:hint="default"/>
                <w:sz w:val="18"/>
                <w:szCs w:val="18"/>
              </w:rPr>
              <w:t>28</w:t>
            </w:r>
            <w:r>
              <w:rPr>
                <w:rFonts w:ascii="宋体" w:hAnsi="宋体" w:cs="宋体" w:eastAsia="宋体" w:hint="default"/>
                <w:sz w:val="18"/>
                <w:szCs w:val="18"/>
              </w:rPr>
              <w:t>日</w:t>
            </w:r>
          </w:p>
        </w:tc>
      </w:tr>
      <w:tr>
        <w:trPr>
          <w:trHeight w:val="427" w:hRule="exact"/>
        </w:trPr>
        <w:tc>
          <w:tcPr>
            <w:tcW w:w="7941"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中嘉博创：关于持股</w:t>
            </w:r>
            <w:r>
              <w:rPr>
                <w:rFonts w:ascii="宋体" w:hAnsi="宋体" w:cs="宋体" w:eastAsia="宋体" w:hint="default"/>
                <w:sz w:val="18"/>
                <w:szCs w:val="18"/>
              </w:rPr>
              <w:t>5%</w:t>
            </w:r>
            <w:r>
              <w:rPr>
                <w:rFonts w:ascii="宋体" w:hAnsi="宋体" w:cs="宋体" w:eastAsia="宋体" w:hint="default"/>
                <w:sz w:val="18"/>
                <w:szCs w:val="18"/>
              </w:rPr>
              <w:t>以上股东减持计划的预披露公告</w:t>
            </w:r>
            <w:r>
              <w:rPr>
                <w:rFonts w:ascii="宋体" w:hAnsi="宋体" w:cs="宋体" w:eastAsia="宋体" w:hint="default"/>
                <w:spacing w:val="-19"/>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31)</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0"/>
              <w:jc w:val="center"/>
              <w:rPr>
                <w:rFonts w:ascii="等线" w:hAnsi="等线" w:cs="等线" w:eastAsia="等线" w:hint="default"/>
                <w:sz w:val="18"/>
                <w:szCs w:val="18"/>
              </w:rPr>
            </w:pPr>
            <w:r>
              <w:rPr>
                <w:rFonts w:ascii="Times New Roman" w:hAnsi="Times New Roman" w:cs="Times New Roman" w:eastAsia="Times New Roman" w:hint="default"/>
                <w:sz w:val="18"/>
                <w:szCs w:val="18"/>
              </w:rPr>
              <w:t>2019</w:t>
            </w:r>
            <w:r>
              <w:rPr>
                <w:rFonts w:ascii="等线" w:hAnsi="等线" w:cs="等线" w:eastAsia="等线" w:hint="default"/>
                <w:sz w:val="18"/>
                <w:szCs w:val="18"/>
              </w:rPr>
              <w:t>年</w:t>
            </w:r>
            <w:r>
              <w:rPr>
                <w:rFonts w:ascii="Times New Roman" w:hAnsi="Times New Roman" w:cs="Times New Roman" w:eastAsia="Times New Roman" w:hint="default"/>
                <w:sz w:val="18"/>
                <w:szCs w:val="18"/>
              </w:rPr>
              <w:t>03</w:t>
            </w:r>
            <w:r>
              <w:rPr>
                <w:rFonts w:ascii="等线" w:hAnsi="等线" w:cs="等线" w:eastAsia="等线" w:hint="default"/>
                <w:sz w:val="18"/>
                <w:szCs w:val="18"/>
              </w:rPr>
              <w:t>月</w:t>
            </w:r>
            <w:r>
              <w:rPr>
                <w:rFonts w:ascii="Times New Roman" w:hAnsi="Times New Roman" w:cs="Times New Roman" w:eastAsia="Times New Roman" w:hint="default"/>
                <w:sz w:val="18"/>
                <w:szCs w:val="18"/>
              </w:rPr>
              <w:t>22</w:t>
            </w:r>
            <w:r>
              <w:rPr>
                <w:rFonts w:ascii="等线" w:hAnsi="等线" w:cs="等线" w:eastAsia="等线" w:hint="default"/>
                <w:sz w:val="18"/>
                <w:szCs w:val="18"/>
              </w:rPr>
              <w:t>日</w:t>
            </w:r>
          </w:p>
        </w:tc>
      </w:tr>
      <w:tr>
        <w:trPr>
          <w:trHeight w:val="427" w:hRule="exact"/>
        </w:trPr>
        <w:tc>
          <w:tcPr>
            <w:tcW w:w="7941"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4" w:right="0"/>
              <w:jc w:val="left"/>
              <w:rPr>
                <w:rFonts w:ascii="宋体" w:hAnsi="宋体" w:cs="宋体" w:eastAsia="宋体" w:hint="default"/>
                <w:sz w:val="18"/>
                <w:szCs w:val="18"/>
              </w:rPr>
            </w:pPr>
            <w:r>
              <w:rPr>
                <w:rFonts w:ascii="宋体" w:hAnsi="宋体" w:cs="宋体" w:eastAsia="宋体" w:hint="default"/>
                <w:sz w:val="18"/>
                <w:szCs w:val="18"/>
              </w:rPr>
              <w:t>中嘉博创：关于变更公司网址、电子邮箱及新增办公地址的公告</w:t>
            </w:r>
            <w:r>
              <w:rPr>
                <w:rFonts w:ascii="宋体" w:hAnsi="宋体" w:cs="宋体" w:eastAsia="宋体" w:hint="default"/>
                <w:spacing w:val="-20"/>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43)</w:t>
            </w:r>
            <w:r>
              <w:rPr>
                <w:rFonts w:ascii="宋体" w:hAnsi="宋体" w:cs="宋体" w:eastAsia="宋体" w:hint="default"/>
                <w:sz w:val="18"/>
                <w:szCs w:val="18"/>
              </w:rPr>
              <w:t> </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0"/>
              <w:jc w:val="center"/>
              <w:rPr>
                <w:rFonts w:ascii="等线" w:hAnsi="等线" w:cs="等线" w:eastAsia="等线" w:hint="default"/>
                <w:sz w:val="18"/>
                <w:szCs w:val="18"/>
              </w:rPr>
            </w:pPr>
            <w:r>
              <w:rPr>
                <w:rFonts w:ascii="Times New Roman" w:hAnsi="Times New Roman" w:cs="Times New Roman" w:eastAsia="Times New Roman" w:hint="default"/>
                <w:sz w:val="18"/>
                <w:szCs w:val="18"/>
              </w:rPr>
              <w:t>2019</w:t>
            </w:r>
            <w:r>
              <w:rPr>
                <w:rFonts w:ascii="等线" w:hAnsi="等线" w:cs="等线" w:eastAsia="等线" w:hint="default"/>
                <w:sz w:val="18"/>
                <w:szCs w:val="18"/>
              </w:rPr>
              <w:t>年</w:t>
            </w:r>
            <w:r>
              <w:rPr>
                <w:rFonts w:ascii="Times New Roman" w:hAnsi="Times New Roman" w:cs="Times New Roman" w:eastAsia="Times New Roman" w:hint="default"/>
                <w:sz w:val="18"/>
                <w:szCs w:val="18"/>
              </w:rPr>
              <w:t>04</w:t>
            </w:r>
            <w:r>
              <w:rPr>
                <w:rFonts w:ascii="等线" w:hAnsi="等线" w:cs="等线" w:eastAsia="等线" w:hint="default"/>
                <w:sz w:val="18"/>
                <w:szCs w:val="18"/>
              </w:rPr>
              <w:t>月</w:t>
            </w:r>
            <w:r>
              <w:rPr>
                <w:rFonts w:ascii="Times New Roman" w:hAnsi="Times New Roman" w:cs="Times New Roman" w:eastAsia="Times New Roman" w:hint="default"/>
                <w:sz w:val="18"/>
                <w:szCs w:val="18"/>
              </w:rPr>
              <w:t>23</w:t>
            </w:r>
            <w:r>
              <w:rPr>
                <w:rFonts w:ascii="等线" w:hAnsi="等线" w:cs="等线" w:eastAsia="等线" w:hint="default"/>
                <w:sz w:val="18"/>
                <w:szCs w:val="18"/>
              </w:rPr>
              <w:t>日</w:t>
            </w:r>
          </w:p>
        </w:tc>
      </w:tr>
      <w:tr>
        <w:trPr>
          <w:trHeight w:val="425" w:hRule="exact"/>
        </w:trPr>
        <w:tc>
          <w:tcPr>
            <w:tcW w:w="7941"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61"/>
              <w:ind w:left="4"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中嘉博创：关于董事会、监事会延期换届的提示性公告</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58)</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3"/>
              <w:ind w:right="0"/>
              <w:jc w:val="center"/>
              <w:rPr>
                <w:rFonts w:ascii="等线" w:hAnsi="等线" w:cs="等线" w:eastAsia="等线" w:hint="default"/>
                <w:sz w:val="18"/>
                <w:szCs w:val="18"/>
              </w:rPr>
            </w:pPr>
            <w:r>
              <w:rPr>
                <w:rFonts w:ascii="Times New Roman" w:hAnsi="Times New Roman" w:cs="Times New Roman" w:eastAsia="Times New Roman" w:hint="default"/>
                <w:sz w:val="18"/>
                <w:szCs w:val="18"/>
              </w:rPr>
              <w:t>2019</w:t>
            </w:r>
            <w:r>
              <w:rPr>
                <w:rFonts w:ascii="等线" w:hAnsi="等线" w:cs="等线" w:eastAsia="等线" w:hint="default"/>
                <w:sz w:val="18"/>
                <w:szCs w:val="18"/>
              </w:rPr>
              <w:t>年</w:t>
            </w:r>
            <w:r>
              <w:rPr>
                <w:rFonts w:ascii="Times New Roman" w:hAnsi="Times New Roman" w:cs="Times New Roman" w:eastAsia="Times New Roman" w:hint="default"/>
                <w:sz w:val="18"/>
                <w:szCs w:val="18"/>
              </w:rPr>
              <w:t>06</w:t>
            </w:r>
            <w:r>
              <w:rPr>
                <w:rFonts w:ascii="等线" w:hAnsi="等线" w:cs="等线" w:eastAsia="等线" w:hint="default"/>
                <w:sz w:val="18"/>
                <w:szCs w:val="18"/>
              </w:rPr>
              <w:t>月</w:t>
            </w:r>
            <w:r>
              <w:rPr>
                <w:rFonts w:ascii="Times New Roman" w:hAnsi="Times New Roman" w:cs="Times New Roman" w:eastAsia="Times New Roman" w:hint="default"/>
                <w:sz w:val="18"/>
                <w:szCs w:val="18"/>
              </w:rPr>
              <w:t>27</w:t>
            </w:r>
            <w:r>
              <w:rPr>
                <w:rFonts w:ascii="等线" w:hAnsi="等线" w:cs="等线" w:eastAsia="等线" w:hint="default"/>
                <w:sz w:val="18"/>
                <w:szCs w:val="18"/>
              </w:rPr>
              <w:t>日</w:t>
            </w:r>
          </w:p>
        </w:tc>
      </w:tr>
      <w:tr>
        <w:trPr>
          <w:trHeight w:val="427" w:hRule="exact"/>
        </w:trPr>
        <w:tc>
          <w:tcPr>
            <w:tcW w:w="7941"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left="4" w:right="0"/>
              <w:jc w:val="left"/>
              <w:rPr>
                <w:rFonts w:ascii="宋体" w:hAnsi="宋体" w:cs="宋体" w:eastAsia="宋体" w:hint="default"/>
                <w:sz w:val="18"/>
                <w:szCs w:val="18"/>
              </w:rPr>
            </w:pPr>
            <w:r>
              <w:rPr>
                <w:rFonts w:ascii="宋体" w:hAnsi="宋体" w:cs="宋体" w:eastAsia="宋体" w:hint="default"/>
                <w:sz w:val="18"/>
                <w:szCs w:val="18"/>
              </w:rPr>
              <w:t>中嘉博创：关于公司持股</w:t>
            </w:r>
            <w:r>
              <w:rPr>
                <w:rFonts w:ascii="Times New Roman" w:hAnsi="Times New Roman" w:cs="Times New Roman" w:eastAsia="Times New Roman" w:hint="default"/>
                <w:sz w:val="18"/>
                <w:szCs w:val="18"/>
              </w:rPr>
              <w:t>5%</w:t>
            </w:r>
            <w:r>
              <w:rPr>
                <w:rFonts w:ascii="宋体" w:hAnsi="宋体" w:cs="宋体" w:eastAsia="宋体" w:hint="default"/>
                <w:sz w:val="18"/>
                <w:szCs w:val="18"/>
              </w:rPr>
              <w:t>以上股东减持计划期满公告</w:t>
            </w:r>
            <w:r>
              <w:rPr>
                <w:rFonts w:ascii="宋体" w:hAnsi="宋体" w:cs="宋体" w:eastAsia="宋体" w:hint="default"/>
                <w:sz w:val="18"/>
                <w:szCs w:val="18"/>
              </w:rPr>
              <w:t>(2019</w:t>
            </w:r>
            <w:r>
              <w:rPr>
                <w:rFonts w:ascii="宋体" w:hAnsi="宋体" w:cs="宋体" w:eastAsia="宋体" w:hint="default"/>
                <w:sz w:val="18"/>
                <w:szCs w:val="18"/>
              </w:rPr>
              <w:t>—</w:t>
            </w:r>
            <w:r>
              <w:rPr>
                <w:rFonts w:ascii="宋体" w:hAnsi="宋体" w:cs="宋体" w:eastAsia="宋体" w:hint="default"/>
                <w:sz w:val="18"/>
                <w:szCs w:val="18"/>
              </w:rPr>
              <w:t>85)</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10</w:t>
            </w:r>
            <w:r>
              <w:rPr>
                <w:rFonts w:ascii="宋体" w:hAnsi="宋体" w:cs="宋体" w:eastAsia="宋体" w:hint="default"/>
                <w:sz w:val="18"/>
                <w:szCs w:val="18"/>
              </w:rPr>
              <w:t>月</w:t>
            </w:r>
            <w:r>
              <w:rPr>
                <w:rFonts w:ascii="Times New Roman" w:hAnsi="Times New Roman" w:cs="Times New Roman" w:eastAsia="Times New Roman" w:hint="default"/>
                <w:sz w:val="18"/>
                <w:szCs w:val="18"/>
              </w:rPr>
              <w:t>18</w:t>
            </w:r>
            <w:r>
              <w:rPr>
                <w:rFonts w:ascii="宋体" w:hAnsi="宋体" w:cs="宋体" w:eastAsia="宋体" w:hint="default"/>
                <w:sz w:val="18"/>
                <w:szCs w:val="18"/>
              </w:rPr>
              <w:t>日</w:t>
            </w:r>
          </w:p>
        </w:tc>
      </w:tr>
      <w:tr>
        <w:trPr>
          <w:trHeight w:val="427" w:hRule="exact"/>
        </w:trPr>
        <w:tc>
          <w:tcPr>
            <w:tcW w:w="7941"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left="4" w:right="0"/>
              <w:jc w:val="left"/>
              <w:rPr>
                <w:rFonts w:ascii="宋体" w:hAnsi="宋体" w:cs="宋体" w:eastAsia="宋体" w:hint="default"/>
                <w:sz w:val="18"/>
                <w:szCs w:val="18"/>
              </w:rPr>
            </w:pPr>
            <w:r>
              <w:rPr>
                <w:rFonts w:ascii="宋体" w:hAnsi="宋体" w:cs="宋体" w:eastAsia="宋体" w:hint="default"/>
                <w:sz w:val="18"/>
                <w:szCs w:val="18"/>
              </w:rPr>
              <w:t>中嘉博创：关于持股</w:t>
            </w:r>
            <w:r>
              <w:rPr>
                <w:rFonts w:ascii="宋体" w:hAnsi="宋体" w:cs="宋体" w:eastAsia="宋体" w:hint="default"/>
                <w:sz w:val="18"/>
                <w:szCs w:val="18"/>
              </w:rPr>
              <w:t>5%</w:t>
            </w:r>
            <w:r>
              <w:rPr>
                <w:rFonts w:ascii="宋体" w:hAnsi="宋体" w:cs="宋体" w:eastAsia="宋体" w:hint="default"/>
                <w:sz w:val="18"/>
                <w:szCs w:val="18"/>
              </w:rPr>
              <w:t>以上股东减持计划的预披露公告</w:t>
            </w:r>
            <w:r>
              <w:rPr>
                <w:rFonts w:ascii="宋体" w:hAnsi="宋体" w:cs="宋体" w:eastAsia="宋体" w:hint="default"/>
                <w:sz w:val="18"/>
                <w:szCs w:val="18"/>
              </w:rPr>
              <w:t>(2019</w:t>
            </w:r>
            <w:r>
              <w:rPr>
                <w:rFonts w:ascii="宋体" w:hAnsi="宋体" w:cs="宋体" w:eastAsia="宋体" w:hint="default"/>
                <w:sz w:val="18"/>
                <w:szCs w:val="18"/>
              </w:rPr>
              <w:t>—</w:t>
            </w:r>
            <w:r>
              <w:rPr>
                <w:rFonts w:ascii="宋体" w:hAnsi="宋体" w:cs="宋体" w:eastAsia="宋体" w:hint="default"/>
                <w:sz w:val="18"/>
                <w:szCs w:val="18"/>
              </w:rPr>
              <w:t>86)</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10</w:t>
            </w:r>
            <w:r>
              <w:rPr>
                <w:rFonts w:ascii="宋体" w:hAnsi="宋体" w:cs="宋体" w:eastAsia="宋体" w:hint="default"/>
                <w:sz w:val="18"/>
                <w:szCs w:val="18"/>
              </w:rPr>
              <w:t>月</w:t>
            </w:r>
            <w:r>
              <w:rPr>
                <w:rFonts w:ascii="Times New Roman" w:hAnsi="Times New Roman" w:cs="Times New Roman" w:eastAsia="Times New Roman" w:hint="default"/>
                <w:sz w:val="18"/>
                <w:szCs w:val="18"/>
              </w:rPr>
              <w:t>18</w:t>
            </w:r>
            <w:r>
              <w:rPr>
                <w:rFonts w:ascii="宋体" w:hAnsi="宋体" w:cs="宋体" w:eastAsia="宋体" w:hint="default"/>
                <w:sz w:val="18"/>
                <w:szCs w:val="18"/>
              </w:rPr>
              <w:t>日</w:t>
            </w:r>
          </w:p>
        </w:tc>
      </w:tr>
      <w:tr>
        <w:trPr>
          <w:trHeight w:val="428" w:hRule="exact"/>
        </w:trPr>
        <w:tc>
          <w:tcPr>
            <w:tcW w:w="7941"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left="4" w:right="0"/>
              <w:jc w:val="left"/>
              <w:rPr>
                <w:rFonts w:ascii="宋体" w:hAnsi="宋体" w:cs="宋体" w:eastAsia="宋体" w:hint="default"/>
                <w:sz w:val="18"/>
                <w:szCs w:val="18"/>
              </w:rPr>
            </w:pPr>
            <w:r>
              <w:rPr>
                <w:rFonts w:ascii="宋体" w:hAnsi="宋体" w:cs="宋体" w:eastAsia="宋体" w:hint="default"/>
                <w:sz w:val="18"/>
                <w:szCs w:val="18"/>
              </w:rPr>
              <w:t>中嘉博创：关于持股</w:t>
            </w:r>
            <w:r>
              <w:rPr>
                <w:rFonts w:ascii="宋体" w:hAnsi="宋体" w:cs="宋体" w:eastAsia="宋体" w:hint="default"/>
                <w:sz w:val="18"/>
                <w:szCs w:val="18"/>
              </w:rPr>
              <w:t>5%</w:t>
            </w:r>
            <w:r>
              <w:rPr>
                <w:rFonts w:ascii="宋体" w:hAnsi="宋体" w:cs="宋体" w:eastAsia="宋体" w:hint="default"/>
                <w:sz w:val="18"/>
                <w:szCs w:val="18"/>
              </w:rPr>
              <w:t>以上股东的一致行动人减持计划的预披露公告</w:t>
            </w:r>
            <w:r>
              <w:rPr>
                <w:rFonts w:ascii="宋体" w:hAnsi="宋体" w:cs="宋体" w:eastAsia="宋体" w:hint="default"/>
                <w:sz w:val="18"/>
                <w:szCs w:val="18"/>
              </w:rPr>
              <w:t>(2019</w:t>
            </w:r>
            <w:r>
              <w:rPr>
                <w:rFonts w:ascii="宋体" w:hAnsi="宋体" w:cs="宋体" w:eastAsia="宋体" w:hint="default"/>
                <w:sz w:val="18"/>
                <w:szCs w:val="18"/>
              </w:rPr>
              <w:t>—</w:t>
            </w:r>
            <w:r>
              <w:rPr>
                <w:rFonts w:ascii="宋体" w:hAnsi="宋体" w:cs="宋体" w:eastAsia="宋体" w:hint="default"/>
                <w:sz w:val="18"/>
                <w:szCs w:val="18"/>
              </w:rPr>
              <w:t>102)</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11</w:t>
            </w:r>
            <w:r>
              <w:rPr>
                <w:rFonts w:ascii="宋体" w:hAnsi="宋体" w:cs="宋体" w:eastAsia="宋体" w:hint="default"/>
                <w:sz w:val="18"/>
                <w:szCs w:val="18"/>
              </w:rPr>
              <w:t>月</w:t>
            </w:r>
            <w:r>
              <w:rPr>
                <w:rFonts w:ascii="Times New Roman" w:hAnsi="Times New Roman" w:cs="Times New Roman" w:eastAsia="Times New Roman" w:hint="default"/>
                <w:sz w:val="18"/>
                <w:szCs w:val="18"/>
              </w:rPr>
              <w:t>18</w:t>
            </w:r>
            <w:r>
              <w:rPr>
                <w:rFonts w:ascii="宋体" w:hAnsi="宋体" w:cs="宋体" w:eastAsia="宋体" w:hint="default"/>
                <w:sz w:val="18"/>
                <w:szCs w:val="18"/>
              </w:rPr>
              <w:t>日</w:t>
            </w:r>
          </w:p>
        </w:tc>
      </w:tr>
      <w:tr>
        <w:trPr>
          <w:trHeight w:val="427" w:hRule="exact"/>
        </w:trPr>
        <w:tc>
          <w:tcPr>
            <w:tcW w:w="7941" w:type="dxa"/>
            <w:gridSpan w:val="2"/>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left="4" w:right="0"/>
              <w:jc w:val="left"/>
              <w:rPr>
                <w:rFonts w:ascii="宋体" w:hAnsi="宋体" w:cs="宋体" w:eastAsia="宋体" w:hint="default"/>
                <w:sz w:val="18"/>
                <w:szCs w:val="18"/>
              </w:rPr>
            </w:pPr>
            <w:r>
              <w:rPr>
                <w:rFonts w:ascii="宋体" w:hAnsi="宋体" w:cs="宋体" w:eastAsia="宋体" w:hint="default"/>
                <w:sz w:val="18"/>
                <w:szCs w:val="18"/>
              </w:rPr>
              <w:t>中嘉博创：关于持股</w:t>
            </w:r>
            <w:r>
              <w:rPr>
                <w:rFonts w:ascii="Times New Roman" w:hAnsi="Times New Roman" w:cs="Times New Roman" w:eastAsia="Times New Roman" w:hint="default"/>
                <w:sz w:val="18"/>
                <w:szCs w:val="18"/>
              </w:rPr>
              <w:t>5%</w:t>
            </w:r>
            <w:r>
              <w:rPr>
                <w:rFonts w:ascii="宋体" w:hAnsi="宋体" w:cs="宋体" w:eastAsia="宋体" w:hint="default"/>
                <w:sz w:val="18"/>
                <w:szCs w:val="18"/>
              </w:rPr>
              <w:t>以上股东的一致行动人减持比例达</w:t>
            </w:r>
            <w:r>
              <w:rPr>
                <w:rFonts w:ascii="Times New Roman" w:hAnsi="Times New Roman" w:cs="Times New Roman" w:eastAsia="Times New Roman" w:hint="default"/>
                <w:sz w:val="18"/>
                <w:szCs w:val="18"/>
              </w:rPr>
              <w:t>1%</w:t>
            </w:r>
            <w:r>
              <w:rPr>
                <w:rFonts w:ascii="宋体" w:hAnsi="宋体" w:cs="宋体" w:eastAsia="宋体" w:hint="default"/>
                <w:sz w:val="18"/>
                <w:szCs w:val="18"/>
              </w:rPr>
              <w:t>暨减持数量过半的公告</w:t>
            </w:r>
            <w:r>
              <w:rPr>
                <w:rFonts w:ascii="宋体" w:hAnsi="宋体" w:cs="宋体" w:eastAsia="宋体" w:hint="default"/>
                <w:sz w:val="18"/>
                <w:szCs w:val="18"/>
              </w:rPr>
              <w:t>(2019</w:t>
            </w:r>
            <w:r>
              <w:rPr>
                <w:rFonts w:ascii="宋体" w:hAnsi="宋体" w:cs="宋体" w:eastAsia="宋体" w:hint="default"/>
                <w:sz w:val="18"/>
                <w:szCs w:val="18"/>
              </w:rPr>
              <w:t>—</w:t>
            </w:r>
            <w:r>
              <w:rPr>
                <w:rFonts w:ascii="宋体" w:hAnsi="宋体" w:cs="宋体" w:eastAsia="宋体" w:hint="default"/>
                <w:sz w:val="18"/>
                <w:szCs w:val="18"/>
              </w:rPr>
              <w:t>112)</w:t>
            </w:r>
          </w:p>
        </w:tc>
        <w:tc>
          <w:tcPr>
            <w:tcW w:w="170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3"/>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宋体" w:hAnsi="宋体" w:cs="宋体" w:eastAsia="宋体" w:hint="default"/>
                <w:sz w:val="18"/>
                <w:szCs w:val="18"/>
              </w:rPr>
              <w:t>年</w:t>
            </w:r>
            <w:r>
              <w:rPr>
                <w:rFonts w:ascii="Times New Roman" w:hAnsi="Times New Roman" w:cs="Times New Roman" w:eastAsia="Times New Roman" w:hint="default"/>
                <w:sz w:val="18"/>
                <w:szCs w:val="18"/>
              </w:rPr>
              <w:t>12</w:t>
            </w:r>
            <w:r>
              <w:rPr>
                <w:rFonts w:ascii="宋体" w:hAnsi="宋体" w:cs="宋体" w:eastAsia="宋体" w:hint="default"/>
                <w:sz w:val="18"/>
                <w:szCs w:val="18"/>
              </w:rPr>
              <w:t>月</w:t>
            </w:r>
            <w:r>
              <w:rPr>
                <w:rFonts w:ascii="Times New Roman" w:hAnsi="Times New Roman" w:cs="Times New Roman" w:eastAsia="Times New Roman" w:hint="default"/>
                <w:sz w:val="18"/>
                <w:szCs w:val="18"/>
              </w:rPr>
              <w:t>11</w:t>
            </w:r>
            <w:r>
              <w:rPr>
                <w:rFonts w:ascii="宋体" w:hAnsi="宋体" w:cs="宋体" w:eastAsia="宋体" w:hint="default"/>
                <w:sz w:val="18"/>
                <w:szCs w:val="18"/>
              </w:rPr>
              <w:t>日</w:t>
            </w:r>
          </w:p>
        </w:tc>
      </w:tr>
    </w:tbl>
    <w:p>
      <w:pPr>
        <w:spacing w:line="240" w:lineRule="auto" w:before="8"/>
        <w:rPr>
          <w:rFonts w:ascii="宋体" w:hAnsi="宋体" w:cs="宋体" w:eastAsia="宋体" w:hint="default"/>
          <w:b/>
          <w:bCs/>
          <w:sz w:val="14"/>
          <w:szCs w:val="14"/>
        </w:rPr>
      </w:pPr>
    </w:p>
    <w:p>
      <w:pPr>
        <w:spacing w:before="36"/>
        <w:ind w:left="575" w:right="1133" w:firstLine="0"/>
        <w:jc w:val="left"/>
        <w:rPr>
          <w:rFonts w:ascii="宋体" w:hAnsi="宋体" w:cs="宋体" w:eastAsia="宋体" w:hint="default"/>
          <w:sz w:val="21"/>
          <w:szCs w:val="21"/>
        </w:rPr>
      </w:pPr>
      <w:r>
        <w:rPr>
          <w:rFonts w:ascii="宋体" w:hAnsi="宋体" w:cs="宋体" w:eastAsia="宋体" w:hint="default"/>
          <w:b/>
          <w:bCs/>
          <w:sz w:val="21"/>
          <w:szCs w:val="21"/>
        </w:rPr>
        <w:t>二、公司子公司重大事项</w:t>
      </w:r>
      <w:r>
        <w:rPr>
          <w:rFonts w:ascii="宋体" w:hAnsi="宋体" w:cs="宋体" w:eastAsia="宋体" w:hint="default"/>
          <w:b/>
          <w:bCs/>
          <w:w w:val="99"/>
          <w:sz w:val="21"/>
          <w:szCs w:val="21"/>
        </w:rPr>
        <w:t> </w:t>
      </w:r>
      <w:r>
        <w:rPr>
          <w:rFonts w:ascii="宋体" w:hAnsi="宋体" w:cs="宋体" w:eastAsia="宋体" w:hint="default"/>
          <w:sz w:val="21"/>
          <w:szCs w:val="21"/>
        </w:rPr>
      </w:r>
    </w:p>
    <w:p>
      <w:pPr>
        <w:pStyle w:val="BodyText"/>
        <w:spacing w:line="240" w:lineRule="auto" w:before="78"/>
        <w:ind w:left="573" w:right="1133"/>
        <w:jc w:val="left"/>
        <w:rPr>
          <w:rFonts w:ascii="宋体" w:hAnsi="宋体" w:cs="宋体" w:eastAsia="宋体" w:hint="default"/>
        </w:rPr>
      </w:pPr>
      <w:r>
        <w:rPr/>
        <w:t>√ 适用 </w:t>
      </w:r>
      <w:r>
        <w:rPr>
          <w:rFonts w:ascii="宋体" w:hAnsi="宋体" w:cs="宋体" w:eastAsia="宋体" w:hint="default"/>
        </w:rPr>
      </w:r>
      <w:r>
        <w:rPr>
          <w:spacing w:val="-3"/>
        </w:rPr>
        <w:t>□</w:t>
      </w:r>
      <w:r>
        <w:rPr/>
        <w:t> 不适用</w:t>
      </w:r>
      <w:r>
        <w:rPr>
          <w:rFonts w:ascii="宋体" w:hAnsi="宋体" w:cs="宋体" w:eastAsia="宋体" w:hint="default"/>
        </w:rPr>
        <w:t> </w:t>
      </w:r>
    </w:p>
    <w:p>
      <w:pPr>
        <w:pStyle w:val="BodyText"/>
        <w:spacing w:line="240" w:lineRule="auto" w:before="78"/>
        <w:ind w:left="573" w:right="819"/>
        <w:jc w:val="left"/>
      </w:pPr>
      <w:r>
        <w:rPr/>
        <w:t>长实通信代收代付长实建设通信网络工程建设款事项是公司 </w:t>
      </w:r>
      <w:r>
        <w:rPr>
          <w:rFonts w:ascii="宋体" w:hAnsi="宋体" w:cs="宋体" w:eastAsia="宋体" w:hint="default"/>
        </w:rPr>
        <w:t>2015</w:t>
      </w:r>
      <w:r>
        <w:rPr>
          <w:rFonts w:ascii="宋体" w:hAnsi="宋体" w:cs="宋体" w:eastAsia="宋体" w:hint="default"/>
          <w:spacing w:val="-30"/>
        </w:rPr>
        <w:t> </w:t>
      </w:r>
      <w:r>
        <w:rPr/>
        <w:t>年重大资产收购的标的资产长实通</w:t>
      </w:r>
    </w:p>
    <w:p>
      <w:pPr>
        <w:pStyle w:val="BodyText"/>
        <w:spacing w:line="273" w:lineRule="auto" w:before="37"/>
        <w:ind w:right="819"/>
        <w:jc w:val="left"/>
        <w:rPr>
          <w:rFonts w:ascii="宋体" w:hAnsi="宋体" w:cs="宋体" w:eastAsia="宋体" w:hint="default"/>
        </w:rPr>
      </w:pPr>
      <w:r>
        <w:rPr>
          <w:spacing w:val="-2"/>
          <w:w w:val="100"/>
        </w:rPr>
        <w:t>信在被收购之前分立时形成。</w:t>
      </w:r>
      <w:r>
        <w:rPr>
          <w:rFonts w:ascii="宋体" w:hAnsi="宋体" w:cs="宋体" w:eastAsia="宋体" w:hint="default"/>
          <w:spacing w:val="-2"/>
          <w:w w:val="100"/>
        </w:rPr>
        <w:t>2015</w:t>
      </w:r>
      <w:r>
        <w:rPr>
          <w:rFonts w:ascii="宋体" w:hAnsi="宋体" w:cs="宋体" w:eastAsia="宋体" w:hint="default"/>
          <w:spacing w:val="-42"/>
          <w:w w:val="100"/>
        </w:rPr>
        <w:t> </w:t>
      </w:r>
      <w:r>
        <w:rPr>
          <w:w w:val="100"/>
        </w:rPr>
        <w:t>年</w:t>
      </w:r>
      <w:r>
        <w:rPr>
          <w:spacing w:val="-43"/>
          <w:w w:val="100"/>
        </w:rPr>
        <w:t> </w:t>
      </w:r>
      <w:r>
        <w:rPr>
          <w:rFonts w:ascii="宋体" w:hAnsi="宋体" w:cs="宋体" w:eastAsia="宋体" w:hint="default"/>
          <w:w w:val="100"/>
        </w:rPr>
        <w:t>3</w:t>
      </w:r>
      <w:r>
        <w:rPr>
          <w:rFonts w:ascii="宋体" w:hAnsi="宋体" w:cs="宋体" w:eastAsia="宋体" w:hint="default"/>
          <w:spacing w:val="-43"/>
          <w:w w:val="100"/>
        </w:rPr>
        <w:t> </w:t>
      </w:r>
      <w:r>
        <w:rPr>
          <w:w w:val="100"/>
        </w:rPr>
        <w:t>月</w:t>
      </w:r>
      <w:r>
        <w:rPr>
          <w:spacing w:val="-43"/>
          <w:w w:val="100"/>
        </w:rPr>
        <w:t> </w:t>
      </w:r>
      <w:r>
        <w:rPr>
          <w:rFonts w:ascii="宋体" w:hAnsi="宋体" w:cs="宋体" w:eastAsia="宋体" w:hint="default"/>
          <w:w w:val="100"/>
        </w:rPr>
        <w:t>1</w:t>
      </w:r>
      <w:r>
        <w:rPr>
          <w:rFonts w:ascii="宋体" w:hAnsi="宋体" w:cs="宋体" w:eastAsia="宋体" w:hint="default"/>
          <w:spacing w:val="-43"/>
          <w:w w:val="100"/>
        </w:rPr>
        <w:t> </w:t>
      </w:r>
      <w:r>
        <w:rPr>
          <w:spacing w:val="-6"/>
          <w:w w:val="100"/>
        </w:rPr>
        <w:t>日，长实通信与长实建设签署《代收代付协议》，代收代付通</w:t>
      </w:r>
      <w:r>
        <w:rPr>
          <w:spacing w:val="-104"/>
          <w:w w:val="100"/>
        </w:rPr>
        <w:t> </w:t>
      </w:r>
      <w:r>
        <w:rPr>
          <w:spacing w:val="-104"/>
          <w:w w:val="100"/>
        </w:rPr>
      </w:r>
      <w:r>
        <w:rPr/>
        <w:t>信工程业务款项。</w:t>
      </w:r>
      <w:r>
        <w:rPr>
          <w:rFonts w:ascii="宋体" w:hAnsi="宋体" w:cs="宋体" w:eastAsia="宋体" w:hint="default"/>
        </w:rPr>
        <w:t>2019</w:t>
      </w:r>
      <w:r>
        <w:rPr>
          <w:rFonts w:ascii="宋体" w:hAnsi="宋体" w:cs="宋体" w:eastAsia="宋体" w:hint="default"/>
          <w:spacing w:val="-60"/>
        </w:rPr>
        <w:t> </w:t>
      </w:r>
      <w:r>
        <w:rPr/>
        <w:t>年有关代收代付情况见下表</w:t>
      </w:r>
      <w:r>
        <w:rPr>
          <w:rFonts w:ascii="宋体" w:hAnsi="宋体" w:cs="宋体" w:eastAsia="宋体" w:hint="default"/>
        </w:rPr>
        <w:t> </w:t>
      </w:r>
    </w:p>
    <w:p>
      <w:pPr>
        <w:spacing w:line="240" w:lineRule="auto" w:before="12"/>
        <w:rPr>
          <w:rFonts w:ascii="宋体" w:hAnsi="宋体" w:cs="宋体" w:eastAsia="宋体" w:hint="default"/>
          <w:sz w:val="3"/>
          <w:szCs w:val="3"/>
        </w:rPr>
      </w:pPr>
    </w:p>
    <w:tbl>
      <w:tblPr>
        <w:tblW w:w="0" w:type="auto"/>
        <w:jc w:val="left"/>
        <w:tblInd w:w="148" w:type="dxa"/>
        <w:tblLayout w:type="fixed"/>
        <w:tblCellMar>
          <w:top w:w="0" w:type="dxa"/>
          <w:left w:w="0" w:type="dxa"/>
          <w:bottom w:w="0" w:type="dxa"/>
          <w:right w:w="0" w:type="dxa"/>
        </w:tblCellMar>
        <w:tblLook w:val="01E0"/>
      </w:tblPr>
      <w:tblGrid>
        <w:gridCol w:w="1844"/>
        <w:gridCol w:w="2665"/>
        <w:gridCol w:w="2580"/>
        <w:gridCol w:w="2552"/>
      </w:tblGrid>
      <w:tr>
        <w:trPr>
          <w:trHeight w:val="463" w:hRule="exact"/>
        </w:trPr>
        <w:tc>
          <w:tcPr>
            <w:tcW w:w="184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2"/>
              <w:ind w:left="90" w:right="0"/>
              <w:jc w:val="center"/>
              <w:rPr>
                <w:rFonts w:ascii="宋体" w:hAnsi="宋体" w:cs="宋体" w:eastAsia="宋体" w:hint="default"/>
                <w:sz w:val="18"/>
                <w:szCs w:val="18"/>
              </w:rPr>
            </w:pPr>
            <w:r>
              <w:rPr>
                <w:rFonts w:ascii="宋体"/>
                <w:sz w:val="18"/>
              </w:rPr>
              <w:t> </w:t>
            </w:r>
          </w:p>
        </w:tc>
        <w:tc>
          <w:tcPr>
            <w:tcW w:w="26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2"/>
              <w:ind w:left="607" w:right="0"/>
              <w:jc w:val="left"/>
              <w:rPr>
                <w:rFonts w:ascii="宋体" w:hAnsi="宋体" w:cs="宋体" w:eastAsia="宋体" w:hint="default"/>
                <w:sz w:val="18"/>
                <w:szCs w:val="18"/>
              </w:rPr>
            </w:pPr>
            <w:r>
              <w:rPr>
                <w:rFonts w:ascii="宋体" w:hAnsi="宋体" w:cs="宋体" w:eastAsia="宋体" w:hint="default"/>
                <w:sz w:val="18"/>
                <w:szCs w:val="18"/>
              </w:rPr>
              <w:t>长实通信代收</w:t>
            </w:r>
            <w:r>
              <w:rPr>
                <w:rFonts w:ascii="宋体" w:hAnsi="宋体" w:cs="宋体" w:eastAsia="宋体" w:hint="default"/>
                <w:sz w:val="18"/>
                <w:szCs w:val="18"/>
              </w:rPr>
              <w:t>(</w:t>
            </w:r>
            <w:r>
              <w:rPr>
                <w:rFonts w:ascii="宋体" w:hAnsi="宋体" w:cs="宋体" w:eastAsia="宋体" w:hint="default"/>
                <w:sz w:val="18"/>
                <w:szCs w:val="18"/>
              </w:rPr>
              <w:t>元</w:t>
            </w:r>
            <w:r>
              <w:rPr>
                <w:rFonts w:ascii="宋体" w:hAnsi="宋体" w:cs="宋体" w:eastAsia="宋体" w:hint="default"/>
                <w:sz w:val="18"/>
                <w:szCs w:val="18"/>
              </w:rPr>
              <w:t>) </w:t>
            </w:r>
          </w:p>
        </w:tc>
        <w:tc>
          <w:tcPr>
            <w:tcW w:w="258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2"/>
              <w:ind w:left="566" w:right="0"/>
              <w:jc w:val="left"/>
              <w:rPr>
                <w:rFonts w:ascii="宋体" w:hAnsi="宋体" w:cs="宋体" w:eastAsia="宋体" w:hint="default"/>
                <w:sz w:val="18"/>
                <w:szCs w:val="18"/>
              </w:rPr>
            </w:pPr>
            <w:r>
              <w:rPr>
                <w:rFonts w:ascii="宋体" w:hAnsi="宋体" w:cs="宋体" w:eastAsia="宋体" w:hint="default"/>
                <w:sz w:val="18"/>
                <w:szCs w:val="18"/>
              </w:rPr>
              <w:t>长实通信代付</w:t>
            </w:r>
            <w:r>
              <w:rPr>
                <w:rFonts w:ascii="宋体" w:hAnsi="宋体" w:cs="宋体" w:eastAsia="宋体" w:hint="default"/>
                <w:sz w:val="18"/>
                <w:szCs w:val="18"/>
              </w:rPr>
              <w:t>(</w:t>
            </w:r>
            <w:r>
              <w:rPr>
                <w:rFonts w:ascii="宋体" w:hAnsi="宋体" w:cs="宋体" w:eastAsia="宋体" w:hint="default"/>
                <w:sz w:val="18"/>
                <w:szCs w:val="18"/>
              </w:rPr>
              <w:t>元</w:t>
            </w:r>
            <w:r>
              <w:rPr>
                <w:rFonts w:ascii="宋体" w:hAnsi="宋体" w:cs="宋体" w:eastAsia="宋体" w:hint="default"/>
                <w:sz w:val="18"/>
                <w:szCs w:val="18"/>
              </w:rPr>
              <w:t>) </w:t>
            </w:r>
          </w:p>
        </w:tc>
        <w:tc>
          <w:tcPr>
            <w:tcW w:w="255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2"/>
              <w:ind w:left="731"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w:t>
            </w:r>
            <w:r>
              <w:rPr>
                <w:rFonts w:ascii="宋体" w:hAnsi="宋体" w:cs="宋体" w:eastAsia="宋体" w:hint="default"/>
                <w:sz w:val="18"/>
                <w:szCs w:val="18"/>
              </w:rPr>
              <w:t>元</w:t>
            </w:r>
            <w:r>
              <w:rPr>
                <w:rFonts w:ascii="宋体" w:hAnsi="宋体" w:cs="宋体" w:eastAsia="宋体" w:hint="default"/>
                <w:sz w:val="18"/>
                <w:szCs w:val="18"/>
              </w:rPr>
              <w:t>) </w:t>
            </w:r>
          </w:p>
        </w:tc>
      </w:tr>
      <w:tr>
        <w:trPr>
          <w:trHeight w:val="408"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z w:val="18"/>
                <w:szCs w:val="18"/>
              </w:rPr>
              <w:t>年</w:t>
            </w:r>
            <w:r>
              <w:rPr>
                <w:rFonts w:ascii="宋体" w:hAnsi="宋体" w:cs="宋体" w:eastAsia="宋体" w:hint="default"/>
                <w:sz w:val="18"/>
                <w:szCs w:val="18"/>
              </w:rPr>
              <w:t> </w:t>
            </w:r>
          </w:p>
        </w:tc>
        <w:tc>
          <w:tcPr>
            <w:tcW w:w="2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380" w:right="0"/>
              <w:jc w:val="left"/>
              <w:rPr>
                <w:rFonts w:ascii="宋体" w:hAnsi="宋体" w:cs="宋体" w:eastAsia="宋体" w:hint="default"/>
                <w:sz w:val="18"/>
                <w:szCs w:val="18"/>
              </w:rPr>
            </w:pPr>
            <w:r>
              <w:rPr>
                <w:rFonts w:ascii="宋体"/>
                <w:sz w:val="18"/>
              </w:rPr>
              <w:t>28,215,515.99 </w:t>
            </w:r>
          </w:p>
        </w:tc>
        <w:tc>
          <w:tcPr>
            <w:tcW w:w="2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298" w:right="0"/>
              <w:jc w:val="left"/>
              <w:rPr>
                <w:rFonts w:ascii="宋体" w:hAnsi="宋体" w:cs="宋体" w:eastAsia="宋体" w:hint="default"/>
                <w:sz w:val="18"/>
                <w:szCs w:val="18"/>
              </w:rPr>
            </w:pPr>
            <w:r>
              <w:rPr>
                <w:rFonts w:ascii="宋体"/>
                <w:sz w:val="18"/>
              </w:rPr>
              <w:t>31,025,261.10 </w:t>
            </w:r>
          </w:p>
        </w:tc>
        <w:tc>
          <w:tcPr>
            <w:tcW w:w="2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270" w:right="0"/>
              <w:jc w:val="left"/>
              <w:rPr>
                <w:rFonts w:ascii="宋体" w:hAnsi="宋体" w:cs="宋体" w:eastAsia="宋体" w:hint="default"/>
                <w:sz w:val="18"/>
                <w:szCs w:val="18"/>
              </w:rPr>
            </w:pPr>
            <w:r>
              <w:rPr>
                <w:rFonts w:ascii="宋体"/>
                <w:sz w:val="18"/>
              </w:rPr>
              <w:t>10,276,588.07 </w:t>
            </w:r>
          </w:p>
        </w:tc>
      </w:tr>
    </w:tbl>
    <w:p>
      <w:pPr>
        <w:pStyle w:val="BodyText"/>
        <w:spacing w:line="271" w:lineRule="auto" w:before="28"/>
        <w:ind w:right="819" w:firstLine="420"/>
        <w:jc w:val="left"/>
        <w:rPr>
          <w:rFonts w:ascii="宋体" w:hAnsi="宋体" w:cs="宋体" w:eastAsia="宋体" w:hint="default"/>
        </w:rPr>
      </w:pPr>
      <w:r>
        <w:rPr>
          <w:spacing w:val="-2"/>
        </w:rPr>
        <w:t>原长实通信主要从事通信网络维护和通信网络工程业务，因通信网络维护业务持续快速增长、盈利能</w:t>
      </w:r>
      <w:r>
        <w:rPr>
          <w:w w:val="100"/>
        </w:rPr>
        <w:t> </w:t>
      </w:r>
      <w:r>
        <w:rPr/>
        <w:t>力好，而通信网络工程业务结算和应收账款回收期长、整体业务盈利能力较差，原长实通信进行了分立。</w:t>
      </w:r>
      <w:r>
        <w:rPr>
          <w:spacing w:val="-24"/>
        </w:rPr>
        <w:t> </w:t>
      </w:r>
      <w:r>
        <w:rPr>
          <w:spacing w:val="-24"/>
        </w:rPr>
      </w:r>
      <w:r>
        <w:rPr>
          <w:rFonts w:ascii="宋体" w:hAnsi="宋体" w:cs="宋体" w:eastAsia="宋体" w:hint="default"/>
        </w:rPr>
        <w:t>2015</w:t>
      </w:r>
      <w:r>
        <w:rPr>
          <w:rFonts w:ascii="宋体" w:hAnsi="宋体" w:cs="宋体" w:eastAsia="宋体" w:hint="default"/>
          <w:spacing w:val="-48"/>
        </w:rPr>
        <w:t> </w:t>
      </w:r>
      <w:r>
        <w:rPr/>
        <w:t>年</w:t>
      </w:r>
      <w:r>
        <w:rPr>
          <w:spacing w:val="-49"/>
        </w:rPr>
        <w:t> </w:t>
      </w:r>
      <w:r>
        <w:rPr>
          <w:rFonts w:ascii="宋体" w:hAnsi="宋体" w:cs="宋体" w:eastAsia="宋体" w:hint="default"/>
        </w:rPr>
        <w:t>2</w:t>
      </w:r>
      <w:r>
        <w:rPr>
          <w:rFonts w:ascii="宋体" w:hAnsi="宋体" w:cs="宋体" w:eastAsia="宋体" w:hint="default"/>
          <w:spacing w:val="-49"/>
        </w:rPr>
        <w:t> </w:t>
      </w:r>
      <w:r>
        <w:rPr/>
        <w:t>月</w:t>
      </w:r>
      <w:r>
        <w:rPr>
          <w:spacing w:val="-49"/>
        </w:rPr>
        <w:t> </w:t>
      </w:r>
      <w:r>
        <w:rPr>
          <w:rFonts w:ascii="宋体" w:hAnsi="宋体" w:cs="宋体" w:eastAsia="宋体" w:hint="default"/>
        </w:rPr>
        <w:t>28</w:t>
      </w:r>
      <w:r>
        <w:rPr>
          <w:rFonts w:ascii="宋体" w:hAnsi="宋体" w:cs="宋体" w:eastAsia="宋体" w:hint="default"/>
          <w:spacing w:val="-49"/>
        </w:rPr>
        <w:t> </w:t>
      </w:r>
      <w:r>
        <w:rPr/>
        <w:t>日，长实建设经工商登记成立，分立之前原长实通信尚未执行完毕的通信网络工程业务由</w:t>
      </w:r>
      <w:r>
        <w:rPr>
          <w:w w:val="100"/>
        </w:rPr>
        <w:t> </w:t>
      </w:r>
      <w:r>
        <w:rPr>
          <w:spacing w:val="-2"/>
        </w:rPr>
        <w:t>长实建设实质承接，未来长实建设亦不再承接新的通信网络工程业务，待现有存续业务执行完毕且收款完</w:t>
      </w:r>
      <w:r>
        <w:rPr>
          <w:spacing w:val="-42"/>
        </w:rPr>
        <w:t> </w:t>
      </w:r>
      <w:r>
        <w:rPr>
          <w:spacing w:val="-42"/>
        </w:rPr>
      </w:r>
      <w:r>
        <w:rPr>
          <w:spacing w:val="-2"/>
        </w:rPr>
        <w:t>成后予以注销或转让。原长实通信在分立过程中，根据分立合同应由长实建设承担的合同义务及相关债权</w:t>
      </w:r>
      <w:r>
        <w:rPr>
          <w:spacing w:val="-43"/>
        </w:rPr>
        <w:t> </w:t>
      </w:r>
      <w:r>
        <w:rPr>
          <w:spacing w:val="-43"/>
        </w:rPr>
      </w:r>
      <w:r>
        <w:rPr/>
        <w:t>债务，若因相关合同主体无法变更的原因，可委托长实通信代收代付。</w:t>
      </w:r>
      <w:r>
        <w:rPr>
          <w:rFonts w:ascii="宋体" w:hAnsi="宋体" w:cs="宋体" w:eastAsia="宋体" w:hint="default"/>
        </w:rPr>
        <w:t> </w:t>
      </w:r>
    </w:p>
    <w:p>
      <w:pPr>
        <w:pStyle w:val="BodyText"/>
        <w:spacing w:line="240" w:lineRule="auto" w:before="50"/>
        <w:ind w:left="573" w:right="819"/>
        <w:jc w:val="left"/>
      </w:pPr>
      <w:r>
        <w:rPr>
          <w:rFonts w:ascii="宋体" w:hAnsi="宋体" w:cs="宋体" w:eastAsia="宋体" w:hint="default"/>
        </w:rPr>
        <w:t>2015</w:t>
      </w:r>
      <w:r>
        <w:rPr>
          <w:rFonts w:ascii="宋体" w:hAnsi="宋体" w:cs="宋体" w:eastAsia="宋体" w:hint="default"/>
          <w:spacing w:val="-48"/>
        </w:rPr>
        <w:t> </w:t>
      </w:r>
      <w:r>
        <w:rPr/>
        <w:t>年</w:t>
      </w:r>
      <w:r>
        <w:rPr>
          <w:spacing w:val="-48"/>
        </w:rPr>
        <w:t> </w:t>
      </w:r>
      <w:r>
        <w:rPr>
          <w:rFonts w:ascii="宋体" w:hAnsi="宋体" w:cs="宋体" w:eastAsia="宋体" w:hint="default"/>
        </w:rPr>
        <w:t>1</w:t>
      </w:r>
      <w:r>
        <w:rPr>
          <w:rFonts w:ascii="宋体" w:hAnsi="宋体" w:cs="宋体" w:eastAsia="宋体" w:hint="default"/>
          <w:spacing w:val="-48"/>
        </w:rPr>
        <w:t> </w:t>
      </w:r>
      <w:r>
        <w:rPr/>
        <w:t>月</w:t>
      </w:r>
      <w:r>
        <w:rPr>
          <w:spacing w:val="-48"/>
        </w:rPr>
        <w:t> </w:t>
      </w:r>
      <w:r>
        <w:rPr>
          <w:rFonts w:ascii="宋体" w:hAnsi="宋体" w:cs="宋体" w:eastAsia="宋体" w:hint="default"/>
        </w:rPr>
        <w:t>29</w:t>
      </w:r>
      <w:r>
        <w:rPr>
          <w:rFonts w:ascii="宋体" w:hAnsi="宋体" w:cs="宋体" w:eastAsia="宋体" w:hint="default"/>
          <w:spacing w:val="-48"/>
        </w:rPr>
        <w:t> </w:t>
      </w:r>
      <w:r>
        <w:rPr/>
        <w:t>日之后，原长实通信未再签署新的通信网络工程业务框架合同。根据框架合同签署单</w:t>
      </w:r>
    </w:p>
    <w:p>
      <w:pPr>
        <w:pStyle w:val="BodyText"/>
        <w:spacing w:line="240" w:lineRule="auto" w:before="37"/>
        <w:ind w:right="819"/>
        <w:jc w:val="left"/>
      </w:pPr>
      <w:r>
        <w:rPr>
          <w:w w:val="100"/>
        </w:rPr>
        <w:t>项合</w:t>
      </w:r>
      <w:r>
        <w:rPr>
          <w:spacing w:val="-3"/>
          <w:w w:val="100"/>
        </w:rPr>
        <w:t>同</w:t>
      </w:r>
      <w:r>
        <w:rPr>
          <w:spacing w:val="-106"/>
          <w:w w:val="100"/>
        </w:rPr>
        <w:t>，</w:t>
      </w:r>
      <w:r>
        <w:rPr>
          <w:spacing w:val="-3"/>
          <w:w w:val="100"/>
        </w:rPr>
        <w:t>按</w:t>
      </w:r>
      <w:r>
        <w:rPr>
          <w:w w:val="100"/>
        </w:rPr>
        <w:t>照</w:t>
      </w:r>
      <w:r>
        <w:rPr>
          <w:spacing w:val="-74"/>
        </w:rPr>
        <w:t> </w:t>
      </w:r>
      <w:r>
        <w:rPr>
          <w:rFonts w:ascii="宋体" w:hAnsi="宋体" w:cs="宋体" w:eastAsia="宋体" w:hint="default"/>
          <w:w w:val="100"/>
        </w:rPr>
        <w:t>20</w:t>
      </w:r>
      <w:r>
        <w:rPr>
          <w:rFonts w:ascii="宋体" w:hAnsi="宋体" w:cs="宋体" w:eastAsia="宋体" w:hint="default"/>
          <w:spacing w:val="-3"/>
          <w:w w:val="100"/>
        </w:rPr>
        <w:t>1</w:t>
      </w:r>
      <w:r>
        <w:rPr>
          <w:rFonts w:ascii="宋体" w:hAnsi="宋体" w:cs="宋体" w:eastAsia="宋体" w:hint="default"/>
          <w:w w:val="100"/>
        </w:rPr>
        <w:t>5</w:t>
      </w:r>
      <w:r>
        <w:rPr>
          <w:rFonts w:ascii="宋体" w:hAnsi="宋体" w:cs="宋体" w:eastAsia="宋体" w:hint="default"/>
          <w:spacing w:val="-74"/>
        </w:rPr>
        <w:t> </w:t>
      </w:r>
      <w:r>
        <w:rPr>
          <w:w w:val="100"/>
        </w:rPr>
        <w:t>年</w:t>
      </w:r>
      <w:r>
        <w:rPr>
          <w:spacing w:val="-74"/>
        </w:rPr>
        <w:t> </w:t>
      </w:r>
      <w:r>
        <w:rPr>
          <w:rFonts w:ascii="宋体" w:hAnsi="宋体" w:cs="宋体" w:eastAsia="宋体" w:hint="default"/>
          <w:w w:val="100"/>
        </w:rPr>
        <w:t>1</w:t>
      </w:r>
      <w:r>
        <w:rPr>
          <w:rFonts w:ascii="宋体" w:hAnsi="宋体" w:cs="宋体" w:eastAsia="宋体" w:hint="default"/>
          <w:spacing w:val="-77"/>
        </w:rPr>
        <w:t> </w:t>
      </w:r>
      <w:r>
        <w:rPr>
          <w:w w:val="100"/>
        </w:rPr>
        <w:t>月</w:t>
      </w:r>
      <w:r>
        <w:rPr>
          <w:spacing w:val="-74"/>
        </w:rPr>
        <w:t> </w:t>
      </w:r>
      <w:r>
        <w:rPr>
          <w:rFonts w:ascii="宋体" w:hAnsi="宋体" w:cs="宋体" w:eastAsia="宋体" w:hint="default"/>
          <w:spacing w:val="-3"/>
          <w:w w:val="100"/>
        </w:rPr>
        <w:t>2</w:t>
      </w:r>
      <w:r>
        <w:rPr>
          <w:rFonts w:ascii="宋体" w:hAnsi="宋体" w:cs="宋体" w:eastAsia="宋体" w:hint="default"/>
          <w:w w:val="100"/>
        </w:rPr>
        <w:t>9</w:t>
      </w:r>
      <w:r>
        <w:rPr>
          <w:rFonts w:ascii="宋体" w:hAnsi="宋体" w:cs="宋体" w:eastAsia="宋体" w:hint="default"/>
          <w:spacing w:val="-74"/>
        </w:rPr>
        <w:t> </w:t>
      </w:r>
      <w:r>
        <w:rPr>
          <w:w w:val="100"/>
        </w:rPr>
        <w:t>日</w:t>
      </w:r>
      <w:r>
        <w:rPr>
          <w:spacing w:val="-3"/>
          <w:w w:val="100"/>
        </w:rPr>
        <w:t>之</w:t>
      </w:r>
      <w:r>
        <w:rPr>
          <w:w w:val="100"/>
        </w:rPr>
        <w:t>前</w:t>
      </w:r>
      <w:r>
        <w:rPr>
          <w:spacing w:val="-3"/>
          <w:w w:val="100"/>
        </w:rPr>
        <w:t>已</w:t>
      </w:r>
      <w:r>
        <w:rPr>
          <w:w w:val="100"/>
        </w:rPr>
        <w:t>签</w:t>
      </w:r>
      <w:r>
        <w:rPr>
          <w:spacing w:val="-3"/>
          <w:w w:val="100"/>
        </w:rPr>
        <w:t>署</w:t>
      </w:r>
      <w:r>
        <w:rPr>
          <w:w w:val="100"/>
        </w:rPr>
        <w:t>的</w:t>
      </w:r>
      <w:r>
        <w:rPr>
          <w:spacing w:val="-3"/>
          <w:w w:val="100"/>
        </w:rPr>
        <w:t>框</w:t>
      </w:r>
      <w:r>
        <w:rPr>
          <w:w w:val="100"/>
        </w:rPr>
        <w:t>架</w:t>
      </w:r>
      <w:r>
        <w:rPr>
          <w:spacing w:val="-3"/>
          <w:w w:val="100"/>
        </w:rPr>
        <w:t>及单</w:t>
      </w:r>
      <w:r>
        <w:rPr>
          <w:w w:val="100"/>
        </w:rPr>
        <w:t>项合</w:t>
      </w:r>
      <w:r>
        <w:rPr>
          <w:spacing w:val="-3"/>
          <w:w w:val="100"/>
        </w:rPr>
        <w:t>同</w:t>
      </w:r>
      <w:r>
        <w:rPr>
          <w:w w:val="100"/>
        </w:rPr>
        <w:t>涉</w:t>
      </w:r>
      <w:r>
        <w:rPr>
          <w:spacing w:val="-3"/>
          <w:w w:val="100"/>
        </w:rPr>
        <w:t>及</w:t>
      </w:r>
      <w:r>
        <w:rPr>
          <w:w w:val="100"/>
        </w:rPr>
        <w:t>无</w:t>
      </w:r>
      <w:r>
        <w:rPr>
          <w:spacing w:val="-3"/>
          <w:w w:val="100"/>
        </w:rPr>
        <w:t>法</w:t>
      </w:r>
      <w:r>
        <w:rPr>
          <w:w w:val="100"/>
        </w:rPr>
        <w:t>变</w:t>
      </w:r>
      <w:r>
        <w:rPr>
          <w:spacing w:val="-3"/>
          <w:w w:val="100"/>
        </w:rPr>
        <w:t>更</w:t>
      </w:r>
      <w:r>
        <w:rPr>
          <w:w w:val="100"/>
        </w:rPr>
        <w:t>合</w:t>
      </w:r>
      <w:r>
        <w:rPr>
          <w:spacing w:val="-3"/>
          <w:w w:val="100"/>
        </w:rPr>
        <w:t>同</w:t>
      </w:r>
      <w:r>
        <w:rPr>
          <w:w w:val="100"/>
        </w:rPr>
        <w:t>主体</w:t>
      </w:r>
      <w:r>
        <w:rPr>
          <w:spacing w:val="-3"/>
          <w:w w:val="100"/>
        </w:rPr>
        <w:t>的</w:t>
      </w:r>
      <w:r>
        <w:rPr>
          <w:w w:val="100"/>
        </w:rPr>
        <w:t>通</w:t>
      </w:r>
      <w:r>
        <w:rPr>
          <w:spacing w:val="-3"/>
          <w:w w:val="100"/>
        </w:rPr>
        <w:t>信</w:t>
      </w:r>
      <w:r>
        <w:rPr>
          <w:w w:val="100"/>
        </w:rPr>
        <w:t>网</w:t>
      </w:r>
      <w:r>
        <w:rPr>
          <w:spacing w:val="-3"/>
          <w:w w:val="100"/>
        </w:rPr>
        <w:t>络</w:t>
      </w:r>
      <w:r>
        <w:rPr>
          <w:w w:val="100"/>
        </w:rPr>
        <w:t>工</w:t>
      </w:r>
      <w:r>
        <w:rPr>
          <w:spacing w:val="-3"/>
          <w:w w:val="100"/>
        </w:rPr>
        <w:t>程</w:t>
      </w:r>
      <w:r>
        <w:rPr>
          <w:w w:val="100"/>
        </w:rPr>
        <w:t>项</w:t>
      </w:r>
      <w:r>
        <w:rPr>
          <w:spacing w:val="-3"/>
          <w:w w:val="100"/>
        </w:rPr>
        <w:t>目</w:t>
      </w:r>
      <w:r>
        <w:rPr>
          <w:w w:val="100"/>
        </w:rPr>
        <w:t>，</w:t>
      </w:r>
    </w:p>
    <w:p>
      <w:pPr>
        <w:spacing w:after="0" w:line="240" w:lineRule="auto"/>
        <w:jc w:val="left"/>
        <w:sectPr>
          <w:pgSz w:w="11910" w:h="16840"/>
          <w:pgMar w:header="880" w:footer="975" w:top="1100" w:bottom="1160" w:left="980" w:right="0"/>
        </w:sectPr>
      </w:pPr>
    </w:p>
    <w:p>
      <w:pPr>
        <w:spacing w:line="240" w:lineRule="auto" w:before="11"/>
        <w:rPr>
          <w:rFonts w:ascii="宋体" w:hAnsi="宋体" w:cs="宋体" w:eastAsia="宋体" w:hint="default"/>
          <w:sz w:val="20"/>
          <w:szCs w:val="20"/>
        </w:rPr>
      </w:pPr>
    </w:p>
    <w:p>
      <w:pPr>
        <w:pStyle w:val="BodyText"/>
        <w:spacing w:line="273" w:lineRule="auto" w:before="36"/>
        <w:ind w:right="819"/>
        <w:jc w:val="left"/>
        <w:rPr>
          <w:rFonts w:ascii="宋体" w:hAnsi="宋体" w:cs="宋体" w:eastAsia="宋体" w:hint="default"/>
        </w:rPr>
      </w:pPr>
      <w:r>
        <w:rPr/>
        <w:t>截至</w:t>
      </w:r>
      <w:r>
        <w:rPr>
          <w:spacing w:val="-42"/>
        </w:rPr>
        <w:t> </w:t>
      </w:r>
      <w:r>
        <w:rPr>
          <w:rFonts w:ascii="宋体" w:hAnsi="宋体" w:cs="宋体" w:eastAsia="宋体" w:hint="default"/>
        </w:rPr>
        <w:t>2019</w:t>
      </w:r>
      <w:r>
        <w:rPr>
          <w:rFonts w:ascii="宋体" w:hAnsi="宋体" w:cs="宋体" w:eastAsia="宋体" w:hint="default"/>
          <w:spacing w:val="-40"/>
        </w:rPr>
        <w:t> </w:t>
      </w:r>
      <w:r>
        <w:rPr/>
        <w:t>年末已签署的框架及单项合同数约</w:t>
      </w:r>
      <w:r>
        <w:rPr>
          <w:spacing w:val="-43"/>
        </w:rPr>
        <w:t> </w:t>
      </w:r>
      <w:r>
        <w:rPr>
          <w:rFonts w:ascii="宋体" w:hAnsi="宋体" w:cs="宋体" w:eastAsia="宋体" w:hint="default"/>
        </w:rPr>
        <w:t>385</w:t>
      </w:r>
      <w:r>
        <w:rPr>
          <w:rFonts w:ascii="宋体" w:hAnsi="宋体" w:cs="宋体" w:eastAsia="宋体" w:hint="default"/>
          <w:spacing w:val="-43"/>
        </w:rPr>
        <w:t> </w:t>
      </w:r>
      <w:r>
        <w:rPr/>
        <w:t>个，尚余估算金额为</w:t>
      </w:r>
      <w:r>
        <w:rPr>
          <w:spacing w:val="-43"/>
        </w:rPr>
        <w:t> </w:t>
      </w:r>
      <w:r>
        <w:rPr>
          <w:rFonts w:ascii="宋体" w:hAnsi="宋体" w:cs="宋体" w:eastAsia="宋体" w:hint="default"/>
        </w:rPr>
        <w:t>9,962.77</w:t>
      </w:r>
      <w:r>
        <w:rPr>
          <w:rFonts w:ascii="宋体" w:hAnsi="宋体" w:cs="宋体" w:eastAsia="宋体" w:hint="default"/>
          <w:spacing w:val="-40"/>
        </w:rPr>
        <w:t> </w:t>
      </w:r>
      <w:r>
        <w:rPr/>
        <w:t>万元</w:t>
      </w:r>
      <w:r>
        <w:rPr>
          <w:rFonts w:ascii="宋体" w:hAnsi="宋体" w:cs="宋体" w:eastAsia="宋体" w:hint="default"/>
        </w:rPr>
        <w:t>(</w:t>
      </w:r>
      <w:r>
        <w:rPr/>
        <w:t>不含本期及之前的</w:t>
      </w:r>
      <w:r>
        <w:rPr>
          <w:w w:val="100"/>
        </w:rPr>
        <w:t> </w:t>
      </w:r>
      <w:r>
        <w:rPr/>
        <w:t>代收代付</w:t>
      </w:r>
      <w:r>
        <w:rPr>
          <w:rFonts w:ascii="宋体" w:hAnsi="宋体" w:cs="宋体" w:eastAsia="宋体" w:hint="default"/>
        </w:rPr>
        <w:t>)</w:t>
      </w:r>
      <w:r>
        <w:rPr/>
        <w:t>。</w:t>
      </w:r>
      <w:r>
        <w:rPr>
          <w:rFonts w:ascii="宋体" w:hAnsi="宋体" w:cs="宋体" w:eastAsia="宋体" w:hint="default"/>
        </w:rPr>
        <w:t> </w:t>
      </w:r>
    </w:p>
    <w:p>
      <w:pPr>
        <w:pStyle w:val="BodyText"/>
        <w:spacing w:line="273" w:lineRule="auto" w:before="48"/>
        <w:ind w:left="573" w:right="819"/>
        <w:jc w:val="left"/>
        <w:rPr>
          <w:rFonts w:ascii="宋体" w:hAnsi="宋体" w:cs="宋体" w:eastAsia="宋体" w:hint="default"/>
        </w:rPr>
      </w:pPr>
      <w:r>
        <w:rPr>
          <w:w w:val="100"/>
        </w:rPr>
        <w:t>全资子公司创世漫道与联动优势的日常关联交易见本报告本章“第四节</w:t>
      </w:r>
      <w:r>
        <w:rPr>
          <w:spacing w:val="12"/>
          <w:w w:val="100"/>
        </w:rPr>
        <w:t> </w:t>
      </w:r>
      <w:r>
        <w:rPr>
          <w:rFonts w:ascii="宋体" w:hAnsi="宋体" w:cs="宋体" w:eastAsia="宋体" w:hint="default"/>
          <w:spacing w:val="12"/>
          <w:w w:val="100"/>
        </w:rPr>
      </w:r>
      <w:r>
        <w:rPr>
          <w:spacing w:val="-8"/>
          <w:w w:val="100"/>
        </w:rPr>
        <w:t>重大关联交易”的相关内容。</w:t>
      </w:r>
      <w:r>
        <w:rPr>
          <w:spacing w:val="-93"/>
          <w:w w:val="100"/>
        </w:rPr>
        <w:t> </w:t>
      </w:r>
      <w:r>
        <w:rPr>
          <w:rFonts w:ascii="宋体" w:hAnsi="宋体" w:cs="宋体" w:eastAsia="宋体" w:hint="default"/>
          <w:spacing w:val="-93"/>
          <w:w w:val="100"/>
        </w:rPr>
      </w:r>
      <w:r>
        <w:rPr/>
        <w:t>其他详见“第五章 </w:t>
      </w:r>
      <w:r>
        <w:rPr>
          <w:rFonts w:ascii="宋体" w:hAnsi="宋体" w:cs="宋体" w:eastAsia="宋体" w:hint="default"/>
        </w:rPr>
      </w:r>
      <w:r>
        <w:rPr/>
        <w:t>重要事项”之“第四节</w:t>
      </w:r>
      <w:r>
        <w:rPr>
          <w:spacing w:val="-12"/>
        </w:rPr>
        <w:t> </w:t>
      </w:r>
      <w:r>
        <w:rPr>
          <w:rFonts w:ascii="宋体" w:hAnsi="宋体" w:cs="宋体" w:eastAsia="宋体" w:hint="default"/>
          <w:spacing w:val="-12"/>
        </w:rPr>
      </w:r>
      <w:r>
        <w:rPr/>
        <w:t>重大关联交易事项”。</w:t>
      </w:r>
      <w:r>
        <w:rPr>
          <w:rFonts w:ascii="宋体" w:hAnsi="宋体" w:cs="宋体" w:eastAsia="宋体" w:hint="default"/>
        </w:rPr>
        <w:t> </w:t>
      </w:r>
    </w:p>
    <w:p>
      <w:pPr>
        <w:spacing w:after="0" w:line="273" w:lineRule="auto"/>
        <w:jc w:val="left"/>
        <w:rPr>
          <w:rFonts w:ascii="宋体" w:hAnsi="宋体" w:cs="宋体" w:eastAsia="宋体" w:hint="default"/>
        </w:rPr>
        <w:sectPr>
          <w:pgSz w:w="11910" w:h="16840"/>
          <w:pgMar w:header="880" w:footer="975" w:top="1100" w:bottom="1160" w:left="980" w:right="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2"/>
          <w:szCs w:val="22"/>
        </w:rPr>
      </w:pPr>
    </w:p>
    <w:p>
      <w:pPr>
        <w:pStyle w:val="Heading1"/>
        <w:tabs>
          <w:tab w:pos="1286" w:val="left" w:leader="none"/>
        </w:tabs>
        <w:spacing w:line="240" w:lineRule="auto"/>
        <w:ind w:right="980"/>
        <w:jc w:val="center"/>
        <w:rPr>
          <w:b w:val="0"/>
          <w:bCs w:val="0"/>
        </w:rPr>
      </w:pPr>
      <w:bookmarkStart w:name="_bookmark5" w:id="6"/>
      <w:bookmarkEnd w:id="6"/>
      <w:r>
        <w:rPr>
          <w:b w:val="0"/>
          <w:bCs w:val="0"/>
        </w:rPr>
      </w:r>
      <w:r>
        <w:rPr>
          <w:w w:val="95"/>
        </w:rPr>
        <w:t>第六章</w:t>
        <w:tab/>
      </w:r>
      <w:r>
        <w:rPr/>
        <w:t>股份变动及股东情况</w:t>
      </w:r>
      <w:r>
        <w:rPr>
          <w:b w:val="0"/>
          <w:bCs w:val="0"/>
        </w:rPr>
      </w:r>
    </w:p>
    <w:p>
      <w:pPr>
        <w:spacing w:line="240" w:lineRule="auto" w:before="11"/>
        <w:rPr>
          <w:rFonts w:ascii="宋体" w:hAnsi="宋体" w:cs="宋体" w:eastAsia="宋体" w:hint="default"/>
          <w:b/>
          <w:bCs/>
          <w:sz w:val="22"/>
          <w:szCs w:val="22"/>
        </w:rPr>
      </w:pPr>
    </w:p>
    <w:p>
      <w:pPr>
        <w:pStyle w:val="Heading2"/>
        <w:tabs>
          <w:tab w:pos="964" w:val="left" w:leader="none"/>
        </w:tabs>
        <w:spacing w:line="240" w:lineRule="auto" w:before="0"/>
        <w:ind w:left="0" w:right="978"/>
        <w:jc w:val="center"/>
        <w:rPr>
          <w:b w:val="0"/>
          <w:bCs w:val="0"/>
        </w:rPr>
      </w:pPr>
      <w:r>
        <w:rPr>
          <w:w w:val="95"/>
        </w:rPr>
        <w:t>第一节</w:t>
        <w:tab/>
      </w:r>
      <w:r>
        <w:rPr/>
        <w:t>股份变动情况</w:t>
      </w:r>
      <w:r>
        <w:rPr>
          <w:b w:val="0"/>
          <w:bCs w:val="0"/>
        </w:rPr>
      </w:r>
    </w:p>
    <w:p>
      <w:pPr>
        <w:spacing w:line="240" w:lineRule="auto" w:before="5"/>
        <w:rPr>
          <w:rFonts w:ascii="宋体" w:hAnsi="宋体" w:cs="宋体" w:eastAsia="宋体" w:hint="default"/>
          <w:b/>
          <w:bCs/>
          <w:sz w:val="17"/>
          <w:szCs w:val="17"/>
        </w:rPr>
      </w:pPr>
    </w:p>
    <w:p>
      <w:pPr>
        <w:pStyle w:val="Heading3"/>
        <w:spacing w:line="240" w:lineRule="auto"/>
        <w:ind w:right="1133"/>
        <w:jc w:val="left"/>
        <w:rPr>
          <w:b w:val="0"/>
          <w:bCs w:val="0"/>
        </w:rPr>
      </w:pPr>
      <w:r>
        <w:rPr/>
        <w:t>一、股份变动情况</w:t>
      </w:r>
      <w:r>
        <w:rPr>
          <w:b w:val="0"/>
          <w:bCs w:val="0"/>
        </w:rPr>
      </w:r>
    </w:p>
    <w:p>
      <w:pPr>
        <w:pStyle w:val="BodyText"/>
        <w:spacing w:line="240" w:lineRule="auto" w:before="75"/>
        <w:ind w:left="0" w:right="1128"/>
        <w:jc w:val="right"/>
      </w:pPr>
      <w:r>
        <w:rPr>
          <w:spacing w:val="-1"/>
        </w:rPr>
        <w:t>单位：股</w:t>
      </w:r>
    </w:p>
    <w:p>
      <w:pPr>
        <w:spacing w:line="240" w:lineRule="auto" w:before="0"/>
        <w:rPr>
          <w:rFonts w:ascii="宋体" w:hAnsi="宋体" w:cs="宋体" w:eastAsia="宋体" w:hint="default"/>
          <w:sz w:val="7"/>
          <w:szCs w:val="7"/>
        </w:rPr>
      </w:pPr>
    </w:p>
    <w:tbl>
      <w:tblPr>
        <w:tblW w:w="0" w:type="auto"/>
        <w:jc w:val="left"/>
        <w:tblInd w:w="148" w:type="dxa"/>
        <w:tblLayout w:type="fixed"/>
        <w:tblCellMar>
          <w:top w:w="0" w:type="dxa"/>
          <w:left w:w="0" w:type="dxa"/>
          <w:bottom w:w="0" w:type="dxa"/>
          <w:right w:w="0" w:type="dxa"/>
        </w:tblCellMar>
        <w:tblLook w:val="01E0"/>
      </w:tblPr>
      <w:tblGrid>
        <w:gridCol w:w="1985"/>
        <w:gridCol w:w="1277"/>
        <w:gridCol w:w="708"/>
        <w:gridCol w:w="994"/>
        <w:gridCol w:w="566"/>
        <w:gridCol w:w="708"/>
        <w:gridCol w:w="566"/>
        <w:gridCol w:w="994"/>
        <w:gridCol w:w="1133"/>
        <w:gridCol w:w="850"/>
      </w:tblGrid>
      <w:tr>
        <w:trPr>
          <w:trHeight w:val="402" w:hRule="exact"/>
        </w:trPr>
        <w:tc>
          <w:tcPr>
            <w:tcW w:w="1985" w:type="dxa"/>
            <w:vMerge w:val="restart"/>
            <w:tcBorders>
              <w:top w:val="single" w:sz="4" w:space="0" w:color="000000"/>
              <w:left w:val="single" w:sz="4" w:space="0" w:color="000000"/>
              <w:right w:val="single" w:sz="4" w:space="0" w:color="000000"/>
            </w:tcBorders>
            <w:shd w:val="clear" w:color="auto" w:fill="D2D2D2"/>
          </w:tcPr>
          <w:p>
            <w:pPr/>
          </w:p>
        </w:tc>
        <w:tc>
          <w:tcPr>
            <w:tcW w:w="198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37"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3828"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19" w:right="0"/>
              <w:jc w:val="left"/>
              <w:rPr>
                <w:rFonts w:ascii="宋体" w:hAnsi="宋体" w:cs="宋体" w:eastAsia="宋体" w:hint="default"/>
                <w:sz w:val="18"/>
                <w:szCs w:val="18"/>
              </w:rPr>
            </w:pPr>
            <w:r>
              <w:rPr>
                <w:rFonts w:ascii="宋体" w:hAnsi="宋体" w:cs="宋体" w:eastAsia="宋体" w:hint="default"/>
                <w:sz w:val="18"/>
                <w:szCs w:val="18"/>
              </w:rPr>
              <w:t>本次变动增减（＋，－）</w:t>
            </w:r>
          </w:p>
        </w:tc>
        <w:tc>
          <w:tcPr>
            <w:tcW w:w="198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38"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713" w:hRule="exact"/>
        </w:trPr>
        <w:tc>
          <w:tcPr>
            <w:tcW w:w="1985" w:type="dxa"/>
            <w:vMerge/>
            <w:tcBorders>
              <w:left w:val="single" w:sz="4" w:space="0" w:color="000000"/>
              <w:bottom w:val="single" w:sz="4" w:space="0" w:color="000000"/>
              <w:right w:val="single" w:sz="4" w:space="0" w:color="000000"/>
            </w:tcBorders>
            <w:shd w:val="clear" w:color="auto" w:fill="D2D2D2"/>
          </w:tcPr>
          <w:p>
            <w:pP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数量</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70"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31"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5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98"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70" w:right="77" w:hanging="92"/>
              <w:jc w:val="left"/>
              <w:rPr>
                <w:rFonts w:ascii="宋体" w:hAnsi="宋体" w:cs="宋体" w:eastAsia="宋体" w:hint="default"/>
                <w:sz w:val="18"/>
                <w:szCs w:val="18"/>
              </w:rPr>
            </w:pPr>
            <w:r>
              <w:rPr>
                <w:rFonts w:ascii="宋体" w:hAnsi="宋体" w:cs="宋体" w:eastAsia="宋体" w:hint="default"/>
                <w:sz w:val="18"/>
                <w:szCs w:val="18"/>
              </w:rPr>
              <w:t>公积金 转股</w:t>
            </w:r>
          </w:p>
        </w:tc>
        <w:tc>
          <w:tcPr>
            <w:tcW w:w="5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9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11"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11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数量</w:t>
            </w:r>
          </w:p>
        </w:tc>
        <w:tc>
          <w:tcPr>
            <w:tcW w:w="8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9" w:right="0"/>
              <w:jc w:val="left"/>
              <w:rPr>
                <w:rFonts w:ascii="宋体" w:hAnsi="宋体" w:cs="宋体" w:eastAsia="宋体" w:hint="default"/>
                <w:sz w:val="18"/>
                <w:szCs w:val="18"/>
              </w:rPr>
            </w:pPr>
            <w:r>
              <w:rPr>
                <w:rFonts w:ascii="宋体" w:hAnsi="宋体" w:cs="宋体" w:eastAsia="宋体" w:hint="default"/>
                <w:sz w:val="18"/>
                <w:szCs w:val="18"/>
              </w:rPr>
              <w:t>比例</w:t>
            </w:r>
          </w:p>
        </w:tc>
      </w:tr>
      <w:tr>
        <w:trPr>
          <w:trHeight w:val="403" w:hRule="exact"/>
        </w:trPr>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2"/>
              <w:jc w:val="right"/>
              <w:rPr>
                <w:rFonts w:ascii="宋体" w:hAnsi="宋体" w:cs="宋体" w:eastAsia="宋体" w:hint="default"/>
                <w:sz w:val="18"/>
                <w:szCs w:val="18"/>
              </w:rPr>
            </w:pPr>
            <w:r>
              <w:rPr>
                <w:rFonts w:ascii="宋体"/>
                <w:spacing w:val="-1"/>
                <w:sz w:val="18"/>
              </w:rPr>
              <w:t>47,458,171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8"/>
              <w:jc w:val="right"/>
              <w:rPr>
                <w:rFonts w:ascii="宋体" w:hAnsi="宋体" w:cs="宋体" w:eastAsia="宋体" w:hint="default"/>
                <w:sz w:val="18"/>
                <w:szCs w:val="18"/>
              </w:rPr>
            </w:pPr>
            <w:r>
              <w:rPr>
                <w:rFonts w:ascii="宋体"/>
                <w:sz w:val="18"/>
              </w:rPr>
              <w:t>7.09%</w:t>
            </w:r>
          </w:p>
        </w:tc>
        <w:tc>
          <w:tcPr>
            <w:tcW w:w="99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9"/>
              <w:jc w:val="right"/>
              <w:rPr>
                <w:rFonts w:ascii="宋体" w:hAnsi="宋体" w:cs="宋体" w:eastAsia="宋体" w:hint="default"/>
                <w:sz w:val="18"/>
                <w:szCs w:val="18"/>
              </w:rPr>
            </w:pPr>
            <w:r>
              <w:rPr>
                <w:rFonts w:ascii="宋体"/>
                <w:spacing w:val="-1"/>
                <w:sz w:val="18"/>
              </w:rPr>
              <w:t>47,458,171</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8"/>
              <w:jc w:val="right"/>
              <w:rPr>
                <w:rFonts w:ascii="宋体" w:hAnsi="宋体" w:cs="宋体" w:eastAsia="宋体" w:hint="default"/>
                <w:sz w:val="18"/>
                <w:szCs w:val="18"/>
              </w:rPr>
            </w:pPr>
            <w:r>
              <w:rPr>
                <w:rFonts w:ascii="宋体"/>
                <w:sz w:val="18"/>
              </w:rPr>
              <w:t>7.09%</w:t>
            </w:r>
          </w:p>
        </w:tc>
      </w:tr>
      <w:tr>
        <w:trPr>
          <w:trHeight w:val="401" w:hRule="exact"/>
        </w:trPr>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、国家持股</w:t>
            </w:r>
          </w:p>
        </w:tc>
        <w:tc>
          <w:tcPr>
            <w:tcW w:w="127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4"/>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、国有法人持股</w:t>
            </w:r>
          </w:p>
        </w:tc>
        <w:tc>
          <w:tcPr>
            <w:tcW w:w="1277"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
        </w:tc>
      </w:tr>
      <w:tr>
        <w:trPr>
          <w:trHeight w:val="401" w:hRule="exact"/>
        </w:trPr>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pacing w:val="-1"/>
                <w:sz w:val="18"/>
              </w:rPr>
              <w:t>47,458,171</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z w:val="18"/>
              </w:rPr>
              <w:t>7.09%</w:t>
            </w:r>
          </w:p>
        </w:tc>
        <w:tc>
          <w:tcPr>
            <w:tcW w:w="99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宋体" w:hAnsi="宋体" w:cs="宋体" w:eastAsia="宋体" w:hint="default"/>
                <w:sz w:val="18"/>
                <w:szCs w:val="18"/>
              </w:rPr>
            </w:pPr>
            <w:r>
              <w:rPr>
                <w:rFonts w:ascii="宋体"/>
                <w:spacing w:val="-1"/>
                <w:sz w:val="18"/>
              </w:rPr>
              <w:t>47,458,171</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z w:val="18"/>
              </w:rPr>
              <w:t>7.09%</w:t>
            </w:r>
          </w:p>
        </w:tc>
      </w:tr>
      <w:tr>
        <w:trPr>
          <w:trHeight w:val="403" w:hRule="exact"/>
        </w:trPr>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其中：境内法人持股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3"/>
              <w:jc w:val="right"/>
              <w:rPr>
                <w:rFonts w:ascii="宋体" w:hAnsi="宋体" w:cs="宋体" w:eastAsia="宋体" w:hint="default"/>
                <w:sz w:val="18"/>
                <w:szCs w:val="18"/>
              </w:rPr>
            </w:pPr>
            <w:r>
              <w:rPr>
                <w:rFonts w:ascii="宋体"/>
                <w:sz w:val="18"/>
              </w:rPr>
              <w:t>173,368</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8"/>
              <w:jc w:val="right"/>
              <w:rPr>
                <w:rFonts w:ascii="宋体" w:hAnsi="宋体" w:cs="宋体" w:eastAsia="宋体" w:hint="default"/>
                <w:sz w:val="18"/>
                <w:szCs w:val="18"/>
              </w:rPr>
            </w:pPr>
            <w:r>
              <w:rPr>
                <w:rFonts w:ascii="宋体"/>
                <w:sz w:val="18"/>
              </w:rPr>
              <w:t>0.03%</w:t>
            </w:r>
          </w:p>
        </w:tc>
        <w:tc>
          <w:tcPr>
            <w:tcW w:w="99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宋体" w:hAnsi="宋体" w:cs="宋体" w:eastAsia="宋体" w:hint="default"/>
                <w:sz w:val="18"/>
                <w:szCs w:val="18"/>
              </w:rPr>
            </w:pPr>
            <w:r>
              <w:rPr>
                <w:rFonts w:ascii="宋体"/>
                <w:sz w:val="18"/>
              </w:rPr>
              <w:t>173,368</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8"/>
              <w:jc w:val="right"/>
              <w:rPr>
                <w:rFonts w:ascii="宋体" w:hAnsi="宋体" w:cs="宋体" w:eastAsia="宋体" w:hint="default"/>
                <w:sz w:val="18"/>
                <w:szCs w:val="18"/>
              </w:rPr>
            </w:pPr>
            <w:r>
              <w:rPr>
                <w:rFonts w:ascii="宋体"/>
                <w:sz w:val="18"/>
              </w:rPr>
              <w:t>0.03%</w:t>
            </w:r>
          </w:p>
        </w:tc>
      </w:tr>
      <w:tr>
        <w:trPr>
          <w:trHeight w:val="401" w:hRule="exact"/>
        </w:trPr>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pacing w:val="90"/>
                <w:sz w:val="18"/>
                <w:szCs w:val="18"/>
              </w:rPr>
              <w:t>  </w:t>
            </w:r>
            <w:r>
              <w:rPr>
                <w:rFonts w:ascii="宋体" w:hAnsi="宋体" w:cs="宋体" w:eastAsia="宋体" w:hint="default"/>
                <w:sz w:val="18"/>
                <w:szCs w:val="18"/>
              </w:rPr>
              <w:t>  </w:t>
            </w:r>
            <w:r>
              <w:rPr>
                <w:rFonts w:ascii="宋体" w:hAnsi="宋体" w:cs="宋体" w:eastAsia="宋体" w:hint="default"/>
                <w:sz w:val="18"/>
                <w:szCs w:val="18"/>
              </w:rPr>
              <w:t>境内自然人持股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pacing w:val="-1"/>
                <w:sz w:val="18"/>
              </w:rPr>
              <w:t>47,284,803</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z w:val="18"/>
              </w:rPr>
              <w:t>7.07%</w:t>
            </w:r>
          </w:p>
        </w:tc>
        <w:tc>
          <w:tcPr>
            <w:tcW w:w="99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宋体" w:hAnsi="宋体" w:cs="宋体" w:eastAsia="宋体" w:hint="default"/>
                <w:sz w:val="18"/>
                <w:szCs w:val="18"/>
              </w:rPr>
            </w:pPr>
            <w:r>
              <w:rPr>
                <w:rFonts w:ascii="宋体"/>
                <w:spacing w:val="-1"/>
                <w:sz w:val="18"/>
              </w:rPr>
              <w:t>47,284,803</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z w:val="18"/>
              </w:rPr>
              <w:t>7.07%</w:t>
            </w:r>
          </w:p>
        </w:tc>
      </w:tr>
      <w:tr>
        <w:trPr>
          <w:trHeight w:val="403" w:hRule="exact"/>
        </w:trPr>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二、无限售条件股份</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2"/>
              <w:jc w:val="right"/>
              <w:rPr>
                <w:rFonts w:ascii="宋体" w:hAnsi="宋体" w:cs="宋体" w:eastAsia="宋体" w:hint="default"/>
                <w:sz w:val="18"/>
                <w:szCs w:val="18"/>
              </w:rPr>
            </w:pPr>
            <w:r>
              <w:rPr>
                <w:rFonts w:ascii="宋体"/>
                <w:spacing w:val="-1"/>
                <w:sz w:val="18"/>
              </w:rPr>
              <w:t>621,643,712</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8"/>
              <w:jc w:val="right"/>
              <w:rPr>
                <w:rFonts w:ascii="宋体" w:hAnsi="宋体" w:cs="宋体" w:eastAsia="宋体" w:hint="default"/>
                <w:sz w:val="18"/>
                <w:szCs w:val="18"/>
              </w:rPr>
            </w:pPr>
            <w:r>
              <w:rPr>
                <w:rFonts w:ascii="宋体"/>
                <w:spacing w:val="-1"/>
                <w:sz w:val="18"/>
              </w:rPr>
              <w:t>92.91%</w:t>
            </w:r>
          </w:p>
        </w:tc>
        <w:tc>
          <w:tcPr>
            <w:tcW w:w="99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9"/>
              <w:jc w:val="right"/>
              <w:rPr>
                <w:rFonts w:ascii="宋体" w:hAnsi="宋体" w:cs="宋体" w:eastAsia="宋体" w:hint="default"/>
                <w:sz w:val="18"/>
                <w:szCs w:val="18"/>
              </w:rPr>
            </w:pPr>
            <w:r>
              <w:rPr>
                <w:rFonts w:ascii="宋体"/>
                <w:spacing w:val="-1"/>
                <w:sz w:val="18"/>
              </w:rPr>
              <w:t>621,643,712</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8"/>
              <w:jc w:val="right"/>
              <w:rPr>
                <w:rFonts w:ascii="宋体" w:hAnsi="宋体" w:cs="宋体" w:eastAsia="宋体" w:hint="default"/>
                <w:sz w:val="18"/>
                <w:szCs w:val="18"/>
              </w:rPr>
            </w:pPr>
            <w:r>
              <w:rPr>
                <w:rFonts w:ascii="宋体"/>
                <w:spacing w:val="-1"/>
                <w:sz w:val="18"/>
              </w:rPr>
              <w:t>92.91%</w:t>
            </w:r>
          </w:p>
        </w:tc>
      </w:tr>
      <w:tr>
        <w:trPr>
          <w:trHeight w:val="401" w:hRule="exact"/>
        </w:trPr>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2"/>
              <w:jc w:val="right"/>
              <w:rPr>
                <w:rFonts w:ascii="宋体" w:hAnsi="宋体" w:cs="宋体" w:eastAsia="宋体" w:hint="default"/>
                <w:sz w:val="18"/>
                <w:szCs w:val="18"/>
              </w:rPr>
            </w:pPr>
            <w:r>
              <w:rPr>
                <w:rFonts w:ascii="宋体"/>
                <w:spacing w:val="-1"/>
                <w:sz w:val="18"/>
              </w:rPr>
              <w:t>621,643,712</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pacing w:val="-1"/>
                <w:sz w:val="18"/>
              </w:rPr>
              <w:t>92.91%</w:t>
            </w:r>
          </w:p>
        </w:tc>
        <w:tc>
          <w:tcPr>
            <w:tcW w:w="99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9"/>
              <w:jc w:val="right"/>
              <w:rPr>
                <w:rFonts w:ascii="宋体" w:hAnsi="宋体" w:cs="宋体" w:eastAsia="宋体" w:hint="default"/>
                <w:sz w:val="18"/>
                <w:szCs w:val="18"/>
              </w:rPr>
            </w:pPr>
            <w:r>
              <w:rPr>
                <w:rFonts w:ascii="宋体"/>
                <w:spacing w:val="-1"/>
                <w:sz w:val="18"/>
              </w:rPr>
              <w:t>621,643,712</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8"/>
              <w:jc w:val="right"/>
              <w:rPr>
                <w:rFonts w:ascii="宋体" w:hAnsi="宋体" w:cs="宋体" w:eastAsia="宋体" w:hint="default"/>
                <w:sz w:val="18"/>
                <w:szCs w:val="18"/>
              </w:rPr>
            </w:pPr>
            <w:r>
              <w:rPr>
                <w:rFonts w:ascii="宋体"/>
                <w:spacing w:val="-1"/>
                <w:sz w:val="18"/>
              </w:rPr>
              <w:t>92.91%</w:t>
            </w:r>
          </w:p>
        </w:tc>
      </w:tr>
      <w:tr>
        <w:trPr>
          <w:trHeight w:val="403" w:hRule="exact"/>
        </w:trPr>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2"/>
              <w:jc w:val="right"/>
              <w:rPr>
                <w:rFonts w:ascii="宋体" w:hAnsi="宋体" w:cs="宋体" w:eastAsia="宋体" w:hint="default"/>
                <w:sz w:val="18"/>
                <w:szCs w:val="18"/>
              </w:rPr>
            </w:pPr>
            <w:r>
              <w:rPr>
                <w:rFonts w:ascii="宋体"/>
                <w:spacing w:val="-1"/>
                <w:sz w:val="18"/>
              </w:rPr>
              <w:t>669,101,883</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宋体" w:hAnsi="宋体" w:cs="宋体" w:eastAsia="宋体" w:hint="default"/>
                <w:sz w:val="18"/>
                <w:szCs w:val="18"/>
              </w:rPr>
            </w:pPr>
            <w:r>
              <w:rPr>
                <w:rFonts w:ascii="宋体"/>
                <w:sz w:val="18"/>
              </w:rPr>
              <w:t>100.00%</w:t>
            </w:r>
          </w:p>
        </w:tc>
        <w:tc>
          <w:tcPr>
            <w:tcW w:w="994"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708" w:type="dxa"/>
            <w:tcBorders>
              <w:top w:val="single" w:sz="4" w:space="0" w:color="000000"/>
              <w:left w:val="single" w:sz="4" w:space="0" w:color="000000"/>
              <w:bottom w:val="single" w:sz="4" w:space="0" w:color="000000"/>
              <w:right w:val="single" w:sz="4" w:space="0" w:color="000000"/>
            </w:tcBorders>
          </w:tcPr>
          <w:p>
            <w:pPr/>
          </w:p>
        </w:tc>
        <w:tc>
          <w:tcPr>
            <w:tcW w:w="566"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9"/>
              <w:jc w:val="right"/>
              <w:rPr>
                <w:rFonts w:ascii="宋体" w:hAnsi="宋体" w:cs="宋体" w:eastAsia="宋体" w:hint="default"/>
                <w:sz w:val="18"/>
                <w:szCs w:val="18"/>
              </w:rPr>
            </w:pPr>
            <w:r>
              <w:rPr>
                <w:rFonts w:ascii="宋体"/>
                <w:spacing w:val="-1"/>
                <w:sz w:val="18"/>
              </w:rPr>
              <w:t>669,101,883</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宋体" w:hAnsi="宋体" w:cs="宋体" w:eastAsia="宋体" w:hint="default"/>
                <w:sz w:val="18"/>
                <w:szCs w:val="18"/>
              </w:rPr>
            </w:pPr>
            <w:r>
              <w:rPr>
                <w:rFonts w:ascii="宋体"/>
                <w:sz w:val="18"/>
              </w:rPr>
              <w:t>100.00%</w:t>
            </w:r>
          </w:p>
        </w:tc>
      </w:tr>
    </w:tbl>
    <w:p>
      <w:pPr>
        <w:pStyle w:val="BodyText"/>
        <w:spacing w:line="240" w:lineRule="auto" w:before="26"/>
        <w:ind w:right="1133"/>
        <w:jc w:val="left"/>
        <w:rPr>
          <w:rFonts w:ascii="宋体" w:hAnsi="宋体" w:cs="宋体" w:eastAsia="宋体" w:hint="default"/>
        </w:rPr>
      </w:pPr>
      <w:r>
        <w:rPr/>
        <w:t>股份变动的原因</w:t>
      </w:r>
      <w:r>
        <w:rPr>
          <w:rFonts w:ascii="宋体" w:hAnsi="宋体" w:cs="宋体" w:eastAsia="宋体" w:hint="default"/>
        </w:rPr>
        <w:t> </w:t>
      </w:r>
    </w:p>
    <w:p>
      <w:pPr>
        <w:pStyle w:val="BodyText"/>
        <w:spacing w:line="376" w:lineRule="auto" w:before="78"/>
        <w:ind w:right="7341"/>
        <w:jc w:val="left"/>
        <w:rPr>
          <w:rFonts w:ascii="宋体" w:hAnsi="宋体" w:cs="宋体" w:eastAsia="宋体" w:hint="default"/>
        </w:rPr>
      </w:pPr>
      <w:r>
        <w:rPr/>
        <w:t>□适用 </w:t>
      </w:r>
      <w:r>
        <w:rPr>
          <w:rFonts w:ascii="宋体" w:hAnsi="宋体" w:cs="宋体" w:eastAsia="宋体" w:hint="default"/>
        </w:rPr>
      </w:r>
      <w:r>
        <w:rPr>
          <w:spacing w:val="-3"/>
        </w:rPr>
        <w:t>√不适用</w:t>
      </w:r>
      <w:r>
        <w:rPr>
          <w:spacing w:val="-96"/>
        </w:rPr>
        <w:t> </w:t>
      </w:r>
      <w:r>
        <w:rPr>
          <w:rFonts w:ascii="宋体" w:hAnsi="宋体" w:cs="宋体" w:eastAsia="宋体" w:hint="default"/>
          <w:spacing w:val="-96"/>
        </w:rPr>
      </w:r>
      <w:r>
        <w:rPr/>
        <w:t>股份变动的批准情况</w:t>
      </w:r>
      <w:r>
        <w:rPr>
          <w:rFonts w:ascii="宋体" w:hAnsi="宋体" w:cs="宋体" w:eastAsia="宋体" w:hint="default"/>
        </w:rPr>
        <w:t> </w:t>
      </w:r>
    </w:p>
    <w:p>
      <w:pPr>
        <w:pStyle w:val="BodyText"/>
        <w:spacing w:line="233" w:lineRule="exact"/>
        <w:ind w:right="1133"/>
        <w:jc w:val="left"/>
        <w:rPr>
          <w:rFonts w:ascii="宋体" w:hAnsi="宋体" w:cs="宋体" w:eastAsia="宋体" w:hint="default"/>
        </w:rPr>
      </w:pPr>
      <w:r>
        <w:rPr/>
        <w:t>□适用  </w:t>
      </w:r>
      <w:r>
        <w:rPr>
          <w:rFonts w:ascii="宋体" w:hAnsi="宋体" w:cs="宋体" w:eastAsia="宋体" w:hint="default"/>
        </w:rPr>
      </w:r>
      <w:r>
        <w:rPr>
          <w:spacing w:val="-3"/>
        </w:rPr>
        <w:t>√</w:t>
      </w:r>
      <w:r>
        <w:rPr/>
        <w:t> 不适用</w:t>
      </w:r>
      <w:r>
        <w:rPr>
          <w:rFonts w:ascii="宋体" w:hAnsi="宋体" w:cs="宋体" w:eastAsia="宋体" w:hint="default"/>
        </w:rPr>
        <w:t> </w:t>
      </w:r>
    </w:p>
    <w:p>
      <w:pPr>
        <w:pStyle w:val="BodyText"/>
        <w:spacing w:line="240" w:lineRule="auto" w:before="157"/>
        <w:ind w:right="1133"/>
        <w:jc w:val="left"/>
        <w:rPr>
          <w:rFonts w:ascii="宋体" w:hAnsi="宋体" w:cs="宋体" w:eastAsia="宋体" w:hint="default"/>
        </w:rPr>
      </w:pPr>
      <w:r>
        <w:rPr/>
        <w:t>股份变动的过户情况</w:t>
      </w:r>
      <w:r>
        <w:rPr>
          <w:rFonts w:ascii="宋体" w:hAnsi="宋体" w:cs="宋体" w:eastAsia="宋体" w:hint="default"/>
        </w:rPr>
        <w:t> </w:t>
      </w:r>
    </w:p>
    <w:p>
      <w:pPr>
        <w:pStyle w:val="BodyText"/>
        <w:spacing w:line="374" w:lineRule="auto" w:before="78"/>
        <w:ind w:right="7341"/>
        <w:jc w:val="left"/>
        <w:rPr>
          <w:rFonts w:ascii="宋体" w:hAnsi="宋体" w:cs="宋体" w:eastAsia="宋体" w:hint="default"/>
        </w:rPr>
      </w:pPr>
      <w:r>
        <w:rPr/>
        <w:t>□ 适用 </w:t>
      </w:r>
      <w:r>
        <w:rPr>
          <w:rFonts w:ascii="宋体" w:hAnsi="宋体" w:cs="宋体" w:eastAsia="宋体" w:hint="default"/>
        </w:rPr>
      </w:r>
      <w:r>
        <w:rPr>
          <w:spacing w:val="-3"/>
        </w:rPr>
        <w:t>√</w:t>
      </w:r>
      <w:r>
        <w:rPr/>
        <w:t> 不适用</w:t>
      </w:r>
      <w:r>
        <w:rPr>
          <w:rFonts w:ascii="宋体" w:hAnsi="宋体" w:cs="宋体" w:eastAsia="宋体" w:hint="default"/>
          <w:w w:val="100"/>
        </w:rPr>
        <w:t> </w:t>
      </w:r>
      <w:r>
        <w:rPr/>
        <w:t>股份回购的实施进展情况</w:t>
      </w:r>
      <w:r>
        <w:rPr>
          <w:rFonts w:ascii="宋体" w:hAnsi="宋体" w:cs="宋体" w:eastAsia="宋体" w:hint="default"/>
        </w:rPr>
        <w:t> </w:t>
      </w:r>
    </w:p>
    <w:p>
      <w:pPr>
        <w:pStyle w:val="BodyText"/>
        <w:spacing w:line="372" w:lineRule="auto" w:before="39"/>
        <w:ind w:left="573" w:right="1121" w:hanging="421"/>
        <w:jc w:val="left"/>
        <w:rPr>
          <w:rFonts w:ascii="宋体" w:hAnsi="宋体" w:cs="宋体" w:eastAsia="宋体" w:hint="default"/>
        </w:rPr>
      </w:pPr>
      <w:r>
        <w:rPr/>
        <w:t>√适用 </w:t>
      </w:r>
      <w:r>
        <w:rPr>
          <w:rFonts w:ascii="宋体" w:hAnsi="宋体" w:cs="宋体" w:eastAsia="宋体" w:hint="default"/>
        </w:rPr>
      </w:r>
      <w:r>
        <w:rPr>
          <w:spacing w:val="-3"/>
        </w:rPr>
        <w:t>□</w:t>
      </w:r>
      <w:r>
        <w:rPr/>
        <w:t> 不适用</w:t>
      </w:r>
      <w:r>
        <w:rPr>
          <w:rFonts w:ascii="宋体" w:hAnsi="宋体" w:cs="宋体" w:eastAsia="宋体" w:hint="default"/>
          <w:w w:val="100"/>
        </w:rPr>
        <w:t> </w:t>
      </w:r>
      <w:r>
        <w:rPr>
          <w:spacing w:val="-4"/>
        </w:rPr>
        <w:t>公司为保有充足的运营资金以确保前期项目的有序推进，并强化公司整体的抗风险能力，公司于</w:t>
      </w:r>
      <w:r>
        <w:rPr>
          <w:spacing w:val="35"/>
        </w:rPr>
        <w:t> </w:t>
      </w:r>
      <w:r>
        <w:rPr>
          <w:rFonts w:ascii="宋体" w:hAnsi="宋体" w:cs="宋体" w:eastAsia="宋体" w:hint="default"/>
        </w:rPr>
        <w:t>2019</w:t>
      </w:r>
    </w:p>
    <w:p>
      <w:pPr>
        <w:pStyle w:val="BodyText"/>
        <w:spacing w:line="266" w:lineRule="exact"/>
        <w:ind w:right="819"/>
        <w:jc w:val="left"/>
        <w:rPr>
          <w:rFonts w:ascii="宋体" w:hAnsi="宋体" w:cs="宋体" w:eastAsia="宋体" w:hint="default"/>
        </w:rPr>
      </w:pPr>
      <w:r>
        <w:rPr/>
        <w:t>年</w:t>
      </w:r>
      <w:r>
        <w:rPr>
          <w:spacing w:val="-50"/>
        </w:rPr>
        <w:t> </w:t>
      </w:r>
      <w:r>
        <w:rPr>
          <w:rFonts w:ascii="宋体" w:hAnsi="宋体" w:cs="宋体" w:eastAsia="宋体" w:hint="default"/>
        </w:rPr>
        <w:t>12</w:t>
      </w:r>
      <w:r>
        <w:rPr>
          <w:rFonts w:ascii="宋体" w:hAnsi="宋体" w:cs="宋体" w:eastAsia="宋体" w:hint="default"/>
          <w:spacing w:val="-53"/>
        </w:rPr>
        <w:t> </w:t>
      </w:r>
      <w:r>
        <w:rPr/>
        <w:t>月</w:t>
      </w:r>
      <w:r>
        <w:rPr>
          <w:spacing w:val="-51"/>
        </w:rPr>
        <w:t> </w:t>
      </w:r>
      <w:r>
        <w:rPr>
          <w:rFonts w:ascii="宋体" w:hAnsi="宋体" w:cs="宋体" w:eastAsia="宋体" w:hint="default"/>
        </w:rPr>
        <w:t>18</w:t>
      </w:r>
      <w:r>
        <w:rPr>
          <w:rFonts w:ascii="宋体" w:hAnsi="宋体" w:cs="宋体" w:eastAsia="宋体" w:hint="default"/>
          <w:spacing w:val="-53"/>
        </w:rPr>
        <w:t> </w:t>
      </w:r>
      <w:r>
        <w:rPr/>
        <w:t>日召开的第七届董事会</w:t>
      </w:r>
      <w:r>
        <w:rPr>
          <w:spacing w:val="-50"/>
        </w:rPr>
        <w:t> </w:t>
      </w:r>
      <w:r>
        <w:rPr>
          <w:rFonts w:ascii="宋体" w:hAnsi="宋体" w:cs="宋体" w:eastAsia="宋体" w:hint="default"/>
        </w:rPr>
        <w:t>2019</w:t>
      </w:r>
      <w:r>
        <w:rPr>
          <w:rFonts w:ascii="宋体" w:hAnsi="宋体" w:cs="宋体" w:eastAsia="宋体" w:hint="default"/>
          <w:spacing w:val="-53"/>
        </w:rPr>
        <w:t> </w:t>
      </w:r>
      <w:r>
        <w:rPr>
          <w:spacing w:val="-7"/>
        </w:rPr>
        <w:t>年第十六次会议、第七届监事会</w:t>
      </w:r>
      <w:r>
        <w:rPr>
          <w:spacing w:val="-51"/>
        </w:rPr>
        <w:t> </w:t>
      </w:r>
      <w:r>
        <w:rPr>
          <w:rFonts w:ascii="宋体" w:hAnsi="宋体" w:cs="宋体" w:eastAsia="宋体" w:hint="default"/>
        </w:rPr>
        <w:t>2019</w:t>
      </w:r>
      <w:r>
        <w:rPr>
          <w:rFonts w:ascii="宋体" w:hAnsi="宋体" w:cs="宋体" w:eastAsia="宋体" w:hint="default"/>
          <w:spacing w:val="-53"/>
        </w:rPr>
        <w:t> </w:t>
      </w:r>
      <w:r>
        <w:rPr/>
        <w:t>年第十二次会议和</w:t>
      </w:r>
      <w:r>
        <w:rPr>
          <w:spacing w:val="-50"/>
        </w:rPr>
        <w:t> </w:t>
      </w:r>
      <w:r>
        <w:rPr>
          <w:rFonts w:ascii="宋体" w:hAnsi="宋体" w:cs="宋体" w:eastAsia="宋体" w:hint="default"/>
        </w:rPr>
        <w:t>2020</w:t>
      </w:r>
      <w:r>
        <w:rPr>
          <w:rFonts w:ascii="宋体" w:hAnsi="宋体" w:cs="宋体" w:eastAsia="宋体" w:hint="default"/>
          <w:spacing w:val="-53"/>
        </w:rPr>
        <w:t> </w:t>
      </w:r>
      <w:r>
        <w:rPr/>
        <w:t>年</w:t>
      </w:r>
      <w:r>
        <w:rPr>
          <w:spacing w:val="-51"/>
        </w:rPr>
        <w:t> </w:t>
      </w:r>
      <w:r>
        <w:rPr>
          <w:rFonts w:ascii="宋体" w:hAnsi="宋体" w:cs="宋体" w:eastAsia="宋体" w:hint="default"/>
        </w:rPr>
        <w:t>1</w:t>
      </w:r>
    </w:p>
    <w:p>
      <w:pPr>
        <w:pStyle w:val="BodyText"/>
        <w:spacing w:line="240" w:lineRule="auto" w:before="104"/>
        <w:ind w:right="819"/>
        <w:jc w:val="left"/>
        <w:rPr>
          <w:rFonts w:ascii="宋体" w:hAnsi="宋体" w:cs="宋体" w:eastAsia="宋体" w:hint="default"/>
        </w:rPr>
      </w:pPr>
      <w:r>
        <w:rPr>
          <w:w w:val="100"/>
        </w:rPr>
        <w:t>月</w:t>
      </w:r>
      <w:r>
        <w:rPr>
          <w:spacing w:val="-52"/>
        </w:rPr>
        <w:t> </w:t>
      </w:r>
      <w:r>
        <w:rPr>
          <w:rFonts w:ascii="宋体" w:hAnsi="宋体" w:cs="宋体" w:eastAsia="宋体" w:hint="default"/>
          <w:w w:val="100"/>
        </w:rPr>
        <w:t>7</w:t>
      </w:r>
      <w:r>
        <w:rPr>
          <w:rFonts w:ascii="宋体" w:hAnsi="宋体" w:cs="宋体" w:eastAsia="宋体" w:hint="default"/>
          <w:spacing w:val="-53"/>
        </w:rPr>
        <w:t> </w:t>
      </w:r>
      <w:r>
        <w:rPr>
          <w:spacing w:val="-3"/>
          <w:w w:val="100"/>
        </w:rPr>
        <w:t>日</w:t>
      </w:r>
      <w:r>
        <w:rPr>
          <w:w w:val="100"/>
        </w:rPr>
        <w:t>召</w:t>
      </w:r>
      <w:r>
        <w:rPr>
          <w:spacing w:val="-3"/>
          <w:w w:val="100"/>
        </w:rPr>
        <w:t>开</w:t>
      </w:r>
      <w:r>
        <w:rPr>
          <w:w w:val="100"/>
        </w:rPr>
        <w:t>的</w:t>
      </w:r>
      <w:r>
        <w:rPr>
          <w:spacing w:val="-53"/>
        </w:rPr>
        <w:t> </w:t>
      </w:r>
      <w:r>
        <w:rPr>
          <w:rFonts w:ascii="宋体" w:hAnsi="宋体" w:cs="宋体" w:eastAsia="宋体" w:hint="default"/>
          <w:spacing w:val="-3"/>
          <w:w w:val="100"/>
        </w:rPr>
        <w:t>2</w:t>
      </w:r>
      <w:r>
        <w:rPr>
          <w:rFonts w:ascii="宋体" w:hAnsi="宋体" w:cs="宋体" w:eastAsia="宋体" w:hint="default"/>
          <w:w w:val="100"/>
        </w:rPr>
        <w:t>020</w:t>
      </w:r>
      <w:r>
        <w:rPr>
          <w:rFonts w:ascii="宋体" w:hAnsi="宋体" w:cs="宋体" w:eastAsia="宋体" w:hint="default"/>
          <w:spacing w:val="-55"/>
        </w:rPr>
        <w:t> </w:t>
      </w:r>
      <w:r>
        <w:rPr>
          <w:w w:val="100"/>
        </w:rPr>
        <w:t>年</w:t>
      </w:r>
      <w:r>
        <w:rPr>
          <w:spacing w:val="-3"/>
          <w:w w:val="100"/>
        </w:rPr>
        <w:t>第一</w:t>
      </w:r>
      <w:r>
        <w:rPr>
          <w:w w:val="100"/>
        </w:rPr>
        <w:t>次临</w:t>
      </w:r>
      <w:r>
        <w:rPr>
          <w:spacing w:val="-3"/>
          <w:w w:val="100"/>
        </w:rPr>
        <w:t>时</w:t>
      </w:r>
      <w:r>
        <w:rPr>
          <w:w w:val="100"/>
        </w:rPr>
        <w:t>股</w:t>
      </w:r>
      <w:r>
        <w:rPr>
          <w:spacing w:val="-3"/>
          <w:w w:val="100"/>
        </w:rPr>
        <w:t>东</w:t>
      </w:r>
      <w:r>
        <w:rPr>
          <w:w w:val="100"/>
        </w:rPr>
        <w:t>大</w:t>
      </w:r>
      <w:r>
        <w:rPr>
          <w:spacing w:val="-3"/>
          <w:w w:val="100"/>
        </w:rPr>
        <w:t>会</w:t>
      </w:r>
      <w:r>
        <w:rPr>
          <w:w w:val="100"/>
        </w:rPr>
        <w:t>审</w:t>
      </w:r>
      <w:r>
        <w:rPr>
          <w:spacing w:val="-3"/>
          <w:w w:val="100"/>
        </w:rPr>
        <w:t>议</w:t>
      </w:r>
      <w:r>
        <w:rPr>
          <w:w w:val="100"/>
        </w:rPr>
        <w:t>通</w:t>
      </w:r>
      <w:r>
        <w:rPr>
          <w:spacing w:val="-3"/>
          <w:w w:val="100"/>
        </w:rPr>
        <w:t>过</w:t>
      </w:r>
      <w:r>
        <w:rPr>
          <w:spacing w:val="-39"/>
          <w:w w:val="100"/>
        </w:rPr>
        <w:t>了</w:t>
      </w:r>
      <w:r>
        <w:rPr>
          <w:w w:val="100"/>
        </w:rPr>
        <w:t>《关</w:t>
      </w:r>
      <w:r>
        <w:rPr>
          <w:spacing w:val="-3"/>
          <w:w w:val="100"/>
        </w:rPr>
        <w:t>于</w:t>
      </w:r>
      <w:r>
        <w:rPr>
          <w:w w:val="100"/>
        </w:rPr>
        <w:t>终</w:t>
      </w:r>
      <w:r>
        <w:rPr>
          <w:spacing w:val="-3"/>
          <w:w w:val="100"/>
        </w:rPr>
        <w:t>止</w:t>
      </w:r>
      <w:r>
        <w:rPr>
          <w:w w:val="100"/>
        </w:rPr>
        <w:t>回</w:t>
      </w:r>
      <w:r>
        <w:rPr>
          <w:spacing w:val="-3"/>
          <w:w w:val="100"/>
        </w:rPr>
        <w:t>购</w:t>
      </w:r>
      <w:r>
        <w:rPr>
          <w:w w:val="100"/>
        </w:rPr>
        <w:t>公</w:t>
      </w:r>
      <w:r>
        <w:rPr>
          <w:spacing w:val="-3"/>
          <w:w w:val="100"/>
        </w:rPr>
        <w:t>司股</w:t>
      </w:r>
      <w:r>
        <w:rPr>
          <w:w w:val="100"/>
        </w:rPr>
        <w:t>份的</w:t>
      </w:r>
      <w:r>
        <w:rPr>
          <w:spacing w:val="-3"/>
          <w:w w:val="100"/>
        </w:rPr>
        <w:t>议</w:t>
      </w:r>
      <w:r>
        <w:rPr>
          <w:w w:val="100"/>
        </w:rPr>
        <w:t>案</w:t>
      </w:r>
      <w:r>
        <w:rPr>
          <w:spacing w:val="-106"/>
          <w:w w:val="100"/>
        </w:rPr>
        <w:t>》</w:t>
      </w:r>
      <w:r>
        <w:rPr>
          <w:spacing w:val="-41"/>
          <w:w w:val="100"/>
        </w:rPr>
        <w:t>。</w:t>
      </w:r>
      <w:r>
        <w:rPr>
          <w:w w:val="100"/>
        </w:rPr>
        <w:t>详</w:t>
      </w:r>
      <w:r>
        <w:rPr>
          <w:spacing w:val="-3"/>
          <w:w w:val="100"/>
        </w:rPr>
        <w:t>见</w:t>
      </w:r>
      <w:r>
        <w:rPr>
          <w:w w:val="100"/>
        </w:rPr>
        <w:t>公</w:t>
      </w:r>
      <w:r>
        <w:rPr>
          <w:spacing w:val="-2"/>
          <w:w w:val="100"/>
        </w:rPr>
        <w:t>司</w:t>
      </w:r>
      <w:r>
        <w:rPr>
          <w:w w:val="100"/>
        </w:rPr>
        <w:t>于</w:t>
      </w:r>
      <w:r>
        <w:rPr>
          <w:spacing w:val="-53"/>
        </w:rPr>
        <w:t> </w:t>
      </w:r>
      <w:r>
        <w:rPr>
          <w:rFonts w:ascii="宋体" w:hAnsi="宋体" w:cs="宋体" w:eastAsia="宋体" w:hint="default"/>
          <w:w w:val="100"/>
        </w:rPr>
        <w:t>2</w:t>
      </w:r>
      <w:r>
        <w:rPr>
          <w:rFonts w:ascii="宋体" w:hAnsi="宋体" w:cs="宋体" w:eastAsia="宋体" w:hint="default"/>
          <w:spacing w:val="-3"/>
          <w:w w:val="100"/>
        </w:rPr>
        <w:t>0</w:t>
      </w:r>
      <w:r>
        <w:rPr>
          <w:rFonts w:ascii="宋体" w:hAnsi="宋体" w:cs="宋体" w:eastAsia="宋体" w:hint="default"/>
          <w:w w:val="100"/>
        </w:rPr>
        <w:t>19</w:t>
      </w:r>
    </w:p>
    <w:p>
      <w:pPr>
        <w:pStyle w:val="BodyText"/>
        <w:spacing w:line="240" w:lineRule="auto" w:before="104"/>
        <w:ind w:right="819"/>
        <w:jc w:val="left"/>
      </w:pPr>
      <w:r>
        <w:rPr>
          <w:w w:val="100"/>
        </w:rPr>
        <w:t>年</w:t>
      </w:r>
      <w:r>
        <w:rPr>
          <w:spacing w:val="-52"/>
        </w:rPr>
        <w:t> </w:t>
      </w:r>
      <w:r>
        <w:rPr>
          <w:rFonts w:ascii="宋体" w:hAnsi="宋体" w:cs="宋体" w:eastAsia="宋体" w:hint="default"/>
          <w:w w:val="100"/>
        </w:rPr>
        <w:t>12</w:t>
      </w:r>
      <w:r>
        <w:rPr>
          <w:rFonts w:ascii="宋体" w:hAnsi="宋体" w:cs="宋体" w:eastAsia="宋体" w:hint="default"/>
          <w:spacing w:val="-55"/>
        </w:rPr>
        <w:t> </w:t>
      </w:r>
      <w:r>
        <w:rPr>
          <w:w w:val="100"/>
        </w:rPr>
        <w:t>月</w:t>
      </w:r>
      <w:r>
        <w:rPr>
          <w:spacing w:val="-53"/>
        </w:rPr>
        <w:t> </w:t>
      </w:r>
      <w:r>
        <w:rPr>
          <w:rFonts w:ascii="宋体" w:hAnsi="宋体" w:cs="宋体" w:eastAsia="宋体" w:hint="default"/>
          <w:w w:val="100"/>
        </w:rPr>
        <w:t>20</w:t>
      </w:r>
      <w:r>
        <w:rPr>
          <w:rFonts w:ascii="宋体" w:hAnsi="宋体" w:cs="宋体" w:eastAsia="宋体" w:hint="default"/>
          <w:spacing w:val="-55"/>
        </w:rPr>
        <w:t> </w:t>
      </w:r>
      <w:r>
        <w:rPr>
          <w:spacing w:val="-3"/>
          <w:w w:val="100"/>
        </w:rPr>
        <w:t>日</w:t>
      </w:r>
      <w:r>
        <w:rPr>
          <w:spacing w:val="-15"/>
          <w:w w:val="100"/>
        </w:rPr>
        <w:t>、</w:t>
      </w:r>
      <w:r>
        <w:rPr>
          <w:rFonts w:ascii="宋体" w:hAnsi="宋体" w:cs="宋体" w:eastAsia="宋体" w:hint="default"/>
          <w:w w:val="100"/>
        </w:rPr>
        <w:t>20</w:t>
      </w:r>
      <w:r>
        <w:rPr>
          <w:rFonts w:ascii="宋体" w:hAnsi="宋体" w:cs="宋体" w:eastAsia="宋体" w:hint="default"/>
          <w:spacing w:val="-3"/>
          <w:w w:val="100"/>
        </w:rPr>
        <w:t>2</w:t>
      </w:r>
      <w:r>
        <w:rPr>
          <w:rFonts w:ascii="宋体" w:hAnsi="宋体" w:cs="宋体" w:eastAsia="宋体" w:hint="default"/>
          <w:w w:val="100"/>
        </w:rPr>
        <w:t>0</w:t>
      </w:r>
      <w:r>
        <w:rPr>
          <w:rFonts w:ascii="宋体" w:hAnsi="宋体" w:cs="宋体" w:eastAsia="宋体" w:hint="default"/>
          <w:spacing w:val="-53"/>
        </w:rPr>
        <w:t> </w:t>
      </w:r>
      <w:r>
        <w:rPr>
          <w:w w:val="100"/>
        </w:rPr>
        <w:t>年</w:t>
      </w:r>
      <w:r>
        <w:rPr>
          <w:spacing w:val="-55"/>
        </w:rPr>
        <w:t> </w:t>
      </w:r>
      <w:r>
        <w:rPr>
          <w:rFonts w:ascii="宋体" w:hAnsi="宋体" w:cs="宋体" w:eastAsia="宋体" w:hint="default"/>
          <w:w w:val="100"/>
        </w:rPr>
        <w:t>1</w:t>
      </w:r>
      <w:r>
        <w:rPr>
          <w:rFonts w:ascii="宋体" w:hAnsi="宋体" w:cs="宋体" w:eastAsia="宋体" w:hint="default"/>
          <w:spacing w:val="-55"/>
        </w:rPr>
        <w:t> </w:t>
      </w:r>
      <w:r>
        <w:rPr>
          <w:w w:val="100"/>
        </w:rPr>
        <w:t>月</w:t>
      </w:r>
      <w:r>
        <w:rPr>
          <w:spacing w:val="-53"/>
        </w:rPr>
        <w:t> </w:t>
      </w:r>
      <w:r>
        <w:rPr>
          <w:rFonts w:ascii="宋体" w:hAnsi="宋体" w:cs="宋体" w:eastAsia="宋体" w:hint="default"/>
          <w:w w:val="100"/>
        </w:rPr>
        <w:t>8</w:t>
      </w:r>
      <w:r>
        <w:rPr>
          <w:rFonts w:ascii="宋体" w:hAnsi="宋体" w:cs="宋体" w:eastAsia="宋体" w:hint="default"/>
          <w:spacing w:val="-53"/>
        </w:rPr>
        <w:t> </w:t>
      </w:r>
      <w:r>
        <w:rPr>
          <w:spacing w:val="-3"/>
          <w:w w:val="100"/>
        </w:rPr>
        <w:t>日</w:t>
      </w:r>
      <w:r>
        <w:rPr>
          <w:w w:val="100"/>
        </w:rPr>
        <w:t>刊</w:t>
      </w:r>
      <w:r>
        <w:rPr>
          <w:spacing w:val="-3"/>
          <w:w w:val="100"/>
        </w:rPr>
        <w:t>载</w:t>
      </w:r>
      <w:r>
        <w:rPr>
          <w:spacing w:val="-17"/>
          <w:w w:val="100"/>
        </w:rPr>
        <w:t>在</w:t>
      </w:r>
      <w:r>
        <w:rPr>
          <w:w w:val="100"/>
        </w:rPr>
        <w:t>《</w:t>
      </w:r>
      <w:r>
        <w:rPr>
          <w:spacing w:val="-3"/>
          <w:w w:val="100"/>
        </w:rPr>
        <w:t>中</w:t>
      </w:r>
      <w:r>
        <w:rPr>
          <w:w w:val="100"/>
        </w:rPr>
        <w:t>国</w:t>
      </w:r>
      <w:r>
        <w:rPr>
          <w:spacing w:val="-3"/>
          <w:w w:val="100"/>
        </w:rPr>
        <w:t>证券</w:t>
      </w:r>
      <w:r>
        <w:rPr>
          <w:w w:val="100"/>
        </w:rPr>
        <w:t>报</w:t>
      </w:r>
      <w:r>
        <w:rPr>
          <w:spacing w:val="-106"/>
          <w:w w:val="100"/>
        </w:rPr>
        <w:t>》</w:t>
      </w:r>
      <w:r>
        <w:rPr>
          <w:spacing w:val="-123"/>
          <w:w w:val="100"/>
        </w:rPr>
        <w:t>、</w:t>
      </w:r>
      <w:r>
        <w:rPr>
          <w:w w:val="100"/>
        </w:rPr>
        <w:t>《</w:t>
      </w:r>
      <w:r>
        <w:rPr>
          <w:spacing w:val="-3"/>
          <w:w w:val="100"/>
        </w:rPr>
        <w:t>证</w:t>
      </w:r>
      <w:r>
        <w:rPr>
          <w:w w:val="100"/>
        </w:rPr>
        <w:t>券</w:t>
      </w:r>
      <w:r>
        <w:rPr>
          <w:spacing w:val="-3"/>
          <w:w w:val="100"/>
        </w:rPr>
        <w:t>时</w:t>
      </w:r>
      <w:r>
        <w:rPr>
          <w:w w:val="100"/>
        </w:rPr>
        <w:t>报</w:t>
      </w:r>
      <w:r>
        <w:rPr>
          <w:spacing w:val="-17"/>
          <w:w w:val="100"/>
        </w:rPr>
        <w:t>》</w:t>
      </w:r>
      <w:r>
        <w:rPr>
          <w:w w:val="100"/>
        </w:rPr>
        <w:t>及</w:t>
      </w:r>
      <w:r>
        <w:rPr>
          <w:spacing w:val="-3"/>
          <w:w w:val="100"/>
        </w:rPr>
        <w:t>巨潮</w:t>
      </w:r>
      <w:r>
        <w:rPr>
          <w:w w:val="100"/>
        </w:rPr>
        <w:t>资讯</w:t>
      </w:r>
      <w:r>
        <w:rPr>
          <w:spacing w:val="-3"/>
          <w:w w:val="100"/>
        </w:rPr>
        <w:t>网</w:t>
      </w:r>
      <w:r>
        <w:rPr>
          <w:w w:val="100"/>
        </w:rPr>
        <w:t>上</w:t>
      </w:r>
      <w:r>
        <w:rPr>
          <w:spacing w:val="-17"/>
          <w:w w:val="100"/>
        </w:rPr>
        <w:t>的</w:t>
      </w:r>
      <w:r>
        <w:rPr>
          <w:spacing w:val="-3"/>
          <w:w w:val="100"/>
        </w:rPr>
        <w:t>《</w:t>
      </w:r>
      <w:r>
        <w:rPr>
          <w:w w:val="100"/>
        </w:rPr>
        <w:t>关</w:t>
      </w:r>
      <w:r>
        <w:rPr>
          <w:spacing w:val="-3"/>
          <w:w w:val="100"/>
        </w:rPr>
        <w:t>于</w:t>
      </w:r>
      <w:r>
        <w:rPr>
          <w:w w:val="100"/>
        </w:rPr>
        <w:t>终</w:t>
      </w:r>
      <w:r>
        <w:rPr>
          <w:spacing w:val="-3"/>
          <w:w w:val="100"/>
        </w:rPr>
        <w:t>止回</w:t>
      </w:r>
      <w:r>
        <w:rPr>
          <w:w w:val="100"/>
        </w:rPr>
        <w:t>购公</w:t>
      </w:r>
    </w:p>
    <w:p>
      <w:pPr>
        <w:pStyle w:val="BodyText"/>
        <w:spacing w:line="240" w:lineRule="auto" w:before="107"/>
        <w:ind w:right="819"/>
        <w:jc w:val="left"/>
        <w:rPr>
          <w:rFonts w:ascii="宋体" w:hAnsi="宋体" w:cs="宋体" w:eastAsia="宋体" w:hint="default"/>
        </w:rPr>
      </w:pPr>
      <w:r>
        <w:rPr>
          <w:w w:val="100"/>
        </w:rPr>
        <w:t>司股</w:t>
      </w:r>
      <w:r>
        <w:rPr>
          <w:spacing w:val="-3"/>
          <w:w w:val="100"/>
        </w:rPr>
        <w:t>份</w:t>
      </w:r>
      <w:r>
        <w:rPr>
          <w:w w:val="100"/>
        </w:rPr>
        <w:t>的</w:t>
      </w:r>
      <w:r>
        <w:rPr>
          <w:spacing w:val="-3"/>
          <w:w w:val="100"/>
        </w:rPr>
        <w:t>公</w:t>
      </w:r>
      <w:r>
        <w:rPr>
          <w:w w:val="100"/>
        </w:rPr>
        <w:t>告</w:t>
      </w:r>
      <w:r>
        <w:rPr>
          <w:spacing w:val="-58"/>
          <w:w w:val="100"/>
        </w:rPr>
        <w:t>》</w:t>
      </w:r>
      <w:r>
        <w:rPr>
          <w:rFonts w:ascii="宋体" w:hAnsi="宋体" w:cs="宋体" w:eastAsia="宋体" w:hint="default"/>
          <w:spacing w:val="-3"/>
          <w:w w:val="100"/>
        </w:rPr>
        <w:t>(</w:t>
      </w:r>
      <w:r>
        <w:rPr>
          <w:w w:val="100"/>
        </w:rPr>
        <w:t>公</w:t>
      </w:r>
      <w:r>
        <w:rPr>
          <w:spacing w:val="-3"/>
          <w:w w:val="100"/>
        </w:rPr>
        <w:t>告</w:t>
      </w:r>
      <w:r>
        <w:rPr>
          <w:w w:val="100"/>
        </w:rPr>
        <w:t>编</w:t>
      </w:r>
      <w:r>
        <w:rPr>
          <w:spacing w:val="-3"/>
          <w:w w:val="100"/>
        </w:rPr>
        <w:t>号</w:t>
      </w:r>
      <w:r>
        <w:rPr>
          <w:spacing w:val="-58"/>
          <w:w w:val="100"/>
        </w:rPr>
        <w:t>：</w:t>
      </w:r>
      <w:r>
        <w:rPr>
          <w:rFonts w:ascii="宋体" w:hAnsi="宋体" w:cs="宋体" w:eastAsia="宋体" w:hint="default"/>
          <w:w w:val="100"/>
        </w:rPr>
        <w:t>201</w:t>
      </w:r>
      <w:r>
        <w:rPr>
          <w:rFonts w:ascii="宋体" w:hAnsi="宋体" w:cs="宋体" w:eastAsia="宋体" w:hint="default"/>
          <w:spacing w:val="-2"/>
          <w:w w:val="100"/>
        </w:rPr>
        <w:t>9</w:t>
      </w:r>
      <w:r>
        <w:rPr>
          <w:w w:val="100"/>
        </w:rPr>
        <w:t>—</w:t>
      </w:r>
      <w:r>
        <w:rPr>
          <w:rFonts w:ascii="宋体" w:hAnsi="宋体" w:cs="宋体" w:eastAsia="宋体" w:hint="default"/>
          <w:w w:val="100"/>
        </w:rPr>
        <w:t>11</w:t>
      </w:r>
      <w:r>
        <w:rPr>
          <w:rFonts w:ascii="宋体" w:hAnsi="宋体" w:cs="宋体" w:eastAsia="宋体" w:hint="default"/>
          <w:spacing w:val="-3"/>
          <w:w w:val="100"/>
        </w:rPr>
        <w:t>6</w:t>
      </w:r>
      <w:r>
        <w:rPr>
          <w:rFonts w:ascii="宋体" w:hAnsi="宋体" w:cs="宋体" w:eastAsia="宋体" w:hint="default"/>
          <w:spacing w:val="-1"/>
          <w:w w:val="100"/>
        </w:rPr>
        <w:t>)</w:t>
      </w:r>
      <w:r>
        <w:rPr>
          <w:spacing w:val="-164"/>
          <w:w w:val="100"/>
        </w:rPr>
        <w:t>、</w:t>
      </w:r>
      <w:r>
        <w:rPr>
          <w:w w:val="100"/>
        </w:rPr>
        <w:t>《</w:t>
      </w:r>
      <w:r>
        <w:rPr>
          <w:rFonts w:ascii="宋体" w:hAnsi="宋体" w:cs="宋体" w:eastAsia="宋体" w:hint="default"/>
          <w:spacing w:val="-3"/>
          <w:w w:val="100"/>
        </w:rPr>
        <w:t>2</w:t>
      </w:r>
      <w:r>
        <w:rPr>
          <w:rFonts w:ascii="宋体" w:hAnsi="宋体" w:cs="宋体" w:eastAsia="宋体" w:hint="default"/>
          <w:w w:val="100"/>
        </w:rPr>
        <w:t>020</w:t>
      </w:r>
      <w:r>
        <w:rPr>
          <w:rFonts w:ascii="宋体" w:hAnsi="宋体" w:cs="宋体" w:eastAsia="宋体" w:hint="default"/>
          <w:spacing w:val="-55"/>
        </w:rPr>
        <w:t> </w:t>
      </w:r>
      <w:r>
        <w:rPr>
          <w:w w:val="100"/>
        </w:rPr>
        <w:t>年</w:t>
      </w:r>
      <w:r>
        <w:rPr>
          <w:spacing w:val="-3"/>
          <w:w w:val="100"/>
        </w:rPr>
        <w:t>第</w:t>
      </w:r>
      <w:r>
        <w:rPr>
          <w:w w:val="100"/>
        </w:rPr>
        <w:t>一次</w:t>
      </w:r>
      <w:r>
        <w:rPr>
          <w:spacing w:val="-3"/>
          <w:w w:val="100"/>
        </w:rPr>
        <w:t>临</w:t>
      </w:r>
      <w:r>
        <w:rPr>
          <w:w w:val="100"/>
        </w:rPr>
        <w:t>时</w:t>
      </w:r>
      <w:r>
        <w:rPr>
          <w:spacing w:val="-3"/>
          <w:w w:val="100"/>
        </w:rPr>
        <w:t>股</w:t>
      </w:r>
      <w:r>
        <w:rPr>
          <w:w w:val="100"/>
        </w:rPr>
        <w:t>东</w:t>
      </w:r>
      <w:r>
        <w:rPr>
          <w:spacing w:val="-3"/>
          <w:w w:val="100"/>
        </w:rPr>
        <w:t>大</w:t>
      </w:r>
      <w:r>
        <w:rPr>
          <w:w w:val="100"/>
        </w:rPr>
        <w:t>会</w:t>
      </w:r>
      <w:r>
        <w:rPr>
          <w:spacing w:val="-3"/>
          <w:w w:val="100"/>
        </w:rPr>
        <w:t>决</w:t>
      </w:r>
      <w:r>
        <w:rPr>
          <w:w w:val="100"/>
        </w:rPr>
        <w:t>议</w:t>
      </w:r>
      <w:r>
        <w:rPr>
          <w:spacing w:val="-3"/>
          <w:w w:val="100"/>
        </w:rPr>
        <w:t>公</w:t>
      </w:r>
      <w:r>
        <w:rPr>
          <w:w w:val="100"/>
        </w:rPr>
        <w:t>告</w:t>
      </w:r>
      <w:r>
        <w:rPr>
          <w:spacing w:val="-164"/>
          <w:w w:val="100"/>
        </w:rPr>
        <w:t>》</w:t>
      </w:r>
      <w:r>
        <w:rPr>
          <w:w w:val="100"/>
        </w:rPr>
        <w:t>（</w:t>
      </w:r>
      <w:r>
        <w:rPr>
          <w:spacing w:val="-3"/>
          <w:w w:val="100"/>
        </w:rPr>
        <w:t>公</w:t>
      </w:r>
      <w:r>
        <w:rPr>
          <w:w w:val="100"/>
        </w:rPr>
        <w:t>告</w:t>
      </w:r>
      <w:r>
        <w:rPr>
          <w:spacing w:val="-3"/>
          <w:w w:val="100"/>
        </w:rPr>
        <w:t>编</w:t>
      </w:r>
      <w:r>
        <w:rPr>
          <w:w w:val="100"/>
        </w:rPr>
        <w:t>号</w:t>
      </w:r>
      <w:r>
        <w:rPr>
          <w:spacing w:val="-58"/>
          <w:w w:val="100"/>
        </w:rPr>
        <w:t>：</w:t>
      </w:r>
      <w:r>
        <w:rPr>
          <w:rFonts w:ascii="宋体" w:hAnsi="宋体" w:cs="宋体" w:eastAsia="宋体" w:hint="default"/>
          <w:spacing w:val="-3"/>
          <w:w w:val="100"/>
        </w:rPr>
        <w:t>2</w:t>
      </w:r>
      <w:r>
        <w:rPr>
          <w:rFonts w:ascii="宋体" w:hAnsi="宋体" w:cs="宋体" w:eastAsia="宋体" w:hint="default"/>
          <w:w w:val="100"/>
        </w:rPr>
        <w:t>02</w:t>
      </w:r>
      <w:r>
        <w:rPr>
          <w:rFonts w:ascii="宋体" w:hAnsi="宋体" w:cs="宋体" w:eastAsia="宋体" w:hint="default"/>
          <w:spacing w:val="-3"/>
          <w:w w:val="100"/>
        </w:rPr>
        <w:t>0</w:t>
      </w:r>
      <w:r>
        <w:rPr>
          <w:w w:val="100"/>
        </w:rPr>
        <w:t>—</w:t>
      </w:r>
      <w:r>
        <w:rPr>
          <w:rFonts w:ascii="宋体" w:hAnsi="宋体" w:cs="宋体" w:eastAsia="宋体" w:hint="default"/>
          <w:w w:val="100"/>
        </w:rPr>
        <w:t>03</w:t>
      </w:r>
      <w:r>
        <w:rPr>
          <w:rFonts w:ascii="宋体" w:hAnsi="宋体" w:cs="宋体" w:eastAsia="宋体" w:hint="default"/>
          <w:spacing w:val="-5"/>
          <w:w w:val="100"/>
        </w:rPr>
        <w:t>)</w:t>
      </w:r>
      <w:r>
        <w:rPr>
          <w:spacing w:val="-3"/>
          <w:w w:val="100"/>
        </w:rPr>
        <w:t>。</w:t>
      </w:r>
      <w:r>
        <w:rPr>
          <w:rFonts w:ascii="宋体" w:hAnsi="宋体" w:cs="宋体" w:eastAsia="宋体" w:hint="default"/>
          <w:w w:val="100"/>
        </w:rPr>
        <w:t> </w:t>
      </w:r>
    </w:p>
    <w:p>
      <w:pPr>
        <w:pStyle w:val="BodyText"/>
        <w:spacing w:line="240" w:lineRule="auto" w:before="73"/>
        <w:ind w:left="573" w:right="1133"/>
        <w:jc w:val="left"/>
      </w:pPr>
      <w:r>
        <w:rPr/>
        <w:t>公司自</w:t>
      </w:r>
      <w:r>
        <w:rPr>
          <w:spacing w:val="-54"/>
        </w:rPr>
        <w:t> </w:t>
      </w:r>
      <w:r>
        <w:rPr>
          <w:rFonts w:ascii="宋体" w:hAnsi="宋体" w:cs="宋体" w:eastAsia="宋体" w:hint="default"/>
        </w:rPr>
        <w:t>2019</w:t>
      </w:r>
      <w:r>
        <w:rPr>
          <w:rFonts w:ascii="宋体" w:hAnsi="宋体" w:cs="宋体" w:eastAsia="宋体" w:hint="default"/>
          <w:spacing w:val="-54"/>
        </w:rPr>
        <w:t> </w:t>
      </w:r>
      <w:r>
        <w:rPr/>
        <w:t>年</w:t>
      </w:r>
      <w:r>
        <w:rPr>
          <w:spacing w:val="-56"/>
        </w:rPr>
        <w:t> </w:t>
      </w:r>
      <w:r>
        <w:rPr>
          <w:rFonts w:ascii="宋体" w:hAnsi="宋体" w:cs="宋体" w:eastAsia="宋体" w:hint="default"/>
        </w:rPr>
        <w:t>3</w:t>
      </w:r>
      <w:r>
        <w:rPr>
          <w:rFonts w:ascii="宋体" w:hAnsi="宋体" w:cs="宋体" w:eastAsia="宋体" w:hint="default"/>
          <w:spacing w:val="-54"/>
        </w:rPr>
        <w:t> </w:t>
      </w:r>
      <w:r>
        <w:rPr/>
        <w:t>月</w:t>
      </w:r>
      <w:r>
        <w:rPr>
          <w:spacing w:val="-56"/>
        </w:rPr>
        <w:t> </w:t>
      </w:r>
      <w:r>
        <w:rPr>
          <w:rFonts w:ascii="宋体" w:hAnsi="宋体" w:cs="宋体" w:eastAsia="宋体" w:hint="default"/>
        </w:rPr>
        <w:t>8</w:t>
      </w:r>
      <w:r>
        <w:rPr>
          <w:rFonts w:ascii="宋体" w:hAnsi="宋体" w:cs="宋体" w:eastAsia="宋体" w:hint="default"/>
          <w:spacing w:val="-54"/>
        </w:rPr>
        <w:t> </w:t>
      </w:r>
      <w:r>
        <w:rPr/>
        <w:t>日公司首次以集中竞价方式实施股份回购，</w:t>
      </w:r>
      <w:r>
        <w:rPr>
          <w:rFonts w:ascii="宋体" w:hAnsi="宋体" w:cs="宋体" w:eastAsia="宋体" w:hint="default"/>
        </w:rPr>
        <w:t>2019</w:t>
      </w:r>
      <w:r>
        <w:rPr>
          <w:rFonts w:ascii="宋体" w:hAnsi="宋体" w:cs="宋体" w:eastAsia="宋体" w:hint="default"/>
          <w:spacing w:val="-56"/>
        </w:rPr>
        <w:t> </w:t>
      </w:r>
      <w:r>
        <w:rPr/>
        <w:t>年公司通过股份回购专用证券</w:t>
      </w:r>
    </w:p>
    <w:p>
      <w:pPr>
        <w:pStyle w:val="BodyText"/>
        <w:spacing w:line="240" w:lineRule="auto" w:before="37"/>
        <w:ind w:right="1133"/>
        <w:jc w:val="left"/>
        <w:rPr>
          <w:rFonts w:ascii="宋体" w:hAnsi="宋体" w:cs="宋体" w:eastAsia="宋体" w:hint="default"/>
        </w:rPr>
      </w:pPr>
      <w:r>
        <w:rPr/>
        <w:t>账户以集中竞价交易方式累计回购股份</w:t>
      </w:r>
      <w:r>
        <w:rPr>
          <w:spacing w:val="-54"/>
        </w:rPr>
        <w:t> </w:t>
      </w:r>
      <w:r>
        <w:rPr>
          <w:rFonts w:ascii="宋体" w:hAnsi="宋体" w:cs="宋体" w:eastAsia="宋体" w:hint="default"/>
        </w:rPr>
        <w:t>1,128,800</w:t>
      </w:r>
      <w:r>
        <w:rPr>
          <w:rFonts w:ascii="宋体" w:hAnsi="宋体" w:cs="宋体" w:eastAsia="宋体" w:hint="default"/>
          <w:spacing w:val="-57"/>
        </w:rPr>
        <w:t> </w:t>
      </w:r>
      <w:r>
        <w:rPr/>
        <w:t>股，占公司总股本的</w:t>
      </w:r>
      <w:r>
        <w:rPr>
          <w:spacing w:val="-55"/>
        </w:rPr>
        <w:t> </w:t>
      </w:r>
      <w:r>
        <w:rPr>
          <w:rFonts w:ascii="宋体" w:hAnsi="宋体" w:cs="宋体" w:eastAsia="宋体" w:hint="default"/>
        </w:rPr>
        <w:t>0.17%</w:t>
      </w:r>
      <w:r>
        <w:rPr/>
        <w:t>，最高成交价为</w:t>
      </w:r>
      <w:r>
        <w:rPr>
          <w:spacing w:val="-54"/>
        </w:rPr>
        <w:t> </w:t>
      </w:r>
      <w:r>
        <w:rPr>
          <w:rFonts w:ascii="宋体" w:hAnsi="宋体" w:cs="宋体" w:eastAsia="宋体" w:hint="default"/>
        </w:rPr>
        <w:t>13.12</w:t>
      </w:r>
      <w:r>
        <w:rPr>
          <w:rFonts w:ascii="宋体" w:hAnsi="宋体" w:cs="宋体" w:eastAsia="宋体" w:hint="default"/>
          <w:spacing w:val="-57"/>
        </w:rPr>
        <w:t> </w:t>
      </w:r>
      <w:r>
        <w:rPr/>
        <w:t>元</w:t>
      </w:r>
      <w:r>
        <w:rPr>
          <w:rFonts w:ascii="宋体" w:hAnsi="宋体" w:cs="宋体" w:eastAsia="宋体" w:hint="default"/>
        </w:rPr>
        <w:t>/</w:t>
      </w:r>
    </w:p>
    <w:p>
      <w:pPr>
        <w:pStyle w:val="BodyText"/>
        <w:spacing w:line="374" w:lineRule="auto" w:before="37"/>
        <w:ind w:right="1133"/>
        <w:jc w:val="left"/>
        <w:rPr>
          <w:rFonts w:ascii="宋体" w:hAnsi="宋体" w:cs="宋体" w:eastAsia="宋体" w:hint="default"/>
        </w:rPr>
      </w:pPr>
      <w:r>
        <w:rPr>
          <w:spacing w:val="-2"/>
          <w:w w:val="100"/>
        </w:rPr>
        <w:t>股，最低成交价为</w:t>
      </w:r>
      <w:r>
        <w:rPr>
          <w:spacing w:val="-49"/>
          <w:w w:val="100"/>
        </w:rPr>
        <w:t> </w:t>
      </w:r>
      <w:r>
        <w:rPr>
          <w:rFonts w:ascii="宋体" w:hAnsi="宋体" w:cs="宋体" w:eastAsia="宋体" w:hint="default"/>
          <w:spacing w:val="-1"/>
          <w:w w:val="100"/>
        </w:rPr>
        <w:t>12.36</w:t>
      </w:r>
      <w:r>
        <w:rPr>
          <w:rFonts w:ascii="宋体" w:hAnsi="宋体" w:cs="宋体" w:eastAsia="宋体" w:hint="default"/>
          <w:spacing w:val="-52"/>
          <w:w w:val="100"/>
        </w:rPr>
        <w:t> </w:t>
      </w:r>
      <w:r>
        <w:rPr>
          <w:spacing w:val="-2"/>
          <w:w w:val="100"/>
        </w:rPr>
        <w:t>元</w:t>
      </w:r>
      <w:r>
        <w:rPr>
          <w:rFonts w:ascii="宋体" w:hAnsi="宋体" w:cs="宋体" w:eastAsia="宋体" w:hint="default"/>
          <w:spacing w:val="-2"/>
          <w:w w:val="100"/>
        </w:rPr>
        <w:t>/</w:t>
      </w:r>
      <w:r>
        <w:rPr>
          <w:spacing w:val="-2"/>
          <w:w w:val="100"/>
        </w:rPr>
        <w:t>股，支付的总金额为</w:t>
      </w:r>
      <w:r>
        <w:rPr>
          <w:spacing w:val="-52"/>
          <w:w w:val="100"/>
        </w:rPr>
        <w:t> </w:t>
      </w:r>
      <w:r>
        <w:rPr>
          <w:rFonts w:ascii="宋体" w:hAnsi="宋体" w:cs="宋体" w:eastAsia="宋体" w:hint="default"/>
          <w:spacing w:val="-1"/>
          <w:w w:val="100"/>
        </w:rPr>
        <w:t>14,436,163.60</w:t>
      </w:r>
      <w:r>
        <w:rPr>
          <w:rFonts w:ascii="宋体" w:hAnsi="宋体" w:cs="宋体" w:eastAsia="宋体" w:hint="default"/>
          <w:spacing w:val="-52"/>
          <w:w w:val="100"/>
        </w:rPr>
        <w:t> </w:t>
      </w:r>
      <w:r>
        <w:rPr>
          <w:spacing w:val="-14"/>
          <w:w w:val="100"/>
        </w:rPr>
        <w:t>元（含交易费用）。</w:t>
      </w:r>
      <w:r>
        <w:rPr>
          <w:spacing w:val="-95"/>
          <w:w w:val="100"/>
        </w:rPr>
        <w:t> </w:t>
      </w:r>
      <w:r>
        <w:rPr>
          <w:rFonts w:ascii="宋体" w:hAnsi="宋体" w:cs="宋体" w:eastAsia="宋体" w:hint="default"/>
          <w:spacing w:val="-95"/>
          <w:w w:val="100"/>
        </w:rPr>
      </w:r>
      <w:r>
        <w:rPr/>
        <w:t>采用集中竞价方式减持回购股份的实施进展情况</w:t>
      </w:r>
      <w:r>
        <w:rPr>
          <w:rFonts w:ascii="宋体" w:hAnsi="宋体" w:cs="宋体" w:eastAsia="宋体" w:hint="default"/>
        </w:rPr>
        <w:t> </w:t>
      </w:r>
    </w:p>
    <w:p>
      <w:pPr>
        <w:pStyle w:val="BodyText"/>
        <w:spacing w:line="235" w:lineRule="exact"/>
        <w:ind w:right="1133"/>
        <w:jc w:val="left"/>
        <w:rPr>
          <w:rFonts w:ascii="宋体" w:hAnsi="宋体" w:cs="宋体" w:eastAsia="宋体" w:hint="default"/>
        </w:rPr>
      </w:pPr>
      <w:r>
        <w:rPr/>
        <w:t>□ 适用 </w:t>
      </w:r>
      <w:r>
        <w:rPr>
          <w:rFonts w:ascii="宋体" w:hAnsi="宋体" w:cs="宋体" w:eastAsia="宋体" w:hint="default"/>
        </w:rPr>
      </w:r>
      <w:r>
        <w:rPr>
          <w:spacing w:val="-3"/>
        </w:rPr>
        <w:t>√</w:t>
      </w:r>
      <w:r>
        <w:rPr/>
        <w:t> 不适用</w:t>
      </w:r>
      <w:r>
        <w:rPr>
          <w:rFonts w:ascii="宋体" w:hAnsi="宋体" w:cs="宋体" w:eastAsia="宋体" w:hint="default"/>
        </w:rPr>
        <w:t> </w:t>
      </w:r>
    </w:p>
    <w:p>
      <w:pPr>
        <w:spacing w:after="0" w:line="235" w:lineRule="exact"/>
        <w:jc w:val="left"/>
        <w:rPr>
          <w:rFonts w:ascii="宋体" w:hAnsi="宋体" w:cs="宋体" w:eastAsia="宋体" w:hint="default"/>
        </w:rPr>
        <w:sectPr>
          <w:pgSz w:w="11910" w:h="16840"/>
          <w:pgMar w:header="880" w:footer="975" w:top="1100" w:bottom="1160" w:left="980" w:right="0"/>
        </w:sectPr>
      </w:pPr>
    </w:p>
    <w:p>
      <w:pPr>
        <w:spacing w:line="240" w:lineRule="auto" w:before="11"/>
        <w:rPr>
          <w:rFonts w:ascii="宋体" w:hAnsi="宋体" w:cs="宋体" w:eastAsia="宋体" w:hint="default"/>
          <w:sz w:val="20"/>
          <w:szCs w:val="20"/>
        </w:rPr>
      </w:pPr>
    </w:p>
    <w:p>
      <w:pPr>
        <w:pStyle w:val="BodyText"/>
        <w:spacing w:line="273" w:lineRule="auto" w:before="36"/>
        <w:ind w:left="212" w:right="0"/>
        <w:jc w:val="left"/>
        <w:rPr>
          <w:rFonts w:ascii="宋体" w:hAnsi="宋体" w:cs="宋体" w:eastAsia="宋体" w:hint="default"/>
        </w:rPr>
      </w:pPr>
      <w:r>
        <w:rPr>
          <w:spacing w:val="-2"/>
        </w:rPr>
        <w:t>股份变动对最近一年和最近一期基本每股收益和稀释每股收益、归属于公司普通股股东的每股净资产等财</w:t>
      </w:r>
      <w:r>
        <w:rPr>
          <w:spacing w:val="-43"/>
        </w:rPr>
        <w:t> </w:t>
      </w:r>
      <w:r>
        <w:rPr>
          <w:spacing w:val="-43"/>
        </w:rPr>
      </w:r>
      <w:r>
        <w:rPr/>
        <w:t>务指标的影响</w:t>
      </w:r>
      <w:r>
        <w:rPr>
          <w:rFonts w:ascii="宋体" w:hAnsi="宋体" w:cs="宋体" w:eastAsia="宋体" w:hint="default"/>
        </w:rPr>
        <w:t> </w:t>
      </w:r>
    </w:p>
    <w:p>
      <w:pPr>
        <w:pStyle w:val="BodyText"/>
        <w:spacing w:line="240" w:lineRule="auto" w:before="48"/>
        <w:ind w:left="212" w:right="0"/>
        <w:jc w:val="left"/>
        <w:rPr>
          <w:rFonts w:ascii="宋体" w:hAnsi="宋体" w:cs="宋体" w:eastAsia="宋体" w:hint="default"/>
        </w:rPr>
      </w:pPr>
      <w:r>
        <w:rPr/>
        <w:t>√适用 </w:t>
      </w:r>
      <w:r>
        <w:rPr>
          <w:spacing w:val="9"/>
        </w:rPr>
        <w:t> </w:t>
      </w:r>
      <w:r>
        <w:rPr>
          <w:rFonts w:ascii="宋体" w:hAnsi="宋体" w:cs="宋体" w:eastAsia="宋体" w:hint="default"/>
          <w:spacing w:val="9"/>
        </w:rPr>
      </w:r>
      <w:r>
        <w:rPr>
          <w:spacing w:val="-3"/>
        </w:rPr>
        <w:t>□不适用</w:t>
      </w:r>
      <w:r>
        <w:rPr>
          <w:rFonts w:ascii="宋体" w:hAnsi="宋体" w:cs="宋体" w:eastAsia="宋体" w:hint="default"/>
        </w:rPr>
        <w:t> </w:t>
      </w:r>
    </w:p>
    <w:p>
      <w:pPr>
        <w:spacing w:line="240" w:lineRule="auto" w:before="10"/>
        <w:rPr>
          <w:rFonts w:ascii="宋体" w:hAnsi="宋体" w:cs="宋体" w:eastAsia="宋体" w:hint="default"/>
          <w:sz w:val="6"/>
          <w:szCs w:val="6"/>
        </w:rPr>
      </w:pPr>
    </w:p>
    <w:tbl>
      <w:tblPr>
        <w:tblW w:w="0" w:type="auto"/>
        <w:jc w:val="left"/>
        <w:tblInd w:w="100" w:type="dxa"/>
        <w:tblLayout w:type="fixed"/>
        <w:tblCellMar>
          <w:top w:w="0" w:type="dxa"/>
          <w:left w:w="0" w:type="dxa"/>
          <w:bottom w:w="0" w:type="dxa"/>
          <w:right w:w="0" w:type="dxa"/>
        </w:tblCellMar>
        <w:tblLook w:val="01E0"/>
      </w:tblPr>
      <w:tblGrid>
        <w:gridCol w:w="4362"/>
        <w:gridCol w:w="1419"/>
        <w:gridCol w:w="1416"/>
        <w:gridCol w:w="1419"/>
        <w:gridCol w:w="1241"/>
      </w:tblGrid>
      <w:tr>
        <w:trPr>
          <w:trHeight w:val="403" w:hRule="exact"/>
        </w:trPr>
        <w:tc>
          <w:tcPr>
            <w:tcW w:w="4362"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before="26"/>
              <w:ind w:left="103" w:right="0"/>
              <w:jc w:val="center"/>
              <w:rPr>
                <w:rFonts w:ascii="宋体" w:hAnsi="宋体" w:cs="宋体" w:eastAsia="宋体" w:hint="default"/>
                <w:sz w:val="21"/>
                <w:szCs w:val="21"/>
              </w:rPr>
            </w:pPr>
            <w:r>
              <w:rPr>
                <w:rFonts w:ascii="宋体" w:hAnsi="宋体" w:cs="宋体" w:eastAsia="宋体" w:hint="default"/>
                <w:w w:val="100"/>
                <w:sz w:val="21"/>
                <w:szCs w:val="21"/>
              </w:rPr>
              <w:t>    </w:t>
            </w:r>
            <w:r>
              <w:rPr>
                <w:rFonts w:ascii="宋体" w:hAnsi="宋体" w:cs="宋体" w:eastAsia="宋体" w:hint="default"/>
                <w:spacing w:val="-3"/>
                <w:sz w:val="21"/>
                <w:szCs w:val="21"/>
              </w:rPr>
              <w:t>指标</w:t>
            </w:r>
            <w:r>
              <w:rPr>
                <w:rFonts w:ascii="宋体" w:hAnsi="宋体" w:cs="宋体" w:eastAsia="宋体" w:hint="default"/>
                <w:sz w:val="21"/>
                <w:szCs w:val="21"/>
              </w:rPr>
              <w:t> </w:t>
            </w:r>
          </w:p>
        </w:tc>
        <w:tc>
          <w:tcPr>
            <w:tcW w:w="2835"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6"/>
              <w:ind w:left="108" w:right="0"/>
              <w:jc w:val="center"/>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pacing w:val="-52"/>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c>
          <w:tcPr>
            <w:tcW w:w="2660"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6"/>
              <w:ind w:left="986" w:right="0"/>
              <w:jc w:val="left"/>
              <w:rPr>
                <w:rFonts w:ascii="宋体" w:hAnsi="宋体" w:cs="宋体" w:eastAsia="宋体" w:hint="default"/>
                <w:sz w:val="21"/>
                <w:szCs w:val="21"/>
              </w:rPr>
            </w:pPr>
            <w:r>
              <w:rPr>
                <w:rFonts w:ascii="宋体" w:hAnsi="宋体" w:cs="宋体" w:eastAsia="宋体" w:hint="default"/>
                <w:sz w:val="21"/>
                <w:szCs w:val="21"/>
              </w:rPr>
              <w:t>2018</w:t>
            </w:r>
            <w:r>
              <w:rPr>
                <w:rFonts w:ascii="宋体" w:hAnsi="宋体" w:cs="宋体" w:eastAsia="宋体" w:hint="default"/>
                <w:spacing w:val="-51"/>
                <w:sz w:val="21"/>
                <w:szCs w:val="21"/>
              </w:rPr>
              <w:t> </w:t>
            </w:r>
            <w:r>
              <w:rPr>
                <w:rFonts w:ascii="宋体" w:hAnsi="宋体" w:cs="宋体" w:eastAsia="宋体" w:hint="default"/>
                <w:spacing w:val="-3"/>
                <w:sz w:val="21"/>
                <w:szCs w:val="21"/>
              </w:rPr>
              <w:t>年</w:t>
            </w:r>
            <w:r>
              <w:rPr>
                <w:rFonts w:ascii="宋体" w:hAnsi="宋体" w:cs="宋体" w:eastAsia="宋体" w:hint="default"/>
                <w:sz w:val="21"/>
                <w:szCs w:val="21"/>
              </w:rPr>
              <w:t> </w:t>
            </w:r>
          </w:p>
        </w:tc>
      </w:tr>
      <w:tr>
        <w:trPr>
          <w:trHeight w:val="754" w:hRule="exact"/>
        </w:trPr>
        <w:tc>
          <w:tcPr>
            <w:tcW w:w="4362" w:type="dxa"/>
            <w:vMerge/>
            <w:tcBorders>
              <w:left w:val="single" w:sz="4" w:space="0" w:color="000000"/>
              <w:bottom w:val="single" w:sz="4" w:space="0" w:color="000000"/>
              <w:right w:val="single" w:sz="4" w:space="0" w:color="000000"/>
            </w:tcBorders>
            <w:shd w:val="clear" w:color="auto" w:fill="D9D9D9"/>
          </w:tcPr>
          <w:p>
            <w:pPr/>
          </w:p>
        </w:tc>
        <w:tc>
          <w:tcPr>
            <w:tcW w:w="14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7" w:lineRule="auto" w:before="26"/>
              <w:ind w:left="494" w:right="177" w:hanging="209"/>
              <w:jc w:val="left"/>
              <w:rPr>
                <w:rFonts w:ascii="宋体" w:hAnsi="宋体" w:cs="宋体" w:eastAsia="宋体" w:hint="default"/>
                <w:sz w:val="21"/>
                <w:szCs w:val="21"/>
              </w:rPr>
            </w:pPr>
            <w:r>
              <w:rPr>
                <w:rFonts w:ascii="宋体" w:hAnsi="宋体" w:cs="宋体" w:eastAsia="宋体" w:hint="default"/>
                <w:sz w:val="21"/>
                <w:szCs w:val="21"/>
              </w:rPr>
              <w:t>按新股本</w:t>
            </w:r>
            <w:r>
              <w:rPr>
                <w:rFonts w:ascii="宋体" w:hAnsi="宋体" w:cs="宋体" w:eastAsia="宋体" w:hint="default"/>
                <w:w w:val="100"/>
                <w:sz w:val="21"/>
                <w:szCs w:val="21"/>
              </w:rPr>
              <w:t> </w:t>
            </w:r>
            <w:r>
              <w:rPr>
                <w:rFonts w:ascii="宋体" w:hAnsi="宋体" w:cs="宋体" w:eastAsia="宋体" w:hint="default"/>
                <w:sz w:val="21"/>
                <w:szCs w:val="21"/>
              </w:rPr>
              <w:t>计算</w:t>
            </w:r>
            <w:r>
              <w:rPr>
                <w:rFonts w:ascii="宋体" w:hAnsi="宋体" w:cs="宋体" w:eastAsia="宋体" w:hint="default"/>
                <w:sz w:val="21"/>
                <w:szCs w:val="21"/>
              </w:rPr>
              <w:t> </w:t>
            </w:r>
          </w:p>
        </w:tc>
        <w:tc>
          <w:tcPr>
            <w:tcW w:w="14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7" w:lineRule="auto" w:before="26"/>
              <w:ind w:left="494" w:right="175" w:hanging="212"/>
              <w:jc w:val="left"/>
              <w:rPr>
                <w:rFonts w:ascii="宋体" w:hAnsi="宋体" w:cs="宋体" w:eastAsia="宋体" w:hint="default"/>
                <w:sz w:val="21"/>
                <w:szCs w:val="21"/>
              </w:rPr>
            </w:pPr>
            <w:r>
              <w:rPr>
                <w:rFonts w:ascii="宋体" w:hAnsi="宋体" w:cs="宋体" w:eastAsia="宋体" w:hint="default"/>
                <w:sz w:val="21"/>
                <w:szCs w:val="21"/>
              </w:rPr>
              <w:t>按原股本</w:t>
            </w:r>
            <w:r>
              <w:rPr>
                <w:rFonts w:ascii="宋体" w:hAnsi="宋体" w:cs="宋体" w:eastAsia="宋体" w:hint="default"/>
                <w:w w:val="100"/>
                <w:sz w:val="21"/>
                <w:szCs w:val="21"/>
              </w:rPr>
              <w:t> </w:t>
            </w:r>
            <w:r>
              <w:rPr>
                <w:rFonts w:ascii="宋体" w:hAnsi="宋体" w:cs="宋体" w:eastAsia="宋体" w:hint="default"/>
                <w:sz w:val="21"/>
                <w:szCs w:val="21"/>
              </w:rPr>
              <w:t>计算</w:t>
            </w:r>
            <w:r>
              <w:rPr>
                <w:rFonts w:ascii="宋体" w:hAnsi="宋体" w:cs="宋体" w:eastAsia="宋体" w:hint="default"/>
                <w:sz w:val="21"/>
                <w:szCs w:val="21"/>
              </w:rPr>
              <w:t> </w:t>
            </w:r>
          </w:p>
        </w:tc>
        <w:tc>
          <w:tcPr>
            <w:tcW w:w="1419"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07" w:lineRule="auto" w:before="26"/>
              <w:ind w:left="494" w:right="176" w:hanging="209"/>
              <w:jc w:val="left"/>
              <w:rPr>
                <w:rFonts w:ascii="宋体" w:hAnsi="宋体" w:cs="宋体" w:eastAsia="宋体" w:hint="default"/>
                <w:sz w:val="21"/>
                <w:szCs w:val="21"/>
              </w:rPr>
            </w:pPr>
            <w:r>
              <w:rPr>
                <w:rFonts w:ascii="宋体" w:hAnsi="宋体" w:cs="宋体" w:eastAsia="宋体" w:hint="default"/>
                <w:sz w:val="21"/>
                <w:szCs w:val="21"/>
              </w:rPr>
              <w:t>按新股本</w:t>
            </w:r>
            <w:r>
              <w:rPr>
                <w:rFonts w:ascii="宋体" w:hAnsi="宋体" w:cs="宋体" w:eastAsia="宋体" w:hint="default"/>
                <w:w w:val="100"/>
                <w:sz w:val="21"/>
                <w:szCs w:val="21"/>
              </w:rPr>
              <w:t> </w:t>
            </w:r>
            <w:r>
              <w:rPr>
                <w:rFonts w:ascii="宋体" w:hAnsi="宋体" w:cs="宋体" w:eastAsia="宋体" w:hint="default"/>
                <w:sz w:val="21"/>
                <w:szCs w:val="21"/>
              </w:rPr>
              <w:t>计算</w:t>
            </w:r>
            <w:r>
              <w:rPr>
                <w:rFonts w:ascii="宋体" w:hAnsi="宋体" w:cs="宋体" w:eastAsia="宋体" w:hint="default"/>
                <w:sz w:val="21"/>
                <w:szCs w:val="21"/>
              </w:rPr>
              <w:t> </w:t>
            </w:r>
          </w:p>
        </w:tc>
        <w:tc>
          <w:tcPr>
            <w:tcW w:w="124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73" w:lineRule="auto" w:before="28"/>
              <w:ind w:left="405" w:right="194" w:hanging="212"/>
              <w:jc w:val="left"/>
              <w:rPr>
                <w:rFonts w:ascii="宋体" w:hAnsi="宋体" w:cs="宋体" w:eastAsia="宋体" w:hint="default"/>
                <w:sz w:val="21"/>
                <w:szCs w:val="21"/>
              </w:rPr>
            </w:pPr>
            <w:r>
              <w:rPr>
                <w:rFonts w:ascii="宋体" w:hAnsi="宋体" w:cs="宋体" w:eastAsia="宋体" w:hint="default"/>
                <w:sz w:val="21"/>
                <w:szCs w:val="21"/>
              </w:rPr>
              <w:t>按原股本</w:t>
            </w:r>
            <w:r>
              <w:rPr>
                <w:rFonts w:ascii="宋体" w:hAnsi="宋体" w:cs="宋体" w:eastAsia="宋体" w:hint="default"/>
                <w:spacing w:val="-3"/>
                <w:w w:val="100"/>
                <w:sz w:val="21"/>
                <w:szCs w:val="21"/>
              </w:rPr>
              <w:t> </w:t>
            </w:r>
            <w:r>
              <w:rPr>
                <w:rFonts w:ascii="宋体" w:hAnsi="宋体" w:cs="宋体" w:eastAsia="宋体" w:hint="default"/>
                <w:sz w:val="21"/>
                <w:szCs w:val="21"/>
              </w:rPr>
              <w:t>计算</w:t>
            </w:r>
            <w:r>
              <w:rPr>
                <w:rFonts w:ascii="宋体" w:hAnsi="宋体" w:cs="宋体" w:eastAsia="宋体" w:hint="default"/>
                <w:sz w:val="21"/>
                <w:szCs w:val="21"/>
              </w:rPr>
              <w:t> </w:t>
            </w:r>
          </w:p>
        </w:tc>
      </w:tr>
      <w:tr>
        <w:trPr>
          <w:trHeight w:val="401" w:hRule="exact"/>
        </w:trPr>
        <w:tc>
          <w:tcPr>
            <w:tcW w:w="4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03" w:right="0"/>
              <w:jc w:val="left"/>
              <w:rPr>
                <w:rFonts w:ascii="宋体" w:hAnsi="宋体" w:cs="宋体" w:eastAsia="宋体" w:hint="default"/>
                <w:sz w:val="21"/>
                <w:szCs w:val="21"/>
              </w:rPr>
            </w:pPr>
            <w:r>
              <w:rPr>
                <w:rFonts w:ascii="宋体" w:hAnsi="宋体" w:cs="宋体" w:eastAsia="宋体" w:hint="default"/>
                <w:sz w:val="21"/>
                <w:szCs w:val="21"/>
              </w:rPr>
              <w:t>基本每股收益（元</w:t>
            </w:r>
            <w:r>
              <w:rPr>
                <w:rFonts w:ascii="宋体" w:hAnsi="宋体" w:cs="宋体" w:eastAsia="宋体" w:hint="default"/>
                <w:sz w:val="21"/>
                <w:szCs w:val="21"/>
              </w:rPr>
              <w:t>/</w:t>
            </w:r>
            <w:r>
              <w:rPr>
                <w:rFonts w:ascii="宋体" w:hAnsi="宋体" w:cs="宋体" w:eastAsia="宋体" w:hint="default"/>
                <w:sz w:val="21"/>
                <w:szCs w:val="21"/>
              </w:rPr>
              <w:t>股）</w:t>
            </w:r>
            <w:r>
              <w:rPr>
                <w:rFonts w:ascii="宋体" w:hAnsi="宋体" w:cs="宋体" w:eastAsia="宋体" w:hint="default"/>
                <w:sz w:val="21"/>
                <w:szCs w:val="21"/>
              </w:rPr>
              <w:t> </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
              <w:jc w:val="right"/>
              <w:rPr>
                <w:rFonts w:ascii="宋体" w:hAnsi="宋体" w:cs="宋体" w:eastAsia="宋体" w:hint="default"/>
                <w:sz w:val="18"/>
                <w:szCs w:val="18"/>
              </w:rPr>
            </w:pPr>
            <w:r>
              <w:rPr>
                <w:rFonts w:ascii="宋体"/>
                <w:sz w:val="18"/>
              </w:rPr>
              <w:t>-1.8558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
              <w:jc w:val="right"/>
              <w:rPr>
                <w:rFonts w:ascii="宋体" w:hAnsi="宋体" w:cs="宋体" w:eastAsia="宋体" w:hint="default"/>
                <w:sz w:val="18"/>
                <w:szCs w:val="18"/>
              </w:rPr>
            </w:pPr>
            <w:r>
              <w:rPr>
                <w:rFonts w:ascii="宋体"/>
                <w:spacing w:val="-1"/>
                <w:sz w:val="18"/>
              </w:rPr>
              <w:t>-1.8534</w:t>
            </w:r>
            <w:r>
              <w:rPr>
                <w:rFonts w:ascii="宋体"/>
                <w:sz w:val="18"/>
              </w:rPr>
              <w:t> </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
              <w:jc w:val="right"/>
              <w:rPr>
                <w:rFonts w:ascii="宋体" w:hAnsi="宋体" w:cs="宋体" w:eastAsia="宋体" w:hint="default"/>
                <w:sz w:val="18"/>
                <w:szCs w:val="18"/>
              </w:rPr>
            </w:pPr>
            <w:r>
              <w:rPr>
                <w:rFonts w:ascii="宋体"/>
                <w:spacing w:val="-1"/>
                <w:sz w:val="18"/>
              </w:rPr>
              <w:t>0.3991</w:t>
            </w:r>
            <w:r>
              <w:rPr>
                <w:rFonts w:ascii="宋体"/>
                <w:sz w:val="18"/>
              </w:rPr>
              <w:t> </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
              <w:jc w:val="right"/>
              <w:rPr>
                <w:rFonts w:ascii="宋体" w:hAnsi="宋体" w:cs="宋体" w:eastAsia="宋体" w:hint="default"/>
                <w:sz w:val="18"/>
                <w:szCs w:val="18"/>
              </w:rPr>
            </w:pPr>
            <w:r>
              <w:rPr>
                <w:rFonts w:ascii="宋体"/>
                <w:spacing w:val="1"/>
                <w:sz w:val="18"/>
              </w:rPr>
              <w:t> </w:t>
            </w:r>
            <w:r>
              <w:rPr>
                <w:rFonts w:ascii="宋体"/>
                <w:spacing w:val="-1"/>
                <w:sz w:val="18"/>
              </w:rPr>
              <w:t>0.4067</w:t>
            </w:r>
            <w:r>
              <w:rPr>
                <w:rFonts w:ascii="宋体"/>
                <w:sz w:val="18"/>
              </w:rPr>
              <w:t> </w:t>
            </w:r>
          </w:p>
        </w:tc>
      </w:tr>
      <w:tr>
        <w:trPr>
          <w:trHeight w:val="403" w:hRule="exact"/>
        </w:trPr>
        <w:tc>
          <w:tcPr>
            <w:tcW w:w="4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03" w:right="0"/>
              <w:jc w:val="left"/>
              <w:rPr>
                <w:rFonts w:ascii="宋体" w:hAnsi="宋体" w:cs="宋体" w:eastAsia="宋体" w:hint="default"/>
                <w:sz w:val="21"/>
                <w:szCs w:val="21"/>
              </w:rPr>
            </w:pPr>
            <w:r>
              <w:rPr>
                <w:rFonts w:ascii="宋体" w:hAnsi="宋体" w:cs="宋体" w:eastAsia="宋体" w:hint="default"/>
                <w:sz w:val="21"/>
                <w:szCs w:val="21"/>
              </w:rPr>
              <w:t>稀释每股收益（元</w:t>
            </w:r>
            <w:r>
              <w:rPr>
                <w:rFonts w:ascii="宋体" w:hAnsi="宋体" w:cs="宋体" w:eastAsia="宋体" w:hint="default"/>
                <w:sz w:val="21"/>
                <w:szCs w:val="21"/>
              </w:rPr>
              <w:t>/</w:t>
            </w:r>
            <w:r>
              <w:rPr>
                <w:rFonts w:ascii="宋体" w:hAnsi="宋体" w:cs="宋体" w:eastAsia="宋体" w:hint="default"/>
                <w:sz w:val="21"/>
                <w:szCs w:val="21"/>
              </w:rPr>
              <w:t>股）</w:t>
            </w:r>
            <w:r>
              <w:rPr>
                <w:rFonts w:ascii="宋体" w:hAnsi="宋体" w:cs="宋体" w:eastAsia="宋体" w:hint="default"/>
                <w:sz w:val="21"/>
                <w:szCs w:val="21"/>
              </w:rPr>
              <w:t> </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1"/>
              <w:jc w:val="right"/>
              <w:rPr>
                <w:rFonts w:ascii="宋体" w:hAnsi="宋体" w:cs="宋体" w:eastAsia="宋体" w:hint="default"/>
                <w:sz w:val="18"/>
                <w:szCs w:val="18"/>
              </w:rPr>
            </w:pPr>
            <w:r>
              <w:rPr>
                <w:rFonts w:ascii="宋体"/>
                <w:sz w:val="18"/>
              </w:rPr>
              <w:t>-1.8558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8"/>
              <w:jc w:val="right"/>
              <w:rPr>
                <w:rFonts w:ascii="宋体" w:hAnsi="宋体" w:cs="宋体" w:eastAsia="宋体" w:hint="default"/>
                <w:sz w:val="18"/>
                <w:szCs w:val="18"/>
              </w:rPr>
            </w:pPr>
            <w:r>
              <w:rPr>
                <w:rFonts w:ascii="宋体"/>
                <w:spacing w:val="-1"/>
                <w:sz w:val="18"/>
              </w:rPr>
              <w:t>-1.8534</w:t>
            </w:r>
            <w:r>
              <w:rPr>
                <w:rFonts w:ascii="宋体"/>
                <w:sz w:val="18"/>
              </w:rPr>
              <w:t> </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1"/>
              <w:jc w:val="right"/>
              <w:rPr>
                <w:rFonts w:ascii="宋体" w:hAnsi="宋体" w:cs="宋体" w:eastAsia="宋体" w:hint="default"/>
                <w:sz w:val="18"/>
                <w:szCs w:val="18"/>
              </w:rPr>
            </w:pPr>
            <w:r>
              <w:rPr>
                <w:rFonts w:ascii="宋体"/>
                <w:spacing w:val="-1"/>
                <w:sz w:val="18"/>
              </w:rPr>
              <w:t>0.3991</w:t>
            </w:r>
            <w:r>
              <w:rPr>
                <w:rFonts w:ascii="宋体"/>
                <w:sz w:val="18"/>
              </w:rPr>
              <w:t> </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1"/>
              <w:jc w:val="right"/>
              <w:rPr>
                <w:rFonts w:ascii="宋体" w:hAnsi="宋体" w:cs="宋体" w:eastAsia="宋体" w:hint="default"/>
                <w:sz w:val="18"/>
                <w:szCs w:val="18"/>
              </w:rPr>
            </w:pPr>
            <w:r>
              <w:rPr>
                <w:rFonts w:ascii="宋体"/>
                <w:spacing w:val="1"/>
                <w:sz w:val="18"/>
              </w:rPr>
              <w:t> </w:t>
            </w:r>
            <w:r>
              <w:rPr>
                <w:rFonts w:ascii="宋体"/>
                <w:spacing w:val="-1"/>
                <w:sz w:val="18"/>
              </w:rPr>
              <w:t>0.4067</w:t>
            </w:r>
            <w:r>
              <w:rPr>
                <w:rFonts w:ascii="宋体"/>
                <w:sz w:val="18"/>
              </w:rPr>
              <w:t> </w:t>
            </w:r>
          </w:p>
        </w:tc>
      </w:tr>
      <w:tr>
        <w:trPr>
          <w:trHeight w:val="403" w:hRule="exact"/>
        </w:trPr>
        <w:tc>
          <w:tcPr>
            <w:tcW w:w="4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left="103" w:right="-3"/>
              <w:jc w:val="left"/>
              <w:rPr>
                <w:rFonts w:ascii="宋体" w:hAnsi="宋体" w:cs="宋体" w:eastAsia="宋体" w:hint="default"/>
                <w:sz w:val="21"/>
                <w:szCs w:val="21"/>
              </w:rPr>
            </w:pPr>
            <w:r>
              <w:rPr>
                <w:rFonts w:ascii="宋体" w:hAnsi="宋体" w:cs="宋体" w:eastAsia="宋体" w:hint="default"/>
                <w:w w:val="100"/>
                <w:sz w:val="21"/>
                <w:szCs w:val="21"/>
              </w:rPr>
              <w:t>归属</w:t>
            </w:r>
            <w:r>
              <w:rPr>
                <w:rFonts w:ascii="宋体" w:hAnsi="宋体" w:cs="宋体" w:eastAsia="宋体" w:hint="default"/>
                <w:spacing w:val="-3"/>
                <w:w w:val="100"/>
                <w:sz w:val="21"/>
                <w:szCs w:val="21"/>
              </w:rPr>
              <w:t>于</w:t>
            </w:r>
            <w:r>
              <w:rPr>
                <w:rFonts w:ascii="宋体" w:hAnsi="宋体" w:cs="宋体" w:eastAsia="宋体" w:hint="default"/>
                <w:w w:val="100"/>
                <w:sz w:val="21"/>
                <w:szCs w:val="21"/>
              </w:rPr>
              <w:t>公</w:t>
            </w:r>
            <w:r>
              <w:rPr>
                <w:rFonts w:ascii="宋体" w:hAnsi="宋体" w:cs="宋体" w:eastAsia="宋体" w:hint="default"/>
                <w:spacing w:val="-3"/>
                <w:w w:val="100"/>
                <w:sz w:val="21"/>
                <w:szCs w:val="21"/>
              </w:rPr>
              <w:t>司</w:t>
            </w:r>
            <w:r>
              <w:rPr>
                <w:rFonts w:ascii="宋体" w:hAnsi="宋体" w:cs="宋体" w:eastAsia="宋体" w:hint="default"/>
                <w:w w:val="100"/>
                <w:sz w:val="21"/>
                <w:szCs w:val="21"/>
              </w:rPr>
              <w:t>普</w:t>
            </w:r>
            <w:r>
              <w:rPr>
                <w:rFonts w:ascii="宋体" w:hAnsi="宋体" w:cs="宋体" w:eastAsia="宋体" w:hint="default"/>
                <w:spacing w:val="-3"/>
                <w:w w:val="100"/>
                <w:sz w:val="21"/>
                <w:szCs w:val="21"/>
              </w:rPr>
              <w:t>通</w:t>
            </w:r>
            <w:r>
              <w:rPr>
                <w:rFonts w:ascii="宋体" w:hAnsi="宋体" w:cs="宋体" w:eastAsia="宋体" w:hint="default"/>
                <w:w w:val="100"/>
                <w:sz w:val="21"/>
                <w:szCs w:val="21"/>
              </w:rPr>
              <w:t>股</w:t>
            </w:r>
            <w:r>
              <w:rPr>
                <w:rFonts w:ascii="宋体" w:hAnsi="宋体" w:cs="宋体" w:eastAsia="宋体" w:hint="default"/>
                <w:spacing w:val="-3"/>
                <w:w w:val="100"/>
                <w:sz w:val="21"/>
                <w:szCs w:val="21"/>
              </w:rPr>
              <w:t>股</w:t>
            </w:r>
            <w:r>
              <w:rPr>
                <w:rFonts w:ascii="宋体" w:hAnsi="宋体" w:cs="宋体" w:eastAsia="宋体" w:hint="default"/>
                <w:w w:val="100"/>
                <w:sz w:val="21"/>
                <w:szCs w:val="21"/>
              </w:rPr>
              <w:t>东</w:t>
            </w:r>
            <w:r>
              <w:rPr>
                <w:rFonts w:ascii="宋体" w:hAnsi="宋体" w:cs="宋体" w:eastAsia="宋体" w:hint="default"/>
                <w:spacing w:val="-3"/>
                <w:w w:val="100"/>
                <w:sz w:val="21"/>
                <w:szCs w:val="21"/>
              </w:rPr>
              <w:t>的</w:t>
            </w:r>
            <w:r>
              <w:rPr>
                <w:rFonts w:ascii="宋体" w:hAnsi="宋体" w:cs="宋体" w:eastAsia="宋体" w:hint="default"/>
                <w:w w:val="100"/>
                <w:sz w:val="21"/>
                <w:szCs w:val="21"/>
              </w:rPr>
              <w:t>每股</w:t>
            </w:r>
            <w:r>
              <w:rPr>
                <w:rFonts w:ascii="宋体" w:hAnsi="宋体" w:cs="宋体" w:eastAsia="宋体" w:hint="default"/>
                <w:spacing w:val="-3"/>
                <w:w w:val="100"/>
                <w:sz w:val="21"/>
                <w:szCs w:val="21"/>
              </w:rPr>
              <w:t>净</w:t>
            </w:r>
            <w:r>
              <w:rPr>
                <w:rFonts w:ascii="宋体" w:hAnsi="宋体" w:cs="宋体" w:eastAsia="宋体" w:hint="default"/>
                <w:w w:val="100"/>
                <w:sz w:val="21"/>
                <w:szCs w:val="21"/>
              </w:rPr>
              <w:t>资</w:t>
            </w:r>
            <w:r>
              <w:rPr>
                <w:rFonts w:ascii="宋体" w:hAnsi="宋体" w:cs="宋体" w:eastAsia="宋体" w:hint="default"/>
                <w:spacing w:val="-58"/>
                <w:w w:val="100"/>
                <w:sz w:val="21"/>
                <w:szCs w:val="21"/>
              </w:rPr>
              <w:t>产</w:t>
            </w:r>
            <w:r>
              <w:rPr>
                <w:rFonts w:ascii="宋体" w:hAnsi="宋体" w:cs="宋体" w:eastAsia="宋体" w:hint="default"/>
                <w:w w:val="100"/>
                <w:sz w:val="21"/>
                <w:szCs w:val="21"/>
              </w:rPr>
              <w:t>（</w:t>
            </w:r>
            <w:r>
              <w:rPr>
                <w:rFonts w:ascii="宋体" w:hAnsi="宋体" w:cs="宋体" w:eastAsia="宋体" w:hint="default"/>
                <w:spacing w:val="-2"/>
                <w:w w:val="100"/>
                <w:sz w:val="21"/>
                <w:szCs w:val="21"/>
              </w:rPr>
              <w:t>元</w:t>
            </w:r>
            <w:r>
              <w:rPr>
                <w:rFonts w:ascii="宋体" w:hAnsi="宋体" w:cs="宋体" w:eastAsia="宋体" w:hint="default"/>
                <w:w w:val="100"/>
                <w:sz w:val="21"/>
                <w:szCs w:val="21"/>
              </w:rPr>
              <w:t>/</w:t>
            </w:r>
            <w:r>
              <w:rPr>
                <w:rFonts w:ascii="宋体" w:hAnsi="宋体" w:cs="宋体" w:eastAsia="宋体" w:hint="default"/>
                <w:w w:val="100"/>
                <w:sz w:val="21"/>
                <w:szCs w:val="21"/>
              </w:rPr>
              <w:t>股</w:t>
            </w:r>
            <w:r>
              <w:rPr>
                <w:rFonts w:ascii="宋体" w:hAnsi="宋体" w:cs="宋体" w:eastAsia="宋体" w:hint="default"/>
                <w:spacing w:val="-111"/>
                <w:w w:val="100"/>
                <w:sz w:val="21"/>
                <w:szCs w:val="21"/>
              </w:rPr>
              <w:t>）</w:t>
            </w:r>
            <w:r>
              <w:rPr>
                <w:rFonts w:ascii="宋体" w:hAnsi="宋体" w:cs="宋体" w:eastAsia="宋体" w:hint="default"/>
                <w:w w:val="100"/>
                <w:sz w:val="21"/>
                <w:szCs w:val="21"/>
              </w:rPr>
              <w:t> </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
              <w:jc w:val="right"/>
              <w:rPr>
                <w:rFonts w:ascii="宋体" w:hAnsi="宋体" w:cs="宋体" w:eastAsia="宋体" w:hint="default"/>
                <w:sz w:val="18"/>
                <w:szCs w:val="18"/>
              </w:rPr>
            </w:pPr>
            <w:r>
              <w:rPr>
                <w:rFonts w:ascii="宋体"/>
                <w:spacing w:val="-1"/>
                <w:sz w:val="18"/>
              </w:rPr>
              <w:t>3.4712</w:t>
            </w: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
              <w:jc w:val="right"/>
              <w:rPr>
                <w:rFonts w:ascii="宋体" w:hAnsi="宋体" w:cs="宋体" w:eastAsia="宋体" w:hint="default"/>
                <w:sz w:val="18"/>
                <w:szCs w:val="18"/>
              </w:rPr>
            </w:pPr>
            <w:r>
              <w:rPr>
                <w:rFonts w:ascii="宋体"/>
                <w:spacing w:val="-1"/>
                <w:sz w:val="18"/>
              </w:rPr>
              <w:t>3.4712</w:t>
            </w:r>
            <w:r>
              <w:rPr>
                <w:rFonts w:ascii="宋体"/>
                <w:sz w:val="18"/>
              </w:rPr>
              <w:t> </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2"/>
              <w:jc w:val="right"/>
              <w:rPr>
                <w:rFonts w:ascii="宋体" w:hAnsi="宋体" w:cs="宋体" w:eastAsia="宋体" w:hint="default"/>
                <w:sz w:val="18"/>
                <w:szCs w:val="18"/>
              </w:rPr>
            </w:pPr>
            <w:r>
              <w:rPr>
                <w:rFonts w:ascii="宋体"/>
                <w:spacing w:val="1"/>
                <w:sz w:val="18"/>
              </w:rPr>
              <w:t> </w:t>
            </w:r>
            <w:r>
              <w:rPr>
                <w:rFonts w:ascii="宋体"/>
                <w:spacing w:val="-1"/>
                <w:sz w:val="18"/>
              </w:rPr>
              <w:t>5.3842</w:t>
            </w:r>
            <w:r>
              <w:rPr>
                <w:rFonts w:ascii="宋体"/>
                <w:sz w:val="18"/>
              </w:rPr>
              <w:t> </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
              <w:jc w:val="right"/>
              <w:rPr>
                <w:rFonts w:ascii="宋体" w:hAnsi="宋体" w:cs="宋体" w:eastAsia="宋体" w:hint="default"/>
                <w:sz w:val="18"/>
                <w:szCs w:val="18"/>
              </w:rPr>
            </w:pPr>
            <w:r>
              <w:rPr>
                <w:rFonts w:ascii="宋体"/>
                <w:spacing w:val="1"/>
                <w:sz w:val="18"/>
              </w:rPr>
              <w:t> </w:t>
            </w:r>
            <w:r>
              <w:rPr>
                <w:rFonts w:ascii="宋体"/>
                <w:spacing w:val="-1"/>
                <w:sz w:val="18"/>
              </w:rPr>
              <w:t>5.7936</w:t>
            </w:r>
            <w:r>
              <w:rPr>
                <w:rFonts w:ascii="宋体"/>
                <w:sz w:val="18"/>
              </w:rPr>
              <w:t> </w:t>
            </w:r>
          </w:p>
        </w:tc>
      </w:tr>
    </w:tbl>
    <w:p>
      <w:pPr>
        <w:spacing w:line="240" w:lineRule="auto" w:before="8"/>
        <w:rPr>
          <w:rFonts w:ascii="宋体" w:hAnsi="宋体" w:cs="宋体" w:eastAsia="宋体" w:hint="default"/>
          <w:sz w:val="14"/>
          <w:szCs w:val="14"/>
        </w:rPr>
      </w:pPr>
    </w:p>
    <w:p>
      <w:pPr>
        <w:pStyle w:val="BodyText"/>
        <w:spacing w:line="240" w:lineRule="auto" w:before="36"/>
        <w:ind w:left="212" w:right="0"/>
        <w:jc w:val="left"/>
        <w:rPr>
          <w:rFonts w:ascii="宋体" w:hAnsi="宋体" w:cs="宋体" w:eastAsia="宋体" w:hint="default"/>
        </w:rPr>
      </w:pPr>
      <w:r>
        <w:rPr/>
        <w:t>公司认为必要或证券监管机构要求披露的其他内容</w:t>
      </w:r>
      <w:r>
        <w:rPr>
          <w:rFonts w:ascii="宋体" w:hAnsi="宋体" w:cs="宋体" w:eastAsia="宋体" w:hint="default"/>
        </w:rPr>
        <w:t> </w:t>
      </w:r>
    </w:p>
    <w:p>
      <w:pPr>
        <w:pStyle w:val="BodyText"/>
        <w:spacing w:line="240" w:lineRule="auto" w:before="75"/>
        <w:ind w:left="212" w:right="0"/>
        <w:jc w:val="left"/>
        <w:rPr>
          <w:rFonts w:ascii="宋体" w:hAnsi="宋体" w:cs="宋体" w:eastAsia="宋体" w:hint="default"/>
        </w:rPr>
      </w:pPr>
      <w:r>
        <w:rPr/>
        <w:t>□ 适用 </w:t>
      </w:r>
      <w:r>
        <w:rPr>
          <w:rFonts w:ascii="宋体" w:hAnsi="宋体" w:cs="宋体" w:eastAsia="宋体" w:hint="default"/>
        </w:rPr>
      </w:r>
      <w:r>
        <w:rPr>
          <w:spacing w:val="-3"/>
        </w:rPr>
        <w:t>√</w:t>
      </w:r>
      <w:r>
        <w:rPr/>
        <w:t> 不适用</w:t>
      </w:r>
      <w:r>
        <w:rPr>
          <w:rFonts w:ascii="宋体" w:hAnsi="宋体" w:cs="宋体" w:eastAsia="宋体" w:hint="default"/>
        </w:rPr>
        <w:t> </w:t>
      </w:r>
    </w:p>
    <w:p>
      <w:pPr>
        <w:spacing w:line="240" w:lineRule="auto" w:before="11"/>
        <w:rPr>
          <w:rFonts w:ascii="宋体" w:hAnsi="宋体" w:cs="宋体" w:eastAsia="宋体" w:hint="default"/>
          <w:sz w:val="25"/>
          <w:szCs w:val="25"/>
        </w:rPr>
      </w:pPr>
    </w:p>
    <w:p>
      <w:pPr>
        <w:pStyle w:val="Heading3"/>
        <w:spacing w:line="240" w:lineRule="auto" w:before="0"/>
        <w:ind w:left="212" w:right="0"/>
        <w:jc w:val="left"/>
        <w:rPr>
          <w:b w:val="0"/>
          <w:bCs w:val="0"/>
        </w:rPr>
      </w:pPr>
      <w:r>
        <w:rPr/>
        <w:t>二、限售股份变动情况</w:t>
      </w:r>
      <w:r>
        <w:rPr>
          <w:b w:val="0"/>
          <w:bCs w:val="0"/>
        </w:rPr>
      </w:r>
    </w:p>
    <w:p>
      <w:pPr>
        <w:pStyle w:val="BodyText"/>
        <w:spacing w:line="240" w:lineRule="auto" w:before="157"/>
        <w:ind w:left="212" w:right="0"/>
        <w:jc w:val="left"/>
        <w:rPr>
          <w:rFonts w:ascii="宋体" w:hAnsi="宋体" w:cs="宋体" w:eastAsia="宋体" w:hint="default"/>
        </w:rPr>
      </w:pPr>
      <w:r>
        <w:rPr/>
        <w:t>□ 适用 </w:t>
      </w:r>
      <w:r>
        <w:rPr>
          <w:rFonts w:ascii="宋体" w:hAnsi="宋体" w:cs="宋体" w:eastAsia="宋体" w:hint="default"/>
        </w:rPr>
      </w:r>
      <w:r>
        <w:rPr>
          <w:spacing w:val="-3"/>
        </w:rPr>
        <w:t>√</w:t>
      </w:r>
      <w:r>
        <w:rPr/>
        <w:t> 不适用</w:t>
      </w:r>
      <w:r>
        <w:rPr>
          <w:rFonts w:ascii="宋体" w:hAnsi="宋体" w:cs="宋体" w:eastAsia="宋体" w:hint="default"/>
        </w:rPr>
        <w:t> </w:t>
      </w:r>
    </w:p>
    <w:p>
      <w:pPr>
        <w:spacing w:line="240" w:lineRule="auto" w:before="11"/>
        <w:rPr>
          <w:rFonts w:ascii="宋体" w:hAnsi="宋体" w:cs="宋体" w:eastAsia="宋体" w:hint="default"/>
          <w:sz w:val="23"/>
          <w:szCs w:val="23"/>
        </w:rPr>
      </w:pPr>
    </w:p>
    <w:p>
      <w:pPr>
        <w:pStyle w:val="Heading2"/>
        <w:spacing w:line="240" w:lineRule="auto" w:before="0"/>
        <w:ind w:left="212" w:right="0"/>
        <w:jc w:val="left"/>
        <w:rPr>
          <w:b w:val="0"/>
          <w:bCs w:val="0"/>
        </w:rPr>
      </w:pPr>
      <w:r>
        <w:rPr/>
        <w:t>三、证券发行与上市情况</w:t>
      </w:r>
      <w:r>
        <w:rPr>
          <w:b w:val="0"/>
          <w:bCs w:val="0"/>
        </w:rPr>
      </w:r>
    </w:p>
    <w:p>
      <w:pPr>
        <w:spacing w:line="240" w:lineRule="auto" w:before="2"/>
        <w:rPr>
          <w:rFonts w:ascii="宋体" w:hAnsi="宋体" w:cs="宋体" w:eastAsia="宋体" w:hint="default"/>
          <w:b/>
          <w:bCs/>
          <w:sz w:val="20"/>
          <w:szCs w:val="20"/>
        </w:rPr>
      </w:pPr>
    </w:p>
    <w:p>
      <w:pPr>
        <w:pStyle w:val="Heading3"/>
        <w:spacing w:line="240" w:lineRule="auto" w:before="0"/>
        <w:ind w:left="212" w:right="0"/>
        <w:jc w:val="left"/>
        <w:rPr>
          <w:b w:val="0"/>
          <w:bCs w:val="0"/>
        </w:rPr>
      </w:pPr>
      <w:r>
        <w:rPr>
          <w:rFonts w:ascii="Times New Roman" w:hAnsi="Times New Roman" w:cs="Times New Roman" w:eastAsia="Times New Roman" w:hint="default"/>
        </w:rPr>
        <w:t>1</w:t>
      </w:r>
      <w:r>
        <w:rPr/>
        <w:t>、报告期内证券发行（不含优先股）情况</w:t>
      </w:r>
      <w:r>
        <w:rPr>
          <w:b w:val="0"/>
          <w:bCs w:val="0"/>
        </w:rPr>
      </w:r>
    </w:p>
    <w:p>
      <w:pPr>
        <w:pStyle w:val="BodyText"/>
        <w:spacing w:line="240" w:lineRule="auto" w:before="141"/>
        <w:ind w:left="212" w:right="0"/>
        <w:jc w:val="left"/>
        <w:rPr>
          <w:rFonts w:ascii="宋体" w:hAnsi="宋体" w:cs="宋体" w:eastAsia="宋体" w:hint="default"/>
        </w:rPr>
      </w:pPr>
      <w:r>
        <w:rPr/>
        <w:t>□ 适用 </w:t>
      </w:r>
      <w:r>
        <w:rPr>
          <w:rFonts w:ascii="宋体" w:hAnsi="宋体" w:cs="宋体" w:eastAsia="宋体" w:hint="default"/>
        </w:rPr>
      </w:r>
      <w:r>
        <w:rPr>
          <w:spacing w:val="-3"/>
        </w:rPr>
        <w:t>√</w:t>
      </w:r>
      <w:r>
        <w:rPr/>
        <w:t> 不适用</w:t>
      </w:r>
      <w:r>
        <w:rPr>
          <w:rFonts w:ascii="宋体" w:hAnsi="宋体" w:cs="宋体" w:eastAsia="宋体" w:hint="default"/>
        </w:rPr>
        <w:t> </w:t>
      </w:r>
    </w:p>
    <w:p>
      <w:pPr>
        <w:pStyle w:val="Heading3"/>
        <w:spacing w:line="240" w:lineRule="auto" w:before="157"/>
        <w:ind w:left="212" w:right="0"/>
        <w:jc w:val="left"/>
        <w:rPr>
          <w:b w:val="0"/>
          <w:bCs w:val="0"/>
        </w:rPr>
      </w:pPr>
      <w:r>
        <w:rPr>
          <w:rFonts w:ascii="Times New Roman" w:hAnsi="Times New Roman" w:cs="Times New Roman" w:eastAsia="Times New Roman" w:hint="default"/>
        </w:rPr>
        <w:t>2</w:t>
      </w:r>
      <w:r>
        <w:rPr/>
        <w:t>、公司股份总数及股东结构的变动、公司资产和负债结构的变动情况说明</w:t>
      </w:r>
      <w:r>
        <w:rPr>
          <w:b w:val="0"/>
          <w:bCs w:val="0"/>
        </w:rPr>
      </w:r>
    </w:p>
    <w:p>
      <w:pPr>
        <w:pStyle w:val="BodyText"/>
        <w:spacing w:line="240" w:lineRule="auto" w:before="141"/>
        <w:ind w:left="212" w:right="0"/>
        <w:jc w:val="left"/>
        <w:rPr>
          <w:rFonts w:ascii="宋体" w:hAnsi="宋体" w:cs="宋体" w:eastAsia="宋体" w:hint="default"/>
        </w:rPr>
      </w:pPr>
      <w:r>
        <w:rPr/>
        <w:t>□ 适用 </w:t>
      </w:r>
      <w:r>
        <w:rPr>
          <w:rFonts w:ascii="宋体" w:hAnsi="宋体" w:cs="宋体" w:eastAsia="宋体" w:hint="default"/>
        </w:rPr>
      </w:r>
      <w:r>
        <w:rPr>
          <w:spacing w:val="-3"/>
        </w:rPr>
        <w:t>√</w:t>
      </w:r>
      <w:r>
        <w:rPr/>
        <w:t> 不适用</w:t>
      </w:r>
      <w:r>
        <w:rPr>
          <w:rFonts w:ascii="宋体" w:hAnsi="宋体" w:cs="宋体" w:eastAsia="宋体" w:hint="default"/>
        </w:rPr>
        <w:t> </w:t>
      </w:r>
    </w:p>
    <w:p>
      <w:pPr>
        <w:pStyle w:val="Heading3"/>
        <w:spacing w:line="240" w:lineRule="auto" w:before="157"/>
        <w:ind w:left="212" w:right="0"/>
        <w:jc w:val="left"/>
        <w:rPr>
          <w:b w:val="0"/>
          <w:bCs w:val="0"/>
        </w:rPr>
      </w:pPr>
      <w:r>
        <w:rPr>
          <w:rFonts w:ascii="Times New Roman" w:hAnsi="Times New Roman" w:cs="Times New Roman" w:eastAsia="Times New Roman" w:hint="default"/>
        </w:rPr>
        <w:t>3</w:t>
      </w:r>
      <w:r>
        <w:rPr/>
        <w:t>、现存的内部职工股情况</w:t>
      </w:r>
      <w:r>
        <w:rPr>
          <w:b w:val="0"/>
          <w:bCs w:val="0"/>
        </w:rPr>
      </w:r>
    </w:p>
    <w:p>
      <w:pPr>
        <w:pStyle w:val="BodyText"/>
        <w:spacing w:line="240" w:lineRule="auto" w:before="141"/>
        <w:ind w:left="212" w:right="0"/>
        <w:jc w:val="left"/>
        <w:rPr>
          <w:rFonts w:ascii="宋体" w:hAnsi="宋体" w:cs="宋体" w:eastAsia="宋体" w:hint="default"/>
        </w:rPr>
      </w:pPr>
      <w:r>
        <w:rPr/>
        <w:t>□ 适用 </w:t>
      </w:r>
      <w:r>
        <w:rPr>
          <w:rFonts w:ascii="宋体" w:hAnsi="宋体" w:cs="宋体" w:eastAsia="宋体" w:hint="default"/>
        </w:rPr>
      </w:r>
      <w:r>
        <w:rPr>
          <w:spacing w:val="-3"/>
        </w:rPr>
        <w:t>√</w:t>
      </w:r>
      <w:r>
        <w:rPr/>
        <w:t> 不适用</w:t>
      </w:r>
      <w:r>
        <w:rPr>
          <w:rFonts w:ascii="宋体" w:hAnsi="宋体" w:cs="宋体" w:eastAsia="宋体" w:hint="default"/>
        </w:rPr>
        <w:t> </w:t>
      </w:r>
    </w:p>
    <w:p>
      <w:pPr>
        <w:spacing w:line="240" w:lineRule="auto" w:before="3"/>
        <w:rPr>
          <w:rFonts w:ascii="宋体" w:hAnsi="宋体" w:cs="宋体" w:eastAsia="宋体" w:hint="default"/>
          <w:sz w:val="19"/>
          <w:szCs w:val="19"/>
        </w:rPr>
      </w:pPr>
    </w:p>
    <w:p>
      <w:pPr>
        <w:pStyle w:val="Heading2"/>
        <w:spacing w:line="240" w:lineRule="auto" w:before="0"/>
        <w:ind w:left="3465" w:right="0"/>
        <w:jc w:val="left"/>
        <w:rPr>
          <w:b w:val="0"/>
          <w:bCs w:val="0"/>
        </w:rPr>
      </w:pPr>
      <w:r>
        <w:rPr/>
        <w:t>第二节股东和实际控制人情况</w:t>
      </w:r>
      <w:r>
        <w:rPr>
          <w:b w:val="0"/>
          <w:bCs w:val="0"/>
        </w:rPr>
      </w:r>
    </w:p>
    <w:p>
      <w:pPr>
        <w:spacing w:line="240" w:lineRule="auto" w:before="2"/>
        <w:rPr>
          <w:rFonts w:ascii="宋体" w:hAnsi="宋体" w:cs="宋体" w:eastAsia="宋体" w:hint="default"/>
          <w:b/>
          <w:bCs/>
          <w:sz w:val="20"/>
          <w:szCs w:val="20"/>
        </w:rPr>
      </w:pPr>
    </w:p>
    <w:p>
      <w:pPr>
        <w:spacing w:before="0"/>
        <w:ind w:left="212" w:right="0" w:firstLine="0"/>
        <w:jc w:val="left"/>
        <w:rPr>
          <w:rFonts w:ascii="宋体" w:hAnsi="宋体" w:cs="宋体" w:eastAsia="宋体" w:hint="default"/>
          <w:sz w:val="21"/>
          <w:szCs w:val="21"/>
        </w:rPr>
      </w:pPr>
      <w:r>
        <w:rPr/>
        <w:pict>
          <v:group style="position:absolute;margin-left:361.869995pt;margin-top:22.703667pt;width:56.05pt;height:62.4pt;mso-position-horizontal-relative:page;mso-position-vertical-relative:paragraph;z-index:-1012840" coordorigin="7237,454" coordsize="1121,1248">
            <v:group style="position:absolute;left:7237;top:454;width:1121;height:1248" coordorigin="7237,454" coordsize="1121,1248">
              <v:shape style="position:absolute;left:7237;top:454;width:1121;height:1248" coordorigin="7237,454" coordsize="1121,1248" path="m7237,1702l8358,1702,8358,454,7237,454,7237,1702xe" filled="true" fillcolor="#ffffff" stroked="false">
                <v:path arrowok="t"/>
                <v:fill type="solid"/>
              </v:shape>
            </v:group>
            <v:group style="position:absolute;left:7259;top:922;width:1076;height:312" coordorigin="7259,922" coordsize="1076,312">
              <v:shape style="position:absolute;left:7259;top:922;width:1076;height:312" coordorigin="7259,922" coordsize="1076,312" path="m7259,1234l8334,1234,8334,922,7259,922,7259,1234xe" filled="true" fillcolor="#ffffff" stroked="false">
                <v:path arrowok="t"/>
                <v:fill type="solid"/>
              </v:shape>
            </v:group>
            <w10:wrap type="none"/>
          </v:group>
        </w:pict>
      </w:r>
      <w:r>
        <w:rPr>
          <w:rFonts w:ascii="宋体" w:hAnsi="宋体" w:cs="宋体" w:eastAsia="宋体" w:hint="default"/>
          <w:b/>
          <w:bCs/>
          <w:sz w:val="21"/>
          <w:szCs w:val="21"/>
        </w:rPr>
        <w:t>一、公司股东数量及持股情况</w:t>
      </w:r>
      <w:r>
        <w:rPr>
          <w:rFonts w:ascii="宋体" w:hAnsi="宋体" w:cs="宋体" w:eastAsia="宋体" w:hint="default"/>
          <w:sz w:val="21"/>
          <w:szCs w:val="21"/>
        </w:rPr>
        <w:t>(</w:t>
      </w:r>
      <w:r>
        <w:rPr>
          <w:rFonts w:ascii="宋体" w:hAnsi="宋体" w:cs="宋体" w:eastAsia="宋体" w:hint="default"/>
          <w:sz w:val="21"/>
          <w:szCs w:val="21"/>
        </w:rPr>
        <w:t>单位：股</w:t>
      </w:r>
      <w:r>
        <w:rPr>
          <w:rFonts w:ascii="宋体" w:hAnsi="宋体" w:cs="宋体" w:eastAsia="宋体" w:hint="default"/>
          <w:sz w:val="21"/>
          <w:szCs w:val="21"/>
        </w:rPr>
        <w:t>) </w:t>
      </w:r>
    </w:p>
    <w:p>
      <w:pPr>
        <w:spacing w:line="240" w:lineRule="auto" w:before="13"/>
        <w:rPr>
          <w:rFonts w:ascii="宋体" w:hAnsi="宋体" w:cs="宋体" w:eastAsia="宋体" w:hint="default"/>
          <w:sz w:val="12"/>
          <w:szCs w:val="12"/>
        </w:rPr>
      </w:pPr>
    </w:p>
    <w:tbl>
      <w:tblPr>
        <w:tblW w:w="0" w:type="auto"/>
        <w:jc w:val="left"/>
        <w:tblInd w:w="207" w:type="dxa"/>
        <w:tblLayout w:type="fixed"/>
        <w:tblCellMar>
          <w:top w:w="0" w:type="dxa"/>
          <w:left w:w="0" w:type="dxa"/>
          <w:bottom w:w="0" w:type="dxa"/>
          <w:right w:w="0" w:type="dxa"/>
        </w:tblCellMar>
        <w:tblLook w:val="01E0"/>
      </w:tblPr>
      <w:tblGrid>
        <w:gridCol w:w="1275"/>
        <w:gridCol w:w="850"/>
        <w:gridCol w:w="502"/>
        <w:gridCol w:w="1203"/>
        <w:gridCol w:w="660"/>
        <w:gridCol w:w="330"/>
        <w:gridCol w:w="692"/>
        <w:gridCol w:w="586"/>
        <w:gridCol w:w="295"/>
        <w:gridCol w:w="836"/>
        <w:gridCol w:w="996"/>
        <w:gridCol w:w="430"/>
        <w:gridCol w:w="418"/>
        <w:gridCol w:w="499"/>
      </w:tblGrid>
      <w:tr>
        <w:trPr>
          <w:trHeight w:val="1265" w:hRule="exact"/>
        </w:trPr>
        <w:tc>
          <w:tcPr>
            <w:tcW w:w="127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24"/>
                <w:szCs w:val="24"/>
              </w:rPr>
            </w:pPr>
          </w:p>
          <w:p>
            <w:pPr>
              <w:pStyle w:val="TableParagraph"/>
              <w:spacing w:line="316" w:lineRule="auto"/>
              <w:ind w:left="24" w:right="159"/>
              <w:jc w:val="left"/>
              <w:rPr>
                <w:rFonts w:ascii="宋体" w:hAnsi="宋体" w:cs="宋体" w:eastAsia="宋体" w:hint="default"/>
                <w:sz w:val="18"/>
                <w:szCs w:val="18"/>
              </w:rPr>
            </w:pPr>
            <w:r>
              <w:rPr>
                <w:rFonts w:ascii="宋体" w:hAnsi="宋体" w:cs="宋体" w:eastAsia="宋体" w:hint="default"/>
                <w:sz w:val="18"/>
                <w:szCs w:val="18"/>
              </w:rPr>
              <w:t>报告期末普通 股股东总数</w:t>
            </w:r>
            <w:r>
              <w:rPr>
                <w:rFonts w:ascii="宋体" w:hAnsi="宋体" w:cs="宋体" w:eastAsia="宋体" w:hint="default"/>
                <w:sz w:val="18"/>
                <w:szCs w:val="18"/>
              </w:rPr>
              <w:t> </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50" w:right="0"/>
              <w:jc w:val="left"/>
              <w:rPr>
                <w:rFonts w:ascii="宋体" w:hAnsi="宋体" w:cs="宋体" w:eastAsia="宋体" w:hint="default"/>
                <w:sz w:val="18"/>
                <w:szCs w:val="18"/>
              </w:rPr>
            </w:pPr>
            <w:r>
              <w:rPr>
                <w:rFonts w:ascii="宋体" w:hAnsi="宋体" w:cs="宋体" w:eastAsia="宋体" w:hint="default"/>
                <w:sz w:val="18"/>
                <w:szCs w:val="18"/>
              </w:rPr>
              <w:t>21,796</w:t>
            </w:r>
            <w:r>
              <w:rPr>
                <w:rFonts w:ascii="宋体" w:hAnsi="宋体" w:cs="宋体" w:eastAsia="宋体" w:hint="default"/>
                <w:spacing w:val="-44"/>
                <w:sz w:val="18"/>
                <w:szCs w:val="18"/>
              </w:rPr>
              <w:t> </w:t>
            </w:r>
            <w:r>
              <w:rPr>
                <w:rFonts w:ascii="宋体" w:hAnsi="宋体" w:cs="宋体" w:eastAsia="宋体" w:hint="default"/>
                <w:sz w:val="18"/>
                <w:szCs w:val="18"/>
              </w:rPr>
              <w:t>户</w:t>
            </w:r>
          </w:p>
        </w:tc>
        <w:tc>
          <w:tcPr>
            <w:tcW w:w="170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23" w:right="48"/>
              <w:jc w:val="both"/>
              <w:rPr>
                <w:rFonts w:ascii="宋体" w:hAnsi="宋体" w:cs="宋体" w:eastAsia="宋体" w:hint="default"/>
                <w:sz w:val="18"/>
                <w:szCs w:val="18"/>
              </w:rPr>
            </w:pPr>
            <w:r>
              <w:rPr>
                <w:rFonts w:ascii="宋体" w:hAnsi="宋体" w:cs="宋体" w:eastAsia="宋体" w:hint="default"/>
                <w:sz w:val="18"/>
                <w:szCs w:val="18"/>
              </w:rPr>
              <w:t>年度报告披露日前上 一月末普通股股东总 数</w:t>
            </w:r>
            <w:r>
              <w:rPr>
                <w:rFonts w:ascii="宋体" w:hAnsi="宋体" w:cs="宋体" w:eastAsia="宋体" w:hint="default"/>
                <w:sz w:val="18"/>
                <w:szCs w:val="18"/>
              </w:rPr>
              <w:t> </w:t>
            </w:r>
          </w:p>
        </w:tc>
        <w:tc>
          <w:tcPr>
            <w:tcW w:w="99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192" w:right="0"/>
              <w:jc w:val="left"/>
              <w:rPr>
                <w:rFonts w:ascii="宋体" w:hAnsi="宋体" w:cs="宋体" w:eastAsia="宋体" w:hint="default"/>
                <w:sz w:val="18"/>
                <w:szCs w:val="18"/>
              </w:rPr>
            </w:pPr>
            <w:r>
              <w:rPr>
                <w:rFonts w:ascii="宋体" w:hAnsi="宋体" w:cs="宋体" w:eastAsia="宋体" w:hint="default"/>
                <w:sz w:val="18"/>
                <w:szCs w:val="18"/>
              </w:rPr>
              <w:t>33,271</w:t>
            </w:r>
            <w:r>
              <w:rPr>
                <w:rFonts w:ascii="宋体" w:hAnsi="宋体" w:cs="宋体" w:eastAsia="宋体" w:hint="default"/>
                <w:spacing w:val="-44"/>
                <w:sz w:val="18"/>
                <w:szCs w:val="18"/>
              </w:rPr>
              <w:t> </w:t>
            </w:r>
            <w:r>
              <w:rPr>
                <w:rFonts w:ascii="宋体" w:hAnsi="宋体" w:cs="宋体" w:eastAsia="宋体" w:hint="default"/>
                <w:sz w:val="18"/>
                <w:szCs w:val="18"/>
              </w:rPr>
              <w:t>户</w:t>
            </w:r>
          </w:p>
        </w:tc>
        <w:tc>
          <w:tcPr>
            <w:tcW w:w="127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10"/>
              <w:ind w:left="22" w:right="21"/>
              <w:jc w:val="left"/>
              <w:rPr>
                <w:rFonts w:ascii="宋体" w:hAnsi="宋体" w:cs="宋体" w:eastAsia="宋体" w:hint="default"/>
                <w:sz w:val="18"/>
                <w:szCs w:val="18"/>
              </w:rPr>
            </w:pPr>
            <w:r>
              <w:rPr>
                <w:rFonts w:ascii="宋体" w:hAnsi="宋体" w:cs="宋体" w:eastAsia="宋体" w:hint="default"/>
                <w:sz w:val="18"/>
                <w:szCs w:val="18"/>
              </w:rPr>
              <w:t>报告期末表决 权恢复的优先 </w:t>
            </w:r>
            <w:r>
              <w:rPr>
                <w:rFonts w:ascii="宋体" w:hAnsi="宋体" w:cs="宋体" w:eastAsia="宋体" w:hint="default"/>
                <w:spacing w:val="-6"/>
                <w:sz w:val="18"/>
                <w:szCs w:val="18"/>
              </w:rPr>
              <w:t>股股东总数（如</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16"/>
                <w:sz w:val="18"/>
                <w:szCs w:val="18"/>
              </w:rPr>
              <w:t>有）（参见注</w:t>
            </w:r>
            <w:r>
              <w:rPr>
                <w:rFonts w:ascii="宋体" w:hAnsi="宋体" w:cs="宋体" w:eastAsia="宋体" w:hint="default"/>
                <w:spacing w:val="-40"/>
                <w:sz w:val="18"/>
                <w:szCs w:val="18"/>
              </w:rPr>
              <w:t> </w:t>
            </w:r>
            <w:r>
              <w:rPr>
                <w:rFonts w:ascii="宋体" w:hAnsi="宋体" w:cs="宋体" w:eastAsia="宋体" w:hint="default"/>
                <w:sz w:val="18"/>
                <w:szCs w:val="18"/>
              </w:rPr>
              <w:t>8</w:t>
            </w:r>
          </w:p>
        </w:tc>
        <w:tc>
          <w:tcPr>
            <w:tcW w:w="113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20"/>
              <w:jc w:val="right"/>
              <w:rPr>
                <w:rFonts w:ascii="宋体" w:hAnsi="宋体" w:cs="宋体" w:eastAsia="宋体" w:hint="default"/>
                <w:sz w:val="18"/>
                <w:szCs w:val="18"/>
              </w:rPr>
            </w:pPr>
            <w:r>
              <w:rPr>
                <w:rFonts w:ascii="宋体" w:hAnsi="宋体" w:cs="宋体" w:eastAsia="宋体" w:hint="default"/>
                <w:sz w:val="18"/>
                <w:szCs w:val="18"/>
              </w:rPr>
              <w:t>无</w:t>
            </w:r>
          </w:p>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130" w:right="0"/>
              <w:jc w:val="left"/>
              <w:rPr>
                <w:rFonts w:ascii="宋体" w:hAnsi="宋体" w:cs="宋体" w:eastAsia="宋体" w:hint="default"/>
                <w:sz w:val="18"/>
                <w:szCs w:val="18"/>
              </w:rPr>
            </w:pPr>
            <w:r>
              <w:rPr>
                <w:rFonts w:ascii="宋体" w:hAnsi="宋体" w:cs="宋体" w:eastAsia="宋体" w:hint="default"/>
                <w:sz w:val="18"/>
                <w:szCs w:val="18"/>
              </w:rPr>
              <w:t>）</w:t>
            </w:r>
          </w:p>
        </w:tc>
        <w:tc>
          <w:tcPr>
            <w:tcW w:w="1843"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10"/>
              <w:ind w:left="23" w:right="188"/>
              <w:jc w:val="both"/>
              <w:rPr>
                <w:rFonts w:ascii="宋体" w:hAnsi="宋体" w:cs="宋体" w:eastAsia="宋体" w:hint="default"/>
                <w:sz w:val="18"/>
                <w:szCs w:val="18"/>
              </w:rPr>
            </w:pPr>
            <w:r>
              <w:rPr>
                <w:rFonts w:ascii="宋体" w:hAnsi="宋体" w:cs="宋体" w:eastAsia="宋体" w:hint="default"/>
                <w:sz w:val="18"/>
                <w:szCs w:val="18"/>
              </w:rPr>
              <w:t>年度报告披露日前上 一月末表决权恢复的 优先股股东总数（如 </w:t>
            </w:r>
            <w:r>
              <w:rPr>
                <w:rFonts w:ascii="宋体" w:hAnsi="宋体" w:cs="宋体" w:eastAsia="宋体" w:hint="default"/>
                <w:spacing w:val="-16"/>
                <w:sz w:val="18"/>
                <w:szCs w:val="18"/>
              </w:rPr>
              <w:t>有）（参见注</w:t>
            </w:r>
            <w:r>
              <w:rPr>
                <w:rFonts w:ascii="宋体" w:hAnsi="宋体" w:cs="宋体" w:eastAsia="宋体" w:hint="default"/>
                <w:spacing w:val="-39"/>
                <w:sz w:val="18"/>
                <w:szCs w:val="18"/>
              </w:rPr>
              <w:t> </w:t>
            </w:r>
            <w:r>
              <w:rPr>
                <w:rFonts w:ascii="宋体" w:hAnsi="宋体" w:cs="宋体" w:eastAsia="宋体" w:hint="default"/>
                <w:sz w:val="18"/>
                <w:szCs w:val="18"/>
              </w:rPr>
              <w:t>8</w:t>
            </w:r>
            <w:r>
              <w:rPr>
                <w:rFonts w:ascii="宋体" w:hAnsi="宋体" w:cs="宋体" w:eastAsia="宋体" w:hint="default"/>
                <w:sz w:val="18"/>
                <w:szCs w:val="18"/>
              </w:rPr>
              <w:t>）</w:t>
            </w:r>
            <w:r>
              <w:rPr>
                <w:rFonts w:ascii="宋体" w:hAnsi="宋体" w:cs="宋体" w:eastAsia="宋体" w:hint="default"/>
                <w:sz w:val="18"/>
                <w:szCs w:val="18"/>
              </w:rPr>
              <w:t> </w:t>
            </w:r>
          </w:p>
        </w:tc>
        <w:tc>
          <w:tcPr>
            <w:tcW w:w="4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288"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312" w:hRule="exact"/>
        </w:trPr>
        <w:tc>
          <w:tcPr>
            <w:tcW w:w="9571" w:type="dxa"/>
            <w:gridSpan w:val="1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3092" w:right="0"/>
              <w:jc w:val="left"/>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spacing w:val="-46"/>
                <w:sz w:val="18"/>
                <w:szCs w:val="18"/>
              </w:rPr>
              <w:t> </w:t>
            </w:r>
            <w:r>
              <w:rPr>
                <w:rFonts w:ascii="宋体" w:hAnsi="宋体" w:cs="宋体" w:eastAsia="宋体" w:hint="default"/>
                <w:sz w:val="18"/>
                <w:szCs w:val="18"/>
              </w:rPr>
              <w:t>5%</w:t>
            </w:r>
            <w:r>
              <w:rPr>
                <w:rFonts w:ascii="宋体" w:hAnsi="宋体" w:cs="宋体" w:eastAsia="宋体" w:hint="default"/>
                <w:sz w:val="18"/>
                <w:szCs w:val="18"/>
              </w:rPr>
              <w:t>以上的股东或前</w:t>
            </w:r>
            <w:r>
              <w:rPr>
                <w:rFonts w:ascii="宋体" w:hAnsi="宋体" w:cs="宋体" w:eastAsia="宋体" w:hint="default"/>
                <w:spacing w:val="-48"/>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名股东持股情况</w:t>
            </w:r>
            <w:r>
              <w:rPr>
                <w:rFonts w:ascii="宋体" w:hAnsi="宋体" w:cs="宋体" w:eastAsia="宋体" w:hint="default"/>
                <w:sz w:val="18"/>
                <w:szCs w:val="18"/>
              </w:rPr>
              <w:t> </w:t>
            </w:r>
          </w:p>
        </w:tc>
      </w:tr>
      <w:tr>
        <w:trPr>
          <w:trHeight w:val="327" w:hRule="exact"/>
        </w:trPr>
        <w:tc>
          <w:tcPr>
            <w:tcW w:w="2626" w:type="dxa"/>
            <w:gridSpan w:val="3"/>
            <w:tcBorders>
              <w:top w:val="single" w:sz="4" w:space="0" w:color="000000"/>
              <w:left w:val="single" w:sz="4" w:space="0" w:color="000000"/>
              <w:bottom w:val="nil" w:sz="6" w:space="0" w:color="auto"/>
              <w:right w:val="single" w:sz="4" w:space="0" w:color="000000"/>
            </w:tcBorders>
            <w:shd w:val="clear" w:color="auto" w:fill="D2D2D2"/>
          </w:tcPr>
          <w:p>
            <w:pPr/>
          </w:p>
        </w:tc>
        <w:tc>
          <w:tcPr>
            <w:tcW w:w="120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25"/>
                <w:szCs w:val="25"/>
              </w:rPr>
            </w:pPr>
          </w:p>
          <w:p>
            <w:pPr>
              <w:pStyle w:val="TableParagraph"/>
              <w:spacing w:line="240" w:lineRule="auto"/>
              <w:ind w:left="237" w:right="0"/>
              <w:jc w:val="left"/>
              <w:rPr>
                <w:rFonts w:ascii="宋体" w:hAnsi="宋体" w:cs="宋体" w:eastAsia="宋体" w:hint="default"/>
                <w:sz w:val="18"/>
                <w:szCs w:val="18"/>
              </w:rPr>
            </w:pPr>
            <w:r>
              <w:rPr>
                <w:rFonts w:ascii="宋体" w:hAnsi="宋体" w:cs="宋体" w:eastAsia="宋体" w:hint="default"/>
                <w:sz w:val="18"/>
                <w:szCs w:val="18"/>
              </w:rPr>
              <w:t>股东性质</w:t>
            </w:r>
            <w:r>
              <w:rPr>
                <w:rFonts w:ascii="宋体" w:hAnsi="宋体" w:cs="宋体" w:eastAsia="宋体" w:hint="default"/>
                <w:sz w:val="18"/>
                <w:szCs w:val="18"/>
              </w:rPr>
              <w:t> </w:t>
            </w:r>
          </w:p>
        </w:tc>
        <w:tc>
          <w:tcPr>
            <w:tcW w:w="660"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20"/>
              <w:ind w:left="146" w:right="53"/>
              <w:jc w:val="left"/>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sz w:val="18"/>
                <w:szCs w:val="18"/>
              </w:rPr>
              <w:t> </w:t>
            </w:r>
            <w:r>
              <w:rPr>
                <w:rFonts w:ascii="宋体" w:hAnsi="宋体" w:cs="宋体" w:eastAsia="宋体" w:hint="default"/>
                <w:sz w:val="18"/>
                <w:szCs w:val="18"/>
              </w:rPr>
              <w:t>比例</w:t>
            </w:r>
          </w:p>
          <w:p>
            <w:pPr>
              <w:pStyle w:val="TableParagraph"/>
              <w:spacing w:line="240" w:lineRule="auto" w:before="17"/>
              <w:ind w:left="100"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 </w:t>
            </w:r>
          </w:p>
        </w:tc>
        <w:tc>
          <w:tcPr>
            <w:tcW w:w="1022"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7"/>
              <w:ind w:right="0"/>
              <w:jc w:val="left"/>
              <w:rPr>
                <w:rFonts w:ascii="宋体" w:hAnsi="宋体" w:cs="宋体" w:eastAsia="宋体" w:hint="default"/>
                <w:sz w:val="13"/>
                <w:szCs w:val="13"/>
              </w:rPr>
            </w:pPr>
          </w:p>
          <w:p>
            <w:pPr>
              <w:pStyle w:val="TableParagraph"/>
              <w:spacing w:line="316" w:lineRule="auto"/>
              <w:ind w:left="237" w:right="53" w:hanging="180"/>
              <w:jc w:val="left"/>
              <w:rPr>
                <w:rFonts w:ascii="宋体" w:hAnsi="宋体" w:cs="宋体" w:eastAsia="宋体" w:hint="default"/>
                <w:sz w:val="18"/>
                <w:szCs w:val="18"/>
              </w:rPr>
            </w:pPr>
            <w:r>
              <w:rPr>
                <w:rFonts w:ascii="宋体" w:hAnsi="宋体" w:cs="宋体" w:eastAsia="宋体" w:hint="default"/>
                <w:sz w:val="18"/>
                <w:szCs w:val="18"/>
              </w:rPr>
              <w:t>报告期末持 股数量</w:t>
            </w:r>
            <w:r>
              <w:rPr>
                <w:rFonts w:ascii="宋体" w:hAnsi="宋体" w:cs="宋体" w:eastAsia="宋体" w:hint="default"/>
                <w:sz w:val="18"/>
                <w:szCs w:val="18"/>
              </w:rPr>
              <w:t> </w:t>
            </w:r>
          </w:p>
        </w:tc>
        <w:tc>
          <w:tcPr>
            <w:tcW w:w="88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20"/>
              <w:ind w:left="77" w:right="72"/>
              <w:jc w:val="center"/>
              <w:rPr>
                <w:rFonts w:ascii="宋体" w:hAnsi="宋体" w:cs="宋体" w:eastAsia="宋体" w:hint="default"/>
                <w:sz w:val="18"/>
                <w:szCs w:val="18"/>
              </w:rPr>
            </w:pPr>
            <w:r>
              <w:rPr>
                <w:rFonts w:ascii="宋体" w:hAnsi="宋体" w:cs="宋体" w:eastAsia="宋体" w:hint="default"/>
                <w:sz w:val="18"/>
                <w:szCs w:val="18"/>
              </w:rPr>
              <w:t>报告期内 增减变动 情况</w:t>
            </w:r>
            <w:r>
              <w:rPr>
                <w:rFonts w:ascii="宋体" w:hAnsi="宋体" w:cs="宋体" w:eastAsia="宋体" w:hint="default"/>
                <w:sz w:val="18"/>
                <w:szCs w:val="18"/>
              </w:rPr>
              <w:t> </w:t>
            </w:r>
          </w:p>
        </w:tc>
        <w:tc>
          <w:tcPr>
            <w:tcW w:w="836"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20"/>
              <w:ind w:left="52" w:right="-37"/>
              <w:jc w:val="both"/>
              <w:rPr>
                <w:rFonts w:ascii="宋体" w:hAnsi="宋体" w:cs="宋体" w:eastAsia="宋体" w:hint="default"/>
                <w:sz w:val="18"/>
                <w:szCs w:val="18"/>
              </w:rPr>
            </w:pPr>
            <w:r>
              <w:rPr>
                <w:rFonts w:ascii="宋体" w:hAnsi="宋体" w:cs="宋体" w:eastAsia="宋体" w:hint="default"/>
                <w:sz w:val="18"/>
                <w:szCs w:val="18"/>
              </w:rPr>
              <w:t>持有有限 售条件的 股份数量</w:t>
            </w:r>
            <w:r>
              <w:rPr>
                <w:rFonts w:ascii="宋体" w:hAnsi="宋体" w:cs="宋体" w:eastAsia="宋体" w:hint="default"/>
                <w:sz w:val="18"/>
                <w:szCs w:val="18"/>
              </w:rPr>
              <w:t> </w:t>
            </w:r>
          </w:p>
        </w:tc>
        <w:tc>
          <w:tcPr>
            <w:tcW w:w="996"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20"/>
              <w:ind w:left="42" w:right="41"/>
              <w:jc w:val="center"/>
              <w:rPr>
                <w:rFonts w:ascii="宋体" w:hAnsi="宋体" w:cs="宋体" w:eastAsia="宋体" w:hint="default"/>
                <w:sz w:val="18"/>
                <w:szCs w:val="18"/>
              </w:rPr>
            </w:pPr>
            <w:r>
              <w:rPr>
                <w:rFonts w:ascii="宋体" w:hAnsi="宋体" w:cs="宋体" w:eastAsia="宋体" w:hint="default"/>
                <w:sz w:val="18"/>
                <w:szCs w:val="18"/>
              </w:rPr>
              <w:t>持有无限售 条件的股份 数量</w:t>
            </w:r>
            <w:r>
              <w:rPr>
                <w:rFonts w:ascii="宋体" w:hAnsi="宋体" w:cs="宋体" w:eastAsia="宋体" w:hint="default"/>
                <w:sz w:val="18"/>
                <w:szCs w:val="18"/>
              </w:rPr>
              <w:t> </w:t>
            </w:r>
          </w:p>
        </w:tc>
        <w:tc>
          <w:tcPr>
            <w:tcW w:w="1347"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38" w:right="0"/>
              <w:jc w:val="left"/>
              <w:rPr>
                <w:rFonts w:ascii="宋体" w:hAnsi="宋体" w:cs="宋体" w:eastAsia="宋体" w:hint="default"/>
                <w:sz w:val="18"/>
                <w:szCs w:val="18"/>
              </w:rPr>
            </w:pPr>
            <w:r>
              <w:rPr>
                <w:rFonts w:ascii="宋体" w:hAnsi="宋体" w:cs="宋体" w:eastAsia="宋体" w:hint="default"/>
                <w:sz w:val="18"/>
                <w:szCs w:val="18"/>
              </w:rPr>
              <w:t>质押或冻结情况</w:t>
            </w:r>
          </w:p>
        </w:tc>
      </w:tr>
      <w:tr>
        <w:trPr>
          <w:trHeight w:val="312" w:hRule="exact"/>
        </w:trPr>
        <w:tc>
          <w:tcPr>
            <w:tcW w:w="2626" w:type="dxa"/>
            <w:gridSpan w:val="3"/>
            <w:tcBorders>
              <w:top w:val="nil" w:sz="6" w:space="0" w:color="auto"/>
              <w:left w:val="single" w:sz="4" w:space="0" w:color="000000"/>
              <w:bottom w:val="nil" w:sz="6" w:space="0" w:color="auto"/>
              <w:right w:val="single" w:sz="4" w:space="0" w:color="000000"/>
            </w:tcBorders>
          </w:tcPr>
          <w:p>
            <w:pPr>
              <w:pStyle w:val="TableParagraph"/>
              <w:tabs>
                <w:tab w:pos="948" w:val="left" w:leader="none"/>
                <w:tab w:pos="2594" w:val="left" w:leader="none"/>
              </w:tabs>
              <w:spacing w:line="240" w:lineRule="auto" w:before="1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股东名称</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203" w:type="dxa"/>
            <w:vMerge/>
            <w:tcBorders>
              <w:left w:val="single" w:sz="4" w:space="0" w:color="000000"/>
              <w:right w:val="single" w:sz="4" w:space="0" w:color="000000"/>
            </w:tcBorders>
            <w:shd w:val="clear" w:color="auto" w:fill="D2D2D2"/>
          </w:tcPr>
          <w:p>
            <w:pPr/>
          </w:p>
        </w:tc>
        <w:tc>
          <w:tcPr>
            <w:tcW w:w="660" w:type="dxa"/>
            <w:vMerge/>
            <w:tcBorders>
              <w:left w:val="single" w:sz="4" w:space="0" w:color="000000"/>
              <w:right w:val="single" w:sz="4" w:space="0" w:color="000000"/>
            </w:tcBorders>
            <w:shd w:val="clear" w:color="auto" w:fill="D2D2D2"/>
          </w:tcPr>
          <w:p>
            <w:pPr/>
          </w:p>
        </w:tc>
        <w:tc>
          <w:tcPr>
            <w:tcW w:w="1022" w:type="dxa"/>
            <w:gridSpan w:val="2"/>
            <w:vMerge/>
            <w:tcBorders>
              <w:left w:val="single" w:sz="4" w:space="0" w:color="000000"/>
              <w:right w:val="single" w:sz="4" w:space="0" w:color="000000"/>
            </w:tcBorders>
            <w:shd w:val="clear" w:color="auto" w:fill="D2D2D2"/>
          </w:tcPr>
          <w:p>
            <w:pPr/>
          </w:p>
        </w:tc>
        <w:tc>
          <w:tcPr>
            <w:tcW w:w="881" w:type="dxa"/>
            <w:gridSpan w:val="2"/>
            <w:vMerge/>
            <w:tcBorders>
              <w:left w:val="single" w:sz="4" w:space="0" w:color="000000"/>
              <w:right w:val="single" w:sz="4" w:space="0" w:color="000000"/>
            </w:tcBorders>
            <w:shd w:val="clear" w:color="auto" w:fill="D2D2D2"/>
          </w:tcPr>
          <w:p>
            <w:pPr/>
          </w:p>
        </w:tc>
        <w:tc>
          <w:tcPr>
            <w:tcW w:w="836" w:type="dxa"/>
            <w:vMerge/>
            <w:tcBorders>
              <w:left w:val="single" w:sz="4" w:space="0" w:color="000000"/>
              <w:right w:val="single" w:sz="4" w:space="0" w:color="000000"/>
            </w:tcBorders>
            <w:shd w:val="clear" w:color="auto" w:fill="D2D2D2"/>
          </w:tcPr>
          <w:p>
            <w:pPr/>
          </w:p>
        </w:tc>
        <w:tc>
          <w:tcPr>
            <w:tcW w:w="996" w:type="dxa"/>
            <w:vMerge/>
            <w:tcBorders>
              <w:left w:val="single" w:sz="4" w:space="0" w:color="000000"/>
              <w:right w:val="single" w:sz="4" w:space="0" w:color="000000"/>
            </w:tcBorders>
            <w:shd w:val="clear" w:color="auto" w:fill="D2D2D2"/>
          </w:tcPr>
          <w:p>
            <w:pPr/>
          </w:p>
        </w:tc>
        <w:tc>
          <w:tcPr>
            <w:tcW w:w="430"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10"/>
              <w:ind w:left="28" w:right="29"/>
              <w:jc w:val="left"/>
              <w:rPr>
                <w:rFonts w:ascii="宋体" w:hAnsi="宋体" w:cs="宋体" w:eastAsia="宋体" w:hint="default"/>
                <w:sz w:val="18"/>
                <w:szCs w:val="18"/>
              </w:rPr>
            </w:pPr>
            <w:r>
              <w:rPr>
                <w:rFonts w:ascii="宋体" w:hAnsi="宋体" w:cs="宋体" w:eastAsia="宋体" w:hint="default"/>
                <w:sz w:val="18"/>
                <w:szCs w:val="18"/>
              </w:rPr>
              <w:t>股份 状态</w:t>
            </w:r>
          </w:p>
        </w:tc>
        <w:tc>
          <w:tcPr>
            <w:tcW w:w="917"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73" w:right="0"/>
              <w:jc w:val="left"/>
              <w:rPr>
                <w:rFonts w:ascii="宋体" w:hAnsi="宋体" w:cs="宋体" w:eastAsia="宋体" w:hint="default"/>
                <w:sz w:val="18"/>
                <w:szCs w:val="18"/>
              </w:rPr>
            </w:pPr>
            <w:r>
              <w:rPr>
                <w:rFonts w:ascii="宋体" w:hAnsi="宋体" w:cs="宋体" w:eastAsia="宋体" w:hint="default"/>
                <w:sz w:val="18"/>
                <w:szCs w:val="18"/>
              </w:rPr>
              <w:t>数量</w:t>
            </w:r>
            <w:r>
              <w:rPr>
                <w:rFonts w:ascii="宋体" w:hAnsi="宋体" w:cs="宋体" w:eastAsia="宋体" w:hint="default"/>
                <w:sz w:val="18"/>
                <w:szCs w:val="18"/>
              </w:rPr>
              <w:t> </w:t>
            </w:r>
          </w:p>
        </w:tc>
      </w:tr>
      <w:tr>
        <w:trPr>
          <w:trHeight w:val="322" w:hRule="exact"/>
        </w:trPr>
        <w:tc>
          <w:tcPr>
            <w:tcW w:w="2626" w:type="dxa"/>
            <w:gridSpan w:val="3"/>
            <w:tcBorders>
              <w:top w:val="nil" w:sz="6" w:space="0" w:color="auto"/>
              <w:left w:val="single" w:sz="4" w:space="0" w:color="000000"/>
              <w:bottom w:val="single" w:sz="4" w:space="0" w:color="000000"/>
              <w:right w:val="single" w:sz="4" w:space="0" w:color="000000"/>
            </w:tcBorders>
            <w:shd w:val="clear" w:color="auto" w:fill="D2D2D2"/>
          </w:tcPr>
          <w:p>
            <w:pPr/>
          </w:p>
        </w:tc>
        <w:tc>
          <w:tcPr>
            <w:tcW w:w="1203" w:type="dxa"/>
            <w:vMerge/>
            <w:tcBorders>
              <w:left w:val="single" w:sz="4" w:space="0" w:color="000000"/>
              <w:bottom w:val="single" w:sz="4" w:space="0" w:color="000000"/>
              <w:right w:val="single" w:sz="4" w:space="0" w:color="000000"/>
            </w:tcBorders>
            <w:shd w:val="clear" w:color="auto" w:fill="D2D2D2"/>
          </w:tcPr>
          <w:p>
            <w:pPr/>
          </w:p>
        </w:tc>
        <w:tc>
          <w:tcPr>
            <w:tcW w:w="660" w:type="dxa"/>
            <w:vMerge/>
            <w:tcBorders>
              <w:left w:val="single" w:sz="4" w:space="0" w:color="000000"/>
              <w:bottom w:val="single" w:sz="4" w:space="0" w:color="000000"/>
              <w:right w:val="single" w:sz="4" w:space="0" w:color="000000"/>
            </w:tcBorders>
            <w:shd w:val="clear" w:color="auto" w:fill="D2D2D2"/>
          </w:tcPr>
          <w:p>
            <w:pPr/>
          </w:p>
        </w:tc>
        <w:tc>
          <w:tcPr>
            <w:tcW w:w="1022" w:type="dxa"/>
            <w:gridSpan w:val="2"/>
            <w:vMerge/>
            <w:tcBorders>
              <w:left w:val="single" w:sz="4" w:space="0" w:color="000000"/>
              <w:bottom w:val="single" w:sz="4" w:space="0" w:color="000000"/>
              <w:right w:val="single" w:sz="4" w:space="0" w:color="000000"/>
            </w:tcBorders>
            <w:shd w:val="clear" w:color="auto" w:fill="D2D2D2"/>
          </w:tcPr>
          <w:p>
            <w:pPr/>
          </w:p>
        </w:tc>
        <w:tc>
          <w:tcPr>
            <w:tcW w:w="881" w:type="dxa"/>
            <w:gridSpan w:val="2"/>
            <w:vMerge/>
            <w:tcBorders>
              <w:left w:val="single" w:sz="4" w:space="0" w:color="000000"/>
              <w:bottom w:val="single" w:sz="4" w:space="0" w:color="000000"/>
              <w:right w:val="single" w:sz="4" w:space="0" w:color="000000"/>
            </w:tcBorders>
            <w:shd w:val="clear" w:color="auto" w:fill="D2D2D2"/>
          </w:tcPr>
          <w:p>
            <w:pPr/>
          </w:p>
        </w:tc>
        <w:tc>
          <w:tcPr>
            <w:tcW w:w="836" w:type="dxa"/>
            <w:vMerge/>
            <w:tcBorders>
              <w:left w:val="single" w:sz="4" w:space="0" w:color="000000"/>
              <w:bottom w:val="single" w:sz="4" w:space="0" w:color="000000"/>
              <w:right w:val="single" w:sz="4" w:space="0" w:color="000000"/>
            </w:tcBorders>
            <w:shd w:val="clear" w:color="auto" w:fill="D2D2D2"/>
          </w:tcPr>
          <w:p>
            <w:pPr/>
          </w:p>
        </w:tc>
        <w:tc>
          <w:tcPr>
            <w:tcW w:w="996" w:type="dxa"/>
            <w:vMerge/>
            <w:tcBorders>
              <w:left w:val="single" w:sz="4" w:space="0" w:color="000000"/>
              <w:bottom w:val="single" w:sz="4" w:space="0" w:color="000000"/>
              <w:right w:val="single" w:sz="4" w:space="0" w:color="000000"/>
            </w:tcBorders>
            <w:shd w:val="clear" w:color="auto" w:fill="D2D2D2"/>
          </w:tcPr>
          <w:p>
            <w:pPr/>
          </w:p>
        </w:tc>
        <w:tc>
          <w:tcPr>
            <w:tcW w:w="430" w:type="dxa"/>
            <w:vMerge/>
            <w:tcBorders>
              <w:left w:val="single" w:sz="4" w:space="0" w:color="000000"/>
              <w:bottom w:val="single" w:sz="4" w:space="0" w:color="000000"/>
              <w:right w:val="single" w:sz="4" w:space="0" w:color="000000"/>
            </w:tcBorders>
            <w:shd w:val="clear" w:color="auto" w:fill="D2D2D2"/>
          </w:tcPr>
          <w:p>
            <w:pPr/>
          </w:p>
        </w:tc>
        <w:tc>
          <w:tcPr>
            <w:tcW w:w="917" w:type="dxa"/>
            <w:gridSpan w:val="2"/>
            <w:vMerge/>
            <w:tcBorders>
              <w:left w:val="single" w:sz="4" w:space="0" w:color="000000"/>
              <w:bottom w:val="single" w:sz="4" w:space="0" w:color="000000"/>
              <w:right w:val="single" w:sz="4" w:space="0" w:color="000000"/>
            </w:tcBorders>
            <w:shd w:val="clear" w:color="auto" w:fill="D2D2D2"/>
          </w:tcPr>
          <w:p>
            <w:pPr/>
          </w:p>
        </w:tc>
      </w:tr>
      <w:tr>
        <w:trPr>
          <w:trHeight w:val="322" w:hRule="exact"/>
        </w:trPr>
        <w:tc>
          <w:tcPr>
            <w:tcW w:w="262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24" w:right="0"/>
              <w:jc w:val="left"/>
              <w:rPr>
                <w:rFonts w:ascii="宋体" w:hAnsi="宋体" w:cs="宋体" w:eastAsia="宋体" w:hint="default"/>
                <w:sz w:val="15"/>
                <w:szCs w:val="15"/>
              </w:rPr>
            </w:pPr>
            <w:r>
              <w:rPr>
                <w:rFonts w:ascii="宋体" w:hAnsi="宋体" w:cs="宋体" w:eastAsia="宋体" w:hint="default"/>
                <w:sz w:val="15"/>
                <w:szCs w:val="15"/>
              </w:rPr>
              <w:t>孝昌鹰溪谷投资中心（有限合伙）</w:t>
            </w:r>
            <w:r>
              <w:rPr>
                <w:rFonts w:ascii="宋体" w:hAnsi="宋体" w:cs="宋体" w:eastAsia="宋体" w:hint="default"/>
                <w:sz w:val="15"/>
                <w:szCs w:val="15"/>
              </w:rPr>
              <w:t> </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23" w:right="0"/>
              <w:jc w:val="left"/>
              <w:rPr>
                <w:rFonts w:ascii="宋体" w:hAnsi="宋体" w:cs="宋体" w:eastAsia="宋体" w:hint="default"/>
                <w:sz w:val="15"/>
                <w:szCs w:val="15"/>
              </w:rPr>
            </w:pPr>
            <w:r>
              <w:rPr>
                <w:rFonts w:ascii="宋体" w:hAnsi="宋体" w:cs="宋体" w:eastAsia="宋体" w:hint="default"/>
                <w:sz w:val="15"/>
                <w:szCs w:val="15"/>
              </w:rPr>
              <w:t>境内非国有法人</w:t>
            </w:r>
            <w:r>
              <w:rPr>
                <w:rFonts w:ascii="宋体" w:hAnsi="宋体" w:cs="宋体" w:eastAsia="宋体" w:hint="default"/>
                <w:sz w:val="15"/>
                <w:szCs w:val="15"/>
              </w:rPr>
              <w:t> </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8"/>
              <w:jc w:val="right"/>
              <w:rPr>
                <w:rFonts w:ascii="宋体" w:hAnsi="宋体" w:cs="宋体" w:eastAsia="宋体" w:hint="default"/>
                <w:sz w:val="15"/>
                <w:szCs w:val="15"/>
              </w:rPr>
            </w:pPr>
            <w:r>
              <w:rPr>
                <w:rFonts w:ascii="宋体"/>
                <w:spacing w:val="-1"/>
                <w:sz w:val="15"/>
              </w:rPr>
              <w:t>22.17</w:t>
            </w:r>
          </w:p>
        </w:tc>
        <w:tc>
          <w:tcPr>
            <w:tcW w:w="10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65" w:right="0"/>
              <w:jc w:val="left"/>
              <w:rPr>
                <w:rFonts w:ascii="宋体" w:hAnsi="宋体" w:cs="宋体" w:eastAsia="宋体" w:hint="default"/>
                <w:sz w:val="15"/>
                <w:szCs w:val="15"/>
              </w:rPr>
            </w:pPr>
            <w:r>
              <w:rPr>
                <w:rFonts w:ascii="宋体"/>
                <w:sz w:val="15"/>
              </w:rPr>
              <w:t>148,360,844</w:t>
            </w:r>
          </w:p>
        </w:tc>
        <w:tc>
          <w:tcPr>
            <w:tcW w:w="8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8"/>
              <w:jc w:val="right"/>
              <w:rPr>
                <w:rFonts w:ascii="宋体" w:hAnsi="宋体" w:cs="宋体" w:eastAsia="宋体" w:hint="default"/>
                <w:sz w:val="15"/>
                <w:szCs w:val="15"/>
              </w:rPr>
            </w:pPr>
            <w:r>
              <w:rPr>
                <w:rFonts w:ascii="宋体"/>
                <w:w w:val="100"/>
                <w:sz w:val="15"/>
              </w:rPr>
              <w:t>0</w:t>
            </w:r>
          </w:p>
        </w:tc>
        <w:tc>
          <w:tcPr>
            <w:tcW w:w="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宋体" w:hAnsi="宋体" w:cs="宋体" w:eastAsia="宋体" w:hint="default"/>
                <w:sz w:val="15"/>
                <w:szCs w:val="15"/>
              </w:rPr>
            </w:pPr>
            <w:r>
              <w:rPr>
                <w:rFonts w:ascii="宋体"/>
                <w:w w:val="100"/>
                <w:sz w:val="15"/>
              </w:rPr>
              <w:t>0</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1"/>
              <w:jc w:val="right"/>
              <w:rPr>
                <w:rFonts w:ascii="宋体" w:hAnsi="宋体" w:cs="宋体" w:eastAsia="宋体" w:hint="default"/>
                <w:sz w:val="15"/>
                <w:szCs w:val="15"/>
              </w:rPr>
            </w:pPr>
            <w:r>
              <w:rPr>
                <w:rFonts w:ascii="宋体"/>
                <w:spacing w:val="-1"/>
                <w:sz w:val="15"/>
              </w:rPr>
              <w:t>148,360,844</w:t>
            </w:r>
          </w:p>
        </w:tc>
        <w:tc>
          <w:tcPr>
            <w:tcW w:w="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6"/>
              <w:jc w:val="right"/>
              <w:rPr>
                <w:rFonts w:ascii="宋体" w:hAnsi="宋体" w:cs="宋体" w:eastAsia="宋体" w:hint="default"/>
                <w:sz w:val="15"/>
                <w:szCs w:val="15"/>
              </w:rPr>
            </w:pPr>
            <w:r>
              <w:rPr>
                <w:rFonts w:ascii="宋体" w:hAnsi="宋体" w:cs="宋体" w:eastAsia="宋体" w:hint="default"/>
                <w:spacing w:val="-2"/>
                <w:sz w:val="15"/>
                <w:szCs w:val="15"/>
              </w:rPr>
              <w:t>质押</w:t>
            </w:r>
            <w:r>
              <w:rPr>
                <w:rFonts w:ascii="宋体" w:hAnsi="宋体" w:cs="宋体" w:eastAsia="宋体" w:hint="default"/>
                <w:sz w:val="15"/>
                <w:szCs w:val="15"/>
              </w:rPr>
              <w:t> </w:t>
            </w:r>
          </w:p>
        </w:tc>
        <w:tc>
          <w:tcPr>
            <w:tcW w:w="91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59" w:right="0"/>
              <w:jc w:val="left"/>
              <w:rPr>
                <w:rFonts w:ascii="宋体" w:hAnsi="宋体" w:cs="宋体" w:eastAsia="宋体" w:hint="default"/>
                <w:sz w:val="15"/>
                <w:szCs w:val="15"/>
              </w:rPr>
            </w:pPr>
            <w:r>
              <w:rPr>
                <w:rFonts w:ascii="宋体"/>
                <w:sz w:val="15"/>
              </w:rPr>
              <w:t>110,779,998</w:t>
            </w:r>
          </w:p>
        </w:tc>
      </w:tr>
      <w:tr>
        <w:trPr>
          <w:trHeight w:val="322" w:hRule="exact"/>
        </w:trPr>
        <w:tc>
          <w:tcPr>
            <w:tcW w:w="262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24" w:right="0"/>
              <w:jc w:val="left"/>
              <w:rPr>
                <w:rFonts w:ascii="宋体" w:hAnsi="宋体" w:cs="宋体" w:eastAsia="宋体" w:hint="default"/>
                <w:sz w:val="15"/>
                <w:szCs w:val="15"/>
              </w:rPr>
            </w:pPr>
            <w:r>
              <w:rPr>
                <w:rFonts w:ascii="宋体" w:hAnsi="宋体" w:cs="宋体" w:eastAsia="宋体" w:hint="default"/>
                <w:sz w:val="15"/>
                <w:szCs w:val="15"/>
              </w:rPr>
              <w:t>中兆投资管理有限公司</w:t>
            </w:r>
            <w:r>
              <w:rPr>
                <w:rFonts w:ascii="宋体" w:hAnsi="宋体" w:cs="宋体" w:eastAsia="宋体" w:hint="default"/>
                <w:sz w:val="15"/>
                <w:szCs w:val="15"/>
              </w:rPr>
              <w:t> </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23" w:right="0"/>
              <w:jc w:val="left"/>
              <w:rPr>
                <w:rFonts w:ascii="宋体" w:hAnsi="宋体" w:cs="宋体" w:eastAsia="宋体" w:hint="default"/>
                <w:sz w:val="15"/>
                <w:szCs w:val="15"/>
              </w:rPr>
            </w:pPr>
            <w:r>
              <w:rPr>
                <w:rFonts w:ascii="宋体" w:hAnsi="宋体" w:cs="宋体" w:eastAsia="宋体" w:hint="default"/>
                <w:sz w:val="15"/>
                <w:szCs w:val="15"/>
              </w:rPr>
              <w:t>境内非国有法人</w:t>
            </w:r>
            <w:r>
              <w:rPr>
                <w:rFonts w:ascii="宋体" w:hAnsi="宋体" w:cs="宋体" w:eastAsia="宋体" w:hint="default"/>
                <w:sz w:val="15"/>
                <w:szCs w:val="15"/>
              </w:rPr>
              <w:t> </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8"/>
              <w:jc w:val="right"/>
              <w:rPr>
                <w:rFonts w:ascii="宋体" w:hAnsi="宋体" w:cs="宋体" w:eastAsia="宋体" w:hint="default"/>
                <w:sz w:val="15"/>
                <w:szCs w:val="15"/>
              </w:rPr>
            </w:pPr>
            <w:r>
              <w:rPr>
                <w:rFonts w:ascii="宋体"/>
                <w:spacing w:val="-1"/>
                <w:sz w:val="15"/>
              </w:rPr>
              <w:t>20.64</w:t>
            </w:r>
          </w:p>
        </w:tc>
        <w:tc>
          <w:tcPr>
            <w:tcW w:w="10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65" w:right="0"/>
              <w:jc w:val="left"/>
              <w:rPr>
                <w:rFonts w:ascii="宋体" w:hAnsi="宋体" w:cs="宋体" w:eastAsia="宋体" w:hint="default"/>
                <w:sz w:val="15"/>
                <w:szCs w:val="15"/>
              </w:rPr>
            </w:pPr>
            <w:r>
              <w:rPr>
                <w:rFonts w:ascii="宋体"/>
                <w:sz w:val="15"/>
              </w:rPr>
              <w:t>138,074,832</w:t>
            </w:r>
          </w:p>
        </w:tc>
        <w:tc>
          <w:tcPr>
            <w:tcW w:w="8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8"/>
              <w:jc w:val="right"/>
              <w:rPr>
                <w:rFonts w:ascii="宋体" w:hAnsi="宋体" w:cs="宋体" w:eastAsia="宋体" w:hint="default"/>
                <w:sz w:val="15"/>
                <w:szCs w:val="15"/>
              </w:rPr>
            </w:pPr>
            <w:r>
              <w:rPr>
                <w:rFonts w:ascii="宋体"/>
                <w:w w:val="100"/>
                <w:sz w:val="15"/>
              </w:rPr>
              <w:t>0</w:t>
            </w:r>
          </w:p>
        </w:tc>
        <w:tc>
          <w:tcPr>
            <w:tcW w:w="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宋体" w:hAnsi="宋体" w:cs="宋体" w:eastAsia="宋体" w:hint="default"/>
                <w:sz w:val="15"/>
                <w:szCs w:val="15"/>
              </w:rPr>
            </w:pPr>
            <w:r>
              <w:rPr>
                <w:rFonts w:ascii="宋体"/>
                <w:w w:val="100"/>
                <w:sz w:val="15"/>
              </w:rPr>
              <w:t>0</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1"/>
              <w:jc w:val="right"/>
              <w:rPr>
                <w:rFonts w:ascii="宋体" w:hAnsi="宋体" w:cs="宋体" w:eastAsia="宋体" w:hint="default"/>
                <w:sz w:val="15"/>
                <w:szCs w:val="15"/>
              </w:rPr>
            </w:pPr>
            <w:r>
              <w:rPr>
                <w:rFonts w:ascii="宋体"/>
                <w:spacing w:val="-1"/>
                <w:sz w:val="15"/>
              </w:rPr>
              <w:t>138,074,832</w:t>
            </w:r>
          </w:p>
        </w:tc>
        <w:tc>
          <w:tcPr>
            <w:tcW w:w="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6"/>
              <w:jc w:val="right"/>
              <w:rPr>
                <w:rFonts w:ascii="宋体" w:hAnsi="宋体" w:cs="宋体" w:eastAsia="宋体" w:hint="default"/>
                <w:sz w:val="15"/>
                <w:szCs w:val="15"/>
              </w:rPr>
            </w:pPr>
            <w:r>
              <w:rPr>
                <w:rFonts w:ascii="宋体" w:hAnsi="宋体" w:cs="宋体" w:eastAsia="宋体" w:hint="default"/>
                <w:spacing w:val="-2"/>
                <w:sz w:val="15"/>
                <w:szCs w:val="15"/>
              </w:rPr>
              <w:t>质押</w:t>
            </w:r>
            <w:r>
              <w:rPr>
                <w:rFonts w:ascii="宋体" w:hAnsi="宋体" w:cs="宋体" w:eastAsia="宋体" w:hint="default"/>
                <w:sz w:val="15"/>
                <w:szCs w:val="15"/>
              </w:rPr>
              <w:t> </w:t>
            </w:r>
          </w:p>
        </w:tc>
        <w:tc>
          <w:tcPr>
            <w:tcW w:w="91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59" w:right="0"/>
              <w:jc w:val="left"/>
              <w:rPr>
                <w:rFonts w:ascii="宋体" w:hAnsi="宋体" w:cs="宋体" w:eastAsia="宋体" w:hint="default"/>
                <w:sz w:val="15"/>
                <w:szCs w:val="15"/>
              </w:rPr>
            </w:pPr>
            <w:r>
              <w:rPr>
                <w:rFonts w:ascii="宋体"/>
                <w:sz w:val="15"/>
              </w:rPr>
              <w:t>131,415,800</w:t>
            </w:r>
          </w:p>
        </w:tc>
      </w:tr>
      <w:tr>
        <w:trPr>
          <w:trHeight w:val="322" w:hRule="exact"/>
        </w:trPr>
        <w:tc>
          <w:tcPr>
            <w:tcW w:w="262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24" w:right="0"/>
              <w:jc w:val="left"/>
              <w:rPr>
                <w:rFonts w:ascii="宋体" w:hAnsi="宋体" w:cs="宋体" w:eastAsia="宋体" w:hint="default"/>
                <w:sz w:val="15"/>
                <w:szCs w:val="15"/>
              </w:rPr>
            </w:pPr>
            <w:r>
              <w:rPr>
                <w:rFonts w:ascii="宋体" w:hAnsi="宋体" w:cs="宋体" w:eastAsia="宋体" w:hint="default"/>
                <w:sz w:val="15"/>
                <w:szCs w:val="15"/>
              </w:rPr>
              <w:t>深圳通泰达投资中心（有限合伙）</w:t>
            </w:r>
            <w:r>
              <w:rPr>
                <w:rFonts w:ascii="宋体" w:hAnsi="宋体" w:cs="宋体" w:eastAsia="宋体" w:hint="default"/>
                <w:sz w:val="15"/>
                <w:szCs w:val="15"/>
              </w:rPr>
              <w:t> </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23" w:right="0"/>
              <w:jc w:val="left"/>
              <w:rPr>
                <w:rFonts w:ascii="宋体" w:hAnsi="宋体" w:cs="宋体" w:eastAsia="宋体" w:hint="default"/>
                <w:sz w:val="15"/>
                <w:szCs w:val="15"/>
              </w:rPr>
            </w:pPr>
            <w:r>
              <w:rPr>
                <w:rFonts w:ascii="宋体" w:hAnsi="宋体" w:cs="宋体" w:eastAsia="宋体" w:hint="default"/>
                <w:sz w:val="15"/>
                <w:szCs w:val="15"/>
              </w:rPr>
              <w:t>境内非国有法人</w:t>
            </w:r>
            <w:r>
              <w:rPr>
                <w:rFonts w:ascii="宋体" w:hAnsi="宋体" w:cs="宋体" w:eastAsia="宋体" w:hint="default"/>
                <w:sz w:val="15"/>
                <w:szCs w:val="15"/>
              </w:rPr>
              <w:t> </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8"/>
              <w:jc w:val="right"/>
              <w:rPr>
                <w:rFonts w:ascii="宋体" w:hAnsi="宋体" w:cs="宋体" w:eastAsia="宋体" w:hint="default"/>
                <w:sz w:val="15"/>
                <w:szCs w:val="15"/>
              </w:rPr>
            </w:pPr>
            <w:r>
              <w:rPr>
                <w:rFonts w:ascii="宋体"/>
                <w:spacing w:val="-1"/>
                <w:sz w:val="15"/>
              </w:rPr>
              <w:t>10.46</w:t>
            </w:r>
          </w:p>
        </w:tc>
        <w:tc>
          <w:tcPr>
            <w:tcW w:w="10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239" w:right="0"/>
              <w:jc w:val="left"/>
              <w:rPr>
                <w:rFonts w:ascii="宋体" w:hAnsi="宋体" w:cs="宋体" w:eastAsia="宋体" w:hint="default"/>
                <w:sz w:val="15"/>
                <w:szCs w:val="15"/>
              </w:rPr>
            </w:pPr>
            <w:r>
              <w:rPr>
                <w:rFonts w:ascii="宋体"/>
                <w:sz w:val="15"/>
              </w:rPr>
              <w:t>70,000,000</w:t>
            </w:r>
          </w:p>
        </w:tc>
        <w:tc>
          <w:tcPr>
            <w:tcW w:w="8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8"/>
              <w:jc w:val="right"/>
              <w:rPr>
                <w:rFonts w:ascii="宋体" w:hAnsi="宋体" w:cs="宋体" w:eastAsia="宋体" w:hint="default"/>
                <w:sz w:val="15"/>
                <w:szCs w:val="15"/>
              </w:rPr>
            </w:pPr>
            <w:r>
              <w:rPr>
                <w:rFonts w:ascii="宋体"/>
                <w:w w:val="100"/>
                <w:sz w:val="15"/>
              </w:rPr>
              <w:t>0</w:t>
            </w:r>
          </w:p>
        </w:tc>
        <w:tc>
          <w:tcPr>
            <w:tcW w:w="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0"/>
              <w:jc w:val="right"/>
              <w:rPr>
                <w:rFonts w:ascii="宋体" w:hAnsi="宋体" w:cs="宋体" w:eastAsia="宋体" w:hint="default"/>
                <w:sz w:val="15"/>
                <w:szCs w:val="15"/>
              </w:rPr>
            </w:pPr>
            <w:r>
              <w:rPr>
                <w:rFonts w:ascii="宋体"/>
                <w:w w:val="100"/>
                <w:sz w:val="15"/>
              </w:rPr>
              <w:t>0</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1"/>
              <w:jc w:val="right"/>
              <w:rPr>
                <w:rFonts w:ascii="宋体" w:hAnsi="宋体" w:cs="宋体" w:eastAsia="宋体" w:hint="default"/>
                <w:sz w:val="15"/>
                <w:szCs w:val="15"/>
              </w:rPr>
            </w:pPr>
            <w:r>
              <w:rPr>
                <w:rFonts w:ascii="宋体"/>
                <w:spacing w:val="-1"/>
                <w:sz w:val="15"/>
              </w:rPr>
              <w:t>70,000,000</w:t>
            </w:r>
          </w:p>
        </w:tc>
        <w:tc>
          <w:tcPr>
            <w:tcW w:w="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6"/>
              <w:jc w:val="right"/>
              <w:rPr>
                <w:rFonts w:ascii="宋体" w:hAnsi="宋体" w:cs="宋体" w:eastAsia="宋体" w:hint="default"/>
                <w:sz w:val="15"/>
                <w:szCs w:val="15"/>
              </w:rPr>
            </w:pPr>
            <w:r>
              <w:rPr>
                <w:rFonts w:ascii="宋体" w:hAnsi="宋体" w:cs="宋体" w:eastAsia="宋体" w:hint="default"/>
                <w:spacing w:val="-2"/>
                <w:sz w:val="15"/>
                <w:szCs w:val="15"/>
              </w:rPr>
              <w:t>质押</w:t>
            </w:r>
            <w:r>
              <w:rPr>
                <w:rFonts w:ascii="宋体" w:hAnsi="宋体" w:cs="宋体" w:eastAsia="宋体" w:hint="default"/>
                <w:sz w:val="15"/>
                <w:szCs w:val="15"/>
              </w:rPr>
              <w:t> </w:t>
            </w:r>
          </w:p>
        </w:tc>
        <w:tc>
          <w:tcPr>
            <w:tcW w:w="91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134" w:right="0"/>
              <w:jc w:val="left"/>
              <w:rPr>
                <w:rFonts w:ascii="宋体" w:hAnsi="宋体" w:cs="宋体" w:eastAsia="宋体" w:hint="default"/>
                <w:sz w:val="15"/>
                <w:szCs w:val="15"/>
              </w:rPr>
            </w:pPr>
            <w:r>
              <w:rPr>
                <w:rFonts w:ascii="宋体"/>
                <w:sz w:val="15"/>
              </w:rPr>
              <w:t>70,000,000</w:t>
            </w:r>
          </w:p>
        </w:tc>
      </w:tr>
      <w:tr>
        <w:trPr>
          <w:trHeight w:val="324" w:hRule="exact"/>
        </w:trPr>
        <w:tc>
          <w:tcPr>
            <w:tcW w:w="262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24" w:right="0"/>
              <w:jc w:val="left"/>
              <w:rPr>
                <w:rFonts w:ascii="宋体" w:hAnsi="宋体" w:cs="宋体" w:eastAsia="宋体" w:hint="default"/>
                <w:sz w:val="15"/>
                <w:szCs w:val="15"/>
              </w:rPr>
            </w:pPr>
            <w:r>
              <w:rPr>
                <w:rFonts w:ascii="宋体" w:hAnsi="宋体" w:cs="宋体" w:eastAsia="宋体" w:hint="default"/>
                <w:sz w:val="15"/>
                <w:szCs w:val="15"/>
              </w:rPr>
              <w:t>刘英魁</w:t>
            </w:r>
            <w:r>
              <w:rPr>
                <w:rFonts w:ascii="宋体" w:hAnsi="宋体" w:cs="宋体" w:eastAsia="宋体" w:hint="default"/>
                <w:sz w:val="15"/>
                <w:szCs w:val="15"/>
              </w:rPr>
              <w:t> </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23" w:right="0"/>
              <w:jc w:val="left"/>
              <w:rPr>
                <w:rFonts w:ascii="宋体" w:hAnsi="宋体" w:cs="宋体" w:eastAsia="宋体" w:hint="default"/>
                <w:sz w:val="15"/>
                <w:szCs w:val="15"/>
              </w:rPr>
            </w:pPr>
            <w:r>
              <w:rPr>
                <w:rFonts w:ascii="宋体" w:hAnsi="宋体" w:cs="宋体" w:eastAsia="宋体" w:hint="default"/>
                <w:sz w:val="15"/>
                <w:szCs w:val="15"/>
              </w:rPr>
              <w:t>境内自然人</w:t>
            </w:r>
            <w:r>
              <w:rPr>
                <w:rFonts w:ascii="宋体" w:hAnsi="宋体" w:cs="宋体" w:eastAsia="宋体" w:hint="default"/>
                <w:sz w:val="15"/>
                <w:szCs w:val="15"/>
              </w:rPr>
              <w:t> </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8"/>
              <w:jc w:val="right"/>
              <w:rPr>
                <w:rFonts w:ascii="宋体" w:hAnsi="宋体" w:cs="宋体" w:eastAsia="宋体" w:hint="default"/>
                <w:sz w:val="15"/>
                <w:szCs w:val="15"/>
              </w:rPr>
            </w:pPr>
            <w:r>
              <w:rPr>
                <w:rFonts w:ascii="宋体"/>
                <w:spacing w:val="-1"/>
                <w:sz w:val="15"/>
              </w:rPr>
              <w:t>9.51</w:t>
            </w:r>
          </w:p>
        </w:tc>
        <w:tc>
          <w:tcPr>
            <w:tcW w:w="10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239" w:right="0"/>
              <w:jc w:val="left"/>
              <w:rPr>
                <w:rFonts w:ascii="宋体" w:hAnsi="宋体" w:cs="宋体" w:eastAsia="宋体" w:hint="default"/>
                <w:sz w:val="15"/>
                <w:szCs w:val="15"/>
              </w:rPr>
            </w:pPr>
            <w:r>
              <w:rPr>
                <w:rFonts w:ascii="宋体"/>
                <w:sz w:val="15"/>
              </w:rPr>
              <w:t>63,634,356</w:t>
            </w:r>
          </w:p>
        </w:tc>
        <w:tc>
          <w:tcPr>
            <w:tcW w:w="8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398" w:right="0"/>
              <w:jc w:val="left"/>
              <w:rPr>
                <w:rFonts w:ascii="宋体" w:hAnsi="宋体" w:cs="宋体" w:eastAsia="宋体" w:hint="default"/>
                <w:sz w:val="15"/>
                <w:szCs w:val="15"/>
              </w:rPr>
            </w:pPr>
            <w:r>
              <w:rPr>
                <w:rFonts w:ascii="宋体"/>
                <w:sz w:val="15"/>
              </w:rPr>
              <w:t>16,000</w:t>
            </w:r>
          </w:p>
        </w:tc>
        <w:tc>
          <w:tcPr>
            <w:tcW w:w="8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9"/>
              <w:jc w:val="right"/>
              <w:rPr>
                <w:rFonts w:ascii="宋体" w:hAnsi="宋体" w:cs="宋体" w:eastAsia="宋体" w:hint="default"/>
                <w:sz w:val="15"/>
                <w:szCs w:val="15"/>
              </w:rPr>
            </w:pPr>
            <w:r>
              <w:rPr>
                <w:rFonts w:ascii="宋体"/>
                <w:spacing w:val="-1"/>
                <w:sz w:val="15"/>
              </w:rPr>
              <w:t>47,275,097</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21"/>
              <w:jc w:val="right"/>
              <w:rPr>
                <w:rFonts w:ascii="宋体" w:hAnsi="宋体" w:cs="宋体" w:eastAsia="宋体" w:hint="default"/>
                <w:sz w:val="15"/>
                <w:szCs w:val="15"/>
              </w:rPr>
            </w:pPr>
            <w:r>
              <w:rPr>
                <w:rFonts w:ascii="宋体"/>
                <w:spacing w:val="-1"/>
                <w:sz w:val="15"/>
              </w:rPr>
              <w:t>16,359,259</w:t>
            </w:r>
          </w:p>
        </w:tc>
        <w:tc>
          <w:tcPr>
            <w:tcW w:w="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6"/>
              <w:jc w:val="right"/>
              <w:rPr>
                <w:rFonts w:ascii="宋体" w:hAnsi="宋体" w:cs="宋体" w:eastAsia="宋体" w:hint="default"/>
                <w:sz w:val="15"/>
                <w:szCs w:val="15"/>
              </w:rPr>
            </w:pPr>
            <w:r>
              <w:rPr>
                <w:rFonts w:ascii="宋体" w:hAnsi="宋体" w:cs="宋体" w:eastAsia="宋体" w:hint="default"/>
                <w:spacing w:val="-2"/>
                <w:sz w:val="15"/>
                <w:szCs w:val="15"/>
              </w:rPr>
              <w:t>冻结</w:t>
            </w:r>
            <w:r>
              <w:rPr>
                <w:rFonts w:ascii="宋体" w:hAnsi="宋体" w:cs="宋体" w:eastAsia="宋体" w:hint="default"/>
                <w:sz w:val="15"/>
                <w:szCs w:val="15"/>
              </w:rPr>
              <w:t> </w:t>
            </w:r>
          </w:p>
        </w:tc>
        <w:tc>
          <w:tcPr>
            <w:tcW w:w="91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211" w:right="0"/>
              <w:jc w:val="left"/>
              <w:rPr>
                <w:rFonts w:ascii="宋体" w:hAnsi="宋体" w:cs="宋体" w:eastAsia="宋体" w:hint="default"/>
                <w:sz w:val="15"/>
                <w:szCs w:val="15"/>
              </w:rPr>
            </w:pPr>
            <w:r>
              <w:rPr>
                <w:rFonts w:ascii="宋体"/>
                <w:sz w:val="15"/>
              </w:rPr>
              <w:t>5,158,332</w:t>
            </w:r>
          </w:p>
        </w:tc>
      </w:tr>
    </w:tbl>
    <w:p>
      <w:pPr>
        <w:spacing w:after="0" w:line="240" w:lineRule="auto"/>
        <w:jc w:val="left"/>
        <w:rPr>
          <w:rFonts w:ascii="宋体" w:hAnsi="宋体" w:cs="宋体" w:eastAsia="宋体" w:hint="default"/>
          <w:sz w:val="15"/>
          <w:szCs w:val="15"/>
        </w:rPr>
        <w:sectPr>
          <w:pgSz w:w="11910" w:h="16840"/>
          <w:pgMar w:header="880" w:footer="975" w:top="1100" w:bottom="1160" w:left="9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3"/>
          <w:szCs w:val="13"/>
        </w:rPr>
      </w:pPr>
    </w:p>
    <w:p>
      <w:pPr>
        <w:spacing w:before="0"/>
        <w:ind w:left="0" w:right="1150" w:firstLine="0"/>
        <w:jc w:val="right"/>
        <w:rPr>
          <w:rFonts w:ascii="宋体" w:hAnsi="宋体" w:cs="宋体" w:eastAsia="宋体" w:hint="default"/>
          <w:sz w:val="18"/>
          <w:szCs w:val="18"/>
        </w:rPr>
      </w:pPr>
      <w:r>
        <w:rPr/>
        <w:pict>
          <v:shape style="position:absolute;margin-left:56.400002pt;margin-top:-464.0383pt;width:479.3pt;height:479.6pt;mso-position-horizontal-relative:page;mso-position-vertical-relative:paragraph;z-index:196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626"/>
                    <w:gridCol w:w="1203"/>
                    <w:gridCol w:w="660"/>
                    <w:gridCol w:w="1022"/>
                    <w:gridCol w:w="586"/>
                    <w:gridCol w:w="295"/>
                    <w:gridCol w:w="835"/>
                    <w:gridCol w:w="996"/>
                    <w:gridCol w:w="430"/>
                    <w:gridCol w:w="917"/>
                  </w:tblGrid>
                  <w:tr>
                    <w:trPr>
                      <w:trHeight w:val="322" w:hRule="exact"/>
                    </w:trPr>
                    <w:tc>
                      <w:tcPr>
                        <w:tcW w:w="2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24" w:right="-34"/>
                          <w:jc w:val="left"/>
                          <w:rPr>
                            <w:rFonts w:ascii="宋体" w:hAnsi="宋体" w:cs="宋体" w:eastAsia="宋体" w:hint="default"/>
                            <w:sz w:val="15"/>
                            <w:szCs w:val="15"/>
                          </w:rPr>
                        </w:pPr>
                        <w:r>
                          <w:rPr>
                            <w:rFonts w:ascii="宋体" w:hAnsi="宋体" w:cs="宋体" w:eastAsia="宋体" w:hint="default"/>
                            <w:spacing w:val="-6"/>
                            <w:sz w:val="15"/>
                            <w:szCs w:val="15"/>
                          </w:rPr>
                          <w:t>深圳市华美达一号投资中心（有限合伙）</w:t>
                        </w:r>
                        <w:r>
                          <w:rPr>
                            <w:rFonts w:ascii="宋体" w:hAnsi="宋体" w:cs="宋体" w:eastAsia="宋体" w:hint="default"/>
                            <w:sz w:val="15"/>
                            <w:szCs w:val="15"/>
                          </w:rPr>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23" w:right="0"/>
                          <w:jc w:val="left"/>
                          <w:rPr>
                            <w:rFonts w:ascii="宋体" w:hAnsi="宋体" w:cs="宋体" w:eastAsia="宋体" w:hint="default"/>
                            <w:sz w:val="15"/>
                            <w:szCs w:val="15"/>
                          </w:rPr>
                        </w:pPr>
                        <w:r>
                          <w:rPr>
                            <w:rFonts w:ascii="宋体" w:hAnsi="宋体" w:cs="宋体" w:eastAsia="宋体" w:hint="default"/>
                            <w:sz w:val="15"/>
                            <w:szCs w:val="15"/>
                          </w:rPr>
                          <w:t>境内非国有法人</w:t>
                        </w:r>
                        <w:r>
                          <w:rPr>
                            <w:rFonts w:ascii="宋体" w:hAnsi="宋体" w:cs="宋体" w:eastAsia="宋体" w:hint="default"/>
                            <w:sz w:val="15"/>
                            <w:szCs w:val="15"/>
                          </w:rPr>
                          <w:t> </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8"/>
                          <w:jc w:val="right"/>
                          <w:rPr>
                            <w:rFonts w:ascii="宋体" w:hAnsi="宋体" w:cs="宋体" w:eastAsia="宋体" w:hint="default"/>
                            <w:sz w:val="15"/>
                            <w:szCs w:val="15"/>
                          </w:rPr>
                        </w:pPr>
                        <w:r>
                          <w:rPr>
                            <w:rFonts w:ascii="宋体"/>
                            <w:spacing w:val="-1"/>
                            <w:sz w:val="15"/>
                          </w:rPr>
                          <w:t>3.34</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8"/>
                          <w:jc w:val="right"/>
                          <w:rPr>
                            <w:rFonts w:ascii="宋体" w:hAnsi="宋体" w:cs="宋体" w:eastAsia="宋体" w:hint="default"/>
                            <w:sz w:val="15"/>
                            <w:szCs w:val="15"/>
                          </w:rPr>
                        </w:pPr>
                        <w:r>
                          <w:rPr>
                            <w:rFonts w:ascii="宋体"/>
                            <w:spacing w:val="-1"/>
                            <w:sz w:val="15"/>
                          </w:rPr>
                          <w:t>22,363,200</w:t>
                        </w:r>
                      </w:p>
                    </w:tc>
                    <w:tc>
                      <w:tcPr>
                        <w:tcW w:w="8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98" w:right="0"/>
                          <w:jc w:val="left"/>
                          <w:rPr>
                            <w:rFonts w:ascii="宋体" w:hAnsi="宋体" w:cs="宋体" w:eastAsia="宋体" w:hint="default"/>
                            <w:sz w:val="15"/>
                            <w:szCs w:val="15"/>
                          </w:rPr>
                        </w:pPr>
                        <w:r>
                          <w:rPr>
                            <w:rFonts w:ascii="宋体"/>
                            <w:sz w:val="15"/>
                          </w:rPr>
                          <w:t>15,895,600</w:t>
                        </w:r>
                      </w:p>
                    </w:tc>
                    <w:tc>
                      <w:tcPr>
                        <w:tcW w:w="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8"/>
                          <w:jc w:val="right"/>
                          <w:rPr>
                            <w:rFonts w:ascii="宋体" w:hAnsi="宋体" w:cs="宋体" w:eastAsia="宋体" w:hint="default"/>
                            <w:sz w:val="15"/>
                            <w:szCs w:val="15"/>
                          </w:rPr>
                        </w:pPr>
                        <w:r>
                          <w:rPr>
                            <w:rFonts w:ascii="宋体"/>
                            <w:w w:val="100"/>
                            <w:sz w:val="15"/>
                          </w:rPr>
                          <w:t>0</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1"/>
                          <w:jc w:val="right"/>
                          <w:rPr>
                            <w:rFonts w:ascii="宋体" w:hAnsi="宋体" w:cs="宋体" w:eastAsia="宋体" w:hint="default"/>
                            <w:sz w:val="15"/>
                            <w:szCs w:val="15"/>
                          </w:rPr>
                        </w:pPr>
                        <w:r>
                          <w:rPr>
                            <w:rFonts w:ascii="宋体"/>
                            <w:spacing w:val="-1"/>
                            <w:sz w:val="15"/>
                          </w:rPr>
                          <w:t>22,363,200</w:t>
                        </w:r>
                      </w:p>
                    </w:tc>
                    <w:tc>
                      <w:tcPr>
                        <w:tcW w:w="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33"/>
                          <w:jc w:val="right"/>
                          <w:rPr>
                            <w:rFonts w:ascii="宋体" w:hAnsi="宋体" w:cs="宋体" w:eastAsia="宋体" w:hint="default"/>
                            <w:sz w:val="15"/>
                            <w:szCs w:val="15"/>
                          </w:rPr>
                        </w:pPr>
                        <w:r>
                          <w:rPr>
                            <w:rFonts w:ascii="宋体"/>
                            <w:w w:val="100"/>
                            <w:sz w:val="15"/>
                          </w:rPr>
                          <w:t> </w:t>
                        </w:r>
                      </w:p>
                    </w:tc>
                    <w:tc>
                      <w:tcPr>
                        <w:tcW w:w="91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24" w:right="0"/>
                          <w:jc w:val="left"/>
                          <w:rPr>
                            <w:rFonts w:ascii="宋体" w:hAnsi="宋体" w:cs="宋体" w:eastAsia="宋体" w:hint="default"/>
                            <w:sz w:val="15"/>
                            <w:szCs w:val="15"/>
                          </w:rPr>
                        </w:pPr>
                        <w:r>
                          <w:rPr>
                            <w:rFonts w:ascii="宋体" w:hAnsi="宋体" w:cs="宋体" w:eastAsia="宋体" w:hint="default"/>
                            <w:sz w:val="15"/>
                            <w:szCs w:val="15"/>
                          </w:rPr>
                          <w:t>深圳茂业百货有限公司</w:t>
                        </w:r>
                        <w:r>
                          <w:rPr>
                            <w:rFonts w:ascii="宋体" w:hAnsi="宋体" w:cs="宋体" w:eastAsia="宋体" w:hint="default"/>
                            <w:sz w:val="15"/>
                            <w:szCs w:val="15"/>
                          </w:rPr>
                          <w:t> </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23" w:right="0"/>
                          <w:jc w:val="left"/>
                          <w:rPr>
                            <w:rFonts w:ascii="宋体" w:hAnsi="宋体" w:cs="宋体" w:eastAsia="宋体" w:hint="default"/>
                            <w:sz w:val="15"/>
                            <w:szCs w:val="15"/>
                          </w:rPr>
                        </w:pPr>
                        <w:r>
                          <w:rPr>
                            <w:rFonts w:ascii="宋体" w:hAnsi="宋体" w:cs="宋体" w:eastAsia="宋体" w:hint="default"/>
                            <w:sz w:val="15"/>
                            <w:szCs w:val="15"/>
                          </w:rPr>
                          <w:t>境内非国有法人</w:t>
                        </w:r>
                        <w:r>
                          <w:rPr>
                            <w:rFonts w:ascii="宋体" w:hAnsi="宋体" w:cs="宋体" w:eastAsia="宋体" w:hint="default"/>
                            <w:sz w:val="15"/>
                            <w:szCs w:val="15"/>
                          </w:rPr>
                          <w:t> </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8"/>
                          <w:jc w:val="right"/>
                          <w:rPr>
                            <w:rFonts w:ascii="宋体" w:hAnsi="宋体" w:cs="宋体" w:eastAsia="宋体" w:hint="default"/>
                            <w:sz w:val="15"/>
                            <w:szCs w:val="15"/>
                          </w:rPr>
                        </w:pPr>
                        <w:r>
                          <w:rPr>
                            <w:rFonts w:ascii="宋体"/>
                            <w:spacing w:val="-1"/>
                            <w:sz w:val="15"/>
                          </w:rPr>
                          <w:t>1.86</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8"/>
                          <w:jc w:val="right"/>
                          <w:rPr>
                            <w:rFonts w:ascii="宋体" w:hAnsi="宋体" w:cs="宋体" w:eastAsia="宋体" w:hint="default"/>
                            <w:sz w:val="15"/>
                            <w:szCs w:val="15"/>
                          </w:rPr>
                        </w:pPr>
                        <w:r>
                          <w:rPr>
                            <w:rFonts w:ascii="宋体"/>
                            <w:spacing w:val="-1"/>
                            <w:sz w:val="15"/>
                          </w:rPr>
                          <w:t>12,436,095</w:t>
                        </w:r>
                      </w:p>
                    </w:tc>
                    <w:tc>
                      <w:tcPr>
                        <w:tcW w:w="8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8"/>
                          <w:jc w:val="right"/>
                          <w:rPr>
                            <w:rFonts w:ascii="宋体" w:hAnsi="宋体" w:cs="宋体" w:eastAsia="宋体" w:hint="default"/>
                            <w:sz w:val="15"/>
                            <w:szCs w:val="15"/>
                          </w:rPr>
                        </w:pPr>
                        <w:r>
                          <w:rPr>
                            <w:rFonts w:ascii="宋体"/>
                            <w:w w:val="100"/>
                            <w:sz w:val="15"/>
                          </w:rPr>
                          <w:t>0</w:t>
                        </w:r>
                      </w:p>
                    </w:tc>
                    <w:tc>
                      <w:tcPr>
                        <w:tcW w:w="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8"/>
                          <w:jc w:val="right"/>
                          <w:rPr>
                            <w:rFonts w:ascii="宋体" w:hAnsi="宋体" w:cs="宋体" w:eastAsia="宋体" w:hint="default"/>
                            <w:sz w:val="15"/>
                            <w:szCs w:val="15"/>
                          </w:rPr>
                        </w:pPr>
                        <w:r>
                          <w:rPr>
                            <w:rFonts w:ascii="宋体"/>
                            <w:w w:val="100"/>
                            <w:sz w:val="15"/>
                          </w:rPr>
                          <w:t>0</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1"/>
                          <w:jc w:val="right"/>
                          <w:rPr>
                            <w:rFonts w:ascii="宋体" w:hAnsi="宋体" w:cs="宋体" w:eastAsia="宋体" w:hint="default"/>
                            <w:sz w:val="15"/>
                            <w:szCs w:val="15"/>
                          </w:rPr>
                        </w:pPr>
                        <w:r>
                          <w:rPr>
                            <w:rFonts w:ascii="宋体"/>
                            <w:spacing w:val="-1"/>
                            <w:sz w:val="15"/>
                          </w:rPr>
                          <w:t>12,436,095</w:t>
                        </w:r>
                      </w:p>
                    </w:tc>
                    <w:tc>
                      <w:tcPr>
                        <w:tcW w:w="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33"/>
                          <w:jc w:val="right"/>
                          <w:rPr>
                            <w:rFonts w:ascii="宋体" w:hAnsi="宋体" w:cs="宋体" w:eastAsia="宋体" w:hint="default"/>
                            <w:sz w:val="15"/>
                            <w:szCs w:val="15"/>
                          </w:rPr>
                        </w:pPr>
                        <w:r>
                          <w:rPr>
                            <w:rFonts w:ascii="宋体"/>
                            <w:w w:val="100"/>
                            <w:sz w:val="15"/>
                          </w:rPr>
                          <w:t> </w:t>
                        </w:r>
                      </w:p>
                    </w:tc>
                    <w:tc>
                      <w:tcPr>
                        <w:tcW w:w="91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24" w:right="0"/>
                          <w:jc w:val="left"/>
                          <w:rPr>
                            <w:rFonts w:ascii="宋体" w:hAnsi="宋体" w:cs="宋体" w:eastAsia="宋体" w:hint="default"/>
                            <w:sz w:val="15"/>
                            <w:szCs w:val="15"/>
                          </w:rPr>
                        </w:pPr>
                        <w:r>
                          <w:rPr>
                            <w:rFonts w:ascii="宋体" w:hAnsi="宋体" w:cs="宋体" w:eastAsia="宋体" w:hint="default"/>
                            <w:sz w:val="15"/>
                            <w:szCs w:val="15"/>
                          </w:rPr>
                          <w:t>王绍春</w:t>
                        </w:r>
                        <w:r>
                          <w:rPr>
                            <w:rFonts w:ascii="宋体" w:hAnsi="宋体" w:cs="宋体" w:eastAsia="宋体" w:hint="default"/>
                            <w:sz w:val="15"/>
                            <w:szCs w:val="15"/>
                          </w:rPr>
                          <w:t> </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23" w:right="0"/>
                          <w:jc w:val="left"/>
                          <w:rPr>
                            <w:rFonts w:ascii="宋体" w:hAnsi="宋体" w:cs="宋体" w:eastAsia="宋体" w:hint="default"/>
                            <w:sz w:val="15"/>
                            <w:szCs w:val="15"/>
                          </w:rPr>
                        </w:pPr>
                        <w:r>
                          <w:rPr>
                            <w:rFonts w:ascii="宋体" w:hAnsi="宋体" w:cs="宋体" w:eastAsia="宋体" w:hint="default"/>
                            <w:sz w:val="15"/>
                            <w:szCs w:val="15"/>
                          </w:rPr>
                          <w:t>境内自然人</w:t>
                        </w:r>
                        <w:r>
                          <w:rPr>
                            <w:rFonts w:ascii="宋体" w:hAnsi="宋体" w:cs="宋体" w:eastAsia="宋体" w:hint="default"/>
                            <w:sz w:val="15"/>
                            <w:szCs w:val="15"/>
                          </w:rPr>
                          <w:t> </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8"/>
                          <w:jc w:val="right"/>
                          <w:rPr>
                            <w:rFonts w:ascii="宋体" w:hAnsi="宋体" w:cs="宋体" w:eastAsia="宋体" w:hint="default"/>
                            <w:sz w:val="15"/>
                            <w:szCs w:val="15"/>
                          </w:rPr>
                        </w:pPr>
                        <w:r>
                          <w:rPr>
                            <w:rFonts w:ascii="宋体"/>
                            <w:spacing w:val="-1"/>
                            <w:sz w:val="15"/>
                          </w:rPr>
                          <w:t>1.79</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8"/>
                          <w:jc w:val="right"/>
                          <w:rPr>
                            <w:rFonts w:ascii="宋体" w:hAnsi="宋体" w:cs="宋体" w:eastAsia="宋体" w:hint="default"/>
                            <w:sz w:val="15"/>
                            <w:szCs w:val="15"/>
                          </w:rPr>
                        </w:pPr>
                        <w:r>
                          <w:rPr>
                            <w:rFonts w:ascii="宋体"/>
                            <w:spacing w:val="-1"/>
                            <w:sz w:val="15"/>
                          </w:rPr>
                          <w:t>12,000,000</w:t>
                        </w:r>
                      </w:p>
                    </w:tc>
                    <w:tc>
                      <w:tcPr>
                        <w:tcW w:w="8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98" w:right="0"/>
                          <w:jc w:val="left"/>
                          <w:rPr>
                            <w:rFonts w:ascii="宋体" w:hAnsi="宋体" w:cs="宋体" w:eastAsia="宋体" w:hint="default"/>
                            <w:sz w:val="15"/>
                            <w:szCs w:val="15"/>
                          </w:rPr>
                        </w:pPr>
                        <w:r>
                          <w:rPr>
                            <w:rFonts w:ascii="宋体"/>
                            <w:sz w:val="15"/>
                          </w:rPr>
                          <w:t>12,000,000</w:t>
                        </w:r>
                      </w:p>
                    </w:tc>
                    <w:tc>
                      <w:tcPr>
                        <w:tcW w:w="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8"/>
                          <w:jc w:val="right"/>
                          <w:rPr>
                            <w:rFonts w:ascii="宋体" w:hAnsi="宋体" w:cs="宋体" w:eastAsia="宋体" w:hint="default"/>
                            <w:sz w:val="15"/>
                            <w:szCs w:val="15"/>
                          </w:rPr>
                        </w:pPr>
                        <w:r>
                          <w:rPr>
                            <w:rFonts w:ascii="宋体"/>
                            <w:w w:val="100"/>
                            <w:sz w:val="15"/>
                          </w:rPr>
                          <w:t>0</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1"/>
                          <w:jc w:val="right"/>
                          <w:rPr>
                            <w:rFonts w:ascii="宋体" w:hAnsi="宋体" w:cs="宋体" w:eastAsia="宋体" w:hint="default"/>
                            <w:sz w:val="15"/>
                            <w:szCs w:val="15"/>
                          </w:rPr>
                        </w:pPr>
                        <w:r>
                          <w:rPr>
                            <w:rFonts w:ascii="宋体"/>
                            <w:spacing w:val="-1"/>
                            <w:sz w:val="15"/>
                          </w:rPr>
                          <w:t>12,000,000</w:t>
                        </w:r>
                      </w:p>
                    </w:tc>
                    <w:tc>
                      <w:tcPr>
                        <w:tcW w:w="4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33"/>
                          <w:jc w:val="right"/>
                          <w:rPr>
                            <w:rFonts w:ascii="宋体" w:hAnsi="宋体" w:cs="宋体" w:eastAsia="宋体" w:hint="default"/>
                            <w:sz w:val="15"/>
                            <w:szCs w:val="15"/>
                          </w:rPr>
                        </w:pPr>
                        <w:r>
                          <w:rPr>
                            <w:rFonts w:ascii="宋体"/>
                            <w:w w:val="100"/>
                            <w:sz w:val="15"/>
                          </w:rPr>
                          <w:t> </w:t>
                        </w:r>
                      </w:p>
                    </w:tc>
                    <w:tc>
                      <w:tcPr>
                        <w:tcW w:w="917"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24" w:right="0"/>
                          <w:jc w:val="left"/>
                          <w:rPr>
                            <w:rFonts w:ascii="宋体" w:hAnsi="宋体" w:cs="宋体" w:eastAsia="宋体" w:hint="default"/>
                            <w:sz w:val="15"/>
                            <w:szCs w:val="15"/>
                          </w:rPr>
                        </w:pPr>
                        <w:r>
                          <w:rPr>
                            <w:rFonts w:ascii="宋体" w:hAnsi="宋体" w:cs="宋体" w:eastAsia="宋体" w:hint="default"/>
                            <w:sz w:val="15"/>
                            <w:szCs w:val="15"/>
                          </w:rPr>
                          <w:t>秦皇岛市国有资产经营控股有限公司</w:t>
                        </w:r>
                        <w:r>
                          <w:rPr>
                            <w:rFonts w:ascii="宋体" w:hAnsi="宋体" w:cs="宋体" w:eastAsia="宋体" w:hint="default"/>
                            <w:sz w:val="15"/>
                            <w:szCs w:val="15"/>
                          </w:rPr>
                          <w:t> </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left="23" w:right="0"/>
                          <w:jc w:val="left"/>
                          <w:rPr>
                            <w:rFonts w:ascii="宋体" w:hAnsi="宋体" w:cs="宋体" w:eastAsia="宋体" w:hint="default"/>
                            <w:sz w:val="15"/>
                            <w:szCs w:val="15"/>
                          </w:rPr>
                        </w:pPr>
                        <w:r>
                          <w:rPr>
                            <w:rFonts w:ascii="宋体" w:hAnsi="宋体" w:cs="宋体" w:eastAsia="宋体" w:hint="default"/>
                            <w:sz w:val="15"/>
                            <w:szCs w:val="15"/>
                          </w:rPr>
                          <w:t>国有法人</w:t>
                        </w:r>
                        <w:r>
                          <w:rPr>
                            <w:rFonts w:ascii="宋体" w:hAnsi="宋体" w:cs="宋体" w:eastAsia="宋体" w:hint="default"/>
                            <w:sz w:val="15"/>
                            <w:szCs w:val="15"/>
                          </w:rPr>
                          <w:t> </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8"/>
                          <w:jc w:val="right"/>
                          <w:rPr>
                            <w:rFonts w:ascii="宋体" w:hAnsi="宋体" w:cs="宋体" w:eastAsia="宋体" w:hint="default"/>
                            <w:sz w:val="15"/>
                            <w:szCs w:val="15"/>
                          </w:rPr>
                        </w:pPr>
                        <w:r>
                          <w:rPr>
                            <w:rFonts w:ascii="宋体"/>
                            <w:spacing w:val="-1"/>
                            <w:sz w:val="15"/>
                          </w:rPr>
                          <w:t>1.75</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8"/>
                          <w:jc w:val="right"/>
                          <w:rPr>
                            <w:rFonts w:ascii="宋体" w:hAnsi="宋体" w:cs="宋体" w:eastAsia="宋体" w:hint="default"/>
                            <w:sz w:val="15"/>
                            <w:szCs w:val="15"/>
                          </w:rPr>
                        </w:pPr>
                        <w:r>
                          <w:rPr>
                            <w:rFonts w:ascii="宋体"/>
                            <w:spacing w:val="-1"/>
                            <w:sz w:val="15"/>
                          </w:rPr>
                          <w:t>11,742,341</w:t>
                        </w:r>
                      </w:p>
                    </w:tc>
                    <w:tc>
                      <w:tcPr>
                        <w:tcW w:w="8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8"/>
                          <w:jc w:val="right"/>
                          <w:rPr>
                            <w:rFonts w:ascii="宋体" w:hAnsi="宋体" w:cs="宋体" w:eastAsia="宋体" w:hint="default"/>
                            <w:sz w:val="15"/>
                            <w:szCs w:val="15"/>
                          </w:rPr>
                        </w:pPr>
                        <w:r>
                          <w:rPr>
                            <w:rFonts w:ascii="宋体"/>
                            <w:w w:val="100"/>
                            <w:sz w:val="15"/>
                          </w:rPr>
                          <w:t>0</w:t>
                        </w:r>
                      </w:p>
                    </w:tc>
                    <w:tc>
                      <w:tcPr>
                        <w:tcW w:w="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18"/>
                          <w:jc w:val="right"/>
                          <w:rPr>
                            <w:rFonts w:ascii="宋体" w:hAnsi="宋体" w:cs="宋体" w:eastAsia="宋体" w:hint="default"/>
                            <w:sz w:val="15"/>
                            <w:szCs w:val="15"/>
                          </w:rPr>
                        </w:pPr>
                        <w:r>
                          <w:rPr>
                            <w:rFonts w:ascii="宋体"/>
                            <w:w w:val="100"/>
                            <w:sz w:val="15"/>
                          </w:rPr>
                          <w:t>0</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8"/>
                          <w:ind w:right="21"/>
                          <w:jc w:val="right"/>
                          <w:rPr>
                            <w:rFonts w:ascii="宋体" w:hAnsi="宋体" w:cs="宋体" w:eastAsia="宋体" w:hint="default"/>
                            <w:sz w:val="15"/>
                            <w:szCs w:val="15"/>
                          </w:rPr>
                        </w:pPr>
                        <w:r>
                          <w:rPr>
                            <w:rFonts w:ascii="宋体"/>
                            <w:spacing w:val="-1"/>
                            <w:sz w:val="15"/>
                          </w:rPr>
                          <w:t>11,742,341</w:t>
                        </w:r>
                      </w:p>
                    </w:tc>
                    <w:tc>
                      <w:tcPr>
                        <w:tcW w:w="430" w:type="dxa"/>
                        <w:tcBorders>
                          <w:top w:val="single" w:sz="4" w:space="0" w:color="000000"/>
                          <w:left w:val="single" w:sz="4" w:space="0" w:color="000000"/>
                          <w:bottom w:val="single" w:sz="4" w:space="0" w:color="000000"/>
                          <w:right w:val="single" w:sz="4" w:space="0" w:color="000000"/>
                        </w:tcBorders>
                      </w:tcPr>
                      <w:p>
                        <w:pPr/>
                      </w:p>
                    </w:tc>
                    <w:tc>
                      <w:tcPr>
                        <w:tcW w:w="91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24" w:right="0"/>
                          <w:jc w:val="left"/>
                          <w:rPr>
                            <w:rFonts w:ascii="宋体" w:hAnsi="宋体" w:cs="宋体" w:eastAsia="宋体" w:hint="default"/>
                            <w:sz w:val="15"/>
                            <w:szCs w:val="15"/>
                          </w:rPr>
                        </w:pPr>
                        <w:r>
                          <w:rPr>
                            <w:rFonts w:ascii="宋体" w:hAnsi="宋体" w:cs="宋体" w:eastAsia="宋体" w:hint="default"/>
                            <w:sz w:val="15"/>
                            <w:szCs w:val="15"/>
                          </w:rPr>
                          <w:t>上海峰幽投资管理中心（普通合伙）</w:t>
                        </w:r>
                        <w:r>
                          <w:rPr>
                            <w:rFonts w:ascii="宋体" w:hAnsi="宋体" w:cs="宋体" w:eastAsia="宋体" w:hint="default"/>
                            <w:sz w:val="15"/>
                            <w:szCs w:val="15"/>
                          </w:rPr>
                          <w:t> </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23" w:right="0"/>
                          <w:jc w:val="left"/>
                          <w:rPr>
                            <w:rFonts w:ascii="宋体" w:hAnsi="宋体" w:cs="宋体" w:eastAsia="宋体" w:hint="default"/>
                            <w:sz w:val="15"/>
                            <w:szCs w:val="15"/>
                          </w:rPr>
                        </w:pPr>
                        <w:r>
                          <w:rPr>
                            <w:rFonts w:ascii="宋体" w:hAnsi="宋体" w:cs="宋体" w:eastAsia="宋体" w:hint="default"/>
                            <w:sz w:val="15"/>
                            <w:szCs w:val="15"/>
                          </w:rPr>
                          <w:t>境内非国有法人</w:t>
                        </w:r>
                        <w:r>
                          <w:rPr>
                            <w:rFonts w:ascii="宋体" w:hAnsi="宋体" w:cs="宋体" w:eastAsia="宋体" w:hint="default"/>
                            <w:sz w:val="15"/>
                            <w:szCs w:val="15"/>
                          </w:rPr>
                          <w:t> </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8"/>
                          <w:jc w:val="right"/>
                          <w:rPr>
                            <w:rFonts w:ascii="宋体" w:hAnsi="宋体" w:cs="宋体" w:eastAsia="宋体" w:hint="default"/>
                            <w:sz w:val="15"/>
                            <w:szCs w:val="15"/>
                          </w:rPr>
                        </w:pPr>
                        <w:r>
                          <w:rPr>
                            <w:rFonts w:ascii="宋体"/>
                            <w:spacing w:val="-1"/>
                            <w:sz w:val="15"/>
                          </w:rPr>
                          <w:t>1.23</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8"/>
                          <w:jc w:val="right"/>
                          <w:rPr>
                            <w:rFonts w:ascii="宋体" w:hAnsi="宋体" w:cs="宋体" w:eastAsia="宋体" w:hint="default"/>
                            <w:sz w:val="15"/>
                            <w:szCs w:val="15"/>
                          </w:rPr>
                        </w:pPr>
                        <w:r>
                          <w:rPr>
                            <w:rFonts w:ascii="宋体"/>
                            <w:spacing w:val="-2"/>
                            <w:sz w:val="15"/>
                          </w:rPr>
                          <w:t>8,253,783</w:t>
                        </w:r>
                      </w:p>
                    </w:tc>
                    <w:tc>
                      <w:tcPr>
                        <w:tcW w:w="8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24" w:right="0"/>
                          <w:jc w:val="left"/>
                          <w:rPr>
                            <w:rFonts w:ascii="宋体" w:hAnsi="宋体" w:cs="宋体" w:eastAsia="宋体" w:hint="default"/>
                            <w:sz w:val="15"/>
                            <w:szCs w:val="15"/>
                          </w:rPr>
                        </w:pPr>
                        <w:r>
                          <w:rPr>
                            <w:rFonts w:ascii="宋体"/>
                            <w:sz w:val="15"/>
                          </w:rPr>
                          <w:t>-18,192,000</w:t>
                        </w:r>
                      </w:p>
                    </w:tc>
                    <w:tc>
                      <w:tcPr>
                        <w:tcW w:w="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8"/>
                          <w:jc w:val="right"/>
                          <w:rPr>
                            <w:rFonts w:ascii="宋体" w:hAnsi="宋体" w:cs="宋体" w:eastAsia="宋体" w:hint="default"/>
                            <w:sz w:val="15"/>
                            <w:szCs w:val="15"/>
                          </w:rPr>
                        </w:pPr>
                        <w:r>
                          <w:rPr>
                            <w:rFonts w:ascii="宋体"/>
                            <w:w w:val="100"/>
                            <w:sz w:val="15"/>
                          </w:rPr>
                          <w:t>0</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1"/>
                          <w:jc w:val="right"/>
                          <w:rPr>
                            <w:rFonts w:ascii="宋体" w:hAnsi="宋体" w:cs="宋体" w:eastAsia="宋体" w:hint="default"/>
                            <w:sz w:val="15"/>
                            <w:szCs w:val="15"/>
                          </w:rPr>
                        </w:pPr>
                        <w:r>
                          <w:rPr>
                            <w:rFonts w:ascii="宋体"/>
                            <w:spacing w:val="-2"/>
                            <w:sz w:val="15"/>
                          </w:rPr>
                          <w:t>8,253,783</w:t>
                        </w:r>
                      </w:p>
                    </w:tc>
                    <w:tc>
                      <w:tcPr>
                        <w:tcW w:w="430" w:type="dxa"/>
                        <w:tcBorders>
                          <w:top w:val="single" w:sz="4" w:space="0" w:color="000000"/>
                          <w:left w:val="single" w:sz="4" w:space="0" w:color="000000"/>
                          <w:bottom w:val="single" w:sz="4" w:space="0" w:color="000000"/>
                          <w:right w:val="single" w:sz="4" w:space="0" w:color="000000"/>
                        </w:tcBorders>
                      </w:tcPr>
                      <w:p>
                        <w:pPr/>
                      </w:p>
                    </w:tc>
                    <w:tc>
                      <w:tcPr>
                        <w:tcW w:w="917"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6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24" w:right="0"/>
                          <w:jc w:val="left"/>
                          <w:rPr>
                            <w:rFonts w:ascii="宋体" w:hAnsi="宋体" w:cs="宋体" w:eastAsia="宋体" w:hint="default"/>
                            <w:sz w:val="15"/>
                            <w:szCs w:val="15"/>
                          </w:rPr>
                        </w:pPr>
                        <w:r>
                          <w:rPr>
                            <w:rFonts w:ascii="宋体" w:hAnsi="宋体" w:cs="宋体" w:eastAsia="宋体" w:hint="default"/>
                            <w:sz w:val="15"/>
                            <w:szCs w:val="15"/>
                          </w:rPr>
                          <w:t>朱胜华</w:t>
                        </w:r>
                        <w:r>
                          <w:rPr>
                            <w:rFonts w:ascii="宋体" w:hAnsi="宋体" w:cs="宋体" w:eastAsia="宋体" w:hint="default"/>
                            <w:sz w:val="15"/>
                            <w:szCs w:val="15"/>
                          </w:rPr>
                          <w:t> </w:t>
                        </w:r>
                      </w:p>
                    </w:tc>
                    <w:tc>
                      <w:tcPr>
                        <w:tcW w:w="12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23" w:right="0"/>
                          <w:jc w:val="left"/>
                          <w:rPr>
                            <w:rFonts w:ascii="宋体" w:hAnsi="宋体" w:cs="宋体" w:eastAsia="宋体" w:hint="default"/>
                            <w:sz w:val="15"/>
                            <w:szCs w:val="15"/>
                          </w:rPr>
                        </w:pPr>
                        <w:r>
                          <w:rPr>
                            <w:rFonts w:ascii="宋体" w:hAnsi="宋体" w:cs="宋体" w:eastAsia="宋体" w:hint="default"/>
                            <w:sz w:val="15"/>
                            <w:szCs w:val="15"/>
                          </w:rPr>
                          <w:t>境内自然人</w:t>
                        </w:r>
                        <w:r>
                          <w:rPr>
                            <w:rFonts w:ascii="宋体" w:hAnsi="宋体" w:cs="宋体" w:eastAsia="宋体" w:hint="default"/>
                            <w:sz w:val="15"/>
                            <w:szCs w:val="15"/>
                          </w:rPr>
                          <w:t> </w:t>
                        </w:r>
                      </w:p>
                    </w:tc>
                    <w:tc>
                      <w:tcPr>
                        <w:tcW w:w="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8"/>
                          <w:jc w:val="right"/>
                          <w:rPr>
                            <w:rFonts w:ascii="宋体" w:hAnsi="宋体" w:cs="宋体" w:eastAsia="宋体" w:hint="default"/>
                            <w:sz w:val="15"/>
                            <w:szCs w:val="15"/>
                          </w:rPr>
                        </w:pPr>
                        <w:r>
                          <w:rPr>
                            <w:rFonts w:ascii="宋体"/>
                            <w:spacing w:val="-1"/>
                            <w:sz w:val="15"/>
                          </w:rPr>
                          <w:t>1.01</w:t>
                        </w:r>
                      </w:p>
                    </w:tc>
                    <w:tc>
                      <w:tcPr>
                        <w:tcW w:w="1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8"/>
                          <w:jc w:val="right"/>
                          <w:rPr>
                            <w:rFonts w:ascii="宋体" w:hAnsi="宋体" w:cs="宋体" w:eastAsia="宋体" w:hint="default"/>
                            <w:sz w:val="15"/>
                            <w:szCs w:val="15"/>
                          </w:rPr>
                        </w:pPr>
                        <w:r>
                          <w:rPr>
                            <w:rFonts w:ascii="宋体"/>
                            <w:spacing w:val="-2"/>
                            <w:sz w:val="15"/>
                          </w:rPr>
                          <w:t>6,740,000</w:t>
                        </w:r>
                      </w:p>
                    </w:tc>
                    <w:tc>
                      <w:tcPr>
                        <w:tcW w:w="8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left="98" w:right="0"/>
                          <w:jc w:val="left"/>
                          <w:rPr>
                            <w:rFonts w:ascii="宋体" w:hAnsi="宋体" w:cs="宋体" w:eastAsia="宋体" w:hint="default"/>
                            <w:sz w:val="15"/>
                            <w:szCs w:val="15"/>
                          </w:rPr>
                        </w:pPr>
                        <w:r>
                          <w:rPr>
                            <w:rFonts w:ascii="宋体"/>
                            <w:sz w:val="15"/>
                          </w:rPr>
                          <w:t>-4,436,000</w:t>
                        </w:r>
                      </w:p>
                    </w:tc>
                    <w:tc>
                      <w:tcPr>
                        <w:tcW w:w="8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8"/>
                          <w:jc w:val="right"/>
                          <w:rPr>
                            <w:rFonts w:ascii="宋体" w:hAnsi="宋体" w:cs="宋体" w:eastAsia="宋体" w:hint="default"/>
                            <w:sz w:val="15"/>
                            <w:szCs w:val="15"/>
                          </w:rPr>
                        </w:pPr>
                        <w:r>
                          <w:rPr>
                            <w:rFonts w:ascii="宋体"/>
                            <w:w w:val="100"/>
                            <w:sz w:val="15"/>
                          </w:rPr>
                          <w:t>0</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21"/>
                          <w:jc w:val="right"/>
                          <w:rPr>
                            <w:rFonts w:ascii="宋体" w:hAnsi="宋体" w:cs="宋体" w:eastAsia="宋体" w:hint="default"/>
                            <w:sz w:val="15"/>
                            <w:szCs w:val="15"/>
                          </w:rPr>
                        </w:pPr>
                        <w:r>
                          <w:rPr>
                            <w:rFonts w:ascii="宋体"/>
                            <w:spacing w:val="-2"/>
                            <w:sz w:val="15"/>
                          </w:rPr>
                          <w:t>6,740,000</w:t>
                        </w:r>
                      </w:p>
                    </w:tc>
                    <w:tc>
                      <w:tcPr>
                        <w:tcW w:w="430" w:type="dxa"/>
                        <w:tcBorders>
                          <w:top w:val="single" w:sz="4" w:space="0" w:color="000000"/>
                          <w:left w:val="single" w:sz="4" w:space="0" w:color="000000"/>
                          <w:bottom w:val="single" w:sz="4" w:space="0" w:color="000000"/>
                          <w:right w:val="single" w:sz="4" w:space="0" w:color="000000"/>
                        </w:tcBorders>
                      </w:tcPr>
                      <w:p>
                        <w:pPr/>
                      </w:p>
                    </w:tc>
                    <w:tc>
                      <w:tcPr>
                        <w:tcW w:w="917" w:type="dxa"/>
                        <w:tcBorders>
                          <w:top w:val="single" w:sz="4" w:space="0" w:color="000000"/>
                          <w:left w:val="single" w:sz="4" w:space="0" w:color="000000"/>
                          <w:bottom w:val="single" w:sz="4" w:space="0" w:color="000000"/>
                          <w:right w:val="single" w:sz="4" w:space="0" w:color="000000"/>
                        </w:tcBorders>
                      </w:tcPr>
                      <w:p>
                        <w:pPr/>
                      </w:p>
                    </w:tc>
                  </w:tr>
                  <w:tr>
                    <w:trPr>
                      <w:trHeight w:val="473" w:hRule="exact"/>
                    </w:trPr>
                    <w:tc>
                      <w:tcPr>
                        <w:tcW w:w="3829"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5742" w:type="dxa"/>
                        <w:gridSpan w:val="8"/>
                        <w:vMerge w:val="restart"/>
                        <w:tcBorders>
                          <w:top w:val="single" w:sz="4" w:space="0" w:color="000000"/>
                          <w:left w:val="single" w:sz="4" w:space="0" w:color="000000"/>
                          <w:right w:val="single" w:sz="4" w:space="0" w:color="000000"/>
                        </w:tcBorders>
                      </w:tcPr>
                      <w:p>
                        <w:pPr>
                          <w:pStyle w:val="TableParagraph"/>
                          <w:spacing w:line="316" w:lineRule="auto" w:before="10"/>
                          <w:ind w:left="24" w:right="23"/>
                          <w:jc w:val="left"/>
                          <w:rPr>
                            <w:rFonts w:ascii="宋体" w:hAnsi="宋体" w:cs="宋体" w:eastAsia="宋体" w:hint="default"/>
                            <w:sz w:val="18"/>
                            <w:szCs w:val="18"/>
                          </w:rPr>
                        </w:pPr>
                        <w:r>
                          <w:rPr>
                            <w:rFonts w:ascii="宋体" w:hAnsi="宋体" w:cs="宋体" w:eastAsia="宋体" w:hint="default"/>
                            <w:sz w:val="18"/>
                            <w:szCs w:val="18"/>
                          </w:rPr>
                          <w:t>孝昌鹰溪谷投资中心</w:t>
                        </w:r>
                        <w:r>
                          <w:rPr>
                            <w:rFonts w:ascii="宋体" w:hAnsi="宋体" w:cs="宋体" w:eastAsia="宋体" w:hint="default"/>
                            <w:sz w:val="18"/>
                            <w:szCs w:val="18"/>
                          </w:rPr>
                          <w:t>(</w:t>
                        </w:r>
                        <w:r>
                          <w:rPr>
                            <w:rFonts w:ascii="宋体" w:hAnsi="宋体" w:cs="宋体" w:eastAsia="宋体" w:hint="default"/>
                            <w:sz w:val="18"/>
                            <w:szCs w:val="18"/>
                          </w:rPr>
                          <w:t>有限合伙</w:t>
                        </w:r>
                        <w:r>
                          <w:rPr>
                            <w:rFonts w:ascii="宋体" w:hAnsi="宋体" w:cs="宋体" w:eastAsia="宋体" w:hint="default"/>
                            <w:sz w:val="18"/>
                            <w:szCs w:val="18"/>
                          </w:rPr>
                          <w:t>)</w:t>
                        </w:r>
                        <w:r>
                          <w:rPr>
                            <w:rFonts w:ascii="宋体" w:hAnsi="宋体" w:cs="宋体" w:eastAsia="宋体" w:hint="default"/>
                            <w:sz w:val="18"/>
                            <w:szCs w:val="18"/>
                          </w:rPr>
                          <w:t>和上海峰幽投资管理中心</w:t>
                        </w:r>
                        <w:r>
                          <w:rPr>
                            <w:rFonts w:ascii="宋体" w:hAnsi="宋体" w:cs="宋体" w:eastAsia="宋体" w:hint="default"/>
                            <w:sz w:val="18"/>
                            <w:szCs w:val="18"/>
                          </w:rPr>
                          <w:t>(</w:t>
                        </w:r>
                        <w:r>
                          <w:rPr>
                            <w:rFonts w:ascii="宋体" w:hAnsi="宋体" w:cs="宋体" w:eastAsia="宋体" w:hint="default"/>
                            <w:sz w:val="18"/>
                            <w:szCs w:val="18"/>
                          </w:rPr>
                          <w:t>普通合伙</w:t>
                        </w:r>
                        <w:r>
                          <w:rPr>
                            <w:rFonts w:ascii="宋体" w:hAnsi="宋体" w:cs="宋体" w:eastAsia="宋体" w:hint="default"/>
                            <w:sz w:val="18"/>
                            <w:szCs w:val="18"/>
                          </w:rPr>
                          <w:t>)</w:t>
                        </w:r>
                        <w:r>
                          <w:rPr>
                            <w:rFonts w:ascii="宋体" w:hAnsi="宋体" w:cs="宋体" w:eastAsia="宋体" w:hint="default"/>
                            <w:sz w:val="18"/>
                            <w:szCs w:val="18"/>
                          </w:rPr>
                          <w:t>是 </w:t>
                        </w:r>
                        <w:r>
                          <w:rPr>
                            <w:rFonts w:ascii="宋体" w:hAnsi="宋体" w:cs="宋体" w:eastAsia="宋体" w:hint="default"/>
                            <w:spacing w:val="-3"/>
                            <w:sz w:val="18"/>
                            <w:szCs w:val="18"/>
                          </w:rPr>
                          <w:t>一致行动人，中兆投资管理有限公司和深圳茂业百货有限公司存在关联关</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pacing w:val="-3"/>
                            <w:sz w:val="18"/>
                            <w:szCs w:val="18"/>
                          </w:rPr>
                          <w:t>系是一致行动人，除此之外未发现上述其他股东之间存在关联关系或是一</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致行动。</w:t>
                        </w:r>
                        <w:r>
                          <w:rPr>
                            <w:rFonts w:ascii="宋体" w:hAnsi="宋体" w:cs="宋体" w:eastAsia="宋体" w:hint="default"/>
                            <w:sz w:val="18"/>
                            <w:szCs w:val="18"/>
                          </w:rPr>
                          <w:t> </w:t>
                        </w:r>
                      </w:p>
                    </w:tc>
                  </w:tr>
                  <w:tr>
                    <w:trPr>
                      <w:trHeight w:val="312" w:hRule="exact"/>
                    </w:trPr>
                    <w:tc>
                      <w:tcPr>
                        <w:tcW w:w="3829" w:type="dxa"/>
                        <w:gridSpan w:val="2"/>
                        <w:tcBorders>
                          <w:top w:val="nil" w:sz="6" w:space="0" w:color="auto"/>
                          <w:left w:val="single" w:sz="4" w:space="0" w:color="000000"/>
                          <w:bottom w:val="nil" w:sz="6" w:space="0" w:color="auto"/>
                          <w:right w:val="single" w:sz="4" w:space="0" w:color="000000"/>
                        </w:tcBorders>
                      </w:tcPr>
                      <w:p>
                        <w:pPr>
                          <w:pStyle w:val="TableParagraph"/>
                          <w:tabs>
                            <w:tab w:pos="3797" w:val="left" w:leader="none"/>
                          </w:tabs>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shd w:fill="D2D2D2" w:color="auto" w:val="clear"/>
                          </w:rPr>
                          <w:t>上述股东关联关系或一致行动的说明</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5742" w:type="dxa"/>
                        <w:gridSpan w:val="8"/>
                        <w:vMerge/>
                        <w:tcBorders>
                          <w:left w:val="single" w:sz="4" w:space="0" w:color="000000"/>
                          <w:right w:val="single" w:sz="4" w:space="0" w:color="000000"/>
                        </w:tcBorders>
                      </w:tcPr>
                      <w:p>
                        <w:pPr/>
                      </w:p>
                    </w:tc>
                  </w:tr>
                  <w:tr>
                    <w:trPr>
                      <w:trHeight w:val="478" w:hRule="exact"/>
                    </w:trPr>
                    <w:tc>
                      <w:tcPr>
                        <w:tcW w:w="3829"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5742" w:type="dxa"/>
                        <w:gridSpan w:val="8"/>
                        <w:vMerge/>
                        <w:tcBorders>
                          <w:left w:val="single" w:sz="4" w:space="0" w:color="000000"/>
                          <w:bottom w:val="single" w:sz="4" w:space="0" w:color="000000"/>
                          <w:right w:val="single" w:sz="4" w:space="0" w:color="000000"/>
                        </w:tcBorders>
                      </w:tcPr>
                      <w:p>
                        <w:pPr/>
                      </w:p>
                    </w:tc>
                  </w:tr>
                  <w:tr>
                    <w:trPr>
                      <w:trHeight w:val="312" w:hRule="exact"/>
                    </w:trPr>
                    <w:tc>
                      <w:tcPr>
                        <w:tcW w:w="9571" w:type="dxa"/>
                        <w:gridSpan w:val="10"/>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left="88" w:right="0"/>
                          <w:jc w:val="center"/>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名无限售条件股东持股情况</w:t>
                        </w:r>
                        <w:r>
                          <w:rPr>
                            <w:rFonts w:ascii="宋体" w:hAnsi="宋体" w:cs="宋体" w:eastAsia="宋体" w:hint="default"/>
                            <w:sz w:val="18"/>
                            <w:szCs w:val="18"/>
                          </w:rPr>
                          <w:t> </w:t>
                        </w:r>
                      </w:p>
                    </w:tc>
                  </w:tr>
                  <w:tr>
                    <w:trPr>
                      <w:trHeight w:val="173" w:hRule="exact"/>
                    </w:trPr>
                    <w:tc>
                      <w:tcPr>
                        <w:tcW w:w="3829" w:type="dxa"/>
                        <w:gridSpan w:val="2"/>
                        <w:tcBorders>
                          <w:top w:val="single" w:sz="4" w:space="0" w:color="000000"/>
                          <w:left w:val="single" w:sz="4" w:space="0" w:color="000000"/>
                          <w:bottom w:val="nil" w:sz="6" w:space="0" w:color="auto"/>
                          <w:right w:val="single" w:sz="4" w:space="0" w:color="000000"/>
                        </w:tcBorders>
                        <w:shd w:val="clear" w:color="auto" w:fill="D2D2D2"/>
                      </w:tcPr>
                      <w:p>
                        <w:pPr/>
                      </w:p>
                    </w:tc>
                    <w:tc>
                      <w:tcPr>
                        <w:tcW w:w="2268"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22"/>
                          <w:ind w:left="859" w:right="46" w:hanging="809"/>
                          <w:jc w:val="left"/>
                          <w:rPr>
                            <w:rFonts w:ascii="宋体" w:hAnsi="宋体" w:cs="宋体" w:eastAsia="宋体" w:hint="default"/>
                            <w:sz w:val="18"/>
                            <w:szCs w:val="18"/>
                          </w:rPr>
                        </w:pPr>
                        <w:r>
                          <w:rPr>
                            <w:rFonts w:ascii="宋体" w:hAnsi="宋体" w:cs="宋体" w:eastAsia="宋体" w:hint="default"/>
                            <w:sz w:val="18"/>
                            <w:szCs w:val="18"/>
                          </w:rPr>
                          <w:t>报告期末持有无限售条件股 份数量</w:t>
                        </w:r>
                        <w:r>
                          <w:rPr>
                            <w:rFonts w:ascii="宋体" w:hAnsi="宋体" w:cs="宋体" w:eastAsia="宋体" w:hint="default"/>
                            <w:sz w:val="18"/>
                            <w:szCs w:val="18"/>
                          </w:rPr>
                          <w:t> </w:t>
                        </w:r>
                      </w:p>
                    </w:tc>
                    <w:tc>
                      <w:tcPr>
                        <w:tcW w:w="3473" w:type="dxa"/>
                        <w:gridSpan w:val="5"/>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5"/>
                          <w:ind w:left="86" w:right="0"/>
                          <w:jc w:val="center"/>
                          <w:rPr>
                            <w:rFonts w:ascii="宋体" w:hAnsi="宋体" w:cs="宋体" w:eastAsia="宋体" w:hint="default"/>
                            <w:sz w:val="18"/>
                            <w:szCs w:val="18"/>
                          </w:rPr>
                        </w:pPr>
                        <w:r>
                          <w:rPr>
                            <w:rFonts w:ascii="宋体" w:hAnsi="宋体" w:cs="宋体" w:eastAsia="宋体" w:hint="default"/>
                            <w:sz w:val="18"/>
                            <w:szCs w:val="18"/>
                          </w:rPr>
                          <w:t>股份种类</w:t>
                        </w:r>
                        <w:r>
                          <w:rPr>
                            <w:rFonts w:ascii="宋体" w:hAnsi="宋体" w:cs="宋体" w:eastAsia="宋体" w:hint="default"/>
                            <w:sz w:val="18"/>
                            <w:szCs w:val="18"/>
                          </w:rPr>
                          <w:t> </w:t>
                        </w:r>
                      </w:p>
                    </w:tc>
                  </w:tr>
                  <w:tr>
                    <w:trPr>
                      <w:trHeight w:val="155" w:hRule="exact"/>
                    </w:trPr>
                    <w:tc>
                      <w:tcPr>
                        <w:tcW w:w="3829" w:type="dxa"/>
                        <w:gridSpan w:val="2"/>
                        <w:vMerge w:val="restart"/>
                        <w:tcBorders>
                          <w:top w:val="nil" w:sz="6" w:space="0" w:color="auto"/>
                          <w:left w:val="single" w:sz="4" w:space="0" w:color="000000"/>
                          <w:right w:val="single" w:sz="4" w:space="0" w:color="000000"/>
                        </w:tcBorders>
                        <w:shd w:val="clear" w:color="auto" w:fill="D2D2D2"/>
                      </w:tcPr>
                      <w:p>
                        <w:pPr>
                          <w:pStyle w:val="TableParagraph"/>
                          <w:spacing w:line="240" w:lineRule="auto" w:before="10"/>
                          <w:ind w:left="92" w:right="0"/>
                          <w:jc w:val="center"/>
                          <w:rPr>
                            <w:rFonts w:ascii="宋体" w:hAnsi="宋体" w:cs="宋体" w:eastAsia="宋体" w:hint="default"/>
                            <w:sz w:val="18"/>
                            <w:szCs w:val="18"/>
                          </w:rPr>
                        </w:pPr>
                        <w:r>
                          <w:rPr>
                            <w:rFonts w:ascii="宋体" w:hAnsi="宋体" w:cs="宋体" w:eastAsia="宋体" w:hint="default"/>
                            <w:sz w:val="18"/>
                            <w:szCs w:val="18"/>
                          </w:rPr>
                          <w:t>股东名称</w:t>
                        </w:r>
                        <w:r>
                          <w:rPr>
                            <w:rFonts w:ascii="宋体" w:hAnsi="宋体" w:cs="宋体" w:eastAsia="宋体" w:hint="default"/>
                            <w:sz w:val="18"/>
                            <w:szCs w:val="18"/>
                          </w:rPr>
                          <w:t> </w:t>
                        </w:r>
                      </w:p>
                    </w:tc>
                    <w:tc>
                      <w:tcPr>
                        <w:tcW w:w="2268" w:type="dxa"/>
                        <w:gridSpan w:val="3"/>
                        <w:vMerge/>
                        <w:tcBorders>
                          <w:left w:val="single" w:sz="4" w:space="0" w:color="000000"/>
                          <w:right w:val="single" w:sz="4" w:space="0" w:color="000000"/>
                        </w:tcBorders>
                        <w:shd w:val="clear" w:color="auto" w:fill="D2D2D2"/>
                      </w:tcPr>
                      <w:p>
                        <w:pPr/>
                      </w:p>
                    </w:tc>
                    <w:tc>
                      <w:tcPr>
                        <w:tcW w:w="3473" w:type="dxa"/>
                        <w:gridSpan w:val="5"/>
                        <w:vMerge/>
                        <w:tcBorders>
                          <w:left w:val="single" w:sz="4" w:space="0" w:color="000000"/>
                          <w:bottom w:val="single" w:sz="4" w:space="0" w:color="000000"/>
                          <w:right w:val="single" w:sz="4" w:space="0" w:color="000000"/>
                        </w:tcBorders>
                        <w:shd w:val="clear" w:color="auto" w:fill="D2D2D2"/>
                      </w:tcPr>
                      <w:p>
                        <w:pPr/>
                      </w:p>
                    </w:tc>
                  </w:tr>
                  <w:tr>
                    <w:trPr>
                      <w:trHeight w:val="157" w:hRule="exact"/>
                    </w:trPr>
                    <w:tc>
                      <w:tcPr>
                        <w:tcW w:w="3829" w:type="dxa"/>
                        <w:gridSpan w:val="2"/>
                        <w:vMerge/>
                        <w:tcBorders>
                          <w:left w:val="single" w:sz="4" w:space="0" w:color="000000"/>
                          <w:bottom w:val="nil" w:sz="6" w:space="0" w:color="auto"/>
                          <w:right w:val="single" w:sz="4" w:space="0" w:color="000000"/>
                        </w:tcBorders>
                        <w:shd w:val="clear" w:color="auto" w:fill="D2D2D2"/>
                      </w:tcPr>
                      <w:p>
                        <w:pPr/>
                      </w:p>
                    </w:tc>
                    <w:tc>
                      <w:tcPr>
                        <w:tcW w:w="2268" w:type="dxa"/>
                        <w:gridSpan w:val="3"/>
                        <w:vMerge/>
                        <w:tcBorders>
                          <w:left w:val="single" w:sz="4" w:space="0" w:color="000000"/>
                          <w:right w:val="single" w:sz="4" w:space="0" w:color="000000"/>
                        </w:tcBorders>
                        <w:shd w:val="clear" w:color="auto" w:fill="D2D2D2"/>
                      </w:tcPr>
                      <w:p>
                        <w:pPr/>
                      </w:p>
                    </w:tc>
                    <w:tc>
                      <w:tcPr>
                        <w:tcW w:w="2127" w:type="dxa"/>
                        <w:gridSpan w:val="3"/>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left="698" w:right="0"/>
                          <w:jc w:val="left"/>
                          <w:rPr>
                            <w:rFonts w:ascii="宋体" w:hAnsi="宋体" w:cs="宋体" w:eastAsia="宋体" w:hint="default"/>
                            <w:sz w:val="18"/>
                            <w:szCs w:val="18"/>
                          </w:rPr>
                        </w:pPr>
                        <w:r>
                          <w:rPr>
                            <w:rFonts w:ascii="宋体" w:hAnsi="宋体" w:cs="宋体" w:eastAsia="宋体" w:hint="default"/>
                            <w:sz w:val="18"/>
                            <w:szCs w:val="18"/>
                          </w:rPr>
                          <w:t>股份种类</w:t>
                        </w:r>
                        <w:r>
                          <w:rPr>
                            <w:rFonts w:ascii="宋体" w:hAnsi="宋体" w:cs="宋体" w:eastAsia="宋体" w:hint="default"/>
                            <w:sz w:val="18"/>
                            <w:szCs w:val="18"/>
                          </w:rPr>
                          <w:t> </w:t>
                        </w:r>
                      </w:p>
                    </w:tc>
                    <w:tc>
                      <w:tcPr>
                        <w:tcW w:w="1347"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left="489" w:right="0"/>
                          <w:jc w:val="left"/>
                          <w:rPr>
                            <w:rFonts w:ascii="宋体" w:hAnsi="宋体" w:cs="宋体" w:eastAsia="宋体" w:hint="default"/>
                            <w:sz w:val="18"/>
                            <w:szCs w:val="18"/>
                          </w:rPr>
                        </w:pPr>
                        <w:r>
                          <w:rPr>
                            <w:rFonts w:ascii="宋体" w:hAnsi="宋体" w:cs="宋体" w:eastAsia="宋体" w:hint="default"/>
                            <w:sz w:val="18"/>
                            <w:szCs w:val="18"/>
                          </w:rPr>
                          <w:t>数量</w:t>
                        </w:r>
                        <w:r>
                          <w:rPr>
                            <w:rFonts w:ascii="宋体" w:hAnsi="宋体" w:cs="宋体" w:eastAsia="宋体" w:hint="default"/>
                            <w:sz w:val="18"/>
                            <w:szCs w:val="18"/>
                          </w:rPr>
                          <w:t> </w:t>
                        </w:r>
                      </w:p>
                    </w:tc>
                  </w:tr>
                  <w:tr>
                    <w:trPr>
                      <w:trHeight w:val="166" w:hRule="exact"/>
                    </w:trPr>
                    <w:tc>
                      <w:tcPr>
                        <w:tcW w:w="3829" w:type="dxa"/>
                        <w:gridSpan w:val="2"/>
                        <w:tcBorders>
                          <w:top w:val="nil" w:sz="6" w:space="0" w:color="auto"/>
                          <w:left w:val="single" w:sz="4" w:space="0" w:color="000000"/>
                          <w:bottom w:val="single" w:sz="4" w:space="0" w:color="000000"/>
                          <w:right w:val="single" w:sz="4" w:space="0" w:color="000000"/>
                        </w:tcBorders>
                        <w:shd w:val="clear" w:color="auto" w:fill="D2D2D2"/>
                      </w:tcPr>
                      <w:p>
                        <w:pPr/>
                      </w:p>
                    </w:tc>
                    <w:tc>
                      <w:tcPr>
                        <w:tcW w:w="2268" w:type="dxa"/>
                        <w:gridSpan w:val="3"/>
                        <w:vMerge/>
                        <w:tcBorders>
                          <w:left w:val="single" w:sz="4" w:space="0" w:color="000000"/>
                          <w:bottom w:val="single" w:sz="4" w:space="0" w:color="000000"/>
                          <w:right w:val="single" w:sz="4" w:space="0" w:color="000000"/>
                        </w:tcBorders>
                        <w:shd w:val="clear" w:color="auto" w:fill="D2D2D2"/>
                      </w:tcPr>
                      <w:p>
                        <w:pPr/>
                      </w:p>
                    </w:tc>
                    <w:tc>
                      <w:tcPr>
                        <w:tcW w:w="2127" w:type="dxa"/>
                        <w:gridSpan w:val="3"/>
                        <w:vMerge/>
                        <w:tcBorders>
                          <w:left w:val="single" w:sz="4" w:space="0" w:color="000000"/>
                          <w:bottom w:val="single" w:sz="4" w:space="0" w:color="000000"/>
                          <w:right w:val="single" w:sz="4" w:space="0" w:color="000000"/>
                        </w:tcBorders>
                        <w:shd w:val="clear" w:color="auto" w:fill="D2D2D2"/>
                      </w:tcPr>
                      <w:p>
                        <w:pPr/>
                      </w:p>
                    </w:tc>
                    <w:tc>
                      <w:tcPr>
                        <w:tcW w:w="1347" w:type="dxa"/>
                        <w:gridSpan w:val="2"/>
                        <w:vMerge/>
                        <w:tcBorders>
                          <w:left w:val="single" w:sz="4" w:space="0" w:color="000000"/>
                          <w:bottom w:val="single" w:sz="4" w:space="0" w:color="000000"/>
                          <w:right w:val="single" w:sz="4" w:space="0" w:color="000000"/>
                        </w:tcBorders>
                        <w:shd w:val="clear" w:color="auto" w:fill="D2D2D2"/>
                      </w:tcPr>
                      <w:p>
                        <w:pPr/>
                      </w:p>
                    </w:tc>
                  </w:tr>
                  <w:tr>
                    <w:trPr>
                      <w:trHeight w:val="322" w:hRule="exact"/>
                    </w:trPr>
                    <w:tc>
                      <w:tcPr>
                        <w:tcW w:w="382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4" w:right="0"/>
                          <w:jc w:val="left"/>
                          <w:rPr>
                            <w:rFonts w:ascii="宋体" w:hAnsi="宋体" w:cs="宋体" w:eastAsia="宋体" w:hint="default"/>
                            <w:sz w:val="18"/>
                            <w:szCs w:val="18"/>
                          </w:rPr>
                        </w:pPr>
                        <w:r>
                          <w:rPr>
                            <w:rFonts w:ascii="宋体" w:hAnsi="宋体" w:cs="宋体" w:eastAsia="宋体" w:hint="default"/>
                            <w:sz w:val="18"/>
                            <w:szCs w:val="18"/>
                          </w:rPr>
                          <w:t>孝昌鹰溪谷投资中心（有限合伙）</w:t>
                        </w:r>
                        <w:r>
                          <w:rPr>
                            <w:rFonts w:ascii="宋体" w:hAnsi="宋体" w:cs="宋体" w:eastAsia="宋体" w:hint="default"/>
                            <w:sz w:val="18"/>
                            <w:szCs w:val="18"/>
                          </w:rPr>
                          <w:t> </w:t>
                        </w:r>
                      </w:p>
                    </w:tc>
                    <w:tc>
                      <w:tcPr>
                        <w:tcW w:w="2268" w:type="dxa"/>
                        <w:gridSpan w:val="3"/>
                        <w:tcBorders>
                          <w:top w:val="single" w:sz="6" w:space="0" w:color="000000"/>
                          <w:left w:val="single" w:sz="4" w:space="0" w:color="000000"/>
                          <w:bottom w:val="single" w:sz="4" w:space="0" w:color="000000"/>
                          <w:right w:val="single" w:sz="4" w:space="0" w:color="000000"/>
                        </w:tcBorders>
                      </w:tcPr>
                      <w:p>
                        <w:pPr>
                          <w:pStyle w:val="TableParagraph"/>
                          <w:spacing w:line="240" w:lineRule="auto" w:before="8"/>
                          <w:ind w:left="1245" w:right="0"/>
                          <w:jc w:val="left"/>
                          <w:rPr>
                            <w:rFonts w:ascii="宋体" w:hAnsi="宋体" w:cs="宋体" w:eastAsia="宋体" w:hint="default"/>
                            <w:sz w:val="18"/>
                            <w:szCs w:val="18"/>
                          </w:rPr>
                        </w:pPr>
                        <w:r>
                          <w:rPr>
                            <w:rFonts w:ascii="宋体"/>
                            <w:sz w:val="18"/>
                          </w:rPr>
                          <w:t>148,360,844</w:t>
                        </w:r>
                      </w:p>
                    </w:tc>
                    <w:tc>
                      <w:tcPr>
                        <w:tcW w:w="212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518" w:right="0"/>
                          <w:jc w:val="left"/>
                          <w:rPr>
                            <w:rFonts w:ascii="宋体" w:hAnsi="宋体" w:cs="宋体" w:eastAsia="宋体" w:hint="default"/>
                            <w:sz w:val="18"/>
                            <w:szCs w:val="18"/>
                          </w:rPr>
                        </w:pPr>
                        <w:r>
                          <w:rPr>
                            <w:rFonts w:ascii="宋体" w:hAnsi="宋体" w:cs="宋体" w:eastAsia="宋体" w:hint="default"/>
                            <w:sz w:val="18"/>
                            <w:szCs w:val="18"/>
                          </w:rPr>
                          <w:t>人民币普通股</w:t>
                        </w:r>
                        <w:r>
                          <w:rPr>
                            <w:rFonts w:ascii="宋体" w:hAnsi="宋体" w:cs="宋体" w:eastAsia="宋体" w:hint="default"/>
                            <w:sz w:val="18"/>
                            <w:szCs w:val="18"/>
                          </w:rPr>
                          <w:t> </w:t>
                        </w:r>
                      </w:p>
                    </w:tc>
                    <w:tc>
                      <w:tcPr>
                        <w:tcW w:w="134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324" w:right="0"/>
                          <w:jc w:val="left"/>
                          <w:rPr>
                            <w:rFonts w:ascii="宋体" w:hAnsi="宋体" w:cs="宋体" w:eastAsia="宋体" w:hint="default"/>
                            <w:sz w:val="18"/>
                            <w:szCs w:val="18"/>
                          </w:rPr>
                        </w:pPr>
                        <w:r>
                          <w:rPr>
                            <w:rFonts w:ascii="宋体"/>
                            <w:sz w:val="18"/>
                          </w:rPr>
                          <w:t>148,360,844</w:t>
                        </w:r>
                      </w:p>
                    </w:tc>
                  </w:tr>
                  <w:tr>
                    <w:trPr>
                      <w:trHeight w:val="322" w:hRule="exact"/>
                    </w:trPr>
                    <w:tc>
                      <w:tcPr>
                        <w:tcW w:w="382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中兆投资管理有限公司</w:t>
                        </w:r>
                        <w:r>
                          <w:rPr>
                            <w:rFonts w:ascii="宋体" w:hAnsi="宋体" w:cs="宋体" w:eastAsia="宋体" w:hint="default"/>
                            <w:sz w:val="18"/>
                            <w:szCs w:val="18"/>
                          </w:rPr>
                          <w:t> </w:t>
                        </w:r>
                      </w:p>
                    </w:tc>
                    <w:tc>
                      <w:tcPr>
                        <w:tcW w:w="226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245" w:right="0"/>
                          <w:jc w:val="left"/>
                          <w:rPr>
                            <w:rFonts w:ascii="宋体" w:hAnsi="宋体" w:cs="宋体" w:eastAsia="宋体" w:hint="default"/>
                            <w:sz w:val="18"/>
                            <w:szCs w:val="18"/>
                          </w:rPr>
                        </w:pPr>
                        <w:r>
                          <w:rPr>
                            <w:rFonts w:ascii="宋体"/>
                            <w:sz w:val="18"/>
                          </w:rPr>
                          <w:t>138,074,832</w:t>
                        </w:r>
                      </w:p>
                    </w:tc>
                    <w:tc>
                      <w:tcPr>
                        <w:tcW w:w="212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518" w:right="0"/>
                          <w:jc w:val="left"/>
                          <w:rPr>
                            <w:rFonts w:ascii="宋体" w:hAnsi="宋体" w:cs="宋体" w:eastAsia="宋体" w:hint="default"/>
                            <w:sz w:val="18"/>
                            <w:szCs w:val="18"/>
                          </w:rPr>
                        </w:pPr>
                        <w:r>
                          <w:rPr>
                            <w:rFonts w:ascii="宋体" w:hAnsi="宋体" w:cs="宋体" w:eastAsia="宋体" w:hint="default"/>
                            <w:sz w:val="18"/>
                            <w:szCs w:val="18"/>
                          </w:rPr>
                          <w:t>人民币普通股</w:t>
                        </w:r>
                        <w:r>
                          <w:rPr>
                            <w:rFonts w:ascii="宋体" w:hAnsi="宋体" w:cs="宋体" w:eastAsia="宋体" w:hint="default"/>
                            <w:sz w:val="18"/>
                            <w:szCs w:val="18"/>
                          </w:rPr>
                          <w:t> </w:t>
                        </w:r>
                      </w:p>
                    </w:tc>
                    <w:tc>
                      <w:tcPr>
                        <w:tcW w:w="134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324" w:right="0"/>
                          <w:jc w:val="left"/>
                          <w:rPr>
                            <w:rFonts w:ascii="宋体" w:hAnsi="宋体" w:cs="宋体" w:eastAsia="宋体" w:hint="default"/>
                            <w:sz w:val="18"/>
                            <w:szCs w:val="18"/>
                          </w:rPr>
                        </w:pPr>
                        <w:r>
                          <w:rPr>
                            <w:rFonts w:ascii="宋体"/>
                            <w:sz w:val="18"/>
                          </w:rPr>
                          <w:t>138,074,832</w:t>
                        </w:r>
                      </w:p>
                    </w:tc>
                  </w:tr>
                  <w:tr>
                    <w:trPr>
                      <w:trHeight w:val="322" w:hRule="exact"/>
                    </w:trPr>
                    <w:tc>
                      <w:tcPr>
                        <w:tcW w:w="382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深圳通泰达投资中心（有限合伙）</w:t>
                        </w:r>
                        <w:r>
                          <w:rPr>
                            <w:rFonts w:ascii="宋体" w:hAnsi="宋体" w:cs="宋体" w:eastAsia="宋体" w:hint="default"/>
                            <w:sz w:val="18"/>
                            <w:szCs w:val="18"/>
                          </w:rPr>
                          <w:t> </w:t>
                        </w:r>
                      </w:p>
                    </w:tc>
                    <w:tc>
                      <w:tcPr>
                        <w:tcW w:w="226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336" w:right="0"/>
                          <w:jc w:val="left"/>
                          <w:rPr>
                            <w:rFonts w:ascii="宋体" w:hAnsi="宋体" w:cs="宋体" w:eastAsia="宋体" w:hint="default"/>
                            <w:sz w:val="18"/>
                            <w:szCs w:val="18"/>
                          </w:rPr>
                        </w:pPr>
                        <w:r>
                          <w:rPr>
                            <w:rFonts w:ascii="宋体"/>
                            <w:sz w:val="18"/>
                          </w:rPr>
                          <w:t>70,000,000</w:t>
                        </w:r>
                      </w:p>
                    </w:tc>
                    <w:tc>
                      <w:tcPr>
                        <w:tcW w:w="212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18" w:right="0"/>
                          <w:jc w:val="left"/>
                          <w:rPr>
                            <w:rFonts w:ascii="宋体" w:hAnsi="宋体" w:cs="宋体" w:eastAsia="宋体" w:hint="default"/>
                            <w:sz w:val="18"/>
                            <w:szCs w:val="18"/>
                          </w:rPr>
                        </w:pPr>
                        <w:r>
                          <w:rPr>
                            <w:rFonts w:ascii="宋体" w:hAnsi="宋体" w:cs="宋体" w:eastAsia="宋体" w:hint="default"/>
                            <w:sz w:val="18"/>
                            <w:szCs w:val="18"/>
                          </w:rPr>
                          <w:t>人民币普通股</w:t>
                        </w:r>
                        <w:r>
                          <w:rPr>
                            <w:rFonts w:ascii="宋体" w:hAnsi="宋体" w:cs="宋体" w:eastAsia="宋体" w:hint="default"/>
                            <w:sz w:val="18"/>
                            <w:szCs w:val="18"/>
                          </w:rPr>
                          <w:t> </w:t>
                        </w:r>
                      </w:p>
                    </w:tc>
                    <w:tc>
                      <w:tcPr>
                        <w:tcW w:w="134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15" w:right="0"/>
                          <w:jc w:val="left"/>
                          <w:rPr>
                            <w:rFonts w:ascii="宋体" w:hAnsi="宋体" w:cs="宋体" w:eastAsia="宋体" w:hint="default"/>
                            <w:sz w:val="18"/>
                            <w:szCs w:val="18"/>
                          </w:rPr>
                        </w:pPr>
                        <w:r>
                          <w:rPr>
                            <w:rFonts w:ascii="宋体"/>
                            <w:sz w:val="18"/>
                          </w:rPr>
                          <w:t>70,000,000</w:t>
                        </w:r>
                      </w:p>
                    </w:tc>
                  </w:tr>
                  <w:tr>
                    <w:trPr>
                      <w:trHeight w:val="322" w:hRule="exact"/>
                    </w:trPr>
                    <w:tc>
                      <w:tcPr>
                        <w:tcW w:w="382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深圳市华美达一号投资中心（有限合伙）</w:t>
                        </w:r>
                        <w:r>
                          <w:rPr>
                            <w:rFonts w:ascii="宋体" w:hAnsi="宋体" w:cs="宋体" w:eastAsia="宋体" w:hint="default"/>
                            <w:sz w:val="18"/>
                            <w:szCs w:val="18"/>
                          </w:rPr>
                          <w:t> </w:t>
                        </w:r>
                      </w:p>
                    </w:tc>
                    <w:tc>
                      <w:tcPr>
                        <w:tcW w:w="226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336" w:right="0"/>
                          <w:jc w:val="left"/>
                          <w:rPr>
                            <w:rFonts w:ascii="宋体" w:hAnsi="宋体" w:cs="宋体" w:eastAsia="宋体" w:hint="default"/>
                            <w:sz w:val="18"/>
                            <w:szCs w:val="18"/>
                          </w:rPr>
                        </w:pPr>
                        <w:r>
                          <w:rPr>
                            <w:rFonts w:ascii="宋体"/>
                            <w:sz w:val="18"/>
                          </w:rPr>
                          <w:t>22,363,200</w:t>
                        </w:r>
                      </w:p>
                    </w:tc>
                    <w:tc>
                      <w:tcPr>
                        <w:tcW w:w="212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18" w:right="0"/>
                          <w:jc w:val="left"/>
                          <w:rPr>
                            <w:rFonts w:ascii="宋体" w:hAnsi="宋体" w:cs="宋体" w:eastAsia="宋体" w:hint="default"/>
                            <w:sz w:val="18"/>
                            <w:szCs w:val="18"/>
                          </w:rPr>
                        </w:pPr>
                        <w:r>
                          <w:rPr>
                            <w:rFonts w:ascii="宋体" w:hAnsi="宋体" w:cs="宋体" w:eastAsia="宋体" w:hint="default"/>
                            <w:sz w:val="18"/>
                            <w:szCs w:val="18"/>
                          </w:rPr>
                          <w:t>人民币普通股</w:t>
                        </w:r>
                        <w:r>
                          <w:rPr>
                            <w:rFonts w:ascii="宋体" w:hAnsi="宋体" w:cs="宋体" w:eastAsia="宋体" w:hint="default"/>
                            <w:sz w:val="18"/>
                            <w:szCs w:val="18"/>
                          </w:rPr>
                          <w:t> </w:t>
                        </w:r>
                      </w:p>
                    </w:tc>
                    <w:tc>
                      <w:tcPr>
                        <w:tcW w:w="134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15" w:right="0"/>
                          <w:jc w:val="left"/>
                          <w:rPr>
                            <w:rFonts w:ascii="宋体" w:hAnsi="宋体" w:cs="宋体" w:eastAsia="宋体" w:hint="default"/>
                            <w:sz w:val="18"/>
                            <w:szCs w:val="18"/>
                          </w:rPr>
                        </w:pPr>
                        <w:r>
                          <w:rPr>
                            <w:rFonts w:ascii="宋体"/>
                            <w:sz w:val="18"/>
                          </w:rPr>
                          <w:t>22,363,200</w:t>
                        </w:r>
                      </w:p>
                    </w:tc>
                  </w:tr>
                  <w:tr>
                    <w:trPr>
                      <w:trHeight w:val="322" w:hRule="exact"/>
                    </w:trPr>
                    <w:tc>
                      <w:tcPr>
                        <w:tcW w:w="382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刘英魁</w:t>
                        </w:r>
                        <w:r>
                          <w:rPr>
                            <w:rFonts w:ascii="宋体" w:hAnsi="宋体" w:cs="宋体" w:eastAsia="宋体" w:hint="default"/>
                            <w:sz w:val="18"/>
                            <w:szCs w:val="18"/>
                          </w:rPr>
                          <w:t> </w:t>
                        </w:r>
                      </w:p>
                    </w:tc>
                    <w:tc>
                      <w:tcPr>
                        <w:tcW w:w="226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336" w:right="0"/>
                          <w:jc w:val="left"/>
                          <w:rPr>
                            <w:rFonts w:ascii="宋体" w:hAnsi="宋体" w:cs="宋体" w:eastAsia="宋体" w:hint="default"/>
                            <w:sz w:val="18"/>
                            <w:szCs w:val="18"/>
                          </w:rPr>
                        </w:pPr>
                        <w:r>
                          <w:rPr>
                            <w:rFonts w:ascii="宋体"/>
                            <w:sz w:val="18"/>
                          </w:rPr>
                          <w:t>16,359,259</w:t>
                        </w:r>
                      </w:p>
                    </w:tc>
                    <w:tc>
                      <w:tcPr>
                        <w:tcW w:w="212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18" w:right="0"/>
                          <w:jc w:val="left"/>
                          <w:rPr>
                            <w:rFonts w:ascii="宋体" w:hAnsi="宋体" w:cs="宋体" w:eastAsia="宋体" w:hint="default"/>
                            <w:sz w:val="18"/>
                            <w:szCs w:val="18"/>
                          </w:rPr>
                        </w:pPr>
                        <w:r>
                          <w:rPr>
                            <w:rFonts w:ascii="宋体" w:hAnsi="宋体" w:cs="宋体" w:eastAsia="宋体" w:hint="default"/>
                            <w:sz w:val="18"/>
                            <w:szCs w:val="18"/>
                          </w:rPr>
                          <w:t>人民币普通股</w:t>
                        </w:r>
                        <w:r>
                          <w:rPr>
                            <w:rFonts w:ascii="宋体" w:hAnsi="宋体" w:cs="宋体" w:eastAsia="宋体" w:hint="default"/>
                            <w:sz w:val="18"/>
                            <w:szCs w:val="18"/>
                          </w:rPr>
                          <w:t> </w:t>
                        </w:r>
                      </w:p>
                    </w:tc>
                    <w:tc>
                      <w:tcPr>
                        <w:tcW w:w="134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15" w:right="0"/>
                          <w:jc w:val="left"/>
                          <w:rPr>
                            <w:rFonts w:ascii="宋体" w:hAnsi="宋体" w:cs="宋体" w:eastAsia="宋体" w:hint="default"/>
                            <w:sz w:val="18"/>
                            <w:szCs w:val="18"/>
                          </w:rPr>
                        </w:pPr>
                        <w:r>
                          <w:rPr>
                            <w:rFonts w:ascii="宋体"/>
                            <w:sz w:val="18"/>
                          </w:rPr>
                          <w:t>16,359,259</w:t>
                        </w:r>
                      </w:p>
                    </w:tc>
                  </w:tr>
                  <w:tr>
                    <w:trPr>
                      <w:trHeight w:val="324" w:hRule="exact"/>
                    </w:trPr>
                    <w:tc>
                      <w:tcPr>
                        <w:tcW w:w="382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24" w:right="0"/>
                          <w:jc w:val="left"/>
                          <w:rPr>
                            <w:rFonts w:ascii="宋体" w:hAnsi="宋体" w:cs="宋体" w:eastAsia="宋体" w:hint="default"/>
                            <w:sz w:val="18"/>
                            <w:szCs w:val="18"/>
                          </w:rPr>
                        </w:pPr>
                        <w:r>
                          <w:rPr>
                            <w:rFonts w:ascii="宋体" w:hAnsi="宋体" w:cs="宋体" w:eastAsia="宋体" w:hint="default"/>
                            <w:sz w:val="18"/>
                            <w:szCs w:val="18"/>
                          </w:rPr>
                          <w:t>深圳茂业百货有限公司</w:t>
                        </w:r>
                        <w:r>
                          <w:rPr>
                            <w:rFonts w:ascii="宋体" w:hAnsi="宋体" w:cs="宋体" w:eastAsia="宋体" w:hint="default"/>
                            <w:sz w:val="18"/>
                            <w:szCs w:val="18"/>
                          </w:rPr>
                          <w:t> </w:t>
                        </w:r>
                      </w:p>
                    </w:tc>
                    <w:tc>
                      <w:tcPr>
                        <w:tcW w:w="226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336" w:right="0"/>
                          <w:jc w:val="left"/>
                          <w:rPr>
                            <w:rFonts w:ascii="宋体" w:hAnsi="宋体" w:cs="宋体" w:eastAsia="宋体" w:hint="default"/>
                            <w:sz w:val="18"/>
                            <w:szCs w:val="18"/>
                          </w:rPr>
                        </w:pPr>
                        <w:r>
                          <w:rPr>
                            <w:rFonts w:ascii="宋体"/>
                            <w:sz w:val="18"/>
                          </w:rPr>
                          <w:t>12,436,095</w:t>
                        </w:r>
                      </w:p>
                    </w:tc>
                    <w:tc>
                      <w:tcPr>
                        <w:tcW w:w="212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18" w:right="0"/>
                          <w:jc w:val="left"/>
                          <w:rPr>
                            <w:rFonts w:ascii="宋体" w:hAnsi="宋体" w:cs="宋体" w:eastAsia="宋体" w:hint="default"/>
                            <w:sz w:val="18"/>
                            <w:szCs w:val="18"/>
                          </w:rPr>
                        </w:pPr>
                        <w:r>
                          <w:rPr>
                            <w:rFonts w:ascii="宋体" w:hAnsi="宋体" w:cs="宋体" w:eastAsia="宋体" w:hint="default"/>
                            <w:sz w:val="18"/>
                            <w:szCs w:val="18"/>
                          </w:rPr>
                          <w:t>人民币普通股</w:t>
                        </w:r>
                        <w:r>
                          <w:rPr>
                            <w:rFonts w:ascii="宋体" w:hAnsi="宋体" w:cs="宋体" w:eastAsia="宋体" w:hint="default"/>
                            <w:sz w:val="18"/>
                            <w:szCs w:val="18"/>
                          </w:rPr>
                          <w:t> </w:t>
                        </w:r>
                      </w:p>
                    </w:tc>
                    <w:tc>
                      <w:tcPr>
                        <w:tcW w:w="134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415" w:right="0"/>
                          <w:jc w:val="left"/>
                          <w:rPr>
                            <w:rFonts w:ascii="宋体" w:hAnsi="宋体" w:cs="宋体" w:eastAsia="宋体" w:hint="default"/>
                            <w:sz w:val="18"/>
                            <w:szCs w:val="18"/>
                          </w:rPr>
                        </w:pPr>
                        <w:r>
                          <w:rPr>
                            <w:rFonts w:ascii="宋体"/>
                            <w:sz w:val="18"/>
                          </w:rPr>
                          <w:t>12,436,095</w:t>
                        </w:r>
                      </w:p>
                    </w:tc>
                  </w:tr>
                  <w:tr>
                    <w:trPr>
                      <w:trHeight w:val="322" w:hRule="exact"/>
                    </w:trPr>
                    <w:tc>
                      <w:tcPr>
                        <w:tcW w:w="382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王绍春</w:t>
                        </w:r>
                        <w:r>
                          <w:rPr>
                            <w:rFonts w:ascii="宋体" w:hAnsi="宋体" w:cs="宋体" w:eastAsia="宋体" w:hint="default"/>
                            <w:sz w:val="18"/>
                            <w:szCs w:val="18"/>
                          </w:rPr>
                          <w:t> </w:t>
                        </w:r>
                      </w:p>
                    </w:tc>
                    <w:tc>
                      <w:tcPr>
                        <w:tcW w:w="226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336" w:right="0"/>
                          <w:jc w:val="left"/>
                          <w:rPr>
                            <w:rFonts w:ascii="宋体" w:hAnsi="宋体" w:cs="宋体" w:eastAsia="宋体" w:hint="default"/>
                            <w:sz w:val="18"/>
                            <w:szCs w:val="18"/>
                          </w:rPr>
                        </w:pPr>
                        <w:r>
                          <w:rPr>
                            <w:rFonts w:ascii="宋体"/>
                            <w:sz w:val="18"/>
                          </w:rPr>
                          <w:t>12,000,000</w:t>
                        </w:r>
                      </w:p>
                    </w:tc>
                    <w:tc>
                      <w:tcPr>
                        <w:tcW w:w="212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518" w:right="0"/>
                          <w:jc w:val="left"/>
                          <w:rPr>
                            <w:rFonts w:ascii="宋体" w:hAnsi="宋体" w:cs="宋体" w:eastAsia="宋体" w:hint="default"/>
                            <w:sz w:val="18"/>
                            <w:szCs w:val="18"/>
                          </w:rPr>
                        </w:pPr>
                        <w:r>
                          <w:rPr>
                            <w:rFonts w:ascii="宋体" w:hAnsi="宋体" w:cs="宋体" w:eastAsia="宋体" w:hint="default"/>
                            <w:sz w:val="18"/>
                            <w:szCs w:val="18"/>
                          </w:rPr>
                          <w:t>人民币普通股</w:t>
                        </w:r>
                        <w:r>
                          <w:rPr>
                            <w:rFonts w:ascii="宋体" w:hAnsi="宋体" w:cs="宋体" w:eastAsia="宋体" w:hint="default"/>
                            <w:sz w:val="18"/>
                            <w:szCs w:val="18"/>
                          </w:rPr>
                          <w:t> </w:t>
                        </w:r>
                      </w:p>
                    </w:tc>
                    <w:tc>
                      <w:tcPr>
                        <w:tcW w:w="134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15" w:right="0"/>
                          <w:jc w:val="left"/>
                          <w:rPr>
                            <w:rFonts w:ascii="宋体" w:hAnsi="宋体" w:cs="宋体" w:eastAsia="宋体" w:hint="default"/>
                            <w:sz w:val="18"/>
                            <w:szCs w:val="18"/>
                          </w:rPr>
                        </w:pPr>
                        <w:r>
                          <w:rPr>
                            <w:rFonts w:ascii="宋体"/>
                            <w:sz w:val="18"/>
                          </w:rPr>
                          <w:t>12,000,000</w:t>
                        </w:r>
                      </w:p>
                    </w:tc>
                  </w:tr>
                  <w:tr>
                    <w:trPr>
                      <w:trHeight w:val="322" w:hRule="exact"/>
                    </w:trPr>
                    <w:tc>
                      <w:tcPr>
                        <w:tcW w:w="382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秦皇岛市国有资产经营控股有限公司</w:t>
                        </w:r>
                        <w:r>
                          <w:rPr>
                            <w:rFonts w:ascii="宋体" w:hAnsi="宋体" w:cs="宋体" w:eastAsia="宋体" w:hint="default"/>
                            <w:sz w:val="18"/>
                            <w:szCs w:val="18"/>
                          </w:rPr>
                          <w:t> </w:t>
                        </w:r>
                      </w:p>
                    </w:tc>
                    <w:tc>
                      <w:tcPr>
                        <w:tcW w:w="226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336" w:right="0"/>
                          <w:jc w:val="left"/>
                          <w:rPr>
                            <w:rFonts w:ascii="宋体" w:hAnsi="宋体" w:cs="宋体" w:eastAsia="宋体" w:hint="default"/>
                            <w:sz w:val="18"/>
                            <w:szCs w:val="18"/>
                          </w:rPr>
                        </w:pPr>
                        <w:r>
                          <w:rPr>
                            <w:rFonts w:ascii="宋体"/>
                            <w:sz w:val="18"/>
                          </w:rPr>
                          <w:t>11,742,341</w:t>
                        </w:r>
                      </w:p>
                    </w:tc>
                    <w:tc>
                      <w:tcPr>
                        <w:tcW w:w="212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left="518" w:right="0"/>
                          <w:jc w:val="left"/>
                          <w:rPr>
                            <w:rFonts w:ascii="宋体" w:hAnsi="宋体" w:cs="宋体" w:eastAsia="宋体" w:hint="default"/>
                            <w:sz w:val="18"/>
                            <w:szCs w:val="18"/>
                          </w:rPr>
                        </w:pPr>
                        <w:r>
                          <w:rPr>
                            <w:rFonts w:ascii="宋体" w:hAnsi="宋体" w:cs="宋体" w:eastAsia="宋体" w:hint="default"/>
                            <w:sz w:val="18"/>
                            <w:szCs w:val="18"/>
                          </w:rPr>
                          <w:t>人民币普通股</w:t>
                        </w:r>
                        <w:r>
                          <w:rPr>
                            <w:rFonts w:ascii="宋体" w:hAnsi="宋体" w:cs="宋体" w:eastAsia="宋体" w:hint="default"/>
                            <w:sz w:val="18"/>
                            <w:szCs w:val="18"/>
                          </w:rPr>
                          <w:t> </w:t>
                        </w:r>
                      </w:p>
                    </w:tc>
                    <w:tc>
                      <w:tcPr>
                        <w:tcW w:w="134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415" w:right="0"/>
                          <w:jc w:val="left"/>
                          <w:rPr>
                            <w:rFonts w:ascii="宋体" w:hAnsi="宋体" w:cs="宋体" w:eastAsia="宋体" w:hint="default"/>
                            <w:sz w:val="18"/>
                            <w:szCs w:val="18"/>
                          </w:rPr>
                        </w:pPr>
                        <w:r>
                          <w:rPr>
                            <w:rFonts w:ascii="宋体"/>
                            <w:sz w:val="18"/>
                          </w:rPr>
                          <w:t>11,742,341</w:t>
                        </w:r>
                      </w:p>
                    </w:tc>
                  </w:tr>
                  <w:tr>
                    <w:trPr>
                      <w:trHeight w:val="322" w:hRule="exact"/>
                    </w:trPr>
                    <w:tc>
                      <w:tcPr>
                        <w:tcW w:w="382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上海峰幽投资管理中心（普通合伙）</w:t>
                        </w:r>
                        <w:r>
                          <w:rPr>
                            <w:rFonts w:ascii="宋体" w:hAnsi="宋体" w:cs="宋体" w:eastAsia="宋体" w:hint="default"/>
                            <w:sz w:val="18"/>
                            <w:szCs w:val="18"/>
                          </w:rPr>
                          <w:t> </w:t>
                        </w:r>
                      </w:p>
                    </w:tc>
                    <w:tc>
                      <w:tcPr>
                        <w:tcW w:w="226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425" w:right="0"/>
                          <w:jc w:val="left"/>
                          <w:rPr>
                            <w:rFonts w:ascii="宋体" w:hAnsi="宋体" w:cs="宋体" w:eastAsia="宋体" w:hint="default"/>
                            <w:sz w:val="18"/>
                            <w:szCs w:val="18"/>
                          </w:rPr>
                        </w:pPr>
                        <w:r>
                          <w:rPr>
                            <w:rFonts w:ascii="宋体"/>
                            <w:sz w:val="18"/>
                          </w:rPr>
                          <w:t>8,253,783</w:t>
                        </w:r>
                      </w:p>
                    </w:tc>
                    <w:tc>
                      <w:tcPr>
                        <w:tcW w:w="212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18" w:right="0"/>
                          <w:jc w:val="left"/>
                          <w:rPr>
                            <w:rFonts w:ascii="宋体" w:hAnsi="宋体" w:cs="宋体" w:eastAsia="宋体" w:hint="default"/>
                            <w:sz w:val="18"/>
                            <w:szCs w:val="18"/>
                          </w:rPr>
                        </w:pPr>
                        <w:r>
                          <w:rPr>
                            <w:rFonts w:ascii="宋体" w:hAnsi="宋体" w:cs="宋体" w:eastAsia="宋体" w:hint="default"/>
                            <w:sz w:val="18"/>
                            <w:szCs w:val="18"/>
                          </w:rPr>
                          <w:t>人民币普通股</w:t>
                        </w:r>
                        <w:r>
                          <w:rPr>
                            <w:rFonts w:ascii="宋体" w:hAnsi="宋体" w:cs="宋体" w:eastAsia="宋体" w:hint="default"/>
                            <w:sz w:val="18"/>
                            <w:szCs w:val="18"/>
                          </w:rPr>
                          <w:t> </w:t>
                        </w:r>
                      </w:p>
                    </w:tc>
                    <w:tc>
                      <w:tcPr>
                        <w:tcW w:w="134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04" w:right="0"/>
                          <w:jc w:val="left"/>
                          <w:rPr>
                            <w:rFonts w:ascii="宋体" w:hAnsi="宋体" w:cs="宋体" w:eastAsia="宋体" w:hint="default"/>
                            <w:sz w:val="18"/>
                            <w:szCs w:val="18"/>
                          </w:rPr>
                        </w:pPr>
                        <w:r>
                          <w:rPr>
                            <w:rFonts w:ascii="宋体"/>
                            <w:sz w:val="18"/>
                          </w:rPr>
                          <w:t>8,253,783</w:t>
                        </w:r>
                      </w:p>
                    </w:tc>
                  </w:tr>
                  <w:tr>
                    <w:trPr>
                      <w:trHeight w:val="322" w:hRule="exact"/>
                    </w:trPr>
                    <w:tc>
                      <w:tcPr>
                        <w:tcW w:w="382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24" w:right="0"/>
                          <w:jc w:val="left"/>
                          <w:rPr>
                            <w:rFonts w:ascii="宋体" w:hAnsi="宋体" w:cs="宋体" w:eastAsia="宋体" w:hint="default"/>
                            <w:sz w:val="18"/>
                            <w:szCs w:val="18"/>
                          </w:rPr>
                        </w:pPr>
                        <w:r>
                          <w:rPr>
                            <w:rFonts w:ascii="宋体" w:hAnsi="宋体" w:cs="宋体" w:eastAsia="宋体" w:hint="default"/>
                            <w:sz w:val="18"/>
                            <w:szCs w:val="18"/>
                          </w:rPr>
                          <w:t>朱胜华</w:t>
                        </w:r>
                        <w:r>
                          <w:rPr>
                            <w:rFonts w:ascii="宋体" w:hAnsi="宋体" w:cs="宋体" w:eastAsia="宋体" w:hint="default"/>
                            <w:sz w:val="18"/>
                            <w:szCs w:val="18"/>
                          </w:rPr>
                          <w:t> </w:t>
                        </w:r>
                      </w:p>
                    </w:tc>
                    <w:tc>
                      <w:tcPr>
                        <w:tcW w:w="226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425" w:right="0"/>
                          <w:jc w:val="left"/>
                          <w:rPr>
                            <w:rFonts w:ascii="宋体" w:hAnsi="宋体" w:cs="宋体" w:eastAsia="宋体" w:hint="default"/>
                            <w:sz w:val="18"/>
                            <w:szCs w:val="18"/>
                          </w:rPr>
                        </w:pPr>
                        <w:r>
                          <w:rPr>
                            <w:rFonts w:ascii="宋体"/>
                            <w:sz w:val="18"/>
                          </w:rPr>
                          <w:t>6,740,000</w:t>
                        </w:r>
                      </w:p>
                    </w:tc>
                    <w:tc>
                      <w:tcPr>
                        <w:tcW w:w="212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18" w:right="0"/>
                          <w:jc w:val="left"/>
                          <w:rPr>
                            <w:rFonts w:ascii="宋体" w:hAnsi="宋体" w:cs="宋体" w:eastAsia="宋体" w:hint="default"/>
                            <w:sz w:val="18"/>
                            <w:szCs w:val="18"/>
                          </w:rPr>
                        </w:pPr>
                        <w:r>
                          <w:rPr>
                            <w:rFonts w:ascii="宋体" w:hAnsi="宋体" w:cs="宋体" w:eastAsia="宋体" w:hint="default"/>
                            <w:sz w:val="18"/>
                            <w:szCs w:val="18"/>
                          </w:rPr>
                          <w:t>人民币普通股</w:t>
                        </w:r>
                        <w:r>
                          <w:rPr>
                            <w:rFonts w:ascii="宋体" w:hAnsi="宋体" w:cs="宋体" w:eastAsia="宋体" w:hint="default"/>
                            <w:sz w:val="18"/>
                            <w:szCs w:val="18"/>
                          </w:rPr>
                          <w:t> </w:t>
                        </w:r>
                      </w:p>
                    </w:tc>
                    <w:tc>
                      <w:tcPr>
                        <w:tcW w:w="134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504" w:right="0"/>
                          <w:jc w:val="left"/>
                          <w:rPr>
                            <w:rFonts w:ascii="宋体" w:hAnsi="宋体" w:cs="宋体" w:eastAsia="宋体" w:hint="default"/>
                            <w:sz w:val="18"/>
                            <w:szCs w:val="18"/>
                          </w:rPr>
                        </w:pPr>
                        <w:r>
                          <w:rPr>
                            <w:rFonts w:ascii="宋体"/>
                            <w:sz w:val="18"/>
                          </w:rPr>
                          <w:t>6,740,000</w:t>
                        </w:r>
                      </w:p>
                    </w:tc>
                  </w:tr>
                  <w:tr>
                    <w:trPr>
                      <w:trHeight w:val="1259" w:hRule="exact"/>
                    </w:trPr>
                    <w:tc>
                      <w:tcPr>
                        <w:tcW w:w="382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7"/>
                            <w:sz w:val="18"/>
                            <w:szCs w:val="18"/>
                          </w:rPr>
                          <w:t> </w:t>
                        </w:r>
                        <w:r>
                          <w:rPr>
                            <w:rFonts w:ascii="宋体" w:hAnsi="宋体" w:cs="宋体" w:eastAsia="宋体" w:hint="default"/>
                            <w:sz w:val="18"/>
                            <w:szCs w:val="18"/>
                          </w:rPr>
                          <w:t>10</w:t>
                        </w:r>
                        <w:r>
                          <w:rPr>
                            <w:rFonts w:ascii="宋体" w:hAnsi="宋体" w:cs="宋体" w:eastAsia="宋体" w:hint="default"/>
                            <w:spacing w:val="-47"/>
                            <w:sz w:val="18"/>
                            <w:szCs w:val="18"/>
                          </w:rPr>
                          <w:t> </w:t>
                        </w:r>
                        <w:r>
                          <w:rPr>
                            <w:rFonts w:ascii="宋体" w:hAnsi="宋体" w:cs="宋体" w:eastAsia="宋体" w:hint="default"/>
                            <w:sz w:val="18"/>
                            <w:szCs w:val="18"/>
                          </w:rPr>
                          <w:t>名无限售流通股股东之间，以及前</w:t>
                        </w:r>
                        <w:r>
                          <w:rPr>
                            <w:rFonts w:ascii="宋体" w:hAnsi="宋体" w:cs="宋体" w:eastAsia="宋体" w:hint="default"/>
                            <w:spacing w:val="-47"/>
                            <w:sz w:val="18"/>
                            <w:szCs w:val="18"/>
                          </w:rPr>
                          <w:t> </w:t>
                        </w:r>
                        <w:r>
                          <w:rPr>
                            <w:rFonts w:ascii="宋体" w:hAnsi="宋体" w:cs="宋体" w:eastAsia="宋体" w:hint="default"/>
                            <w:sz w:val="18"/>
                            <w:szCs w:val="18"/>
                          </w:rPr>
                          <w:t>10</w:t>
                        </w:r>
                        <w:r>
                          <w:rPr>
                            <w:rFonts w:ascii="宋体" w:hAnsi="宋体" w:cs="宋体" w:eastAsia="宋体" w:hint="default"/>
                            <w:spacing w:val="-47"/>
                            <w:sz w:val="18"/>
                            <w:szCs w:val="18"/>
                          </w:rPr>
                          <w:t> </w:t>
                        </w:r>
                        <w:r>
                          <w:rPr>
                            <w:rFonts w:ascii="宋体" w:hAnsi="宋体" w:cs="宋体" w:eastAsia="宋体" w:hint="default"/>
                            <w:sz w:val="18"/>
                            <w:szCs w:val="18"/>
                          </w:rPr>
                          <w:t>名无</w:t>
                        </w:r>
                      </w:p>
                      <w:p>
                        <w:pPr>
                          <w:pStyle w:val="TableParagraph"/>
                          <w:spacing w:line="316" w:lineRule="auto" w:before="77"/>
                          <w:ind w:left="24" w:right="101"/>
                          <w:jc w:val="left"/>
                          <w:rPr>
                            <w:rFonts w:ascii="宋体" w:hAnsi="宋体" w:cs="宋体" w:eastAsia="宋体" w:hint="default"/>
                            <w:sz w:val="18"/>
                            <w:szCs w:val="18"/>
                          </w:rPr>
                        </w:pPr>
                        <w:r>
                          <w:rPr>
                            <w:rFonts w:ascii="宋体" w:hAnsi="宋体" w:cs="宋体" w:eastAsia="宋体" w:hint="default"/>
                            <w:sz w:val="18"/>
                            <w:szCs w:val="18"/>
                          </w:rPr>
                          <w:t>限售流通股股东和前</w:t>
                        </w:r>
                        <w:r>
                          <w:rPr>
                            <w:rFonts w:ascii="宋体" w:hAnsi="宋体" w:cs="宋体" w:eastAsia="宋体" w:hint="default"/>
                            <w:spacing w:val="-45"/>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名股东之间关联关系或 一致行动的说明</w:t>
                        </w:r>
                        <w:r>
                          <w:rPr>
                            <w:rFonts w:ascii="宋体" w:hAnsi="宋体" w:cs="宋体" w:eastAsia="宋体" w:hint="default"/>
                            <w:sz w:val="18"/>
                            <w:szCs w:val="18"/>
                          </w:rPr>
                          <w:t> </w:t>
                        </w:r>
                      </w:p>
                    </w:tc>
                    <w:tc>
                      <w:tcPr>
                        <w:tcW w:w="5742" w:type="dxa"/>
                        <w:gridSpan w:val="8"/>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4" w:right="23"/>
                          <w:jc w:val="left"/>
                          <w:rPr>
                            <w:rFonts w:ascii="宋体" w:hAnsi="宋体" w:cs="宋体" w:eastAsia="宋体" w:hint="default"/>
                            <w:sz w:val="18"/>
                            <w:szCs w:val="18"/>
                          </w:rPr>
                        </w:pPr>
                        <w:r>
                          <w:rPr>
                            <w:rFonts w:ascii="宋体" w:hAnsi="宋体" w:cs="宋体" w:eastAsia="宋体" w:hint="default"/>
                            <w:sz w:val="18"/>
                            <w:szCs w:val="18"/>
                          </w:rPr>
                          <w:t>孝昌鹰溪谷投资中心</w:t>
                        </w:r>
                        <w:r>
                          <w:rPr>
                            <w:rFonts w:ascii="宋体" w:hAnsi="宋体" w:cs="宋体" w:eastAsia="宋体" w:hint="default"/>
                            <w:sz w:val="18"/>
                            <w:szCs w:val="18"/>
                          </w:rPr>
                          <w:t>(</w:t>
                        </w:r>
                        <w:r>
                          <w:rPr>
                            <w:rFonts w:ascii="宋体" w:hAnsi="宋体" w:cs="宋体" w:eastAsia="宋体" w:hint="default"/>
                            <w:sz w:val="18"/>
                            <w:szCs w:val="18"/>
                          </w:rPr>
                          <w:t>有限合伙</w:t>
                        </w:r>
                        <w:r>
                          <w:rPr>
                            <w:rFonts w:ascii="宋体" w:hAnsi="宋体" w:cs="宋体" w:eastAsia="宋体" w:hint="default"/>
                            <w:sz w:val="18"/>
                            <w:szCs w:val="18"/>
                          </w:rPr>
                          <w:t>)</w:t>
                        </w:r>
                        <w:r>
                          <w:rPr>
                            <w:rFonts w:ascii="宋体" w:hAnsi="宋体" w:cs="宋体" w:eastAsia="宋体" w:hint="default"/>
                            <w:sz w:val="18"/>
                            <w:szCs w:val="18"/>
                          </w:rPr>
                          <w:t>和上海峰幽投资管理中心</w:t>
                        </w:r>
                        <w:r>
                          <w:rPr>
                            <w:rFonts w:ascii="宋体" w:hAnsi="宋体" w:cs="宋体" w:eastAsia="宋体" w:hint="default"/>
                            <w:sz w:val="18"/>
                            <w:szCs w:val="18"/>
                          </w:rPr>
                          <w:t>(</w:t>
                        </w:r>
                        <w:r>
                          <w:rPr>
                            <w:rFonts w:ascii="宋体" w:hAnsi="宋体" w:cs="宋体" w:eastAsia="宋体" w:hint="default"/>
                            <w:sz w:val="18"/>
                            <w:szCs w:val="18"/>
                          </w:rPr>
                          <w:t>普通合伙</w:t>
                        </w:r>
                        <w:r>
                          <w:rPr>
                            <w:rFonts w:ascii="宋体" w:hAnsi="宋体" w:cs="宋体" w:eastAsia="宋体" w:hint="default"/>
                            <w:sz w:val="18"/>
                            <w:szCs w:val="18"/>
                          </w:rPr>
                          <w:t>)</w:t>
                        </w:r>
                        <w:r>
                          <w:rPr>
                            <w:rFonts w:ascii="宋体" w:hAnsi="宋体" w:cs="宋体" w:eastAsia="宋体" w:hint="default"/>
                            <w:sz w:val="18"/>
                            <w:szCs w:val="18"/>
                          </w:rPr>
                          <w:t>是 </w:t>
                        </w:r>
                        <w:r>
                          <w:rPr>
                            <w:rFonts w:ascii="宋体" w:hAnsi="宋体" w:cs="宋体" w:eastAsia="宋体" w:hint="default"/>
                            <w:spacing w:val="-3"/>
                            <w:sz w:val="18"/>
                            <w:szCs w:val="18"/>
                          </w:rPr>
                          <w:t>一致行动人，中兆投资管理有限公司和深圳茂业百货有限公司存在关联关</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pacing w:val="-3"/>
                            <w:sz w:val="18"/>
                            <w:szCs w:val="18"/>
                          </w:rPr>
                          <w:t>系是一致行动人，除此之外未发现上述其他股东之间存在关联关系或是一</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致行动。</w:t>
                        </w:r>
                        <w:r>
                          <w:rPr>
                            <w:rFonts w:ascii="宋体" w:hAnsi="宋体" w:cs="宋体" w:eastAsia="宋体" w:hint="default"/>
                            <w:sz w:val="18"/>
                            <w:szCs w:val="18"/>
                          </w:rPr>
                          <w:t> </w:t>
                        </w:r>
                      </w:p>
                    </w:tc>
                  </w:tr>
                  <w:tr>
                    <w:trPr>
                      <w:trHeight w:val="947" w:hRule="exact"/>
                    </w:trPr>
                    <w:tc>
                      <w:tcPr>
                        <w:tcW w:w="382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5"/>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名普通股股东参与融资融券业务情况说明</w:t>
                        </w:r>
                      </w:p>
                      <w:p>
                        <w:pPr>
                          <w:pStyle w:val="TableParagraph"/>
                          <w:spacing w:line="240" w:lineRule="auto" w:before="76"/>
                          <w:ind w:left="24" w:right="0"/>
                          <w:jc w:val="left"/>
                          <w:rPr>
                            <w:rFonts w:ascii="宋体" w:hAnsi="宋体" w:cs="宋体" w:eastAsia="宋体" w:hint="default"/>
                            <w:sz w:val="18"/>
                            <w:szCs w:val="18"/>
                          </w:rPr>
                        </w:pPr>
                        <w:r>
                          <w:rPr>
                            <w:rFonts w:ascii="宋体" w:hAnsi="宋体" w:cs="宋体" w:eastAsia="宋体" w:hint="default"/>
                            <w:sz w:val="18"/>
                            <w:szCs w:val="18"/>
                          </w:rPr>
                          <w:t>（如有）</w:t>
                        </w:r>
                        <w:r>
                          <w:rPr>
                            <w:rFonts w:ascii="宋体" w:hAnsi="宋体" w:cs="宋体" w:eastAsia="宋体" w:hint="default"/>
                            <w:sz w:val="18"/>
                            <w:szCs w:val="18"/>
                          </w:rPr>
                          <w:t> </w:t>
                        </w:r>
                      </w:p>
                    </w:tc>
                    <w:tc>
                      <w:tcPr>
                        <w:tcW w:w="5742" w:type="dxa"/>
                        <w:gridSpan w:val="8"/>
                        <w:tcBorders>
                          <w:top w:val="single" w:sz="4" w:space="0" w:color="000000"/>
                          <w:left w:val="single" w:sz="4" w:space="0" w:color="000000"/>
                          <w:bottom w:val="single" w:sz="4" w:space="0" w:color="000000"/>
                          <w:right w:val="single" w:sz="4" w:space="0" w:color="000000"/>
                        </w:tcBorders>
                      </w:tcPr>
                      <w:p>
                        <w:pPr>
                          <w:pStyle w:val="TableParagraph"/>
                          <w:spacing w:line="316" w:lineRule="auto" w:before="11"/>
                          <w:ind w:left="24" w:right="21"/>
                          <w:jc w:val="left"/>
                          <w:rPr>
                            <w:rFonts w:ascii="宋体" w:hAnsi="宋体" w:cs="宋体" w:eastAsia="宋体" w:hint="default"/>
                            <w:sz w:val="18"/>
                            <w:szCs w:val="18"/>
                          </w:rPr>
                        </w:pPr>
                        <w:r>
                          <w:rPr>
                            <w:rFonts w:ascii="宋体" w:hAnsi="宋体" w:cs="宋体" w:eastAsia="宋体" w:hint="default"/>
                            <w:spacing w:val="-3"/>
                            <w:sz w:val="18"/>
                            <w:szCs w:val="18"/>
                          </w:rPr>
                          <w:t>上述股东中，深圳市华美达一号投资中心（有限合伙）通过国联证券股份</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有限公司客户信用交易担保证券账户持有</w:t>
                        </w:r>
                        <w:r>
                          <w:rPr>
                            <w:rFonts w:ascii="宋体" w:hAnsi="宋体" w:cs="宋体" w:eastAsia="宋体" w:hint="default"/>
                            <w:spacing w:val="-47"/>
                            <w:sz w:val="18"/>
                            <w:szCs w:val="18"/>
                          </w:rPr>
                          <w:t> </w:t>
                        </w:r>
                        <w:r>
                          <w:rPr>
                            <w:rFonts w:ascii="宋体" w:hAnsi="宋体" w:cs="宋体" w:eastAsia="宋体" w:hint="default"/>
                            <w:sz w:val="18"/>
                            <w:szCs w:val="18"/>
                          </w:rPr>
                          <w:t>22,363,200</w:t>
                        </w:r>
                        <w:r>
                          <w:rPr>
                            <w:rFonts w:ascii="宋体" w:hAnsi="宋体" w:cs="宋体" w:eastAsia="宋体" w:hint="default"/>
                            <w:spacing w:val="-46"/>
                            <w:sz w:val="18"/>
                            <w:szCs w:val="18"/>
                          </w:rPr>
                          <w:t> </w:t>
                        </w:r>
                        <w:r>
                          <w:rPr>
                            <w:rFonts w:ascii="宋体" w:hAnsi="宋体" w:cs="宋体" w:eastAsia="宋体" w:hint="default"/>
                            <w:sz w:val="18"/>
                            <w:szCs w:val="18"/>
                          </w:rPr>
                          <w:t>股；朱胜华通过中</w:t>
                        </w:r>
                      </w:p>
                      <w:p>
                        <w:pPr>
                          <w:pStyle w:val="TableParagraph"/>
                          <w:spacing w:line="240" w:lineRule="auto" w:before="19"/>
                          <w:ind w:left="24" w:right="0"/>
                          <w:jc w:val="left"/>
                          <w:rPr>
                            <w:rFonts w:ascii="宋体" w:hAnsi="宋体" w:cs="宋体" w:eastAsia="宋体" w:hint="default"/>
                            <w:sz w:val="18"/>
                            <w:szCs w:val="18"/>
                          </w:rPr>
                        </w:pPr>
                        <w:r>
                          <w:rPr>
                            <w:rFonts w:ascii="宋体" w:hAnsi="宋体" w:cs="宋体" w:eastAsia="宋体" w:hint="default"/>
                            <w:sz w:val="18"/>
                            <w:szCs w:val="18"/>
                          </w:rPr>
                          <w:t>信建投证券股份有限公司客户信用交易担保证券账户持有</w:t>
                        </w:r>
                        <w:r>
                          <w:rPr>
                            <w:rFonts w:ascii="宋体" w:hAnsi="宋体" w:cs="宋体" w:eastAsia="宋体" w:hint="default"/>
                            <w:spacing w:val="-46"/>
                            <w:sz w:val="18"/>
                            <w:szCs w:val="18"/>
                          </w:rPr>
                          <w:t> </w:t>
                        </w:r>
                        <w:r>
                          <w:rPr>
                            <w:rFonts w:ascii="宋体" w:hAnsi="宋体" w:cs="宋体" w:eastAsia="宋体" w:hint="default"/>
                            <w:sz w:val="18"/>
                            <w:szCs w:val="18"/>
                          </w:rPr>
                          <w:t>6,740,000</w:t>
                        </w:r>
                        <w:r>
                          <w:rPr>
                            <w:rFonts w:ascii="宋体" w:hAnsi="宋体" w:cs="宋体" w:eastAsia="宋体" w:hint="default"/>
                            <w:spacing w:val="-45"/>
                            <w:sz w:val="18"/>
                            <w:szCs w:val="18"/>
                          </w:rPr>
                          <w:t> </w:t>
                        </w:r>
                        <w:r>
                          <w:rPr>
                            <w:rFonts w:ascii="宋体" w:hAnsi="宋体" w:cs="宋体" w:eastAsia="宋体" w:hint="default"/>
                            <w:sz w:val="18"/>
                            <w:szCs w:val="18"/>
                          </w:rPr>
                          <w:t>股</w:t>
                        </w:r>
                      </w:p>
                    </w:tc>
                  </w:tr>
                </w:tbl>
                <w:p>
                  <w:pPr/>
                </w:p>
              </w:txbxContent>
            </v:textbox>
            <w10:wrap type="none"/>
          </v:shape>
        </w:pict>
      </w:r>
      <w:r>
        <w:rPr>
          <w:rFonts w:ascii="宋体" w:hAnsi="宋体" w:cs="宋体" w:eastAsia="宋体" w:hint="default"/>
          <w:sz w:val="18"/>
          <w:szCs w:val="18"/>
        </w:rPr>
        <w:t>。</w:t>
      </w:r>
    </w:p>
    <w:p>
      <w:pPr>
        <w:pStyle w:val="BodyText"/>
        <w:spacing w:line="240" w:lineRule="auto" w:before="101"/>
        <w:ind w:right="1133"/>
        <w:jc w:val="left"/>
        <w:rPr>
          <w:rFonts w:ascii="宋体" w:hAnsi="宋体" w:cs="宋体" w:eastAsia="宋体" w:hint="default"/>
        </w:rPr>
      </w:pPr>
      <w:r>
        <w:rPr>
          <w:rFonts w:ascii="宋体" w:hAnsi="宋体" w:cs="宋体" w:eastAsia="宋体" w:hint="default"/>
          <w:w w:val="100"/>
        </w:rPr>
        <w:t>    </w:t>
      </w:r>
      <w:r>
        <w:rPr/>
        <w:t>公司前</w:t>
      </w:r>
      <w:r>
        <w:rPr>
          <w:spacing w:val="-56"/>
        </w:rPr>
        <w:t> </w:t>
      </w:r>
      <w:r>
        <w:rPr>
          <w:rFonts w:ascii="宋体" w:hAnsi="宋体" w:cs="宋体" w:eastAsia="宋体" w:hint="default"/>
        </w:rPr>
        <w:t>10</w:t>
      </w:r>
      <w:r>
        <w:rPr>
          <w:rFonts w:ascii="宋体" w:hAnsi="宋体" w:cs="宋体" w:eastAsia="宋体" w:hint="default"/>
          <w:spacing w:val="-58"/>
        </w:rPr>
        <w:t> </w:t>
      </w:r>
      <w:r>
        <w:rPr/>
        <w:t>名普通股股东、前</w:t>
      </w:r>
      <w:r>
        <w:rPr>
          <w:spacing w:val="-55"/>
        </w:rPr>
        <w:t> </w:t>
      </w:r>
      <w:r>
        <w:rPr>
          <w:rFonts w:ascii="宋体" w:hAnsi="宋体" w:cs="宋体" w:eastAsia="宋体" w:hint="default"/>
        </w:rPr>
        <w:t>10</w:t>
      </w:r>
      <w:r>
        <w:rPr>
          <w:rFonts w:ascii="宋体" w:hAnsi="宋体" w:cs="宋体" w:eastAsia="宋体" w:hint="default"/>
          <w:spacing w:val="-58"/>
        </w:rPr>
        <w:t> </w:t>
      </w:r>
      <w:r>
        <w:rPr/>
        <w:t>名无限售条件普通股股东在报告期内是否进行约定购回交易</w:t>
      </w:r>
      <w:r>
        <w:rPr>
          <w:rFonts w:ascii="宋体" w:hAnsi="宋体" w:cs="宋体" w:eastAsia="宋体" w:hint="default"/>
        </w:rPr>
        <w:t> </w:t>
      </w:r>
    </w:p>
    <w:p>
      <w:pPr>
        <w:pStyle w:val="BodyText"/>
        <w:spacing w:line="240" w:lineRule="auto" w:before="78"/>
        <w:ind w:right="1133"/>
        <w:jc w:val="left"/>
        <w:rPr>
          <w:rFonts w:ascii="宋体" w:hAnsi="宋体" w:cs="宋体" w:eastAsia="宋体" w:hint="default"/>
        </w:rPr>
      </w:pPr>
      <w:r>
        <w:rPr>
          <w:rFonts w:ascii="宋体" w:hAnsi="宋体" w:cs="宋体" w:eastAsia="宋体" w:hint="default"/>
          <w:w w:val="100"/>
        </w:rPr>
        <w:t>    </w:t>
      </w:r>
      <w:r>
        <w:rPr>
          <w:spacing w:val="-3"/>
        </w:rPr>
        <w:t>□ </w:t>
      </w:r>
      <w:r>
        <w:rPr/>
        <w:t>是 </w:t>
      </w:r>
      <w:r>
        <w:rPr>
          <w:rFonts w:ascii="宋体" w:hAnsi="宋体" w:cs="宋体" w:eastAsia="宋体" w:hint="default"/>
        </w:rPr>
      </w:r>
      <w:r>
        <w:rPr/>
        <w:t>√</w:t>
      </w:r>
      <w:r>
        <w:rPr>
          <w:spacing w:val="2"/>
        </w:rPr>
        <w:t> </w:t>
      </w:r>
      <w:r>
        <w:rPr>
          <w:spacing w:val="-3"/>
        </w:rPr>
        <w:t>否</w:t>
      </w:r>
      <w:r>
        <w:rPr>
          <w:rFonts w:ascii="宋体" w:hAnsi="宋体" w:cs="宋体" w:eastAsia="宋体" w:hint="default"/>
        </w:rPr>
        <w:t> </w:t>
      </w:r>
    </w:p>
    <w:p>
      <w:pPr>
        <w:pStyle w:val="BodyText"/>
        <w:spacing w:line="240" w:lineRule="auto" w:before="78"/>
        <w:ind w:right="1133"/>
        <w:jc w:val="left"/>
        <w:rPr>
          <w:rFonts w:ascii="宋体" w:hAnsi="宋体" w:cs="宋体" w:eastAsia="宋体" w:hint="default"/>
        </w:rPr>
      </w:pPr>
      <w:r>
        <w:rPr>
          <w:rFonts w:ascii="宋体" w:hAnsi="宋体" w:cs="宋体" w:eastAsia="宋体" w:hint="default"/>
          <w:w w:val="100"/>
        </w:rPr>
        <w:t>    </w:t>
      </w:r>
      <w:r>
        <w:rPr/>
        <w:t>公司前</w:t>
      </w:r>
      <w:r>
        <w:rPr>
          <w:spacing w:val="-56"/>
        </w:rPr>
        <w:t> </w:t>
      </w:r>
      <w:r>
        <w:rPr>
          <w:rFonts w:ascii="宋体" w:hAnsi="宋体" w:cs="宋体" w:eastAsia="宋体" w:hint="default"/>
        </w:rPr>
        <w:t>10</w:t>
      </w:r>
      <w:r>
        <w:rPr>
          <w:rFonts w:ascii="宋体" w:hAnsi="宋体" w:cs="宋体" w:eastAsia="宋体" w:hint="default"/>
          <w:spacing w:val="-58"/>
        </w:rPr>
        <w:t> </w:t>
      </w:r>
      <w:r>
        <w:rPr/>
        <w:t>名普通股股东、前</w:t>
      </w:r>
      <w:r>
        <w:rPr>
          <w:spacing w:val="-55"/>
        </w:rPr>
        <w:t> </w:t>
      </w:r>
      <w:r>
        <w:rPr>
          <w:rFonts w:ascii="宋体" w:hAnsi="宋体" w:cs="宋体" w:eastAsia="宋体" w:hint="default"/>
        </w:rPr>
        <w:t>10</w:t>
      </w:r>
      <w:r>
        <w:rPr>
          <w:rFonts w:ascii="宋体" w:hAnsi="宋体" w:cs="宋体" w:eastAsia="宋体" w:hint="default"/>
          <w:spacing w:val="-58"/>
        </w:rPr>
        <w:t> </w:t>
      </w:r>
      <w:r>
        <w:rPr/>
        <w:t>名无限售条件普通股股东在报告期内未进行约定购回交易。</w:t>
      </w:r>
      <w:r>
        <w:rPr>
          <w:rFonts w:ascii="宋体" w:hAnsi="宋体" w:cs="宋体" w:eastAsia="宋体" w:hint="default"/>
        </w:rPr>
        <w:t> </w:t>
      </w:r>
    </w:p>
    <w:p>
      <w:pPr>
        <w:spacing w:line="240" w:lineRule="auto" w:before="13"/>
        <w:rPr>
          <w:rFonts w:ascii="宋体" w:hAnsi="宋体" w:cs="宋体" w:eastAsia="宋体" w:hint="default"/>
          <w:sz w:val="20"/>
          <w:szCs w:val="20"/>
        </w:rPr>
      </w:pPr>
    </w:p>
    <w:p>
      <w:pPr>
        <w:pStyle w:val="Heading3"/>
        <w:spacing w:line="240" w:lineRule="auto" w:before="0"/>
        <w:ind w:left="0" w:right="7665"/>
        <w:jc w:val="center"/>
        <w:rPr>
          <w:b w:val="0"/>
          <w:bCs w:val="0"/>
        </w:rPr>
      </w:pPr>
      <w:r>
        <w:rPr/>
        <w:t>二、公司控股股东情况</w:t>
      </w:r>
      <w:r>
        <w:rPr>
          <w:b w:val="0"/>
          <w:bCs w:val="0"/>
        </w:rPr>
      </w:r>
    </w:p>
    <w:p>
      <w:pPr>
        <w:pStyle w:val="BodyText"/>
        <w:spacing w:line="240" w:lineRule="auto" w:before="159"/>
        <w:ind w:right="1133"/>
        <w:jc w:val="left"/>
        <w:rPr>
          <w:rFonts w:ascii="宋体" w:hAnsi="宋体" w:cs="宋体" w:eastAsia="宋体" w:hint="default"/>
        </w:rPr>
      </w:pPr>
      <w:r>
        <w:rPr>
          <w:rFonts w:ascii="宋体" w:hAnsi="宋体" w:cs="宋体" w:eastAsia="宋体" w:hint="default"/>
          <w:w w:val="100"/>
        </w:rPr>
        <w:t>    </w:t>
      </w:r>
      <w:r>
        <w:rPr/>
        <w:t>控股股东性质：无控股主体</w:t>
      </w:r>
      <w:r>
        <w:rPr>
          <w:rFonts w:ascii="宋体" w:hAnsi="宋体" w:cs="宋体" w:eastAsia="宋体" w:hint="default"/>
        </w:rPr>
        <w:t> </w:t>
      </w:r>
    </w:p>
    <w:p>
      <w:pPr>
        <w:pStyle w:val="BodyText"/>
        <w:spacing w:line="240" w:lineRule="auto" w:before="76"/>
        <w:ind w:right="1133"/>
        <w:jc w:val="left"/>
        <w:rPr>
          <w:rFonts w:ascii="宋体" w:hAnsi="宋体" w:cs="宋体" w:eastAsia="宋体" w:hint="default"/>
        </w:rPr>
      </w:pPr>
      <w:r>
        <w:rPr>
          <w:rFonts w:ascii="宋体" w:hAnsi="宋体" w:cs="宋体" w:eastAsia="宋体" w:hint="default"/>
          <w:w w:val="100"/>
        </w:rPr>
        <w:t>    </w:t>
      </w:r>
      <w:r>
        <w:rPr/>
        <w:t>控股股东类型：不存在</w:t>
      </w:r>
      <w:r>
        <w:rPr>
          <w:rFonts w:ascii="宋体" w:hAnsi="宋体" w:cs="宋体" w:eastAsia="宋体" w:hint="default"/>
        </w:rPr>
        <w:t> </w:t>
      </w:r>
    </w:p>
    <w:p>
      <w:pPr>
        <w:spacing w:line="240" w:lineRule="auto" w:before="3"/>
        <w:rPr>
          <w:rFonts w:ascii="宋体" w:hAnsi="宋体" w:cs="宋体" w:eastAsia="宋体" w:hint="default"/>
          <w:sz w:val="9"/>
          <w:szCs w:val="9"/>
        </w:rPr>
      </w:pPr>
    </w:p>
    <w:p>
      <w:pPr>
        <w:pStyle w:val="Heading3"/>
        <w:spacing w:line="240" w:lineRule="auto"/>
        <w:ind w:right="1133"/>
        <w:jc w:val="left"/>
        <w:rPr>
          <w:rFonts w:ascii="宋体" w:hAnsi="宋体" w:cs="宋体" w:eastAsia="宋体" w:hint="default"/>
          <w:b w:val="0"/>
          <w:bCs w:val="0"/>
        </w:rPr>
      </w:pPr>
      <w:r>
        <w:rPr>
          <w:rFonts w:ascii="宋体" w:hAnsi="宋体" w:cs="宋体" w:eastAsia="宋体" w:hint="default"/>
          <w:w w:val="99"/>
        </w:rPr>
        <w:t>   </w:t>
      </w:r>
      <w:r>
        <w:rPr/>
        <w:t>（一）公司不存在控股股东情况的说明</w:t>
      </w:r>
      <w:r>
        <w:rPr>
          <w:rFonts w:ascii="宋体" w:hAnsi="宋体" w:cs="宋体" w:eastAsia="宋体" w:hint="default"/>
          <w:w w:val="99"/>
        </w:rPr>
        <w:t> </w:t>
      </w:r>
      <w:r>
        <w:rPr>
          <w:rFonts w:ascii="宋体" w:hAnsi="宋体" w:cs="宋体" w:eastAsia="宋体" w:hint="default"/>
          <w:b w:val="0"/>
          <w:bCs w:val="0"/>
        </w:rPr>
      </w:r>
    </w:p>
    <w:p>
      <w:pPr>
        <w:pStyle w:val="BodyText"/>
        <w:spacing w:line="273" w:lineRule="auto" w:before="78"/>
        <w:ind w:right="819"/>
        <w:jc w:val="left"/>
        <w:rPr>
          <w:rFonts w:ascii="宋体" w:hAnsi="宋体" w:cs="宋体" w:eastAsia="宋体" w:hint="default"/>
        </w:rPr>
      </w:pPr>
      <w:r>
        <w:rPr>
          <w:rFonts w:ascii="宋体" w:hAnsi="宋体" w:cs="宋体" w:eastAsia="宋体" w:hint="default"/>
          <w:w w:val="100"/>
        </w:rPr>
        <w:t>    </w:t>
      </w:r>
      <w:r>
        <w:rPr/>
        <w:t>公司第一大股东鹰溪谷及其一致行动人博升优势、上海峰幽合计持股占公司总股本的比例为</w:t>
      </w:r>
      <w:r>
        <w:rPr>
          <w:spacing w:val="-40"/>
        </w:rPr>
        <w:t> </w:t>
      </w:r>
      <w:r>
        <w:rPr>
          <w:rFonts w:ascii="宋体" w:hAnsi="宋体" w:cs="宋体" w:eastAsia="宋体" w:hint="default"/>
        </w:rPr>
        <w:t>23.63%</w:t>
      </w:r>
      <w:r>
        <w:rPr/>
        <w:t>，</w:t>
      </w:r>
      <w:r>
        <w:rPr>
          <w:w w:val="100"/>
        </w:rPr>
        <w:t> </w:t>
      </w:r>
      <w:r>
        <w:rPr/>
        <w:t>第二大股东中兆投资及其一致行动人茂业百货合计持股占公司总股本的比例为</w:t>
      </w:r>
      <w:r>
        <w:rPr>
          <w:spacing w:val="-46"/>
        </w:rPr>
        <w:t> </w:t>
      </w:r>
      <w:r>
        <w:rPr>
          <w:rFonts w:ascii="宋体" w:hAnsi="宋体" w:cs="宋体" w:eastAsia="宋体" w:hint="default"/>
          <w:spacing w:val="-7"/>
        </w:rPr>
        <w:t>22.50%</w:t>
      </w:r>
      <w:r>
        <w:rPr>
          <w:spacing w:val="-7"/>
        </w:rPr>
        <w:t>，第三大股东通泰达</w:t>
      </w:r>
      <w:r>
        <w:rPr>
          <w:spacing w:val="-90"/>
        </w:rPr>
        <w:t> </w:t>
      </w:r>
      <w:r>
        <w:rPr>
          <w:spacing w:val="-90"/>
        </w:rPr>
      </w:r>
      <w:r>
        <w:rPr>
          <w:spacing w:val="-2"/>
          <w:w w:val="100"/>
        </w:rPr>
        <w:t>持股占公司总股本的比例为</w:t>
      </w:r>
      <w:r>
        <w:rPr>
          <w:spacing w:val="-49"/>
          <w:w w:val="100"/>
        </w:rPr>
        <w:t> </w:t>
      </w:r>
      <w:r>
        <w:rPr>
          <w:rFonts w:ascii="宋体" w:hAnsi="宋体" w:cs="宋体" w:eastAsia="宋体" w:hint="default"/>
          <w:spacing w:val="-2"/>
          <w:w w:val="100"/>
        </w:rPr>
        <w:t>10.46%</w:t>
      </w:r>
      <w:r>
        <w:rPr>
          <w:spacing w:val="-2"/>
          <w:w w:val="100"/>
        </w:rPr>
        <w:t>（于报告期后减持，截至本报告出具日持股</w:t>
      </w:r>
      <w:r>
        <w:rPr>
          <w:spacing w:val="-49"/>
          <w:w w:val="100"/>
        </w:rPr>
        <w:t> </w:t>
      </w:r>
      <w:r>
        <w:rPr>
          <w:rFonts w:ascii="宋体" w:hAnsi="宋体" w:cs="宋体" w:eastAsia="宋体" w:hint="default"/>
          <w:spacing w:val="-9"/>
          <w:w w:val="100"/>
        </w:rPr>
        <w:t>8.46%</w:t>
      </w:r>
      <w:r>
        <w:rPr>
          <w:spacing w:val="-9"/>
          <w:w w:val="100"/>
        </w:rPr>
        <w:t>）。第一大股东与第</w:t>
      </w:r>
      <w:r>
        <w:rPr>
          <w:spacing w:val="-87"/>
          <w:w w:val="100"/>
        </w:rPr>
        <w:t> </w:t>
      </w:r>
      <w:r>
        <w:rPr>
          <w:spacing w:val="-87"/>
          <w:w w:val="100"/>
        </w:rPr>
      </w:r>
      <w:r>
        <w:rPr>
          <w:spacing w:val="-6"/>
          <w:w w:val="100"/>
        </w:rPr>
        <w:t>二大股东持股比例较为接近，任一股东未持有上市公司</w:t>
      </w:r>
      <w:r>
        <w:rPr>
          <w:spacing w:val="-63"/>
          <w:w w:val="100"/>
        </w:rPr>
        <w:t> </w:t>
      </w:r>
      <w:r>
        <w:rPr>
          <w:rFonts w:ascii="宋体" w:hAnsi="宋体" w:cs="宋体" w:eastAsia="宋体" w:hint="default"/>
          <w:spacing w:val="-6"/>
          <w:w w:val="100"/>
        </w:rPr>
        <w:t>50%</w:t>
      </w:r>
      <w:r>
        <w:rPr>
          <w:spacing w:val="-6"/>
          <w:w w:val="100"/>
        </w:rPr>
        <w:t>以上股份，不能支配上市公司股份表决权的</w:t>
      </w:r>
      <w:r>
        <w:rPr>
          <w:spacing w:val="-62"/>
          <w:w w:val="100"/>
        </w:rPr>
        <w:t> </w:t>
      </w:r>
      <w:r>
        <w:rPr>
          <w:rFonts w:ascii="宋体" w:hAnsi="宋体" w:cs="宋体" w:eastAsia="宋体" w:hint="default"/>
          <w:spacing w:val="-28"/>
          <w:w w:val="100"/>
        </w:rPr>
        <w:t>30%</w:t>
      </w:r>
      <w:r>
        <w:rPr>
          <w:spacing w:val="-28"/>
          <w:w w:val="100"/>
        </w:rPr>
        <w:t>。</w:t>
      </w:r>
      <w:r>
        <w:rPr>
          <w:rFonts w:ascii="宋体" w:hAnsi="宋体" w:cs="宋体" w:eastAsia="宋体" w:hint="default"/>
          <w:w w:val="100"/>
        </w:rPr>
        <w:t> </w:t>
      </w:r>
    </w:p>
    <w:p>
      <w:pPr>
        <w:spacing w:after="0" w:line="273" w:lineRule="auto"/>
        <w:jc w:val="left"/>
        <w:rPr>
          <w:rFonts w:ascii="宋体" w:hAnsi="宋体" w:cs="宋体" w:eastAsia="宋体" w:hint="default"/>
        </w:rPr>
        <w:sectPr>
          <w:pgSz w:w="11910" w:h="16840"/>
          <w:pgMar w:header="880" w:footer="975" w:top="1100" w:bottom="1160" w:left="980" w:right="0"/>
        </w:sectPr>
      </w:pPr>
    </w:p>
    <w:p>
      <w:pPr>
        <w:spacing w:line="240" w:lineRule="auto" w:before="11"/>
        <w:rPr>
          <w:rFonts w:ascii="宋体" w:hAnsi="宋体" w:cs="宋体" w:eastAsia="宋体" w:hint="default"/>
          <w:sz w:val="20"/>
          <w:szCs w:val="20"/>
        </w:rPr>
      </w:pPr>
    </w:p>
    <w:p>
      <w:pPr>
        <w:pStyle w:val="BodyText"/>
        <w:spacing w:line="273" w:lineRule="auto" w:before="36"/>
        <w:ind w:right="1126"/>
        <w:jc w:val="both"/>
        <w:rPr>
          <w:rFonts w:ascii="宋体" w:hAnsi="宋体" w:cs="宋体" w:eastAsia="宋体" w:hint="default"/>
        </w:rPr>
      </w:pPr>
      <w:r>
        <w:rPr>
          <w:rFonts w:ascii="宋体" w:hAnsi="宋体" w:cs="宋体" w:eastAsia="宋体" w:hint="default"/>
          <w:w w:val="100"/>
        </w:rPr>
        <w:t>    </w:t>
      </w:r>
      <w:r>
        <w:rPr>
          <w:spacing w:val="-2"/>
        </w:rPr>
        <w:t>公司章程规定，公司董事会由九名董事组成，其中至少包括三分之一独立董事。董事会会议应有过半</w:t>
      </w:r>
      <w:r>
        <w:rPr>
          <w:w w:val="100"/>
        </w:rPr>
        <w:t> </w:t>
      </w:r>
      <w:r>
        <w:rPr>
          <w:spacing w:val="-2"/>
        </w:rPr>
        <w:t>数的董事出席方可举行。董事会作出决议，必须经全体董事的过半数通过。董事会决议的表决，实行一人</w:t>
      </w:r>
      <w:r>
        <w:rPr>
          <w:spacing w:val="-50"/>
        </w:rPr>
        <w:t> </w:t>
      </w:r>
      <w:r>
        <w:rPr>
          <w:spacing w:val="-50"/>
        </w:rPr>
      </w:r>
      <w:r>
        <w:rPr>
          <w:spacing w:val="-2"/>
        </w:rPr>
        <w:t>一票。截至本报告出具日，公司董事会成员中有四名来自于鹰溪谷提名，三名来自于中兆投资提名，一名</w:t>
      </w:r>
      <w:r>
        <w:rPr>
          <w:spacing w:val="-50"/>
        </w:rPr>
        <w:t> </w:t>
      </w:r>
      <w:r>
        <w:rPr>
          <w:spacing w:val="-50"/>
        </w:rPr>
      </w:r>
      <w:r>
        <w:rPr>
          <w:spacing w:val="-2"/>
        </w:rPr>
        <w:t>来自于通泰达提名，一名来自于刘英魁提名。鹰溪谷及其一致行动人、中兆投资及其一致行动人以及通泰</w:t>
      </w:r>
      <w:r>
        <w:rPr>
          <w:spacing w:val="-42"/>
        </w:rPr>
        <w:t> </w:t>
      </w:r>
      <w:r>
        <w:rPr>
          <w:spacing w:val="-42"/>
        </w:rPr>
      </w:r>
      <w:r>
        <w:rPr>
          <w:spacing w:val="-2"/>
        </w:rPr>
        <w:t>达、刘英魁均未获得公司过半数董事会席位，均不能控制公司董事会。所以，公司不存在控股股东及实际</w:t>
      </w:r>
      <w:r>
        <w:rPr>
          <w:spacing w:val="-50"/>
        </w:rPr>
        <w:t> </w:t>
      </w:r>
      <w:r>
        <w:rPr>
          <w:spacing w:val="-50"/>
        </w:rPr>
      </w:r>
      <w:r>
        <w:rPr/>
        <w:t>控制人。</w:t>
      </w:r>
      <w:r>
        <w:rPr>
          <w:rFonts w:ascii="宋体" w:hAnsi="宋体" w:cs="宋体" w:eastAsia="宋体" w:hint="default"/>
        </w:rPr>
        <w:t> </w:t>
      </w:r>
    </w:p>
    <w:p>
      <w:pPr>
        <w:spacing w:line="240" w:lineRule="auto" w:before="12"/>
        <w:rPr>
          <w:rFonts w:ascii="宋体" w:hAnsi="宋体" w:cs="宋体" w:eastAsia="宋体" w:hint="default"/>
          <w:sz w:val="18"/>
          <w:szCs w:val="18"/>
        </w:rPr>
      </w:pPr>
    </w:p>
    <w:p>
      <w:pPr>
        <w:pStyle w:val="Heading3"/>
        <w:spacing w:line="240" w:lineRule="auto" w:before="0"/>
        <w:ind w:right="1133"/>
        <w:jc w:val="left"/>
        <w:rPr>
          <w:rFonts w:ascii="宋体" w:hAnsi="宋体" w:cs="宋体" w:eastAsia="宋体" w:hint="default"/>
          <w:b w:val="0"/>
          <w:bCs w:val="0"/>
        </w:rPr>
      </w:pPr>
      <w:r>
        <w:rPr>
          <w:rFonts w:ascii="宋体" w:hAnsi="宋体" w:cs="宋体" w:eastAsia="宋体" w:hint="default"/>
          <w:w w:val="99"/>
        </w:rPr>
        <w:t>   </w:t>
      </w:r>
      <w:r>
        <w:rPr/>
        <w:t>（二）控股股东报告期内变更</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78"/>
        <w:ind w:right="1133"/>
        <w:jc w:val="left"/>
        <w:rPr>
          <w:rFonts w:ascii="宋体" w:hAnsi="宋体" w:cs="宋体" w:eastAsia="宋体" w:hint="default"/>
        </w:rPr>
      </w:pPr>
      <w:r>
        <w:rPr>
          <w:rFonts w:ascii="宋体" w:hAnsi="宋体" w:cs="宋体" w:eastAsia="宋体" w:hint="default"/>
          <w:w w:val="100"/>
        </w:rPr>
        <w:t>    </w:t>
      </w:r>
      <w:r>
        <w:rPr>
          <w:spacing w:val="-3"/>
        </w:rPr>
        <w:t>□ </w:t>
      </w:r>
      <w:r>
        <w:rPr/>
        <w:t>适用 </w:t>
      </w:r>
      <w:r>
        <w:rPr>
          <w:rFonts w:ascii="宋体" w:hAnsi="宋体" w:cs="宋体" w:eastAsia="宋体" w:hint="default"/>
        </w:rPr>
      </w:r>
      <w:r>
        <w:rPr>
          <w:spacing w:val="-3"/>
        </w:rPr>
        <w:t>√</w:t>
      </w:r>
      <w:r>
        <w:rPr>
          <w:spacing w:val="3"/>
        </w:rPr>
        <w:t> </w:t>
      </w:r>
      <w:r>
        <w:rPr/>
        <w:t>不适用</w:t>
      </w:r>
      <w:r>
        <w:rPr>
          <w:rFonts w:ascii="宋体" w:hAnsi="宋体" w:cs="宋体" w:eastAsia="宋体" w:hint="default"/>
        </w:rPr>
        <w:t> </w:t>
      </w:r>
    </w:p>
    <w:p>
      <w:pPr>
        <w:pStyle w:val="BodyText"/>
        <w:spacing w:line="240" w:lineRule="auto" w:before="75"/>
        <w:ind w:right="1133"/>
        <w:jc w:val="left"/>
        <w:rPr>
          <w:rFonts w:ascii="宋体" w:hAnsi="宋体" w:cs="宋体" w:eastAsia="宋体" w:hint="default"/>
        </w:rPr>
      </w:pPr>
      <w:r>
        <w:rPr>
          <w:rFonts w:ascii="宋体" w:hAnsi="宋体" w:cs="宋体" w:eastAsia="宋体" w:hint="default"/>
          <w:w w:val="100"/>
        </w:rPr>
        <w:t>    </w:t>
      </w:r>
      <w:r>
        <w:rPr/>
        <w:t>公司报告期控股股东未发生变更。</w:t>
      </w:r>
      <w:r>
        <w:rPr>
          <w:rFonts w:ascii="宋体" w:hAnsi="宋体" w:cs="宋体" w:eastAsia="宋体" w:hint="default"/>
        </w:rPr>
        <w:t> </w:t>
      </w:r>
    </w:p>
    <w:p>
      <w:pPr>
        <w:spacing w:line="240" w:lineRule="auto" w:before="2"/>
        <w:rPr>
          <w:rFonts w:ascii="宋体" w:hAnsi="宋体" w:cs="宋体" w:eastAsia="宋体" w:hint="default"/>
          <w:sz w:val="21"/>
          <w:szCs w:val="21"/>
        </w:rPr>
      </w:pPr>
    </w:p>
    <w:p>
      <w:pPr>
        <w:pStyle w:val="Heading3"/>
        <w:spacing w:line="240" w:lineRule="auto" w:before="0"/>
        <w:ind w:left="0" w:right="6398"/>
        <w:jc w:val="center"/>
        <w:rPr>
          <w:b w:val="0"/>
          <w:bCs w:val="0"/>
        </w:rPr>
      </w:pPr>
      <w:r>
        <w:rPr/>
        <w:t>三、公司实际控制人及其一致行动人</w:t>
      </w:r>
      <w:r>
        <w:rPr>
          <w:b w:val="0"/>
          <w:bCs w:val="0"/>
        </w:rPr>
      </w:r>
    </w:p>
    <w:p>
      <w:pPr>
        <w:pStyle w:val="BodyText"/>
        <w:spacing w:line="240" w:lineRule="auto" w:before="157"/>
        <w:ind w:right="1133"/>
        <w:jc w:val="left"/>
        <w:rPr>
          <w:rFonts w:ascii="宋体" w:hAnsi="宋体" w:cs="宋体" w:eastAsia="宋体" w:hint="default"/>
        </w:rPr>
      </w:pPr>
      <w:r>
        <w:rPr>
          <w:rFonts w:ascii="宋体" w:hAnsi="宋体" w:cs="宋体" w:eastAsia="宋体" w:hint="default"/>
          <w:w w:val="100"/>
        </w:rPr>
        <w:t>    </w:t>
      </w:r>
      <w:r>
        <w:rPr/>
        <w:t>实际控制人性质：无实际控制人</w:t>
      </w:r>
      <w:r>
        <w:rPr>
          <w:rFonts w:ascii="宋体" w:hAnsi="宋体" w:cs="宋体" w:eastAsia="宋体" w:hint="default"/>
        </w:rPr>
        <w:t> </w:t>
      </w:r>
    </w:p>
    <w:p>
      <w:pPr>
        <w:pStyle w:val="BodyText"/>
        <w:spacing w:line="240" w:lineRule="auto" w:before="78"/>
        <w:ind w:right="1133"/>
        <w:jc w:val="left"/>
        <w:rPr>
          <w:rFonts w:ascii="宋体" w:hAnsi="宋体" w:cs="宋体" w:eastAsia="宋体" w:hint="default"/>
        </w:rPr>
      </w:pPr>
      <w:r>
        <w:rPr>
          <w:rFonts w:ascii="宋体" w:hAnsi="宋体" w:cs="宋体" w:eastAsia="宋体" w:hint="default"/>
          <w:w w:val="100"/>
        </w:rPr>
        <w:t>    </w:t>
      </w:r>
      <w:r>
        <w:rPr/>
        <w:t>实际控制人类型：不存在</w:t>
      </w:r>
      <w:r>
        <w:rPr>
          <w:rFonts w:ascii="宋体" w:hAnsi="宋体" w:cs="宋体" w:eastAsia="宋体" w:hint="default"/>
        </w:rPr>
        <w:t> </w:t>
      </w:r>
    </w:p>
    <w:p>
      <w:pPr>
        <w:pStyle w:val="BodyText"/>
        <w:spacing w:line="240" w:lineRule="auto" w:before="157"/>
        <w:ind w:right="1133"/>
        <w:jc w:val="left"/>
        <w:rPr>
          <w:rFonts w:ascii="宋体" w:hAnsi="宋体" w:cs="宋体" w:eastAsia="宋体" w:hint="default"/>
        </w:rPr>
      </w:pPr>
      <w:r>
        <w:rPr>
          <w:rFonts w:ascii="宋体" w:hAnsi="宋体" w:cs="宋体" w:eastAsia="宋体" w:hint="default"/>
          <w:w w:val="100"/>
        </w:rPr>
        <w:t>    </w:t>
      </w:r>
      <w:r>
        <w:rPr/>
        <w:t>（一）公司不存在实际控制人情况的说明</w:t>
      </w:r>
      <w:r>
        <w:rPr>
          <w:rFonts w:ascii="宋体" w:hAnsi="宋体" w:cs="宋体" w:eastAsia="宋体" w:hint="default"/>
        </w:rPr>
        <w:t> </w:t>
      </w:r>
    </w:p>
    <w:p>
      <w:pPr>
        <w:pStyle w:val="BodyText"/>
        <w:spacing w:line="273" w:lineRule="auto" w:before="78"/>
        <w:ind w:right="819"/>
        <w:jc w:val="left"/>
      </w:pPr>
      <w:r>
        <w:rPr>
          <w:rFonts w:ascii="宋体" w:hAnsi="宋体" w:cs="宋体" w:eastAsia="宋体" w:hint="default"/>
          <w:w w:val="100"/>
        </w:rPr>
        <w:t>    </w:t>
      </w:r>
      <w:r>
        <w:rPr/>
        <w:t>公司无控股股东、实际控制人，报告期公司第一大股东及其实际控制人未有变更。</w:t>
      </w:r>
      <w:r>
        <w:rPr>
          <w:rFonts w:ascii="宋体" w:hAnsi="宋体" w:cs="宋体" w:eastAsia="宋体" w:hint="default"/>
        </w:rPr>
        <w:t>2017</w:t>
      </w:r>
      <w:r>
        <w:rPr>
          <w:rFonts w:ascii="宋体" w:hAnsi="宋体" w:cs="宋体" w:eastAsia="宋体" w:hint="default"/>
          <w:spacing w:val="-47"/>
        </w:rPr>
        <w:t> </w:t>
      </w:r>
      <w:r>
        <w:rPr/>
        <w:t>年</w:t>
      </w:r>
      <w:r>
        <w:rPr>
          <w:spacing w:val="-51"/>
        </w:rPr>
        <w:t> </w:t>
      </w:r>
      <w:r>
        <w:rPr>
          <w:rFonts w:ascii="宋体" w:hAnsi="宋体" w:cs="宋体" w:eastAsia="宋体" w:hint="default"/>
        </w:rPr>
        <w:t>1</w:t>
      </w:r>
      <w:r>
        <w:rPr>
          <w:rFonts w:ascii="宋体" w:hAnsi="宋体" w:cs="宋体" w:eastAsia="宋体" w:hint="default"/>
          <w:spacing w:val="-48"/>
        </w:rPr>
        <w:t> </w:t>
      </w:r>
      <w:r>
        <w:rPr/>
        <w:t>月</w:t>
      </w:r>
      <w:r>
        <w:rPr>
          <w:spacing w:val="-51"/>
        </w:rPr>
        <w:t> </w:t>
      </w:r>
      <w:r>
        <w:rPr>
          <w:rFonts w:ascii="宋体" w:hAnsi="宋体" w:cs="宋体" w:eastAsia="宋体" w:hint="default"/>
        </w:rPr>
        <w:t>9</w:t>
      </w:r>
      <w:r>
        <w:rPr>
          <w:rFonts w:ascii="宋体" w:hAnsi="宋体" w:cs="宋体" w:eastAsia="宋体" w:hint="default"/>
          <w:spacing w:val="-51"/>
        </w:rPr>
        <w:t> </w:t>
      </w:r>
      <w:r>
        <w:rPr/>
        <w:t>日，</w:t>
      </w:r>
      <w:r>
        <w:rPr>
          <w:spacing w:val="2"/>
          <w:w w:val="100"/>
        </w:rPr>
        <w:t> </w:t>
      </w:r>
      <w:r>
        <w:rPr>
          <w:spacing w:val="-4"/>
          <w:w w:val="100"/>
        </w:rPr>
        <w:t>公司原控股股东中兆投资与第三方通泰达签署《股份转让协议》，出让方中兆投资将其持有的本公司无限</w:t>
      </w:r>
      <w:r>
        <w:rPr>
          <w:spacing w:val="-91"/>
          <w:w w:val="100"/>
        </w:rPr>
        <w:t> </w:t>
      </w:r>
      <w:r>
        <w:rPr>
          <w:spacing w:val="-91"/>
          <w:w w:val="100"/>
        </w:rPr>
      </w:r>
      <w:r>
        <w:rPr/>
        <w:t>售条件股份 </w:t>
      </w:r>
      <w:r>
        <w:rPr>
          <w:rFonts w:ascii="宋体" w:hAnsi="宋体" w:cs="宋体" w:eastAsia="宋体" w:hint="default"/>
        </w:rPr>
        <w:t>7,000</w:t>
      </w:r>
      <w:r>
        <w:rPr>
          <w:rFonts w:ascii="宋体" w:hAnsi="宋体" w:cs="宋体" w:eastAsia="宋体" w:hint="default"/>
          <w:spacing w:val="-26"/>
        </w:rPr>
        <w:t> </w:t>
      </w:r>
      <w:r>
        <w:rPr>
          <w:spacing w:val="-3"/>
        </w:rPr>
        <w:t>万股，协议转让给受让方通泰达，股份转让完成后公司已无控股股东、实际控制人。详</w:t>
      </w:r>
    </w:p>
    <w:p>
      <w:pPr>
        <w:pStyle w:val="BodyText"/>
        <w:spacing w:line="307" w:lineRule="auto" w:before="7"/>
        <w:ind w:left="573" w:right="1133" w:hanging="421"/>
        <w:jc w:val="left"/>
        <w:rPr>
          <w:rFonts w:ascii="宋体" w:hAnsi="宋体" w:cs="宋体" w:eastAsia="宋体" w:hint="default"/>
        </w:rPr>
      </w:pPr>
      <w:r>
        <w:rPr>
          <w:spacing w:val="-5"/>
          <w:w w:val="100"/>
        </w:rPr>
        <w:t>情可参阅本年报本节二、（一）不存在控股股东情况的说明及公司</w:t>
      </w:r>
      <w:r>
        <w:rPr>
          <w:spacing w:val="-53"/>
          <w:w w:val="100"/>
        </w:rPr>
        <w:t> </w:t>
      </w:r>
      <w:r>
        <w:rPr>
          <w:rFonts w:ascii="宋体" w:hAnsi="宋体" w:cs="宋体" w:eastAsia="宋体" w:hint="default"/>
          <w:spacing w:val="-1"/>
          <w:w w:val="100"/>
        </w:rPr>
        <w:t>2017</w:t>
      </w:r>
      <w:r>
        <w:rPr>
          <w:rFonts w:ascii="宋体" w:hAnsi="宋体" w:cs="宋体" w:eastAsia="宋体" w:hint="default"/>
          <w:spacing w:val="-56"/>
          <w:w w:val="100"/>
        </w:rPr>
        <w:t> </w:t>
      </w:r>
      <w:r>
        <w:rPr>
          <w:spacing w:val="-2"/>
          <w:w w:val="100"/>
        </w:rPr>
        <w:t>年度报告。</w:t>
      </w:r>
      <w:r>
        <w:rPr>
          <w:spacing w:val="-103"/>
          <w:w w:val="100"/>
        </w:rPr>
        <w:t> </w:t>
      </w:r>
      <w:r>
        <w:rPr>
          <w:rFonts w:ascii="宋体" w:hAnsi="宋体" w:cs="宋体" w:eastAsia="宋体" w:hint="default"/>
          <w:spacing w:val="-103"/>
          <w:w w:val="100"/>
        </w:rPr>
      </w:r>
      <w:r>
        <w:rPr/>
        <w:t>本公司最终控制层面存在</w:t>
      </w:r>
      <w:r>
        <w:rPr>
          <w:spacing w:val="-58"/>
        </w:rPr>
        <w:t> </w:t>
      </w:r>
      <w:r>
        <w:rPr>
          <w:rFonts w:ascii="宋体" w:hAnsi="宋体" w:cs="宋体" w:eastAsia="宋体" w:hint="default"/>
        </w:rPr>
        <w:t>3</w:t>
      </w:r>
      <w:r>
        <w:rPr>
          <w:rFonts w:ascii="宋体" w:hAnsi="宋体" w:cs="宋体" w:eastAsia="宋体" w:hint="default"/>
          <w:spacing w:val="-54"/>
        </w:rPr>
        <w:t> </w:t>
      </w:r>
      <w:r>
        <w:rPr/>
        <w:t>家持股比例</w:t>
      </w:r>
      <w:r>
        <w:rPr>
          <w:spacing w:val="-55"/>
        </w:rPr>
        <w:t> </w:t>
      </w:r>
      <w:r>
        <w:rPr>
          <w:rFonts w:ascii="宋体" w:hAnsi="宋体" w:cs="宋体" w:eastAsia="宋体" w:hint="default"/>
        </w:rPr>
        <w:t>10%</w:t>
      </w:r>
      <w:r>
        <w:rPr/>
        <w:t>以上的股东，每家股东有一位实际控制人。</w:t>
      </w:r>
      <w:r>
        <w:rPr>
          <w:rFonts w:ascii="宋体" w:hAnsi="宋体" w:cs="宋体" w:eastAsia="宋体" w:hint="default"/>
          <w:w w:val="100"/>
        </w:rPr>
        <w:t> </w:t>
      </w:r>
      <w:r>
        <w:rPr>
          <w:rFonts w:ascii="宋体" w:hAnsi="宋体" w:cs="宋体" w:eastAsia="宋体" w:hint="default"/>
        </w:rPr>
        <w:t>1</w:t>
      </w:r>
      <w:r>
        <w:rPr/>
        <w:t>、最终控制层面持股情况</w:t>
      </w:r>
      <w:r>
        <w:rPr>
          <w:rFonts w:ascii="宋体" w:hAnsi="宋体" w:cs="宋体" w:eastAsia="宋体" w:hint="default"/>
        </w:rPr>
        <w:t> </w:t>
      </w:r>
    </w:p>
    <w:p>
      <w:pPr>
        <w:spacing w:line="240" w:lineRule="auto" w:before="5"/>
        <w:rPr>
          <w:rFonts w:ascii="宋体" w:hAnsi="宋体" w:cs="宋体" w:eastAsia="宋体" w:hint="default"/>
          <w:sz w:val="2"/>
          <w:szCs w:val="2"/>
        </w:rPr>
      </w:pPr>
    </w:p>
    <w:tbl>
      <w:tblPr>
        <w:tblW w:w="0" w:type="auto"/>
        <w:jc w:val="left"/>
        <w:tblInd w:w="148" w:type="dxa"/>
        <w:tblLayout w:type="fixed"/>
        <w:tblCellMar>
          <w:top w:w="0" w:type="dxa"/>
          <w:left w:w="0" w:type="dxa"/>
          <w:bottom w:w="0" w:type="dxa"/>
          <w:right w:w="0" w:type="dxa"/>
        </w:tblCellMar>
        <w:tblLook w:val="01E0"/>
      </w:tblPr>
      <w:tblGrid>
        <w:gridCol w:w="2268"/>
        <w:gridCol w:w="1844"/>
        <w:gridCol w:w="1560"/>
        <w:gridCol w:w="1985"/>
        <w:gridCol w:w="1983"/>
      </w:tblGrid>
      <w:tr>
        <w:trPr>
          <w:trHeight w:val="634" w:hRule="exact"/>
        </w:trPr>
        <w:tc>
          <w:tcPr>
            <w:tcW w:w="22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30" w:right="0"/>
              <w:jc w:val="left"/>
              <w:rPr>
                <w:rFonts w:ascii="宋体" w:hAnsi="宋体" w:cs="宋体" w:eastAsia="宋体" w:hint="default"/>
                <w:sz w:val="18"/>
                <w:szCs w:val="18"/>
              </w:rPr>
            </w:pPr>
            <w:r>
              <w:rPr>
                <w:rFonts w:ascii="宋体" w:hAnsi="宋体" w:cs="宋体" w:eastAsia="宋体" w:hint="default"/>
                <w:sz w:val="18"/>
                <w:szCs w:val="18"/>
              </w:rPr>
              <w:t>最终控制层面股东名称</w:t>
            </w:r>
          </w:p>
        </w:tc>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10"/>
              <w:ind w:left="467" w:right="441" w:hanging="27"/>
              <w:jc w:val="left"/>
              <w:rPr>
                <w:rFonts w:ascii="宋体" w:hAnsi="宋体" w:cs="宋体" w:eastAsia="宋体" w:hint="default"/>
                <w:sz w:val="18"/>
                <w:szCs w:val="18"/>
              </w:rPr>
            </w:pPr>
            <w:r>
              <w:rPr>
                <w:rFonts w:ascii="宋体" w:hAnsi="宋体" w:cs="宋体" w:eastAsia="宋体" w:hint="default"/>
                <w:sz w:val="18"/>
                <w:szCs w:val="18"/>
              </w:rPr>
              <w:t>法定代表人</w:t>
            </w:r>
            <w:r>
              <w:rPr>
                <w:rFonts w:ascii="Times New Roman" w:hAnsi="Times New Roman" w:cs="Times New Roman" w:eastAsia="Times New Roman" w:hint="default"/>
                <w:sz w:val="18"/>
                <w:szCs w:val="18"/>
              </w:rPr>
              <w:t>/ </w:t>
            </w:r>
            <w:r>
              <w:rPr>
                <w:rFonts w:ascii="宋体" w:hAnsi="宋体" w:cs="宋体" w:eastAsia="宋体" w:hint="default"/>
                <w:sz w:val="18"/>
                <w:szCs w:val="18"/>
              </w:rPr>
              <w:t>单位负责人</w:t>
            </w:r>
          </w:p>
        </w:tc>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成立日期</w:t>
            </w:r>
          </w:p>
        </w:tc>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448" w:right="0"/>
              <w:jc w:val="left"/>
              <w:rPr>
                <w:rFonts w:ascii="宋体" w:hAnsi="宋体" w:cs="宋体" w:eastAsia="宋体" w:hint="default"/>
                <w:sz w:val="18"/>
                <w:szCs w:val="18"/>
              </w:rPr>
            </w:pPr>
            <w:r>
              <w:rPr>
                <w:rFonts w:ascii="宋体" w:hAnsi="宋体" w:cs="宋体" w:eastAsia="宋体" w:hint="default"/>
                <w:sz w:val="18"/>
                <w:szCs w:val="18"/>
              </w:rPr>
              <w:t>组织机构代码</w:t>
            </w:r>
          </w:p>
        </w:tc>
        <w:tc>
          <w:tcPr>
            <w:tcW w:w="19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446" w:right="0"/>
              <w:jc w:val="left"/>
              <w:rPr>
                <w:rFonts w:ascii="宋体" w:hAnsi="宋体" w:cs="宋体" w:eastAsia="宋体" w:hint="default"/>
                <w:sz w:val="18"/>
                <w:szCs w:val="18"/>
              </w:rPr>
            </w:pPr>
            <w:r>
              <w:rPr>
                <w:rFonts w:ascii="宋体" w:hAnsi="宋体" w:cs="宋体" w:eastAsia="宋体" w:hint="default"/>
                <w:sz w:val="18"/>
                <w:szCs w:val="18"/>
              </w:rPr>
              <w:t>主要经营业务</w:t>
            </w:r>
          </w:p>
        </w:tc>
      </w:tr>
      <w:tr>
        <w:trPr>
          <w:trHeight w:val="946"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00" w:lineRule="auto"/>
              <w:ind w:left="24" w:right="192"/>
              <w:jc w:val="left"/>
              <w:rPr>
                <w:rFonts w:ascii="Times New Roman" w:hAnsi="Times New Roman" w:cs="Times New Roman" w:eastAsia="Times New Roman" w:hint="default"/>
                <w:sz w:val="18"/>
                <w:szCs w:val="18"/>
              </w:rPr>
            </w:pPr>
            <w:r>
              <w:rPr>
                <w:rFonts w:ascii="宋体" w:hAnsi="宋体" w:cs="宋体" w:eastAsia="宋体" w:hint="default"/>
                <w:sz w:val="18"/>
                <w:szCs w:val="18"/>
              </w:rPr>
              <w:t>孝昌鹰溪谷投资中心</w:t>
            </w:r>
            <w:r>
              <w:rPr>
                <w:rFonts w:ascii="Times New Roman" w:hAnsi="Times New Roman" w:cs="Times New Roman" w:eastAsia="Times New Roman" w:hint="default"/>
                <w:sz w:val="18"/>
                <w:szCs w:val="18"/>
              </w:rPr>
              <w:t>(</w:t>
            </w:r>
            <w:r>
              <w:rPr>
                <w:rFonts w:ascii="宋体" w:hAnsi="宋体" w:cs="宋体" w:eastAsia="宋体" w:hint="default"/>
                <w:sz w:val="18"/>
                <w:szCs w:val="18"/>
              </w:rPr>
              <w:t>有限 合伙</w:t>
            </w:r>
            <w:r>
              <w:rPr>
                <w:rFonts w:ascii="Times New Roman" w:hAnsi="Times New Roman" w:cs="Times New Roman" w:eastAsia="Times New Roman" w:hint="default"/>
                <w:sz w:val="18"/>
                <w:szCs w:val="18"/>
              </w:rPr>
              <w:t>)</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10"/>
              <w:ind w:left="23" w:right="188"/>
              <w:jc w:val="both"/>
              <w:rPr>
                <w:rFonts w:ascii="宋体" w:hAnsi="宋体" w:cs="宋体" w:eastAsia="宋体" w:hint="default"/>
                <w:sz w:val="18"/>
                <w:szCs w:val="18"/>
              </w:rPr>
            </w:pPr>
            <w:r>
              <w:rPr>
                <w:rFonts w:ascii="宋体" w:hAnsi="宋体" w:cs="宋体" w:eastAsia="宋体" w:hint="default"/>
                <w:sz w:val="18"/>
                <w:szCs w:val="18"/>
              </w:rPr>
              <w:t>北京中泽启天投资中 心</w:t>
            </w:r>
            <w:r>
              <w:rPr>
                <w:rFonts w:ascii="Times New Roman" w:hAnsi="Times New Roman" w:cs="Times New Roman" w:eastAsia="Times New Roman" w:hint="default"/>
                <w:sz w:val="18"/>
                <w:szCs w:val="18"/>
              </w:rPr>
              <w:t>(</w:t>
            </w:r>
            <w:r>
              <w:rPr>
                <w:rFonts w:ascii="宋体" w:hAnsi="宋体" w:cs="宋体" w:eastAsia="宋体" w:hint="default"/>
                <w:sz w:val="18"/>
                <w:szCs w:val="18"/>
              </w:rPr>
              <w:t>有限合伙</w:t>
            </w:r>
            <w:r>
              <w:rPr>
                <w:rFonts w:ascii="Times New Roman" w:hAnsi="Times New Roman" w:cs="Times New Roman" w:eastAsia="Times New Roman" w:hint="default"/>
                <w:sz w:val="18"/>
                <w:szCs w:val="18"/>
              </w:rPr>
              <w:t>)/</w:t>
            </w:r>
            <w:r>
              <w:rPr>
                <w:rFonts w:ascii="宋体" w:hAnsi="宋体" w:cs="宋体" w:eastAsia="宋体" w:hint="default"/>
                <w:sz w:val="18"/>
                <w:szCs w:val="18"/>
              </w:rPr>
              <w:t>实际控 制人吴鹰</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06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日</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19"/>
              <w:jc w:val="right"/>
              <w:rPr>
                <w:rFonts w:ascii="Times New Roman" w:hAnsi="Times New Roman" w:cs="Times New Roman" w:eastAsia="Times New Roman" w:hint="default"/>
                <w:sz w:val="18"/>
                <w:szCs w:val="18"/>
              </w:rPr>
            </w:pPr>
            <w:r>
              <w:rPr>
                <w:rFonts w:ascii="Times New Roman"/>
                <w:spacing w:val="-1"/>
                <w:sz w:val="18"/>
              </w:rPr>
              <w:t>914209213098331154</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9" w:lineRule="auto"/>
              <w:ind w:left="23" w:right="20"/>
              <w:jc w:val="left"/>
              <w:rPr>
                <w:rFonts w:ascii="宋体" w:hAnsi="宋体" w:cs="宋体" w:eastAsia="宋体" w:hint="default"/>
                <w:sz w:val="18"/>
                <w:szCs w:val="18"/>
              </w:rPr>
            </w:pPr>
            <w:r>
              <w:rPr>
                <w:rFonts w:ascii="宋体" w:hAnsi="宋体" w:cs="宋体" w:eastAsia="宋体" w:hint="default"/>
                <w:spacing w:val="-5"/>
                <w:sz w:val="18"/>
                <w:szCs w:val="18"/>
              </w:rPr>
              <w:t>实业投资、投资管理、企</w:t>
            </w:r>
            <w:r>
              <w:rPr>
                <w:rFonts w:ascii="宋体" w:hAnsi="宋体" w:cs="宋体" w:eastAsia="宋体" w:hint="default"/>
                <w:sz w:val="18"/>
                <w:szCs w:val="18"/>
              </w:rPr>
              <w:t> 业管理咨询</w:t>
            </w:r>
          </w:p>
        </w:tc>
      </w:tr>
      <w:tr>
        <w:trPr>
          <w:trHeight w:val="317" w:hRule="exact"/>
        </w:trPr>
        <w:tc>
          <w:tcPr>
            <w:tcW w:w="2268" w:type="dxa"/>
            <w:tcBorders>
              <w:top w:val="single" w:sz="4" w:space="0" w:color="000000"/>
              <w:left w:val="single" w:sz="4" w:space="0" w:color="000000"/>
              <w:bottom w:val="nil" w:sz="6" w:space="0" w:color="auto"/>
              <w:right w:val="single" w:sz="4" w:space="0" w:color="000000"/>
            </w:tcBorders>
          </w:tcPr>
          <w:p>
            <w:pPr/>
          </w:p>
        </w:tc>
        <w:tc>
          <w:tcPr>
            <w:tcW w:w="1844" w:type="dxa"/>
            <w:tcBorders>
              <w:top w:val="single" w:sz="4" w:space="0" w:color="000000"/>
              <w:left w:val="single" w:sz="4" w:space="0" w:color="000000"/>
              <w:bottom w:val="nil" w:sz="6" w:space="0" w:color="auto"/>
              <w:right w:val="single" w:sz="4" w:space="0" w:color="000000"/>
            </w:tcBorders>
          </w:tcPr>
          <w:p>
            <w:pPr/>
          </w:p>
        </w:tc>
        <w:tc>
          <w:tcPr>
            <w:tcW w:w="1560" w:type="dxa"/>
            <w:tcBorders>
              <w:top w:val="single" w:sz="4" w:space="0" w:color="000000"/>
              <w:left w:val="single" w:sz="4" w:space="0" w:color="000000"/>
              <w:bottom w:val="nil" w:sz="6" w:space="0" w:color="auto"/>
              <w:right w:val="single" w:sz="4" w:space="0" w:color="000000"/>
            </w:tcBorders>
          </w:tcPr>
          <w:p>
            <w:pPr/>
          </w:p>
        </w:tc>
        <w:tc>
          <w:tcPr>
            <w:tcW w:w="1985" w:type="dxa"/>
            <w:tcBorders>
              <w:top w:val="single" w:sz="4" w:space="0" w:color="000000"/>
              <w:left w:val="single" w:sz="4" w:space="0" w:color="000000"/>
              <w:bottom w:val="nil" w:sz="6" w:space="0" w:color="auto"/>
              <w:right w:val="single" w:sz="4" w:space="0" w:color="000000"/>
            </w:tcBorders>
          </w:tcPr>
          <w:p>
            <w:pPr/>
          </w:p>
        </w:tc>
        <w:tc>
          <w:tcPr>
            <w:tcW w:w="198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pacing w:val="-5"/>
                <w:sz w:val="18"/>
                <w:szCs w:val="18"/>
              </w:rPr>
              <w:t>投资兴办实业、经济信息</w:t>
            </w:r>
          </w:p>
        </w:tc>
      </w:tr>
      <w:tr>
        <w:trPr>
          <w:trHeight w:val="624" w:hRule="exact"/>
        </w:trPr>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中兆投资管理有限公司</w:t>
            </w:r>
          </w:p>
        </w:tc>
        <w:tc>
          <w:tcPr>
            <w:tcW w:w="1844" w:type="dxa"/>
            <w:tcBorders>
              <w:top w:val="nil" w:sz="6" w:space="0" w:color="auto"/>
              <w:left w:val="single" w:sz="4" w:space="0" w:color="000000"/>
              <w:bottom w:val="nil" w:sz="6" w:space="0" w:color="auto"/>
              <w:right w:val="single" w:sz="4" w:space="0" w:color="000000"/>
            </w:tcBorders>
          </w:tcPr>
          <w:p>
            <w:pPr>
              <w:pStyle w:val="TableParagraph"/>
              <w:spacing w:line="300" w:lineRule="auto" w:before="10"/>
              <w:ind w:left="23" w:right="197"/>
              <w:jc w:val="left"/>
              <w:rPr>
                <w:rFonts w:ascii="宋体" w:hAnsi="宋体" w:cs="宋体" w:eastAsia="宋体" w:hint="default"/>
                <w:sz w:val="18"/>
                <w:szCs w:val="18"/>
              </w:rPr>
            </w:pPr>
            <w:r>
              <w:rPr>
                <w:rFonts w:ascii="宋体" w:hAnsi="宋体" w:cs="宋体" w:eastAsia="宋体" w:hint="default"/>
                <w:sz w:val="18"/>
                <w:szCs w:val="18"/>
              </w:rPr>
              <w:t>张静</w:t>
            </w:r>
            <w:r>
              <w:rPr>
                <w:rFonts w:ascii="Times New Roman" w:hAnsi="Times New Roman" w:cs="Times New Roman" w:eastAsia="Times New Roman" w:hint="default"/>
                <w:sz w:val="18"/>
                <w:szCs w:val="18"/>
              </w:rPr>
              <w:t>(</w:t>
            </w:r>
            <w:r>
              <w:rPr>
                <w:rFonts w:ascii="宋体" w:hAnsi="宋体" w:cs="宋体" w:eastAsia="宋体" w:hint="default"/>
                <w:sz w:val="18"/>
                <w:szCs w:val="18"/>
              </w:rPr>
              <w:t>女</w:t>
            </w:r>
            <w:r>
              <w:rPr>
                <w:rFonts w:ascii="Times New Roman" w:hAnsi="Times New Roman" w:cs="Times New Roman" w:eastAsia="Times New Roman" w:hint="default"/>
                <w:sz w:val="18"/>
                <w:szCs w:val="18"/>
              </w:rPr>
              <w:t>)/</w:t>
            </w:r>
            <w:r>
              <w:rPr>
                <w:rFonts w:ascii="宋体" w:hAnsi="宋体" w:cs="宋体" w:eastAsia="宋体" w:hint="default"/>
                <w:sz w:val="18"/>
                <w:szCs w:val="18"/>
              </w:rPr>
              <w:t>实际控制人 黄茂如</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1997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 </w:t>
            </w:r>
            <w:r>
              <w:rPr>
                <w:rFonts w:ascii="宋体" w:hAnsi="宋体" w:cs="宋体" w:eastAsia="宋体" w:hint="default"/>
                <w:sz w:val="18"/>
                <w:szCs w:val="18"/>
              </w:rPr>
              <w:t>日</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91440300279394149B</w:t>
            </w:r>
          </w:p>
        </w:tc>
        <w:tc>
          <w:tcPr>
            <w:tcW w:w="1983" w:type="dxa"/>
            <w:tcBorders>
              <w:top w:val="nil" w:sz="6" w:space="0" w:color="auto"/>
              <w:left w:val="single" w:sz="4" w:space="0" w:color="000000"/>
              <w:bottom w:val="nil" w:sz="6" w:space="0" w:color="auto"/>
              <w:right w:val="single" w:sz="4" w:space="0" w:color="000000"/>
            </w:tcBorders>
          </w:tcPr>
          <w:p>
            <w:pPr>
              <w:pStyle w:val="TableParagraph"/>
              <w:spacing w:line="316" w:lineRule="auto" w:before="10"/>
              <w:ind w:left="23" w:right="20"/>
              <w:jc w:val="left"/>
              <w:rPr>
                <w:rFonts w:ascii="宋体" w:hAnsi="宋体" w:cs="宋体" w:eastAsia="宋体" w:hint="default"/>
                <w:sz w:val="18"/>
                <w:szCs w:val="18"/>
              </w:rPr>
            </w:pPr>
            <w:r>
              <w:rPr>
                <w:rFonts w:ascii="宋体" w:hAnsi="宋体" w:cs="宋体" w:eastAsia="宋体" w:hint="default"/>
                <w:spacing w:val="-5"/>
                <w:sz w:val="18"/>
                <w:szCs w:val="18"/>
              </w:rPr>
              <w:t>咨询、资产管理、物业管</w:t>
            </w:r>
            <w:r>
              <w:rPr>
                <w:rFonts w:ascii="宋体" w:hAnsi="宋体" w:cs="宋体" w:eastAsia="宋体" w:hint="default"/>
                <w:sz w:val="18"/>
                <w:szCs w:val="18"/>
              </w:rPr>
              <w:t> </w:t>
            </w:r>
            <w:r>
              <w:rPr>
                <w:rFonts w:ascii="宋体" w:hAnsi="宋体" w:cs="宋体" w:eastAsia="宋体" w:hint="default"/>
                <w:spacing w:val="-5"/>
                <w:sz w:val="18"/>
                <w:szCs w:val="18"/>
              </w:rPr>
              <w:t>理、计算机软件的技术开</w:t>
            </w:r>
          </w:p>
        </w:tc>
      </w:tr>
      <w:tr>
        <w:trPr>
          <w:trHeight w:val="317" w:hRule="exact"/>
        </w:trPr>
        <w:tc>
          <w:tcPr>
            <w:tcW w:w="2268" w:type="dxa"/>
            <w:tcBorders>
              <w:top w:val="nil" w:sz="6" w:space="0" w:color="auto"/>
              <w:left w:val="single" w:sz="4" w:space="0" w:color="000000"/>
              <w:bottom w:val="single" w:sz="4" w:space="0" w:color="000000"/>
              <w:right w:val="single" w:sz="4" w:space="0" w:color="000000"/>
            </w:tcBorders>
          </w:tcPr>
          <w:p>
            <w:pPr/>
          </w:p>
        </w:tc>
        <w:tc>
          <w:tcPr>
            <w:tcW w:w="1844" w:type="dxa"/>
            <w:tcBorders>
              <w:top w:val="nil" w:sz="6" w:space="0" w:color="auto"/>
              <w:left w:val="single" w:sz="4" w:space="0" w:color="000000"/>
              <w:bottom w:val="single" w:sz="4" w:space="0" w:color="000000"/>
              <w:right w:val="single" w:sz="4" w:space="0" w:color="000000"/>
            </w:tcBorders>
          </w:tcPr>
          <w:p>
            <w:pPr/>
          </w:p>
        </w:tc>
        <w:tc>
          <w:tcPr>
            <w:tcW w:w="1560" w:type="dxa"/>
            <w:tcBorders>
              <w:top w:val="nil" w:sz="6" w:space="0" w:color="auto"/>
              <w:left w:val="single" w:sz="4" w:space="0" w:color="000000"/>
              <w:bottom w:val="single" w:sz="4" w:space="0" w:color="000000"/>
              <w:right w:val="single" w:sz="4" w:space="0" w:color="000000"/>
            </w:tcBorders>
          </w:tcPr>
          <w:p>
            <w:pPr/>
          </w:p>
        </w:tc>
        <w:tc>
          <w:tcPr>
            <w:tcW w:w="1985" w:type="dxa"/>
            <w:tcBorders>
              <w:top w:val="nil" w:sz="6" w:space="0" w:color="auto"/>
              <w:left w:val="single" w:sz="4" w:space="0" w:color="000000"/>
              <w:bottom w:val="single" w:sz="4" w:space="0" w:color="000000"/>
              <w:right w:val="single" w:sz="4" w:space="0" w:color="000000"/>
            </w:tcBorders>
          </w:tcPr>
          <w:p>
            <w:pPr/>
          </w:p>
        </w:tc>
        <w:tc>
          <w:tcPr>
            <w:tcW w:w="198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23" w:right="0"/>
              <w:jc w:val="left"/>
              <w:rPr>
                <w:rFonts w:ascii="宋体" w:hAnsi="宋体" w:cs="宋体" w:eastAsia="宋体" w:hint="default"/>
                <w:sz w:val="18"/>
                <w:szCs w:val="18"/>
              </w:rPr>
            </w:pPr>
            <w:r>
              <w:rPr>
                <w:rFonts w:ascii="宋体" w:hAnsi="宋体" w:cs="宋体" w:eastAsia="宋体" w:hint="default"/>
                <w:sz w:val="18"/>
                <w:szCs w:val="18"/>
              </w:rPr>
              <w:t>发、企业管理咨询等</w:t>
            </w:r>
          </w:p>
        </w:tc>
      </w:tr>
      <w:tr>
        <w:trPr>
          <w:trHeight w:val="946"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00" w:lineRule="auto"/>
              <w:ind w:left="24" w:right="192"/>
              <w:jc w:val="left"/>
              <w:rPr>
                <w:rFonts w:ascii="Times New Roman" w:hAnsi="Times New Roman" w:cs="Times New Roman" w:eastAsia="Times New Roman" w:hint="default"/>
                <w:sz w:val="18"/>
                <w:szCs w:val="18"/>
              </w:rPr>
            </w:pPr>
            <w:r>
              <w:rPr>
                <w:rFonts w:ascii="宋体" w:hAnsi="宋体" w:cs="宋体" w:eastAsia="宋体" w:hint="default"/>
                <w:sz w:val="18"/>
                <w:szCs w:val="18"/>
              </w:rPr>
              <w:t>深圳通泰达投资中心</w:t>
            </w:r>
            <w:r>
              <w:rPr>
                <w:rFonts w:ascii="Times New Roman" w:hAnsi="Times New Roman" w:cs="Times New Roman" w:eastAsia="Times New Roman" w:hint="default"/>
                <w:sz w:val="18"/>
                <w:szCs w:val="18"/>
              </w:rPr>
              <w:t>(</w:t>
            </w:r>
            <w:r>
              <w:rPr>
                <w:rFonts w:ascii="宋体" w:hAnsi="宋体" w:cs="宋体" w:eastAsia="宋体" w:hint="default"/>
                <w:sz w:val="18"/>
                <w:szCs w:val="18"/>
              </w:rPr>
              <w:t>有限 合伙</w:t>
            </w:r>
            <w:r>
              <w:rPr>
                <w:rFonts w:ascii="Times New Roman" w:hAnsi="Times New Roman" w:cs="Times New Roman" w:eastAsia="Times New Roman" w:hint="default"/>
                <w:sz w:val="18"/>
                <w:szCs w:val="18"/>
              </w:rPr>
              <w:t>)</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10"/>
              <w:ind w:left="23" w:right="188"/>
              <w:jc w:val="both"/>
              <w:rPr>
                <w:rFonts w:ascii="宋体" w:hAnsi="宋体" w:cs="宋体" w:eastAsia="宋体" w:hint="default"/>
                <w:sz w:val="18"/>
                <w:szCs w:val="18"/>
              </w:rPr>
            </w:pPr>
            <w:r>
              <w:rPr>
                <w:rFonts w:ascii="宋体" w:hAnsi="宋体" w:cs="宋体" w:eastAsia="宋体" w:hint="default"/>
                <w:sz w:val="18"/>
                <w:szCs w:val="18"/>
              </w:rPr>
              <w:t>上海怀录投资发展中 心</w:t>
            </w:r>
            <w:r>
              <w:rPr>
                <w:rFonts w:ascii="Times New Roman" w:hAnsi="Times New Roman" w:cs="Times New Roman" w:eastAsia="Times New Roman" w:hint="default"/>
                <w:sz w:val="18"/>
                <w:szCs w:val="18"/>
              </w:rPr>
              <w:t>(</w:t>
            </w:r>
            <w:r>
              <w:rPr>
                <w:rFonts w:ascii="宋体" w:hAnsi="宋体" w:cs="宋体" w:eastAsia="宋体" w:hint="default"/>
                <w:sz w:val="18"/>
                <w:szCs w:val="18"/>
              </w:rPr>
              <w:t>有限合伙</w:t>
            </w:r>
            <w:r>
              <w:rPr>
                <w:rFonts w:ascii="Times New Roman" w:hAnsi="Times New Roman" w:cs="Times New Roman" w:eastAsia="Times New Roman" w:hint="default"/>
                <w:sz w:val="18"/>
                <w:szCs w:val="18"/>
              </w:rPr>
              <w:t>)/</w:t>
            </w:r>
            <w:r>
              <w:rPr>
                <w:rFonts w:ascii="宋体" w:hAnsi="宋体" w:cs="宋体" w:eastAsia="宋体" w:hint="default"/>
                <w:sz w:val="18"/>
                <w:szCs w:val="18"/>
              </w:rPr>
              <w:t>实际控 制人朱文平</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right="12"/>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 </w:t>
            </w:r>
            <w:r>
              <w:rPr>
                <w:rFonts w:ascii="宋体" w:hAnsi="宋体" w:cs="宋体" w:eastAsia="宋体" w:hint="default"/>
                <w:sz w:val="18"/>
                <w:szCs w:val="18"/>
              </w:rPr>
              <w:t>日</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right="59"/>
              <w:jc w:val="right"/>
              <w:rPr>
                <w:rFonts w:ascii="Times New Roman" w:hAnsi="Times New Roman" w:cs="Times New Roman" w:eastAsia="Times New Roman" w:hint="default"/>
                <w:sz w:val="18"/>
                <w:szCs w:val="18"/>
              </w:rPr>
            </w:pPr>
            <w:r>
              <w:rPr>
                <w:rFonts w:ascii="Times New Roman"/>
                <w:spacing w:val="-1"/>
                <w:sz w:val="18"/>
              </w:rPr>
              <w:t>91440300MA5DN2Y80D</w:t>
            </w:r>
          </w:p>
        </w:tc>
        <w:tc>
          <w:tcPr>
            <w:tcW w:w="19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316" w:lineRule="auto"/>
              <w:ind w:left="23" w:right="20"/>
              <w:jc w:val="left"/>
              <w:rPr>
                <w:rFonts w:ascii="宋体" w:hAnsi="宋体" w:cs="宋体" w:eastAsia="宋体" w:hint="default"/>
                <w:sz w:val="18"/>
                <w:szCs w:val="18"/>
              </w:rPr>
            </w:pPr>
            <w:r>
              <w:rPr>
                <w:rFonts w:ascii="宋体" w:hAnsi="宋体" w:cs="宋体" w:eastAsia="宋体" w:hint="default"/>
                <w:spacing w:val="-5"/>
                <w:sz w:val="18"/>
                <w:szCs w:val="18"/>
              </w:rPr>
              <w:t>投资兴办实业、创业投资</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业务、投资咨询等</w:t>
            </w:r>
          </w:p>
        </w:tc>
      </w:tr>
      <w:tr>
        <w:trPr>
          <w:trHeight w:val="984" w:hRule="exact"/>
        </w:trPr>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9"/>
              <w:ind w:left="103" w:right="94"/>
              <w:jc w:val="both"/>
              <w:rPr>
                <w:rFonts w:ascii="宋体" w:hAnsi="宋体" w:cs="宋体" w:eastAsia="宋体" w:hint="default"/>
                <w:sz w:val="18"/>
                <w:szCs w:val="18"/>
              </w:rPr>
            </w:pPr>
            <w:r>
              <w:rPr>
                <w:rFonts w:ascii="宋体" w:hAnsi="宋体" w:cs="宋体" w:eastAsia="宋体" w:hint="default"/>
                <w:spacing w:val="7"/>
                <w:sz w:val="18"/>
                <w:szCs w:val="18"/>
              </w:rPr>
              <w:t>最终控制层面股东报告期 内控制的其他境内外上市 </w:t>
            </w:r>
            <w:r>
              <w:rPr>
                <w:rFonts w:ascii="宋体" w:hAnsi="宋体" w:cs="宋体" w:eastAsia="宋体" w:hint="default"/>
                <w:sz w:val="18"/>
                <w:szCs w:val="18"/>
              </w:rPr>
              <w:t>公司的股权情况</w:t>
            </w:r>
            <w:r>
              <w:rPr>
                <w:rFonts w:ascii="宋体" w:hAnsi="宋体" w:cs="宋体" w:eastAsia="宋体" w:hint="default"/>
                <w:sz w:val="18"/>
                <w:szCs w:val="18"/>
              </w:rPr>
              <w:t> </w:t>
            </w:r>
          </w:p>
        </w:tc>
        <w:tc>
          <w:tcPr>
            <w:tcW w:w="7372"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316" w:lineRule="auto"/>
              <w:ind w:left="103" w:right="99"/>
              <w:jc w:val="left"/>
              <w:rPr>
                <w:rFonts w:ascii="宋体" w:hAnsi="宋体" w:cs="宋体" w:eastAsia="宋体" w:hint="default"/>
                <w:sz w:val="18"/>
                <w:szCs w:val="18"/>
              </w:rPr>
            </w:pPr>
            <w:r>
              <w:rPr>
                <w:rFonts w:ascii="宋体" w:hAnsi="宋体" w:cs="宋体" w:eastAsia="宋体" w:hint="default"/>
                <w:spacing w:val="-2"/>
                <w:sz w:val="18"/>
                <w:szCs w:val="18"/>
              </w:rPr>
              <w:t>报告期内，</w:t>
            </w:r>
            <w:r>
              <w:rPr>
                <w:rFonts w:ascii="宋体" w:hAnsi="宋体" w:cs="宋体" w:eastAsia="宋体" w:hint="default"/>
                <w:spacing w:val="-2"/>
                <w:sz w:val="18"/>
                <w:szCs w:val="18"/>
              </w:rPr>
              <w:t>(1)</w:t>
            </w:r>
            <w:r>
              <w:rPr>
                <w:rFonts w:ascii="宋体" w:hAnsi="宋体" w:cs="宋体" w:eastAsia="宋体" w:hint="default"/>
                <w:spacing w:val="-2"/>
                <w:sz w:val="18"/>
                <w:szCs w:val="18"/>
              </w:rPr>
              <w:t>鹰溪谷、通泰达没有控制其他境内外上市公司；</w:t>
            </w:r>
            <w:r>
              <w:rPr>
                <w:rFonts w:ascii="宋体" w:hAnsi="宋体" w:cs="宋体" w:eastAsia="宋体" w:hint="default"/>
                <w:spacing w:val="-2"/>
                <w:sz w:val="18"/>
                <w:szCs w:val="18"/>
              </w:rPr>
              <w:t>(2)</w:t>
            </w:r>
            <w:r>
              <w:rPr>
                <w:rFonts w:ascii="宋体" w:hAnsi="宋体" w:cs="宋体" w:eastAsia="宋体" w:hint="default"/>
                <w:spacing w:val="-2"/>
                <w:sz w:val="18"/>
                <w:szCs w:val="18"/>
              </w:rPr>
              <w:t>中兆投资没有控制境外上</w:t>
            </w:r>
            <w:r>
              <w:rPr>
                <w:rFonts w:ascii="宋体" w:hAnsi="宋体" w:cs="宋体" w:eastAsia="宋体" w:hint="default"/>
                <w:spacing w:val="-51"/>
                <w:sz w:val="18"/>
                <w:szCs w:val="18"/>
              </w:rPr>
              <w:t> </w:t>
            </w:r>
            <w:r>
              <w:rPr>
                <w:rFonts w:ascii="宋体" w:hAnsi="宋体" w:cs="宋体" w:eastAsia="宋体" w:hint="default"/>
                <w:sz w:val="18"/>
                <w:szCs w:val="18"/>
              </w:rPr>
              <w:t>市公司，控制其他境内上市公司有商业城</w:t>
            </w:r>
            <w:r>
              <w:rPr>
                <w:rFonts w:ascii="宋体" w:hAnsi="宋体" w:cs="宋体" w:eastAsia="宋体" w:hint="default"/>
                <w:sz w:val="18"/>
                <w:szCs w:val="18"/>
              </w:rPr>
              <w:t>(</w:t>
            </w:r>
            <w:r>
              <w:rPr>
                <w:rFonts w:ascii="宋体" w:hAnsi="宋体" w:cs="宋体" w:eastAsia="宋体" w:hint="default"/>
                <w:sz w:val="18"/>
                <w:szCs w:val="18"/>
              </w:rPr>
              <w:t>股票代码</w:t>
            </w:r>
            <w:r>
              <w:rPr>
                <w:rFonts w:ascii="宋体" w:hAnsi="宋体" w:cs="宋体" w:eastAsia="宋体" w:hint="default"/>
                <w:spacing w:val="-47"/>
                <w:sz w:val="18"/>
                <w:szCs w:val="18"/>
              </w:rPr>
              <w:t> </w:t>
            </w:r>
            <w:r>
              <w:rPr>
                <w:rFonts w:ascii="宋体" w:hAnsi="宋体" w:cs="宋体" w:eastAsia="宋体" w:hint="default"/>
                <w:sz w:val="18"/>
                <w:szCs w:val="18"/>
              </w:rPr>
              <w:t>600306)</w:t>
            </w:r>
            <w:r>
              <w:rPr>
                <w:rFonts w:ascii="宋体" w:hAnsi="宋体" w:cs="宋体" w:eastAsia="宋体" w:hint="default"/>
                <w:sz w:val="18"/>
                <w:szCs w:val="18"/>
              </w:rPr>
              <w:t>，持股比例</w:t>
            </w:r>
            <w:r>
              <w:rPr>
                <w:rFonts w:ascii="宋体" w:hAnsi="宋体" w:cs="宋体" w:eastAsia="宋体" w:hint="default"/>
                <w:spacing w:val="-47"/>
                <w:sz w:val="18"/>
                <w:szCs w:val="18"/>
              </w:rPr>
              <w:t> </w:t>
            </w:r>
            <w:r>
              <w:rPr>
                <w:rFonts w:ascii="宋体" w:hAnsi="宋体" w:cs="宋体" w:eastAsia="宋体" w:hint="default"/>
                <w:sz w:val="18"/>
                <w:szCs w:val="18"/>
              </w:rPr>
              <w:t>24.22%</w:t>
            </w:r>
            <w:r>
              <w:rPr>
                <w:rFonts w:ascii="宋体" w:hAnsi="宋体" w:cs="宋体" w:eastAsia="宋体" w:hint="default"/>
                <w:sz w:val="18"/>
                <w:szCs w:val="18"/>
              </w:rPr>
              <w:t>。</w:t>
            </w:r>
            <w:r>
              <w:rPr>
                <w:rFonts w:ascii="宋体" w:hAnsi="宋体" w:cs="宋体" w:eastAsia="宋体" w:hint="default"/>
                <w:sz w:val="18"/>
                <w:szCs w:val="18"/>
              </w:rPr>
              <w:t> </w:t>
            </w:r>
          </w:p>
        </w:tc>
      </w:tr>
    </w:tbl>
    <w:p>
      <w:pPr>
        <w:pStyle w:val="BodyText"/>
        <w:spacing w:line="240" w:lineRule="auto" w:before="26"/>
        <w:ind w:left="573" w:right="1133"/>
        <w:jc w:val="left"/>
        <w:rPr>
          <w:rFonts w:ascii="宋体" w:hAnsi="宋体" w:cs="宋体" w:eastAsia="宋体" w:hint="default"/>
        </w:rPr>
      </w:pPr>
      <w:r>
        <w:rPr>
          <w:rFonts w:ascii="宋体" w:hAnsi="宋体" w:cs="宋体" w:eastAsia="宋体" w:hint="default"/>
        </w:rPr>
        <w:t>2</w:t>
      </w:r>
      <w:r>
        <w:rPr/>
        <w:t>、最终控制层面自然人情况</w:t>
      </w:r>
      <w:r>
        <w:rPr>
          <w:rFonts w:ascii="宋体" w:hAnsi="宋体" w:cs="宋体" w:eastAsia="宋体" w:hint="default"/>
        </w:rPr>
        <w:t> </w:t>
      </w:r>
    </w:p>
    <w:p>
      <w:pPr>
        <w:spacing w:line="240" w:lineRule="auto" w:before="12"/>
        <w:rPr>
          <w:rFonts w:ascii="宋体" w:hAnsi="宋体" w:cs="宋体" w:eastAsia="宋体" w:hint="default"/>
          <w:sz w:val="6"/>
          <w:szCs w:val="6"/>
        </w:rPr>
      </w:pPr>
    </w:p>
    <w:tbl>
      <w:tblPr>
        <w:tblW w:w="0" w:type="auto"/>
        <w:jc w:val="left"/>
        <w:tblInd w:w="148" w:type="dxa"/>
        <w:tblLayout w:type="fixed"/>
        <w:tblCellMar>
          <w:top w:w="0" w:type="dxa"/>
          <w:left w:w="0" w:type="dxa"/>
          <w:bottom w:w="0" w:type="dxa"/>
          <w:right w:w="0" w:type="dxa"/>
        </w:tblCellMar>
        <w:tblLook w:val="01E0"/>
      </w:tblPr>
      <w:tblGrid>
        <w:gridCol w:w="2970"/>
        <w:gridCol w:w="3077"/>
        <w:gridCol w:w="3593"/>
      </w:tblGrid>
      <w:tr>
        <w:trPr>
          <w:trHeight w:val="463" w:hRule="exact"/>
        </w:trPr>
        <w:tc>
          <w:tcPr>
            <w:tcW w:w="297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9"/>
              <w:ind w:left="103" w:right="0"/>
              <w:jc w:val="left"/>
              <w:rPr>
                <w:rFonts w:ascii="宋体" w:hAnsi="宋体" w:cs="宋体" w:eastAsia="宋体" w:hint="default"/>
                <w:sz w:val="18"/>
                <w:szCs w:val="18"/>
              </w:rPr>
            </w:pPr>
            <w:r>
              <w:rPr>
                <w:rFonts w:ascii="宋体" w:hAnsi="宋体" w:cs="宋体" w:eastAsia="宋体" w:hint="default"/>
                <w:sz w:val="18"/>
                <w:szCs w:val="18"/>
              </w:rPr>
              <w:t>自然人人姓名</w:t>
            </w:r>
          </w:p>
        </w:tc>
        <w:tc>
          <w:tcPr>
            <w:tcW w:w="307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9"/>
              <w:ind w:left="103" w:right="0"/>
              <w:jc w:val="left"/>
              <w:rPr>
                <w:rFonts w:ascii="宋体" w:hAnsi="宋体" w:cs="宋体" w:eastAsia="宋体" w:hint="default"/>
                <w:sz w:val="18"/>
                <w:szCs w:val="18"/>
              </w:rPr>
            </w:pPr>
            <w:r>
              <w:rPr>
                <w:rFonts w:ascii="宋体" w:hAnsi="宋体" w:cs="宋体" w:eastAsia="宋体" w:hint="default"/>
                <w:sz w:val="18"/>
                <w:szCs w:val="18"/>
              </w:rPr>
              <w:t>国籍</w:t>
            </w:r>
          </w:p>
        </w:tc>
        <w:tc>
          <w:tcPr>
            <w:tcW w:w="359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9"/>
              <w:ind w:left="103" w:right="0"/>
              <w:jc w:val="left"/>
              <w:rPr>
                <w:rFonts w:ascii="宋体" w:hAnsi="宋体" w:cs="宋体" w:eastAsia="宋体" w:hint="default"/>
                <w:sz w:val="18"/>
                <w:szCs w:val="18"/>
              </w:rPr>
            </w:pPr>
            <w:r>
              <w:rPr>
                <w:rFonts w:ascii="宋体" w:hAnsi="宋体" w:cs="宋体" w:eastAsia="宋体" w:hint="default"/>
                <w:sz w:val="18"/>
                <w:szCs w:val="18"/>
              </w:rPr>
              <w:t>是否取得其他国家或地区居留权</w:t>
            </w:r>
          </w:p>
        </w:tc>
      </w:tr>
      <w:tr>
        <w:trPr>
          <w:trHeight w:val="350" w:hRule="exact"/>
        </w:trPr>
        <w:tc>
          <w:tcPr>
            <w:tcW w:w="2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hAnsi="宋体" w:cs="宋体" w:eastAsia="宋体" w:hint="default"/>
                <w:sz w:val="18"/>
                <w:szCs w:val="18"/>
              </w:rPr>
              <w:t>吴 </w:t>
            </w:r>
            <w:r>
              <w:rPr>
                <w:rFonts w:ascii="宋体" w:hAnsi="宋体" w:cs="宋体" w:eastAsia="宋体" w:hint="default"/>
                <w:spacing w:val="2"/>
                <w:sz w:val="18"/>
                <w:szCs w:val="18"/>
              </w:rPr>
              <w:t> </w:t>
            </w:r>
            <w:r>
              <w:rPr>
                <w:rFonts w:ascii="宋体" w:hAnsi="宋体" w:cs="宋体" w:eastAsia="宋体" w:hint="default"/>
                <w:sz w:val="18"/>
                <w:szCs w:val="18"/>
              </w:rPr>
              <w:t>鹰</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35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50" w:hRule="exact"/>
        </w:trPr>
        <w:tc>
          <w:tcPr>
            <w:tcW w:w="2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hAnsi="宋体" w:cs="宋体" w:eastAsia="宋体" w:hint="default"/>
                <w:sz w:val="18"/>
                <w:szCs w:val="18"/>
              </w:rPr>
              <w:t>黄茂如</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伯利兹</w:t>
            </w:r>
            <w:r>
              <w:rPr>
                <w:rFonts w:ascii="Times New Roman" w:hAnsi="Times New Roman" w:cs="Times New Roman" w:eastAsia="Times New Roman" w:hint="default"/>
                <w:sz w:val="18"/>
                <w:szCs w:val="18"/>
              </w:rPr>
              <w:t>(BELIZE)</w:t>
            </w:r>
          </w:p>
        </w:tc>
        <w:tc>
          <w:tcPr>
            <w:tcW w:w="35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350" w:hRule="exact"/>
        </w:trPr>
        <w:tc>
          <w:tcPr>
            <w:tcW w:w="29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hAnsi="宋体" w:cs="宋体" w:eastAsia="宋体" w:hint="default"/>
                <w:sz w:val="18"/>
                <w:szCs w:val="18"/>
              </w:rPr>
              <w:t>朱文平</w:t>
            </w:r>
          </w:p>
        </w:tc>
        <w:tc>
          <w:tcPr>
            <w:tcW w:w="30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35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pgSz w:w="11910" w:h="16840"/>
          <w:pgMar w:header="880" w:footer="975" w:top="1100" w:bottom="1160" w:left="980" w:right="0"/>
        </w:sectPr>
      </w:pPr>
    </w:p>
    <w:p>
      <w:pPr>
        <w:spacing w:line="240" w:lineRule="auto" w:before="8"/>
        <w:rPr>
          <w:rFonts w:ascii="宋体" w:hAnsi="宋体" w:cs="宋体" w:eastAsia="宋体" w:hint="default"/>
          <w:sz w:val="24"/>
          <w:szCs w:val="24"/>
        </w:rPr>
      </w:pPr>
    </w:p>
    <w:tbl>
      <w:tblPr>
        <w:tblW w:w="0" w:type="auto"/>
        <w:jc w:val="left"/>
        <w:tblInd w:w="148" w:type="dxa"/>
        <w:tblLayout w:type="fixed"/>
        <w:tblCellMar>
          <w:top w:w="0" w:type="dxa"/>
          <w:left w:w="0" w:type="dxa"/>
          <w:bottom w:w="0" w:type="dxa"/>
          <w:right w:w="0" w:type="dxa"/>
        </w:tblCellMar>
        <w:tblLook w:val="01E0"/>
      </w:tblPr>
      <w:tblGrid>
        <w:gridCol w:w="1985"/>
        <w:gridCol w:w="7655"/>
      </w:tblGrid>
      <w:tr>
        <w:trPr>
          <w:trHeight w:val="252" w:hRule="exact"/>
        </w:trPr>
        <w:tc>
          <w:tcPr>
            <w:tcW w:w="1985" w:type="dxa"/>
            <w:tcBorders>
              <w:top w:val="single" w:sz="4" w:space="0" w:color="000000"/>
              <w:left w:val="single" w:sz="4" w:space="0" w:color="000000"/>
              <w:bottom w:val="nil" w:sz="6" w:space="0" w:color="auto"/>
              <w:right w:val="single" w:sz="4" w:space="0" w:color="000000"/>
            </w:tcBorders>
          </w:tcPr>
          <w:p>
            <w:pPr/>
          </w:p>
        </w:tc>
        <w:tc>
          <w:tcPr>
            <w:tcW w:w="7655" w:type="dxa"/>
            <w:tcBorders>
              <w:top w:val="single" w:sz="4" w:space="0" w:color="000000"/>
              <w:left w:val="single" w:sz="4" w:space="0" w:color="000000"/>
              <w:bottom w:val="nil" w:sz="6" w:space="0" w:color="auto"/>
              <w:right w:val="single" w:sz="4" w:space="0" w:color="000000"/>
            </w:tcBorders>
          </w:tcPr>
          <w:p>
            <w:pPr>
              <w:pStyle w:val="TableParagraph"/>
              <w:spacing w:line="217" w:lineRule="exact"/>
              <w:ind w:left="105"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19"/>
                <w:sz w:val="18"/>
                <w:szCs w:val="18"/>
              </w:rPr>
              <w:t> </w:t>
            </w:r>
            <w:r>
              <w:rPr>
                <w:rFonts w:ascii="宋体" w:hAnsi="宋体" w:cs="宋体" w:eastAsia="宋体" w:hint="default"/>
                <w:sz w:val="18"/>
                <w:szCs w:val="18"/>
              </w:rPr>
              <w:t>吴鹰从事实业投资及经营，曾任</w:t>
            </w:r>
            <w:r>
              <w:rPr>
                <w:rFonts w:ascii="宋体" w:hAnsi="宋体" w:cs="宋体" w:eastAsia="宋体" w:hint="default"/>
                <w:spacing w:val="-54"/>
                <w:sz w:val="18"/>
                <w:szCs w:val="18"/>
              </w:rPr>
              <w:t> </w:t>
            </w:r>
            <w:r>
              <w:rPr>
                <w:rFonts w:ascii="宋体" w:hAnsi="宋体" w:cs="宋体" w:eastAsia="宋体" w:hint="default"/>
                <w:sz w:val="18"/>
                <w:szCs w:val="18"/>
              </w:rPr>
              <w:t>UT</w:t>
            </w:r>
            <w:r>
              <w:rPr>
                <w:rFonts w:ascii="宋体" w:hAnsi="宋体" w:cs="宋体" w:eastAsia="宋体" w:hint="default"/>
                <w:spacing w:val="-54"/>
                <w:sz w:val="18"/>
                <w:szCs w:val="18"/>
              </w:rPr>
              <w:t> </w:t>
            </w:r>
            <w:r>
              <w:rPr>
                <w:rFonts w:ascii="宋体" w:hAnsi="宋体" w:cs="宋体" w:eastAsia="宋体" w:hint="default"/>
                <w:sz w:val="18"/>
                <w:szCs w:val="18"/>
              </w:rPr>
              <w:t>斯达康</w:t>
            </w:r>
            <w:r>
              <w:rPr>
                <w:rFonts w:ascii="宋体" w:hAnsi="宋体" w:cs="宋体" w:eastAsia="宋体" w:hint="default"/>
                <w:sz w:val="18"/>
                <w:szCs w:val="18"/>
              </w:rPr>
              <w:t>(</w:t>
            </w:r>
            <w:r>
              <w:rPr>
                <w:rFonts w:ascii="宋体" w:hAnsi="宋体" w:cs="宋体" w:eastAsia="宋体" w:hint="default"/>
                <w:sz w:val="18"/>
                <w:szCs w:val="18"/>
              </w:rPr>
              <w:t>中国</w:t>
            </w:r>
            <w:r>
              <w:rPr>
                <w:rFonts w:ascii="宋体" w:hAnsi="宋体" w:cs="宋体" w:eastAsia="宋体" w:hint="default"/>
                <w:sz w:val="18"/>
                <w:szCs w:val="18"/>
              </w:rPr>
              <w:t>)</w:t>
            </w:r>
            <w:r>
              <w:rPr>
                <w:rFonts w:ascii="宋体" w:hAnsi="宋体" w:cs="宋体" w:eastAsia="宋体" w:hint="default"/>
                <w:sz w:val="18"/>
                <w:szCs w:val="18"/>
              </w:rPr>
              <w:t>有限公司董事长兼首席执行官，现任北京</w:t>
            </w:r>
          </w:p>
        </w:tc>
      </w:tr>
      <w:tr>
        <w:trPr>
          <w:trHeight w:val="240" w:hRule="exact"/>
        </w:trPr>
        <w:tc>
          <w:tcPr>
            <w:tcW w:w="1985" w:type="dxa"/>
            <w:tcBorders>
              <w:top w:val="nil" w:sz="6" w:space="0" w:color="auto"/>
              <w:left w:val="single" w:sz="4" w:space="0" w:color="000000"/>
              <w:bottom w:val="nil" w:sz="6" w:space="0" w:color="auto"/>
              <w:right w:val="single" w:sz="4" w:space="0" w:color="000000"/>
            </w:tcBorders>
          </w:tcPr>
          <w:p>
            <w:pPr/>
          </w:p>
        </w:tc>
        <w:tc>
          <w:tcPr>
            <w:tcW w:w="765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中泽启天投资中心</w:t>
            </w:r>
            <w:r>
              <w:rPr>
                <w:rFonts w:ascii="宋体" w:hAnsi="宋体" w:cs="宋体" w:eastAsia="宋体" w:hint="default"/>
                <w:sz w:val="18"/>
                <w:szCs w:val="18"/>
              </w:rPr>
              <w:t>(</w:t>
            </w:r>
            <w:r>
              <w:rPr>
                <w:rFonts w:ascii="宋体" w:hAnsi="宋体" w:cs="宋体" w:eastAsia="宋体" w:hint="default"/>
                <w:sz w:val="18"/>
                <w:szCs w:val="18"/>
              </w:rPr>
              <w:t>有限合伙</w:t>
            </w:r>
            <w:r>
              <w:rPr>
                <w:rFonts w:ascii="宋体" w:hAnsi="宋体" w:cs="宋体" w:eastAsia="宋体" w:hint="default"/>
                <w:sz w:val="18"/>
                <w:szCs w:val="18"/>
              </w:rPr>
              <w:t>)</w:t>
            </w:r>
            <w:r>
              <w:rPr>
                <w:rFonts w:ascii="宋体" w:hAnsi="宋体" w:cs="宋体" w:eastAsia="宋体" w:hint="default"/>
                <w:spacing w:val="-34"/>
                <w:sz w:val="18"/>
                <w:szCs w:val="18"/>
              </w:rPr>
              <w:t> </w:t>
            </w:r>
            <w:r>
              <w:rPr>
                <w:rFonts w:ascii="宋体" w:hAnsi="宋体" w:cs="宋体" w:eastAsia="宋体" w:hint="default"/>
                <w:sz w:val="18"/>
                <w:szCs w:val="18"/>
              </w:rPr>
              <w:t>执行事务合伙人，中泽嘉盟投资有限公司董事长，北京博升优势</w:t>
            </w:r>
          </w:p>
        </w:tc>
      </w:tr>
      <w:tr>
        <w:trPr>
          <w:trHeight w:val="240" w:hRule="exact"/>
        </w:trPr>
        <w:tc>
          <w:tcPr>
            <w:tcW w:w="1985" w:type="dxa"/>
            <w:tcBorders>
              <w:top w:val="nil" w:sz="6" w:space="0" w:color="auto"/>
              <w:left w:val="single" w:sz="4" w:space="0" w:color="000000"/>
              <w:bottom w:val="nil" w:sz="6" w:space="0" w:color="auto"/>
              <w:right w:val="single" w:sz="4" w:space="0" w:color="000000"/>
            </w:tcBorders>
          </w:tcPr>
          <w:p>
            <w:pPr/>
          </w:p>
        </w:tc>
        <w:tc>
          <w:tcPr>
            <w:tcW w:w="765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科技发展有限公司董事长，上海稳实投资管理中心（普通合伙）执行事务合伙人，卓尔智联集</w:t>
            </w:r>
          </w:p>
        </w:tc>
      </w:tr>
      <w:tr>
        <w:trPr>
          <w:trHeight w:val="240" w:hRule="exact"/>
        </w:trPr>
        <w:tc>
          <w:tcPr>
            <w:tcW w:w="1985" w:type="dxa"/>
            <w:tcBorders>
              <w:top w:val="nil" w:sz="6" w:space="0" w:color="auto"/>
              <w:left w:val="single" w:sz="4" w:space="0" w:color="000000"/>
              <w:bottom w:val="nil" w:sz="6" w:space="0" w:color="auto"/>
              <w:right w:val="single" w:sz="4" w:space="0" w:color="000000"/>
            </w:tcBorders>
          </w:tcPr>
          <w:p>
            <w:pPr/>
          </w:p>
        </w:tc>
        <w:tc>
          <w:tcPr>
            <w:tcW w:w="765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团有限公司</w:t>
            </w:r>
            <w:r>
              <w:rPr>
                <w:rFonts w:ascii="宋体" w:hAnsi="宋体" w:cs="宋体" w:eastAsia="宋体" w:hint="default"/>
                <w:sz w:val="18"/>
                <w:szCs w:val="18"/>
              </w:rPr>
              <w:t>(2098.HK) </w:t>
            </w:r>
            <w:r>
              <w:rPr>
                <w:rFonts w:ascii="宋体" w:hAnsi="宋体" w:cs="宋体" w:eastAsia="宋体" w:hint="default"/>
                <w:sz w:val="18"/>
                <w:szCs w:val="18"/>
              </w:rPr>
              <w:t>独立非执行董事，众安在线财产保险股份有限公司</w:t>
            </w:r>
            <w:r>
              <w:rPr>
                <w:rFonts w:ascii="宋体" w:hAnsi="宋体" w:cs="宋体" w:eastAsia="宋体" w:hint="default"/>
                <w:sz w:val="18"/>
                <w:szCs w:val="18"/>
              </w:rPr>
              <w:t>(6060.HK)</w:t>
            </w:r>
            <w:r>
              <w:rPr>
                <w:rFonts w:ascii="宋体" w:hAnsi="宋体" w:cs="宋体" w:eastAsia="宋体" w:hint="default"/>
                <w:spacing w:val="46"/>
                <w:sz w:val="18"/>
                <w:szCs w:val="18"/>
              </w:rPr>
              <w:t> </w:t>
            </w:r>
            <w:r>
              <w:rPr>
                <w:rFonts w:ascii="宋体" w:hAnsi="宋体" w:cs="宋体" w:eastAsia="宋体" w:hint="default"/>
                <w:sz w:val="18"/>
                <w:szCs w:val="18"/>
              </w:rPr>
              <w:t>独立非执</w:t>
            </w:r>
          </w:p>
        </w:tc>
      </w:tr>
      <w:tr>
        <w:trPr>
          <w:trHeight w:val="240" w:hRule="exact"/>
        </w:trPr>
        <w:tc>
          <w:tcPr>
            <w:tcW w:w="1985" w:type="dxa"/>
            <w:tcBorders>
              <w:top w:val="nil" w:sz="6" w:space="0" w:color="auto"/>
              <w:left w:val="single" w:sz="4" w:space="0" w:color="000000"/>
              <w:bottom w:val="nil" w:sz="6" w:space="0" w:color="auto"/>
              <w:right w:val="single" w:sz="4" w:space="0" w:color="000000"/>
            </w:tcBorders>
          </w:tcPr>
          <w:p>
            <w:pPr/>
          </w:p>
        </w:tc>
        <w:tc>
          <w:tcPr>
            <w:tcW w:w="765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行董事，海联金汇</w:t>
            </w:r>
            <w:r>
              <w:rPr>
                <w:rFonts w:ascii="宋体" w:hAnsi="宋体" w:cs="宋体" w:eastAsia="宋体" w:hint="default"/>
                <w:sz w:val="18"/>
                <w:szCs w:val="18"/>
              </w:rPr>
              <w:t>(002537.SZ)</w:t>
            </w:r>
            <w:r>
              <w:rPr>
                <w:rFonts w:ascii="宋体" w:hAnsi="宋体" w:cs="宋体" w:eastAsia="宋体" w:hint="default"/>
                <w:sz w:val="18"/>
                <w:szCs w:val="18"/>
              </w:rPr>
              <w:t>董事，华谊兄弟传媒股份有限公司</w:t>
            </w:r>
            <w:r>
              <w:rPr>
                <w:rFonts w:ascii="宋体" w:hAnsi="宋体" w:cs="宋体" w:eastAsia="宋体" w:hint="default"/>
                <w:sz w:val="18"/>
                <w:szCs w:val="18"/>
              </w:rPr>
              <w:t>(300027)</w:t>
            </w:r>
            <w:r>
              <w:rPr>
                <w:rFonts w:ascii="宋体" w:hAnsi="宋体" w:cs="宋体" w:eastAsia="宋体" w:hint="default"/>
                <w:spacing w:val="44"/>
                <w:sz w:val="18"/>
                <w:szCs w:val="18"/>
              </w:rPr>
              <w:t> </w:t>
            </w:r>
            <w:r>
              <w:rPr>
                <w:rFonts w:ascii="宋体" w:hAnsi="宋体" w:cs="宋体" w:eastAsia="宋体" w:hint="default"/>
                <w:sz w:val="18"/>
                <w:szCs w:val="18"/>
              </w:rPr>
              <w:t>监事会主席，中诚</w:t>
            </w:r>
          </w:p>
        </w:tc>
      </w:tr>
      <w:tr>
        <w:trPr>
          <w:trHeight w:val="480" w:hRule="exact"/>
        </w:trPr>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left="103" w:right="0"/>
              <w:jc w:val="left"/>
              <w:rPr>
                <w:rFonts w:ascii="宋体" w:hAnsi="宋体" w:cs="宋体" w:eastAsia="宋体" w:hint="default"/>
                <w:sz w:val="18"/>
                <w:szCs w:val="18"/>
              </w:rPr>
            </w:pPr>
            <w:r>
              <w:rPr>
                <w:rFonts w:ascii="宋体" w:hAnsi="宋体" w:cs="宋体" w:eastAsia="宋体" w:hint="default"/>
                <w:sz w:val="18"/>
                <w:szCs w:val="18"/>
              </w:rPr>
              <w:t>主要职业及职务</w:t>
            </w:r>
          </w:p>
        </w:tc>
        <w:tc>
          <w:tcPr>
            <w:tcW w:w="765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信征信有限公司董事，本公司董事长，数字中国联合会主席。</w:t>
            </w:r>
            <w:r>
              <w:rPr>
                <w:rFonts w:ascii="宋体" w:hAnsi="宋体" w:cs="宋体" w:eastAsia="宋体" w:hint="default"/>
                <w:sz w:val="18"/>
                <w:szCs w:val="18"/>
              </w:rPr>
              <w:t> </w:t>
            </w:r>
          </w:p>
          <w:p>
            <w:pPr>
              <w:pStyle w:val="TableParagraph"/>
              <w:spacing w:line="240" w:lineRule="auto" w:before="4"/>
              <w:ind w:left="105"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pacing w:val="-35"/>
                <w:sz w:val="18"/>
                <w:szCs w:val="18"/>
              </w:rPr>
              <w:t> </w:t>
            </w:r>
            <w:r>
              <w:rPr>
                <w:rFonts w:ascii="宋体" w:hAnsi="宋体" w:cs="宋体" w:eastAsia="宋体" w:hint="default"/>
                <w:sz w:val="18"/>
                <w:szCs w:val="18"/>
              </w:rPr>
              <w:t>黄茂如是茂业国际控股有限公司的创办人，主要职业是企业经营管理者，曾任深圳茂业</w:t>
            </w:r>
            <w:r>
              <w:rPr>
                <w:rFonts w:ascii="宋体" w:hAnsi="宋体" w:cs="宋体" w:eastAsia="宋体" w:hint="default"/>
                <w:sz w:val="18"/>
                <w:szCs w:val="18"/>
              </w:rPr>
              <w:t>(</w:t>
            </w:r>
            <w:r>
              <w:rPr>
                <w:rFonts w:ascii="宋体" w:hAnsi="宋体" w:cs="宋体" w:eastAsia="宋体" w:hint="default"/>
                <w:sz w:val="18"/>
                <w:szCs w:val="18"/>
              </w:rPr>
              <w:t>集</w:t>
            </w:r>
          </w:p>
        </w:tc>
      </w:tr>
      <w:tr>
        <w:trPr>
          <w:trHeight w:val="240" w:hRule="exact"/>
        </w:trPr>
        <w:tc>
          <w:tcPr>
            <w:tcW w:w="1985" w:type="dxa"/>
            <w:tcBorders>
              <w:top w:val="nil" w:sz="6" w:space="0" w:color="auto"/>
              <w:left w:val="single" w:sz="4" w:space="0" w:color="000000"/>
              <w:bottom w:val="nil" w:sz="6" w:space="0" w:color="auto"/>
              <w:right w:val="single" w:sz="4" w:space="0" w:color="000000"/>
            </w:tcBorders>
          </w:tcPr>
          <w:p>
            <w:pPr/>
          </w:p>
        </w:tc>
        <w:tc>
          <w:tcPr>
            <w:tcW w:w="765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团</w:t>
            </w:r>
            <w:r>
              <w:rPr>
                <w:rFonts w:ascii="宋体" w:hAnsi="宋体" w:cs="宋体" w:eastAsia="宋体" w:hint="default"/>
                <w:sz w:val="18"/>
                <w:szCs w:val="18"/>
              </w:rPr>
              <w:t>)</w:t>
            </w:r>
            <w:r>
              <w:rPr>
                <w:rFonts w:ascii="宋体" w:hAnsi="宋体" w:cs="宋体" w:eastAsia="宋体" w:hint="default"/>
                <w:sz w:val="18"/>
                <w:szCs w:val="18"/>
              </w:rPr>
              <w:t>股份有限公司董事长兼</w:t>
            </w:r>
            <w:r>
              <w:rPr>
                <w:rFonts w:ascii="宋体" w:hAnsi="宋体" w:cs="宋体" w:eastAsia="宋体" w:hint="default"/>
                <w:spacing w:val="-28"/>
                <w:sz w:val="18"/>
                <w:szCs w:val="18"/>
              </w:rPr>
              <w:t> </w:t>
            </w:r>
            <w:r>
              <w:rPr>
                <w:rFonts w:ascii="宋体" w:hAnsi="宋体" w:cs="宋体" w:eastAsia="宋体" w:hint="default"/>
                <w:spacing w:val="-3"/>
                <w:sz w:val="18"/>
                <w:szCs w:val="18"/>
              </w:rPr>
              <w:t>CEO</w:t>
            </w:r>
            <w:r>
              <w:rPr>
                <w:rFonts w:ascii="宋体" w:hAnsi="宋体" w:cs="宋体" w:eastAsia="宋体" w:hint="default"/>
                <w:spacing w:val="-3"/>
                <w:sz w:val="18"/>
                <w:szCs w:val="18"/>
              </w:rPr>
              <w:t>，深圳茂业商厦有限公司董事长，茂业商业股份有限公司董事长，</w:t>
            </w:r>
          </w:p>
        </w:tc>
      </w:tr>
      <w:tr>
        <w:trPr>
          <w:trHeight w:val="240" w:hRule="exact"/>
        </w:trPr>
        <w:tc>
          <w:tcPr>
            <w:tcW w:w="1985" w:type="dxa"/>
            <w:tcBorders>
              <w:top w:val="nil" w:sz="6" w:space="0" w:color="auto"/>
              <w:left w:val="single" w:sz="4" w:space="0" w:color="000000"/>
              <w:bottom w:val="nil" w:sz="6" w:space="0" w:color="auto"/>
              <w:right w:val="single" w:sz="4" w:space="0" w:color="000000"/>
            </w:tcBorders>
          </w:tcPr>
          <w:p>
            <w:pPr/>
          </w:p>
        </w:tc>
        <w:tc>
          <w:tcPr>
            <w:tcW w:w="765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现任茂业国际控股有限公司董事长、执行董事、首席执行官，深圳茂业</w:t>
            </w:r>
            <w:r>
              <w:rPr>
                <w:rFonts w:ascii="宋体" w:hAnsi="宋体" w:cs="宋体" w:eastAsia="宋体" w:hint="default"/>
                <w:sz w:val="18"/>
                <w:szCs w:val="18"/>
              </w:rPr>
              <w:t>(</w:t>
            </w:r>
            <w:r>
              <w:rPr>
                <w:rFonts w:ascii="宋体" w:hAnsi="宋体" w:cs="宋体" w:eastAsia="宋体" w:hint="default"/>
                <w:sz w:val="18"/>
                <w:szCs w:val="18"/>
              </w:rPr>
              <w:t>集团</w:t>
            </w:r>
            <w:r>
              <w:rPr>
                <w:rFonts w:ascii="宋体" w:hAnsi="宋体" w:cs="宋体" w:eastAsia="宋体" w:hint="default"/>
                <w:sz w:val="18"/>
                <w:szCs w:val="18"/>
              </w:rPr>
              <w:t>)</w:t>
            </w:r>
            <w:r>
              <w:rPr>
                <w:rFonts w:ascii="宋体" w:hAnsi="宋体" w:cs="宋体" w:eastAsia="宋体" w:hint="default"/>
                <w:sz w:val="18"/>
                <w:szCs w:val="18"/>
              </w:rPr>
              <w:t>股份有限公司董</w:t>
            </w:r>
          </w:p>
        </w:tc>
      </w:tr>
      <w:tr>
        <w:trPr>
          <w:trHeight w:val="240" w:hRule="exact"/>
        </w:trPr>
        <w:tc>
          <w:tcPr>
            <w:tcW w:w="1985" w:type="dxa"/>
            <w:tcBorders>
              <w:top w:val="nil" w:sz="6" w:space="0" w:color="auto"/>
              <w:left w:val="single" w:sz="4" w:space="0" w:color="000000"/>
              <w:bottom w:val="nil" w:sz="6" w:space="0" w:color="auto"/>
              <w:right w:val="single" w:sz="4" w:space="0" w:color="000000"/>
            </w:tcBorders>
          </w:tcPr>
          <w:p>
            <w:pPr/>
          </w:p>
        </w:tc>
        <w:tc>
          <w:tcPr>
            <w:tcW w:w="765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事，深圳茂业商厦有限公司董事。</w:t>
            </w:r>
            <w:r>
              <w:rPr>
                <w:rFonts w:ascii="宋体" w:hAnsi="宋体" w:cs="宋体" w:eastAsia="宋体" w:hint="default"/>
                <w:sz w:val="18"/>
                <w:szCs w:val="18"/>
              </w:rPr>
              <w:t> </w:t>
            </w:r>
          </w:p>
        </w:tc>
      </w:tr>
      <w:tr>
        <w:trPr>
          <w:trHeight w:val="240" w:hRule="exact"/>
        </w:trPr>
        <w:tc>
          <w:tcPr>
            <w:tcW w:w="1985" w:type="dxa"/>
            <w:tcBorders>
              <w:top w:val="nil" w:sz="6" w:space="0" w:color="auto"/>
              <w:left w:val="single" w:sz="4" w:space="0" w:color="000000"/>
              <w:bottom w:val="nil" w:sz="6" w:space="0" w:color="auto"/>
              <w:right w:val="single" w:sz="4" w:space="0" w:color="000000"/>
            </w:tcBorders>
          </w:tcPr>
          <w:p>
            <w:pPr/>
          </w:p>
        </w:tc>
        <w:tc>
          <w:tcPr>
            <w:tcW w:w="765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50"/>
                <w:sz w:val="18"/>
                <w:szCs w:val="18"/>
              </w:rPr>
              <w:t> </w:t>
            </w:r>
            <w:r>
              <w:rPr>
                <w:rFonts w:ascii="宋体" w:hAnsi="宋体" w:cs="宋体" w:eastAsia="宋体" w:hint="default"/>
                <w:sz w:val="18"/>
                <w:szCs w:val="18"/>
              </w:rPr>
              <w:t>朱文平从事投资及经营，现任上海怀录投资发展中心</w:t>
            </w:r>
            <w:r>
              <w:rPr>
                <w:rFonts w:ascii="宋体" w:hAnsi="宋体" w:cs="宋体" w:eastAsia="宋体" w:hint="default"/>
                <w:sz w:val="18"/>
                <w:szCs w:val="18"/>
              </w:rPr>
              <w:t>(</w:t>
            </w:r>
            <w:r>
              <w:rPr>
                <w:rFonts w:ascii="宋体" w:hAnsi="宋体" w:cs="宋体" w:eastAsia="宋体" w:hint="default"/>
                <w:sz w:val="18"/>
                <w:szCs w:val="18"/>
              </w:rPr>
              <w:t>有限合伙</w:t>
            </w:r>
            <w:r>
              <w:rPr>
                <w:rFonts w:ascii="宋体" w:hAnsi="宋体" w:cs="宋体" w:eastAsia="宋体" w:hint="default"/>
                <w:sz w:val="18"/>
                <w:szCs w:val="18"/>
              </w:rPr>
              <w:t>)</w:t>
            </w:r>
            <w:r>
              <w:rPr>
                <w:rFonts w:ascii="宋体" w:hAnsi="宋体" w:cs="宋体" w:eastAsia="宋体" w:hint="default"/>
                <w:sz w:val="18"/>
                <w:szCs w:val="18"/>
              </w:rPr>
              <w:t>执行事务合伙人，深圳通</w:t>
            </w:r>
          </w:p>
        </w:tc>
      </w:tr>
      <w:tr>
        <w:trPr>
          <w:trHeight w:val="237" w:hRule="exact"/>
        </w:trPr>
        <w:tc>
          <w:tcPr>
            <w:tcW w:w="1985" w:type="dxa"/>
            <w:tcBorders>
              <w:top w:val="nil" w:sz="6" w:space="0" w:color="auto"/>
              <w:left w:val="single" w:sz="4" w:space="0" w:color="000000"/>
              <w:bottom w:val="single" w:sz="4" w:space="0" w:color="000000"/>
              <w:right w:val="single" w:sz="4" w:space="0" w:color="000000"/>
            </w:tcBorders>
          </w:tcPr>
          <w:p>
            <w:pPr/>
          </w:p>
        </w:tc>
        <w:tc>
          <w:tcPr>
            <w:tcW w:w="7655" w:type="dxa"/>
            <w:tcBorders>
              <w:top w:val="nil" w:sz="6" w:space="0" w:color="auto"/>
              <w:left w:val="single" w:sz="4" w:space="0" w:color="000000"/>
              <w:bottom w:val="single" w:sz="4" w:space="0" w:color="000000"/>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泰达投资中心（有限合伙）执行事务合伙人，深圳湾海投资管理有限公司首席执行官。</w:t>
            </w:r>
            <w:r>
              <w:rPr>
                <w:rFonts w:ascii="宋体" w:hAnsi="宋体" w:cs="宋体" w:eastAsia="宋体" w:hint="default"/>
                <w:sz w:val="18"/>
                <w:szCs w:val="18"/>
              </w:rPr>
              <w:t> </w:t>
            </w:r>
          </w:p>
        </w:tc>
      </w:tr>
      <w:tr>
        <w:trPr>
          <w:trHeight w:val="252" w:hRule="exact"/>
        </w:trPr>
        <w:tc>
          <w:tcPr>
            <w:tcW w:w="1985" w:type="dxa"/>
            <w:tcBorders>
              <w:top w:val="single" w:sz="4" w:space="0" w:color="000000"/>
              <w:left w:val="single" w:sz="4" w:space="0" w:color="000000"/>
              <w:bottom w:val="nil" w:sz="6" w:space="0" w:color="auto"/>
              <w:right w:val="single" w:sz="4" w:space="0" w:color="000000"/>
            </w:tcBorders>
          </w:tcPr>
          <w:p>
            <w:pPr/>
          </w:p>
        </w:tc>
        <w:tc>
          <w:tcPr>
            <w:tcW w:w="7655" w:type="dxa"/>
            <w:tcBorders>
              <w:top w:val="single" w:sz="4" w:space="0" w:color="000000"/>
              <w:left w:val="single" w:sz="4" w:space="0" w:color="000000"/>
              <w:bottom w:val="nil" w:sz="6" w:space="0" w:color="auto"/>
              <w:right w:val="single" w:sz="4" w:space="0" w:color="000000"/>
            </w:tcBorders>
          </w:tcPr>
          <w:p>
            <w:pPr>
              <w:pStyle w:val="TableParagraph"/>
              <w:spacing w:line="217" w:lineRule="exact"/>
              <w:ind w:left="105"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2"/>
                <w:sz w:val="18"/>
                <w:szCs w:val="18"/>
              </w:rPr>
              <w:t> </w:t>
            </w:r>
            <w:r>
              <w:rPr>
                <w:rFonts w:ascii="宋体" w:hAnsi="宋体" w:cs="宋体" w:eastAsia="宋体" w:hint="default"/>
                <w:sz w:val="18"/>
                <w:szCs w:val="18"/>
              </w:rPr>
              <w:t>吴鹰没有控股境内外上市公司。</w:t>
            </w:r>
            <w:r>
              <w:rPr>
                <w:rFonts w:ascii="宋体" w:hAnsi="宋体" w:cs="宋体" w:eastAsia="宋体" w:hint="default"/>
                <w:sz w:val="18"/>
                <w:szCs w:val="18"/>
              </w:rPr>
              <w:t> </w:t>
            </w:r>
          </w:p>
        </w:tc>
      </w:tr>
      <w:tr>
        <w:trPr>
          <w:trHeight w:val="245" w:hRule="exact"/>
        </w:trPr>
        <w:tc>
          <w:tcPr>
            <w:tcW w:w="1985" w:type="dxa"/>
            <w:tcBorders>
              <w:top w:val="nil" w:sz="6" w:space="0" w:color="auto"/>
              <w:left w:val="single" w:sz="4" w:space="0" w:color="000000"/>
              <w:bottom w:val="nil" w:sz="6" w:space="0" w:color="auto"/>
              <w:right w:val="single" w:sz="4" w:space="0" w:color="000000"/>
            </w:tcBorders>
          </w:tcPr>
          <w:p>
            <w:pPr>
              <w:pStyle w:val="TableParagraph"/>
              <w:spacing w:line="224" w:lineRule="exact"/>
              <w:ind w:left="103" w:right="0"/>
              <w:jc w:val="left"/>
              <w:rPr>
                <w:rFonts w:ascii="宋体" w:hAnsi="宋体" w:cs="宋体" w:eastAsia="宋体" w:hint="default"/>
                <w:sz w:val="18"/>
                <w:szCs w:val="18"/>
              </w:rPr>
            </w:pPr>
            <w:r>
              <w:rPr>
                <w:rFonts w:ascii="宋体" w:hAnsi="宋体" w:cs="宋体" w:eastAsia="宋体" w:hint="default"/>
                <w:sz w:val="18"/>
                <w:szCs w:val="18"/>
              </w:rPr>
              <w:t>过去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5"/>
                <w:sz w:val="18"/>
                <w:szCs w:val="18"/>
              </w:rPr>
              <w:t> </w:t>
            </w:r>
            <w:r>
              <w:rPr>
                <w:rFonts w:ascii="宋体" w:hAnsi="宋体" w:cs="宋体" w:eastAsia="宋体" w:hint="default"/>
                <w:sz w:val="18"/>
                <w:szCs w:val="18"/>
              </w:rPr>
              <w:t>年曾控股的境</w:t>
            </w:r>
          </w:p>
        </w:tc>
        <w:tc>
          <w:tcPr>
            <w:tcW w:w="7655" w:type="dxa"/>
            <w:tcBorders>
              <w:top w:val="nil" w:sz="6" w:space="0" w:color="auto"/>
              <w:left w:val="single" w:sz="4" w:space="0" w:color="000000"/>
              <w:bottom w:val="nil" w:sz="6" w:space="0" w:color="auto"/>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pacing w:val="14"/>
                <w:sz w:val="18"/>
                <w:szCs w:val="18"/>
              </w:rPr>
              <w:t> </w:t>
            </w:r>
            <w:r>
              <w:rPr>
                <w:rFonts w:ascii="宋体" w:hAnsi="宋体" w:cs="宋体" w:eastAsia="宋体" w:hint="default"/>
                <w:spacing w:val="8"/>
                <w:sz w:val="18"/>
                <w:szCs w:val="18"/>
              </w:rPr>
              <w:t>黄茂如曾控股境内中嘉博创</w:t>
            </w:r>
            <w:r>
              <w:rPr>
                <w:rFonts w:ascii="宋体" w:hAnsi="宋体" w:cs="宋体" w:eastAsia="宋体" w:hint="default"/>
                <w:spacing w:val="8"/>
                <w:sz w:val="18"/>
                <w:szCs w:val="18"/>
              </w:rPr>
              <w:t>(000889.SZ)</w:t>
            </w:r>
            <w:r>
              <w:rPr>
                <w:rFonts w:ascii="宋体" w:hAnsi="宋体" w:cs="宋体" w:eastAsia="宋体" w:hint="default"/>
                <w:spacing w:val="8"/>
                <w:sz w:val="18"/>
                <w:szCs w:val="18"/>
              </w:rPr>
              <w:t>，现控股境内茂业商业</w:t>
            </w:r>
            <w:r>
              <w:rPr>
                <w:rFonts w:ascii="宋体" w:hAnsi="宋体" w:cs="宋体" w:eastAsia="宋体" w:hint="default"/>
                <w:spacing w:val="8"/>
                <w:sz w:val="18"/>
                <w:szCs w:val="18"/>
              </w:rPr>
              <w:t>(600828.SH)</w:t>
            </w:r>
            <w:r>
              <w:rPr>
                <w:rFonts w:ascii="宋体" w:hAnsi="宋体" w:cs="宋体" w:eastAsia="宋体" w:hint="default"/>
                <w:spacing w:val="8"/>
                <w:sz w:val="18"/>
                <w:szCs w:val="18"/>
              </w:rPr>
              <w:t>、商业城</w:t>
            </w:r>
          </w:p>
        </w:tc>
      </w:tr>
      <w:tr>
        <w:trPr>
          <w:trHeight w:val="235" w:hRule="exact"/>
        </w:trPr>
        <w:tc>
          <w:tcPr>
            <w:tcW w:w="1985" w:type="dxa"/>
            <w:tcBorders>
              <w:top w:val="nil" w:sz="6" w:space="0" w:color="auto"/>
              <w:left w:val="single" w:sz="4" w:space="0" w:color="000000"/>
              <w:bottom w:val="nil" w:sz="6" w:space="0" w:color="auto"/>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内外上市公司情况</w:t>
            </w:r>
          </w:p>
        </w:tc>
        <w:tc>
          <w:tcPr>
            <w:tcW w:w="7655" w:type="dxa"/>
            <w:tcBorders>
              <w:top w:val="nil" w:sz="6" w:space="0" w:color="auto"/>
              <w:left w:val="single" w:sz="4" w:space="0" w:color="000000"/>
              <w:bottom w:val="nil" w:sz="6" w:space="0" w:color="auto"/>
              <w:right w:val="single" w:sz="4" w:space="0" w:color="000000"/>
            </w:tcBorders>
          </w:tcPr>
          <w:p>
            <w:pPr>
              <w:pStyle w:val="TableParagraph"/>
              <w:spacing w:line="205" w:lineRule="exact"/>
              <w:ind w:left="105" w:right="0"/>
              <w:jc w:val="left"/>
              <w:rPr>
                <w:rFonts w:ascii="宋体" w:hAnsi="宋体" w:cs="宋体" w:eastAsia="宋体" w:hint="default"/>
                <w:sz w:val="18"/>
                <w:szCs w:val="18"/>
              </w:rPr>
            </w:pPr>
            <w:r>
              <w:rPr>
                <w:rFonts w:ascii="宋体" w:hAnsi="宋体" w:cs="宋体" w:eastAsia="宋体" w:hint="default"/>
                <w:sz w:val="18"/>
                <w:szCs w:val="18"/>
              </w:rPr>
              <w:t>(600306.SH)</w:t>
            </w:r>
            <w:r>
              <w:rPr>
                <w:rFonts w:ascii="宋体" w:hAnsi="宋体" w:cs="宋体" w:eastAsia="宋体" w:hint="default"/>
                <w:sz w:val="18"/>
                <w:szCs w:val="18"/>
              </w:rPr>
              <w:t>，控股境外茂业国际</w:t>
            </w:r>
            <w:r>
              <w:rPr>
                <w:rFonts w:ascii="宋体" w:hAnsi="宋体" w:cs="宋体" w:eastAsia="宋体" w:hint="default"/>
                <w:sz w:val="18"/>
                <w:szCs w:val="18"/>
              </w:rPr>
              <w:t>(00848.HK)</w:t>
            </w:r>
            <w:r>
              <w:rPr>
                <w:rFonts w:ascii="宋体" w:hAnsi="宋体" w:cs="宋体" w:eastAsia="宋体" w:hint="default"/>
                <w:sz w:val="18"/>
                <w:szCs w:val="18"/>
              </w:rPr>
              <w:t>。</w:t>
            </w:r>
            <w:r>
              <w:rPr>
                <w:rFonts w:ascii="宋体" w:hAnsi="宋体" w:cs="宋体" w:eastAsia="宋体" w:hint="default"/>
                <w:sz w:val="18"/>
                <w:szCs w:val="18"/>
              </w:rPr>
              <w:t> </w:t>
            </w:r>
          </w:p>
        </w:tc>
      </w:tr>
      <w:tr>
        <w:trPr>
          <w:trHeight w:val="240" w:hRule="exact"/>
        </w:trPr>
        <w:tc>
          <w:tcPr>
            <w:tcW w:w="1985" w:type="dxa"/>
            <w:tcBorders>
              <w:top w:val="nil" w:sz="6" w:space="0" w:color="auto"/>
              <w:left w:val="single" w:sz="4" w:space="0" w:color="000000"/>
              <w:bottom w:val="single" w:sz="4" w:space="0" w:color="000000"/>
              <w:right w:val="single" w:sz="4" w:space="0" w:color="000000"/>
            </w:tcBorders>
          </w:tcPr>
          <w:p>
            <w:pPr/>
          </w:p>
        </w:tc>
        <w:tc>
          <w:tcPr>
            <w:tcW w:w="7655" w:type="dxa"/>
            <w:tcBorders>
              <w:top w:val="nil" w:sz="6" w:space="0" w:color="auto"/>
              <w:left w:val="single" w:sz="4" w:space="0" w:color="000000"/>
              <w:bottom w:val="single" w:sz="4" w:space="0" w:color="000000"/>
              <w:right w:val="single" w:sz="4" w:space="0" w:color="000000"/>
            </w:tcBorders>
          </w:tcPr>
          <w:p>
            <w:pPr>
              <w:pStyle w:val="TableParagraph"/>
              <w:spacing w:line="210" w:lineRule="exact"/>
              <w:ind w:left="105"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2"/>
                <w:sz w:val="18"/>
                <w:szCs w:val="18"/>
              </w:rPr>
              <w:t> </w:t>
            </w:r>
            <w:r>
              <w:rPr>
                <w:rFonts w:ascii="宋体" w:hAnsi="宋体" w:cs="宋体" w:eastAsia="宋体" w:hint="default"/>
                <w:sz w:val="18"/>
                <w:szCs w:val="18"/>
              </w:rPr>
              <w:t>朱文平没有控股境内外上市公司。</w:t>
            </w:r>
            <w:r>
              <w:rPr>
                <w:rFonts w:ascii="宋体" w:hAnsi="宋体" w:cs="宋体" w:eastAsia="宋体" w:hint="default"/>
                <w:sz w:val="18"/>
                <w:szCs w:val="18"/>
              </w:rPr>
              <w:t> </w:t>
            </w:r>
          </w:p>
        </w:tc>
      </w:tr>
    </w:tbl>
    <w:p>
      <w:pPr>
        <w:pStyle w:val="BodyText"/>
        <w:spacing w:line="240" w:lineRule="auto" w:before="26"/>
        <w:ind w:right="1133"/>
        <w:jc w:val="left"/>
        <w:rPr>
          <w:rFonts w:ascii="宋体" w:hAnsi="宋体" w:cs="宋体" w:eastAsia="宋体" w:hint="default"/>
        </w:rPr>
      </w:pPr>
      <w:r>
        <w:rPr/>
        <w:t>实际控制人报告期内变更</w:t>
      </w:r>
      <w:r>
        <w:rPr>
          <w:rFonts w:ascii="宋体" w:hAnsi="宋体" w:cs="宋体" w:eastAsia="宋体" w:hint="default"/>
        </w:rPr>
        <w:t> </w:t>
      </w:r>
    </w:p>
    <w:p>
      <w:pPr>
        <w:pStyle w:val="BodyText"/>
        <w:spacing w:line="307" w:lineRule="auto" w:before="78"/>
        <w:ind w:right="5955"/>
        <w:jc w:val="left"/>
        <w:rPr>
          <w:rFonts w:ascii="宋体" w:hAnsi="宋体" w:cs="宋体" w:eastAsia="宋体" w:hint="default"/>
        </w:rPr>
      </w:pPr>
      <w:r>
        <w:rPr/>
        <w:t>□ 适用 </w:t>
      </w:r>
      <w:r>
        <w:rPr>
          <w:rFonts w:ascii="宋体" w:hAnsi="宋体" w:cs="宋体" w:eastAsia="宋体" w:hint="default"/>
        </w:rPr>
      </w:r>
      <w:r>
        <w:rPr>
          <w:spacing w:val="-3"/>
        </w:rPr>
        <w:t>√</w:t>
      </w:r>
      <w:r>
        <w:rPr/>
        <w:t> 不适用</w:t>
      </w:r>
      <w:r>
        <w:rPr>
          <w:rFonts w:ascii="宋体" w:hAnsi="宋体" w:cs="宋体" w:eastAsia="宋体" w:hint="default"/>
          <w:w w:val="100"/>
        </w:rPr>
        <w:t> </w:t>
      </w:r>
      <w:r>
        <w:rPr/>
        <w:t>公司报告期实际控制人未发生变更。</w:t>
      </w:r>
      <w:r>
        <w:rPr>
          <w:rFonts w:ascii="宋体" w:hAnsi="宋体" w:cs="宋体" w:eastAsia="宋体" w:hint="default"/>
          <w:w w:val="100"/>
        </w:rPr>
        <w:t> </w:t>
      </w:r>
      <w:r>
        <w:rPr/>
        <w:t>公司与实际控制人之间的产权及控制关系的方框图</w:t>
      </w:r>
      <w:r>
        <w:rPr>
          <w:rFonts w:ascii="宋体" w:hAnsi="宋体" w:cs="宋体" w:eastAsia="宋体" w:hint="default"/>
        </w:rPr>
        <w:t> </w:t>
      </w:r>
    </w:p>
    <w:p>
      <w:pPr>
        <w:pStyle w:val="Heading3"/>
        <w:spacing w:line="240" w:lineRule="auto" w:before="19"/>
        <w:ind w:left="575" w:right="1133"/>
        <w:jc w:val="left"/>
        <w:rPr>
          <w:b w:val="0"/>
          <w:bCs w:val="0"/>
        </w:rPr>
      </w:pPr>
      <w:r>
        <w:rPr/>
        <w:t>四、公司与最终控制层面自然人之间的产权及控制关系的方框图</w:t>
      </w:r>
      <w:r>
        <w:rPr>
          <w:b w:val="0"/>
          <w:bCs w:val="0"/>
        </w:rPr>
      </w:r>
    </w:p>
    <w:p>
      <w:pPr>
        <w:spacing w:line="240" w:lineRule="auto" w:before="7"/>
        <w:rPr>
          <w:rFonts w:ascii="宋体" w:hAnsi="宋体" w:cs="宋体" w:eastAsia="宋体" w:hint="default"/>
          <w:b/>
          <w:bCs/>
          <w:sz w:val="8"/>
          <w:szCs w:val="8"/>
        </w:rPr>
      </w:pPr>
    </w:p>
    <w:p>
      <w:pPr>
        <w:spacing w:line="5250" w:lineRule="exact"/>
        <w:ind w:left="154" w:right="0" w:firstLine="0"/>
        <w:rPr>
          <w:rFonts w:ascii="宋体" w:hAnsi="宋体" w:cs="宋体" w:eastAsia="宋体" w:hint="default"/>
          <w:sz w:val="20"/>
          <w:szCs w:val="20"/>
        </w:rPr>
      </w:pPr>
      <w:r>
        <w:rPr>
          <w:rFonts w:ascii="宋体" w:hAnsi="宋体" w:cs="宋体" w:eastAsia="宋体" w:hint="default"/>
          <w:position w:val="-104"/>
          <w:sz w:val="20"/>
          <w:szCs w:val="20"/>
        </w:rPr>
        <w:drawing>
          <wp:inline distT="0" distB="0" distL="0" distR="0">
            <wp:extent cx="5717863" cy="3333940"/>
            <wp:effectExtent l="0" t="0" r="0" b="0"/>
            <wp:docPr id="21" name="image16.jpeg" descr=""/>
            <wp:cNvGraphicFramePr>
              <a:graphicFrameLocks noChangeAspect="1"/>
            </wp:cNvGraphicFramePr>
            <a:graphic>
              <a:graphicData uri="http://schemas.openxmlformats.org/drawingml/2006/picture">
                <pic:pic>
                  <pic:nvPicPr>
                    <pic:cNvPr id="22" name="image16.jpeg"/>
                    <pic:cNvPicPr/>
                  </pic:nvPicPr>
                  <pic:blipFill>
                    <a:blip r:embed="rId30" cstate="print"/>
                    <a:stretch>
                      <a:fillRect/>
                    </a:stretch>
                  </pic:blipFill>
                  <pic:spPr>
                    <a:xfrm>
                      <a:off x="0" y="0"/>
                      <a:ext cx="5717863" cy="3333940"/>
                    </a:xfrm>
                    <a:prstGeom prst="rect">
                      <a:avLst/>
                    </a:prstGeom>
                  </pic:spPr>
                </pic:pic>
              </a:graphicData>
            </a:graphic>
          </wp:inline>
        </w:drawing>
      </w:r>
      <w:r>
        <w:rPr>
          <w:rFonts w:ascii="宋体" w:hAnsi="宋体" w:cs="宋体" w:eastAsia="宋体" w:hint="default"/>
          <w:position w:val="-104"/>
          <w:sz w:val="20"/>
          <w:szCs w:val="20"/>
        </w:rPr>
      </w:r>
    </w:p>
    <w:p>
      <w:pPr>
        <w:pStyle w:val="BodyText"/>
        <w:spacing w:line="240" w:lineRule="auto" w:before="138"/>
        <w:ind w:right="1133"/>
        <w:jc w:val="left"/>
        <w:rPr>
          <w:rFonts w:ascii="宋体" w:hAnsi="宋体" w:cs="宋体" w:eastAsia="宋体" w:hint="default"/>
        </w:rPr>
      </w:pPr>
      <w:r>
        <w:rPr/>
        <w:t>实际控制人通过信托或其他资产管理方式控制公司</w:t>
      </w:r>
      <w:r>
        <w:rPr>
          <w:rFonts w:ascii="宋体" w:hAnsi="宋体" w:cs="宋体" w:eastAsia="宋体" w:hint="default"/>
        </w:rPr>
        <w:t> </w:t>
      </w:r>
    </w:p>
    <w:p>
      <w:pPr>
        <w:spacing w:line="376" w:lineRule="auto" w:before="78"/>
        <w:ind w:left="152" w:right="8232" w:firstLine="0"/>
        <w:jc w:val="left"/>
        <w:rPr>
          <w:rFonts w:ascii="宋体" w:hAnsi="宋体" w:cs="宋体" w:eastAsia="宋体" w:hint="default"/>
          <w:sz w:val="21"/>
          <w:szCs w:val="21"/>
        </w:rPr>
      </w:pPr>
      <w:r>
        <w:rPr>
          <w:rFonts w:ascii="宋体" w:hAnsi="宋体" w:cs="宋体" w:eastAsia="宋体" w:hint="default"/>
          <w:sz w:val="21"/>
          <w:szCs w:val="21"/>
        </w:rPr>
        <w:t>□ 适用 </w:t>
      </w:r>
      <w:r>
        <w:rPr>
          <w:rFonts w:ascii="宋体" w:hAnsi="宋体" w:cs="宋体" w:eastAsia="宋体" w:hint="default"/>
          <w:sz w:val="21"/>
          <w:szCs w:val="21"/>
        </w:rPr>
      </w:r>
      <w:r>
        <w:rPr>
          <w:rFonts w:ascii="宋体" w:hAnsi="宋体" w:cs="宋体" w:eastAsia="宋体" w:hint="default"/>
          <w:spacing w:val="-3"/>
          <w:sz w:val="21"/>
          <w:szCs w:val="21"/>
        </w:rPr>
        <w:t>√</w:t>
      </w:r>
      <w:r>
        <w:rPr>
          <w:rFonts w:ascii="宋体" w:hAnsi="宋体" w:cs="宋体" w:eastAsia="宋体" w:hint="default"/>
          <w:sz w:val="21"/>
          <w:szCs w:val="21"/>
        </w:rPr>
        <w:t> 不适用</w:t>
      </w:r>
      <w:r>
        <w:rPr>
          <w:rFonts w:ascii="宋体" w:hAnsi="宋体" w:cs="宋体" w:eastAsia="宋体" w:hint="default"/>
          <w:w w:val="100"/>
          <w:sz w:val="21"/>
          <w:szCs w:val="21"/>
        </w:rPr>
        <w:t> </w:t>
      </w:r>
      <w:r>
        <w:rPr>
          <w:rFonts w:ascii="宋体" w:hAnsi="宋体" w:cs="宋体" w:eastAsia="宋体" w:hint="default"/>
          <w:b/>
          <w:bCs/>
          <w:sz w:val="21"/>
          <w:szCs w:val="21"/>
        </w:rPr>
        <w:t>五、其他事项</w:t>
      </w:r>
      <w:r>
        <w:rPr>
          <w:rFonts w:ascii="宋体" w:hAnsi="宋体" w:cs="宋体" w:eastAsia="宋体" w:hint="default"/>
          <w:b/>
          <w:bCs/>
          <w:w w:val="99"/>
          <w:sz w:val="21"/>
          <w:szCs w:val="21"/>
        </w:rPr>
        <w:t> </w:t>
      </w:r>
      <w:r>
        <w:rPr>
          <w:rFonts w:ascii="宋体" w:hAnsi="宋体" w:cs="宋体" w:eastAsia="宋体" w:hint="default"/>
          <w:sz w:val="21"/>
          <w:szCs w:val="21"/>
        </w:rPr>
      </w:r>
    </w:p>
    <w:p>
      <w:pPr>
        <w:pStyle w:val="BodyText"/>
        <w:spacing w:line="240" w:lineRule="auto" w:before="37"/>
        <w:ind w:right="1133"/>
        <w:jc w:val="left"/>
        <w:rPr>
          <w:rFonts w:ascii="宋体" w:hAnsi="宋体" w:cs="宋体" w:eastAsia="宋体" w:hint="default"/>
        </w:rPr>
      </w:pPr>
      <w:r>
        <w:rPr>
          <w:rFonts w:ascii="宋体" w:hAnsi="宋体" w:cs="宋体" w:eastAsia="宋体" w:hint="default"/>
        </w:rPr>
        <w:t>1</w:t>
      </w:r>
      <w:r>
        <w:rPr/>
        <w:t>、其他持股在</w:t>
      </w:r>
      <w:r>
        <w:rPr>
          <w:spacing w:val="-58"/>
        </w:rPr>
        <w:t> </w:t>
      </w:r>
      <w:r>
        <w:rPr>
          <w:rFonts w:ascii="宋体" w:hAnsi="宋体" w:cs="宋体" w:eastAsia="宋体" w:hint="default"/>
        </w:rPr>
        <w:t>10%</w:t>
      </w:r>
      <w:r>
        <w:rPr/>
        <w:t>以上的法人股东</w:t>
      </w:r>
      <w:r>
        <w:rPr>
          <w:rFonts w:ascii="宋体" w:hAnsi="宋体" w:cs="宋体" w:eastAsia="宋体" w:hint="default"/>
        </w:rPr>
        <w:t> </w:t>
      </w:r>
    </w:p>
    <w:p>
      <w:pPr>
        <w:pStyle w:val="BodyText"/>
        <w:spacing w:line="240" w:lineRule="auto" w:before="75"/>
        <w:ind w:right="1133"/>
        <w:jc w:val="left"/>
        <w:rPr>
          <w:rFonts w:ascii="宋体" w:hAnsi="宋体" w:cs="宋体" w:eastAsia="宋体" w:hint="default"/>
        </w:rPr>
      </w:pPr>
      <w:r>
        <w:rPr/>
        <w:t>□ 适用 </w:t>
      </w:r>
      <w:r>
        <w:rPr>
          <w:rFonts w:ascii="宋体" w:hAnsi="宋体" w:cs="宋体" w:eastAsia="宋体" w:hint="default"/>
        </w:rPr>
      </w:r>
      <w:r>
        <w:rPr>
          <w:spacing w:val="-3"/>
        </w:rPr>
        <w:t>√</w:t>
      </w:r>
      <w:r>
        <w:rPr/>
        <w:t> 不适用</w:t>
      </w:r>
      <w:r>
        <w:rPr>
          <w:rFonts w:ascii="宋体" w:hAnsi="宋体" w:cs="宋体" w:eastAsia="宋体" w:hint="default"/>
        </w:rPr>
        <w:t> </w:t>
      </w:r>
    </w:p>
    <w:p>
      <w:pPr>
        <w:spacing w:line="240" w:lineRule="auto" w:before="2"/>
        <w:rPr>
          <w:rFonts w:ascii="宋体" w:hAnsi="宋体" w:cs="宋体" w:eastAsia="宋体" w:hint="default"/>
          <w:sz w:val="21"/>
          <w:szCs w:val="21"/>
        </w:rPr>
      </w:pPr>
    </w:p>
    <w:p>
      <w:pPr>
        <w:pStyle w:val="BodyText"/>
        <w:spacing w:line="240" w:lineRule="auto"/>
        <w:ind w:right="1133"/>
        <w:jc w:val="left"/>
      </w:pPr>
      <w:r>
        <w:rPr>
          <w:rFonts w:ascii="Times New Roman" w:hAnsi="Times New Roman" w:cs="Times New Roman" w:eastAsia="Times New Roman" w:hint="default"/>
        </w:rPr>
        <w:t>2</w:t>
      </w:r>
      <w:r>
        <w:rPr/>
        <w:t>、控股股东、实际控制人、重组方及其他承诺主体股份限制减持情况</w:t>
      </w:r>
    </w:p>
    <w:p>
      <w:pPr>
        <w:pStyle w:val="BodyText"/>
        <w:spacing w:line="240" w:lineRule="auto" w:before="62"/>
        <w:ind w:right="1133"/>
        <w:jc w:val="left"/>
        <w:rPr>
          <w:rFonts w:ascii="宋体" w:hAnsi="宋体" w:cs="宋体" w:eastAsia="宋体" w:hint="default"/>
        </w:rPr>
      </w:pPr>
      <w:r>
        <w:rPr/>
        <w:t>□ 适用 </w:t>
      </w:r>
      <w:r>
        <w:rPr>
          <w:rFonts w:ascii="宋体" w:hAnsi="宋体" w:cs="宋体" w:eastAsia="宋体" w:hint="default"/>
        </w:rPr>
      </w:r>
      <w:r>
        <w:rPr>
          <w:spacing w:val="-3"/>
        </w:rPr>
        <w:t>√</w:t>
      </w:r>
      <w:r>
        <w:rPr/>
        <w:t> 不适用</w:t>
      </w:r>
      <w:r>
        <w:rPr>
          <w:rFonts w:ascii="宋体" w:hAnsi="宋体" w:cs="宋体" w:eastAsia="宋体" w:hint="default"/>
        </w:rPr>
        <w:t> </w:t>
      </w:r>
    </w:p>
    <w:p>
      <w:pPr>
        <w:spacing w:after="0" w:line="240" w:lineRule="auto"/>
        <w:jc w:val="left"/>
        <w:rPr>
          <w:rFonts w:ascii="宋体" w:hAnsi="宋体" w:cs="宋体" w:eastAsia="宋体" w:hint="default"/>
        </w:rPr>
        <w:sectPr>
          <w:pgSz w:w="11910" w:h="16840"/>
          <w:pgMar w:header="880" w:footer="975" w:top="1100" w:bottom="116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6"/>
          <w:szCs w:val="26"/>
        </w:rPr>
      </w:pPr>
    </w:p>
    <w:p>
      <w:pPr>
        <w:pStyle w:val="Heading1"/>
        <w:tabs>
          <w:tab w:pos="4492" w:val="left" w:leader="none"/>
        </w:tabs>
        <w:spacing w:line="240" w:lineRule="auto"/>
        <w:ind w:left="3206" w:right="1133"/>
        <w:jc w:val="left"/>
        <w:rPr>
          <w:b w:val="0"/>
          <w:bCs w:val="0"/>
        </w:rPr>
      </w:pPr>
      <w:bookmarkStart w:name="_bookmark6" w:id="7"/>
      <w:bookmarkEnd w:id="7"/>
      <w:r>
        <w:rPr>
          <w:b w:val="0"/>
          <w:bCs w:val="0"/>
        </w:rPr>
      </w:r>
      <w:r>
        <w:rPr>
          <w:w w:val="95"/>
        </w:rPr>
        <w:t>第七章</w:t>
        <w:tab/>
      </w:r>
      <w:r>
        <w:rPr/>
        <w:t>优先股相关情况</w:t>
      </w:r>
      <w:r>
        <w:rPr>
          <w:b w:val="0"/>
          <w:bCs w:val="0"/>
        </w:rPr>
      </w:r>
    </w:p>
    <w:p>
      <w:pPr>
        <w:spacing w:line="240" w:lineRule="auto" w:before="0"/>
        <w:rPr>
          <w:rFonts w:ascii="宋体" w:hAnsi="宋体" w:cs="宋体" w:eastAsia="宋体" w:hint="default"/>
          <w:b/>
          <w:bCs/>
          <w:sz w:val="22"/>
          <w:szCs w:val="22"/>
        </w:rPr>
      </w:pPr>
    </w:p>
    <w:p>
      <w:pPr>
        <w:pStyle w:val="BodyText"/>
        <w:spacing w:line="240" w:lineRule="auto" w:before="36"/>
        <w:ind w:right="0"/>
        <w:jc w:val="left"/>
        <w:rPr>
          <w:rFonts w:ascii="宋体" w:hAnsi="宋体" w:cs="宋体" w:eastAsia="宋体" w:hint="default"/>
        </w:rPr>
      </w:pPr>
      <w:r>
        <w:rPr>
          <w:rFonts w:ascii="宋体"/>
          <w:w w:val="100"/>
        </w:rPr>
        <w:t> </w:t>
      </w:r>
    </w:p>
    <w:p>
      <w:pPr>
        <w:pStyle w:val="BodyText"/>
        <w:spacing w:line="307" w:lineRule="auto" w:before="78"/>
        <w:ind w:right="7341"/>
        <w:jc w:val="left"/>
        <w:rPr>
          <w:rFonts w:ascii="宋体" w:hAnsi="宋体" w:cs="宋体" w:eastAsia="宋体" w:hint="default"/>
        </w:rPr>
      </w:pPr>
      <w:r>
        <w:rPr/>
        <w:t>□ 适用 </w:t>
      </w:r>
      <w:r>
        <w:rPr>
          <w:rFonts w:ascii="宋体" w:hAnsi="宋体" w:cs="宋体" w:eastAsia="宋体" w:hint="default"/>
        </w:rPr>
      </w:r>
      <w:r>
        <w:rPr>
          <w:spacing w:val="-3"/>
        </w:rPr>
        <w:t>√</w:t>
      </w:r>
      <w:r>
        <w:rPr/>
        <w:t> 不适用</w:t>
      </w:r>
      <w:r>
        <w:rPr>
          <w:rFonts w:ascii="宋体" w:hAnsi="宋体" w:cs="宋体" w:eastAsia="宋体" w:hint="default"/>
          <w:w w:val="100"/>
        </w:rPr>
        <w:t> </w:t>
      </w:r>
      <w:r>
        <w:rPr/>
        <w:t>报告期公司不存在优先股。</w:t>
      </w:r>
      <w:r>
        <w:rPr>
          <w:rFonts w:ascii="宋体" w:hAnsi="宋体" w:cs="宋体" w:eastAsia="宋体" w:hint="default"/>
        </w:rPr>
        <w:t> </w:t>
      </w:r>
    </w:p>
    <w:p>
      <w:pPr>
        <w:pStyle w:val="BodyText"/>
        <w:spacing w:line="240" w:lineRule="auto" w:before="19"/>
        <w:ind w:right="0"/>
        <w:jc w:val="left"/>
        <w:rPr>
          <w:rFonts w:ascii="宋体" w:hAnsi="宋体" w:cs="宋体" w:eastAsia="宋体" w:hint="default"/>
        </w:rPr>
      </w:pPr>
      <w:r>
        <w:rPr>
          <w:rFonts w:ascii="宋体"/>
          <w:w w:val="100"/>
        </w:rPr>
        <w:t> </w:t>
      </w:r>
    </w:p>
    <w:p>
      <w:pPr>
        <w:pStyle w:val="BodyText"/>
        <w:spacing w:line="240" w:lineRule="auto" w:before="78"/>
        <w:ind w:right="0"/>
        <w:jc w:val="left"/>
        <w:rPr>
          <w:rFonts w:ascii="宋体" w:hAnsi="宋体" w:cs="宋体" w:eastAsia="宋体" w:hint="default"/>
        </w:rPr>
      </w:pPr>
      <w:r>
        <w:rPr>
          <w:rFonts w:ascii="宋体"/>
          <w:w w:val="100"/>
        </w:rPr>
        <w:t> </w:t>
      </w:r>
    </w:p>
    <w:p>
      <w:pPr>
        <w:spacing w:line="240" w:lineRule="auto" w:before="8"/>
        <w:rPr>
          <w:rFonts w:ascii="宋体" w:hAnsi="宋体" w:cs="宋体" w:eastAsia="宋体" w:hint="default"/>
          <w:sz w:val="21"/>
          <w:szCs w:val="21"/>
        </w:rPr>
      </w:pPr>
    </w:p>
    <w:p>
      <w:pPr>
        <w:pStyle w:val="Heading1"/>
        <w:tabs>
          <w:tab w:pos="3849" w:val="left" w:leader="none"/>
        </w:tabs>
        <w:spacing w:line="240" w:lineRule="auto"/>
        <w:ind w:left="2562" w:right="1133"/>
        <w:jc w:val="left"/>
        <w:rPr>
          <w:b w:val="0"/>
          <w:bCs w:val="0"/>
        </w:rPr>
      </w:pPr>
      <w:bookmarkStart w:name="_bookmark7" w:id="8"/>
      <w:bookmarkEnd w:id="8"/>
      <w:r>
        <w:rPr>
          <w:b w:val="0"/>
          <w:bCs w:val="0"/>
        </w:rPr>
      </w:r>
      <w:r>
        <w:rPr>
          <w:w w:val="95"/>
        </w:rPr>
        <w:t>第八章</w:t>
        <w:tab/>
      </w:r>
      <w:r>
        <w:rPr/>
        <w:t>可转换公司债券相关情况</w:t>
      </w:r>
      <w:r>
        <w:rPr>
          <w:b w:val="0"/>
          <w:bCs w:val="0"/>
        </w:rPr>
      </w:r>
    </w:p>
    <w:p>
      <w:pPr>
        <w:spacing w:line="240" w:lineRule="auto" w:before="13"/>
        <w:rPr>
          <w:rFonts w:ascii="宋体" w:hAnsi="宋体" w:cs="宋体" w:eastAsia="宋体" w:hint="default"/>
          <w:b/>
          <w:bCs/>
          <w:sz w:val="24"/>
          <w:szCs w:val="24"/>
        </w:rPr>
      </w:pPr>
    </w:p>
    <w:p>
      <w:pPr>
        <w:pStyle w:val="BodyText"/>
        <w:spacing w:line="240" w:lineRule="auto"/>
        <w:ind w:right="0"/>
        <w:jc w:val="left"/>
        <w:rPr>
          <w:rFonts w:ascii="宋体" w:hAnsi="宋体" w:cs="宋体" w:eastAsia="宋体" w:hint="default"/>
        </w:rPr>
      </w:pPr>
      <w:r>
        <w:rPr>
          <w:rFonts w:ascii="宋体"/>
          <w:w w:val="100"/>
        </w:rPr>
        <w:t> </w:t>
      </w:r>
    </w:p>
    <w:p>
      <w:pPr>
        <w:pStyle w:val="BodyText"/>
        <w:spacing w:line="307" w:lineRule="auto" w:before="75"/>
        <w:ind w:right="7341"/>
        <w:jc w:val="left"/>
        <w:rPr>
          <w:rFonts w:ascii="宋体" w:hAnsi="宋体" w:cs="宋体" w:eastAsia="宋体" w:hint="default"/>
        </w:rPr>
      </w:pPr>
      <w:r>
        <w:rPr/>
        <w:t>□ 适用 </w:t>
      </w:r>
      <w:r>
        <w:rPr>
          <w:rFonts w:ascii="宋体" w:hAnsi="宋体" w:cs="宋体" w:eastAsia="宋体" w:hint="default"/>
        </w:rPr>
      </w:r>
      <w:r>
        <w:rPr>
          <w:spacing w:val="-3"/>
        </w:rPr>
        <w:t>√</w:t>
      </w:r>
      <w:r>
        <w:rPr/>
        <w:t> 不适用</w:t>
      </w:r>
      <w:r>
        <w:rPr>
          <w:rFonts w:ascii="宋体" w:hAnsi="宋体" w:cs="宋体" w:eastAsia="宋体" w:hint="default"/>
          <w:w w:val="100"/>
        </w:rPr>
        <w:t> </w:t>
      </w:r>
      <w:r>
        <w:rPr/>
        <w:t>报告期公司不存在可转换公司债券。</w:t>
      </w:r>
      <w:r>
        <w:rPr>
          <w:rFonts w:ascii="宋体" w:hAnsi="宋体" w:cs="宋体" w:eastAsia="宋体" w:hint="default"/>
        </w:rPr>
        <w:t> </w:t>
      </w:r>
    </w:p>
    <w:p>
      <w:pPr>
        <w:spacing w:after="0" w:line="307" w:lineRule="auto"/>
        <w:jc w:val="left"/>
        <w:rPr>
          <w:rFonts w:ascii="宋体" w:hAnsi="宋体" w:cs="宋体" w:eastAsia="宋体" w:hint="default"/>
        </w:rPr>
        <w:sectPr>
          <w:pgSz w:w="11910" w:h="16840"/>
          <w:pgMar w:header="880" w:footer="975" w:top="1100" w:bottom="1160" w:left="980" w:right="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8"/>
          <w:szCs w:val="28"/>
        </w:rPr>
      </w:pPr>
    </w:p>
    <w:p>
      <w:pPr>
        <w:pStyle w:val="Heading1"/>
        <w:tabs>
          <w:tab w:pos="1286" w:val="left" w:leader="none"/>
        </w:tabs>
        <w:spacing w:line="240" w:lineRule="auto"/>
        <w:ind w:right="984"/>
        <w:jc w:val="center"/>
        <w:rPr>
          <w:b w:val="0"/>
          <w:bCs w:val="0"/>
        </w:rPr>
      </w:pPr>
      <w:bookmarkStart w:name="_bookmark8" w:id="9"/>
      <w:bookmarkEnd w:id="9"/>
      <w:r>
        <w:rPr>
          <w:b w:val="0"/>
          <w:bCs w:val="0"/>
        </w:rPr>
      </w:r>
      <w:r>
        <w:rPr>
          <w:w w:val="95"/>
        </w:rPr>
        <w:t>第九章</w:t>
        <w:tab/>
      </w:r>
      <w:r>
        <w:rPr/>
        <w:t>董事、监事、高级管理人员和员工情况</w:t>
      </w:r>
      <w:r>
        <w:rPr>
          <w:b w:val="0"/>
          <w:bCs w:val="0"/>
        </w:rPr>
      </w:r>
    </w:p>
    <w:p>
      <w:pPr>
        <w:spacing w:line="240" w:lineRule="auto" w:before="13"/>
        <w:rPr>
          <w:rFonts w:ascii="宋体" w:hAnsi="宋体" w:cs="宋体" w:eastAsia="宋体" w:hint="default"/>
          <w:b/>
          <w:bCs/>
          <w:sz w:val="31"/>
          <w:szCs w:val="31"/>
        </w:rPr>
      </w:pPr>
    </w:p>
    <w:p>
      <w:pPr>
        <w:pStyle w:val="Heading2"/>
        <w:tabs>
          <w:tab w:pos="964" w:val="left" w:leader="none"/>
        </w:tabs>
        <w:spacing w:line="240" w:lineRule="auto" w:before="0"/>
        <w:ind w:left="0" w:right="979"/>
        <w:jc w:val="center"/>
        <w:rPr>
          <w:b w:val="0"/>
          <w:bCs w:val="0"/>
        </w:rPr>
      </w:pPr>
      <w:r>
        <w:rPr>
          <w:w w:val="95"/>
        </w:rPr>
        <w:t>第一节</w:t>
        <w:tab/>
      </w:r>
      <w:r>
        <w:rPr/>
        <w:t>董事、监事和高级管理人员</w:t>
      </w:r>
      <w:r>
        <w:rPr>
          <w:b w:val="0"/>
          <w:bCs w:val="0"/>
        </w:rPr>
      </w:r>
    </w:p>
    <w:p>
      <w:pPr>
        <w:spacing w:line="240" w:lineRule="auto" w:before="2"/>
        <w:rPr>
          <w:rFonts w:ascii="宋体" w:hAnsi="宋体" w:cs="宋体" w:eastAsia="宋体" w:hint="default"/>
          <w:b/>
          <w:bCs/>
          <w:sz w:val="20"/>
          <w:szCs w:val="20"/>
        </w:rPr>
      </w:pPr>
    </w:p>
    <w:p>
      <w:pPr>
        <w:pStyle w:val="Heading3"/>
        <w:spacing w:line="240" w:lineRule="auto" w:before="0"/>
        <w:ind w:right="1133"/>
        <w:jc w:val="left"/>
        <w:rPr>
          <w:b w:val="0"/>
          <w:bCs w:val="0"/>
        </w:rPr>
      </w:pPr>
      <w:r>
        <w:rPr/>
        <w:t>一、董事、监事和高级管理人员持股变动</w:t>
      </w:r>
      <w:r>
        <w:rPr>
          <w:b w:val="0"/>
          <w:bCs w:val="0"/>
        </w:rPr>
      </w:r>
    </w:p>
    <w:p>
      <w:pPr>
        <w:spacing w:line="240" w:lineRule="auto" w:before="1"/>
        <w:rPr>
          <w:rFonts w:ascii="宋体" w:hAnsi="宋体" w:cs="宋体" w:eastAsia="宋体" w:hint="default"/>
          <w:b/>
          <w:bCs/>
          <w:sz w:val="13"/>
          <w:szCs w:val="13"/>
        </w:rPr>
      </w:pPr>
    </w:p>
    <w:tbl>
      <w:tblPr>
        <w:tblW w:w="0" w:type="auto"/>
        <w:jc w:val="left"/>
        <w:tblInd w:w="148" w:type="dxa"/>
        <w:tblLayout w:type="fixed"/>
        <w:tblCellMar>
          <w:top w:w="0" w:type="dxa"/>
          <w:left w:w="0" w:type="dxa"/>
          <w:bottom w:w="0" w:type="dxa"/>
          <w:right w:w="0" w:type="dxa"/>
        </w:tblCellMar>
        <w:tblLook w:val="01E0"/>
      </w:tblPr>
      <w:tblGrid>
        <w:gridCol w:w="708"/>
        <w:gridCol w:w="994"/>
        <w:gridCol w:w="566"/>
        <w:gridCol w:w="427"/>
        <w:gridCol w:w="425"/>
        <w:gridCol w:w="3118"/>
        <w:gridCol w:w="708"/>
        <w:gridCol w:w="710"/>
        <w:gridCol w:w="603"/>
        <w:gridCol w:w="672"/>
        <w:gridCol w:w="641"/>
      </w:tblGrid>
      <w:tr>
        <w:trPr>
          <w:trHeight w:val="1338" w:hRule="exact"/>
        </w:trPr>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1"/>
                <w:szCs w:val="21"/>
              </w:rPr>
            </w:pPr>
          </w:p>
          <w:p>
            <w:pPr>
              <w:pStyle w:val="TableParagraph"/>
              <w:spacing w:line="240" w:lineRule="auto"/>
              <w:ind w:left="170"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1"/>
                <w:szCs w:val="21"/>
              </w:rPr>
            </w:pPr>
          </w:p>
          <w:p>
            <w:pPr>
              <w:pStyle w:val="TableParagraph"/>
              <w:spacing w:line="240" w:lineRule="auto"/>
              <w:ind w:left="314" w:right="0"/>
              <w:jc w:val="left"/>
              <w:rPr>
                <w:rFonts w:ascii="宋体" w:hAnsi="宋体" w:cs="宋体" w:eastAsia="宋体" w:hint="default"/>
                <w:sz w:val="18"/>
                <w:szCs w:val="18"/>
              </w:rPr>
            </w:pPr>
            <w:r>
              <w:rPr>
                <w:rFonts w:ascii="宋体" w:hAnsi="宋体" w:cs="宋体" w:eastAsia="宋体" w:hint="default"/>
                <w:sz w:val="18"/>
                <w:szCs w:val="18"/>
              </w:rPr>
              <w:t>职务</w:t>
            </w:r>
          </w:p>
        </w:tc>
        <w:tc>
          <w:tcPr>
            <w:tcW w:w="5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314" w:lineRule="auto" w:before="129"/>
              <w:ind w:left="98" w:right="96"/>
              <w:jc w:val="left"/>
              <w:rPr>
                <w:rFonts w:ascii="宋体" w:hAnsi="宋体" w:cs="宋体" w:eastAsia="宋体" w:hint="default"/>
                <w:sz w:val="18"/>
                <w:szCs w:val="18"/>
              </w:rPr>
            </w:pPr>
            <w:r>
              <w:rPr>
                <w:rFonts w:ascii="宋体" w:hAnsi="宋体" w:cs="宋体" w:eastAsia="宋体" w:hint="default"/>
                <w:sz w:val="18"/>
                <w:szCs w:val="18"/>
              </w:rPr>
              <w:t>任职 状态</w:t>
            </w:r>
          </w:p>
        </w:tc>
        <w:tc>
          <w:tcPr>
            <w:tcW w:w="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性别</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1"/>
                <w:szCs w:val="21"/>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年龄</w:t>
            </w:r>
          </w:p>
        </w:tc>
        <w:tc>
          <w:tcPr>
            <w:tcW w:w="31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b/>
                <w:bCs/>
                <w:sz w:val="26"/>
                <w:szCs w:val="26"/>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任期起止日期</w:t>
            </w:r>
          </w:p>
        </w:tc>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4" w:lineRule="auto"/>
              <w:ind w:left="170" w:right="77" w:hanging="92"/>
              <w:jc w:val="left"/>
              <w:rPr>
                <w:rFonts w:ascii="宋体" w:hAnsi="宋体" w:cs="宋体" w:eastAsia="宋体" w:hint="default"/>
                <w:sz w:val="18"/>
                <w:szCs w:val="18"/>
              </w:rPr>
            </w:pPr>
            <w:r>
              <w:rPr>
                <w:rFonts w:ascii="宋体" w:hAnsi="宋体" w:cs="宋体" w:eastAsia="宋体" w:hint="default"/>
                <w:sz w:val="18"/>
                <w:szCs w:val="18"/>
              </w:rPr>
              <w:t>期初持 股数</w:t>
            </w:r>
          </w:p>
          <w:p>
            <w:pPr>
              <w:pStyle w:val="TableParagraph"/>
              <w:spacing w:line="240" w:lineRule="auto" w:before="20"/>
              <w:ind w:left="79" w:right="0"/>
              <w:jc w:val="left"/>
              <w:rPr>
                <w:rFonts w:ascii="宋体" w:hAnsi="宋体" w:cs="宋体" w:eastAsia="宋体" w:hint="default"/>
                <w:sz w:val="18"/>
                <w:szCs w:val="18"/>
              </w:rPr>
            </w:pPr>
            <w:r>
              <w:rPr>
                <w:rFonts w:ascii="宋体" w:hAnsi="宋体" w:cs="宋体" w:eastAsia="宋体" w:hint="default"/>
                <w:sz w:val="18"/>
                <w:szCs w:val="18"/>
              </w:rPr>
              <w:t>（股）</w:t>
            </w:r>
          </w:p>
        </w:tc>
        <w:tc>
          <w:tcPr>
            <w:tcW w:w="7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79" w:right="79"/>
              <w:jc w:val="both"/>
              <w:rPr>
                <w:rFonts w:ascii="宋体" w:hAnsi="宋体" w:cs="宋体" w:eastAsia="宋体" w:hint="default"/>
                <w:sz w:val="18"/>
                <w:szCs w:val="18"/>
              </w:rPr>
            </w:pPr>
            <w:r>
              <w:rPr>
                <w:rFonts w:ascii="宋体" w:hAnsi="宋体" w:cs="宋体" w:eastAsia="宋体" w:hint="default"/>
                <w:sz w:val="18"/>
                <w:szCs w:val="18"/>
              </w:rPr>
              <w:t>本期增 持股份 数量</w:t>
            </w:r>
          </w:p>
          <w:p>
            <w:pPr>
              <w:pStyle w:val="TableParagraph"/>
              <w:spacing w:line="240" w:lineRule="auto" w:before="19"/>
              <w:ind w:left="79" w:right="0"/>
              <w:jc w:val="both"/>
              <w:rPr>
                <w:rFonts w:ascii="宋体" w:hAnsi="宋体" w:cs="宋体" w:eastAsia="宋体" w:hint="default"/>
                <w:sz w:val="18"/>
                <w:szCs w:val="18"/>
              </w:rPr>
            </w:pPr>
            <w:r>
              <w:rPr>
                <w:rFonts w:ascii="宋体" w:hAnsi="宋体" w:cs="宋体" w:eastAsia="宋体" w:hint="default"/>
                <w:sz w:val="18"/>
                <w:szCs w:val="18"/>
              </w:rPr>
              <w:t>（股）</w:t>
            </w:r>
          </w:p>
        </w:tc>
        <w:tc>
          <w:tcPr>
            <w:tcW w:w="6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6" w:right="26"/>
              <w:jc w:val="both"/>
              <w:rPr>
                <w:rFonts w:ascii="宋体" w:hAnsi="宋体" w:cs="宋体" w:eastAsia="宋体" w:hint="default"/>
                <w:sz w:val="18"/>
                <w:szCs w:val="18"/>
              </w:rPr>
            </w:pPr>
            <w:r>
              <w:rPr>
                <w:rFonts w:ascii="宋体" w:hAnsi="宋体" w:cs="宋体" w:eastAsia="宋体" w:hint="default"/>
                <w:sz w:val="18"/>
                <w:szCs w:val="18"/>
              </w:rPr>
              <w:t>本期减 持股份 数量</w:t>
            </w:r>
          </w:p>
          <w:p>
            <w:pPr>
              <w:pStyle w:val="TableParagraph"/>
              <w:spacing w:line="240" w:lineRule="auto" w:before="19"/>
              <w:ind w:left="26" w:right="0"/>
              <w:jc w:val="both"/>
              <w:rPr>
                <w:rFonts w:ascii="宋体" w:hAnsi="宋体" w:cs="宋体" w:eastAsia="宋体" w:hint="default"/>
                <w:sz w:val="18"/>
                <w:szCs w:val="18"/>
              </w:rPr>
            </w:pPr>
            <w:r>
              <w:rPr>
                <w:rFonts w:ascii="宋体" w:hAnsi="宋体" w:cs="宋体" w:eastAsia="宋体" w:hint="default"/>
                <w:sz w:val="18"/>
                <w:szCs w:val="18"/>
              </w:rPr>
              <w:t>（股）</w:t>
            </w:r>
          </w:p>
        </w:tc>
        <w:tc>
          <w:tcPr>
            <w:tcW w:w="6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4" w:lineRule="auto"/>
              <w:ind w:left="62" w:right="59"/>
              <w:jc w:val="left"/>
              <w:rPr>
                <w:rFonts w:ascii="宋体" w:hAnsi="宋体" w:cs="宋体" w:eastAsia="宋体" w:hint="default"/>
                <w:sz w:val="18"/>
                <w:szCs w:val="18"/>
              </w:rPr>
            </w:pPr>
            <w:r>
              <w:rPr>
                <w:rFonts w:ascii="宋体" w:hAnsi="宋体" w:cs="宋体" w:eastAsia="宋体" w:hint="default"/>
                <w:sz w:val="18"/>
                <w:szCs w:val="18"/>
              </w:rPr>
              <w:t>其他增 减变动</w:t>
            </w:r>
          </w:p>
          <w:p>
            <w:pPr>
              <w:pStyle w:val="TableParagraph"/>
              <w:spacing w:line="240" w:lineRule="auto" w:before="20"/>
              <w:ind w:left="62" w:right="0"/>
              <w:jc w:val="left"/>
              <w:rPr>
                <w:rFonts w:ascii="宋体" w:hAnsi="宋体" w:cs="宋体" w:eastAsia="宋体" w:hint="default"/>
                <w:sz w:val="18"/>
                <w:szCs w:val="18"/>
              </w:rPr>
            </w:pPr>
            <w:r>
              <w:rPr>
                <w:rFonts w:ascii="宋体" w:hAnsi="宋体" w:cs="宋体" w:eastAsia="宋体" w:hint="default"/>
                <w:sz w:val="18"/>
                <w:szCs w:val="18"/>
              </w:rPr>
              <w:t>（股）</w:t>
            </w:r>
          </w:p>
        </w:tc>
        <w:tc>
          <w:tcPr>
            <w:tcW w:w="6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4" w:lineRule="auto"/>
              <w:ind w:left="136" w:right="43" w:hanging="92"/>
              <w:jc w:val="left"/>
              <w:rPr>
                <w:rFonts w:ascii="宋体" w:hAnsi="宋体" w:cs="宋体" w:eastAsia="宋体" w:hint="default"/>
                <w:sz w:val="18"/>
                <w:szCs w:val="18"/>
              </w:rPr>
            </w:pPr>
            <w:r>
              <w:rPr>
                <w:rFonts w:ascii="宋体" w:hAnsi="宋体" w:cs="宋体" w:eastAsia="宋体" w:hint="default"/>
                <w:sz w:val="18"/>
                <w:szCs w:val="18"/>
              </w:rPr>
              <w:t>期末持 股数</w:t>
            </w:r>
          </w:p>
          <w:p>
            <w:pPr>
              <w:pStyle w:val="TableParagraph"/>
              <w:spacing w:line="240" w:lineRule="auto" w:before="20"/>
              <w:ind w:left="45" w:right="0"/>
              <w:jc w:val="left"/>
              <w:rPr>
                <w:rFonts w:ascii="宋体" w:hAnsi="宋体" w:cs="宋体" w:eastAsia="宋体" w:hint="default"/>
                <w:sz w:val="18"/>
                <w:szCs w:val="18"/>
              </w:rPr>
            </w:pPr>
            <w:r>
              <w:rPr>
                <w:rFonts w:ascii="宋体" w:hAnsi="宋体" w:cs="宋体" w:eastAsia="宋体" w:hint="default"/>
                <w:sz w:val="18"/>
                <w:szCs w:val="18"/>
              </w:rPr>
              <w:t>（股）</w:t>
            </w:r>
          </w:p>
        </w:tc>
      </w:tr>
      <w:tr>
        <w:trPr>
          <w:trHeight w:val="401"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吴鹰</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 w:right="0"/>
              <w:jc w:val="center"/>
              <w:rPr>
                <w:rFonts w:ascii="Times New Roman" w:hAnsi="Times New Roman" w:cs="Times New Roman" w:eastAsia="Times New Roman" w:hint="default"/>
                <w:sz w:val="18"/>
                <w:szCs w:val="18"/>
              </w:rPr>
            </w:pPr>
            <w:r>
              <w:rPr>
                <w:rFonts w:ascii="Times New Roman"/>
                <w:sz w:val="18"/>
              </w:rPr>
              <w:t>60</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--2023</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0</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r>
      <w:tr>
        <w:trPr>
          <w:trHeight w:val="404"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刘宁</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6"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 w:right="0"/>
              <w:jc w:val="center"/>
              <w:rPr>
                <w:rFonts w:ascii="Times New Roman" w:hAnsi="Times New Roman" w:cs="Times New Roman" w:eastAsia="Times New Roman" w:hint="default"/>
                <w:sz w:val="18"/>
                <w:szCs w:val="18"/>
              </w:rPr>
            </w:pPr>
            <w:r>
              <w:rPr>
                <w:rFonts w:ascii="Times New Roman"/>
                <w:sz w:val="18"/>
              </w:rPr>
              <w:t>60</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宋体" w:hAnsi="宋体" w:cs="宋体" w:eastAsia="宋体" w:hint="default"/>
                <w:sz w:val="18"/>
                <w:szCs w:val="18"/>
              </w:rPr>
            </w:pPr>
            <w:r>
              <w:rPr>
                <w:rFonts w:ascii="宋体"/>
                <w:sz w:val="18"/>
              </w:rPr>
              <w:t>0</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3"/>
              <w:jc w:val="right"/>
              <w:rPr>
                <w:rFonts w:ascii="宋体" w:hAnsi="宋体" w:cs="宋体" w:eastAsia="宋体" w:hint="default"/>
                <w:sz w:val="18"/>
                <w:szCs w:val="18"/>
              </w:rPr>
            </w:pPr>
            <w:r>
              <w:rPr>
                <w:rFonts w:ascii="宋体"/>
                <w:sz w:val="18"/>
              </w:rPr>
              <w:t>0</w:t>
            </w:r>
          </w:p>
        </w:tc>
        <w:tc>
          <w:tcPr>
            <w:tcW w:w="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宋体" w:hAnsi="宋体" w:cs="宋体" w:eastAsia="宋体" w:hint="default"/>
                <w:sz w:val="18"/>
                <w:szCs w:val="18"/>
              </w:rPr>
            </w:pPr>
            <w:r>
              <w:rPr>
                <w:rFonts w:ascii="宋体"/>
                <w:sz w:val="18"/>
              </w:rPr>
              <w:t>0</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宋体" w:hAnsi="宋体" w:cs="宋体" w:eastAsia="宋体" w:hint="default"/>
                <w:sz w:val="18"/>
                <w:szCs w:val="18"/>
              </w:rPr>
            </w:pPr>
            <w:r>
              <w:rPr>
                <w:rFonts w:ascii="宋体"/>
                <w:sz w:val="18"/>
              </w:rPr>
              <w:t>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0"/>
              <w:jc w:val="right"/>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郝振平</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 w:right="0"/>
              <w:jc w:val="center"/>
              <w:rPr>
                <w:rFonts w:ascii="Times New Roman" w:hAnsi="Times New Roman" w:cs="Times New Roman" w:eastAsia="Times New Roman" w:hint="default"/>
                <w:sz w:val="18"/>
                <w:szCs w:val="18"/>
              </w:rPr>
            </w:pPr>
            <w:r>
              <w:rPr>
                <w:rFonts w:ascii="Times New Roman"/>
                <w:sz w:val="18"/>
              </w:rPr>
              <w:t>61</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--2023</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0</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刘一平</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6"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 w:right="0"/>
              <w:jc w:val="center"/>
              <w:rPr>
                <w:rFonts w:ascii="Times New Roman" w:hAnsi="Times New Roman" w:cs="Times New Roman" w:eastAsia="Times New Roman" w:hint="default"/>
                <w:sz w:val="18"/>
                <w:szCs w:val="18"/>
              </w:rPr>
            </w:pPr>
            <w:r>
              <w:rPr>
                <w:rFonts w:ascii="Times New Roman"/>
                <w:sz w:val="18"/>
              </w:rPr>
              <w:t>56</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--2023</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宋体" w:hAnsi="宋体" w:cs="宋体" w:eastAsia="宋体" w:hint="default"/>
                <w:sz w:val="18"/>
                <w:szCs w:val="18"/>
              </w:rPr>
            </w:pPr>
            <w:r>
              <w:rPr>
                <w:rFonts w:ascii="宋体"/>
                <w:sz w:val="18"/>
              </w:rPr>
              <w:t>0</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3"/>
              <w:jc w:val="right"/>
              <w:rPr>
                <w:rFonts w:ascii="宋体" w:hAnsi="宋体" w:cs="宋体" w:eastAsia="宋体" w:hint="default"/>
                <w:sz w:val="18"/>
                <w:szCs w:val="18"/>
              </w:rPr>
            </w:pPr>
            <w:r>
              <w:rPr>
                <w:rFonts w:ascii="宋体"/>
                <w:sz w:val="18"/>
              </w:rPr>
              <w:t>0</w:t>
            </w:r>
          </w:p>
        </w:tc>
        <w:tc>
          <w:tcPr>
            <w:tcW w:w="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宋体" w:hAnsi="宋体" w:cs="宋体" w:eastAsia="宋体" w:hint="default"/>
                <w:sz w:val="18"/>
                <w:szCs w:val="18"/>
              </w:rPr>
            </w:pPr>
            <w:r>
              <w:rPr>
                <w:rFonts w:ascii="宋体"/>
                <w:sz w:val="18"/>
              </w:rPr>
              <w:t>0</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宋体" w:hAnsi="宋体" w:cs="宋体" w:eastAsia="宋体" w:hint="default"/>
                <w:sz w:val="18"/>
                <w:szCs w:val="18"/>
              </w:rPr>
            </w:pPr>
            <w:r>
              <w:rPr>
                <w:rFonts w:ascii="宋体"/>
                <w:sz w:val="18"/>
              </w:rPr>
              <w:t>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0"/>
              <w:jc w:val="right"/>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费自力</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 w:right="0"/>
              <w:jc w:val="center"/>
              <w:rPr>
                <w:rFonts w:ascii="Times New Roman" w:hAnsi="Times New Roman" w:cs="Times New Roman" w:eastAsia="Times New Roman" w:hint="default"/>
                <w:sz w:val="18"/>
                <w:szCs w:val="18"/>
              </w:rPr>
            </w:pPr>
            <w:r>
              <w:rPr>
                <w:rFonts w:ascii="Times New Roman"/>
                <w:sz w:val="18"/>
              </w:rPr>
              <w:t>51</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2007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--2023</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0</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卢小娟</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6"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 w:right="0"/>
              <w:jc w:val="center"/>
              <w:rPr>
                <w:rFonts w:ascii="Times New Roman" w:hAnsi="Times New Roman" w:cs="Times New Roman" w:eastAsia="Times New Roman" w:hint="default"/>
                <w:sz w:val="18"/>
                <w:szCs w:val="18"/>
              </w:rPr>
            </w:pPr>
            <w:r>
              <w:rPr>
                <w:rFonts w:ascii="Times New Roman"/>
                <w:sz w:val="18"/>
              </w:rPr>
              <w:t>46</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--2023</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宋体" w:hAnsi="宋体" w:cs="宋体" w:eastAsia="宋体" w:hint="default"/>
                <w:sz w:val="18"/>
                <w:szCs w:val="18"/>
              </w:rPr>
            </w:pPr>
            <w:r>
              <w:rPr>
                <w:rFonts w:ascii="宋体"/>
                <w:sz w:val="18"/>
              </w:rPr>
              <w:t>0</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3"/>
              <w:jc w:val="right"/>
              <w:rPr>
                <w:rFonts w:ascii="宋体" w:hAnsi="宋体" w:cs="宋体" w:eastAsia="宋体" w:hint="default"/>
                <w:sz w:val="18"/>
                <w:szCs w:val="18"/>
              </w:rPr>
            </w:pPr>
            <w:r>
              <w:rPr>
                <w:rFonts w:ascii="宋体"/>
                <w:sz w:val="18"/>
              </w:rPr>
              <w:t>0</w:t>
            </w:r>
          </w:p>
        </w:tc>
        <w:tc>
          <w:tcPr>
            <w:tcW w:w="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宋体" w:hAnsi="宋体" w:cs="宋体" w:eastAsia="宋体" w:hint="default"/>
                <w:sz w:val="18"/>
                <w:szCs w:val="18"/>
              </w:rPr>
            </w:pPr>
            <w:r>
              <w:rPr>
                <w:rFonts w:ascii="宋体"/>
                <w:sz w:val="18"/>
              </w:rPr>
              <w:t>0</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宋体" w:hAnsi="宋体" w:cs="宋体" w:eastAsia="宋体" w:hint="default"/>
                <w:sz w:val="18"/>
                <w:szCs w:val="18"/>
              </w:rPr>
            </w:pPr>
            <w:r>
              <w:rPr>
                <w:rFonts w:ascii="宋体"/>
                <w:sz w:val="18"/>
              </w:rPr>
              <w:t>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0"/>
              <w:jc w:val="right"/>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柳攀</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 w:right="0"/>
              <w:jc w:val="center"/>
              <w:rPr>
                <w:rFonts w:ascii="Times New Roman" w:hAnsi="Times New Roman" w:cs="Times New Roman" w:eastAsia="Times New Roman" w:hint="default"/>
                <w:sz w:val="18"/>
                <w:szCs w:val="18"/>
              </w:rPr>
            </w:pPr>
            <w:r>
              <w:rPr>
                <w:rFonts w:ascii="Times New Roman"/>
                <w:sz w:val="18"/>
              </w:rPr>
              <w:t>41</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--2023</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0</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郭瀚</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6"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 w:right="0"/>
              <w:jc w:val="center"/>
              <w:rPr>
                <w:rFonts w:ascii="Times New Roman" w:hAnsi="Times New Roman" w:cs="Times New Roman" w:eastAsia="Times New Roman" w:hint="default"/>
                <w:sz w:val="18"/>
                <w:szCs w:val="18"/>
              </w:rPr>
            </w:pPr>
            <w:r>
              <w:rPr>
                <w:rFonts w:ascii="Times New Roman"/>
                <w:sz w:val="18"/>
              </w:rPr>
              <w:t>48</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--2023</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宋体" w:hAnsi="宋体" w:cs="宋体" w:eastAsia="宋体" w:hint="default"/>
                <w:sz w:val="18"/>
                <w:szCs w:val="18"/>
              </w:rPr>
            </w:pPr>
            <w:r>
              <w:rPr>
                <w:rFonts w:ascii="宋体"/>
                <w:sz w:val="18"/>
              </w:rPr>
              <w:t>0</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3"/>
              <w:jc w:val="right"/>
              <w:rPr>
                <w:rFonts w:ascii="宋体" w:hAnsi="宋体" w:cs="宋体" w:eastAsia="宋体" w:hint="default"/>
                <w:sz w:val="18"/>
                <w:szCs w:val="18"/>
              </w:rPr>
            </w:pPr>
            <w:r>
              <w:rPr>
                <w:rFonts w:ascii="宋体"/>
                <w:sz w:val="18"/>
              </w:rPr>
              <w:t>0</w:t>
            </w:r>
          </w:p>
        </w:tc>
        <w:tc>
          <w:tcPr>
            <w:tcW w:w="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宋体" w:hAnsi="宋体" w:cs="宋体" w:eastAsia="宋体" w:hint="default"/>
                <w:sz w:val="18"/>
                <w:szCs w:val="18"/>
              </w:rPr>
            </w:pPr>
            <w:r>
              <w:rPr>
                <w:rFonts w:ascii="宋体"/>
                <w:sz w:val="18"/>
              </w:rPr>
              <w:t>0</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宋体" w:hAnsi="宋体" w:cs="宋体" w:eastAsia="宋体" w:hint="default"/>
                <w:sz w:val="18"/>
                <w:szCs w:val="18"/>
              </w:rPr>
            </w:pPr>
            <w:r>
              <w:rPr>
                <w:rFonts w:ascii="宋体"/>
                <w:sz w:val="18"/>
              </w:rPr>
              <w:t>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0"/>
              <w:jc w:val="right"/>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朱文平</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 w:right="0"/>
              <w:jc w:val="center"/>
              <w:rPr>
                <w:rFonts w:ascii="Times New Roman" w:hAnsi="Times New Roman" w:cs="Times New Roman" w:eastAsia="Times New Roman" w:hint="default"/>
                <w:sz w:val="18"/>
                <w:szCs w:val="18"/>
              </w:rPr>
            </w:pPr>
            <w:r>
              <w:rPr>
                <w:rFonts w:ascii="Times New Roman"/>
                <w:sz w:val="18"/>
              </w:rPr>
              <w:t>52</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0</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徐小伍</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6"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 w:right="0"/>
              <w:jc w:val="center"/>
              <w:rPr>
                <w:rFonts w:ascii="Times New Roman" w:hAnsi="Times New Roman" w:cs="Times New Roman" w:eastAsia="Times New Roman" w:hint="default"/>
                <w:sz w:val="18"/>
                <w:szCs w:val="18"/>
              </w:rPr>
            </w:pPr>
            <w:r>
              <w:rPr>
                <w:rFonts w:ascii="Times New Roman"/>
                <w:sz w:val="18"/>
              </w:rPr>
              <w:t>46</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宋体" w:hAnsi="宋体" w:cs="宋体" w:eastAsia="宋体" w:hint="default"/>
                <w:sz w:val="18"/>
                <w:szCs w:val="18"/>
              </w:rPr>
            </w:pPr>
            <w:r>
              <w:rPr>
                <w:rFonts w:ascii="宋体"/>
                <w:sz w:val="18"/>
              </w:rPr>
              <w:t>0</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3"/>
              <w:jc w:val="right"/>
              <w:rPr>
                <w:rFonts w:ascii="宋体" w:hAnsi="宋体" w:cs="宋体" w:eastAsia="宋体" w:hint="default"/>
                <w:sz w:val="18"/>
                <w:szCs w:val="18"/>
              </w:rPr>
            </w:pPr>
            <w:r>
              <w:rPr>
                <w:rFonts w:ascii="宋体"/>
                <w:sz w:val="18"/>
              </w:rPr>
              <w:t>0</w:t>
            </w:r>
          </w:p>
        </w:tc>
        <w:tc>
          <w:tcPr>
            <w:tcW w:w="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宋体" w:hAnsi="宋体" w:cs="宋体" w:eastAsia="宋体" w:hint="default"/>
                <w:sz w:val="18"/>
                <w:szCs w:val="18"/>
              </w:rPr>
            </w:pPr>
            <w:r>
              <w:rPr>
                <w:rFonts w:ascii="宋体"/>
                <w:sz w:val="18"/>
              </w:rPr>
              <w:t>0</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宋体" w:hAnsi="宋体" w:cs="宋体" w:eastAsia="宋体" w:hint="default"/>
                <w:sz w:val="18"/>
                <w:szCs w:val="18"/>
              </w:rPr>
            </w:pPr>
            <w:r>
              <w:rPr>
                <w:rFonts w:ascii="宋体"/>
                <w:sz w:val="18"/>
              </w:rPr>
              <w:t>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0"/>
              <w:jc w:val="right"/>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刘宏</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监事会主席</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 w:right="0"/>
              <w:jc w:val="center"/>
              <w:rPr>
                <w:rFonts w:ascii="Times New Roman" w:hAnsi="Times New Roman" w:cs="Times New Roman" w:eastAsia="Times New Roman" w:hint="default"/>
                <w:sz w:val="18"/>
                <w:szCs w:val="18"/>
              </w:rPr>
            </w:pPr>
            <w:r>
              <w:rPr>
                <w:rFonts w:ascii="Times New Roman"/>
                <w:sz w:val="18"/>
              </w:rPr>
              <w:t>57</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--2023</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0</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r>
      <w:tr>
        <w:trPr>
          <w:trHeight w:val="404"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18"/>
                <w:szCs w:val="18"/>
              </w:rPr>
            </w:pPr>
            <w:r>
              <w:rPr>
                <w:rFonts w:ascii="宋体" w:hAnsi="宋体" w:cs="宋体" w:eastAsia="宋体" w:hint="default"/>
                <w:sz w:val="18"/>
                <w:szCs w:val="18"/>
              </w:rPr>
              <w:t>谢海燕</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6"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 w:right="0"/>
              <w:jc w:val="center"/>
              <w:rPr>
                <w:rFonts w:ascii="Times New Roman" w:hAnsi="Times New Roman" w:cs="Times New Roman" w:eastAsia="Times New Roman" w:hint="default"/>
                <w:sz w:val="18"/>
                <w:szCs w:val="18"/>
              </w:rPr>
            </w:pPr>
            <w:r>
              <w:rPr>
                <w:rFonts w:ascii="Times New Roman"/>
                <w:sz w:val="18"/>
              </w:rPr>
              <w:t>48</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--2023</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0"/>
              <w:jc w:val="right"/>
              <w:rPr>
                <w:rFonts w:ascii="宋体" w:hAnsi="宋体" w:cs="宋体" w:eastAsia="宋体" w:hint="default"/>
                <w:sz w:val="18"/>
                <w:szCs w:val="18"/>
              </w:rPr>
            </w:pPr>
            <w:r>
              <w:rPr>
                <w:rFonts w:ascii="宋体"/>
                <w:sz w:val="18"/>
              </w:rPr>
              <w:t>0</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3"/>
              <w:jc w:val="right"/>
              <w:rPr>
                <w:rFonts w:ascii="宋体" w:hAnsi="宋体" w:cs="宋体" w:eastAsia="宋体" w:hint="default"/>
                <w:sz w:val="18"/>
                <w:szCs w:val="18"/>
              </w:rPr>
            </w:pPr>
            <w:r>
              <w:rPr>
                <w:rFonts w:ascii="宋体"/>
                <w:sz w:val="18"/>
              </w:rPr>
              <w:t>0</w:t>
            </w:r>
          </w:p>
        </w:tc>
        <w:tc>
          <w:tcPr>
            <w:tcW w:w="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1"/>
              <w:jc w:val="right"/>
              <w:rPr>
                <w:rFonts w:ascii="宋体" w:hAnsi="宋体" w:cs="宋体" w:eastAsia="宋体" w:hint="default"/>
                <w:sz w:val="18"/>
                <w:szCs w:val="18"/>
              </w:rPr>
            </w:pPr>
            <w:r>
              <w:rPr>
                <w:rFonts w:ascii="宋体"/>
                <w:sz w:val="18"/>
              </w:rPr>
              <w:t>0</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20"/>
              <w:jc w:val="right"/>
              <w:rPr>
                <w:rFonts w:ascii="宋体" w:hAnsi="宋体" w:cs="宋体" w:eastAsia="宋体" w:hint="default"/>
                <w:sz w:val="18"/>
                <w:szCs w:val="18"/>
              </w:rPr>
            </w:pPr>
            <w:r>
              <w:rPr>
                <w:rFonts w:ascii="宋体"/>
                <w:sz w:val="18"/>
              </w:rPr>
              <w:t>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0"/>
              <w:jc w:val="right"/>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吕晓清</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 w:right="0"/>
              <w:jc w:val="center"/>
              <w:rPr>
                <w:rFonts w:ascii="Times New Roman" w:hAnsi="Times New Roman" w:cs="Times New Roman" w:eastAsia="Times New Roman" w:hint="default"/>
                <w:sz w:val="18"/>
                <w:szCs w:val="18"/>
              </w:rPr>
            </w:pPr>
            <w:r>
              <w:rPr>
                <w:rFonts w:ascii="Times New Roman"/>
                <w:sz w:val="18"/>
              </w:rPr>
              <w:t>38</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0</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张海英</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6"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 w:right="0"/>
              <w:jc w:val="center"/>
              <w:rPr>
                <w:rFonts w:ascii="Times New Roman" w:hAnsi="Times New Roman" w:cs="Times New Roman" w:eastAsia="Times New Roman" w:hint="default"/>
                <w:sz w:val="18"/>
                <w:szCs w:val="18"/>
              </w:rPr>
            </w:pPr>
            <w:r>
              <w:rPr>
                <w:rFonts w:ascii="Times New Roman"/>
                <w:sz w:val="18"/>
              </w:rPr>
              <w:t>47</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--2023</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8"/>
              <w:jc w:val="right"/>
              <w:rPr>
                <w:rFonts w:ascii="宋体" w:hAnsi="宋体" w:cs="宋体" w:eastAsia="宋体" w:hint="default"/>
                <w:sz w:val="18"/>
                <w:szCs w:val="18"/>
              </w:rPr>
            </w:pPr>
            <w:r>
              <w:rPr>
                <w:rFonts w:ascii="宋体"/>
                <w:spacing w:val="-1"/>
                <w:sz w:val="18"/>
              </w:rPr>
              <w:t>12,942</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3"/>
              <w:jc w:val="right"/>
              <w:rPr>
                <w:rFonts w:ascii="宋体" w:hAnsi="宋体" w:cs="宋体" w:eastAsia="宋体" w:hint="default"/>
                <w:sz w:val="18"/>
                <w:szCs w:val="18"/>
              </w:rPr>
            </w:pPr>
            <w:r>
              <w:rPr>
                <w:rFonts w:ascii="宋体"/>
                <w:sz w:val="18"/>
              </w:rPr>
              <w:t>0</w:t>
            </w:r>
          </w:p>
        </w:tc>
        <w:tc>
          <w:tcPr>
            <w:tcW w:w="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宋体" w:hAnsi="宋体" w:cs="宋体" w:eastAsia="宋体" w:hint="default"/>
                <w:sz w:val="18"/>
                <w:szCs w:val="18"/>
              </w:rPr>
            </w:pPr>
            <w:r>
              <w:rPr>
                <w:rFonts w:ascii="宋体"/>
                <w:sz w:val="18"/>
              </w:rPr>
              <w:t>0</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宋体" w:hAnsi="宋体" w:cs="宋体" w:eastAsia="宋体" w:hint="default"/>
                <w:sz w:val="18"/>
                <w:szCs w:val="18"/>
              </w:rPr>
            </w:pPr>
            <w:r>
              <w:rPr>
                <w:rFonts w:ascii="宋体"/>
                <w:sz w:val="18"/>
              </w:rPr>
              <w:t>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8"/>
              <w:jc w:val="right"/>
              <w:rPr>
                <w:rFonts w:ascii="宋体" w:hAnsi="宋体" w:cs="宋体" w:eastAsia="宋体" w:hint="default"/>
                <w:sz w:val="18"/>
                <w:szCs w:val="18"/>
              </w:rPr>
            </w:pPr>
            <w:r>
              <w:rPr>
                <w:rFonts w:ascii="宋体"/>
                <w:spacing w:val="-1"/>
                <w:sz w:val="18"/>
              </w:rPr>
              <w:t>12,942</w:t>
            </w:r>
          </w:p>
        </w:tc>
      </w:tr>
      <w:tr>
        <w:trPr>
          <w:trHeight w:val="401"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毛琳娜</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女</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 w:right="0"/>
              <w:jc w:val="center"/>
              <w:rPr>
                <w:rFonts w:ascii="Times New Roman" w:hAnsi="Times New Roman" w:cs="Times New Roman" w:eastAsia="Times New Roman" w:hint="default"/>
                <w:sz w:val="18"/>
                <w:szCs w:val="18"/>
              </w:rPr>
            </w:pPr>
            <w:r>
              <w:rPr>
                <w:rFonts w:ascii="Times New Roman"/>
                <w:sz w:val="18"/>
              </w:rPr>
              <w:t>55</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3"/>
              <w:jc w:val="right"/>
              <w:rPr>
                <w:rFonts w:ascii="宋体" w:hAnsi="宋体" w:cs="宋体" w:eastAsia="宋体" w:hint="default"/>
                <w:sz w:val="18"/>
                <w:szCs w:val="18"/>
              </w:rPr>
            </w:pPr>
            <w:r>
              <w:rPr>
                <w:rFonts w:ascii="宋体"/>
                <w:sz w:val="18"/>
              </w:rPr>
              <w:t>0</w:t>
            </w:r>
          </w:p>
        </w:tc>
        <w:tc>
          <w:tcPr>
            <w:tcW w:w="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1"/>
              <w:jc w:val="right"/>
              <w:rPr>
                <w:rFonts w:ascii="宋体" w:hAnsi="宋体" w:cs="宋体" w:eastAsia="宋体" w:hint="default"/>
                <w:sz w:val="18"/>
                <w:szCs w:val="18"/>
              </w:rPr>
            </w:pPr>
            <w:r>
              <w:rPr>
                <w:rFonts w:ascii="宋体"/>
                <w:sz w:val="18"/>
              </w:rPr>
              <w:t>0</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20"/>
              <w:jc w:val="right"/>
              <w:rPr>
                <w:rFonts w:ascii="宋体" w:hAnsi="宋体" w:cs="宋体" w:eastAsia="宋体" w:hint="default"/>
                <w:sz w:val="18"/>
                <w:szCs w:val="18"/>
              </w:rPr>
            </w:pPr>
            <w:r>
              <w:rPr>
                <w:rFonts w:ascii="宋体"/>
                <w:sz w:val="18"/>
              </w:rPr>
              <w:t>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林明</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6" w:right="0"/>
              <w:jc w:val="left"/>
              <w:rPr>
                <w:rFonts w:ascii="宋体" w:hAnsi="宋体" w:cs="宋体" w:eastAsia="宋体" w:hint="default"/>
                <w:sz w:val="18"/>
                <w:szCs w:val="18"/>
              </w:rPr>
            </w:pPr>
            <w:r>
              <w:rPr>
                <w:rFonts w:ascii="宋体" w:hAnsi="宋体" w:cs="宋体" w:eastAsia="宋体" w:hint="default"/>
                <w:sz w:val="18"/>
                <w:szCs w:val="18"/>
              </w:rPr>
              <w:t>总裁</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 w:right="0"/>
              <w:jc w:val="center"/>
              <w:rPr>
                <w:rFonts w:ascii="Times New Roman" w:hAnsi="Times New Roman" w:cs="Times New Roman" w:eastAsia="Times New Roman" w:hint="default"/>
                <w:sz w:val="18"/>
                <w:szCs w:val="18"/>
              </w:rPr>
            </w:pPr>
            <w:r>
              <w:rPr>
                <w:rFonts w:ascii="Times New Roman"/>
                <w:sz w:val="18"/>
              </w:rPr>
              <w:t>48</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宋体" w:hAnsi="宋体" w:cs="宋体" w:eastAsia="宋体" w:hint="default"/>
                <w:sz w:val="18"/>
                <w:szCs w:val="18"/>
              </w:rPr>
            </w:pPr>
            <w:r>
              <w:rPr>
                <w:rFonts w:ascii="宋体"/>
                <w:sz w:val="18"/>
              </w:rPr>
              <w:t>0</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3"/>
              <w:jc w:val="right"/>
              <w:rPr>
                <w:rFonts w:ascii="宋体" w:hAnsi="宋体" w:cs="宋体" w:eastAsia="宋体" w:hint="default"/>
                <w:sz w:val="18"/>
                <w:szCs w:val="18"/>
              </w:rPr>
            </w:pPr>
            <w:r>
              <w:rPr>
                <w:rFonts w:ascii="宋体"/>
                <w:sz w:val="18"/>
              </w:rPr>
              <w:t>0</w:t>
            </w:r>
          </w:p>
        </w:tc>
        <w:tc>
          <w:tcPr>
            <w:tcW w:w="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1"/>
              <w:jc w:val="right"/>
              <w:rPr>
                <w:rFonts w:ascii="宋体" w:hAnsi="宋体" w:cs="宋体" w:eastAsia="宋体" w:hint="default"/>
                <w:sz w:val="18"/>
                <w:szCs w:val="18"/>
              </w:rPr>
            </w:pPr>
            <w:r>
              <w:rPr>
                <w:rFonts w:ascii="宋体"/>
                <w:sz w:val="18"/>
              </w:rPr>
              <w:t>0</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20"/>
              <w:jc w:val="right"/>
              <w:rPr>
                <w:rFonts w:ascii="宋体" w:hAnsi="宋体" w:cs="宋体" w:eastAsia="宋体" w:hint="default"/>
                <w:sz w:val="18"/>
                <w:szCs w:val="18"/>
              </w:rPr>
            </w:pPr>
            <w:r>
              <w:rPr>
                <w:rFonts w:ascii="宋体"/>
                <w:sz w:val="18"/>
              </w:rPr>
              <w:t>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0"/>
              <w:jc w:val="right"/>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束海峰</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董事会秘书</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 w:right="0"/>
              <w:jc w:val="center"/>
              <w:rPr>
                <w:rFonts w:ascii="Times New Roman" w:hAnsi="Times New Roman" w:cs="Times New Roman" w:eastAsia="Times New Roman" w:hint="default"/>
                <w:sz w:val="18"/>
                <w:szCs w:val="18"/>
              </w:rPr>
            </w:pPr>
            <w:r>
              <w:rPr>
                <w:rFonts w:ascii="Times New Roman"/>
                <w:sz w:val="18"/>
              </w:rPr>
              <w:t>32</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--2023</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z w:val="18"/>
              </w:rPr>
              <w:t>0</w:t>
            </w:r>
          </w:p>
        </w:tc>
        <w:tc>
          <w:tcPr>
            <w:tcW w:w="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0</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李鹏宇</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6" w:right="0"/>
              <w:jc w:val="left"/>
              <w:rPr>
                <w:rFonts w:ascii="宋体" w:hAnsi="宋体" w:cs="宋体" w:eastAsia="宋体" w:hint="default"/>
                <w:sz w:val="18"/>
                <w:szCs w:val="18"/>
              </w:rPr>
            </w:pPr>
            <w:r>
              <w:rPr>
                <w:rFonts w:ascii="宋体" w:hAnsi="宋体" w:cs="宋体" w:eastAsia="宋体" w:hint="default"/>
                <w:sz w:val="18"/>
                <w:szCs w:val="18"/>
              </w:rPr>
              <w:t>财务总监</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 w:right="0"/>
              <w:jc w:val="center"/>
              <w:rPr>
                <w:rFonts w:ascii="Times New Roman" w:hAnsi="Times New Roman" w:cs="Times New Roman" w:eastAsia="Times New Roman" w:hint="default"/>
                <w:sz w:val="18"/>
                <w:szCs w:val="18"/>
              </w:rPr>
            </w:pPr>
            <w:r>
              <w:rPr>
                <w:rFonts w:ascii="Times New Roman"/>
                <w:sz w:val="18"/>
              </w:rPr>
              <w:t>40</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03</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--2023</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0"/>
              <w:jc w:val="right"/>
              <w:rPr>
                <w:rFonts w:ascii="Times New Roman" w:hAnsi="Times New Roman" w:cs="Times New Roman" w:eastAsia="Times New Roman" w:hint="default"/>
                <w:sz w:val="18"/>
                <w:szCs w:val="18"/>
              </w:rPr>
            </w:pPr>
            <w:r>
              <w:rPr>
                <w:rFonts w:ascii="Times New Roman"/>
                <w:sz w:val="18"/>
              </w:rPr>
              <w:t>0</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z w:val="18"/>
              </w:rPr>
              <w:t>0</w:t>
            </w:r>
          </w:p>
        </w:tc>
        <w:tc>
          <w:tcPr>
            <w:tcW w:w="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1"/>
              <w:jc w:val="right"/>
              <w:rPr>
                <w:rFonts w:ascii="Times New Roman" w:hAnsi="Times New Roman" w:cs="Times New Roman" w:eastAsia="Times New Roman" w:hint="default"/>
                <w:sz w:val="18"/>
                <w:szCs w:val="18"/>
              </w:rPr>
            </w:pPr>
            <w:r>
              <w:rPr>
                <w:rFonts w:ascii="Times New Roman"/>
                <w:sz w:val="18"/>
              </w:rPr>
              <w:t>0</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0"/>
              <w:jc w:val="right"/>
              <w:rPr>
                <w:rFonts w:ascii="Times New Roman" w:hAnsi="Times New Roman" w:cs="Times New Roman" w:eastAsia="Times New Roman" w:hint="default"/>
                <w:sz w:val="18"/>
                <w:szCs w:val="18"/>
              </w:rPr>
            </w:pPr>
            <w:r>
              <w:rPr>
                <w:rFonts w:ascii="Times New Roman"/>
                <w:sz w:val="18"/>
              </w:rPr>
              <w:t>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0"/>
              <w:jc w:val="right"/>
              <w:rPr>
                <w:rFonts w:ascii="Times New Roman" w:hAnsi="Times New Roman" w:cs="Times New Roman" w:eastAsia="Times New Roman" w:hint="default"/>
                <w:sz w:val="18"/>
                <w:szCs w:val="18"/>
              </w:rPr>
            </w:pPr>
            <w:r>
              <w:rPr>
                <w:rFonts w:ascii="Times New Roman"/>
                <w:sz w:val="18"/>
              </w:rPr>
              <w:t>0</w:t>
            </w:r>
          </w:p>
        </w:tc>
      </w:tr>
      <w:tr>
        <w:trPr>
          <w:trHeight w:val="401"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陈枫</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6"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left="1" w:right="0"/>
              <w:jc w:val="center"/>
              <w:rPr>
                <w:rFonts w:ascii="Times New Roman" w:hAnsi="Times New Roman" w:cs="Times New Roman" w:eastAsia="Times New Roman" w:hint="default"/>
                <w:sz w:val="18"/>
                <w:szCs w:val="18"/>
              </w:rPr>
            </w:pPr>
            <w:r>
              <w:rPr>
                <w:rFonts w:ascii="Times New Roman"/>
                <w:sz w:val="18"/>
              </w:rPr>
              <w:t>45</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--2023</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z w:val="18"/>
              </w:rPr>
              <w:t>0</w:t>
            </w:r>
          </w:p>
        </w:tc>
        <w:tc>
          <w:tcPr>
            <w:tcW w:w="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z w:val="18"/>
              </w:rPr>
              <w:t>0</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3"/>
              <w:ind w:right="20"/>
              <w:jc w:val="righ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袁奕</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6"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现任</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1" w:right="0"/>
              <w:jc w:val="center"/>
              <w:rPr>
                <w:rFonts w:ascii="Times New Roman" w:hAnsi="Times New Roman" w:cs="Times New Roman" w:eastAsia="Times New Roman" w:hint="default"/>
                <w:sz w:val="18"/>
                <w:szCs w:val="18"/>
              </w:rPr>
            </w:pPr>
            <w:r>
              <w:rPr>
                <w:rFonts w:ascii="Times New Roman"/>
                <w:sz w:val="18"/>
              </w:rPr>
              <w:t>50</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25</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--2023</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17</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0"/>
              <w:jc w:val="right"/>
              <w:rPr>
                <w:rFonts w:ascii="Times New Roman" w:hAnsi="Times New Roman" w:cs="Times New Roman" w:eastAsia="Times New Roman" w:hint="default"/>
                <w:sz w:val="18"/>
                <w:szCs w:val="18"/>
              </w:rPr>
            </w:pPr>
            <w:r>
              <w:rPr>
                <w:rFonts w:ascii="Times New Roman"/>
                <w:sz w:val="18"/>
              </w:rPr>
              <w:t>0</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3"/>
              <w:jc w:val="right"/>
              <w:rPr>
                <w:rFonts w:ascii="Times New Roman" w:hAnsi="Times New Roman" w:cs="Times New Roman" w:eastAsia="Times New Roman" w:hint="default"/>
                <w:sz w:val="18"/>
                <w:szCs w:val="18"/>
              </w:rPr>
            </w:pPr>
            <w:r>
              <w:rPr>
                <w:rFonts w:ascii="Times New Roman"/>
                <w:sz w:val="18"/>
              </w:rPr>
              <w:t>0</w:t>
            </w:r>
          </w:p>
        </w:tc>
        <w:tc>
          <w:tcPr>
            <w:tcW w:w="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1"/>
              <w:jc w:val="right"/>
              <w:rPr>
                <w:rFonts w:ascii="Times New Roman" w:hAnsi="Times New Roman" w:cs="Times New Roman" w:eastAsia="Times New Roman" w:hint="default"/>
                <w:sz w:val="18"/>
                <w:szCs w:val="18"/>
              </w:rPr>
            </w:pPr>
            <w:r>
              <w:rPr>
                <w:rFonts w:ascii="Times New Roman"/>
                <w:sz w:val="18"/>
              </w:rPr>
              <w:t>0</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0"/>
              <w:jc w:val="right"/>
              <w:rPr>
                <w:rFonts w:ascii="Times New Roman" w:hAnsi="Times New Roman" w:cs="Times New Roman" w:eastAsia="Times New Roman" w:hint="default"/>
                <w:sz w:val="18"/>
                <w:szCs w:val="18"/>
              </w:rPr>
            </w:pPr>
            <w:r>
              <w:rPr>
                <w:rFonts w:ascii="Times New Roman"/>
                <w:sz w:val="18"/>
              </w:rPr>
              <w:t>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20"/>
              <w:jc w:val="right"/>
              <w:rPr>
                <w:rFonts w:ascii="Times New Roman" w:hAnsi="Times New Roman" w:cs="Times New Roman" w:eastAsia="Times New Roman" w:hint="default"/>
                <w:sz w:val="18"/>
                <w:szCs w:val="18"/>
              </w:rPr>
            </w:pPr>
            <w:r>
              <w:rPr>
                <w:rFonts w:ascii="Times New Roman"/>
                <w:sz w:val="18"/>
              </w:rPr>
              <w:t>0</w:t>
            </w:r>
          </w:p>
        </w:tc>
      </w:tr>
      <w:tr>
        <w:trPr>
          <w:trHeight w:val="403"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z w:val="18"/>
                <w:szCs w:val="18"/>
              </w:rPr>
              <w:t>孙达</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6"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离任</w:t>
            </w:r>
          </w:p>
        </w:tc>
        <w:tc>
          <w:tcPr>
            <w:tcW w:w="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男</w:t>
            </w:r>
          </w:p>
        </w:tc>
        <w:tc>
          <w:tcPr>
            <w:tcW w:w="4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1" w:right="0"/>
              <w:jc w:val="center"/>
              <w:rPr>
                <w:rFonts w:ascii="Times New Roman" w:hAnsi="Times New Roman" w:cs="Times New Roman" w:eastAsia="Times New Roman" w:hint="default"/>
                <w:sz w:val="18"/>
                <w:szCs w:val="18"/>
              </w:rPr>
            </w:pPr>
            <w:r>
              <w:rPr>
                <w:rFonts w:ascii="Times New Roman"/>
                <w:sz w:val="18"/>
              </w:rPr>
              <w:t>51</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4"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0"/>
              <w:jc w:val="right"/>
              <w:rPr>
                <w:rFonts w:ascii="Times New Roman" w:hAnsi="Times New Roman" w:cs="Times New Roman" w:eastAsia="Times New Roman" w:hint="default"/>
                <w:sz w:val="18"/>
                <w:szCs w:val="18"/>
              </w:rPr>
            </w:pPr>
            <w:r>
              <w:rPr>
                <w:rFonts w:ascii="Times New Roman"/>
                <w:sz w:val="18"/>
              </w:rPr>
              <w:t>0</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3"/>
              <w:jc w:val="right"/>
              <w:rPr>
                <w:rFonts w:ascii="Times New Roman" w:hAnsi="Times New Roman" w:cs="Times New Roman" w:eastAsia="Times New Roman" w:hint="default"/>
                <w:sz w:val="18"/>
                <w:szCs w:val="18"/>
              </w:rPr>
            </w:pPr>
            <w:r>
              <w:rPr>
                <w:rFonts w:ascii="Times New Roman"/>
                <w:sz w:val="18"/>
              </w:rPr>
              <w:t>0</w:t>
            </w:r>
          </w:p>
        </w:tc>
        <w:tc>
          <w:tcPr>
            <w:tcW w:w="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1"/>
              <w:jc w:val="right"/>
              <w:rPr>
                <w:rFonts w:ascii="Times New Roman" w:hAnsi="Times New Roman" w:cs="Times New Roman" w:eastAsia="Times New Roman" w:hint="default"/>
                <w:sz w:val="18"/>
                <w:szCs w:val="18"/>
              </w:rPr>
            </w:pPr>
            <w:r>
              <w:rPr>
                <w:rFonts w:ascii="Times New Roman"/>
                <w:sz w:val="18"/>
              </w:rPr>
              <w:t>0</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0"/>
              <w:jc w:val="right"/>
              <w:rPr>
                <w:rFonts w:ascii="Times New Roman" w:hAnsi="Times New Roman" w:cs="Times New Roman" w:eastAsia="Times New Roman" w:hint="default"/>
                <w:sz w:val="18"/>
                <w:szCs w:val="18"/>
              </w:rPr>
            </w:pPr>
            <w:r>
              <w:rPr>
                <w:rFonts w:ascii="Times New Roman"/>
                <w:sz w:val="18"/>
              </w:rPr>
              <w:t>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20"/>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4"/>
              <w:ind w:left="4" w:right="0"/>
              <w:jc w:val="center"/>
              <w:rPr>
                <w:rFonts w:ascii="Times New Roman" w:hAnsi="Times New Roman" w:cs="Times New Roman" w:eastAsia="Times New Roman" w:hint="default"/>
                <w:sz w:val="18"/>
                <w:szCs w:val="18"/>
              </w:rPr>
            </w:pPr>
            <w:r>
              <w:rPr>
                <w:rFonts w:ascii="Times New Roman"/>
                <w:sz w:val="18"/>
              </w:rPr>
              <w:t>--</w:t>
            </w:r>
          </w:p>
        </w:tc>
        <w:tc>
          <w:tcPr>
            <w:tcW w:w="5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4"/>
              <w:ind w:right="0"/>
              <w:jc w:val="center"/>
              <w:rPr>
                <w:rFonts w:ascii="Times New Roman" w:hAnsi="Times New Roman" w:cs="Times New Roman" w:eastAsia="Times New Roman" w:hint="default"/>
                <w:sz w:val="18"/>
                <w:szCs w:val="18"/>
              </w:rPr>
            </w:pPr>
            <w:r>
              <w:rPr>
                <w:rFonts w:ascii="Times New Roman"/>
                <w:sz w:val="18"/>
              </w:rPr>
              <w:t>--</w:t>
            </w:r>
          </w:p>
        </w:tc>
        <w:tc>
          <w:tcPr>
            <w:tcW w:w="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4"/>
              <w:ind w:right="0"/>
              <w:jc w:val="center"/>
              <w:rPr>
                <w:rFonts w:ascii="Times New Roman" w:hAnsi="Times New Roman" w:cs="Times New Roman" w:eastAsia="Times New Roman" w:hint="default"/>
                <w:sz w:val="18"/>
                <w:szCs w:val="18"/>
              </w:rPr>
            </w:pPr>
            <w:r>
              <w:rPr>
                <w:rFonts w:ascii="Times New Roman"/>
                <w:sz w:val="18"/>
              </w:rPr>
              <w:t>--</w:t>
            </w:r>
          </w:p>
        </w:tc>
        <w:tc>
          <w:tcPr>
            <w:tcW w:w="4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4"/>
              <w:ind w:left="1" w:right="0"/>
              <w:jc w:val="center"/>
              <w:rPr>
                <w:rFonts w:ascii="Times New Roman" w:hAnsi="Times New Roman" w:cs="Times New Roman" w:eastAsia="Times New Roman" w:hint="default"/>
                <w:sz w:val="18"/>
                <w:szCs w:val="18"/>
              </w:rPr>
            </w:pPr>
            <w:r>
              <w:rPr>
                <w:rFonts w:ascii="Times New Roman"/>
                <w:sz w:val="18"/>
              </w:rPr>
              <w:t>--</w:t>
            </w:r>
          </w:p>
        </w:tc>
        <w:tc>
          <w:tcPr>
            <w:tcW w:w="31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4"/>
              <w:ind w:left="1" w:right="0"/>
              <w:jc w:val="center"/>
              <w:rPr>
                <w:rFonts w:ascii="Times New Roman" w:hAnsi="Times New Roman" w:cs="Times New Roman" w:eastAsia="Times New Roman" w:hint="default"/>
                <w:sz w:val="18"/>
                <w:szCs w:val="18"/>
              </w:rPr>
            </w:pPr>
            <w:r>
              <w:rPr>
                <w:rFonts w:ascii="Times New Roman"/>
                <w:sz w:val="18"/>
              </w:rPr>
              <w:t>--</w:t>
            </w:r>
          </w:p>
        </w:tc>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8"/>
              <w:jc w:val="right"/>
              <w:rPr>
                <w:rFonts w:ascii="宋体" w:hAnsi="宋体" w:cs="宋体" w:eastAsia="宋体" w:hint="default"/>
                <w:sz w:val="18"/>
                <w:szCs w:val="18"/>
              </w:rPr>
            </w:pPr>
            <w:r>
              <w:rPr>
                <w:rFonts w:ascii="宋体"/>
                <w:spacing w:val="-1"/>
                <w:sz w:val="18"/>
              </w:rPr>
              <w:t>12,942</w:t>
            </w:r>
          </w:p>
        </w:tc>
        <w:tc>
          <w:tcPr>
            <w:tcW w:w="7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3"/>
              <w:jc w:val="right"/>
              <w:rPr>
                <w:rFonts w:ascii="宋体" w:hAnsi="宋体" w:cs="宋体" w:eastAsia="宋体" w:hint="default"/>
                <w:sz w:val="18"/>
                <w:szCs w:val="18"/>
              </w:rPr>
            </w:pPr>
            <w:r>
              <w:rPr>
                <w:rFonts w:ascii="宋体"/>
                <w:sz w:val="18"/>
              </w:rPr>
              <w:t>0</w:t>
            </w:r>
          </w:p>
        </w:tc>
        <w:tc>
          <w:tcPr>
            <w:tcW w:w="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1"/>
              <w:jc w:val="right"/>
              <w:rPr>
                <w:rFonts w:ascii="宋体" w:hAnsi="宋体" w:cs="宋体" w:eastAsia="宋体" w:hint="default"/>
                <w:sz w:val="18"/>
                <w:szCs w:val="18"/>
              </w:rPr>
            </w:pPr>
            <w:r>
              <w:rPr>
                <w:rFonts w:ascii="宋体"/>
                <w:sz w:val="18"/>
              </w:rPr>
              <w:t>0</w:t>
            </w:r>
          </w:p>
        </w:tc>
        <w:tc>
          <w:tcPr>
            <w:tcW w:w="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宋体" w:hAnsi="宋体" w:cs="宋体" w:eastAsia="宋体" w:hint="default"/>
                <w:sz w:val="18"/>
                <w:szCs w:val="18"/>
              </w:rPr>
            </w:pPr>
            <w:r>
              <w:rPr>
                <w:rFonts w:ascii="宋体"/>
                <w:sz w:val="18"/>
              </w:rPr>
              <w:t>0</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8"/>
              <w:jc w:val="right"/>
              <w:rPr>
                <w:rFonts w:ascii="宋体" w:hAnsi="宋体" w:cs="宋体" w:eastAsia="宋体" w:hint="default"/>
                <w:sz w:val="18"/>
                <w:szCs w:val="18"/>
              </w:rPr>
            </w:pPr>
            <w:r>
              <w:rPr>
                <w:rFonts w:ascii="宋体"/>
                <w:spacing w:val="-1"/>
                <w:sz w:val="18"/>
              </w:rPr>
              <w:t>12,942</w:t>
            </w:r>
          </w:p>
        </w:tc>
      </w:tr>
    </w:tbl>
    <w:p>
      <w:pPr>
        <w:spacing w:line="240" w:lineRule="auto" w:before="8"/>
        <w:rPr>
          <w:rFonts w:ascii="宋体" w:hAnsi="宋体" w:cs="宋体" w:eastAsia="宋体" w:hint="default"/>
          <w:b/>
          <w:bCs/>
          <w:sz w:val="14"/>
          <w:szCs w:val="14"/>
        </w:rPr>
      </w:pPr>
    </w:p>
    <w:p>
      <w:pPr>
        <w:spacing w:before="36"/>
        <w:ind w:left="152" w:right="1133" w:firstLine="0"/>
        <w:jc w:val="left"/>
        <w:rPr>
          <w:rFonts w:ascii="宋体" w:hAnsi="宋体" w:cs="宋体" w:eastAsia="宋体" w:hint="default"/>
          <w:sz w:val="21"/>
          <w:szCs w:val="21"/>
        </w:rPr>
      </w:pPr>
      <w:r>
        <w:rPr>
          <w:rFonts w:ascii="宋体" w:hAnsi="宋体" w:cs="宋体" w:eastAsia="宋体" w:hint="default"/>
          <w:b/>
          <w:bCs/>
          <w:sz w:val="21"/>
          <w:szCs w:val="21"/>
        </w:rPr>
        <w:t>二、公司董事、监事、高级管理人员变动情况</w:t>
      </w:r>
      <w:r>
        <w:rPr>
          <w:rFonts w:ascii="宋体" w:hAnsi="宋体" w:cs="宋体" w:eastAsia="宋体" w:hint="default"/>
          <w:sz w:val="21"/>
          <w:szCs w:val="21"/>
        </w:rPr>
      </w:r>
    </w:p>
    <w:p>
      <w:pPr>
        <w:pStyle w:val="BodyText"/>
        <w:spacing w:line="240" w:lineRule="auto" w:before="75"/>
        <w:ind w:right="1133"/>
        <w:jc w:val="left"/>
        <w:rPr>
          <w:rFonts w:ascii="宋体" w:hAnsi="宋体" w:cs="宋体" w:eastAsia="宋体" w:hint="default"/>
        </w:rPr>
      </w:pPr>
      <w:r>
        <w:rPr/>
        <w:t>√ 适用 </w:t>
      </w:r>
      <w:r>
        <w:rPr>
          <w:rFonts w:ascii="宋体" w:hAnsi="宋体" w:cs="宋体" w:eastAsia="宋体" w:hint="default"/>
        </w:rPr>
      </w:r>
      <w:r>
        <w:rPr>
          <w:spacing w:val="-3"/>
        </w:rPr>
        <w:t>□</w:t>
      </w:r>
      <w:r>
        <w:rPr/>
        <w:t> 不适用</w:t>
      </w:r>
      <w:r>
        <w:rPr>
          <w:rFonts w:ascii="宋体" w:hAnsi="宋体" w:cs="宋体" w:eastAsia="宋体" w:hint="default"/>
        </w:rPr>
        <w:t> </w:t>
      </w:r>
    </w:p>
    <w:p>
      <w:pPr>
        <w:pStyle w:val="BodyText"/>
        <w:spacing w:line="240" w:lineRule="auto" w:before="78"/>
        <w:ind w:right="0"/>
        <w:jc w:val="left"/>
        <w:rPr>
          <w:rFonts w:ascii="宋体" w:hAnsi="宋体" w:cs="宋体" w:eastAsia="宋体" w:hint="default"/>
        </w:rPr>
      </w:pPr>
      <w:r>
        <w:rPr>
          <w:rFonts w:ascii="宋体"/>
          <w:w w:val="100"/>
        </w:rPr>
        <w:t> </w:t>
      </w:r>
    </w:p>
    <w:p>
      <w:pPr>
        <w:spacing w:after="0" w:line="240" w:lineRule="auto"/>
        <w:jc w:val="left"/>
        <w:rPr>
          <w:rFonts w:ascii="宋体" w:hAnsi="宋体" w:cs="宋体" w:eastAsia="宋体" w:hint="default"/>
        </w:rPr>
        <w:sectPr>
          <w:pgSz w:w="11910" w:h="16840"/>
          <w:pgMar w:header="880" w:footer="975" w:top="1100" w:bottom="1160" w:left="980" w:right="0"/>
        </w:sectPr>
      </w:pPr>
    </w:p>
    <w:p>
      <w:pPr>
        <w:spacing w:line="240" w:lineRule="auto" w:before="8"/>
        <w:rPr>
          <w:rFonts w:ascii="宋体" w:hAnsi="宋体" w:cs="宋体" w:eastAsia="宋体" w:hint="default"/>
          <w:sz w:val="24"/>
          <w:szCs w:val="24"/>
        </w:rPr>
      </w:pPr>
    </w:p>
    <w:tbl>
      <w:tblPr>
        <w:tblW w:w="0" w:type="auto"/>
        <w:jc w:val="left"/>
        <w:tblInd w:w="148" w:type="dxa"/>
        <w:tblLayout w:type="fixed"/>
        <w:tblCellMar>
          <w:top w:w="0" w:type="dxa"/>
          <w:left w:w="0" w:type="dxa"/>
          <w:bottom w:w="0" w:type="dxa"/>
          <w:right w:w="0" w:type="dxa"/>
        </w:tblCellMar>
        <w:tblLook w:val="01E0"/>
      </w:tblPr>
      <w:tblGrid>
        <w:gridCol w:w="1330"/>
        <w:gridCol w:w="1330"/>
        <w:gridCol w:w="1169"/>
        <w:gridCol w:w="2127"/>
        <w:gridCol w:w="3613"/>
      </w:tblGrid>
      <w:tr>
        <w:trPr>
          <w:trHeight w:val="401" w:hRule="exact"/>
        </w:trPr>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11" w:right="0"/>
              <w:jc w:val="left"/>
              <w:rPr>
                <w:rFonts w:ascii="宋体" w:hAnsi="宋体" w:cs="宋体" w:eastAsia="宋体" w:hint="default"/>
                <w:sz w:val="18"/>
                <w:szCs w:val="18"/>
              </w:rPr>
            </w:pPr>
            <w:r>
              <w:rPr>
                <w:rFonts w:ascii="宋体" w:hAnsi="宋体" w:cs="宋体" w:eastAsia="宋体" w:hint="default"/>
                <w:sz w:val="18"/>
                <w:szCs w:val="18"/>
              </w:rPr>
              <w:t>担任的职务</w:t>
            </w:r>
          </w:p>
        </w:tc>
        <w:tc>
          <w:tcPr>
            <w:tcW w:w="11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类型</w:t>
            </w:r>
          </w:p>
        </w:tc>
        <w:tc>
          <w:tcPr>
            <w:tcW w:w="21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日期</w:t>
            </w:r>
          </w:p>
        </w:tc>
        <w:tc>
          <w:tcPr>
            <w:tcW w:w="36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原因</w:t>
            </w:r>
          </w:p>
        </w:tc>
      </w:tr>
      <w:tr>
        <w:trPr>
          <w:trHeight w:val="404"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18"/>
                <w:szCs w:val="18"/>
              </w:rPr>
            </w:pPr>
            <w:r>
              <w:rPr>
                <w:rFonts w:ascii="宋体" w:hAnsi="宋体" w:cs="宋体" w:eastAsia="宋体" w:hint="default"/>
                <w:sz w:val="18"/>
                <w:szCs w:val="18"/>
              </w:rPr>
              <w:t>徐小伍</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3"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 </w:t>
            </w:r>
            <w:r>
              <w:rPr>
                <w:rFonts w:ascii="宋体" w:hAnsi="宋体" w:cs="宋体" w:eastAsia="宋体" w:hint="default"/>
                <w:sz w:val="18"/>
                <w:szCs w:val="18"/>
              </w:rPr>
              <w:t>日</w:t>
            </w:r>
          </w:p>
        </w:tc>
        <w:tc>
          <w:tcPr>
            <w:tcW w:w="3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24" w:right="0"/>
              <w:jc w:val="left"/>
              <w:rPr>
                <w:rFonts w:ascii="宋体" w:hAnsi="宋体" w:cs="宋体" w:eastAsia="宋体" w:hint="default"/>
                <w:sz w:val="18"/>
                <w:szCs w:val="18"/>
              </w:rPr>
            </w:pPr>
            <w:r>
              <w:rPr>
                <w:rFonts w:ascii="宋体" w:hAnsi="宋体" w:cs="宋体" w:eastAsia="宋体" w:hint="default"/>
                <w:sz w:val="18"/>
                <w:szCs w:val="18"/>
              </w:rPr>
              <w:t>个人原因，主动辞职。</w:t>
            </w:r>
          </w:p>
        </w:tc>
      </w:tr>
      <w:tr>
        <w:trPr>
          <w:trHeight w:val="401"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刘一平</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选举</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 </w:t>
            </w:r>
            <w:r>
              <w:rPr>
                <w:rFonts w:ascii="宋体" w:hAnsi="宋体" w:cs="宋体" w:eastAsia="宋体" w:hint="default"/>
                <w:sz w:val="18"/>
                <w:szCs w:val="18"/>
              </w:rPr>
              <w:t>日</w:t>
            </w:r>
          </w:p>
        </w:tc>
        <w:tc>
          <w:tcPr>
            <w:tcW w:w="3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补选当选。</w:t>
            </w:r>
          </w:p>
        </w:tc>
      </w:tr>
      <w:tr>
        <w:trPr>
          <w:trHeight w:val="403"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李鹏宇</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财务总监</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聘任</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 </w:t>
            </w:r>
            <w:r>
              <w:rPr>
                <w:rFonts w:ascii="宋体" w:hAnsi="宋体" w:cs="宋体" w:eastAsia="宋体" w:hint="default"/>
                <w:sz w:val="18"/>
                <w:szCs w:val="18"/>
              </w:rPr>
              <w:t>日</w:t>
            </w:r>
          </w:p>
        </w:tc>
        <w:tc>
          <w:tcPr>
            <w:tcW w:w="3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新聘。</w:t>
            </w:r>
          </w:p>
        </w:tc>
      </w:tr>
      <w:tr>
        <w:trPr>
          <w:trHeight w:val="401"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孙达</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 </w:t>
            </w:r>
            <w:r>
              <w:rPr>
                <w:rFonts w:ascii="宋体" w:hAnsi="宋体" w:cs="宋体" w:eastAsia="宋体" w:hint="default"/>
                <w:sz w:val="18"/>
                <w:szCs w:val="18"/>
              </w:rPr>
              <w:t>日</w:t>
            </w:r>
          </w:p>
        </w:tc>
        <w:tc>
          <w:tcPr>
            <w:tcW w:w="3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个人原因，主动辞职。</w:t>
            </w:r>
          </w:p>
        </w:tc>
      </w:tr>
      <w:tr>
        <w:trPr>
          <w:trHeight w:val="403"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陈枫</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聘任</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 </w:t>
            </w:r>
            <w:r>
              <w:rPr>
                <w:rFonts w:ascii="宋体" w:hAnsi="宋体" w:cs="宋体" w:eastAsia="宋体" w:hint="default"/>
                <w:sz w:val="18"/>
                <w:szCs w:val="18"/>
              </w:rPr>
              <w:t>日</w:t>
            </w:r>
          </w:p>
        </w:tc>
        <w:tc>
          <w:tcPr>
            <w:tcW w:w="3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新聘。</w:t>
            </w:r>
          </w:p>
        </w:tc>
      </w:tr>
      <w:tr>
        <w:trPr>
          <w:trHeight w:val="401"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袁奕</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副总裁</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聘任</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 </w:t>
            </w:r>
            <w:r>
              <w:rPr>
                <w:rFonts w:ascii="宋体" w:hAnsi="宋体" w:cs="宋体" w:eastAsia="宋体" w:hint="default"/>
                <w:sz w:val="18"/>
                <w:szCs w:val="18"/>
              </w:rPr>
              <w:t>日</w:t>
            </w:r>
          </w:p>
        </w:tc>
        <w:tc>
          <w:tcPr>
            <w:tcW w:w="3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新聘。</w:t>
            </w:r>
          </w:p>
        </w:tc>
      </w:tr>
      <w:tr>
        <w:trPr>
          <w:trHeight w:val="403"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毛琳娜</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 </w:t>
            </w:r>
            <w:r>
              <w:rPr>
                <w:rFonts w:ascii="宋体" w:hAnsi="宋体" w:cs="宋体" w:eastAsia="宋体" w:hint="default"/>
                <w:sz w:val="18"/>
                <w:szCs w:val="18"/>
              </w:rPr>
              <w:t>日</w:t>
            </w:r>
          </w:p>
        </w:tc>
        <w:tc>
          <w:tcPr>
            <w:tcW w:w="3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因退休，主动辞职。</w:t>
            </w:r>
          </w:p>
        </w:tc>
      </w:tr>
      <w:tr>
        <w:trPr>
          <w:trHeight w:val="401"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朱文平</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 w:right="0"/>
              <w:jc w:val="left"/>
              <w:rPr>
                <w:rFonts w:ascii="宋体" w:hAnsi="宋体" w:cs="宋体" w:eastAsia="宋体" w:hint="default"/>
                <w:sz w:val="18"/>
                <w:szCs w:val="18"/>
              </w:rPr>
            </w:pPr>
            <w:r>
              <w:rPr>
                <w:rFonts w:ascii="宋体" w:hAnsi="宋体" w:cs="宋体" w:eastAsia="宋体" w:hint="default"/>
                <w:sz w:val="18"/>
                <w:szCs w:val="18"/>
              </w:rPr>
              <w:t>任期满离任</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17 </w:t>
            </w:r>
            <w:r>
              <w:rPr>
                <w:rFonts w:ascii="宋体" w:hAnsi="宋体" w:cs="宋体" w:eastAsia="宋体" w:hint="default"/>
                <w:sz w:val="18"/>
                <w:szCs w:val="18"/>
              </w:rPr>
              <w:t>日</w:t>
            </w:r>
          </w:p>
        </w:tc>
        <w:tc>
          <w:tcPr>
            <w:tcW w:w="3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4" w:right="0"/>
              <w:jc w:val="left"/>
              <w:rPr>
                <w:rFonts w:ascii="宋体" w:hAnsi="宋体" w:cs="宋体" w:eastAsia="宋体" w:hint="default"/>
                <w:sz w:val="18"/>
                <w:szCs w:val="18"/>
              </w:rPr>
            </w:pPr>
            <w:r>
              <w:rPr>
                <w:rFonts w:ascii="宋体" w:hAnsi="宋体" w:cs="宋体" w:eastAsia="宋体" w:hint="default"/>
                <w:sz w:val="18"/>
                <w:szCs w:val="18"/>
              </w:rPr>
              <w:t>报告期后，董事会换届离任。</w:t>
            </w:r>
          </w:p>
        </w:tc>
      </w:tr>
      <w:tr>
        <w:trPr>
          <w:trHeight w:val="403"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陈枫</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3" w:right="0"/>
              <w:jc w:val="left"/>
              <w:rPr>
                <w:rFonts w:ascii="宋体" w:hAnsi="宋体" w:cs="宋体" w:eastAsia="宋体" w:hint="default"/>
                <w:sz w:val="18"/>
                <w:szCs w:val="18"/>
              </w:rPr>
            </w:pPr>
            <w:r>
              <w:rPr>
                <w:rFonts w:ascii="宋体" w:hAnsi="宋体" w:cs="宋体" w:eastAsia="宋体" w:hint="default"/>
                <w:sz w:val="18"/>
                <w:szCs w:val="18"/>
              </w:rPr>
              <w:t>选举</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17 </w:t>
            </w:r>
            <w:r>
              <w:rPr>
                <w:rFonts w:ascii="宋体" w:hAnsi="宋体" w:cs="宋体" w:eastAsia="宋体" w:hint="default"/>
                <w:sz w:val="18"/>
                <w:szCs w:val="18"/>
              </w:rPr>
              <w:t>日</w:t>
            </w:r>
          </w:p>
        </w:tc>
        <w:tc>
          <w:tcPr>
            <w:tcW w:w="3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24" w:right="0"/>
              <w:jc w:val="left"/>
              <w:rPr>
                <w:rFonts w:ascii="宋体" w:hAnsi="宋体" w:cs="宋体" w:eastAsia="宋体" w:hint="default"/>
                <w:sz w:val="18"/>
                <w:szCs w:val="18"/>
              </w:rPr>
            </w:pPr>
            <w:r>
              <w:rPr>
                <w:rFonts w:ascii="宋体" w:hAnsi="宋体" w:cs="宋体" w:eastAsia="宋体" w:hint="default"/>
                <w:sz w:val="18"/>
                <w:szCs w:val="18"/>
              </w:rPr>
              <w:t>报告期后，董事会换届当选。</w:t>
            </w:r>
          </w:p>
        </w:tc>
      </w:tr>
      <w:tr>
        <w:trPr>
          <w:trHeight w:val="404"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z w:val="18"/>
                <w:szCs w:val="18"/>
              </w:rPr>
              <w:t>贠超</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1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3" w:right="0"/>
              <w:jc w:val="left"/>
              <w:rPr>
                <w:rFonts w:ascii="宋体" w:hAnsi="宋体" w:cs="宋体" w:eastAsia="宋体" w:hint="default"/>
                <w:sz w:val="18"/>
                <w:szCs w:val="18"/>
              </w:rPr>
            </w:pPr>
            <w:r>
              <w:rPr>
                <w:rFonts w:ascii="宋体" w:hAnsi="宋体" w:cs="宋体" w:eastAsia="宋体" w:hint="default"/>
                <w:sz w:val="18"/>
                <w:szCs w:val="18"/>
              </w:rPr>
              <w:t>选举</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4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17 </w:t>
            </w:r>
            <w:r>
              <w:rPr>
                <w:rFonts w:ascii="宋体" w:hAnsi="宋体" w:cs="宋体" w:eastAsia="宋体" w:hint="default"/>
                <w:sz w:val="18"/>
                <w:szCs w:val="18"/>
              </w:rPr>
              <w:t>日</w:t>
            </w:r>
          </w:p>
        </w:tc>
        <w:tc>
          <w:tcPr>
            <w:tcW w:w="36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24" w:right="0"/>
              <w:jc w:val="left"/>
              <w:rPr>
                <w:rFonts w:ascii="宋体" w:hAnsi="宋体" w:cs="宋体" w:eastAsia="宋体" w:hint="default"/>
                <w:sz w:val="18"/>
                <w:szCs w:val="18"/>
              </w:rPr>
            </w:pPr>
            <w:r>
              <w:rPr>
                <w:rFonts w:ascii="宋体" w:hAnsi="宋体" w:cs="宋体" w:eastAsia="宋体" w:hint="default"/>
                <w:sz w:val="18"/>
                <w:szCs w:val="18"/>
              </w:rPr>
              <w:t>报告期后，监事会换届当选。</w:t>
            </w:r>
          </w:p>
        </w:tc>
      </w:tr>
    </w:tbl>
    <w:p>
      <w:pPr>
        <w:spacing w:line="240" w:lineRule="auto" w:before="3"/>
        <w:rPr>
          <w:rFonts w:ascii="宋体" w:hAnsi="宋体" w:cs="宋体" w:eastAsia="宋体" w:hint="default"/>
          <w:sz w:val="8"/>
          <w:szCs w:val="8"/>
        </w:rPr>
      </w:pPr>
    </w:p>
    <w:p>
      <w:pPr>
        <w:pStyle w:val="BodyText"/>
        <w:spacing w:line="273" w:lineRule="auto" w:before="36"/>
        <w:ind w:right="819" w:firstLine="420"/>
        <w:jc w:val="left"/>
        <w:rPr>
          <w:rFonts w:ascii="宋体" w:hAnsi="宋体" w:cs="宋体" w:eastAsia="宋体" w:hint="default"/>
        </w:rPr>
      </w:pPr>
      <w:r>
        <w:rPr/>
        <w:t>注：公司第七届董事会、监事会已任期届满，于报告期后完成换届。报告期后，公司第七届董事会董</w:t>
      </w:r>
      <w:r>
        <w:rPr>
          <w:w w:val="100"/>
        </w:rPr>
        <w:t> </w:t>
      </w:r>
      <w:r>
        <w:rPr/>
        <w:t>事朱文平任期届满离任，陈枫当选公司第八届董事会董事、贠超当选公司第八届监事会监事，其他董事、</w:t>
      </w:r>
      <w:r>
        <w:rPr>
          <w:spacing w:val="-24"/>
        </w:rPr>
        <w:t> </w:t>
      </w:r>
      <w:r>
        <w:rPr>
          <w:spacing w:val="-24"/>
        </w:rPr>
      </w:r>
      <w:r>
        <w:rPr>
          <w:spacing w:val="-5"/>
        </w:rPr>
        <w:t>监事、高级管理人员皆为连任。详见公司于</w:t>
      </w:r>
      <w:r>
        <w:rPr>
          <w:spacing w:val="-50"/>
        </w:rPr>
        <w:t> </w:t>
      </w:r>
      <w:r>
        <w:rPr>
          <w:rFonts w:ascii="宋体" w:hAnsi="宋体" w:cs="宋体" w:eastAsia="宋体" w:hint="default"/>
        </w:rPr>
        <w:t>2020</w:t>
      </w:r>
      <w:r>
        <w:rPr>
          <w:rFonts w:ascii="宋体" w:hAnsi="宋体" w:cs="宋体" w:eastAsia="宋体" w:hint="default"/>
          <w:spacing w:val="-48"/>
        </w:rPr>
        <w:t> </w:t>
      </w:r>
      <w:r>
        <w:rPr/>
        <w:t>年</w:t>
      </w:r>
      <w:r>
        <w:rPr>
          <w:spacing w:val="-50"/>
        </w:rPr>
        <w:t> </w:t>
      </w:r>
      <w:r>
        <w:rPr>
          <w:rFonts w:ascii="宋体" w:hAnsi="宋体" w:cs="宋体" w:eastAsia="宋体" w:hint="default"/>
        </w:rPr>
        <w:t>4</w:t>
      </w:r>
      <w:r>
        <w:rPr>
          <w:rFonts w:ascii="宋体" w:hAnsi="宋体" w:cs="宋体" w:eastAsia="宋体" w:hint="default"/>
          <w:spacing w:val="-48"/>
        </w:rPr>
        <w:t> </w:t>
      </w:r>
      <w:r>
        <w:rPr/>
        <w:t>月</w:t>
      </w:r>
      <w:r>
        <w:rPr>
          <w:spacing w:val="-48"/>
        </w:rPr>
        <w:t> </w:t>
      </w:r>
      <w:r>
        <w:rPr>
          <w:rFonts w:ascii="宋体" w:hAnsi="宋体" w:cs="宋体" w:eastAsia="宋体" w:hint="default"/>
        </w:rPr>
        <w:t>18</w:t>
      </w:r>
      <w:r>
        <w:rPr>
          <w:rFonts w:ascii="宋体" w:hAnsi="宋体" w:cs="宋体" w:eastAsia="宋体" w:hint="default"/>
          <w:spacing w:val="-48"/>
        </w:rPr>
        <w:t> </w:t>
      </w:r>
      <w:r>
        <w:rPr>
          <w:spacing w:val="-3"/>
        </w:rPr>
        <w:t>日在巨潮资讯网发布的《</w:t>
      </w:r>
      <w:r>
        <w:rPr>
          <w:rFonts w:ascii="宋体" w:hAnsi="宋体" w:cs="宋体" w:eastAsia="宋体" w:hint="default"/>
          <w:spacing w:val="-3"/>
        </w:rPr>
        <w:t>2020</w:t>
      </w:r>
      <w:r>
        <w:rPr>
          <w:rFonts w:ascii="宋体" w:hAnsi="宋体" w:cs="宋体" w:eastAsia="宋体" w:hint="default"/>
          <w:spacing w:val="-48"/>
        </w:rPr>
        <w:t> </w:t>
      </w:r>
      <w:r>
        <w:rPr/>
        <w:t>年第二次临时股</w:t>
      </w:r>
      <w:r>
        <w:rPr>
          <w:spacing w:val="-91"/>
        </w:rPr>
        <w:t> </w:t>
      </w:r>
      <w:r>
        <w:rPr>
          <w:spacing w:val="-91"/>
        </w:rPr>
      </w:r>
      <w:r>
        <w:rPr>
          <w:spacing w:val="-10"/>
          <w:w w:val="100"/>
        </w:rPr>
        <w:t>东大会决议公告》（公告编号</w:t>
      </w:r>
      <w:r>
        <w:rPr>
          <w:spacing w:val="-46"/>
          <w:w w:val="100"/>
        </w:rPr>
        <w:t> </w:t>
      </w:r>
      <w:r>
        <w:rPr>
          <w:rFonts w:ascii="宋体" w:hAnsi="宋体" w:cs="宋体" w:eastAsia="宋体" w:hint="default"/>
          <w:spacing w:val="-13"/>
          <w:w w:val="100"/>
        </w:rPr>
        <w:t>2020-31</w:t>
      </w:r>
      <w:r>
        <w:rPr>
          <w:spacing w:val="-13"/>
          <w:w w:val="100"/>
        </w:rPr>
        <w:t>）。</w:t>
      </w:r>
      <w:r>
        <w:rPr>
          <w:rFonts w:ascii="宋体" w:hAnsi="宋体" w:cs="宋体" w:eastAsia="宋体" w:hint="default"/>
          <w:w w:val="100"/>
        </w:rPr>
        <w:t> </w:t>
      </w:r>
    </w:p>
    <w:p>
      <w:pPr>
        <w:spacing w:line="240" w:lineRule="auto" w:before="4"/>
        <w:rPr>
          <w:rFonts w:ascii="宋体" w:hAnsi="宋体" w:cs="宋体" w:eastAsia="宋体" w:hint="default"/>
          <w:sz w:val="23"/>
          <w:szCs w:val="23"/>
        </w:rPr>
      </w:pPr>
    </w:p>
    <w:p>
      <w:pPr>
        <w:pStyle w:val="Heading3"/>
        <w:spacing w:line="240" w:lineRule="auto" w:before="0"/>
        <w:ind w:right="1133"/>
        <w:jc w:val="left"/>
        <w:rPr>
          <w:b w:val="0"/>
          <w:bCs w:val="0"/>
        </w:rPr>
      </w:pPr>
      <w:r>
        <w:rPr/>
        <w:t>三、任职情况</w:t>
      </w:r>
      <w:r>
        <w:rPr>
          <w:b w:val="0"/>
          <w:bCs w:val="0"/>
        </w:rPr>
      </w:r>
    </w:p>
    <w:p>
      <w:pPr>
        <w:pStyle w:val="BodyText"/>
        <w:spacing w:line="240" w:lineRule="auto" w:before="78"/>
        <w:ind w:right="1133"/>
        <w:jc w:val="left"/>
        <w:rPr>
          <w:rFonts w:ascii="宋体" w:hAnsi="宋体" w:cs="宋体" w:eastAsia="宋体" w:hint="default"/>
        </w:rPr>
      </w:pPr>
      <w:r>
        <w:rPr>
          <w:rFonts w:ascii="宋体" w:hAnsi="宋体" w:cs="宋体" w:eastAsia="宋体" w:hint="default"/>
          <w:w w:val="100"/>
        </w:rPr>
        <w:t>   </w:t>
      </w:r>
      <w:r>
        <w:rPr/>
        <w:t>公司现任董事、监事、高级管理人员专业背景、主要工作经历以及目前在公司的主要职责：</w:t>
      </w:r>
      <w:r>
        <w:rPr>
          <w:rFonts w:ascii="宋体" w:hAnsi="宋体" w:cs="宋体" w:eastAsia="宋体" w:hint="default"/>
        </w:rPr>
        <w:t> </w:t>
      </w:r>
    </w:p>
    <w:p>
      <w:pPr>
        <w:pStyle w:val="BodyText"/>
        <w:spacing w:line="273" w:lineRule="auto" w:before="157"/>
        <w:ind w:right="819" w:firstLine="360"/>
        <w:jc w:val="left"/>
        <w:rPr>
          <w:rFonts w:ascii="宋体" w:hAnsi="宋体" w:cs="宋体" w:eastAsia="宋体" w:hint="default"/>
        </w:rPr>
      </w:pPr>
      <w:r>
        <w:rPr>
          <w:rFonts w:ascii="宋体" w:hAnsi="宋体" w:cs="宋体" w:eastAsia="宋体" w:hint="default"/>
          <w:spacing w:val="-3"/>
        </w:rPr>
        <w:t>1</w:t>
      </w:r>
      <w:r>
        <w:rPr>
          <w:spacing w:val="-3"/>
        </w:rPr>
        <w:t>、吴鹰董事长，电子工程硕士，博士，曾任</w:t>
      </w:r>
      <w:r>
        <w:rPr>
          <w:rFonts w:ascii="宋体" w:hAnsi="宋体" w:cs="宋体" w:eastAsia="宋体" w:hint="default"/>
          <w:spacing w:val="-3"/>
        </w:rPr>
        <w:t>UT</w:t>
      </w:r>
      <w:r>
        <w:rPr>
          <w:spacing w:val="-3"/>
        </w:rPr>
        <w:t>斯达康（中国）有限公司董事长兼首席执行官、本公司</w:t>
      </w:r>
      <w:r>
        <w:rPr>
          <w:w w:val="100"/>
        </w:rPr>
        <w:t> </w:t>
      </w:r>
      <w:r>
        <w:rPr>
          <w:spacing w:val="-2"/>
        </w:rPr>
        <w:t>第七届董事会董事长，现任北京中泽启天投资中心</w:t>
      </w:r>
      <w:r>
        <w:rPr>
          <w:rFonts w:ascii="宋体" w:hAnsi="宋体" w:cs="宋体" w:eastAsia="宋体" w:hint="default"/>
          <w:spacing w:val="-2"/>
        </w:rPr>
        <w:t>(</w:t>
      </w:r>
      <w:r>
        <w:rPr>
          <w:spacing w:val="-2"/>
        </w:rPr>
        <w:t>有限合伙</w:t>
      </w:r>
      <w:r>
        <w:rPr>
          <w:rFonts w:ascii="宋体" w:hAnsi="宋体" w:cs="宋体" w:eastAsia="宋体" w:hint="default"/>
          <w:spacing w:val="-2"/>
        </w:rPr>
        <w:t>)</w:t>
      </w:r>
      <w:r>
        <w:rPr>
          <w:spacing w:val="-2"/>
        </w:rPr>
        <w:t>执行事务合伙人，中泽嘉盟投资有限公司董</w:t>
      </w:r>
      <w:r>
        <w:rPr>
          <w:spacing w:val="-48"/>
        </w:rPr>
        <w:t> </w:t>
      </w:r>
      <w:r>
        <w:rPr>
          <w:spacing w:val="-48"/>
        </w:rPr>
      </w:r>
      <w:r>
        <w:rPr>
          <w:spacing w:val="-2"/>
        </w:rPr>
        <w:t>事长，北京博升优势科技发展有限公司董事长，上海稳实投资管理中心（普通合伙）执行事务合伙人，兼</w:t>
      </w:r>
      <w:r>
        <w:rPr>
          <w:spacing w:val="-43"/>
        </w:rPr>
        <w:t> </w:t>
      </w:r>
      <w:r>
        <w:rPr>
          <w:spacing w:val="-43"/>
        </w:rPr>
      </w:r>
      <w:r>
        <w:rPr/>
        <w:t>任卓尔智联集团有限公司</w:t>
      </w:r>
      <w:r>
        <w:rPr>
          <w:rFonts w:ascii="宋体" w:hAnsi="宋体" w:cs="宋体" w:eastAsia="宋体" w:hint="default"/>
        </w:rPr>
        <w:t>(2098.HK) </w:t>
      </w:r>
      <w:r>
        <w:rPr/>
        <w:t>独立非执行董事、众安在线财产保险股份有限公司</w:t>
      </w:r>
      <w:r>
        <w:rPr>
          <w:rFonts w:ascii="宋体" w:hAnsi="宋体" w:cs="宋体" w:eastAsia="宋体" w:hint="default"/>
        </w:rPr>
        <w:t>(6060.HK)</w:t>
      </w:r>
      <w:r>
        <w:rPr>
          <w:rFonts w:ascii="宋体" w:hAnsi="宋体" w:cs="宋体" w:eastAsia="宋体" w:hint="default"/>
          <w:spacing w:val="-23"/>
        </w:rPr>
        <w:t> </w:t>
      </w:r>
      <w:r>
        <w:rPr/>
        <w:t>独立非</w:t>
      </w:r>
      <w:r>
        <w:rPr>
          <w:w w:val="100"/>
        </w:rPr>
        <w:t> </w:t>
      </w:r>
      <w:r>
        <w:rPr>
          <w:spacing w:val="-4"/>
        </w:rPr>
        <w:t>执行董事、海联金汇科技股份有限公司</w:t>
      </w:r>
      <w:r>
        <w:rPr>
          <w:rFonts w:ascii="宋体" w:hAnsi="宋体" w:cs="宋体" w:eastAsia="宋体" w:hint="default"/>
          <w:spacing w:val="-4"/>
        </w:rPr>
        <w:t>(002537)</w:t>
      </w:r>
      <w:r>
        <w:rPr>
          <w:rFonts w:ascii="宋体" w:hAnsi="宋体" w:cs="宋体" w:eastAsia="宋体" w:hint="default"/>
          <w:spacing w:val="21"/>
        </w:rPr>
        <w:t> </w:t>
      </w:r>
      <w:r>
        <w:rPr>
          <w:spacing w:val="-4"/>
        </w:rPr>
        <w:t>董事、华谊兄弟传媒股份有限公司</w:t>
      </w:r>
      <w:r>
        <w:rPr>
          <w:rFonts w:ascii="宋体" w:hAnsi="宋体" w:cs="宋体" w:eastAsia="宋体" w:hint="default"/>
          <w:spacing w:val="-4"/>
        </w:rPr>
        <w:t>(300027)</w:t>
      </w:r>
      <w:r>
        <w:rPr>
          <w:rFonts w:ascii="宋体" w:hAnsi="宋体" w:cs="宋体" w:eastAsia="宋体" w:hint="default"/>
          <w:spacing w:val="24"/>
        </w:rPr>
        <w:t> </w:t>
      </w:r>
      <w:r>
        <w:rPr/>
        <w:t>监事会主席、</w:t>
      </w:r>
      <w:r>
        <w:rPr>
          <w:spacing w:val="-100"/>
        </w:rPr>
        <w:t> </w:t>
      </w:r>
      <w:r>
        <w:rPr>
          <w:spacing w:val="-100"/>
        </w:rPr>
      </w:r>
      <w:r>
        <w:rPr>
          <w:spacing w:val="-2"/>
        </w:rPr>
        <w:t>中诚信征信有限公司董事、本公司第八届董事会董事长，主要职责：包括推动公司内部各项制度的制订和</w:t>
      </w:r>
      <w:r>
        <w:rPr>
          <w:spacing w:val="-44"/>
        </w:rPr>
        <w:t> </w:t>
      </w:r>
      <w:r>
        <w:rPr>
          <w:spacing w:val="-44"/>
        </w:rPr>
      </w:r>
      <w:r>
        <w:rPr>
          <w:spacing w:val="-2"/>
        </w:rPr>
        <w:t>完善，加强董事会建设，确保董事会工作依法正常开展，依法召集、主持董事会会议并督促董事亲自出席</w:t>
      </w:r>
      <w:r>
        <w:rPr>
          <w:spacing w:val="-44"/>
        </w:rPr>
        <w:t> </w:t>
      </w:r>
      <w:r>
        <w:rPr>
          <w:spacing w:val="-44"/>
        </w:rPr>
      </w:r>
      <w:r>
        <w:rPr>
          <w:spacing w:val="-2"/>
        </w:rPr>
        <w:t>董事会会议，及时将应当由董事会审议的事项提交董事会审议，督促董事会决议的执行，定期向公司总裁</w:t>
      </w:r>
      <w:r>
        <w:rPr>
          <w:spacing w:val="-42"/>
        </w:rPr>
        <w:t> </w:t>
      </w:r>
      <w:r>
        <w:rPr>
          <w:spacing w:val="-42"/>
        </w:rPr>
      </w:r>
      <w:r>
        <w:rPr>
          <w:spacing w:val="-2"/>
        </w:rPr>
        <w:t>和其他高级管理人员了解董事会决议的执行情况，敦促董事会秘书及时履行信息披露义务。还包括下列董</w:t>
      </w:r>
      <w:r>
        <w:rPr>
          <w:spacing w:val="-42"/>
        </w:rPr>
        <w:t> </w:t>
      </w:r>
      <w:r>
        <w:rPr>
          <w:spacing w:val="-42"/>
        </w:rPr>
      </w:r>
      <w:r>
        <w:rPr/>
        <w:t>事职责。</w:t>
      </w:r>
      <w:r>
        <w:rPr>
          <w:rFonts w:ascii="宋体" w:hAnsi="宋体" w:cs="宋体" w:eastAsia="宋体" w:hint="default"/>
        </w:rPr>
        <w:t> </w:t>
      </w:r>
    </w:p>
    <w:p>
      <w:pPr>
        <w:pStyle w:val="BodyText"/>
        <w:spacing w:line="240" w:lineRule="auto" w:before="127"/>
        <w:ind w:left="573" w:right="1133"/>
        <w:jc w:val="left"/>
        <w:rPr>
          <w:rFonts w:ascii="宋体" w:hAnsi="宋体" w:cs="宋体" w:eastAsia="宋体" w:hint="default"/>
        </w:rPr>
      </w:pPr>
      <w:r>
        <w:rPr>
          <w:rFonts w:ascii="宋体" w:hAnsi="宋体" w:cs="宋体" w:eastAsia="宋体" w:hint="default"/>
        </w:rPr>
        <w:t>2</w:t>
      </w:r>
      <w:r>
        <w:rPr/>
        <w:t>、独立董事</w:t>
      </w:r>
      <w:r>
        <w:rPr>
          <w:rFonts w:ascii="宋体" w:hAnsi="宋体" w:cs="宋体" w:eastAsia="宋体" w:hint="default"/>
        </w:rPr>
        <w:t> </w:t>
      </w:r>
    </w:p>
    <w:p>
      <w:pPr>
        <w:pStyle w:val="BodyText"/>
        <w:spacing w:line="273" w:lineRule="auto" w:before="78"/>
        <w:ind w:right="1126" w:firstLine="420"/>
        <w:jc w:val="both"/>
        <w:rPr>
          <w:rFonts w:ascii="宋体" w:hAnsi="宋体" w:cs="宋体" w:eastAsia="宋体" w:hint="default"/>
        </w:rPr>
      </w:pPr>
      <w:r>
        <w:rPr>
          <w:spacing w:val="-2"/>
        </w:rPr>
        <w:t>刘宁，研究生学历，民盟盟员，曾任职天津东方律师事务所律师、主任，北京市公元律师事务所高级</w:t>
      </w:r>
      <w:r>
        <w:rPr>
          <w:w w:val="100"/>
        </w:rPr>
        <w:t> </w:t>
      </w:r>
      <w:r>
        <w:rPr>
          <w:spacing w:val="-2"/>
        </w:rPr>
        <w:t>合伙人、律师，华润双鹤</w:t>
      </w:r>
      <w:r>
        <w:rPr>
          <w:rFonts w:ascii="宋体" w:hAnsi="宋体" w:cs="宋体" w:eastAsia="宋体" w:hint="default"/>
          <w:spacing w:val="-2"/>
        </w:rPr>
        <w:t>(600062)</w:t>
      </w:r>
      <w:r>
        <w:rPr>
          <w:spacing w:val="-2"/>
        </w:rPr>
        <w:t>独立董事，本公司第六届、第七届董事会独立董事；现任职北京公元博</w:t>
      </w:r>
      <w:r>
        <w:rPr>
          <w:spacing w:val="-38"/>
        </w:rPr>
        <w:t> </w:t>
      </w:r>
      <w:r>
        <w:rPr>
          <w:spacing w:val="-38"/>
        </w:rPr>
      </w:r>
      <w:r>
        <w:rPr>
          <w:spacing w:val="5"/>
        </w:rPr>
        <w:t>景泓律师事务所主任，兼任本公司第八届董事会独立董事，香港上市公司北京京城机电股份有限公司</w:t>
      </w:r>
      <w:r>
        <w:rPr>
          <w:spacing w:val="33"/>
        </w:rPr>
        <w:t> </w:t>
      </w:r>
      <w:r>
        <w:rPr>
          <w:spacing w:val="33"/>
        </w:rPr>
      </w:r>
      <w:r>
        <w:rPr>
          <w:rFonts w:ascii="宋体" w:hAnsi="宋体" w:cs="宋体" w:eastAsia="宋体" w:hint="default"/>
        </w:rPr>
        <w:t>(00187.HK)</w:t>
      </w:r>
      <w:r>
        <w:rPr/>
        <w:t>独立董事。</w:t>
      </w:r>
      <w:r>
        <w:rPr>
          <w:rFonts w:ascii="宋体" w:hAnsi="宋体" w:cs="宋体" w:eastAsia="宋体" w:hint="default"/>
        </w:rPr>
        <w:t> </w:t>
      </w:r>
    </w:p>
    <w:p>
      <w:pPr>
        <w:pStyle w:val="BodyText"/>
        <w:spacing w:line="273" w:lineRule="auto" w:before="49"/>
        <w:ind w:right="819" w:firstLine="420"/>
        <w:jc w:val="left"/>
        <w:rPr>
          <w:rFonts w:ascii="宋体" w:hAnsi="宋体" w:cs="宋体" w:eastAsia="宋体" w:hint="default"/>
        </w:rPr>
      </w:pPr>
      <w:r>
        <w:rPr/>
        <w:t>郝振平，研究生学历，会计学博士学位，英国曼彻斯特大学博士后，会计学教授、博士后合作导师，</w:t>
      </w:r>
      <w:r>
        <w:rPr>
          <w:w w:val="100"/>
        </w:rPr>
        <w:t> </w:t>
      </w:r>
      <w:r>
        <w:rPr>
          <w:spacing w:val="-2"/>
        </w:rPr>
        <w:t>中共党员。曾任天津财经大学会计系讲师、副教授，天津财经大学审计系副教授、副系主任、系主任，本</w:t>
      </w:r>
      <w:r>
        <w:rPr>
          <w:spacing w:val="-45"/>
        </w:rPr>
        <w:t> </w:t>
      </w:r>
      <w:r>
        <w:rPr>
          <w:spacing w:val="-45"/>
        </w:rPr>
      </w:r>
      <w:r>
        <w:rPr>
          <w:spacing w:val="-2"/>
        </w:rPr>
        <w:t>公司第七届董事会独立董事。现任清华大学经济管理学院教授、兼任本公司第八届董事会独立董事、天津</w:t>
      </w:r>
      <w:r>
        <w:rPr>
          <w:spacing w:val="-42"/>
        </w:rPr>
        <w:t> </w:t>
      </w:r>
      <w:r>
        <w:rPr>
          <w:spacing w:val="-42"/>
        </w:rPr>
      </w:r>
      <w:r>
        <w:rPr/>
        <w:t>百利特精电气股份有限公司</w:t>
      </w:r>
      <w:r>
        <w:rPr>
          <w:rFonts w:ascii="宋体" w:hAnsi="宋体" w:cs="宋体" w:eastAsia="宋体" w:hint="default"/>
        </w:rPr>
        <w:t>(600468.SH)</w:t>
      </w:r>
      <w:r>
        <w:rPr/>
        <w:t>和山东宝来利来生物工程股份有限公司</w:t>
      </w:r>
      <w:r>
        <w:rPr>
          <w:rFonts w:ascii="宋体" w:hAnsi="宋体" w:cs="宋体" w:eastAsia="宋体" w:hint="default"/>
        </w:rPr>
        <w:t>(</w:t>
      </w:r>
      <w:r>
        <w:rPr/>
        <w:t>新三板</w:t>
      </w:r>
      <w:r>
        <w:rPr>
          <w:rFonts w:ascii="宋体" w:hAnsi="宋体" w:cs="宋体" w:eastAsia="宋体" w:hint="default"/>
        </w:rPr>
        <w:t>831827)</w:t>
      </w:r>
      <w:r>
        <w:rPr/>
        <w:t>的独立董</w:t>
      </w:r>
      <w:r>
        <w:rPr>
          <w:spacing w:val="-25"/>
        </w:rPr>
        <w:t> </w:t>
      </w:r>
      <w:r>
        <w:rPr>
          <w:spacing w:val="-25"/>
        </w:rPr>
      </w:r>
      <w:r>
        <w:rPr/>
        <w:t>事。</w:t>
      </w:r>
      <w:r>
        <w:rPr>
          <w:rFonts w:ascii="宋体" w:hAnsi="宋体" w:cs="宋体" w:eastAsia="宋体" w:hint="default"/>
        </w:rPr>
        <w:t> </w:t>
      </w:r>
    </w:p>
    <w:p>
      <w:pPr>
        <w:pStyle w:val="BodyText"/>
        <w:spacing w:line="240" w:lineRule="auto" w:before="46"/>
        <w:ind w:left="513" w:right="1133"/>
        <w:jc w:val="left"/>
      </w:pPr>
      <w:r>
        <w:rPr/>
        <w:t>刘一平，硕士研究生，曾任天津通用机械公司经理助理、天津经济技术开发区总公司项目经理、环美</w:t>
      </w:r>
    </w:p>
    <w:p>
      <w:pPr>
        <w:spacing w:after="0" w:line="240" w:lineRule="auto"/>
        <w:jc w:val="left"/>
        <w:sectPr>
          <w:pgSz w:w="11910" w:h="16840"/>
          <w:pgMar w:header="880" w:footer="975" w:top="1100" w:bottom="1160" w:left="980" w:right="0"/>
        </w:sectPr>
      </w:pPr>
    </w:p>
    <w:p>
      <w:pPr>
        <w:spacing w:line="240" w:lineRule="auto" w:before="11"/>
        <w:rPr>
          <w:rFonts w:ascii="宋体" w:hAnsi="宋体" w:cs="宋体" w:eastAsia="宋体" w:hint="default"/>
          <w:sz w:val="20"/>
          <w:szCs w:val="20"/>
        </w:rPr>
      </w:pPr>
    </w:p>
    <w:p>
      <w:pPr>
        <w:pStyle w:val="BodyText"/>
        <w:spacing w:line="273" w:lineRule="auto" w:before="36"/>
        <w:ind w:right="1126"/>
        <w:jc w:val="both"/>
        <w:rPr>
          <w:rFonts w:ascii="宋体" w:hAnsi="宋体" w:cs="宋体" w:eastAsia="宋体" w:hint="default"/>
        </w:rPr>
      </w:pPr>
      <w:r>
        <w:rPr>
          <w:spacing w:val="-2"/>
        </w:rPr>
        <w:t>家具（天津）有限公司总经理助理、深圳市中华自行车（集团）股份有限公司人事部专员、深圳市高新投</w:t>
      </w:r>
      <w:r>
        <w:rPr>
          <w:spacing w:val="-42"/>
        </w:rPr>
        <w:t> </w:t>
      </w:r>
      <w:r>
        <w:rPr>
          <w:spacing w:val="-42"/>
        </w:rPr>
      </w:r>
      <w:r>
        <w:rPr>
          <w:spacing w:val="-2"/>
        </w:rPr>
        <w:t>集团有限公司业务总监、深圳市龙岗区创业投资引导基金管理有限公司董事、副总经理、本公司第七届董</w:t>
      </w:r>
      <w:r>
        <w:rPr>
          <w:spacing w:val="-43"/>
        </w:rPr>
        <w:t> </w:t>
      </w:r>
      <w:r>
        <w:rPr>
          <w:spacing w:val="-43"/>
        </w:rPr>
      </w:r>
      <w:r>
        <w:rPr>
          <w:spacing w:val="-2"/>
        </w:rPr>
        <w:t>事会独立董事；现任深圳市西博创新投资有限公司投委会主席，兼任本公司第八届董事会独立董事、深圳</w:t>
      </w:r>
      <w:r>
        <w:rPr>
          <w:spacing w:val="-43"/>
        </w:rPr>
        <w:t> </w:t>
      </w:r>
      <w:r>
        <w:rPr>
          <w:spacing w:val="-43"/>
        </w:rPr>
      </w:r>
      <w:r>
        <w:rPr>
          <w:spacing w:val="-2"/>
        </w:rPr>
        <w:t>市同洲电子股份有限公司监事、深圳市坤琦鑫华股份有限公司监事、矽电半导体设备（深圳）股份有限公</w:t>
      </w:r>
      <w:r>
        <w:rPr>
          <w:spacing w:val="-47"/>
        </w:rPr>
        <w:t> </w:t>
      </w:r>
      <w:r>
        <w:rPr>
          <w:spacing w:val="-47"/>
        </w:rPr>
      </w:r>
      <w:r>
        <w:rPr/>
        <w:t>司董事。</w:t>
      </w:r>
      <w:r>
        <w:rPr>
          <w:rFonts w:ascii="宋体" w:hAnsi="宋体" w:cs="宋体" w:eastAsia="宋体" w:hint="default"/>
        </w:rPr>
        <w:t> </w:t>
      </w:r>
    </w:p>
    <w:p>
      <w:pPr>
        <w:pStyle w:val="BodyText"/>
        <w:spacing w:line="273" w:lineRule="auto" w:before="48"/>
        <w:ind w:right="819" w:firstLine="420"/>
        <w:jc w:val="left"/>
        <w:rPr>
          <w:rFonts w:ascii="宋体" w:hAnsi="宋体" w:cs="宋体" w:eastAsia="宋体" w:hint="default"/>
        </w:rPr>
      </w:pPr>
      <w:r>
        <w:rPr/>
        <w:t>独立董事的主要职责：在不受上市公司主要股东、实际控制人或者其他与公司存在利害关系的单位和</w:t>
      </w:r>
      <w:r>
        <w:rPr>
          <w:w w:val="100"/>
        </w:rPr>
        <w:t> </w:t>
      </w:r>
      <w:r>
        <w:rPr/>
        <w:t>个人的影响下，独立公正地行使特别职权，对公司重大事项发表独立意见，主动到现场了解、检查经营、</w:t>
      </w:r>
      <w:r>
        <w:rPr>
          <w:spacing w:val="-19"/>
        </w:rPr>
        <w:t> </w:t>
      </w:r>
      <w:r>
        <w:rPr>
          <w:spacing w:val="-19"/>
        </w:rPr>
      </w:r>
      <w:r>
        <w:rPr>
          <w:spacing w:val="-2"/>
        </w:rPr>
        <w:t>管理、内控情况，向证监会及其派出机构、深交所报告公司违法违规事项，遵守自己的声明及承诺，切实</w:t>
      </w:r>
      <w:r>
        <w:rPr>
          <w:spacing w:val="-43"/>
        </w:rPr>
        <w:t> </w:t>
      </w:r>
      <w:r>
        <w:rPr>
          <w:spacing w:val="-43"/>
        </w:rPr>
      </w:r>
      <w:r>
        <w:rPr/>
        <w:t>维护上市公司和全体股东的利益，保护中小股东的合法权益。还包括下列董事职责。</w:t>
      </w:r>
      <w:r>
        <w:rPr>
          <w:rFonts w:ascii="宋体" w:hAnsi="宋体" w:cs="宋体" w:eastAsia="宋体" w:hint="default"/>
        </w:rPr>
        <w:t> </w:t>
      </w:r>
    </w:p>
    <w:p>
      <w:pPr>
        <w:pStyle w:val="BodyText"/>
        <w:spacing w:line="240" w:lineRule="auto" w:before="125"/>
        <w:ind w:left="573" w:right="1133"/>
        <w:jc w:val="left"/>
        <w:rPr>
          <w:rFonts w:ascii="宋体" w:hAnsi="宋体" w:cs="宋体" w:eastAsia="宋体" w:hint="default"/>
        </w:rPr>
      </w:pPr>
      <w:r>
        <w:rPr>
          <w:rFonts w:ascii="宋体" w:hAnsi="宋体" w:cs="宋体" w:eastAsia="宋体" w:hint="default"/>
        </w:rPr>
        <w:t>3</w:t>
      </w:r>
      <w:r>
        <w:rPr/>
        <w:t>、董事</w:t>
      </w:r>
      <w:r>
        <w:rPr>
          <w:rFonts w:ascii="宋体" w:hAnsi="宋体" w:cs="宋体" w:eastAsia="宋体" w:hint="default"/>
        </w:rPr>
        <w:t> </w:t>
      </w:r>
    </w:p>
    <w:p>
      <w:pPr>
        <w:pStyle w:val="BodyText"/>
        <w:spacing w:line="273" w:lineRule="auto" w:before="78"/>
        <w:ind w:right="819" w:firstLine="420"/>
        <w:jc w:val="left"/>
        <w:rPr>
          <w:rFonts w:ascii="宋体" w:hAnsi="宋体" w:cs="宋体" w:eastAsia="宋体" w:hint="default"/>
        </w:rPr>
      </w:pPr>
      <w:r>
        <w:rPr>
          <w:spacing w:val="-2"/>
        </w:rPr>
        <w:t>费自力，本科，中共党员，会计师，高级职业经理人，曾任秦皇岛华联康保公司会计科科长，秦皇岛</w:t>
      </w:r>
      <w:r>
        <w:rPr>
          <w:w w:val="100"/>
        </w:rPr>
        <w:t> </w:t>
      </w:r>
      <w:r>
        <w:rPr/>
        <w:t>天华大酒店财务部经理、副总经理、总经理，本公司百货门店华联商场总经理、党支部书记，公司第四、</w:t>
      </w:r>
      <w:r>
        <w:rPr>
          <w:spacing w:val="-24"/>
        </w:rPr>
        <w:t> </w:t>
      </w:r>
      <w:r>
        <w:rPr>
          <w:spacing w:val="-24"/>
        </w:rPr>
      </w:r>
      <w:r>
        <w:rPr/>
        <w:t>五、六届、七届董事会董事，公司副总裁、总裁；现任茂业控股总裁，兼任公司第八届董事会董事。</w:t>
      </w:r>
      <w:r>
        <w:rPr>
          <w:rFonts w:ascii="宋体" w:hAnsi="宋体" w:cs="宋体" w:eastAsia="宋体" w:hint="default"/>
        </w:rPr>
        <w:t> </w:t>
      </w:r>
    </w:p>
    <w:p>
      <w:pPr>
        <w:pStyle w:val="BodyText"/>
        <w:spacing w:line="273" w:lineRule="auto" w:before="49"/>
        <w:ind w:right="1126" w:firstLine="420"/>
        <w:jc w:val="both"/>
      </w:pPr>
      <w:r>
        <w:rPr/>
        <w:t>卢小娟，工商管理硕士，曾任茂业国际控股有限公司（</w:t>
      </w:r>
      <w:r>
        <w:rPr>
          <w:rFonts w:ascii="宋体" w:hAnsi="宋体" w:cs="宋体" w:eastAsia="宋体" w:hint="default"/>
        </w:rPr>
        <w:t>0848.HK</w:t>
      </w:r>
      <w:r>
        <w:rPr/>
        <w:t>）财务部经理、审计监察部总经理、</w:t>
      </w:r>
      <w:r>
        <w:rPr>
          <w:w w:val="100"/>
        </w:rPr>
        <w:t> </w:t>
      </w:r>
      <w:r>
        <w:rPr>
          <w:spacing w:val="-2"/>
        </w:rPr>
        <w:t>合同管理中心总经理，公司第五、六届监事会监事，公司第七届董事会董事；现任茂业国际控股有限公司</w:t>
      </w:r>
      <w:r>
        <w:rPr>
          <w:spacing w:val="-50"/>
        </w:rPr>
        <w:t> </w:t>
      </w:r>
      <w:r>
        <w:rPr>
          <w:spacing w:val="-50"/>
        </w:rPr>
      </w:r>
      <w:r>
        <w:rPr>
          <w:spacing w:val="-2"/>
        </w:rPr>
        <w:t>财务管理中心总经理及首席财务官、深圳茂业商厦有限公司副董事长、中兆投资管理有限公司总经理兼董</w:t>
      </w:r>
      <w:r>
        <w:rPr>
          <w:spacing w:val="-42"/>
        </w:rPr>
        <w:t> </w:t>
      </w:r>
      <w:r>
        <w:rPr>
          <w:spacing w:val="-42"/>
        </w:rPr>
      </w:r>
      <w:r>
        <w:rPr>
          <w:spacing w:val="-2"/>
        </w:rPr>
        <w:t>事，兼任本公司第八届董事会董事、茂业商业股份有限公司（</w:t>
      </w:r>
      <w:r>
        <w:rPr>
          <w:rFonts w:ascii="宋体" w:hAnsi="宋体" w:cs="宋体" w:eastAsia="宋体" w:hint="default"/>
          <w:spacing w:val="-2"/>
        </w:rPr>
        <w:t>SH600828</w:t>
      </w:r>
      <w:r>
        <w:rPr>
          <w:spacing w:val="-2"/>
        </w:rPr>
        <w:t>）董事、沈阳商业城股份有限公司</w:t>
      </w:r>
    </w:p>
    <w:p>
      <w:pPr>
        <w:pStyle w:val="BodyText"/>
        <w:spacing w:line="307" w:lineRule="auto" w:before="7"/>
        <w:ind w:left="573" w:right="1133" w:hanging="421"/>
        <w:jc w:val="left"/>
      </w:pPr>
      <w:r>
        <w:rPr/>
        <w:t>（</w:t>
      </w:r>
      <w:r>
        <w:rPr>
          <w:rFonts w:ascii="宋体" w:hAnsi="宋体" w:cs="宋体" w:eastAsia="宋体" w:hint="default"/>
        </w:rPr>
        <w:t>SH600306)</w:t>
      </w:r>
      <w:r>
        <w:rPr/>
        <w:t>监事。</w:t>
      </w:r>
      <w:r>
        <w:rPr>
          <w:rFonts w:ascii="宋体" w:hAnsi="宋体" w:cs="宋体" w:eastAsia="宋体" w:hint="default"/>
          <w:w w:val="100"/>
        </w:rPr>
        <w:t> </w:t>
      </w:r>
      <w:r>
        <w:rPr>
          <w:spacing w:val="-2"/>
        </w:rPr>
        <w:t>柳攀，通信博士，曾任美国博通公司系统架构科学家、本公司第七届董事会董事，现为中泽嘉盟投资</w:t>
      </w:r>
    </w:p>
    <w:p>
      <w:pPr>
        <w:pStyle w:val="BodyText"/>
        <w:spacing w:line="253" w:lineRule="exact"/>
        <w:ind w:right="0"/>
        <w:jc w:val="both"/>
        <w:rPr>
          <w:rFonts w:ascii="宋体" w:hAnsi="宋体" w:cs="宋体" w:eastAsia="宋体" w:hint="default"/>
        </w:rPr>
      </w:pPr>
      <w:r>
        <w:rPr/>
        <w:t>基金合伙人，兼任本公司第八届董事会董事。</w:t>
      </w:r>
      <w:r>
        <w:rPr>
          <w:rFonts w:ascii="宋体" w:hAnsi="宋体" w:cs="宋体" w:eastAsia="宋体" w:hint="default"/>
        </w:rPr>
        <w:t> </w:t>
      </w:r>
    </w:p>
    <w:p>
      <w:pPr>
        <w:pStyle w:val="BodyText"/>
        <w:spacing w:line="273" w:lineRule="auto" w:before="75"/>
        <w:ind w:right="1126" w:firstLine="420"/>
        <w:jc w:val="both"/>
        <w:rPr>
          <w:rFonts w:ascii="宋体" w:hAnsi="宋体" w:cs="宋体" w:eastAsia="宋体" w:hint="default"/>
        </w:rPr>
      </w:pPr>
      <w:r>
        <w:rPr/>
        <w:t>郭瀚，通信工程专业本科毕业，工程师，曾在武汉</w:t>
      </w:r>
      <w:r>
        <w:rPr>
          <w:rFonts w:ascii="宋体" w:hAnsi="宋体" w:cs="宋体" w:eastAsia="宋体" w:hint="default"/>
        </w:rPr>
        <w:t>NEC</w:t>
      </w:r>
      <w:r>
        <w:rPr/>
        <w:t>传输系统有限公司技术部</w:t>
      </w:r>
      <w:r>
        <w:rPr>
          <w:spacing w:val="-27"/>
        </w:rPr>
        <w:t> </w:t>
      </w:r>
      <w:r>
        <w:rPr>
          <w:rFonts w:ascii="宋体" w:hAnsi="宋体" w:cs="宋体" w:eastAsia="宋体" w:hint="default"/>
          <w:spacing w:val="-27"/>
        </w:rPr>
      </w:r>
      <w:r>
        <w:rPr/>
        <w:t>、西门子南方传输系</w:t>
      </w:r>
      <w:r>
        <w:rPr>
          <w:w w:val="100"/>
        </w:rPr>
        <w:t> </w:t>
      </w:r>
      <w:r>
        <w:rPr>
          <w:spacing w:val="-2"/>
        </w:rPr>
        <w:t>统有限公司市场部工作，曾任</w:t>
      </w:r>
      <w:r>
        <w:rPr>
          <w:rFonts w:ascii="宋体" w:hAnsi="宋体" w:cs="宋体" w:eastAsia="宋体" w:hint="default"/>
          <w:spacing w:val="-2"/>
        </w:rPr>
        <w:t>UT</w:t>
      </w:r>
      <w:r>
        <w:rPr>
          <w:spacing w:val="-2"/>
        </w:rPr>
        <w:t>斯达康杭州通信有限公司部门经理、博升优势产品总监、本公司第七届董</w:t>
      </w:r>
      <w:r>
        <w:rPr>
          <w:spacing w:val="-40"/>
        </w:rPr>
        <w:t> </w:t>
      </w:r>
      <w:r>
        <w:rPr>
          <w:spacing w:val="-40"/>
        </w:rPr>
      </w:r>
      <w:r>
        <w:rPr/>
        <w:t>事会董事；现任创世漫道副总经理、本公司第八届董事会董事。</w:t>
      </w:r>
      <w:r>
        <w:rPr>
          <w:rFonts w:ascii="宋体" w:hAnsi="宋体" w:cs="宋体" w:eastAsia="宋体" w:hint="default"/>
        </w:rPr>
        <w:t> </w:t>
      </w:r>
    </w:p>
    <w:p>
      <w:pPr>
        <w:pStyle w:val="BodyText"/>
        <w:spacing w:line="273" w:lineRule="auto" w:before="48"/>
        <w:ind w:right="1128" w:firstLine="420"/>
        <w:jc w:val="both"/>
        <w:rPr>
          <w:rFonts w:ascii="宋体" w:hAnsi="宋体" w:cs="宋体" w:eastAsia="宋体" w:hint="default"/>
        </w:rPr>
      </w:pPr>
      <w:r>
        <w:rPr>
          <w:spacing w:val="-2"/>
        </w:rPr>
        <w:t>陈枫，大学本科，曾任中国联通集团公司副处长、中国电信集团公司部门经理、北京智趣车联科技有</w:t>
      </w:r>
      <w:r>
        <w:rPr>
          <w:w w:val="100"/>
        </w:rPr>
        <w:t> </w:t>
      </w:r>
      <w:r>
        <w:rPr/>
        <w:t>限公司</w:t>
      </w:r>
      <w:r>
        <w:rPr>
          <w:rFonts w:ascii="宋体" w:hAnsi="宋体" w:cs="宋体" w:eastAsia="宋体" w:hint="default"/>
        </w:rPr>
        <w:t>COO(</w:t>
      </w:r>
      <w:r>
        <w:rPr/>
        <w:t>首席运营官</w:t>
      </w:r>
      <w:r>
        <w:rPr>
          <w:rFonts w:ascii="宋体" w:hAnsi="宋体" w:cs="宋体" w:eastAsia="宋体" w:hint="default"/>
        </w:rPr>
        <w:t>)</w:t>
      </w:r>
      <w:r>
        <w:rPr/>
        <w:t>；现任本公司第八届董事会董事、副总裁、公司全资子公司嘉华信息总经理。</w:t>
      </w:r>
      <w:r>
        <w:rPr>
          <w:rFonts w:ascii="宋体" w:hAnsi="宋体" w:cs="宋体" w:eastAsia="宋体" w:hint="default"/>
        </w:rPr>
        <w:t> </w:t>
      </w:r>
    </w:p>
    <w:p>
      <w:pPr>
        <w:pStyle w:val="BodyText"/>
        <w:spacing w:line="273" w:lineRule="auto" w:before="48"/>
        <w:ind w:right="1126" w:firstLine="420"/>
        <w:jc w:val="both"/>
        <w:rPr>
          <w:rFonts w:ascii="宋体" w:hAnsi="宋体" w:cs="宋体" w:eastAsia="宋体" w:hint="default"/>
        </w:rPr>
      </w:pPr>
      <w:r>
        <w:rPr>
          <w:spacing w:val="-2"/>
        </w:rPr>
        <w:t>董事的主要职责包括对董事会所议事项表示明确的个人意见，对所议事项有疑问的，主动调查，依法</w:t>
      </w:r>
      <w:r>
        <w:rPr>
          <w:w w:val="100"/>
        </w:rPr>
        <w:t> </w:t>
      </w:r>
      <w:r>
        <w:rPr/>
        <w:t>合规行事，遵守自己的声明及承诺，履行对上市公司的忠实、勤勉义务。</w:t>
      </w:r>
      <w:r>
        <w:rPr>
          <w:rFonts w:ascii="宋体" w:hAnsi="宋体" w:cs="宋体" w:eastAsia="宋体" w:hint="default"/>
        </w:rPr>
        <w:t> </w:t>
      </w:r>
    </w:p>
    <w:p>
      <w:pPr>
        <w:pStyle w:val="BodyText"/>
        <w:spacing w:line="240" w:lineRule="auto" w:before="125"/>
        <w:ind w:left="513" w:right="1133"/>
        <w:jc w:val="left"/>
        <w:rPr>
          <w:rFonts w:ascii="宋体" w:hAnsi="宋体" w:cs="宋体" w:eastAsia="宋体" w:hint="default"/>
        </w:rPr>
      </w:pPr>
      <w:r>
        <w:rPr>
          <w:rFonts w:ascii="宋体" w:hAnsi="宋体" w:cs="宋体" w:eastAsia="宋体" w:hint="default"/>
        </w:rPr>
        <w:t>4</w:t>
      </w:r>
      <w:r>
        <w:rPr/>
        <w:t>、监事</w:t>
      </w:r>
      <w:r>
        <w:rPr>
          <w:rFonts w:ascii="宋体" w:hAnsi="宋体" w:cs="宋体" w:eastAsia="宋体" w:hint="default"/>
        </w:rPr>
        <w:t> </w:t>
      </w:r>
    </w:p>
    <w:p>
      <w:pPr>
        <w:pStyle w:val="BodyText"/>
        <w:spacing w:line="273" w:lineRule="auto" w:before="78"/>
        <w:ind w:right="1126" w:firstLine="360"/>
        <w:jc w:val="both"/>
        <w:rPr>
          <w:rFonts w:ascii="宋体" w:hAnsi="宋体" w:cs="宋体" w:eastAsia="宋体" w:hint="default"/>
        </w:rPr>
      </w:pPr>
      <w:r>
        <w:rPr>
          <w:spacing w:val="-6"/>
        </w:rPr>
        <w:t>刘宏，大学本科，高级经济师，会计师，中共党员，曾任公司财务负责人</w:t>
      </w:r>
      <w:r>
        <w:rPr>
          <w:rFonts w:ascii="宋体" w:hAnsi="宋体" w:cs="宋体" w:eastAsia="宋体" w:hint="default"/>
          <w:spacing w:val="-6"/>
        </w:rPr>
        <w:t>(</w:t>
      </w:r>
      <w:r>
        <w:rPr>
          <w:spacing w:val="-6"/>
        </w:rPr>
        <w:t>财务总监</w:t>
      </w:r>
      <w:r>
        <w:rPr>
          <w:rFonts w:ascii="宋体" w:hAnsi="宋体" w:cs="宋体" w:eastAsia="宋体" w:hint="default"/>
          <w:spacing w:val="-6"/>
        </w:rPr>
        <w:t>)</w:t>
      </w:r>
      <w:r>
        <w:rPr>
          <w:spacing w:val="-6"/>
        </w:rPr>
        <w:t>、副总裁、总裁，</w:t>
      </w:r>
      <w:r>
        <w:rPr>
          <w:w w:val="100"/>
        </w:rPr>
        <w:t> </w:t>
      </w:r>
      <w:r>
        <w:rPr>
          <w:spacing w:val="-2"/>
        </w:rPr>
        <w:t>公司第一、二、三、四、五、六、七届董事会董事，公司第六、第七届董事会董事长，公司第七届监事会</w:t>
      </w:r>
      <w:r>
        <w:rPr>
          <w:spacing w:val="-41"/>
        </w:rPr>
        <w:t> </w:t>
      </w:r>
      <w:r>
        <w:rPr>
          <w:spacing w:val="-41"/>
        </w:rPr>
      </w:r>
      <w:r>
        <w:rPr>
          <w:spacing w:val="-2"/>
        </w:rPr>
        <w:t>主席，秦皇岛市第十一届、第十二届人大代表，茂业控股的董事长、法人代表；现任本公司第八届监事会</w:t>
      </w:r>
      <w:r>
        <w:rPr>
          <w:spacing w:val="-43"/>
        </w:rPr>
        <w:t> </w:t>
      </w:r>
      <w:r>
        <w:rPr>
          <w:spacing w:val="-43"/>
        </w:rPr>
      </w:r>
      <w:r>
        <w:rPr/>
        <w:t>主席、党委书记。</w:t>
      </w:r>
      <w:r>
        <w:rPr>
          <w:rFonts w:ascii="宋体" w:hAnsi="宋体" w:cs="宋体" w:eastAsia="宋体" w:hint="default"/>
        </w:rPr>
        <w:t> </w:t>
      </w:r>
    </w:p>
    <w:p>
      <w:pPr>
        <w:pStyle w:val="BodyText"/>
        <w:spacing w:line="273" w:lineRule="auto" w:before="48"/>
        <w:ind w:right="1126" w:firstLine="420"/>
        <w:jc w:val="both"/>
        <w:rPr>
          <w:rFonts w:ascii="宋体" w:hAnsi="宋体" w:cs="宋体" w:eastAsia="宋体" w:hint="default"/>
        </w:rPr>
      </w:pPr>
      <w:r>
        <w:rPr>
          <w:spacing w:val="-2"/>
        </w:rPr>
        <w:t>谢海燕，本科学历，经济学学士，国际注册内审师，高级会计师，曾在北京惠华电子工程公司、北京</w:t>
      </w:r>
      <w:r>
        <w:rPr>
          <w:w w:val="100"/>
        </w:rPr>
        <w:t> </w:t>
      </w:r>
      <w:r>
        <w:rPr>
          <w:spacing w:val="-2"/>
        </w:rPr>
        <w:t>中彩印制有限公司、北京惠典电子资讯有限公司工作，曾任北京中核华辉科技发展有限公司财务经理，宽</w:t>
      </w:r>
      <w:r>
        <w:rPr>
          <w:spacing w:val="-42"/>
        </w:rPr>
        <w:t> </w:t>
      </w:r>
      <w:r>
        <w:rPr>
          <w:spacing w:val="-42"/>
        </w:rPr>
      </w:r>
      <w:r>
        <w:rPr>
          <w:spacing w:val="-2"/>
        </w:rPr>
        <w:t>广视界科技（北京）有限公司财务负责人、公司第七届监事会监事；现任博升优势高级财务经理，兼任公</w:t>
      </w:r>
      <w:r>
        <w:rPr>
          <w:spacing w:val="-43"/>
        </w:rPr>
        <w:t> </w:t>
      </w:r>
      <w:r>
        <w:rPr>
          <w:spacing w:val="-43"/>
        </w:rPr>
      </w:r>
      <w:r>
        <w:rPr/>
        <w:t>司第八届监事会监事。</w:t>
      </w:r>
      <w:r>
        <w:rPr>
          <w:rFonts w:ascii="宋体" w:hAnsi="宋体" w:cs="宋体" w:eastAsia="宋体" w:hint="default"/>
        </w:rPr>
        <w:t> </w:t>
      </w:r>
    </w:p>
    <w:p>
      <w:pPr>
        <w:pStyle w:val="BodyText"/>
        <w:spacing w:line="273" w:lineRule="auto" w:before="49"/>
        <w:ind w:right="819" w:firstLine="420"/>
        <w:jc w:val="left"/>
        <w:rPr>
          <w:rFonts w:ascii="宋体" w:hAnsi="宋体" w:cs="宋体" w:eastAsia="宋体" w:hint="default"/>
        </w:rPr>
      </w:pPr>
      <w:r>
        <w:rPr>
          <w:spacing w:val="-2"/>
        </w:rPr>
        <w:t>吕晓清，本科学历，曾任黑龙江正业建设有限公司经营计划部经理、深圳茂业</w:t>
      </w:r>
      <w:r>
        <w:rPr>
          <w:rFonts w:ascii="宋体" w:hAnsi="宋体" w:cs="宋体" w:eastAsia="宋体" w:hint="default"/>
          <w:spacing w:val="-2"/>
        </w:rPr>
        <w:t>(</w:t>
      </w:r>
      <w:r>
        <w:rPr>
          <w:spacing w:val="-2"/>
        </w:rPr>
        <w:t>集团</w:t>
      </w:r>
      <w:r>
        <w:rPr>
          <w:rFonts w:ascii="宋体" w:hAnsi="宋体" w:cs="宋体" w:eastAsia="宋体" w:hint="default"/>
          <w:spacing w:val="-2"/>
        </w:rPr>
        <w:t>)</w:t>
      </w:r>
      <w:r>
        <w:rPr>
          <w:spacing w:val="-2"/>
        </w:rPr>
        <w:t>股份有限公司办</w:t>
      </w:r>
      <w:r>
        <w:rPr>
          <w:w w:val="100"/>
        </w:rPr>
        <w:t> </w:t>
      </w:r>
      <w:r>
        <w:rPr>
          <w:spacing w:val="-7"/>
        </w:rPr>
        <w:t>公室主任、深圳茂业商厦有限公司行政合约服务中心主任、公司第七届监事会监事。现任深圳茂业（集团）</w:t>
      </w:r>
      <w:r>
        <w:rPr>
          <w:spacing w:val="-18"/>
        </w:rPr>
        <w:t> </w:t>
      </w:r>
      <w:r>
        <w:rPr>
          <w:spacing w:val="-18"/>
        </w:rPr>
      </w:r>
      <w:r>
        <w:rPr/>
        <w:t>股份有限公司董事、总裁助理、崇德物业管理（深圳）有限公司总经理，兼任本公司第八届监事会监事、</w:t>
      </w:r>
      <w:r>
        <w:rPr>
          <w:spacing w:val="-24"/>
        </w:rPr>
        <w:t> </w:t>
      </w:r>
      <w:r>
        <w:rPr>
          <w:spacing w:val="-24"/>
        </w:rPr>
      </w:r>
      <w:r>
        <w:rPr/>
        <w:t>重药控股股份有限公司</w:t>
      </w:r>
      <w:r>
        <w:rPr>
          <w:rFonts w:ascii="宋体" w:hAnsi="宋体" w:cs="宋体" w:eastAsia="宋体" w:hint="default"/>
        </w:rPr>
        <w:t>(SZ000950)</w:t>
      </w:r>
      <w:r>
        <w:rPr/>
        <w:t>董事、沈阳商业城股份有限公司（</w:t>
      </w:r>
      <w:r>
        <w:rPr>
          <w:rFonts w:ascii="宋体" w:hAnsi="宋体" w:cs="宋体" w:eastAsia="宋体" w:hint="default"/>
        </w:rPr>
        <w:t>SH600306)</w:t>
      </w:r>
      <w:r>
        <w:rPr/>
        <w:t>董事、深圳茂业商厦有限</w:t>
      </w:r>
      <w:r>
        <w:rPr>
          <w:spacing w:val="-25"/>
        </w:rPr>
        <w:t> </w:t>
      </w:r>
      <w:r>
        <w:rPr>
          <w:spacing w:val="-25"/>
        </w:rPr>
      </w:r>
      <w:r>
        <w:rPr/>
        <w:t>公司董事、中兆投资管理有限公司董事、茂业商业股份有限公司（</w:t>
      </w:r>
      <w:r>
        <w:rPr>
          <w:rFonts w:ascii="宋体" w:hAnsi="宋体" w:cs="宋体" w:eastAsia="宋体" w:hint="default"/>
        </w:rPr>
        <w:t>SH600828</w:t>
      </w:r>
      <w:r>
        <w:rPr/>
        <w:t>）监事。</w:t>
      </w:r>
      <w:r>
        <w:rPr>
          <w:rFonts w:ascii="宋体" w:hAnsi="宋体" w:cs="宋体" w:eastAsia="宋体" w:hint="default"/>
        </w:rPr>
        <w:t> </w:t>
      </w:r>
    </w:p>
    <w:p>
      <w:pPr>
        <w:pStyle w:val="BodyText"/>
        <w:spacing w:line="240" w:lineRule="auto" w:before="46"/>
        <w:ind w:right="0"/>
        <w:jc w:val="both"/>
      </w:pPr>
      <w:r>
        <w:rPr>
          <w:rFonts w:ascii="宋体" w:hAnsi="宋体" w:cs="宋体" w:eastAsia="宋体" w:hint="default"/>
          <w:w w:val="100"/>
        </w:rPr>
        <w:t>   </w:t>
      </w:r>
      <w:r>
        <w:rPr>
          <w:rFonts w:ascii="宋体" w:hAnsi="宋体" w:cs="宋体" w:eastAsia="宋体" w:hint="default"/>
          <w:spacing w:val="-2"/>
          <w:w w:val="100"/>
        </w:rPr>
        <w:t> </w:t>
      </w:r>
      <w:r>
        <w:rPr/>
        <w:t>贠超，东北大学市场营销学学士，美国新泽西理工学院</w:t>
      </w:r>
      <w:r>
        <w:rPr>
          <w:rFonts w:ascii="宋体" w:hAnsi="宋体" w:cs="宋体" w:eastAsia="宋体" w:hint="default"/>
        </w:rPr>
        <w:t>MBA</w:t>
      </w:r>
      <w:r>
        <w:rPr/>
        <w:t>，曾就职于瑞士信贷（北京）、科威特投</w:t>
      </w:r>
    </w:p>
    <w:p>
      <w:pPr>
        <w:spacing w:after="0" w:line="240" w:lineRule="auto"/>
        <w:jc w:val="both"/>
        <w:sectPr>
          <w:pgSz w:w="11910" w:h="16840"/>
          <w:pgMar w:header="880" w:footer="975" w:top="1100" w:bottom="1160" w:left="980" w:right="0"/>
        </w:sectPr>
      </w:pPr>
    </w:p>
    <w:p>
      <w:pPr>
        <w:spacing w:line="240" w:lineRule="auto" w:before="11"/>
        <w:rPr>
          <w:rFonts w:ascii="宋体" w:hAnsi="宋体" w:cs="宋体" w:eastAsia="宋体" w:hint="default"/>
          <w:sz w:val="20"/>
          <w:szCs w:val="20"/>
        </w:rPr>
      </w:pPr>
    </w:p>
    <w:p>
      <w:pPr>
        <w:pStyle w:val="BodyText"/>
        <w:spacing w:line="273" w:lineRule="auto" w:before="36"/>
        <w:ind w:right="1126"/>
        <w:jc w:val="both"/>
        <w:rPr>
          <w:rFonts w:ascii="宋体" w:hAnsi="宋体" w:cs="宋体" w:eastAsia="宋体" w:hint="default"/>
        </w:rPr>
      </w:pPr>
      <w:r>
        <w:rPr>
          <w:spacing w:val="-7"/>
        </w:rPr>
        <w:t>资局驻京代表处。现任本公司第八届监事会监事、总裁办主任，兼任公司全资子公司创世漫道总经理助理、</w:t>
      </w:r>
      <w:r>
        <w:rPr>
          <w:spacing w:val="-16"/>
        </w:rPr>
        <w:t> </w:t>
      </w:r>
      <w:r>
        <w:rPr>
          <w:spacing w:val="-16"/>
        </w:rPr>
      </w:r>
      <w:r>
        <w:rPr/>
        <w:t>市场总监。</w:t>
      </w:r>
      <w:r>
        <w:rPr>
          <w:rFonts w:ascii="宋体" w:hAnsi="宋体" w:cs="宋体" w:eastAsia="宋体" w:hint="default"/>
        </w:rPr>
        <w:t> </w:t>
      </w:r>
    </w:p>
    <w:p>
      <w:pPr>
        <w:pStyle w:val="BodyText"/>
        <w:spacing w:line="273" w:lineRule="auto" w:before="48"/>
        <w:ind w:right="1126" w:firstLine="420"/>
        <w:jc w:val="both"/>
        <w:rPr>
          <w:rFonts w:ascii="宋体" w:hAnsi="宋体" w:cs="宋体" w:eastAsia="宋体" w:hint="default"/>
        </w:rPr>
      </w:pPr>
      <w:r>
        <w:rPr>
          <w:spacing w:val="-2"/>
        </w:rPr>
        <w:t>张海英，本科学历，中共党员，曾在秦皇岛商城股份有限公司筹备委员会、秦皇岛商城办公室、华联</w:t>
      </w:r>
      <w:r>
        <w:rPr>
          <w:w w:val="100"/>
        </w:rPr>
        <w:t> </w:t>
      </w:r>
      <w:r>
        <w:rPr>
          <w:spacing w:val="-2"/>
        </w:rPr>
        <w:t>商城股份有限公司合并上市筹委会工作，曾任本公司证券事务主管、第七届监事会监事，现任公司证券事</w:t>
      </w:r>
      <w:r>
        <w:rPr>
          <w:spacing w:val="-44"/>
        </w:rPr>
        <w:t> </w:t>
      </w:r>
      <w:r>
        <w:rPr>
          <w:spacing w:val="-44"/>
        </w:rPr>
      </w:r>
      <w:r>
        <w:rPr/>
        <w:t>务代表、证券部经理，公司第八届监事会监事。</w:t>
      </w:r>
      <w:r>
        <w:rPr>
          <w:rFonts w:ascii="宋体" w:hAnsi="宋体" w:cs="宋体" w:eastAsia="宋体" w:hint="default"/>
        </w:rPr>
        <w:t> </w:t>
      </w:r>
    </w:p>
    <w:p>
      <w:pPr>
        <w:pStyle w:val="BodyText"/>
        <w:spacing w:line="273" w:lineRule="auto" w:before="46"/>
        <w:ind w:right="1127" w:firstLine="360"/>
        <w:jc w:val="both"/>
        <w:rPr>
          <w:rFonts w:ascii="宋体" w:hAnsi="宋体" w:cs="宋体" w:eastAsia="宋体" w:hint="default"/>
        </w:rPr>
      </w:pPr>
      <w:r>
        <w:rPr>
          <w:spacing w:val="-1"/>
        </w:rPr>
        <w:t>监事的主要职责包括对公司董事、高级管理人员遵守有关法律、行政法规、部门规章、规范性文件和</w:t>
      </w:r>
      <w:r>
        <w:rPr>
          <w:w w:val="100"/>
        </w:rPr>
        <w:t> </w:t>
      </w:r>
      <w:r>
        <w:rPr/>
        <w:t>公司章程以及执行公司职务的行为进行监督，对董事会所议事项进行监督。</w:t>
      </w:r>
      <w:r>
        <w:rPr>
          <w:rFonts w:ascii="宋体" w:hAnsi="宋体" w:cs="宋体" w:eastAsia="宋体" w:hint="default"/>
        </w:rPr>
        <w:t> </w:t>
      </w:r>
    </w:p>
    <w:p>
      <w:pPr>
        <w:pStyle w:val="BodyText"/>
        <w:spacing w:line="240" w:lineRule="auto" w:before="127"/>
        <w:ind w:left="513" w:right="1133"/>
        <w:jc w:val="left"/>
        <w:rPr>
          <w:rFonts w:ascii="宋体" w:hAnsi="宋体" w:cs="宋体" w:eastAsia="宋体" w:hint="default"/>
        </w:rPr>
      </w:pPr>
      <w:r>
        <w:rPr>
          <w:rFonts w:ascii="宋体" w:hAnsi="宋体" w:cs="宋体" w:eastAsia="宋体" w:hint="default"/>
        </w:rPr>
        <w:t>5</w:t>
      </w:r>
      <w:r>
        <w:rPr/>
        <w:t>、高级管理人员</w:t>
      </w:r>
      <w:r>
        <w:rPr>
          <w:rFonts w:ascii="宋体" w:hAnsi="宋体" w:cs="宋体" w:eastAsia="宋体" w:hint="default"/>
        </w:rPr>
        <w:t> </w:t>
      </w:r>
    </w:p>
    <w:p>
      <w:pPr>
        <w:pStyle w:val="BodyText"/>
        <w:spacing w:line="273" w:lineRule="auto" w:before="78"/>
        <w:ind w:right="819" w:firstLine="360"/>
        <w:jc w:val="left"/>
        <w:rPr>
          <w:rFonts w:ascii="宋体" w:hAnsi="宋体" w:cs="宋体" w:eastAsia="宋体" w:hint="default"/>
        </w:rPr>
      </w:pPr>
      <w:r>
        <w:rPr/>
        <w:t>林明，大学本科，</w:t>
      </w:r>
      <w:r>
        <w:rPr>
          <w:rFonts w:ascii="宋体" w:hAnsi="宋体" w:cs="宋体" w:eastAsia="宋体" w:hint="default"/>
        </w:rPr>
        <w:t>1993</w:t>
      </w:r>
      <w:r>
        <w:rPr/>
        <w:t>年毕业于北京理工大学管理学院，曾任广东省惠州市邮电局工程师、广东</w:t>
      </w:r>
      <w:r>
        <w:rPr>
          <w:rFonts w:ascii="宋体" w:hAnsi="宋体" w:cs="宋体" w:eastAsia="宋体" w:hint="default"/>
        </w:rPr>
        <w:t>UT</w:t>
      </w:r>
      <w:r>
        <w:rPr/>
        <w:t>斯</w:t>
      </w:r>
      <w:r>
        <w:rPr>
          <w:w w:val="100"/>
        </w:rPr>
        <w:t> </w:t>
      </w:r>
      <w:r>
        <w:rPr>
          <w:spacing w:val="-4"/>
        </w:rPr>
        <w:t>达康通讯有限公司销售部经理、广东阿哈媒体服务有限公司副总裁、宽广视界科技</w:t>
      </w:r>
      <w:r>
        <w:rPr>
          <w:rFonts w:ascii="宋体" w:hAnsi="宋体" w:cs="宋体" w:eastAsia="宋体" w:hint="default"/>
          <w:spacing w:val="-4"/>
        </w:rPr>
        <w:t>(</w:t>
      </w:r>
      <w:r>
        <w:rPr>
          <w:spacing w:val="-4"/>
        </w:rPr>
        <w:t>北京</w:t>
      </w:r>
      <w:r>
        <w:rPr>
          <w:rFonts w:ascii="宋体" w:hAnsi="宋体" w:cs="宋体" w:eastAsia="宋体" w:hint="default"/>
          <w:spacing w:val="-4"/>
        </w:rPr>
        <w:t>)</w:t>
      </w:r>
      <w:r>
        <w:rPr>
          <w:spacing w:val="-4"/>
        </w:rPr>
        <w:t>有限公司副总裁、</w:t>
      </w:r>
      <w:r>
        <w:rPr>
          <w:spacing w:val="-48"/>
        </w:rPr>
        <w:t> </w:t>
      </w:r>
      <w:r>
        <w:rPr>
          <w:spacing w:val="-48"/>
        </w:rPr>
      </w:r>
      <w:r>
        <w:rPr>
          <w:spacing w:val="-2"/>
        </w:rPr>
        <w:t>北京博升优势行政人事总监、本公司副总裁。现任公司总裁，全资子公司创世漫道总经理，主要职责包括</w:t>
      </w:r>
      <w:r>
        <w:rPr>
          <w:spacing w:val="-47"/>
        </w:rPr>
        <w:t> </w:t>
      </w:r>
      <w:r>
        <w:rPr>
          <w:spacing w:val="-47"/>
        </w:rPr>
      </w:r>
      <w:r>
        <w:rPr>
          <w:spacing w:val="-2"/>
        </w:rPr>
        <w:t>主持公司生产经营管理工作、组织实施董事会决议、向董事会报告工作，组织实施公司年度经营计划和投</w:t>
      </w:r>
      <w:r>
        <w:rPr>
          <w:spacing w:val="-43"/>
        </w:rPr>
        <w:t> </w:t>
      </w:r>
      <w:r>
        <w:rPr>
          <w:spacing w:val="-43"/>
        </w:rPr>
      </w:r>
      <w:r>
        <w:rPr>
          <w:spacing w:val="-2"/>
        </w:rPr>
        <w:t>资方案，拟订公司内部管理机构设置方案、公司的基本管理制度，制定公司的具体规章，提请聘任或者解</w:t>
      </w:r>
      <w:r>
        <w:rPr>
          <w:spacing w:val="-50"/>
        </w:rPr>
        <w:t> </w:t>
      </w:r>
      <w:r>
        <w:rPr>
          <w:spacing w:val="-50"/>
        </w:rPr>
      </w:r>
      <w:r>
        <w:rPr>
          <w:spacing w:val="-2"/>
        </w:rPr>
        <w:t>聘公司副总裁、财务负责人，决定聘任或者解聘除应由董事会决定聘任或者解聘以外的管理人员；拟订创</w:t>
      </w:r>
      <w:r>
        <w:rPr>
          <w:spacing w:val="-44"/>
        </w:rPr>
        <w:t> </w:t>
      </w:r>
      <w:r>
        <w:rPr>
          <w:spacing w:val="-44"/>
        </w:rPr>
      </w:r>
      <w:r>
        <w:rPr/>
        <w:t>世漫道业务规划、工作计划，负责创世漫道日常经营、管理和内部控制。</w:t>
      </w:r>
      <w:r>
        <w:rPr>
          <w:rFonts w:ascii="宋体" w:hAnsi="宋体" w:cs="宋体" w:eastAsia="宋体" w:hint="default"/>
        </w:rPr>
        <w:t> </w:t>
      </w:r>
    </w:p>
    <w:p>
      <w:pPr>
        <w:pStyle w:val="BodyText"/>
        <w:spacing w:line="273" w:lineRule="auto" w:before="48"/>
        <w:ind w:right="1126"/>
        <w:jc w:val="both"/>
        <w:rPr>
          <w:rFonts w:ascii="宋体" w:hAnsi="宋体" w:cs="宋体" w:eastAsia="宋体" w:hint="default"/>
        </w:rPr>
      </w:pPr>
      <w:r>
        <w:rPr>
          <w:rFonts w:ascii="宋体" w:hAnsi="宋体" w:cs="宋体" w:eastAsia="宋体" w:hint="default"/>
          <w:w w:val="100"/>
        </w:rPr>
        <w:t>    </w:t>
      </w:r>
      <w:r>
        <w:rPr>
          <w:spacing w:val="-2"/>
        </w:rPr>
        <w:t>束海峰，厦门大学经济学学士，北京邮电大学经济学硕士，曾在中国信息通信研究院产业与规划研究</w:t>
      </w:r>
      <w:r>
        <w:rPr>
          <w:w w:val="100"/>
        </w:rPr>
        <w:t> </w:t>
      </w:r>
      <w:r>
        <w:rPr>
          <w:spacing w:val="-2"/>
        </w:rPr>
        <w:t>所工作，曾任华创证券研究所通信互联网行业首席分析师；现任公司副总裁、董事会秘书。主要职责包括</w:t>
      </w:r>
      <w:r>
        <w:rPr>
          <w:spacing w:val="-47"/>
        </w:rPr>
        <w:t> </w:t>
      </w:r>
      <w:r>
        <w:rPr>
          <w:spacing w:val="-47"/>
        </w:rPr>
      </w:r>
      <w:r>
        <w:rPr/>
        <w:t>公司股东大会和董事会会议的筹备、信息披露、投资者关系管理、投融资等工作。</w:t>
      </w:r>
      <w:r>
        <w:rPr>
          <w:rFonts w:ascii="宋体" w:hAnsi="宋体" w:cs="宋体" w:eastAsia="宋体" w:hint="default"/>
        </w:rPr>
        <w:t> </w:t>
      </w:r>
    </w:p>
    <w:p>
      <w:pPr>
        <w:pStyle w:val="BodyText"/>
        <w:spacing w:line="273" w:lineRule="auto" w:before="46"/>
        <w:ind w:right="1126" w:firstLine="420"/>
        <w:jc w:val="both"/>
        <w:rPr>
          <w:rFonts w:ascii="宋体" w:hAnsi="宋体" w:cs="宋体" w:eastAsia="宋体" w:hint="default"/>
        </w:rPr>
      </w:pPr>
      <w:r>
        <w:rPr/>
        <w:t>李鹏宇，大学本科，高级会计师。曾任深圳招商迪辰集团财务中心主办会计、财务经理，</w:t>
      </w:r>
      <w:r>
        <w:rPr>
          <w:rFonts w:ascii="宋体" w:hAnsi="宋体" w:cs="宋体" w:eastAsia="宋体" w:hint="default"/>
        </w:rPr>
        <w:t>TCL</w:t>
      </w:r>
      <w:r>
        <w:rPr>
          <w:rFonts w:ascii="宋体" w:hAnsi="宋体" w:cs="宋体" w:eastAsia="宋体" w:hint="default"/>
          <w:spacing w:val="-28"/>
        </w:rPr>
        <w:t> </w:t>
      </w:r>
      <w:r>
        <w:rPr/>
        <w:t>集团海</w:t>
      </w:r>
      <w:r>
        <w:rPr>
          <w:w w:val="100"/>
        </w:rPr>
        <w:t> </w:t>
      </w:r>
      <w:r>
        <w:rPr/>
        <w:t>外事业部财务中心拉美区高级财务经理，韩国 </w:t>
      </w:r>
      <w:r>
        <w:rPr>
          <w:rFonts w:ascii="宋体" w:hAnsi="宋体" w:cs="宋体" w:eastAsia="宋体" w:hint="default"/>
        </w:rPr>
        <w:t>SK</w:t>
      </w:r>
      <w:r>
        <w:rPr>
          <w:rFonts w:ascii="宋体" w:hAnsi="宋体" w:cs="宋体" w:eastAsia="宋体" w:hint="default"/>
          <w:spacing w:val="-28"/>
        </w:rPr>
        <w:t> </w:t>
      </w:r>
      <w:r>
        <w:rPr/>
        <w:t>电信投资（中国）有限公司财务部财务总监，万达商业</w:t>
      </w:r>
      <w:r>
        <w:rPr>
          <w:w w:val="100"/>
        </w:rPr>
        <w:t> </w:t>
      </w:r>
      <w:r>
        <w:rPr>
          <w:spacing w:val="-2"/>
        </w:rPr>
        <w:t>管理有限公司财务管理中心副总经理兼西北区域财务总，深圳市大凡珠宝首饰有限公司常务副总裁，深圳</w:t>
      </w:r>
      <w:r>
        <w:rPr>
          <w:spacing w:val="-42"/>
        </w:rPr>
        <w:t> </w:t>
      </w:r>
      <w:r>
        <w:rPr>
          <w:spacing w:val="-42"/>
        </w:rPr>
      </w:r>
      <w:r>
        <w:rPr>
          <w:spacing w:val="-2"/>
        </w:rPr>
        <w:t>海仕通投资集团有限公司副总裁。现任本公司副总裁、财务负责人，深圳前海华祥投资基金管理有限公司</w:t>
      </w:r>
      <w:r>
        <w:rPr>
          <w:spacing w:val="-42"/>
        </w:rPr>
        <w:t> </w:t>
      </w:r>
      <w:r>
        <w:rPr>
          <w:spacing w:val="-42"/>
        </w:rPr>
      </w:r>
      <w:r>
        <w:rPr>
          <w:spacing w:val="-2"/>
        </w:rPr>
        <w:t>法人及执行董事、深圳市祎祎商务贸易有限公司法定代表人、深圳市沄熙科技有限公司法定代表人，兼任</w:t>
      </w:r>
      <w:r>
        <w:rPr>
          <w:spacing w:val="-44"/>
        </w:rPr>
        <w:t> </w:t>
      </w:r>
      <w:r>
        <w:rPr>
          <w:spacing w:val="-44"/>
        </w:rPr>
      </w:r>
      <w:r>
        <w:rPr>
          <w:spacing w:val="-2"/>
        </w:rPr>
        <w:t>深圳前海海燕供应链有限公司监事。在本公司的主要职责包括公司财务计划、资产安全、会计核算在内的</w:t>
      </w:r>
      <w:r>
        <w:rPr>
          <w:spacing w:val="-44"/>
        </w:rPr>
        <w:t> </w:t>
      </w:r>
      <w:r>
        <w:rPr>
          <w:spacing w:val="-44"/>
        </w:rPr>
      </w:r>
      <w:r>
        <w:rPr/>
        <w:t>管理控制。</w:t>
      </w:r>
      <w:r>
        <w:rPr>
          <w:rFonts w:ascii="宋体" w:hAnsi="宋体" w:cs="宋体" w:eastAsia="宋体" w:hint="default"/>
        </w:rPr>
        <w:t> </w:t>
      </w:r>
    </w:p>
    <w:p>
      <w:pPr>
        <w:pStyle w:val="BodyText"/>
        <w:spacing w:line="273" w:lineRule="auto" w:before="48"/>
        <w:ind w:right="1126" w:firstLine="420"/>
        <w:jc w:val="both"/>
        <w:rPr>
          <w:rFonts w:ascii="宋体" w:hAnsi="宋体" w:cs="宋体" w:eastAsia="宋体" w:hint="default"/>
        </w:rPr>
      </w:pPr>
      <w:r>
        <w:rPr>
          <w:spacing w:val="-2"/>
        </w:rPr>
        <w:t>陈枫，大学本科，曾任中国联通集团公司副处长、中国电信集团公司部门经理、北京智趣车联科技有</w:t>
      </w:r>
      <w:r>
        <w:rPr>
          <w:w w:val="100"/>
        </w:rPr>
        <w:t> </w:t>
      </w:r>
      <w:r>
        <w:rPr/>
        <w:t>限公司</w:t>
      </w:r>
      <w:r>
        <w:rPr>
          <w:spacing w:val="-29"/>
        </w:rPr>
        <w:t> </w:t>
      </w:r>
      <w:r>
        <w:rPr>
          <w:rFonts w:ascii="宋体" w:hAnsi="宋体" w:cs="宋体" w:eastAsia="宋体" w:hint="default"/>
        </w:rPr>
        <w:t>COO(</w:t>
      </w:r>
      <w:r>
        <w:rPr/>
        <w:t>首席运营官</w:t>
      </w:r>
      <w:r>
        <w:rPr>
          <w:rFonts w:ascii="宋体" w:hAnsi="宋体" w:cs="宋体" w:eastAsia="宋体" w:hint="default"/>
        </w:rPr>
        <w:t>)</w:t>
      </w:r>
      <w:r>
        <w:rPr/>
        <w:t>；现任本公司第八届董事会董事、副总裁、公司全资子公司嘉华信息总经理。主</w:t>
      </w:r>
      <w:r>
        <w:rPr>
          <w:w w:val="100"/>
        </w:rPr>
        <w:t> </w:t>
      </w:r>
      <w:r>
        <w:rPr/>
        <w:t>要职责拟订嘉华信息业务规划、工作计划，负责嘉华信息日常经营、管理和内部控制。</w:t>
      </w:r>
      <w:r>
        <w:rPr>
          <w:rFonts w:ascii="宋体" w:hAnsi="宋体" w:cs="宋体" w:eastAsia="宋体" w:hint="default"/>
        </w:rPr>
        <w:t> </w:t>
      </w:r>
    </w:p>
    <w:p>
      <w:pPr>
        <w:pStyle w:val="BodyText"/>
        <w:spacing w:line="273" w:lineRule="auto" w:before="48"/>
        <w:ind w:right="1126" w:firstLine="420"/>
        <w:jc w:val="both"/>
        <w:rPr>
          <w:rFonts w:ascii="宋体" w:hAnsi="宋体" w:cs="宋体" w:eastAsia="宋体" w:hint="default"/>
        </w:rPr>
      </w:pPr>
      <w:r>
        <w:rPr>
          <w:spacing w:val="-6"/>
        </w:rPr>
        <w:t>袁奕，大学本科，高级经济师。曾任惠州市邮电局部门主管、广东 </w:t>
      </w:r>
      <w:r>
        <w:rPr>
          <w:rFonts w:ascii="宋体" w:hAnsi="宋体" w:cs="宋体" w:eastAsia="宋体" w:hint="default"/>
        </w:rPr>
        <w:t>UT</w:t>
      </w:r>
      <w:r>
        <w:rPr>
          <w:rFonts w:ascii="宋体" w:hAnsi="宋体" w:cs="宋体" w:eastAsia="宋体" w:hint="default"/>
          <w:spacing w:val="-73"/>
        </w:rPr>
        <w:t> </w:t>
      </w:r>
      <w:r>
        <w:rPr/>
        <w:t>斯达康通信有限公司部门经理、</w:t>
      </w:r>
      <w:r>
        <w:rPr>
          <w:w w:val="100"/>
        </w:rPr>
        <w:t> </w:t>
      </w:r>
      <w:r>
        <w:rPr>
          <w:spacing w:val="-2"/>
        </w:rPr>
        <w:t>广东省电信工程有限公司部门经理、中通服建设有限公司分公司总经理，现任公司副总裁、公司全资子公</w:t>
      </w:r>
      <w:r>
        <w:rPr>
          <w:spacing w:val="-45"/>
        </w:rPr>
        <w:t> </w:t>
      </w:r>
      <w:r>
        <w:rPr>
          <w:spacing w:val="-45"/>
        </w:rPr>
      </w:r>
      <w:r>
        <w:rPr>
          <w:spacing w:val="-2"/>
        </w:rPr>
        <w:t>司长实通信总经理。主要职责拟订长实通信业务规划、工作计划，负责长实通信日常经营、管理和内部控</w:t>
      </w:r>
      <w:r>
        <w:rPr>
          <w:spacing w:val="-47"/>
        </w:rPr>
        <w:t> </w:t>
      </w:r>
      <w:r>
        <w:rPr>
          <w:spacing w:val="-47"/>
        </w:rPr>
      </w:r>
      <w:r>
        <w:rPr/>
        <w:t>制。</w:t>
      </w:r>
      <w:r>
        <w:rPr>
          <w:rFonts w:ascii="宋体" w:hAnsi="宋体" w:cs="宋体" w:eastAsia="宋体" w:hint="default"/>
        </w:rPr>
        <w:t> </w:t>
      </w:r>
    </w:p>
    <w:p>
      <w:pPr>
        <w:pStyle w:val="BodyText"/>
        <w:spacing w:line="240" w:lineRule="auto" w:before="125"/>
        <w:ind w:right="0"/>
        <w:jc w:val="both"/>
        <w:rPr>
          <w:rFonts w:ascii="宋体" w:hAnsi="宋体" w:cs="宋体" w:eastAsia="宋体" w:hint="default"/>
        </w:rPr>
      </w:pPr>
      <w:r>
        <w:rPr/>
        <w:t>在股东单位任职情况</w:t>
      </w:r>
      <w:r>
        <w:rPr>
          <w:rFonts w:ascii="宋体" w:hAnsi="宋体" w:cs="宋体" w:eastAsia="宋体" w:hint="default"/>
        </w:rPr>
        <w:t> </w:t>
      </w:r>
    </w:p>
    <w:p>
      <w:pPr>
        <w:pStyle w:val="BodyText"/>
        <w:spacing w:line="240" w:lineRule="auto" w:before="78"/>
        <w:ind w:right="0"/>
        <w:jc w:val="both"/>
        <w:rPr>
          <w:rFonts w:ascii="宋体" w:hAnsi="宋体" w:cs="宋体" w:eastAsia="宋体" w:hint="default"/>
        </w:rPr>
      </w:pPr>
      <w:r>
        <w:rPr/>
        <w:t>√ 适用 </w:t>
      </w:r>
      <w:r>
        <w:rPr>
          <w:rFonts w:ascii="宋体" w:hAnsi="宋体" w:cs="宋体" w:eastAsia="宋体" w:hint="default"/>
        </w:rPr>
      </w:r>
      <w:r>
        <w:rPr>
          <w:spacing w:val="-3"/>
        </w:rPr>
        <w:t>□</w:t>
      </w:r>
      <w:r>
        <w:rPr/>
        <w:t> 不适用</w:t>
      </w:r>
      <w:r>
        <w:rPr>
          <w:rFonts w:ascii="宋体" w:hAnsi="宋体" w:cs="宋体" w:eastAsia="宋体" w:hint="default"/>
        </w:rPr>
        <w:t> </w:t>
      </w:r>
    </w:p>
    <w:p>
      <w:pPr>
        <w:spacing w:line="240" w:lineRule="auto" w:before="12"/>
        <w:rPr>
          <w:rFonts w:ascii="宋体" w:hAnsi="宋体" w:cs="宋体" w:eastAsia="宋体" w:hint="default"/>
          <w:sz w:val="6"/>
          <w:szCs w:val="6"/>
        </w:rPr>
      </w:pPr>
    </w:p>
    <w:tbl>
      <w:tblPr>
        <w:tblW w:w="0" w:type="auto"/>
        <w:jc w:val="left"/>
        <w:tblInd w:w="148" w:type="dxa"/>
        <w:tblLayout w:type="fixed"/>
        <w:tblCellMar>
          <w:top w:w="0" w:type="dxa"/>
          <w:left w:w="0" w:type="dxa"/>
          <w:bottom w:w="0" w:type="dxa"/>
          <w:right w:w="0" w:type="dxa"/>
        </w:tblCellMar>
        <w:tblLook w:val="01E0"/>
      </w:tblPr>
      <w:tblGrid>
        <w:gridCol w:w="994"/>
        <w:gridCol w:w="3260"/>
        <w:gridCol w:w="2127"/>
        <w:gridCol w:w="1843"/>
        <w:gridCol w:w="1416"/>
      </w:tblGrid>
      <w:tr>
        <w:trPr>
          <w:trHeight w:val="790" w:hRule="exact"/>
        </w:trPr>
        <w:tc>
          <w:tcPr>
            <w:tcW w:w="9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28"/>
              <w:ind w:left="312" w:right="130" w:hanging="181"/>
              <w:jc w:val="left"/>
              <w:rPr>
                <w:rFonts w:ascii="宋体" w:hAnsi="宋体" w:cs="宋体" w:eastAsia="宋体" w:hint="default"/>
                <w:sz w:val="18"/>
                <w:szCs w:val="18"/>
              </w:rPr>
            </w:pPr>
            <w:r>
              <w:rPr>
                <w:rFonts w:ascii="宋体" w:hAnsi="宋体" w:cs="宋体" w:eastAsia="宋体" w:hint="default"/>
                <w:sz w:val="18"/>
                <w:szCs w:val="18"/>
              </w:rPr>
              <w:t>任职人员 姓名</w:t>
            </w:r>
            <w:r>
              <w:rPr>
                <w:rFonts w:ascii="宋体" w:hAnsi="宋体" w:cs="宋体" w:eastAsia="宋体" w:hint="default"/>
                <w:sz w:val="18"/>
                <w:szCs w:val="18"/>
              </w:rPr>
              <w:t> </w:t>
            </w:r>
          </w:p>
        </w:tc>
        <w:tc>
          <w:tcPr>
            <w:tcW w:w="32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1084" w:right="0"/>
              <w:jc w:val="left"/>
              <w:rPr>
                <w:rFonts w:ascii="宋体" w:hAnsi="宋体" w:cs="宋体" w:eastAsia="宋体" w:hint="default"/>
                <w:sz w:val="18"/>
                <w:szCs w:val="18"/>
              </w:rPr>
            </w:pPr>
            <w:r>
              <w:rPr>
                <w:rFonts w:ascii="宋体" w:hAnsi="宋体" w:cs="宋体" w:eastAsia="宋体" w:hint="default"/>
                <w:sz w:val="18"/>
                <w:szCs w:val="18"/>
              </w:rPr>
              <w:t>股东单位名称</w:t>
            </w:r>
            <w:r>
              <w:rPr>
                <w:rFonts w:ascii="宋体" w:hAnsi="宋体" w:cs="宋体" w:eastAsia="宋体" w:hint="default"/>
                <w:sz w:val="18"/>
                <w:szCs w:val="18"/>
              </w:rPr>
              <w:t> </w:t>
            </w:r>
          </w:p>
        </w:tc>
        <w:tc>
          <w:tcPr>
            <w:tcW w:w="212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160" w:right="0"/>
              <w:jc w:val="left"/>
              <w:rPr>
                <w:rFonts w:ascii="宋体" w:hAnsi="宋体" w:cs="宋体" w:eastAsia="宋体" w:hint="default"/>
                <w:sz w:val="18"/>
                <w:szCs w:val="18"/>
              </w:rPr>
            </w:pPr>
            <w:r>
              <w:rPr>
                <w:rFonts w:ascii="宋体" w:hAnsi="宋体" w:cs="宋体" w:eastAsia="宋体" w:hint="default"/>
                <w:sz w:val="18"/>
                <w:szCs w:val="18"/>
              </w:rPr>
              <w:t>在股东单位担任的职务</w:t>
            </w:r>
            <w:r>
              <w:rPr>
                <w:rFonts w:ascii="宋体" w:hAnsi="宋体" w:cs="宋体" w:eastAsia="宋体" w:hint="default"/>
                <w:sz w:val="18"/>
                <w:szCs w:val="18"/>
              </w:rPr>
              <w:t> </w:t>
            </w:r>
          </w:p>
        </w:tc>
        <w:tc>
          <w:tcPr>
            <w:tcW w:w="184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376" w:right="0"/>
              <w:jc w:val="left"/>
              <w:rPr>
                <w:rFonts w:ascii="宋体" w:hAnsi="宋体" w:cs="宋体" w:eastAsia="宋体" w:hint="default"/>
                <w:sz w:val="18"/>
                <w:szCs w:val="18"/>
              </w:rPr>
            </w:pPr>
            <w:r>
              <w:rPr>
                <w:rFonts w:ascii="宋体" w:hAnsi="宋体" w:cs="宋体" w:eastAsia="宋体" w:hint="default"/>
                <w:sz w:val="18"/>
                <w:szCs w:val="18"/>
              </w:rPr>
              <w:t>任期起始日期</w:t>
            </w:r>
            <w:r>
              <w:rPr>
                <w:rFonts w:ascii="宋体" w:hAnsi="宋体" w:cs="宋体" w:eastAsia="宋体" w:hint="default"/>
                <w:sz w:val="18"/>
                <w:szCs w:val="18"/>
              </w:rPr>
              <w:t> </w:t>
            </w:r>
          </w:p>
        </w:tc>
        <w:tc>
          <w:tcPr>
            <w:tcW w:w="1416"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7" w:lineRule="auto" w:before="12"/>
              <w:ind w:left="103" w:right="221"/>
              <w:jc w:val="both"/>
              <w:rPr>
                <w:rFonts w:ascii="宋体" w:hAnsi="宋体" w:cs="宋体" w:eastAsia="宋体" w:hint="default"/>
                <w:sz w:val="18"/>
                <w:szCs w:val="18"/>
              </w:rPr>
            </w:pPr>
            <w:r>
              <w:rPr>
                <w:rFonts w:ascii="宋体" w:hAnsi="宋体" w:cs="宋体" w:eastAsia="宋体" w:hint="default"/>
                <w:sz w:val="18"/>
                <w:szCs w:val="18"/>
              </w:rPr>
              <w:t>在股东单位是 否领取报酬津 贴</w:t>
            </w:r>
            <w:r>
              <w:rPr>
                <w:rFonts w:ascii="宋体" w:hAnsi="宋体" w:cs="宋体" w:eastAsia="宋体" w:hint="default"/>
                <w:sz w:val="18"/>
                <w:szCs w:val="18"/>
              </w:rPr>
              <w:t> </w:t>
            </w:r>
          </w:p>
        </w:tc>
      </w:tr>
      <w:tr>
        <w:trPr>
          <w:trHeight w:val="403" w:hRule="exact"/>
        </w:trPr>
        <w:tc>
          <w:tcPr>
            <w:tcW w:w="99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221" w:right="0"/>
              <w:jc w:val="left"/>
              <w:rPr>
                <w:rFonts w:ascii="宋体" w:hAnsi="宋体" w:cs="宋体" w:eastAsia="宋体" w:hint="default"/>
                <w:sz w:val="18"/>
                <w:szCs w:val="18"/>
              </w:rPr>
            </w:pPr>
            <w:r>
              <w:rPr>
                <w:rFonts w:ascii="宋体" w:hAnsi="宋体" w:cs="宋体" w:eastAsia="宋体" w:hint="default"/>
                <w:sz w:val="18"/>
                <w:szCs w:val="18"/>
              </w:rPr>
              <w:t>吴 </w:t>
            </w:r>
            <w:r>
              <w:rPr>
                <w:rFonts w:ascii="宋体" w:hAnsi="宋体" w:cs="宋体" w:eastAsia="宋体" w:hint="default"/>
                <w:spacing w:val="2"/>
                <w:sz w:val="18"/>
                <w:szCs w:val="18"/>
              </w:rPr>
              <w:t> </w:t>
            </w:r>
            <w:r>
              <w:rPr>
                <w:rFonts w:ascii="宋体" w:hAnsi="宋体" w:cs="宋体" w:eastAsia="宋体" w:hint="default"/>
                <w:spacing w:val="2"/>
                <w:sz w:val="18"/>
                <w:szCs w:val="18"/>
              </w:rPr>
            </w:r>
            <w:r>
              <w:rPr>
                <w:rFonts w:ascii="宋体" w:hAnsi="宋体" w:cs="宋体" w:eastAsia="宋体" w:hint="default"/>
                <w:spacing w:val="-3"/>
                <w:sz w:val="18"/>
                <w:szCs w:val="18"/>
              </w:rPr>
              <w:t>鹰</w:t>
            </w:r>
            <w:r>
              <w:rPr>
                <w:rFonts w:ascii="宋体" w:hAnsi="宋体" w:cs="宋体" w:eastAsia="宋体" w:hint="default"/>
                <w:sz w:val="18"/>
                <w:szCs w:val="18"/>
              </w:rPr>
              <w:t> </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北京中泽嘉盟投资中心</w:t>
            </w:r>
            <w:r>
              <w:rPr>
                <w:rFonts w:ascii="宋体" w:hAnsi="宋体" w:cs="宋体" w:eastAsia="宋体" w:hint="default"/>
                <w:sz w:val="18"/>
                <w:szCs w:val="18"/>
              </w:rPr>
              <w:t>(</w:t>
            </w:r>
            <w:r>
              <w:rPr>
                <w:rFonts w:ascii="宋体" w:hAnsi="宋体" w:cs="宋体" w:eastAsia="宋体" w:hint="default"/>
                <w:sz w:val="18"/>
                <w:szCs w:val="18"/>
              </w:rPr>
              <w:t>有限合伙</w:t>
            </w:r>
            <w:r>
              <w:rPr>
                <w:rFonts w:ascii="宋体" w:hAnsi="宋体" w:cs="宋体" w:eastAsia="宋体" w:hint="default"/>
                <w:sz w:val="18"/>
                <w:szCs w:val="18"/>
              </w:rPr>
              <w:t>) </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董事长</w:t>
            </w:r>
            <w:r>
              <w:rPr>
                <w:rFonts w:ascii="宋体" w:hAnsi="宋体" w:cs="宋体" w:eastAsia="宋体" w:hint="default"/>
                <w:sz w:val="18"/>
                <w:szCs w:val="18"/>
              </w:rPr>
              <w:t> </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
              <w:jc w:val="right"/>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c>
          <w:tcPr>
            <w:tcW w:w="141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87" w:right="0"/>
              <w:jc w:val="center"/>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sz w:val="18"/>
                <w:szCs w:val="18"/>
              </w:rPr>
              <w:t> </w:t>
            </w:r>
          </w:p>
        </w:tc>
      </w:tr>
      <w:tr>
        <w:trPr>
          <w:trHeight w:val="401" w:hRule="exact"/>
        </w:trPr>
        <w:tc>
          <w:tcPr>
            <w:tcW w:w="994" w:type="dxa"/>
            <w:vMerge/>
            <w:tcBorders>
              <w:left w:val="single" w:sz="4" w:space="0" w:color="000000"/>
              <w:right w:val="single" w:sz="4" w:space="0" w:color="000000"/>
            </w:tcBorders>
          </w:tcPr>
          <w:p>
            <w:pP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北京中泽启天投资中心</w:t>
            </w:r>
            <w:r>
              <w:rPr>
                <w:rFonts w:ascii="宋体" w:hAnsi="宋体" w:cs="宋体" w:eastAsia="宋体" w:hint="default"/>
                <w:sz w:val="18"/>
                <w:szCs w:val="18"/>
              </w:rPr>
              <w:t>(</w:t>
            </w:r>
            <w:r>
              <w:rPr>
                <w:rFonts w:ascii="宋体" w:hAnsi="宋体" w:cs="宋体" w:eastAsia="宋体" w:hint="default"/>
                <w:sz w:val="18"/>
                <w:szCs w:val="18"/>
              </w:rPr>
              <w:t>有限合伙</w:t>
            </w:r>
            <w:r>
              <w:rPr>
                <w:rFonts w:ascii="宋体" w:hAnsi="宋体" w:cs="宋体" w:eastAsia="宋体" w:hint="default"/>
                <w:sz w:val="18"/>
                <w:szCs w:val="18"/>
              </w:rPr>
              <w:t>) </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执行事务合伙人</w:t>
            </w:r>
            <w:r>
              <w:rPr>
                <w:rFonts w:ascii="宋体" w:hAnsi="宋体" w:cs="宋体" w:eastAsia="宋体" w:hint="default"/>
                <w:sz w:val="18"/>
                <w:szCs w:val="18"/>
              </w:rPr>
              <w:t> </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
              <w:jc w:val="righ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03</w:t>
            </w:r>
            <w:r>
              <w:rPr>
                <w:rFonts w:ascii="宋体" w:hAnsi="宋体" w:cs="宋体" w:eastAsia="宋体" w:hint="default"/>
                <w:spacing w:val="-45"/>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c>
          <w:tcPr>
            <w:tcW w:w="1416" w:type="dxa"/>
            <w:vMerge/>
            <w:tcBorders>
              <w:left w:val="single" w:sz="4" w:space="0" w:color="000000"/>
              <w:right w:val="single" w:sz="4" w:space="0" w:color="000000"/>
            </w:tcBorders>
          </w:tcPr>
          <w:p>
            <w:pPr/>
          </w:p>
        </w:tc>
      </w:tr>
      <w:tr>
        <w:trPr>
          <w:trHeight w:val="403" w:hRule="exact"/>
        </w:trPr>
        <w:tc>
          <w:tcPr>
            <w:tcW w:w="994" w:type="dxa"/>
            <w:vMerge/>
            <w:tcBorders>
              <w:left w:val="single" w:sz="4" w:space="0" w:color="000000"/>
              <w:right w:val="single" w:sz="4" w:space="0" w:color="000000"/>
            </w:tcBorders>
          </w:tcPr>
          <w:p>
            <w:pP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北京博升优势科技发展有限公司</w:t>
            </w:r>
            <w:r>
              <w:rPr>
                <w:rFonts w:ascii="宋体" w:hAnsi="宋体" w:cs="宋体" w:eastAsia="宋体" w:hint="default"/>
                <w:sz w:val="18"/>
                <w:szCs w:val="18"/>
              </w:rPr>
              <w:t> </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董事长</w:t>
            </w:r>
            <w:r>
              <w:rPr>
                <w:rFonts w:ascii="宋体" w:hAnsi="宋体" w:cs="宋体" w:eastAsia="宋体" w:hint="default"/>
                <w:sz w:val="18"/>
                <w:szCs w:val="18"/>
              </w:rPr>
              <w:t> </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
              <w:jc w:val="right"/>
              <w:rPr>
                <w:rFonts w:ascii="宋体" w:hAnsi="宋体" w:cs="宋体" w:eastAsia="宋体" w:hint="default"/>
                <w:sz w:val="18"/>
                <w:szCs w:val="18"/>
              </w:rPr>
            </w:pPr>
            <w:r>
              <w:rPr>
                <w:rFonts w:ascii="宋体" w:hAnsi="宋体" w:cs="宋体" w:eastAsia="宋体" w:hint="default"/>
                <w:sz w:val="18"/>
                <w:szCs w:val="18"/>
              </w:rPr>
              <w:t>2012</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09</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27</w:t>
            </w:r>
            <w:r>
              <w:rPr>
                <w:rFonts w:ascii="宋体" w:hAnsi="宋体" w:cs="宋体" w:eastAsia="宋体" w:hint="default"/>
                <w:spacing w:val="-45"/>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c>
          <w:tcPr>
            <w:tcW w:w="1416" w:type="dxa"/>
            <w:vMerge/>
            <w:tcBorders>
              <w:left w:val="single" w:sz="4" w:space="0" w:color="000000"/>
              <w:right w:val="single" w:sz="4" w:space="0" w:color="000000"/>
            </w:tcBorders>
          </w:tcPr>
          <w:p>
            <w:pPr/>
          </w:p>
        </w:tc>
      </w:tr>
      <w:tr>
        <w:trPr>
          <w:trHeight w:val="401" w:hRule="exact"/>
        </w:trPr>
        <w:tc>
          <w:tcPr>
            <w:tcW w:w="994" w:type="dxa"/>
            <w:vMerge/>
            <w:tcBorders>
              <w:left w:val="single" w:sz="4" w:space="0" w:color="000000"/>
              <w:bottom w:val="single" w:sz="4" w:space="0" w:color="000000"/>
              <w:right w:val="single" w:sz="4" w:space="0" w:color="000000"/>
            </w:tcBorders>
          </w:tcPr>
          <w:p>
            <w:pP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上海稳实投资管理中心（普通合伙）</w:t>
            </w:r>
            <w:r>
              <w:rPr>
                <w:rFonts w:ascii="宋体" w:hAnsi="宋体" w:cs="宋体" w:eastAsia="宋体" w:hint="default"/>
                <w:sz w:val="18"/>
                <w:szCs w:val="18"/>
              </w:rPr>
              <w:t> </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执行事务合伙人</w:t>
            </w:r>
            <w:r>
              <w:rPr>
                <w:rFonts w:ascii="宋体" w:hAnsi="宋体" w:cs="宋体" w:eastAsia="宋体" w:hint="default"/>
                <w:sz w:val="18"/>
                <w:szCs w:val="18"/>
              </w:rPr>
              <w:t> </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
              <w:jc w:val="right"/>
              <w:rPr>
                <w:rFonts w:ascii="宋体" w:hAnsi="宋体" w:cs="宋体" w:eastAsia="宋体" w:hint="default"/>
                <w:sz w:val="18"/>
                <w:szCs w:val="18"/>
              </w:rPr>
            </w:pPr>
            <w:r>
              <w:rPr>
                <w:rFonts w:ascii="宋体" w:hAnsi="宋体" w:cs="宋体" w:eastAsia="宋体" w:hint="default"/>
                <w:sz w:val="18"/>
                <w:szCs w:val="18"/>
              </w:rPr>
              <w:t>2012</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04</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5</w:t>
            </w:r>
            <w:r>
              <w:rPr>
                <w:rFonts w:ascii="宋体" w:hAnsi="宋体" w:cs="宋体" w:eastAsia="宋体" w:hint="default"/>
                <w:spacing w:val="-45"/>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c>
          <w:tcPr>
            <w:tcW w:w="1416" w:type="dxa"/>
            <w:vMerge/>
            <w:tcBorders>
              <w:left w:val="single" w:sz="4" w:space="0" w:color="000000"/>
              <w:bottom w:val="single" w:sz="4" w:space="0" w:color="000000"/>
              <w:right w:val="single" w:sz="4" w:space="0" w:color="000000"/>
            </w:tcBorders>
          </w:tcPr>
          <w:p>
            <w:pPr/>
          </w:p>
        </w:tc>
      </w:tr>
    </w:tbl>
    <w:p>
      <w:pPr>
        <w:spacing w:after="0"/>
        <w:sectPr>
          <w:pgSz w:w="11910" w:h="16840"/>
          <w:pgMar w:header="880" w:footer="975" w:top="1100" w:bottom="1160" w:left="980" w:right="0"/>
        </w:sectPr>
      </w:pPr>
    </w:p>
    <w:p>
      <w:pPr>
        <w:spacing w:line="240" w:lineRule="auto" w:before="8"/>
        <w:rPr>
          <w:rFonts w:ascii="宋体" w:hAnsi="宋体" w:cs="宋体" w:eastAsia="宋体" w:hint="default"/>
          <w:sz w:val="24"/>
          <w:szCs w:val="24"/>
        </w:rPr>
      </w:pPr>
    </w:p>
    <w:tbl>
      <w:tblPr>
        <w:tblW w:w="0" w:type="auto"/>
        <w:jc w:val="left"/>
        <w:tblInd w:w="148" w:type="dxa"/>
        <w:tblLayout w:type="fixed"/>
        <w:tblCellMar>
          <w:top w:w="0" w:type="dxa"/>
          <w:left w:w="0" w:type="dxa"/>
          <w:bottom w:w="0" w:type="dxa"/>
          <w:right w:w="0" w:type="dxa"/>
        </w:tblCellMar>
        <w:tblLook w:val="01E0"/>
      </w:tblPr>
      <w:tblGrid>
        <w:gridCol w:w="994"/>
        <w:gridCol w:w="1510"/>
        <w:gridCol w:w="1750"/>
        <w:gridCol w:w="2127"/>
        <w:gridCol w:w="1843"/>
        <w:gridCol w:w="1416"/>
      </w:tblGrid>
      <w:tr>
        <w:trPr>
          <w:trHeight w:val="401"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31"/>
              <w:jc w:val="right"/>
              <w:rPr>
                <w:rFonts w:ascii="宋体" w:hAnsi="宋体" w:cs="宋体" w:eastAsia="宋体" w:hint="default"/>
                <w:sz w:val="18"/>
                <w:szCs w:val="18"/>
              </w:rPr>
            </w:pPr>
            <w:r>
              <w:rPr>
                <w:rFonts w:ascii="宋体" w:hAnsi="宋体" w:cs="宋体" w:eastAsia="宋体" w:hint="default"/>
                <w:sz w:val="18"/>
                <w:szCs w:val="18"/>
              </w:rPr>
              <w:t>费自力</w:t>
            </w:r>
            <w:r>
              <w:rPr>
                <w:rFonts w:ascii="宋体" w:hAnsi="宋体" w:cs="宋体" w:eastAsia="宋体" w:hint="default"/>
                <w:sz w:val="18"/>
                <w:szCs w:val="18"/>
              </w:rPr>
              <w:t> </w:t>
            </w:r>
          </w:p>
        </w:tc>
        <w:tc>
          <w:tcPr>
            <w:tcW w:w="32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秦皇岛茂业控股有限公司</w:t>
            </w:r>
            <w:r>
              <w:rPr>
                <w:rFonts w:ascii="宋体" w:hAnsi="宋体" w:cs="宋体" w:eastAsia="宋体" w:hint="default"/>
                <w:sz w:val="18"/>
                <w:szCs w:val="18"/>
              </w:rPr>
              <w:t> </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总经理</w:t>
            </w:r>
            <w:r>
              <w:rPr>
                <w:rFonts w:ascii="宋体" w:hAnsi="宋体" w:cs="宋体" w:eastAsia="宋体" w:hint="default"/>
                <w:sz w:val="18"/>
                <w:szCs w:val="18"/>
              </w:rPr>
              <w:t> </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
              <w:jc w:val="right"/>
              <w:rPr>
                <w:rFonts w:ascii="宋体" w:hAnsi="宋体" w:cs="宋体" w:eastAsia="宋体" w:hint="default"/>
                <w:sz w:val="18"/>
                <w:szCs w:val="18"/>
              </w:rPr>
            </w:pPr>
            <w:r>
              <w:rPr>
                <w:rFonts w:ascii="宋体" w:hAnsi="宋体" w:cs="宋体" w:eastAsia="宋体" w:hint="default"/>
                <w:sz w:val="18"/>
                <w:szCs w:val="18"/>
              </w:rPr>
              <w:t>2015</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522"/>
              <w:jc w:val="right"/>
              <w:rPr>
                <w:rFonts w:ascii="宋体" w:hAnsi="宋体" w:cs="宋体" w:eastAsia="宋体" w:hint="default"/>
                <w:sz w:val="18"/>
                <w:szCs w:val="18"/>
              </w:rPr>
            </w:pPr>
            <w:r>
              <w:rPr>
                <w:rFonts w:ascii="宋体" w:hAnsi="宋体" w:cs="宋体" w:eastAsia="宋体" w:hint="default"/>
                <w:sz w:val="18"/>
                <w:szCs w:val="18"/>
              </w:rPr>
              <w:t>是</w:t>
            </w:r>
            <w:r>
              <w:rPr>
                <w:rFonts w:ascii="宋体" w:hAnsi="宋体" w:cs="宋体" w:eastAsia="宋体" w:hint="default"/>
                <w:sz w:val="18"/>
                <w:szCs w:val="18"/>
              </w:rPr>
              <w:t> </w:t>
            </w:r>
          </w:p>
        </w:tc>
      </w:tr>
      <w:tr>
        <w:trPr>
          <w:trHeight w:val="404" w:hRule="exact"/>
        </w:trPr>
        <w:tc>
          <w:tcPr>
            <w:tcW w:w="99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1"/>
              <w:ind w:left="221" w:right="0"/>
              <w:jc w:val="left"/>
              <w:rPr>
                <w:rFonts w:ascii="宋体" w:hAnsi="宋体" w:cs="宋体" w:eastAsia="宋体" w:hint="default"/>
                <w:sz w:val="18"/>
                <w:szCs w:val="18"/>
              </w:rPr>
            </w:pPr>
            <w:r>
              <w:rPr>
                <w:rFonts w:ascii="宋体" w:hAnsi="宋体" w:cs="宋体" w:eastAsia="宋体" w:hint="default"/>
                <w:sz w:val="18"/>
                <w:szCs w:val="18"/>
              </w:rPr>
              <w:t>卢小娟</w:t>
            </w:r>
            <w:r>
              <w:rPr>
                <w:rFonts w:ascii="宋体" w:hAnsi="宋体" w:cs="宋体" w:eastAsia="宋体" w:hint="default"/>
                <w:sz w:val="18"/>
                <w:szCs w:val="18"/>
              </w:rPr>
              <w:t> </w:t>
            </w:r>
          </w:p>
        </w:tc>
        <w:tc>
          <w:tcPr>
            <w:tcW w:w="3260" w:type="dxa"/>
            <w:gridSpan w:val="2"/>
            <w:vMerge w:val="restart"/>
            <w:tcBorders>
              <w:top w:val="single" w:sz="4" w:space="0" w:color="000000"/>
              <w:left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中兆投资管理有限公司</w:t>
            </w:r>
            <w:r>
              <w:rPr>
                <w:rFonts w:ascii="宋体" w:hAnsi="宋体" w:cs="宋体" w:eastAsia="宋体" w:hint="default"/>
                <w:sz w:val="18"/>
                <w:szCs w:val="18"/>
              </w:rPr>
              <w:t> </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left="105" w:right="0"/>
              <w:jc w:val="left"/>
              <w:rPr>
                <w:rFonts w:ascii="宋体" w:hAnsi="宋体" w:cs="宋体" w:eastAsia="宋体" w:hint="default"/>
                <w:sz w:val="18"/>
                <w:szCs w:val="18"/>
              </w:rPr>
            </w:pPr>
            <w:r>
              <w:rPr>
                <w:rFonts w:ascii="宋体" w:hAnsi="宋体" w:cs="宋体" w:eastAsia="宋体" w:hint="default"/>
                <w:sz w:val="18"/>
                <w:szCs w:val="18"/>
              </w:rPr>
              <w:t>董事</w:t>
            </w:r>
            <w:r>
              <w:rPr>
                <w:rFonts w:ascii="宋体" w:hAnsi="宋体" w:cs="宋体" w:eastAsia="宋体" w:hint="default"/>
                <w:sz w:val="18"/>
                <w:szCs w:val="18"/>
              </w:rPr>
              <w:t> </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1"/>
              <w:jc w:val="right"/>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07</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02</w:t>
            </w:r>
            <w:r>
              <w:rPr>
                <w:rFonts w:ascii="宋体" w:hAnsi="宋体" w:cs="宋体" w:eastAsia="宋体" w:hint="default"/>
                <w:spacing w:val="-45"/>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c>
          <w:tcPr>
            <w:tcW w:w="141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1"/>
              <w:ind w:left="87" w:right="0"/>
              <w:jc w:val="center"/>
              <w:rPr>
                <w:rFonts w:ascii="宋体" w:hAnsi="宋体" w:cs="宋体" w:eastAsia="宋体" w:hint="default"/>
                <w:sz w:val="18"/>
                <w:szCs w:val="18"/>
              </w:rPr>
            </w:pPr>
            <w:r>
              <w:rPr>
                <w:rFonts w:ascii="宋体" w:hAnsi="宋体" w:cs="宋体" w:eastAsia="宋体" w:hint="default"/>
                <w:sz w:val="18"/>
                <w:szCs w:val="18"/>
              </w:rPr>
              <w:t>是</w:t>
            </w:r>
            <w:r>
              <w:rPr>
                <w:rFonts w:ascii="宋体" w:hAnsi="宋体" w:cs="宋体" w:eastAsia="宋体" w:hint="default"/>
                <w:sz w:val="18"/>
                <w:szCs w:val="18"/>
              </w:rPr>
              <w:t> </w:t>
            </w:r>
          </w:p>
        </w:tc>
      </w:tr>
      <w:tr>
        <w:trPr>
          <w:trHeight w:val="401" w:hRule="exact"/>
        </w:trPr>
        <w:tc>
          <w:tcPr>
            <w:tcW w:w="994" w:type="dxa"/>
            <w:vMerge/>
            <w:tcBorders>
              <w:left w:val="single" w:sz="4" w:space="0" w:color="000000"/>
              <w:right w:val="single" w:sz="4" w:space="0" w:color="000000"/>
            </w:tcBorders>
          </w:tcPr>
          <w:p>
            <w:pPr/>
          </w:p>
        </w:tc>
        <w:tc>
          <w:tcPr>
            <w:tcW w:w="3260" w:type="dxa"/>
            <w:gridSpan w:val="2"/>
            <w:vMerge/>
            <w:tcBorders>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总经理</w:t>
            </w:r>
            <w:r>
              <w:rPr>
                <w:rFonts w:ascii="宋体" w:hAnsi="宋体" w:cs="宋体" w:eastAsia="宋体" w:hint="default"/>
                <w:sz w:val="18"/>
                <w:szCs w:val="18"/>
              </w:rPr>
              <w:t> </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
              <w:jc w:val="right"/>
              <w:rPr>
                <w:rFonts w:ascii="宋体" w:hAnsi="宋体" w:cs="宋体" w:eastAsia="宋体" w:hint="default"/>
                <w:sz w:val="18"/>
                <w:szCs w:val="18"/>
              </w:rPr>
            </w:pPr>
            <w:r>
              <w:rPr>
                <w:rFonts w:ascii="宋体" w:hAnsi="宋体" w:cs="宋体" w:eastAsia="宋体" w:hint="default"/>
                <w:sz w:val="18"/>
                <w:szCs w:val="18"/>
              </w:rPr>
              <w:t>2012</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05</w:t>
            </w:r>
            <w:r>
              <w:rPr>
                <w:rFonts w:ascii="宋体" w:hAnsi="宋体" w:cs="宋体" w:eastAsia="宋体" w:hint="default"/>
                <w:spacing w:val="-45"/>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c>
          <w:tcPr>
            <w:tcW w:w="1416" w:type="dxa"/>
            <w:vMerge/>
            <w:tcBorders>
              <w:left w:val="single" w:sz="4" w:space="0" w:color="000000"/>
              <w:right w:val="single" w:sz="4" w:space="0" w:color="000000"/>
            </w:tcBorders>
          </w:tcPr>
          <w:p>
            <w:pPr/>
          </w:p>
        </w:tc>
      </w:tr>
      <w:tr>
        <w:trPr>
          <w:trHeight w:val="403" w:hRule="exact"/>
        </w:trPr>
        <w:tc>
          <w:tcPr>
            <w:tcW w:w="994" w:type="dxa"/>
            <w:vMerge/>
            <w:tcBorders>
              <w:left w:val="single" w:sz="4" w:space="0" w:color="000000"/>
              <w:right w:val="single" w:sz="4" w:space="0" w:color="000000"/>
            </w:tcBorders>
          </w:tcPr>
          <w:p>
            <w:pPr/>
          </w:p>
        </w:tc>
        <w:tc>
          <w:tcPr>
            <w:tcW w:w="32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深圳茂业商厦有限公司</w:t>
            </w:r>
            <w:r>
              <w:rPr>
                <w:rFonts w:ascii="宋体" w:hAnsi="宋体" w:cs="宋体" w:eastAsia="宋体" w:hint="default"/>
                <w:sz w:val="18"/>
                <w:szCs w:val="18"/>
              </w:rPr>
              <w:t> </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副董事长</w:t>
            </w:r>
            <w:r>
              <w:rPr>
                <w:rFonts w:ascii="宋体" w:hAnsi="宋体" w:cs="宋体" w:eastAsia="宋体" w:hint="default"/>
                <w:sz w:val="18"/>
                <w:szCs w:val="18"/>
              </w:rPr>
              <w:t> </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1"/>
              <w:jc w:val="right"/>
              <w:rPr>
                <w:rFonts w:ascii="宋体" w:hAnsi="宋体" w:cs="宋体" w:eastAsia="宋体" w:hint="default"/>
                <w:sz w:val="18"/>
                <w:szCs w:val="18"/>
              </w:rPr>
            </w:pPr>
            <w:r>
              <w:rPr>
                <w:rFonts w:ascii="宋体" w:hAnsi="宋体" w:cs="宋体" w:eastAsia="宋体" w:hint="default"/>
                <w:sz w:val="18"/>
                <w:szCs w:val="18"/>
              </w:rPr>
              <w:t>2008</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13</w:t>
            </w:r>
            <w:r>
              <w:rPr>
                <w:rFonts w:ascii="宋体" w:hAnsi="宋体" w:cs="宋体" w:eastAsia="宋体" w:hint="default"/>
                <w:spacing w:val="-45"/>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c>
          <w:tcPr>
            <w:tcW w:w="1416" w:type="dxa"/>
            <w:vMerge/>
            <w:tcBorders>
              <w:left w:val="single" w:sz="4" w:space="0" w:color="000000"/>
              <w:right w:val="single" w:sz="4" w:space="0" w:color="000000"/>
            </w:tcBorders>
          </w:tcPr>
          <w:p>
            <w:pPr/>
          </w:p>
        </w:tc>
      </w:tr>
      <w:tr>
        <w:trPr>
          <w:trHeight w:val="401" w:hRule="exact"/>
        </w:trPr>
        <w:tc>
          <w:tcPr>
            <w:tcW w:w="994" w:type="dxa"/>
            <w:vMerge/>
            <w:tcBorders>
              <w:left w:val="single" w:sz="4" w:space="0" w:color="000000"/>
              <w:right w:val="single" w:sz="4" w:space="0" w:color="000000"/>
            </w:tcBorders>
          </w:tcPr>
          <w:p>
            <w:pPr/>
          </w:p>
        </w:tc>
        <w:tc>
          <w:tcPr>
            <w:tcW w:w="3260" w:type="dxa"/>
            <w:gridSpan w:val="2"/>
            <w:vMerge w:val="restart"/>
            <w:tcBorders>
              <w:top w:val="single" w:sz="4" w:space="0" w:color="000000"/>
              <w:left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茂业国际控股有限公司</w:t>
            </w:r>
            <w:r>
              <w:rPr>
                <w:rFonts w:ascii="宋体" w:hAnsi="宋体" w:cs="宋体" w:eastAsia="宋体" w:hint="default"/>
                <w:sz w:val="18"/>
                <w:szCs w:val="18"/>
              </w:rPr>
              <w:t> </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财务管理中心总经理</w:t>
            </w:r>
            <w:r>
              <w:rPr>
                <w:rFonts w:ascii="宋体" w:hAnsi="宋体" w:cs="宋体" w:eastAsia="宋体" w:hint="default"/>
                <w:sz w:val="18"/>
                <w:szCs w:val="18"/>
              </w:rPr>
              <w:t> </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
              <w:jc w:val="righ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06</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28</w:t>
            </w:r>
            <w:r>
              <w:rPr>
                <w:rFonts w:ascii="宋体" w:hAnsi="宋体" w:cs="宋体" w:eastAsia="宋体" w:hint="default"/>
                <w:spacing w:val="-45"/>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c>
          <w:tcPr>
            <w:tcW w:w="1416" w:type="dxa"/>
            <w:vMerge/>
            <w:tcBorders>
              <w:left w:val="single" w:sz="4" w:space="0" w:color="000000"/>
              <w:right w:val="single" w:sz="4" w:space="0" w:color="000000"/>
            </w:tcBorders>
          </w:tcPr>
          <w:p>
            <w:pPr/>
          </w:p>
        </w:tc>
      </w:tr>
      <w:tr>
        <w:trPr>
          <w:trHeight w:val="403" w:hRule="exact"/>
        </w:trPr>
        <w:tc>
          <w:tcPr>
            <w:tcW w:w="994" w:type="dxa"/>
            <w:vMerge/>
            <w:tcBorders>
              <w:left w:val="single" w:sz="4" w:space="0" w:color="000000"/>
              <w:bottom w:val="single" w:sz="4" w:space="0" w:color="000000"/>
              <w:right w:val="single" w:sz="4" w:space="0" w:color="000000"/>
            </w:tcBorders>
          </w:tcPr>
          <w:p>
            <w:pPr/>
          </w:p>
        </w:tc>
        <w:tc>
          <w:tcPr>
            <w:tcW w:w="3260" w:type="dxa"/>
            <w:gridSpan w:val="2"/>
            <w:vMerge/>
            <w:tcBorders>
              <w:left w:val="single" w:sz="4" w:space="0" w:color="000000"/>
              <w:bottom w:val="single" w:sz="4" w:space="0" w:color="000000"/>
              <w:right w:val="single" w:sz="4" w:space="0" w:color="000000"/>
            </w:tcBorders>
          </w:tcPr>
          <w:p>
            <w:pP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首席财务官</w:t>
            </w:r>
            <w:r>
              <w:rPr>
                <w:rFonts w:ascii="宋体" w:hAnsi="宋体" w:cs="宋体" w:eastAsia="宋体" w:hint="default"/>
                <w:sz w:val="18"/>
                <w:szCs w:val="18"/>
              </w:rPr>
              <w:t> </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1"/>
              <w:jc w:val="righ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05</w:t>
            </w:r>
            <w:r>
              <w:rPr>
                <w:rFonts w:ascii="宋体" w:hAnsi="宋体" w:cs="宋体" w:eastAsia="宋体" w:hint="default"/>
                <w:spacing w:val="-45"/>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c>
          <w:tcPr>
            <w:tcW w:w="1416" w:type="dxa"/>
            <w:vMerge/>
            <w:tcBorders>
              <w:left w:val="single" w:sz="4" w:space="0" w:color="000000"/>
              <w:bottom w:val="single" w:sz="4" w:space="0" w:color="000000"/>
              <w:right w:val="single" w:sz="4" w:space="0" w:color="000000"/>
            </w:tcBorders>
          </w:tcPr>
          <w:p>
            <w:pPr/>
          </w:p>
        </w:tc>
      </w:tr>
      <w:tr>
        <w:trPr>
          <w:trHeight w:val="401"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31"/>
              <w:jc w:val="right"/>
              <w:rPr>
                <w:rFonts w:ascii="宋体" w:hAnsi="宋体" w:cs="宋体" w:eastAsia="宋体" w:hint="default"/>
                <w:sz w:val="18"/>
                <w:szCs w:val="18"/>
              </w:rPr>
            </w:pPr>
            <w:r>
              <w:rPr>
                <w:rFonts w:ascii="宋体" w:hAnsi="宋体" w:cs="宋体" w:eastAsia="宋体" w:hint="default"/>
                <w:sz w:val="18"/>
                <w:szCs w:val="18"/>
              </w:rPr>
              <w:t>柳 </w:t>
            </w:r>
            <w:r>
              <w:rPr>
                <w:rFonts w:ascii="宋体" w:hAnsi="宋体" w:cs="宋体" w:eastAsia="宋体" w:hint="default"/>
                <w:spacing w:val="2"/>
                <w:sz w:val="18"/>
                <w:szCs w:val="18"/>
              </w:rPr>
              <w:t> </w:t>
            </w:r>
            <w:r>
              <w:rPr>
                <w:rFonts w:ascii="宋体" w:hAnsi="宋体" w:cs="宋体" w:eastAsia="宋体" w:hint="default"/>
                <w:spacing w:val="2"/>
                <w:sz w:val="18"/>
                <w:szCs w:val="18"/>
              </w:rPr>
            </w:r>
            <w:r>
              <w:rPr>
                <w:rFonts w:ascii="宋体" w:hAnsi="宋体" w:cs="宋体" w:eastAsia="宋体" w:hint="default"/>
                <w:spacing w:val="-3"/>
                <w:sz w:val="18"/>
                <w:szCs w:val="18"/>
              </w:rPr>
              <w:t>攀</w:t>
            </w:r>
            <w:r>
              <w:rPr>
                <w:rFonts w:ascii="宋体" w:hAnsi="宋体" w:cs="宋体" w:eastAsia="宋体" w:hint="default"/>
                <w:sz w:val="18"/>
                <w:szCs w:val="18"/>
              </w:rPr>
              <w:t> </w:t>
            </w:r>
          </w:p>
        </w:tc>
        <w:tc>
          <w:tcPr>
            <w:tcW w:w="32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中泽嘉盟投资基金</w:t>
            </w:r>
            <w:r>
              <w:rPr>
                <w:rFonts w:ascii="宋体" w:hAnsi="宋体" w:cs="宋体" w:eastAsia="宋体" w:hint="default"/>
                <w:sz w:val="18"/>
                <w:szCs w:val="18"/>
              </w:rPr>
              <w:t> </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合伙人</w:t>
            </w:r>
            <w:r>
              <w:rPr>
                <w:rFonts w:ascii="宋体" w:hAnsi="宋体" w:cs="宋体" w:eastAsia="宋体" w:hint="default"/>
                <w:sz w:val="18"/>
                <w:szCs w:val="18"/>
              </w:rPr>
              <w:t> </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
              <w:jc w:val="right"/>
              <w:rPr>
                <w:rFonts w:ascii="宋体" w:hAnsi="宋体" w:cs="宋体" w:eastAsia="宋体" w:hint="default"/>
                <w:sz w:val="18"/>
                <w:szCs w:val="18"/>
              </w:rPr>
            </w:pPr>
            <w:r>
              <w:rPr>
                <w:rFonts w:ascii="宋体" w:hAnsi="宋体" w:cs="宋体" w:eastAsia="宋体" w:hint="default"/>
                <w:sz w:val="18"/>
                <w:szCs w:val="18"/>
              </w:rPr>
              <w:t>2010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20</w:t>
            </w:r>
            <w:r>
              <w:rPr>
                <w:rFonts w:ascii="宋体" w:hAnsi="宋体" w:cs="宋体" w:eastAsia="宋体" w:hint="default"/>
                <w:spacing w:val="-45"/>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522"/>
              <w:jc w:val="right"/>
              <w:rPr>
                <w:rFonts w:ascii="宋体" w:hAnsi="宋体" w:cs="宋体" w:eastAsia="宋体" w:hint="default"/>
                <w:sz w:val="18"/>
                <w:szCs w:val="18"/>
              </w:rPr>
            </w:pPr>
            <w:r>
              <w:rPr>
                <w:rFonts w:ascii="宋体" w:hAnsi="宋体" w:cs="宋体" w:eastAsia="宋体" w:hint="default"/>
                <w:sz w:val="18"/>
                <w:szCs w:val="18"/>
              </w:rPr>
              <w:t>是</w:t>
            </w:r>
            <w:r>
              <w:rPr>
                <w:rFonts w:ascii="宋体" w:hAnsi="宋体" w:cs="宋体" w:eastAsia="宋体" w:hint="default"/>
                <w:sz w:val="18"/>
                <w:szCs w:val="18"/>
              </w:rPr>
              <w:t> </w:t>
            </w:r>
          </w:p>
        </w:tc>
      </w:tr>
      <w:tr>
        <w:trPr>
          <w:trHeight w:val="403"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31"/>
              <w:jc w:val="right"/>
              <w:rPr>
                <w:rFonts w:ascii="宋体" w:hAnsi="宋体" w:cs="宋体" w:eastAsia="宋体" w:hint="default"/>
                <w:sz w:val="18"/>
                <w:szCs w:val="18"/>
              </w:rPr>
            </w:pPr>
            <w:r>
              <w:rPr>
                <w:rFonts w:ascii="宋体" w:hAnsi="宋体" w:cs="宋体" w:eastAsia="宋体" w:hint="default"/>
                <w:sz w:val="18"/>
                <w:szCs w:val="18"/>
              </w:rPr>
              <w:t>谢海燕</w:t>
            </w:r>
            <w:r>
              <w:rPr>
                <w:rFonts w:ascii="宋体" w:hAnsi="宋体" w:cs="宋体" w:eastAsia="宋体" w:hint="default"/>
                <w:sz w:val="18"/>
                <w:szCs w:val="18"/>
              </w:rPr>
              <w:t> </w:t>
            </w:r>
          </w:p>
        </w:tc>
        <w:tc>
          <w:tcPr>
            <w:tcW w:w="32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北京博升优势科技发展有限公司</w:t>
            </w:r>
            <w:r>
              <w:rPr>
                <w:rFonts w:ascii="宋体" w:hAnsi="宋体" w:cs="宋体" w:eastAsia="宋体" w:hint="default"/>
                <w:sz w:val="18"/>
                <w:szCs w:val="18"/>
              </w:rPr>
              <w:t> </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财务负责人</w:t>
            </w:r>
            <w:r>
              <w:rPr>
                <w:rFonts w:ascii="宋体" w:hAnsi="宋体" w:cs="宋体" w:eastAsia="宋体" w:hint="default"/>
                <w:sz w:val="18"/>
                <w:szCs w:val="18"/>
              </w:rPr>
              <w:t> </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1"/>
              <w:jc w:val="right"/>
              <w:rPr>
                <w:rFonts w:ascii="宋体" w:hAnsi="宋体" w:cs="宋体" w:eastAsia="宋体" w:hint="default"/>
                <w:sz w:val="18"/>
                <w:szCs w:val="18"/>
              </w:rPr>
            </w:pPr>
            <w:r>
              <w:rPr>
                <w:rFonts w:ascii="宋体" w:hAnsi="宋体" w:cs="宋体" w:eastAsia="宋体" w:hint="default"/>
                <w:sz w:val="18"/>
                <w:szCs w:val="18"/>
              </w:rPr>
              <w:t>2011</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01</w:t>
            </w:r>
            <w:r>
              <w:rPr>
                <w:rFonts w:ascii="宋体" w:hAnsi="宋体" w:cs="宋体" w:eastAsia="宋体" w:hint="default"/>
                <w:spacing w:val="-45"/>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522"/>
              <w:jc w:val="right"/>
              <w:rPr>
                <w:rFonts w:ascii="宋体" w:hAnsi="宋体" w:cs="宋体" w:eastAsia="宋体" w:hint="default"/>
                <w:sz w:val="18"/>
                <w:szCs w:val="18"/>
              </w:rPr>
            </w:pPr>
            <w:r>
              <w:rPr>
                <w:rFonts w:ascii="宋体" w:hAnsi="宋体" w:cs="宋体" w:eastAsia="宋体" w:hint="default"/>
                <w:sz w:val="18"/>
                <w:szCs w:val="18"/>
              </w:rPr>
              <w:t>是</w:t>
            </w:r>
            <w:r>
              <w:rPr>
                <w:rFonts w:ascii="宋体" w:hAnsi="宋体" w:cs="宋体" w:eastAsia="宋体" w:hint="default"/>
                <w:sz w:val="18"/>
                <w:szCs w:val="18"/>
              </w:rPr>
              <w:t> </w:t>
            </w:r>
          </w:p>
        </w:tc>
      </w:tr>
      <w:tr>
        <w:trPr>
          <w:trHeight w:val="401" w:hRule="exact"/>
        </w:trPr>
        <w:tc>
          <w:tcPr>
            <w:tcW w:w="994" w:type="dxa"/>
            <w:vMerge w:val="restart"/>
            <w:tcBorders>
              <w:top w:val="single" w:sz="4" w:space="0" w:color="000000"/>
              <w:left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221" w:right="0"/>
              <w:jc w:val="left"/>
              <w:rPr>
                <w:rFonts w:ascii="宋体" w:hAnsi="宋体" w:cs="宋体" w:eastAsia="宋体" w:hint="default"/>
                <w:sz w:val="18"/>
                <w:szCs w:val="18"/>
              </w:rPr>
            </w:pPr>
            <w:r>
              <w:rPr>
                <w:rFonts w:ascii="宋体" w:hAnsi="宋体" w:cs="宋体" w:eastAsia="宋体" w:hint="default"/>
                <w:sz w:val="18"/>
                <w:szCs w:val="18"/>
              </w:rPr>
              <w:t>吕晓清</w:t>
            </w:r>
            <w:r>
              <w:rPr>
                <w:rFonts w:ascii="宋体" w:hAnsi="宋体" w:cs="宋体" w:eastAsia="宋体" w:hint="default"/>
                <w:sz w:val="18"/>
                <w:szCs w:val="18"/>
              </w:rPr>
              <w:t> </w:t>
            </w:r>
          </w:p>
        </w:tc>
        <w:tc>
          <w:tcPr>
            <w:tcW w:w="32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深圳茂业商厦有限公司</w:t>
            </w:r>
            <w:r>
              <w:rPr>
                <w:rFonts w:ascii="宋体" w:hAnsi="宋体" w:cs="宋体" w:eastAsia="宋体" w:hint="default"/>
                <w:sz w:val="18"/>
                <w:szCs w:val="18"/>
              </w:rPr>
              <w:t> </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董事</w:t>
            </w:r>
            <w:r>
              <w:rPr>
                <w:rFonts w:ascii="宋体" w:hAnsi="宋体" w:cs="宋体" w:eastAsia="宋体" w:hint="default"/>
                <w:sz w:val="18"/>
                <w:szCs w:val="18"/>
              </w:rPr>
              <w:t> </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
              <w:jc w:val="righ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06</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07</w:t>
            </w:r>
            <w:r>
              <w:rPr>
                <w:rFonts w:ascii="宋体" w:hAnsi="宋体" w:cs="宋体" w:eastAsia="宋体" w:hint="default"/>
                <w:spacing w:val="-45"/>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c>
          <w:tcPr>
            <w:tcW w:w="1416" w:type="dxa"/>
            <w:vMerge w:val="restart"/>
            <w:tcBorders>
              <w:top w:val="single" w:sz="4" w:space="0" w:color="000000"/>
              <w:left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87" w:right="0"/>
              <w:jc w:val="center"/>
              <w:rPr>
                <w:rFonts w:ascii="宋体" w:hAnsi="宋体" w:cs="宋体" w:eastAsia="宋体" w:hint="default"/>
                <w:sz w:val="18"/>
                <w:szCs w:val="18"/>
              </w:rPr>
            </w:pPr>
            <w:r>
              <w:rPr>
                <w:rFonts w:ascii="宋体" w:hAnsi="宋体" w:cs="宋体" w:eastAsia="宋体" w:hint="default"/>
                <w:sz w:val="18"/>
                <w:szCs w:val="18"/>
              </w:rPr>
              <w:t>是</w:t>
            </w:r>
            <w:r>
              <w:rPr>
                <w:rFonts w:ascii="宋体" w:hAnsi="宋体" w:cs="宋体" w:eastAsia="宋体" w:hint="default"/>
                <w:sz w:val="18"/>
                <w:szCs w:val="18"/>
              </w:rPr>
              <w:t> </w:t>
            </w:r>
          </w:p>
        </w:tc>
      </w:tr>
      <w:tr>
        <w:trPr>
          <w:trHeight w:val="403" w:hRule="exact"/>
        </w:trPr>
        <w:tc>
          <w:tcPr>
            <w:tcW w:w="994" w:type="dxa"/>
            <w:vMerge/>
            <w:tcBorders>
              <w:left w:val="single" w:sz="4" w:space="0" w:color="000000"/>
              <w:bottom w:val="single" w:sz="4" w:space="0" w:color="000000"/>
              <w:right w:val="single" w:sz="4" w:space="0" w:color="000000"/>
            </w:tcBorders>
          </w:tcPr>
          <w:p>
            <w:pPr/>
          </w:p>
        </w:tc>
        <w:tc>
          <w:tcPr>
            <w:tcW w:w="326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中兆投资管理有限公司</w:t>
            </w:r>
            <w:r>
              <w:rPr>
                <w:rFonts w:ascii="宋体" w:hAnsi="宋体" w:cs="宋体" w:eastAsia="宋体" w:hint="default"/>
                <w:sz w:val="18"/>
                <w:szCs w:val="18"/>
              </w:rPr>
              <w:t> </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董事</w:t>
            </w:r>
            <w:r>
              <w:rPr>
                <w:rFonts w:ascii="宋体" w:hAnsi="宋体" w:cs="宋体" w:eastAsia="宋体" w:hint="default"/>
                <w:sz w:val="18"/>
                <w:szCs w:val="18"/>
              </w:rPr>
              <w:t> </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1"/>
              <w:jc w:val="righ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05</w:t>
            </w:r>
            <w:r>
              <w:rPr>
                <w:rFonts w:ascii="宋体" w:hAnsi="宋体" w:cs="宋体" w:eastAsia="宋体" w:hint="default"/>
                <w:spacing w:val="-45"/>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c>
          <w:tcPr>
            <w:tcW w:w="1416" w:type="dxa"/>
            <w:vMerge/>
            <w:tcBorders>
              <w:left w:val="single" w:sz="4" w:space="0" w:color="000000"/>
              <w:bottom w:val="single" w:sz="4" w:space="0" w:color="000000"/>
              <w:right w:val="single" w:sz="4" w:space="0" w:color="000000"/>
            </w:tcBorders>
          </w:tcPr>
          <w:p>
            <w:pPr/>
          </w:p>
        </w:tc>
      </w:tr>
      <w:tr>
        <w:trPr>
          <w:trHeight w:val="1025" w:hRule="exact"/>
        </w:trPr>
        <w:tc>
          <w:tcPr>
            <w:tcW w:w="250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在股东单位任职情况的说明</w:t>
            </w:r>
            <w:r>
              <w:rPr>
                <w:rFonts w:ascii="宋体" w:hAnsi="宋体" w:cs="宋体" w:eastAsia="宋体" w:hint="default"/>
                <w:sz w:val="18"/>
                <w:szCs w:val="18"/>
              </w:rPr>
              <w:t> </w:t>
            </w:r>
          </w:p>
        </w:tc>
        <w:tc>
          <w:tcPr>
            <w:tcW w:w="7137"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5" w:right="93" w:firstLine="360"/>
              <w:jc w:val="both"/>
              <w:rPr>
                <w:rFonts w:ascii="宋体" w:hAnsi="宋体" w:cs="宋体" w:eastAsia="宋体" w:hint="default"/>
                <w:sz w:val="18"/>
                <w:szCs w:val="18"/>
              </w:rPr>
            </w:pPr>
            <w:r>
              <w:rPr>
                <w:rFonts w:ascii="宋体" w:hAnsi="宋体" w:cs="宋体" w:eastAsia="宋体" w:hint="default"/>
                <w:sz w:val="18"/>
                <w:szCs w:val="18"/>
              </w:rPr>
              <w:t>股东单位中上海稳实、北京中泽嘉盟、北京中泽启天是公司第一大股东鹰溪谷的间</w:t>
            </w:r>
            <w:r>
              <w:rPr>
                <w:rFonts w:ascii="宋体" w:hAnsi="宋体" w:cs="宋体" w:eastAsia="宋体" w:hint="default"/>
                <w:spacing w:val="2"/>
                <w:sz w:val="18"/>
                <w:szCs w:val="18"/>
              </w:rPr>
              <w:t> </w:t>
            </w:r>
            <w:r>
              <w:rPr>
                <w:rFonts w:ascii="宋体" w:hAnsi="宋体" w:cs="宋体" w:eastAsia="宋体" w:hint="default"/>
                <w:sz w:val="18"/>
                <w:szCs w:val="18"/>
              </w:rPr>
              <w:t>接股东；深圳茂业商厦是公司第二大股东中兆投资的控股股东，茂业国际是公司第二大</w:t>
            </w:r>
            <w:r>
              <w:rPr>
                <w:rFonts w:ascii="宋体" w:hAnsi="宋体" w:cs="宋体" w:eastAsia="宋体" w:hint="default"/>
                <w:spacing w:val="-19"/>
                <w:sz w:val="18"/>
                <w:szCs w:val="18"/>
              </w:rPr>
              <w:t> </w:t>
            </w:r>
            <w:r>
              <w:rPr>
                <w:rFonts w:ascii="宋体" w:hAnsi="宋体" w:cs="宋体" w:eastAsia="宋体" w:hint="default"/>
                <w:spacing w:val="-19"/>
                <w:sz w:val="18"/>
                <w:szCs w:val="18"/>
              </w:rPr>
            </w:r>
            <w:r>
              <w:rPr>
                <w:rFonts w:ascii="宋体" w:hAnsi="宋体" w:cs="宋体" w:eastAsia="宋体" w:hint="default"/>
                <w:spacing w:val="-3"/>
                <w:sz w:val="18"/>
                <w:szCs w:val="18"/>
              </w:rPr>
              <w:t>股东中兆投资的间接控股股东，茂业控股是公司股东中兆投资所属企业。任期没有任职终</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止日期。</w:t>
            </w:r>
            <w:r>
              <w:rPr>
                <w:rFonts w:ascii="宋体" w:hAnsi="宋体" w:cs="宋体" w:eastAsia="宋体" w:hint="default"/>
                <w:sz w:val="18"/>
                <w:szCs w:val="18"/>
              </w:rPr>
              <w:t> </w:t>
            </w:r>
          </w:p>
        </w:tc>
      </w:tr>
    </w:tbl>
    <w:p>
      <w:pPr>
        <w:pStyle w:val="BodyText"/>
        <w:spacing w:line="240" w:lineRule="auto" w:before="26"/>
        <w:ind w:right="0"/>
        <w:jc w:val="left"/>
        <w:rPr>
          <w:rFonts w:ascii="宋体" w:hAnsi="宋体" w:cs="宋体" w:eastAsia="宋体" w:hint="default"/>
        </w:rPr>
      </w:pPr>
      <w:r>
        <w:rPr>
          <w:rFonts w:ascii="宋体"/>
          <w:w w:val="100"/>
        </w:rPr>
        <w:t> </w:t>
      </w:r>
    </w:p>
    <w:p>
      <w:pPr>
        <w:pStyle w:val="BodyText"/>
        <w:spacing w:line="240" w:lineRule="auto" w:before="78"/>
        <w:ind w:right="1133"/>
        <w:jc w:val="left"/>
        <w:rPr>
          <w:rFonts w:ascii="宋体" w:hAnsi="宋体" w:cs="宋体" w:eastAsia="宋体" w:hint="default"/>
        </w:rPr>
      </w:pPr>
      <w:r>
        <w:rPr/>
        <w:t>在其他单位任职情况</w:t>
      </w:r>
      <w:r>
        <w:rPr>
          <w:rFonts w:ascii="宋体" w:hAnsi="宋体" w:cs="宋体" w:eastAsia="宋体" w:hint="default"/>
        </w:rPr>
        <w:t> </w:t>
      </w:r>
    </w:p>
    <w:p>
      <w:pPr>
        <w:pStyle w:val="BodyText"/>
        <w:spacing w:line="240" w:lineRule="auto" w:before="78"/>
        <w:ind w:right="1133"/>
        <w:jc w:val="left"/>
        <w:rPr>
          <w:rFonts w:ascii="宋体" w:hAnsi="宋体" w:cs="宋体" w:eastAsia="宋体" w:hint="default"/>
        </w:rPr>
      </w:pPr>
      <w:r>
        <w:rPr/>
        <w:t>√ 适用 </w:t>
      </w:r>
      <w:r>
        <w:rPr>
          <w:rFonts w:ascii="宋体" w:hAnsi="宋体" w:cs="宋体" w:eastAsia="宋体" w:hint="default"/>
        </w:rPr>
      </w:r>
      <w:r>
        <w:rPr>
          <w:spacing w:val="-3"/>
        </w:rPr>
        <w:t>□</w:t>
      </w:r>
      <w:r>
        <w:rPr/>
        <w:t> 不适用</w:t>
      </w:r>
      <w:r>
        <w:rPr>
          <w:rFonts w:ascii="宋体" w:hAnsi="宋体" w:cs="宋体" w:eastAsia="宋体" w:hint="default"/>
        </w:rPr>
        <w:t> </w:t>
      </w:r>
    </w:p>
    <w:p>
      <w:pPr>
        <w:spacing w:line="240" w:lineRule="auto" w:before="11"/>
        <w:rPr>
          <w:rFonts w:ascii="宋体" w:hAnsi="宋体" w:cs="宋体" w:eastAsia="宋体" w:hint="default"/>
          <w:sz w:val="6"/>
          <w:szCs w:val="6"/>
        </w:rPr>
      </w:pPr>
    </w:p>
    <w:tbl>
      <w:tblPr>
        <w:tblW w:w="0" w:type="auto"/>
        <w:jc w:val="left"/>
        <w:tblInd w:w="148" w:type="dxa"/>
        <w:tblLayout w:type="fixed"/>
        <w:tblCellMar>
          <w:top w:w="0" w:type="dxa"/>
          <w:left w:w="0" w:type="dxa"/>
          <w:bottom w:w="0" w:type="dxa"/>
          <w:right w:w="0" w:type="dxa"/>
        </w:tblCellMar>
        <w:tblLook w:val="01E0"/>
      </w:tblPr>
      <w:tblGrid>
        <w:gridCol w:w="994"/>
        <w:gridCol w:w="3260"/>
        <w:gridCol w:w="1135"/>
        <w:gridCol w:w="3260"/>
        <w:gridCol w:w="991"/>
      </w:tblGrid>
      <w:tr>
        <w:trPr>
          <w:trHeight w:val="944" w:hRule="exact"/>
        </w:trPr>
        <w:tc>
          <w:tcPr>
            <w:tcW w:w="9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6"/>
              <w:ind w:right="0"/>
              <w:jc w:val="left"/>
              <w:rPr>
                <w:rFonts w:ascii="宋体" w:hAnsi="宋体" w:cs="宋体" w:eastAsia="宋体" w:hint="default"/>
                <w:sz w:val="17"/>
                <w:szCs w:val="17"/>
              </w:rPr>
            </w:pPr>
          </w:p>
          <w:p>
            <w:pPr>
              <w:pStyle w:val="TableParagraph"/>
              <w:spacing w:line="232" w:lineRule="exact"/>
              <w:ind w:left="103" w:right="82"/>
              <w:jc w:val="left"/>
              <w:rPr>
                <w:rFonts w:ascii="宋体" w:hAnsi="宋体" w:cs="宋体" w:eastAsia="宋体" w:hint="default"/>
                <w:sz w:val="18"/>
                <w:szCs w:val="18"/>
              </w:rPr>
            </w:pPr>
            <w:r>
              <w:rPr>
                <w:rFonts w:ascii="宋体" w:hAnsi="宋体" w:cs="宋体" w:eastAsia="宋体" w:hint="default"/>
                <w:spacing w:val="14"/>
                <w:sz w:val="18"/>
                <w:szCs w:val="18"/>
              </w:rPr>
              <w:t>任职人员</w:t>
            </w:r>
            <w:r>
              <w:rPr>
                <w:rFonts w:ascii="宋体" w:hAnsi="宋体" w:cs="宋体" w:eastAsia="宋体" w:hint="default"/>
                <w:spacing w:val="-71"/>
                <w:sz w:val="18"/>
                <w:szCs w:val="18"/>
              </w:rPr>
              <w:t> </w:t>
            </w:r>
            <w:r>
              <w:rPr>
                <w:rFonts w:ascii="宋体" w:hAnsi="宋体" w:cs="宋体" w:eastAsia="宋体" w:hint="default"/>
                <w:sz w:val="18"/>
                <w:szCs w:val="18"/>
              </w:rPr>
              <w:t>姓名</w:t>
            </w:r>
            <w:r>
              <w:rPr>
                <w:rFonts w:ascii="宋体" w:hAnsi="宋体" w:cs="宋体" w:eastAsia="宋体" w:hint="default"/>
                <w:sz w:val="18"/>
                <w:szCs w:val="18"/>
              </w:rPr>
              <w:t> </w:t>
            </w:r>
          </w:p>
        </w:tc>
        <w:tc>
          <w:tcPr>
            <w:tcW w:w="32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left="1084" w:right="0"/>
              <w:jc w:val="left"/>
              <w:rPr>
                <w:rFonts w:ascii="宋体" w:hAnsi="宋体" w:cs="宋体" w:eastAsia="宋体" w:hint="default"/>
                <w:sz w:val="18"/>
                <w:szCs w:val="18"/>
              </w:rPr>
            </w:pPr>
            <w:r>
              <w:rPr>
                <w:rFonts w:ascii="宋体" w:hAnsi="宋体" w:cs="宋体" w:eastAsia="宋体" w:hint="default"/>
                <w:sz w:val="18"/>
                <w:szCs w:val="18"/>
              </w:rPr>
              <w:t>其他单位名称</w:t>
            </w:r>
            <w:r>
              <w:rPr>
                <w:rFonts w:ascii="宋体" w:hAnsi="宋体" w:cs="宋体" w:eastAsia="宋体" w:hint="default"/>
                <w:sz w:val="18"/>
                <w:szCs w:val="18"/>
              </w:rPr>
              <w:t> </w:t>
            </w:r>
          </w:p>
        </w:tc>
        <w:tc>
          <w:tcPr>
            <w:tcW w:w="113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8"/>
              <w:ind w:right="0"/>
              <w:jc w:val="left"/>
              <w:rPr>
                <w:rFonts w:ascii="宋体" w:hAnsi="宋体" w:cs="宋体" w:eastAsia="宋体" w:hint="default"/>
                <w:sz w:val="12"/>
                <w:szCs w:val="12"/>
              </w:rPr>
            </w:pPr>
          </w:p>
          <w:p>
            <w:pPr>
              <w:pStyle w:val="TableParagraph"/>
              <w:spacing w:line="316" w:lineRule="auto"/>
              <w:ind w:left="105" w:right="29"/>
              <w:jc w:val="left"/>
              <w:rPr>
                <w:rFonts w:ascii="宋体" w:hAnsi="宋体" w:cs="宋体" w:eastAsia="宋体" w:hint="default"/>
                <w:sz w:val="18"/>
                <w:szCs w:val="18"/>
              </w:rPr>
            </w:pPr>
            <w:r>
              <w:rPr>
                <w:rFonts w:ascii="宋体" w:hAnsi="宋体" w:cs="宋体" w:eastAsia="宋体" w:hint="default"/>
                <w:sz w:val="18"/>
                <w:szCs w:val="18"/>
              </w:rPr>
              <w:t>在其他单位 担任的职务</w:t>
            </w:r>
            <w:r>
              <w:rPr>
                <w:rFonts w:ascii="宋体" w:hAnsi="宋体" w:cs="宋体" w:eastAsia="宋体" w:hint="default"/>
                <w:sz w:val="18"/>
                <w:szCs w:val="18"/>
              </w:rPr>
              <w:t> </w:t>
            </w:r>
          </w:p>
        </w:tc>
        <w:tc>
          <w:tcPr>
            <w:tcW w:w="32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left="89" w:right="0"/>
              <w:jc w:val="center"/>
              <w:rPr>
                <w:rFonts w:ascii="宋体" w:hAnsi="宋体" w:cs="宋体" w:eastAsia="宋体" w:hint="default"/>
                <w:sz w:val="18"/>
                <w:szCs w:val="18"/>
              </w:rPr>
            </w:pPr>
            <w:r>
              <w:rPr>
                <w:rFonts w:ascii="宋体" w:hAnsi="宋体" w:cs="宋体" w:eastAsia="宋体" w:hint="default"/>
                <w:sz w:val="18"/>
                <w:szCs w:val="18"/>
              </w:rPr>
              <w:t>任期</w:t>
            </w:r>
            <w:r>
              <w:rPr>
                <w:rFonts w:ascii="宋体" w:hAnsi="宋体" w:cs="宋体" w:eastAsia="宋体" w:hint="default"/>
                <w:sz w:val="18"/>
                <w:szCs w:val="18"/>
              </w:rPr>
              <w:t> </w:t>
            </w:r>
          </w:p>
        </w:tc>
        <w:tc>
          <w:tcPr>
            <w:tcW w:w="99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05" w:lineRule="exact"/>
              <w:ind w:left="103" w:right="0"/>
              <w:jc w:val="both"/>
              <w:rPr>
                <w:rFonts w:ascii="宋体" w:hAnsi="宋体" w:cs="宋体" w:eastAsia="宋体" w:hint="default"/>
                <w:sz w:val="18"/>
                <w:szCs w:val="18"/>
              </w:rPr>
            </w:pPr>
            <w:r>
              <w:rPr>
                <w:rFonts w:ascii="宋体" w:hAnsi="宋体" w:cs="宋体" w:eastAsia="宋体" w:hint="default"/>
                <w:sz w:val="18"/>
                <w:szCs w:val="18"/>
              </w:rPr>
              <w:t>在其他单</w:t>
            </w:r>
          </w:p>
          <w:p>
            <w:pPr>
              <w:pStyle w:val="TableParagraph"/>
              <w:spacing w:line="232" w:lineRule="exact" w:before="23"/>
              <w:ind w:left="103" w:right="156"/>
              <w:jc w:val="both"/>
              <w:rPr>
                <w:rFonts w:ascii="宋体" w:hAnsi="宋体" w:cs="宋体" w:eastAsia="宋体" w:hint="default"/>
                <w:sz w:val="18"/>
                <w:szCs w:val="18"/>
              </w:rPr>
            </w:pPr>
            <w:r>
              <w:rPr>
                <w:rFonts w:ascii="宋体" w:hAnsi="宋体" w:cs="宋体" w:eastAsia="宋体" w:hint="default"/>
                <w:sz w:val="18"/>
                <w:szCs w:val="18"/>
              </w:rPr>
              <w:t>位是否领 取报酬津 贴</w:t>
            </w:r>
            <w:r>
              <w:rPr>
                <w:rFonts w:ascii="宋体" w:hAnsi="宋体" w:cs="宋体" w:eastAsia="宋体" w:hint="default"/>
                <w:sz w:val="18"/>
                <w:szCs w:val="18"/>
              </w:rPr>
              <w:t> </w:t>
            </w:r>
          </w:p>
        </w:tc>
      </w:tr>
      <w:tr>
        <w:trPr>
          <w:trHeight w:val="634" w:hRule="exact"/>
        </w:trPr>
        <w:tc>
          <w:tcPr>
            <w:tcW w:w="99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吴鹰</w:t>
            </w:r>
            <w:r>
              <w:rPr>
                <w:rFonts w:ascii="宋体" w:hAnsi="宋体" w:cs="宋体" w:eastAsia="宋体" w:hint="default"/>
                <w:sz w:val="18"/>
                <w:szCs w:val="18"/>
              </w:rPr>
              <w:t> </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卓尔智联集团有限公司</w:t>
            </w:r>
            <w:r>
              <w:rPr>
                <w:rFonts w:ascii="宋体" w:hAnsi="宋体" w:cs="宋体" w:eastAsia="宋体" w:hint="default"/>
                <w:sz w:val="18"/>
                <w:szCs w:val="18"/>
              </w:rPr>
              <w:t>(2098.HK) </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5" w:right="119"/>
              <w:jc w:val="left"/>
              <w:rPr>
                <w:rFonts w:ascii="宋体" w:hAnsi="宋体" w:cs="宋体" w:eastAsia="宋体" w:hint="default"/>
                <w:sz w:val="18"/>
                <w:szCs w:val="18"/>
              </w:rPr>
            </w:pPr>
            <w:r>
              <w:rPr>
                <w:rFonts w:ascii="宋体" w:hAnsi="宋体" w:cs="宋体" w:eastAsia="宋体" w:hint="default"/>
                <w:sz w:val="18"/>
                <w:szCs w:val="18"/>
              </w:rPr>
              <w:t>独立非执行 董事</w:t>
            </w:r>
            <w:r>
              <w:rPr>
                <w:rFonts w:ascii="宋体" w:hAnsi="宋体" w:cs="宋体" w:eastAsia="宋体" w:hint="default"/>
                <w:sz w:val="18"/>
                <w:szCs w:val="18"/>
              </w:rPr>
              <w:t> </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15" w:right="0"/>
              <w:jc w:val="lef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29</w:t>
            </w:r>
            <w:r>
              <w:rPr>
                <w:rFonts w:ascii="宋体" w:hAnsi="宋体" w:cs="宋体" w:eastAsia="宋体" w:hint="default"/>
                <w:spacing w:val="-1"/>
                <w:sz w:val="18"/>
                <w:szCs w:val="18"/>
              </w:rPr>
              <w:t> </w:t>
            </w:r>
            <w:r>
              <w:rPr>
                <w:rFonts w:ascii="宋体" w:hAnsi="宋体" w:cs="宋体" w:eastAsia="宋体" w:hint="default"/>
                <w:sz w:val="18"/>
                <w:szCs w:val="18"/>
              </w:rPr>
              <w:t>日</w:t>
            </w:r>
            <w:r>
              <w:rPr>
                <w:rFonts w:ascii="宋体" w:hAnsi="宋体" w:cs="宋体" w:eastAsia="宋体" w:hint="default"/>
                <w:sz w:val="18"/>
                <w:szCs w:val="18"/>
              </w:rPr>
              <w:t>-2022</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02</w:t>
            </w:r>
            <w:r>
              <w:rPr>
                <w:rFonts w:ascii="宋体" w:hAnsi="宋体" w:cs="宋体" w:eastAsia="宋体" w:hint="default"/>
                <w:spacing w:val="-47"/>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28</w:t>
            </w:r>
            <w:r>
              <w:rPr>
                <w:rFonts w:ascii="宋体" w:hAnsi="宋体" w:cs="宋体" w:eastAsia="宋体" w:hint="default"/>
                <w:spacing w:val="-44"/>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c>
          <w:tcPr>
            <w:tcW w:w="99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400" w:right="0"/>
              <w:jc w:val="left"/>
              <w:rPr>
                <w:rFonts w:ascii="宋体" w:hAnsi="宋体" w:cs="宋体" w:eastAsia="宋体" w:hint="default"/>
                <w:sz w:val="18"/>
                <w:szCs w:val="18"/>
              </w:rPr>
            </w:pPr>
            <w:r>
              <w:rPr>
                <w:rFonts w:ascii="宋体" w:hAnsi="宋体" w:cs="宋体" w:eastAsia="宋体" w:hint="default"/>
                <w:sz w:val="18"/>
                <w:szCs w:val="18"/>
              </w:rPr>
              <w:t>是</w:t>
            </w:r>
            <w:r>
              <w:rPr>
                <w:rFonts w:ascii="宋体" w:hAnsi="宋体" w:cs="宋体" w:eastAsia="宋体" w:hint="default"/>
                <w:sz w:val="18"/>
                <w:szCs w:val="18"/>
              </w:rPr>
              <w:t> </w:t>
            </w:r>
          </w:p>
        </w:tc>
      </w:tr>
      <w:tr>
        <w:trPr>
          <w:trHeight w:val="634" w:hRule="exact"/>
        </w:trPr>
        <w:tc>
          <w:tcPr>
            <w:tcW w:w="994" w:type="dxa"/>
            <w:vMerge/>
            <w:tcBorders>
              <w:left w:val="single" w:sz="4" w:space="0" w:color="000000"/>
              <w:right w:val="single" w:sz="4" w:space="0" w:color="000000"/>
            </w:tcBorders>
          </w:tcPr>
          <w:p>
            <w:pP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众安在线财产保险股份有限公司</w:t>
            </w:r>
          </w:p>
          <w:p>
            <w:pPr>
              <w:pStyle w:val="TableParagraph"/>
              <w:spacing w:line="240" w:lineRule="auto" w:before="77"/>
              <w:ind w:left="103" w:right="0"/>
              <w:jc w:val="left"/>
              <w:rPr>
                <w:rFonts w:ascii="宋体" w:hAnsi="宋体" w:cs="宋体" w:eastAsia="宋体" w:hint="default"/>
                <w:sz w:val="18"/>
                <w:szCs w:val="18"/>
              </w:rPr>
            </w:pPr>
            <w:r>
              <w:rPr>
                <w:rFonts w:ascii="宋体"/>
                <w:sz w:val="18"/>
              </w:rPr>
              <w:t>(6060.HK) </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105" w:right="119"/>
              <w:jc w:val="left"/>
              <w:rPr>
                <w:rFonts w:ascii="宋体" w:hAnsi="宋体" w:cs="宋体" w:eastAsia="宋体" w:hint="default"/>
                <w:sz w:val="18"/>
                <w:szCs w:val="18"/>
              </w:rPr>
            </w:pPr>
            <w:r>
              <w:rPr>
                <w:rFonts w:ascii="宋体" w:hAnsi="宋体" w:cs="宋体" w:eastAsia="宋体" w:hint="default"/>
                <w:sz w:val="18"/>
                <w:szCs w:val="18"/>
              </w:rPr>
              <w:t>独立非执行 董事</w:t>
            </w:r>
            <w:r>
              <w:rPr>
                <w:rFonts w:ascii="宋体" w:hAnsi="宋体" w:cs="宋体" w:eastAsia="宋体" w:hint="default"/>
                <w:sz w:val="18"/>
                <w:szCs w:val="18"/>
              </w:rPr>
              <w:t> </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07</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4</w:t>
            </w:r>
            <w:r>
              <w:rPr>
                <w:rFonts w:ascii="宋体" w:hAnsi="宋体" w:cs="宋体" w:eastAsia="宋体" w:hint="default"/>
                <w:spacing w:val="-45"/>
                <w:sz w:val="18"/>
                <w:szCs w:val="18"/>
              </w:rPr>
              <w:t> </w:t>
            </w:r>
            <w:r>
              <w:rPr>
                <w:rFonts w:ascii="宋体" w:hAnsi="宋体" w:cs="宋体" w:eastAsia="宋体" w:hint="default"/>
                <w:sz w:val="18"/>
                <w:szCs w:val="18"/>
              </w:rPr>
              <w:t>日</w:t>
            </w:r>
            <w:r>
              <w:rPr>
                <w:rFonts w:ascii="宋体" w:hAnsi="宋体" w:cs="宋体" w:eastAsia="宋体" w:hint="default"/>
                <w:sz w:val="18"/>
                <w:szCs w:val="18"/>
              </w:rPr>
              <w:t>-2022</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宋体" w:hAnsi="宋体" w:cs="宋体" w:eastAsia="宋体" w:hint="default"/>
                <w:sz w:val="18"/>
                <w:szCs w:val="18"/>
              </w:rPr>
              <w:t>11</w:t>
            </w:r>
            <w:r>
              <w:rPr>
                <w:rFonts w:ascii="宋体" w:hAnsi="宋体" w:cs="宋体" w:eastAsia="宋体" w:hint="default"/>
                <w:spacing w:val="-47"/>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07</w:t>
            </w:r>
            <w:r>
              <w:rPr>
                <w:rFonts w:ascii="宋体" w:hAnsi="宋体" w:cs="宋体" w:eastAsia="宋体" w:hint="default"/>
                <w:spacing w:val="-44"/>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c>
          <w:tcPr>
            <w:tcW w:w="991" w:type="dxa"/>
            <w:vMerge/>
            <w:tcBorders>
              <w:left w:val="single" w:sz="4" w:space="0" w:color="000000"/>
              <w:bottom w:val="single" w:sz="4" w:space="0" w:color="000000"/>
              <w:right w:val="single" w:sz="4" w:space="0" w:color="000000"/>
            </w:tcBorders>
          </w:tcPr>
          <w:p>
            <w:pPr/>
          </w:p>
        </w:tc>
      </w:tr>
      <w:tr>
        <w:trPr>
          <w:trHeight w:val="350" w:hRule="exact"/>
        </w:trPr>
        <w:tc>
          <w:tcPr>
            <w:tcW w:w="994" w:type="dxa"/>
            <w:vMerge/>
            <w:tcBorders>
              <w:left w:val="single" w:sz="4" w:space="0" w:color="000000"/>
              <w:right w:val="single" w:sz="4" w:space="0" w:color="000000"/>
            </w:tcBorders>
          </w:tcPr>
          <w:p>
            <w:pP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3" w:right="0"/>
              <w:jc w:val="left"/>
              <w:rPr>
                <w:rFonts w:ascii="宋体" w:hAnsi="宋体" w:cs="宋体" w:eastAsia="宋体" w:hint="default"/>
                <w:sz w:val="18"/>
                <w:szCs w:val="18"/>
              </w:rPr>
            </w:pPr>
            <w:r>
              <w:rPr>
                <w:rFonts w:ascii="宋体" w:hAnsi="宋体" w:cs="宋体" w:eastAsia="宋体" w:hint="default"/>
                <w:sz w:val="18"/>
                <w:szCs w:val="18"/>
              </w:rPr>
              <w:t>海联金汇科技股份有限公司</w:t>
            </w:r>
            <w:r>
              <w:rPr>
                <w:rFonts w:ascii="宋体" w:hAnsi="宋体" w:cs="宋体" w:eastAsia="宋体" w:hint="default"/>
                <w:sz w:val="18"/>
                <w:szCs w:val="18"/>
              </w:rPr>
              <w:t>(002537) </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5" w:right="0"/>
              <w:jc w:val="left"/>
              <w:rPr>
                <w:rFonts w:ascii="宋体" w:hAnsi="宋体" w:cs="宋体" w:eastAsia="宋体" w:hint="default"/>
                <w:sz w:val="18"/>
                <w:szCs w:val="18"/>
              </w:rPr>
            </w:pPr>
            <w:r>
              <w:rPr>
                <w:rFonts w:ascii="宋体" w:hAnsi="宋体" w:cs="宋体" w:eastAsia="宋体" w:hint="default"/>
                <w:sz w:val="18"/>
                <w:szCs w:val="18"/>
              </w:rPr>
              <w:t>董事</w:t>
            </w:r>
            <w:r>
              <w:rPr>
                <w:rFonts w:ascii="宋体" w:hAnsi="宋体" w:cs="宋体" w:eastAsia="宋体" w:hint="default"/>
                <w:sz w:val="18"/>
                <w:szCs w:val="18"/>
              </w:rPr>
              <w:t> </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3" w:right="0"/>
              <w:jc w:val="lef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12</w:t>
            </w:r>
            <w:r>
              <w:rPr>
                <w:rFonts w:ascii="宋体" w:hAnsi="宋体" w:cs="宋体" w:eastAsia="宋体" w:hint="default"/>
                <w:spacing w:val="-47"/>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12</w:t>
            </w:r>
            <w:r>
              <w:rPr>
                <w:rFonts w:ascii="宋体" w:hAnsi="宋体" w:cs="宋体" w:eastAsia="宋体" w:hint="default"/>
                <w:spacing w:val="-47"/>
                <w:sz w:val="18"/>
                <w:szCs w:val="18"/>
              </w:rPr>
              <w:t> </w:t>
            </w:r>
            <w:r>
              <w:rPr>
                <w:rFonts w:ascii="宋体" w:hAnsi="宋体" w:cs="宋体" w:eastAsia="宋体" w:hint="default"/>
                <w:sz w:val="18"/>
                <w:szCs w:val="18"/>
              </w:rPr>
              <w:t>日</w:t>
            </w:r>
            <w:r>
              <w:rPr>
                <w:rFonts w:ascii="宋体" w:hAnsi="宋体" w:cs="宋体" w:eastAsia="宋体" w:hint="default"/>
                <w:sz w:val="18"/>
                <w:szCs w:val="18"/>
              </w:rPr>
              <w:t>-2021</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10</w:t>
            </w:r>
            <w:r>
              <w:rPr>
                <w:rFonts w:ascii="宋体" w:hAnsi="宋体" w:cs="宋体" w:eastAsia="宋体" w:hint="default"/>
                <w:spacing w:val="-49"/>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28</w:t>
            </w:r>
            <w:r>
              <w:rPr>
                <w:rFonts w:ascii="宋体" w:hAnsi="宋体" w:cs="宋体" w:eastAsia="宋体" w:hint="default"/>
                <w:spacing w:val="-46"/>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c>
          <w:tcPr>
            <w:tcW w:w="99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7"/>
              <w:ind w:left="400" w:right="0"/>
              <w:jc w:val="left"/>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sz w:val="18"/>
                <w:szCs w:val="18"/>
              </w:rPr>
              <w:t> </w:t>
            </w:r>
          </w:p>
        </w:tc>
      </w:tr>
      <w:tr>
        <w:trPr>
          <w:trHeight w:val="350" w:hRule="exact"/>
        </w:trPr>
        <w:tc>
          <w:tcPr>
            <w:tcW w:w="994" w:type="dxa"/>
            <w:vMerge/>
            <w:tcBorders>
              <w:left w:val="single" w:sz="4" w:space="0" w:color="000000"/>
              <w:right w:val="single" w:sz="4" w:space="0" w:color="000000"/>
            </w:tcBorders>
          </w:tcPr>
          <w:p>
            <w:pP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3" w:right="0"/>
              <w:jc w:val="left"/>
              <w:rPr>
                <w:rFonts w:ascii="宋体" w:hAnsi="宋体" w:cs="宋体" w:eastAsia="宋体" w:hint="default"/>
                <w:sz w:val="18"/>
                <w:szCs w:val="18"/>
              </w:rPr>
            </w:pPr>
            <w:r>
              <w:rPr>
                <w:rFonts w:ascii="宋体" w:hAnsi="宋体" w:cs="宋体" w:eastAsia="宋体" w:hint="default"/>
                <w:sz w:val="18"/>
                <w:szCs w:val="18"/>
              </w:rPr>
              <w:t>华谊兄弟传媒股份有限公司</w:t>
            </w:r>
            <w:r>
              <w:rPr>
                <w:rFonts w:ascii="宋体" w:hAnsi="宋体" w:cs="宋体" w:eastAsia="宋体" w:hint="default"/>
                <w:sz w:val="18"/>
                <w:szCs w:val="18"/>
              </w:rPr>
              <w:t>(300027) </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5" w:right="0"/>
              <w:jc w:val="left"/>
              <w:rPr>
                <w:rFonts w:ascii="宋体" w:hAnsi="宋体" w:cs="宋体" w:eastAsia="宋体" w:hint="default"/>
                <w:sz w:val="18"/>
                <w:szCs w:val="18"/>
              </w:rPr>
            </w:pPr>
            <w:r>
              <w:rPr>
                <w:rFonts w:ascii="宋体" w:hAnsi="宋体" w:cs="宋体" w:eastAsia="宋体" w:hint="default"/>
                <w:sz w:val="18"/>
                <w:szCs w:val="18"/>
              </w:rPr>
              <w:t>监事会主席</w:t>
            </w:r>
            <w:r>
              <w:rPr>
                <w:rFonts w:ascii="宋体" w:hAnsi="宋体" w:cs="宋体" w:eastAsia="宋体" w:hint="default"/>
                <w:sz w:val="18"/>
                <w:szCs w:val="18"/>
              </w:rPr>
              <w:t> </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3" w:right="0"/>
              <w:jc w:val="left"/>
              <w:rPr>
                <w:rFonts w:ascii="宋体" w:hAnsi="宋体" w:cs="宋体" w:eastAsia="宋体" w:hint="default"/>
                <w:sz w:val="18"/>
                <w:szCs w:val="18"/>
              </w:rPr>
            </w:pPr>
            <w:r>
              <w:rPr>
                <w:rFonts w:ascii="宋体" w:hAnsi="宋体" w:cs="宋体" w:eastAsia="宋体" w:hint="default"/>
                <w:sz w:val="18"/>
                <w:szCs w:val="18"/>
              </w:rPr>
              <w:t>2014</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08</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29</w:t>
            </w:r>
            <w:r>
              <w:rPr>
                <w:rFonts w:ascii="宋体" w:hAnsi="宋体" w:cs="宋体" w:eastAsia="宋体" w:hint="default"/>
                <w:spacing w:val="-45"/>
                <w:sz w:val="18"/>
                <w:szCs w:val="18"/>
              </w:rPr>
              <w:t> </w:t>
            </w:r>
            <w:r>
              <w:rPr>
                <w:rFonts w:ascii="宋体" w:hAnsi="宋体" w:cs="宋体" w:eastAsia="宋体" w:hint="default"/>
                <w:sz w:val="18"/>
                <w:szCs w:val="18"/>
              </w:rPr>
              <w:t>日</w:t>
            </w:r>
            <w:r>
              <w:rPr>
                <w:rFonts w:ascii="宋体" w:hAnsi="宋体" w:cs="宋体" w:eastAsia="宋体" w:hint="default"/>
                <w:sz w:val="18"/>
                <w:szCs w:val="18"/>
              </w:rPr>
              <w:t>-2020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8</w:t>
            </w:r>
            <w:r>
              <w:rPr>
                <w:rFonts w:ascii="宋体" w:hAnsi="宋体" w:cs="宋体" w:eastAsia="宋体" w:hint="default"/>
                <w:spacing w:val="-47"/>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30</w:t>
            </w:r>
            <w:r>
              <w:rPr>
                <w:rFonts w:ascii="宋体" w:hAnsi="宋体" w:cs="宋体" w:eastAsia="宋体" w:hint="default"/>
                <w:spacing w:val="-44"/>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c>
          <w:tcPr>
            <w:tcW w:w="991" w:type="dxa"/>
            <w:vMerge/>
            <w:tcBorders>
              <w:left w:val="single" w:sz="4" w:space="0" w:color="000000"/>
              <w:right w:val="single" w:sz="4" w:space="0" w:color="000000"/>
            </w:tcBorders>
          </w:tcPr>
          <w:p>
            <w:pPr/>
          </w:p>
        </w:tc>
      </w:tr>
      <w:tr>
        <w:trPr>
          <w:trHeight w:val="348" w:hRule="exact"/>
        </w:trPr>
        <w:tc>
          <w:tcPr>
            <w:tcW w:w="994" w:type="dxa"/>
            <w:vMerge/>
            <w:tcBorders>
              <w:left w:val="single" w:sz="4" w:space="0" w:color="000000"/>
              <w:bottom w:val="single" w:sz="4" w:space="0" w:color="000000"/>
              <w:right w:val="single" w:sz="4" w:space="0" w:color="000000"/>
            </w:tcBorders>
          </w:tcPr>
          <w:p>
            <w:pP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3" w:right="0"/>
              <w:jc w:val="left"/>
              <w:rPr>
                <w:rFonts w:ascii="宋体" w:hAnsi="宋体" w:cs="宋体" w:eastAsia="宋体" w:hint="default"/>
                <w:sz w:val="18"/>
                <w:szCs w:val="18"/>
              </w:rPr>
            </w:pPr>
            <w:r>
              <w:rPr>
                <w:rFonts w:ascii="宋体" w:hAnsi="宋体" w:cs="宋体" w:eastAsia="宋体" w:hint="default"/>
                <w:sz w:val="18"/>
                <w:szCs w:val="18"/>
              </w:rPr>
              <w:t>中诚信征信有限公司</w:t>
            </w:r>
            <w:r>
              <w:rPr>
                <w:rFonts w:ascii="宋体" w:hAnsi="宋体" w:cs="宋体" w:eastAsia="宋体" w:hint="default"/>
                <w:sz w:val="18"/>
                <w:szCs w:val="18"/>
              </w:rPr>
              <w:t> </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5" w:right="0"/>
              <w:jc w:val="left"/>
              <w:rPr>
                <w:rFonts w:ascii="宋体" w:hAnsi="宋体" w:cs="宋体" w:eastAsia="宋体" w:hint="default"/>
                <w:sz w:val="18"/>
                <w:szCs w:val="18"/>
              </w:rPr>
            </w:pPr>
            <w:r>
              <w:rPr>
                <w:rFonts w:ascii="宋体" w:hAnsi="宋体" w:cs="宋体" w:eastAsia="宋体" w:hint="default"/>
                <w:sz w:val="18"/>
                <w:szCs w:val="18"/>
              </w:rPr>
              <w:t>董事</w:t>
            </w:r>
            <w:r>
              <w:rPr>
                <w:rFonts w:ascii="宋体" w:hAnsi="宋体" w:cs="宋体" w:eastAsia="宋体" w:hint="default"/>
                <w:sz w:val="18"/>
                <w:szCs w:val="18"/>
              </w:rPr>
              <w:t> </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3"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宋体" w:hAnsi="宋体" w:cs="宋体" w:eastAsia="宋体" w:hint="default"/>
                <w:sz w:val="18"/>
                <w:szCs w:val="18"/>
              </w:rPr>
              <w:t>01</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07</w:t>
            </w:r>
            <w:r>
              <w:rPr>
                <w:rFonts w:ascii="宋体" w:hAnsi="宋体" w:cs="宋体" w:eastAsia="宋体" w:hint="default"/>
                <w:spacing w:val="-46"/>
                <w:sz w:val="18"/>
                <w:szCs w:val="18"/>
              </w:rPr>
              <w:t> </w:t>
            </w:r>
            <w:r>
              <w:rPr>
                <w:rFonts w:ascii="宋体" w:hAnsi="宋体" w:cs="宋体" w:eastAsia="宋体" w:hint="default"/>
                <w:sz w:val="18"/>
                <w:szCs w:val="18"/>
              </w:rPr>
              <w:t>日起任期三年</w:t>
            </w:r>
            <w:r>
              <w:rPr>
                <w:rFonts w:ascii="宋体" w:hAnsi="宋体" w:cs="宋体" w:eastAsia="宋体" w:hint="default"/>
                <w:sz w:val="18"/>
                <w:szCs w:val="18"/>
              </w:rPr>
              <w:t> </w:t>
            </w:r>
          </w:p>
        </w:tc>
        <w:tc>
          <w:tcPr>
            <w:tcW w:w="991" w:type="dxa"/>
            <w:vMerge/>
            <w:tcBorders>
              <w:left w:val="single" w:sz="4" w:space="0" w:color="000000"/>
              <w:bottom w:val="single" w:sz="4" w:space="0" w:color="000000"/>
              <w:right w:val="single" w:sz="4" w:space="0" w:color="000000"/>
            </w:tcBorders>
          </w:tcPr>
          <w:p>
            <w:pPr/>
          </w:p>
        </w:tc>
      </w:tr>
      <w:tr>
        <w:trPr>
          <w:trHeight w:val="350" w:hRule="exact"/>
        </w:trPr>
        <w:tc>
          <w:tcPr>
            <w:tcW w:w="99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0"/>
              <w:ind w:left="103" w:right="0"/>
              <w:jc w:val="left"/>
              <w:rPr>
                <w:rFonts w:ascii="宋体" w:hAnsi="宋体" w:cs="宋体" w:eastAsia="宋体" w:hint="default"/>
                <w:sz w:val="18"/>
                <w:szCs w:val="18"/>
              </w:rPr>
            </w:pPr>
            <w:r>
              <w:rPr>
                <w:rFonts w:ascii="宋体" w:hAnsi="宋体" w:cs="宋体" w:eastAsia="宋体" w:hint="default"/>
                <w:sz w:val="18"/>
                <w:szCs w:val="18"/>
              </w:rPr>
              <w:t>卢小娟</w:t>
            </w:r>
            <w:r>
              <w:rPr>
                <w:rFonts w:ascii="宋体" w:hAnsi="宋体" w:cs="宋体" w:eastAsia="宋体" w:hint="default"/>
                <w:sz w:val="18"/>
                <w:szCs w:val="18"/>
              </w:rPr>
              <w:t> </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3" w:right="0"/>
              <w:jc w:val="left"/>
              <w:rPr>
                <w:rFonts w:ascii="宋体" w:hAnsi="宋体" w:cs="宋体" w:eastAsia="宋体" w:hint="default"/>
                <w:sz w:val="18"/>
                <w:szCs w:val="18"/>
              </w:rPr>
            </w:pPr>
            <w:r>
              <w:rPr>
                <w:rFonts w:ascii="宋体" w:hAnsi="宋体" w:cs="宋体" w:eastAsia="宋体" w:hint="default"/>
                <w:sz w:val="18"/>
                <w:szCs w:val="18"/>
              </w:rPr>
              <w:t>茂业商业股份有限公司</w:t>
            </w:r>
            <w:r>
              <w:rPr>
                <w:rFonts w:ascii="宋体" w:hAnsi="宋体" w:cs="宋体" w:eastAsia="宋体" w:hint="default"/>
                <w:sz w:val="18"/>
                <w:szCs w:val="18"/>
              </w:rPr>
              <w:t> </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5" w:right="0"/>
              <w:jc w:val="left"/>
              <w:rPr>
                <w:rFonts w:ascii="宋体" w:hAnsi="宋体" w:cs="宋体" w:eastAsia="宋体" w:hint="default"/>
                <w:sz w:val="18"/>
                <w:szCs w:val="18"/>
              </w:rPr>
            </w:pPr>
            <w:r>
              <w:rPr>
                <w:rFonts w:ascii="宋体" w:hAnsi="宋体" w:cs="宋体" w:eastAsia="宋体" w:hint="default"/>
                <w:sz w:val="18"/>
                <w:szCs w:val="18"/>
              </w:rPr>
              <w:t>董事</w:t>
            </w:r>
            <w:r>
              <w:rPr>
                <w:rFonts w:ascii="宋体" w:hAnsi="宋体" w:cs="宋体" w:eastAsia="宋体" w:hint="default"/>
                <w:sz w:val="18"/>
                <w:szCs w:val="18"/>
              </w:rPr>
              <w:t> </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3" w:right="0"/>
              <w:jc w:val="lef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07</w:t>
            </w:r>
            <w:r>
              <w:rPr>
                <w:rFonts w:ascii="宋体" w:hAnsi="宋体" w:cs="宋体" w:eastAsia="宋体" w:hint="default"/>
                <w:spacing w:val="-47"/>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14</w:t>
            </w:r>
            <w:r>
              <w:rPr>
                <w:rFonts w:ascii="宋体" w:hAnsi="宋体" w:cs="宋体" w:eastAsia="宋体" w:hint="default"/>
                <w:spacing w:val="-47"/>
                <w:sz w:val="18"/>
                <w:szCs w:val="18"/>
              </w:rPr>
              <w:t> </w:t>
            </w:r>
            <w:r>
              <w:rPr>
                <w:rFonts w:ascii="宋体" w:hAnsi="宋体" w:cs="宋体" w:eastAsia="宋体" w:hint="default"/>
                <w:sz w:val="18"/>
                <w:szCs w:val="18"/>
              </w:rPr>
              <w:t>日</w:t>
            </w:r>
            <w:r>
              <w:rPr>
                <w:rFonts w:ascii="宋体" w:hAnsi="宋体" w:cs="宋体" w:eastAsia="宋体" w:hint="default"/>
                <w:sz w:val="18"/>
                <w:szCs w:val="18"/>
              </w:rPr>
              <w:t>-2022</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09</w:t>
            </w:r>
            <w:r>
              <w:rPr>
                <w:rFonts w:ascii="宋体" w:hAnsi="宋体" w:cs="宋体" w:eastAsia="宋体" w:hint="default"/>
                <w:spacing w:val="-49"/>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24</w:t>
            </w:r>
            <w:r>
              <w:rPr>
                <w:rFonts w:ascii="宋体" w:hAnsi="宋体" w:cs="宋体" w:eastAsia="宋体" w:hint="default"/>
                <w:spacing w:val="-46"/>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c>
          <w:tcPr>
            <w:tcW w:w="991" w:type="dxa"/>
            <w:vMerge w:val="restart"/>
            <w:tcBorders>
              <w:top w:val="single" w:sz="4" w:space="0" w:color="000000"/>
              <w:left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400" w:right="0"/>
              <w:jc w:val="left"/>
              <w:rPr>
                <w:rFonts w:ascii="宋体" w:hAnsi="宋体" w:cs="宋体" w:eastAsia="宋体" w:hint="default"/>
                <w:sz w:val="18"/>
                <w:szCs w:val="18"/>
              </w:rPr>
            </w:pPr>
            <w:r>
              <w:rPr>
                <w:rFonts w:ascii="宋体" w:hAnsi="宋体" w:cs="宋体" w:eastAsia="宋体" w:hint="default"/>
                <w:sz w:val="18"/>
                <w:szCs w:val="18"/>
              </w:rPr>
              <w:t>是</w:t>
            </w:r>
            <w:r>
              <w:rPr>
                <w:rFonts w:ascii="宋体" w:hAnsi="宋体" w:cs="宋体" w:eastAsia="宋体" w:hint="default"/>
                <w:sz w:val="18"/>
                <w:szCs w:val="18"/>
              </w:rPr>
              <w:t> </w:t>
            </w:r>
          </w:p>
        </w:tc>
      </w:tr>
      <w:tr>
        <w:trPr>
          <w:trHeight w:val="350" w:hRule="exact"/>
        </w:trPr>
        <w:tc>
          <w:tcPr>
            <w:tcW w:w="994" w:type="dxa"/>
            <w:vMerge/>
            <w:tcBorders>
              <w:left w:val="single" w:sz="4" w:space="0" w:color="000000"/>
              <w:right w:val="single" w:sz="4" w:space="0" w:color="000000"/>
            </w:tcBorders>
          </w:tcPr>
          <w:p>
            <w:pPr/>
          </w:p>
        </w:tc>
        <w:tc>
          <w:tcPr>
            <w:tcW w:w="3260" w:type="dxa"/>
            <w:vMerge w:val="restart"/>
            <w:tcBorders>
              <w:top w:val="single" w:sz="4" w:space="0" w:color="000000"/>
              <w:left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沈阳商业城股份有限公司</w:t>
            </w:r>
            <w:r>
              <w:rPr>
                <w:rFonts w:ascii="宋体" w:hAnsi="宋体" w:cs="宋体" w:eastAsia="宋体" w:hint="default"/>
                <w:sz w:val="18"/>
                <w:szCs w:val="18"/>
              </w:rPr>
              <w:t> </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5" w:right="0"/>
              <w:jc w:val="left"/>
              <w:rPr>
                <w:rFonts w:ascii="宋体" w:hAnsi="宋体" w:cs="宋体" w:eastAsia="宋体" w:hint="default"/>
                <w:sz w:val="18"/>
                <w:szCs w:val="18"/>
              </w:rPr>
            </w:pPr>
            <w:r>
              <w:rPr>
                <w:rFonts w:ascii="宋体" w:hAnsi="宋体" w:cs="宋体" w:eastAsia="宋体" w:hint="default"/>
                <w:sz w:val="18"/>
                <w:szCs w:val="18"/>
              </w:rPr>
              <w:t>监事</w:t>
            </w:r>
            <w:r>
              <w:rPr>
                <w:rFonts w:ascii="宋体" w:hAnsi="宋体" w:cs="宋体" w:eastAsia="宋体" w:hint="default"/>
                <w:sz w:val="18"/>
                <w:szCs w:val="18"/>
              </w:rPr>
              <w:t> </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3" w:right="0"/>
              <w:jc w:val="left"/>
              <w:rPr>
                <w:rFonts w:ascii="宋体" w:hAnsi="宋体" w:cs="宋体" w:eastAsia="宋体" w:hint="default"/>
                <w:sz w:val="18"/>
                <w:szCs w:val="18"/>
              </w:rPr>
            </w:pPr>
            <w:r>
              <w:rPr>
                <w:rFonts w:ascii="宋体" w:hAnsi="宋体" w:cs="宋体" w:eastAsia="宋体" w:hint="default"/>
                <w:sz w:val="18"/>
                <w:szCs w:val="18"/>
              </w:rPr>
              <w:t>2018</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19</w:t>
            </w:r>
            <w:r>
              <w:rPr>
                <w:rFonts w:ascii="宋体" w:hAnsi="宋体" w:cs="宋体" w:eastAsia="宋体" w:hint="default"/>
                <w:spacing w:val="-45"/>
                <w:sz w:val="18"/>
                <w:szCs w:val="18"/>
              </w:rPr>
              <w:t> </w:t>
            </w:r>
            <w:r>
              <w:rPr>
                <w:rFonts w:ascii="宋体" w:hAnsi="宋体" w:cs="宋体" w:eastAsia="宋体" w:hint="default"/>
                <w:sz w:val="18"/>
                <w:szCs w:val="18"/>
              </w:rPr>
              <w:t>日</w:t>
            </w:r>
            <w:r>
              <w:rPr>
                <w:rFonts w:ascii="宋体" w:hAnsi="宋体" w:cs="宋体" w:eastAsia="宋体" w:hint="default"/>
                <w:sz w:val="18"/>
                <w:szCs w:val="18"/>
              </w:rPr>
              <w:t>-2021</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6</w:t>
            </w:r>
            <w:r>
              <w:rPr>
                <w:rFonts w:ascii="宋体" w:hAnsi="宋体" w:cs="宋体" w:eastAsia="宋体" w:hint="default"/>
                <w:spacing w:val="-47"/>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04</w:t>
            </w:r>
            <w:r>
              <w:rPr>
                <w:rFonts w:ascii="宋体" w:hAnsi="宋体" w:cs="宋体" w:eastAsia="宋体" w:hint="default"/>
                <w:spacing w:val="-44"/>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c>
          <w:tcPr>
            <w:tcW w:w="991" w:type="dxa"/>
            <w:vMerge/>
            <w:tcBorders>
              <w:left w:val="single" w:sz="4" w:space="0" w:color="000000"/>
              <w:bottom w:val="single" w:sz="4" w:space="0" w:color="000000"/>
              <w:right w:val="single" w:sz="4" w:space="0" w:color="000000"/>
            </w:tcBorders>
          </w:tcPr>
          <w:p>
            <w:pPr/>
          </w:p>
        </w:tc>
      </w:tr>
      <w:tr>
        <w:trPr>
          <w:trHeight w:val="350" w:hRule="exact"/>
        </w:trPr>
        <w:tc>
          <w:tcPr>
            <w:tcW w:w="994" w:type="dxa"/>
            <w:vMerge/>
            <w:tcBorders>
              <w:left w:val="single" w:sz="4" w:space="0" w:color="000000"/>
              <w:bottom w:val="single" w:sz="4" w:space="0" w:color="000000"/>
              <w:right w:val="single" w:sz="4" w:space="0" w:color="000000"/>
            </w:tcBorders>
          </w:tcPr>
          <w:p>
            <w:pPr/>
          </w:p>
        </w:tc>
        <w:tc>
          <w:tcPr>
            <w:tcW w:w="3260" w:type="dxa"/>
            <w:vMerge/>
            <w:tcBorders>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5" w:right="0"/>
              <w:jc w:val="left"/>
              <w:rPr>
                <w:rFonts w:ascii="宋体" w:hAnsi="宋体" w:cs="宋体" w:eastAsia="宋体" w:hint="default"/>
                <w:sz w:val="18"/>
                <w:szCs w:val="18"/>
              </w:rPr>
            </w:pPr>
            <w:r>
              <w:rPr>
                <w:rFonts w:ascii="宋体" w:hAnsi="宋体" w:cs="宋体" w:eastAsia="宋体" w:hint="default"/>
                <w:sz w:val="18"/>
                <w:szCs w:val="18"/>
              </w:rPr>
              <w:t>监事会主席</w:t>
            </w:r>
            <w:r>
              <w:rPr>
                <w:rFonts w:ascii="宋体" w:hAnsi="宋体" w:cs="宋体" w:eastAsia="宋体" w:hint="default"/>
                <w:sz w:val="18"/>
                <w:szCs w:val="18"/>
              </w:rPr>
              <w:t> </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3"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10</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15</w:t>
            </w:r>
            <w:r>
              <w:rPr>
                <w:rFonts w:ascii="宋体" w:hAnsi="宋体" w:cs="宋体" w:eastAsia="宋体" w:hint="default"/>
                <w:spacing w:val="-45"/>
                <w:sz w:val="18"/>
                <w:szCs w:val="18"/>
              </w:rPr>
              <w:t> </w:t>
            </w:r>
            <w:r>
              <w:rPr>
                <w:rFonts w:ascii="宋体" w:hAnsi="宋体" w:cs="宋体" w:eastAsia="宋体" w:hint="default"/>
                <w:sz w:val="18"/>
                <w:szCs w:val="18"/>
              </w:rPr>
              <w:t>日</w:t>
            </w:r>
            <w:r>
              <w:rPr>
                <w:rFonts w:ascii="宋体" w:hAnsi="宋体" w:cs="宋体" w:eastAsia="宋体" w:hint="default"/>
                <w:sz w:val="18"/>
                <w:szCs w:val="18"/>
              </w:rPr>
              <w:t>-2021</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6</w:t>
            </w:r>
            <w:r>
              <w:rPr>
                <w:rFonts w:ascii="宋体" w:hAnsi="宋体" w:cs="宋体" w:eastAsia="宋体" w:hint="default"/>
                <w:spacing w:val="-47"/>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04</w:t>
            </w:r>
            <w:r>
              <w:rPr>
                <w:rFonts w:ascii="宋体" w:hAnsi="宋体" w:cs="宋体" w:eastAsia="宋体" w:hint="default"/>
                <w:spacing w:val="-44"/>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87" w:right="0"/>
              <w:jc w:val="center"/>
              <w:rPr>
                <w:rFonts w:ascii="宋体" w:hAnsi="宋体" w:cs="宋体" w:eastAsia="宋体" w:hint="default"/>
                <w:sz w:val="18"/>
                <w:szCs w:val="18"/>
              </w:rPr>
            </w:pPr>
            <w:r>
              <w:rPr>
                <w:rFonts w:ascii="宋体"/>
                <w:sz w:val="18"/>
              </w:rPr>
              <w:t> </w:t>
            </w:r>
          </w:p>
        </w:tc>
      </w:tr>
      <w:tr>
        <w:trPr>
          <w:trHeight w:val="350" w:hRule="exact"/>
        </w:trPr>
        <w:tc>
          <w:tcPr>
            <w:tcW w:w="99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60"/>
              <w:ind w:left="103" w:right="0"/>
              <w:jc w:val="left"/>
              <w:rPr>
                <w:rFonts w:ascii="宋体" w:hAnsi="宋体" w:cs="宋体" w:eastAsia="宋体" w:hint="default"/>
                <w:sz w:val="18"/>
                <w:szCs w:val="18"/>
              </w:rPr>
            </w:pPr>
            <w:r>
              <w:rPr>
                <w:rFonts w:ascii="宋体" w:hAnsi="宋体" w:cs="宋体" w:eastAsia="宋体" w:hint="default"/>
                <w:sz w:val="18"/>
                <w:szCs w:val="18"/>
              </w:rPr>
              <w:t>吕晓清</w:t>
            </w:r>
            <w:r>
              <w:rPr>
                <w:rFonts w:ascii="宋体" w:hAnsi="宋体" w:cs="宋体" w:eastAsia="宋体" w:hint="default"/>
                <w:sz w:val="18"/>
                <w:szCs w:val="18"/>
              </w:rPr>
              <w:t> </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3" w:right="0"/>
              <w:jc w:val="left"/>
              <w:rPr>
                <w:rFonts w:ascii="宋体" w:hAnsi="宋体" w:cs="宋体" w:eastAsia="宋体" w:hint="default"/>
                <w:sz w:val="18"/>
                <w:szCs w:val="18"/>
              </w:rPr>
            </w:pPr>
            <w:r>
              <w:rPr>
                <w:rFonts w:ascii="宋体" w:hAnsi="宋体" w:cs="宋体" w:eastAsia="宋体" w:hint="default"/>
                <w:sz w:val="18"/>
                <w:szCs w:val="18"/>
              </w:rPr>
              <w:t>茂业商业股份有限公司</w:t>
            </w:r>
            <w:r>
              <w:rPr>
                <w:rFonts w:ascii="宋体" w:hAnsi="宋体" w:cs="宋体" w:eastAsia="宋体" w:hint="default"/>
                <w:sz w:val="18"/>
                <w:szCs w:val="18"/>
              </w:rPr>
              <w:t> </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5" w:right="0"/>
              <w:jc w:val="left"/>
              <w:rPr>
                <w:rFonts w:ascii="宋体" w:hAnsi="宋体" w:cs="宋体" w:eastAsia="宋体" w:hint="default"/>
                <w:sz w:val="18"/>
                <w:szCs w:val="18"/>
              </w:rPr>
            </w:pPr>
            <w:r>
              <w:rPr>
                <w:rFonts w:ascii="宋体" w:hAnsi="宋体" w:cs="宋体" w:eastAsia="宋体" w:hint="default"/>
                <w:sz w:val="18"/>
                <w:szCs w:val="18"/>
              </w:rPr>
              <w:t>监事</w:t>
            </w:r>
            <w:r>
              <w:rPr>
                <w:rFonts w:ascii="宋体" w:hAnsi="宋体" w:cs="宋体" w:eastAsia="宋体" w:hint="default"/>
                <w:sz w:val="18"/>
                <w:szCs w:val="18"/>
              </w:rPr>
              <w:t> </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3" w:right="0"/>
              <w:jc w:val="lef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07</w:t>
            </w:r>
            <w:r>
              <w:rPr>
                <w:rFonts w:ascii="宋体" w:hAnsi="宋体" w:cs="宋体" w:eastAsia="宋体" w:hint="default"/>
                <w:spacing w:val="-47"/>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14</w:t>
            </w:r>
            <w:r>
              <w:rPr>
                <w:rFonts w:ascii="宋体" w:hAnsi="宋体" w:cs="宋体" w:eastAsia="宋体" w:hint="default"/>
                <w:spacing w:val="-47"/>
                <w:sz w:val="18"/>
                <w:szCs w:val="18"/>
              </w:rPr>
              <w:t> </w:t>
            </w:r>
            <w:r>
              <w:rPr>
                <w:rFonts w:ascii="宋体" w:hAnsi="宋体" w:cs="宋体" w:eastAsia="宋体" w:hint="default"/>
                <w:sz w:val="18"/>
                <w:szCs w:val="18"/>
              </w:rPr>
              <w:t>日</w:t>
            </w:r>
            <w:r>
              <w:rPr>
                <w:rFonts w:ascii="宋体" w:hAnsi="宋体" w:cs="宋体" w:eastAsia="宋体" w:hint="default"/>
                <w:sz w:val="18"/>
                <w:szCs w:val="18"/>
              </w:rPr>
              <w:t>-2022</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09</w:t>
            </w:r>
            <w:r>
              <w:rPr>
                <w:rFonts w:ascii="宋体" w:hAnsi="宋体" w:cs="宋体" w:eastAsia="宋体" w:hint="default"/>
                <w:spacing w:val="-49"/>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24</w:t>
            </w:r>
            <w:r>
              <w:rPr>
                <w:rFonts w:ascii="宋体" w:hAnsi="宋体" w:cs="宋体" w:eastAsia="宋体" w:hint="default"/>
                <w:spacing w:val="-46"/>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c>
          <w:tcPr>
            <w:tcW w:w="99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87" w:right="0"/>
              <w:jc w:val="center"/>
              <w:rPr>
                <w:rFonts w:ascii="宋体" w:hAnsi="宋体" w:cs="宋体" w:eastAsia="宋体" w:hint="default"/>
                <w:sz w:val="18"/>
                <w:szCs w:val="18"/>
              </w:rPr>
            </w:pPr>
            <w:r>
              <w:rPr>
                <w:rFonts w:ascii="宋体"/>
                <w:sz w:val="18"/>
              </w:rPr>
              <w:t> </w:t>
            </w:r>
          </w:p>
        </w:tc>
      </w:tr>
      <w:tr>
        <w:trPr>
          <w:trHeight w:val="634" w:hRule="exact"/>
        </w:trPr>
        <w:tc>
          <w:tcPr>
            <w:tcW w:w="994" w:type="dxa"/>
            <w:vMerge/>
            <w:tcBorders>
              <w:left w:val="single" w:sz="4" w:space="0" w:color="000000"/>
              <w:right w:val="single" w:sz="4" w:space="0" w:color="000000"/>
            </w:tcBorders>
          </w:tcPr>
          <w:p>
            <w:pP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深圳茂业</w:t>
            </w:r>
            <w:r>
              <w:rPr>
                <w:rFonts w:ascii="宋体" w:hAnsi="宋体" w:cs="宋体" w:eastAsia="宋体" w:hint="default"/>
                <w:sz w:val="18"/>
                <w:szCs w:val="18"/>
              </w:rPr>
              <w:t>(</w:t>
            </w:r>
            <w:r>
              <w:rPr>
                <w:rFonts w:ascii="宋体" w:hAnsi="宋体" w:cs="宋体" w:eastAsia="宋体" w:hint="default"/>
                <w:sz w:val="18"/>
                <w:szCs w:val="18"/>
              </w:rPr>
              <w:t>集团</w:t>
            </w:r>
            <w:r>
              <w:rPr>
                <w:rFonts w:ascii="宋体" w:hAnsi="宋体" w:cs="宋体" w:eastAsia="宋体" w:hint="default"/>
                <w:sz w:val="18"/>
                <w:szCs w:val="18"/>
              </w:rPr>
              <w:t>)</w:t>
            </w:r>
            <w:r>
              <w:rPr>
                <w:rFonts w:ascii="宋体" w:hAnsi="宋体" w:cs="宋体" w:eastAsia="宋体" w:hint="default"/>
                <w:sz w:val="18"/>
                <w:szCs w:val="18"/>
              </w:rPr>
              <w:t>股份有限公司</w:t>
            </w:r>
            <w:r>
              <w:rPr>
                <w:rFonts w:ascii="宋体" w:hAnsi="宋体" w:cs="宋体" w:eastAsia="宋体" w:hint="default"/>
                <w:sz w:val="18"/>
                <w:szCs w:val="18"/>
              </w:rPr>
              <w:t> </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5" w:right="95"/>
              <w:jc w:val="left"/>
              <w:rPr>
                <w:rFonts w:ascii="宋体" w:hAnsi="宋体" w:cs="宋体" w:eastAsia="宋体" w:hint="default"/>
                <w:sz w:val="18"/>
                <w:szCs w:val="18"/>
              </w:rPr>
            </w:pPr>
            <w:r>
              <w:rPr>
                <w:rFonts w:ascii="宋体" w:hAnsi="宋体" w:cs="宋体" w:eastAsia="宋体" w:hint="default"/>
                <w:spacing w:val="4"/>
                <w:sz w:val="18"/>
                <w:szCs w:val="18"/>
              </w:rPr>
              <w:t>董事、总裁 </w:t>
            </w:r>
            <w:r>
              <w:rPr>
                <w:rFonts w:ascii="宋体" w:hAnsi="宋体" w:cs="宋体" w:eastAsia="宋体" w:hint="default"/>
                <w:sz w:val="18"/>
                <w:szCs w:val="18"/>
              </w:rPr>
              <w:t>助理</w:t>
            </w:r>
            <w:r>
              <w:rPr>
                <w:rFonts w:ascii="宋体" w:hAnsi="宋体" w:cs="宋体" w:eastAsia="宋体" w:hint="default"/>
                <w:sz w:val="18"/>
                <w:szCs w:val="18"/>
              </w:rPr>
              <w:t> </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2016</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宋体" w:hAnsi="宋体" w:cs="宋体" w:eastAsia="宋体" w:hint="default"/>
                <w:sz w:val="18"/>
                <w:szCs w:val="18"/>
              </w:rPr>
              <w:t>05</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03</w:t>
            </w:r>
            <w:r>
              <w:rPr>
                <w:rFonts w:ascii="宋体" w:hAnsi="宋体" w:cs="宋体" w:eastAsia="宋体" w:hint="default"/>
                <w:spacing w:val="-46"/>
                <w:sz w:val="18"/>
                <w:szCs w:val="18"/>
              </w:rPr>
              <w:t> </w:t>
            </w:r>
            <w:r>
              <w:rPr>
                <w:rFonts w:ascii="宋体" w:hAnsi="宋体" w:cs="宋体" w:eastAsia="宋体" w:hint="default"/>
                <w:sz w:val="18"/>
                <w:szCs w:val="18"/>
              </w:rPr>
              <w:t>日至今</w:t>
            </w:r>
            <w:r>
              <w:rPr>
                <w:rFonts w:ascii="宋体" w:hAnsi="宋体" w:cs="宋体" w:eastAsia="宋体" w:hint="default"/>
                <w:sz w:val="18"/>
                <w:szCs w:val="18"/>
              </w:rPr>
              <w:t> </w:t>
            </w:r>
          </w:p>
        </w:tc>
        <w:tc>
          <w:tcPr>
            <w:tcW w:w="991" w:type="dxa"/>
            <w:vMerge/>
            <w:tcBorders>
              <w:left w:val="single" w:sz="4" w:space="0" w:color="000000"/>
              <w:right w:val="single" w:sz="4" w:space="0" w:color="000000"/>
            </w:tcBorders>
          </w:tcPr>
          <w:p>
            <w:pPr/>
          </w:p>
        </w:tc>
      </w:tr>
      <w:tr>
        <w:trPr>
          <w:trHeight w:val="351" w:hRule="exact"/>
        </w:trPr>
        <w:tc>
          <w:tcPr>
            <w:tcW w:w="994" w:type="dxa"/>
            <w:vMerge/>
            <w:tcBorders>
              <w:left w:val="single" w:sz="4" w:space="0" w:color="000000"/>
              <w:right w:val="single" w:sz="4" w:space="0" w:color="000000"/>
            </w:tcBorders>
          </w:tcPr>
          <w:p>
            <w:pP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3" w:right="0"/>
              <w:jc w:val="left"/>
              <w:rPr>
                <w:rFonts w:ascii="宋体" w:hAnsi="宋体" w:cs="宋体" w:eastAsia="宋体" w:hint="default"/>
                <w:sz w:val="18"/>
                <w:szCs w:val="18"/>
              </w:rPr>
            </w:pPr>
            <w:r>
              <w:rPr>
                <w:rFonts w:ascii="宋体" w:hAnsi="宋体" w:cs="宋体" w:eastAsia="宋体" w:hint="default"/>
                <w:sz w:val="18"/>
                <w:szCs w:val="18"/>
              </w:rPr>
              <w:t>沈阳商业城股份有限公司</w:t>
            </w:r>
            <w:r>
              <w:rPr>
                <w:rFonts w:ascii="宋体" w:hAnsi="宋体" w:cs="宋体" w:eastAsia="宋体" w:hint="default"/>
                <w:sz w:val="18"/>
                <w:szCs w:val="18"/>
              </w:rPr>
              <w:t> </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5" w:right="0"/>
              <w:jc w:val="left"/>
              <w:rPr>
                <w:rFonts w:ascii="宋体" w:hAnsi="宋体" w:cs="宋体" w:eastAsia="宋体" w:hint="default"/>
                <w:sz w:val="18"/>
                <w:szCs w:val="18"/>
              </w:rPr>
            </w:pPr>
            <w:r>
              <w:rPr>
                <w:rFonts w:ascii="宋体" w:hAnsi="宋体" w:cs="宋体" w:eastAsia="宋体" w:hint="default"/>
                <w:sz w:val="18"/>
                <w:szCs w:val="18"/>
              </w:rPr>
              <w:t>董事</w:t>
            </w:r>
            <w:r>
              <w:rPr>
                <w:rFonts w:ascii="宋体" w:hAnsi="宋体" w:cs="宋体" w:eastAsia="宋体" w:hint="default"/>
                <w:sz w:val="18"/>
                <w:szCs w:val="18"/>
              </w:rPr>
              <w:t> </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3" w:right="0"/>
              <w:jc w:val="left"/>
              <w:rPr>
                <w:rFonts w:ascii="宋体" w:hAnsi="宋体" w:cs="宋体" w:eastAsia="宋体" w:hint="default"/>
                <w:sz w:val="18"/>
                <w:szCs w:val="18"/>
              </w:rPr>
            </w:pPr>
            <w:r>
              <w:rPr>
                <w:rFonts w:ascii="宋体" w:hAnsi="宋体" w:cs="宋体" w:eastAsia="宋体" w:hint="default"/>
                <w:sz w:val="18"/>
                <w:szCs w:val="18"/>
              </w:rPr>
              <w:t>2017</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11</w:t>
            </w:r>
            <w:r>
              <w:rPr>
                <w:rFonts w:ascii="宋体" w:hAnsi="宋体" w:cs="宋体" w:eastAsia="宋体" w:hint="default"/>
                <w:spacing w:val="-47"/>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22</w:t>
            </w:r>
            <w:r>
              <w:rPr>
                <w:rFonts w:ascii="宋体" w:hAnsi="宋体" w:cs="宋体" w:eastAsia="宋体" w:hint="default"/>
                <w:spacing w:val="-47"/>
                <w:sz w:val="18"/>
                <w:szCs w:val="18"/>
              </w:rPr>
              <w:t> </w:t>
            </w:r>
            <w:r>
              <w:rPr>
                <w:rFonts w:ascii="宋体" w:hAnsi="宋体" w:cs="宋体" w:eastAsia="宋体" w:hint="default"/>
                <w:sz w:val="18"/>
                <w:szCs w:val="18"/>
              </w:rPr>
              <w:t>日</w:t>
            </w:r>
            <w:r>
              <w:rPr>
                <w:rFonts w:ascii="宋体" w:hAnsi="宋体" w:cs="宋体" w:eastAsia="宋体" w:hint="default"/>
                <w:sz w:val="18"/>
                <w:szCs w:val="18"/>
              </w:rPr>
              <w:t>-2021</w:t>
            </w:r>
            <w:r>
              <w:rPr>
                <w:rFonts w:ascii="宋体" w:hAnsi="宋体" w:cs="宋体" w:eastAsia="宋体" w:hint="default"/>
                <w:spacing w:val="-47"/>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06</w:t>
            </w:r>
            <w:r>
              <w:rPr>
                <w:rFonts w:ascii="宋体" w:hAnsi="宋体" w:cs="宋体" w:eastAsia="宋体" w:hint="default"/>
                <w:spacing w:val="-49"/>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04</w:t>
            </w:r>
            <w:r>
              <w:rPr>
                <w:rFonts w:ascii="宋体" w:hAnsi="宋体" w:cs="宋体" w:eastAsia="宋体" w:hint="default"/>
                <w:spacing w:val="-46"/>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c>
          <w:tcPr>
            <w:tcW w:w="991" w:type="dxa"/>
            <w:vMerge/>
            <w:tcBorders>
              <w:left w:val="single" w:sz="4" w:space="0" w:color="000000"/>
              <w:right w:val="single" w:sz="4" w:space="0" w:color="000000"/>
            </w:tcBorders>
          </w:tcPr>
          <w:p>
            <w:pPr/>
          </w:p>
        </w:tc>
      </w:tr>
      <w:tr>
        <w:trPr>
          <w:trHeight w:val="350" w:hRule="exact"/>
        </w:trPr>
        <w:tc>
          <w:tcPr>
            <w:tcW w:w="994" w:type="dxa"/>
            <w:vMerge/>
            <w:tcBorders>
              <w:left w:val="single" w:sz="4" w:space="0" w:color="000000"/>
              <w:right w:val="single" w:sz="4" w:space="0" w:color="000000"/>
            </w:tcBorders>
          </w:tcPr>
          <w:p>
            <w:pP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3" w:right="0"/>
              <w:jc w:val="left"/>
              <w:rPr>
                <w:rFonts w:ascii="宋体" w:hAnsi="宋体" w:cs="宋体" w:eastAsia="宋体" w:hint="default"/>
                <w:sz w:val="18"/>
                <w:szCs w:val="18"/>
              </w:rPr>
            </w:pPr>
            <w:r>
              <w:rPr>
                <w:rFonts w:ascii="宋体" w:hAnsi="宋体" w:cs="宋体" w:eastAsia="宋体" w:hint="default"/>
                <w:sz w:val="18"/>
                <w:szCs w:val="18"/>
              </w:rPr>
              <w:t>重药控股股份有限公司（</w:t>
            </w:r>
            <w:r>
              <w:rPr>
                <w:rFonts w:ascii="宋体" w:hAnsi="宋体" w:cs="宋体" w:eastAsia="宋体" w:hint="default"/>
                <w:sz w:val="18"/>
                <w:szCs w:val="18"/>
              </w:rPr>
              <w:t>000950) </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5" w:right="0"/>
              <w:jc w:val="left"/>
              <w:rPr>
                <w:rFonts w:ascii="宋体" w:hAnsi="宋体" w:cs="宋体" w:eastAsia="宋体" w:hint="default"/>
                <w:sz w:val="18"/>
                <w:szCs w:val="18"/>
              </w:rPr>
            </w:pPr>
            <w:r>
              <w:rPr>
                <w:rFonts w:ascii="宋体" w:hAnsi="宋体" w:cs="宋体" w:eastAsia="宋体" w:hint="default"/>
                <w:sz w:val="18"/>
                <w:szCs w:val="18"/>
              </w:rPr>
              <w:t>董事</w:t>
            </w:r>
            <w:r>
              <w:rPr>
                <w:rFonts w:ascii="宋体" w:hAnsi="宋体" w:cs="宋体" w:eastAsia="宋体" w:hint="default"/>
                <w:sz w:val="18"/>
                <w:szCs w:val="18"/>
              </w:rPr>
              <w:t> </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3"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23</w:t>
            </w:r>
            <w:r>
              <w:rPr>
                <w:rFonts w:ascii="宋体" w:hAnsi="宋体" w:cs="宋体" w:eastAsia="宋体" w:hint="default"/>
                <w:spacing w:val="-45"/>
                <w:sz w:val="18"/>
                <w:szCs w:val="18"/>
              </w:rPr>
              <w:t> </w:t>
            </w:r>
            <w:r>
              <w:rPr>
                <w:rFonts w:ascii="宋体" w:hAnsi="宋体" w:cs="宋体" w:eastAsia="宋体" w:hint="default"/>
                <w:sz w:val="18"/>
                <w:szCs w:val="18"/>
              </w:rPr>
              <w:t>日</w:t>
            </w:r>
            <w:r>
              <w:rPr>
                <w:rFonts w:ascii="宋体" w:hAnsi="宋体" w:cs="宋体" w:eastAsia="宋体" w:hint="default"/>
                <w:sz w:val="18"/>
                <w:szCs w:val="18"/>
              </w:rPr>
              <w:t>-2020</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9</w:t>
            </w:r>
            <w:r>
              <w:rPr>
                <w:rFonts w:ascii="宋体" w:hAnsi="宋体" w:cs="宋体" w:eastAsia="宋体" w:hint="default"/>
                <w:spacing w:val="-47"/>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14</w:t>
            </w:r>
            <w:r>
              <w:rPr>
                <w:rFonts w:ascii="宋体" w:hAnsi="宋体" w:cs="宋体" w:eastAsia="宋体" w:hint="default"/>
                <w:spacing w:val="-44"/>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c>
          <w:tcPr>
            <w:tcW w:w="991" w:type="dxa"/>
            <w:vMerge/>
            <w:tcBorders>
              <w:left w:val="single" w:sz="4" w:space="0" w:color="000000"/>
              <w:bottom w:val="single" w:sz="4" w:space="0" w:color="000000"/>
              <w:right w:val="single" w:sz="4" w:space="0" w:color="000000"/>
            </w:tcBorders>
          </w:tcPr>
          <w:p>
            <w:pPr/>
          </w:p>
        </w:tc>
      </w:tr>
      <w:tr>
        <w:trPr>
          <w:trHeight w:val="348" w:hRule="exact"/>
        </w:trPr>
        <w:tc>
          <w:tcPr>
            <w:tcW w:w="994" w:type="dxa"/>
            <w:vMerge/>
            <w:tcBorders>
              <w:left w:val="single" w:sz="4" w:space="0" w:color="000000"/>
              <w:bottom w:val="single" w:sz="4" w:space="0" w:color="000000"/>
              <w:right w:val="single" w:sz="4" w:space="0" w:color="000000"/>
            </w:tcBorders>
          </w:tcPr>
          <w:p>
            <w:pP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3" w:right="0"/>
              <w:jc w:val="left"/>
              <w:rPr>
                <w:rFonts w:ascii="宋体" w:hAnsi="宋体" w:cs="宋体" w:eastAsia="宋体" w:hint="default"/>
                <w:sz w:val="18"/>
                <w:szCs w:val="18"/>
              </w:rPr>
            </w:pPr>
            <w:r>
              <w:rPr>
                <w:rFonts w:ascii="宋体" w:hAnsi="宋体" w:cs="宋体" w:eastAsia="宋体" w:hint="default"/>
                <w:sz w:val="18"/>
                <w:szCs w:val="18"/>
              </w:rPr>
              <w:t>崇德物业管理（深圳）有限公司</w:t>
            </w:r>
            <w:r>
              <w:rPr>
                <w:rFonts w:ascii="宋体" w:hAnsi="宋体" w:cs="宋体" w:eastAsia="宋体" w:hint="default"/>
                <w:sz w:val="18"/>
                <w:szCs w:val="18"/>
              </w:rPr>
              <w:t> </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5" w:right="0"/>
              <w:jc w:val="left"/>
              <w:rPr>
                <w:rFonts w:ascii="宋体" w:hAnsi="宋体" w:cs="宋体" w:eastAsia="宋体" w:hint="default"/>
                <w:sz w:val="18"/>
                <w:szCs w:val="18"/>
              </w:rPr>
            </w:pPr>
            <w:r>
              <w:rPr>
                <w:rFonts w:ascii="宋体" w:hAnsi="宋体" w:cs="宋体" w:eastAsia="宋体" w:hint="default"/>
                <w:sz w:val="18"/>
                <w:szCs w:val="18"/>
              </w:rPr>
              <w:t>总经理</w:t>
            </w:r>
            <w:r>
              <w:rPr>
                <w:rFonts w:ascii="宋体" w:hAnsi="宋体" w:cs="宋体" w:eastAsia="宋体" w:hint="default"/>
                <w:sz w:val="18"/>
                <w:szCs w:val="18"/>
              </w:rPr>
              <w:t> </w:t>
            </w:r>
          </w:p>
        </w:tc>
        <w:tc>
          <w:tcPr>
            <w:tcW w:w="3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3"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9</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24</w:t>
            </w:r>
            <w:r>
              <w:rPr>
                <w:rFonts w:ascii="宋体" w:hAnsi="宋体" w:cs="宋体" w:eastAsia="宋体" w:hint="default"/>
                <w:spacing w:val="-45"/>
                <w:sz w:val="18"/>
                <w:szCs w:val="18"/>
              </w:rPr>
              <w:t> </w:t>
            </w:r>
            <w:r>
              <w:rPr>
                <w:rFonts w:ascii="宋体" w:hAnsi="宋体" w:cs="宋体" w:eastAsia="宋体" w:hint="default"/>
                <w:sz w:val="18"/>
                <w:szCs w:val="18"/>
              </w:rPr>
              <w:t>日至今</w:t>
            </w:r>
            <w:r>
              <w:rPr>
                <w:rFonts w:ascii="宋体" w:hAnsi="宋体" w:cs="宋体" w:eastAsia="宋体" w:hint="default"/>
                <w:sz w:val="18"/>
                <w:szCs w:val="18"/>
              </w:rPr>
              <w:t> </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3" w:right="0"/>
              <w:jc w:val="left"/>
              <w:rPr>
                <w:rFonts w:ascii="宋体" w:hAnsi="宋体" w:cs="宋体" w:eastAsia="宋体" w:hint="default"/>
                <w:sz w:val="18"/>
                <w:szCs w:val="18"/>
              </w:rPr>
            </w:pPr>
            <w:r>
              <w:rPr>
                <w:rFonts w:ascii="宋体"/>
                <w:sz w:val="18"/>
              </w:rPr>
              <w:t> </w:t>
            </w:r>
          </w:p>
        </w:tc>
      </w:tr>
      <w:tr>
        <w:trPr>
          <w:trHeight w:val="324" w:hRule="exact"/>
        </w:trPr>
        <w:tc>
          <w:tcPr>
            <w:tcW w:w="425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在其他单位任职情况的说明</w:t>
            </w:r>
            <w:r>
              <w:rPr>
                <w:rFonts w:ascii="宋体" w:hAnsi="宋体" w:cs="宋体" w:eastAsia="宋体" w:hint="default"/>
                <w:sz w:val="18"/>
                <w:szCs w:val="18"/>
              </w:rPr>
              <w:t> </w:t>
            </w:r>
          </w:p>
        </w:tc>
        <w:tc>
          <w:tcPr>
            <w:tcW w:w="538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sz w:val="18"/>
              </w:rPr>
              <w:t>--- </w:t>
            </w:r>
          </w:p>
        </w:tc>
      </w:tr>
    </w:tbl>
    <w:p>
      <w:pPr>
        <w:spacing w:line="240" w:lineRule="auto" w:before="6"/>
        <w:rPr>
          <w:rFonts w:ascii="宋体" w:hAnsi="宋体" w:cs="宋体" w:eastAsia="宋体" w:hint="default"/>
          <w:sz w:val="5"/>
          <w:szCs w:val="5"/>
        </w:rPr>
      </w:pPr>
    </w:p>
    <w:p>
      <w:pPr>
        <w:pStyle w:val="BodyText"/>
        <w:spacing w:line="240" w:lineRule="auto" w:before="36"/>
        <w:ind w:right="1133"/>
        <w:jc w:val="left"/>
        <w:rPr>
          <w:rFonts w:ascii="宋体" w:hAnsi="宋体" w:cs="宋体" w:eastAsia="宋体" w:hint="default"/>
        </w:rPr>
      </w:pPr>
      <w:r>
        <w:rPr/>
        <w:t>公司现任及报告期内离任董事、监事和高级管理人员近三年证券监管机构处罚的情况</w:t>
      </w:r>
      <w:r>
        <w:rPr>
          <w:rFonts w:ascii="宋体" w:hAnsi="宋体" w:cs="宋体" w:eastAsia="宋体" w:hint="default"/>
        </w:rPr>
        <w:t> </w:t>
      </w:r>
    </w:p>
    <w:p>
      <w:pPr>
        <w:pStyle w:val="BodyText"/>
        <w:spacing w:line="240" w:lineRule="auto" w:before="75"/>
        <w:ind w:right="1133"/>
        <w:jc w:val="left"/>
        <w:rPr>
          <w:rFonts w:ascii="宋体" w:hAnsi="宋体" w:cs="宋体" w:eastAsia="宋体" w:hint="default"/>
        </w:rPr>
      </w:pPr>
      <w:r>
        <w:rPr/>
        <w:t>□ 适用 </w:t>
      </w:r>
      <w:r>
        <w:rPr>
          <w:rFonts w:ascii="宋体" w:hAnsi="宋体" w:cs="宋体" w:eastAsia="宋体" w:hint="default"/>
        </w:rPr>
      </w:r>
      <w:r>
        <w:rPr>
          <w:spacing w:val="-3"/>
        </w:rPr>
        <w:t>√</w:t>
      </w:r>
      <w:r>
        <w:rPr/>
        <w:t> 不适用</w:t>
      </w:r>
      <w:r>
        <w:rPr>
          <w:rFonts w:ascii="宋体" w:hAnsi="宋体" w:cs="宋体" w:eastAsia="宋体" w:hint="default"/>
        </w:rPr>
        <w:t> </w:t>
      </w:r>
    </w:p>
    <w:p>
      <w:pPr>
        <w:spacing w:after="0" w:line="240" w:lineRule="auto"/>
        <w:jc w:val="left"/>
        <w:rPr>
          <w:rFonts w:ascii="宋体" w:hAnsi="宋体" w:cs="宋体" w:eastAsia="宋体" w:hint="default"/>
        </w:rPr>
        <w:sectPr>
          <w:pgSz w:w="11910" w:h="16840"/>
          <w:pgMar w:header="880" w:footer="975" w:top="1100" w:bottom="1160" w:left="980" w:right="0"/>
        </w:sectPr>
      </w:pPr>
    </w:p>
    <w:p>
      <w:pPr>
        <w:spacing w:line="240" w:lineRule="auto" w:before="11"/>
        <w:rPr>
          <w:rFonts w:ascii="宋体" w:hAnsi="宋体" w:cs="宋体" w:eastAsia="宋体" w:hint="default"/>
          <w:sz w:val="20"/>
          <w:szCs w:val="20"/>
        </w:rPr>
      </w:pPr>
    </w:p>
    <w:p>
      <w:pPr>
        <w:pStyle w:val="Heading3"/>
        <w:spacing w:line="240" w:lineRule="auto"/>
        <w:ind w:left="212" w:right="0"/>
        <w:jc w:val="left"/>
        <w:rPr>
          <w:b w:val="0"/>
          <w:bCs w:val="0"/>
        </w:rPr>
      </w:pPr>
      <w:r>
        <w:rPr/>
        <w:t>四、董事、监事、高级管理人员报酬情况</w:t>
      </w:r>
      <w:r>
        <w:rPr>
          <w:b w:val="0"/>
          <w:bCs w:val="0"/>
        </w:rPr>
      </w:r>
    </w:p>
    <w:p>
      <w:pPr>
        <w:pStyle w:val="BodyText"/>
        <w:spacing w:line="283" w:lineRule="auto" w:before="157"/>
        <w:ind w:left="212" w:right="0"/>
        <w:jc w:val="left"/>
      </w:pPr>
      <w:r>
        <w:rPr/>
        <w:t>董事、监事、高级管理人员报酬的决策程序、确定依据、实际支付情况</w:t>
      </w:r>
      <w:r>
        <w:rPr>
          <w:w w:val="100"/>
        </w:rPr>
        <w:t> </w:t>
      </w:r>
      <w:r>
        <w:rPr>
          <w:spacing w:val="-2"/>
        </w:rPr>
        <w:t>董事会薪酬与考核委员会主要负责制定公司董事及经理人员的考核标准并进行考核；负责制定、审查公司</w:t>
      </w:r>
      <w:r>
        <w:rPr>
          <w:spacing w:val="-44"/>
        </w:rPr>
        <w:t> </w:t>
      </w:r>
      <w:r>
        <w:rPr>
          <w:spacing w:val="-44"/>
        </w:rPr>
      </w:r>
      <w:r>
        <w:rPr>
          <w:spacing w:val="-4"/>
          <w:w w:val="100"/>
        </w:rPr>
        <w:t>董事及经理人员的薪酬政策与方案，对董事会负责。根据《公司董事会专门委员会工作制度》，按月支付</w:t>
      </w:r>
      <w:r>
        <w:rPr>
          <w:spacing w:val="-91"/>
          <w:w w:val="100"/>
        </w:rPr>
        <w:t> </w:t>
      </w:r>
      <w:r>
        <w:rPr>
          <w:spacing w:val="-91"/>
          <w:w w:val="100"/>
        </w:rPr>
      </w:r>
      <w:r>
        <w:rPr/>
        <w:t>董事、监事、高级管理人员的报酬。</w:t>
      </w:r>
    </w:p>
    <w:p>
      <w:pPr>
        <w:pStyle w:val="BodyText"/>
        <w:spacing w:line="240" w:lineRule="auto" w:before="117"/>
        <w:ind w:left="212" w:right="0"/>
        <w:jc w:val="left"/>
      </w:pPr>
      <w:r>
        <w:rPr/>
        <w:t>公司报告期内董事、监事和高级管理人员报酬情况</w:t>
      </w:r>
    </w:p>
    <w:p>
      <w:pPr>
        <w:spacing w:line="240" w:lineRule="auto" w:before="12"/>
        <w:rPr>
          <w:rFonts w:ascii="宋体" w:hAnsi="宋体" w:cs="宋体" w:eastAsia="宋体" w:hint="default"/>
          <w:sz w:val="6"/>
          <w:szCs w:val="6"/>
        </w:rPr>
      </w:pPr>
    </w:p>
    <w:tbl>
      <w:tblPr>
        <w:tblW w:w="0" w:type="auto"/>
        <w:jc w:val="left"/>
        <w:tblInd w:w="100" w:type="dxa"/>
        <w:tblLayout w:type="fixed"/>
        <w:tblCellMar>
          <w:top w:w="0" w:type="dxa"/>
          <w:left w:w="0" w:type="dxa"/>
          <w:bottom w:w="0" w:type="dxa"/>
          <w:right w:w="0" w:type="dxa"/>
        </w:tblCellMar>
        <w:tblLook w:val="01E0"/>
      </w:tblPr>
      <w:tblGrid>
        <w:gridCol w:w="788"/>
        <w:gridCol w:w="1133"/>
        <w:gridCol w:w="631"/>
        <w:gridCol w:w="992"/>
        <w:gridCol w:w="994"/>
        <w:gridCol w:w="425"/>
        <w:gridCol w:w="850"/>
        <w:gridCol w:w="1330"/>
        <w:gridCol w:w="682"/>
        <w:gridCol w:w="965"/>
        <w:gridCol w:w="854"/>
      </w:tblGrid>
      <w:tr>
        <w:trPr>
          <w:trHeight w:val="1027" w:hRule="exact"/>
        </w:trPr>
        <w:tc>
          <w:tcPr>
            <w:tcW w:w="788"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姓名</w:t>
            </w:r>
            <w:r>
              <w:rPr>
                <w:rFonts w:ascii="宋体" w:hAnsi="宋体" w:cs="宋体" w:eastAsia="宋体" w:hint="default"/>
                <w:sz w:val="18"/>
                <w:szCs w:val="18"/>
              </w:rPr>
              <w:t> </w:t>
            </w:r>
          </w:p>
        </w:tc>
        <w:tc>
          <w:tcPr>
            <w:tcW w:w="1133"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职务</w:t>
            </w:r>
            <w:r>
              <w:rPr>
                <w:rFonts w:ascii="宋体" w:hAnsi="宋体" w:cs="宋体" w:eastAsia="宋体" w:hint="default"/>
                <w:sz w:val="18"/>
                <w:szCs w:val="18"/>
              </w:rPr>
              <w:t> </w:t>
            </w:r>
          </w:p>
        </w:tc>
        <w:tc>
          <w:tcPr>
            <w:tcW w:w="63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03" w:right="47"/>
              <w:jc w:val="left"/>
              <w:rPr>
                <w:rFonts w:ascii="宋体" w:hAnsi="宋体" w:cs="宋体" w:eastAsia="宋体" w:hint="default"/>
                <w:sz w:val="18"/>
                <w:szCs w:val="18"/>
              </w:rPr>
            </w:pPr>
            <w:r>
              <w:rPr>
                <w:rFonts w:ascii="宋体" w:hAnsi="宋体" w:cs="宋体" w:eastAsia="宋体" w:hint="default"/>
                <w:spacing w:val="27"/>
                <w:sz w:val="18"/>
                <w:szCs w:val="18"/>
              </w:rPr>
              <w:t>任职</w:t>
            </w:r>
            <w:r>
              <w:rPr>
                <w:rFonts w:ascii="宋体" w:hAnsi="宋体" w:cs="宋体" w:eastAsia="宋体" w:hint="default"/>
                <w:spacing w:val="-35"/>
                <w:sz w:val="18"/>
                <w:szCs w:val="18"/>
              </w:rPr>
              <w:t> </w:t>
            </w:r>
            <w:r>
              <w:rPr>
                <w:rFonts w:ascii="宋体" w:hAnsi="宋体" w:cs="宋体" w:eastAsia="宋体" w:hint="default"/>
                <w:sz w:val="18"/>
                <w:szCs w:val="18"/>
              </w:rPr>
              <w:t>状态</w:t>
            </w:r>
            <w:r>
              <w:rPr>
                <w:rFonts w:ascii="宋体" w:hAnsi="宋体" w:cs="宋体" w:eastAsia="宋体" w:hint="default"/>
                <w:sz w:val="18"/>
                <w:szCs w:val="18"/>
              </w:rPr>
              <w:t> </w:t>
            </w:r>
          </w:p>
        </w:tc>
        <w:tc>
          <w:tcPr>
            <w:tcW w:w="99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7" w:lineRule="auto" w:before="15"/>
              <w:ind w:left="103" w:right="80"/>
              <w:jc w:val="both"/>
              <w:rPr>
                <w:rFonts w:ascii="宋体" w:hAnsi="宋体" w:cs="宋体" w:eastAsia="宋体" w:hint="default"/>
                <w:sz w:val="18"/>
                <w:szCs w:val="18"/>
              </w:rPr>
            </w:pPr>
            <w:r>
              <w:rPr>
                <w:rFonts w:ascii="宋体" w:hAnsi="宋体" w:cs="宋体" w:eastAsia="宋体" w:hint="default"/>
                <w:spacing w:val="14"/>
                <w:sz w:val="18"/>
                <w:szCs w:val="18"/>
              </w:rPr>
              <w:t>从公司获</w:t>
            </w:r>
            <w:r>
              <w:rPr>
                <w:rFonts w:ascii="宋体" w:hAnsi="宋体" w:cs="宋体" w:eastAsia="宋体" w:hint="default"/>
                <w:spacing w:val="-71"/>
                <w:sz w:val="18"/>
                <w:szCs w:val="18"/>
              </w:rPr>
              <w:t> </w:t>
            </w:r>
            <w:r>
              <w:rPr>
                <w:rFonts w:ascii="宋体" w:hAnsi="宋体" w:cs="宋体" w:eastAsia="宋体" w:hint="default"/>
                <w:spacing w:val="14"/>
                <w:sz w:val="18"/>
                <w:szCs w:val="18"/>
              </w:rPr>
              <w:t>得的税前</w:t>
            </w:r>
            <w:r>
              <w:rPr>
                <w:rFonts w:ascii="宋体" w:hAnsi="宋体" w:cs="宋体" w:eastAsia="宋体" w:hint="default"/>
                <w:spacing w:val="-71"/>
                <w:sz w:val="18"/>
                <w:szCs w:val="18"/>
              </w:rPr>
              <w:t> </w:t>
            </w:r>
            <w:r>
              <w:rPr>
                <w:rFonts w:ascii="宋体" w:hAnsi="宋体" w:cs="宋体" w:eastAsia="宋体" w:hint="default"/>
                <w:spacing w:val="14"/>
                <w:sz w:val="18"/>
                <w:szCs w:val="18"/>
              </w:rPr>
              <w:t>报酬总额</w:t>
            </w:r>
            <w:r>
              <w:rPr>
                <w:rFonts w:ascii="宋体" w:hAnsi="宋体" w:cs="宋体" w:eastAsia="宋体" w:hint="default"/>
                <w:spacing w:val="-71"/>
                <w:sz w:val="18"/>
                <w:szCs w:val="18"/>
              </w:rPr>
              <w:t> </w:t>
            </w:r>
            <w:r>
              <w:rPr>
                <w:rFonts w:ascii="宋体" w:hAnsi="宋体" w:cs="宋体" w:eastAsia="宋体" w:hint="default"/>
                <w:sz w:val="18"/>
                <w:szCs w:val="18"/>
              </w:rPr>
              <w:t>(</w:t>
            </w:r>
            <w:r>
              <w:rPr>
                <w:rFonts w:ascii="宋体" w:hAnsi="宋体" w:cs="宋体" w:eastAsia="宋体" w:hint="default"/>
                <w:sz w:val="18"/>
                <w:szCs w:val="18"/>
              </w:rPr>
              <w:t>万元</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316" w:lineRule="auto" w:before="51"/>
              <w:ind w:left="105" w:right="66"/>
              <w:jc w:val="both"/>
              <w:rPr>
                <w:rFonts w:ascii="宋体" w:hAnsi="宋体" w:cs="宋体" w:eastAsia="宋体" w:hint="default"/>
                <w:sz w:val="18"/>
                <w:szCs w:val="18"/>
              </w:rPr>
            </w:pPr>
            <w:r>
              <w:rPr>
                <w:rFonts w:ascii="宋体" w:hAnsi="宋体" w:cs="宋体" w:eastAsia="宋体" w:hint="default"/>
                <w:spacing w:val="14"/>
                <w:sz w:val="18"/>
                <w:szCs w:val="18"/>
              </w:rPr>
              <w:t>是否在公</w:t>
            </w:r>
            <w:r>
              <w:rPr>
                <w:rFonts w:ascii="宋体" w:hAnsi="宋体" w:cs="宋体" w:eastAsia="宋体" w:hint="default"/>
                <w:spacing w:val="-71"/>
                <w:sz w:val="18"/>
                <w:szCs w:val="18"/>
              </w:rPr>
              <w:t> </w:t>
            </w:r>
            <w:r>
              <w:rPr>
                <w:rFonts w:ascii="宋体" w:hAnsi="宋体" w:cs="宋体" w:eastAsia="宋体" w:hint="default"/>
                <w:spacing w:val="14"/>
                <w:sz w:val="18"/>
                <w:szCs w:val="18"/>
              </w:rPr>
              <w:t>司关联方</w:t>
            </w:r>
            <w:r>
              <w:rPr>
                <w:rFonts w:ascii="宋体" w:hAnsi="宋体" w:cs="宋体" w:eastAsia="宋体" w:hint="default"/>
                <w:spacing w:val="-71"/>
                <w:sz w:val="18"/>
                <w:szCs w:val="18"/>
              </w:rPr>
              <w:t> </w:t>
            </w:r>
            <w:r>
              <w:rPr>
                <w:rFonts w:ascii="宋体" w:hAnsi="宋体" w:cs="宋体" w:eastAsia="宋体" w:hint="default"/>
                <w:sz w:val="18"/>
                <w:szCs w:val="18"/>
              </w:rPr>
              <w:t>获取报酬</w:t>
            </w:r>
            <w:r>
              <w:rPr>
                <w:rFonts w:ascii="宋体" w:hAnsi="宋体" w:cs="宋体" w:eastAsia="宋体" w:hint="default"/>
                <w:sz w:val="18"/>
                <w:szCs w:val="18"/>
              </w:rPr>
              <w:t> </w:t>
            </w:r>
          </w:p>
        </w:tc>
        <w:tc>
          <w:tcPr>
            <w:tcW w:w="425"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left="103" w:right="0"/>
              <w:jc w:val="left"/>
              <w:rPr>
                <w:rFonts w:ascii="宋体" w:hAnsi="宋体" w:cs="宋体" w:eastAsia="宋体" w:hint="default"/>
                <w:sz w:val="18"/>
                <w:szCs w:val="18"/>
              </w:rPr>
            </w:pPr>
            <w:r>
              <w:rPr>
                <w:rFonts w:ascii="宋体"/>
                <w:sz w:val="18"/>
              </w:rPr>
              <w:t> </w:t>
            </w:r>
          </w:p>
        </w:tc>
        <w:tc>
          <w:tcPr>
            <w:tcW w:w="85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姓名</w:t>
            </w:r>
            <w:r>
              <w:rPr>
                <w:rFonts w:ascii="宋体" w:hAnsi="宋体" w:cs="宋体" w:eastAsia="宋体" w:hint="default"/>
                <w:sz w:val="18"/>
                <w:szCs w:val="18"/>
              </w:rPr>
              <w:t> </w:t>
            </w:r>
          </w:p>
        </w:tc>
        <w:tc>
          <w:tcPr>
            <w:tcW w:w="133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5" w:right="0"/>
              <w:jc w:val="left"/>
              <w:rPr>
                <w:rFonts w:ascii="宋体" w:hAnsi="宋体" w:cs="宋体" w:eastAsia="宋体" w:hint="default"/>
                <w:sz w:val="18"/>
                <w:szCs w:val="18"/>
              </w:rPr>
            </w:pPr>
            <w:r>
              <w:rPr>
                <w:rFonts w:ascii="宋体" w:hAnsi="宋体" w:cs="宋体" w:eastAsia="宋体" w:hint="default"/>
                <w:sz w:val="18"/>
                <w:szCs w:val="18"/>
              </w:rPr>
              <w:t>职务</w:t>
            </w:r>
            <w:r>
              <w:rPr>
                <w:rFonts w:ascii="宋体" w:hAnsi="宋体" w:cs="宋体" w:eastAsia="宋体" w:hint="default"/>
                <w:sz w:val="18"/>
                <w:szCs w:val="18"/>
              </w:rPr>
              <w:t> </w:t>
            </w:r>
          </w:p>
        </w:tc>
        <w:tc>
          <w:tcPr>
            <w:tcW w:w="682"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03" w:right="101"/>
              <w:jc w:val="left"/>
              <w:rPr>
                <w:rFonts w:ascii="宋体" w:hAnsi="宋体" w:cs="宋体" w:eastAsia="宋体" w:hint="default"/>
                <w:sz w:val="18"/>
                <w:szCs w:val="18"/>
              </w:rPr>
            </w:pPr>
            <w:r>
              <w:rPr>
                <w:rFonts w:ascii="宋体" w:hAnsi="宋体" w:cs="宋体" w:eastAsia="宋体" w:hint="default"/>
                <w:sz w:val="18"/>
                <w:szCs w:val="18"/>
              </w:rPr>
              <w:t>任</w:t>
            </w:r>
            <w:r>
              <w:rPr>
                <w:rFonts w:ascii="宋体" w:hAnsi="宋体" w:cs="宋体" w:eastAsia="宋体" w:hint="default"/>
                <w:spacing w:val="15"/>
                <w:sz w:val="18"/>
                <w:szCs w:val="18"/>
              </w:rPr>
              <w:t> </w:t>
            </w:r>
            <w:r>
              <w:rPr>
                <w:rFonts w:ascii="宋体" w:hAnsi="宋体" w:cs="宋体" w:eastAsia="宋体" w:hint="default"/>
                <w:sz w:val="18"/>
                <w:szCs w:val="18"/>
              </w:rPr>
              <w:t>职</w:t>
            </w:r>
            <w:r>
              <w:rPr>
                <w:rFonts w:ascii="宋体" w:hAnsi="宋体" w:cs="宋体" w:eastAsia="宋体" w:hint="default"/>
                <w:sz w:val="18"/>
                <w:szCs w:val="18"/>
              </w:rPr>
              <w:t> 状态</w:t>
            </w:r>
            <w:r>
              <w:rPr>
                <w:rFonts w:ascii="宋体" w:hAnsi="宋体" w:cs="宋体" w:eastAsia="宋体" w:hint="default"/>
                <w:sz w:val="18"/>
                <w:szCs w:val="18"/>
              </w:rPr>
              <w:t> </w:t>
            </w:r>
          </w:p>
        </w:tc>
        <w:tc>
          <w:tcPr>
            <w:tcW w:w="96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7" w:lineRule="auto" w:before="15"/>
              <w:ind w:left="105" w:right="89"/>
              <w:jc w:val="both"/>
              <w:rPr>
                <w:rFonts w:ascii="宋体" w:hAnsi="宋体" w:cs="宋体" w:eastAsia="宋体" w:hint="default"/>
                <w:sz w:val="18"/>
                <w:szCs w:val="18"/>
              </w:rPr>
            </w:pPr>
            <w:r>
              <w:rPr>
                <w:rFonts w:ascii="宋体" w:hAnsi="宋体" w:cs="宋体" w:eastAsia="宋体" w:hint="default"/>
                <w:spacing w:val="9"/>
                <w:sz w:val="18"/>
                <w:szCs w:val="18"/>
              </w:rPr>
              <w:t>从公司获 得的税前 报酬总额 </w:t>
            </w:r>
            <w:r>
              <w:rPr>
                <w:rFonts w:ascii="宋体" w:hAnsi="宋体" w:cs="宋体" w:eastAsia="宋体" w:hint="default"/>
                <w:sz w:val="18"/>
                <w:szCs w:val="18"/>
              </w:rPr>
              <w:t>(</w:t>
            </w:r>
            <w:r>
              <w:rPr>
                <w:rFonts w:ascii="宋体" w:hAnsi="宋体" w:cs="宋体" w:eastAsia="宋体" w:hint="default"/>
                <w:sz w:val="18"/>
                <w:szCs w:val="18"/>
              </w:rPr>
              <w:t>万元</w:t>
            </w:r>
            <w:r>
              <w:rPr>
                <w:rFonts w:ascii="宋体" w:hAnsi="宋体" w:cs="宋体" w:eastAsia="宋体" w:hint="default"/>
                <w:sz w:val="18"/>
                <w:szCs w:val="18"/>
              </w:rPr>
              <w:t>) </w:t>
            </w:r>
          </w:p>
        </w:tc>
        <w:tc>
          <w:tcPr>
            <w:tcW w:w="85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37" w:lineRule="auto" w:before="15"/>
              <w:ind w:left="103" w:right="55"/>
              <w:jc w:val="both"/>
              <w:rPr>
                <w:rFonts w:ascii="宋体" w:hAnsi="宋体" w:cs="宋体" w:eastAsia="宋体" w:hint="default"/>
                <w:sz w:val="18"/>
                <w:szCs w:val="18"/>
              </w:rPr>
            </w:pPr>
            <w:r>
              <w:rPr>
                <w:rFonts w:ascii="宋体" w:hAnsi="宋体" w:cs="宋体" w:eastAsia="宋体" w:hint="default"/>
                <w:spacing w:val="32"/>
                <w:sz w:val="18"/>
                <w:szCs w:val="18"/>
              </w:rPr>
              <w:t>是否在</w:t>
            </w:r>
            <w:r>
              <w:rPr>
                <w:rFonts w:ascii="宋体" w:hAnsi="宋体" w:cs="宋体" w:eastAsia="宋体" w:hint="default"/>
                <w:spacing w:val="-42"/>
                <w:sz w:val="18"/>
                <w:szCs w:val="18"/>
              </w:rPr>
              <w:t> </w:t>
            </w:r>
            <w:r>
              <w:rPr>
                <w:rFonts w:ascii="宋体" w:hAnsi="宋体" w:cs="宋体" w:eastAsia="宋体" w:hint="default"/>
                <w:spacing w:val="32"/>
                <w:sz w:val="18"/>
                <w:szCs w:val="18"/>
              </w:rPr>
              <w:t>公司关</w:t>
            </w:r>
            <w:r>
              <w:rPr>
                <w:rFonts w:ascii="宋体" w:hAnsi="宋体" w:cs="宋体" w:eastAsia="宋体" w:hint="default"/>
                <w:spacing w:val="-42"/>
                <w:sz w:val="18"/>
                <w:szCs w:val="18"/>
              </w:rPr>
              <w:t> </w:t>
            </w:r>
            <w:r>
              <w:rPr>
                <w:rFonts w:ascii="宋体" w:hAnsi="宋体" w:cs="宋体" w:eastAsia="宋体" w:hint="default"/>
                <w:spacing w:val="32"/>
                <w:sz w:val="18"/>
                <w:szCs w:val="18"/>
              </w:rPr>
              <w:t>联方获</w:t>
            </w:r>
            <w:r>
              <w:rPr>
                <w:rFonts w:ascii="宋体" w:hAnsi="宋体" w:cs="宋体" w:eastAsia="宋体" w:hint="default"/>
                <w:spacing w:val="-42"/>
                <w:sz w:val="18"/>
                <w:szCs w:val="18"/>
              </w:rPr>
              <w:t> </w:t>
            </w:r>
            <w:r>
              <w:rPr>
                <w:rFonts w:ascii="宋体" w:hAnsi="宋体" w:cs="宋体" w:eastAsia="宋体" w:hint="default"/>
                <w:sz w:val="18"/>
                <w:szCs w:val="18"/>
              </w:rPr>
              <w:t>取报酬</w:t>
            </w:r>
            <w:r>
              <w:rPr>
                <w:rFonts w:ascii="宋体" w:hAnsi="宋体" w:cs="宋体" w:eastAsia="宋体" w:hint="default"/>
                <w:sz w:val="18"/>
                <w:szCs w:val="18"/>
              </w:rPr>
              <w:t> </w:t>
            </w:r>
          </w:p>
        </w:tc>
      </w:tr>
      <w:tr>
        <w:trPr>
          <w:trHeight w:val="401" w:hRule="exact"/>
        </w:trPr>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吴 </w:t>
            </w:r>
            <w:r>
              <w:rPr>
                <w:rFonts w:ascii="宋体" w:hAnsi="宋体" w:cs="宋体" w:eastAsia="宋体" w:hint="default"/>
                <w:spacing w:val="2"/>
                <w:sz w:val="18"/>
                <w:szCs w:val="18"/>
              </w:rPr>
              <w:t> </w:t>
            </w:r>
            <w:r>
              <w:rPr>
                <w:rFonts w:ascii="宋体" w:hAnsi="宋体" w:cs="宋体" w:eastAsia="宋体" w:hint="default"/>
                <w:spacing w:val="2"/>
                <w:sz w:val="18"/>
                <w:szCs w:val="18"/>
              </w:rPr>
            </w:r>
            <w:r>
              <w:rPr>
                <w:rFonts w:ascii="宋体" w:hAnsi="宋体" w:cs="宋体" w:eastAsia="宋体" w:hint="default"/>
                <w:spacing w:val="-3"/>
                <w:sz w:val="18"/>
                <w:szCs w:val="18"/>
              </w:rPr>
              <w:t>鹰</w:t>
            </w:r>
            <w:r>
              <w:rPr>
                <w:rFonts w:ascii="宋体" w:hAnsi="宋体" w:cs="宋体" w:eastAsia="宋体" w:hint="default"/>
                <w:sz w:val="18"/>
                <w:szCs w:val="18"/>
              </w:rPr>
              <w:t> </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董事长</w:t>
            </w:r>
            <w:r>
              <w:rPr>
                <w:rFonts w:ascii="宋体" w:hAnsi="宋体" w:cs="宋体" w:eastAsia="宋体" w:hint="default"/>
                <w:sz w:val="18"/>
                <w:szCs w:val="18"/>
              </w:rPr>
              <w:t> </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r>
              <w:rPr>
                <w:rFonts w:ascii="宋体" w:hAnsi="宋体" w:cs="宋体" w:eastAsia="宋体" w:hint="default"/>
                <w:sz w:val="18"/>
                <w:szCs w:val="18"/>
              </w:rPr>
              <w:t> </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
              <w:jc w:val="right"/>
              <w:rPr>
                <w:rFonts w:ascii="宋体" w:hAnsi="宋体" w:cs="宋体" w:eastAsia="宋体" w:hint="default"/>
                <w:sz w:val="18"/>
                <w:szCs w:val="18"/>
              </w:rPr>
            </w:pPr>
            <w:r>
              <w:rPr>
                <w:rFonts w:ascii="宋体"/>
                <w:spacing w:val="-1"/>
                <w:sz w:val="18"/>
              </w:rPr>
              <w:t>2.00</w:t>
            </w:r>
            <w:r>
              <w:rPr>
                <w:rFonts w:ascii="宋体"/>
                <w:sz w:val="18"/>
              </w:rPr>
              <w:t> </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92" w:right="0"/>
              <w:jc w:val="center"/>
              <w:rPr>
                <w:rFonts w:ascii="宋体" w:hAnsi="宋体" w:cs="宋体" w:eastAsia="宋体" w:hint="default"/>
                <w:sz w:val="18"/>
                <w:szCs w:val="18"/>
              </w:rPr>
            </w:pPr>
            <w:r>
              <w:rPr>
                <w:rFonts w:ascii="宋体" w:hAnsi="宋体" w:cs="宋体" w:eastAsia="宋体" w:hint="default"/>
                <w:sz w:val="18"/>
                <w:szCs w:val="18"/>
              </w:rPr>
              <w:t>是</w:t>
            </w:r>
            <w:r>
              <w:rPr>
                <w:rFonts w:ascii="宋体" w:hAnsi="宋体" w:cs="宋体" w:eastAsia="宋体" w:hint="default"/>
                <w:sz w:val="18"/>
                <w:szCs w:val="18"/>
              </w:rPr>
              <w:t> </w:t>
            </w:r>
          </w:p>
        </w:tc>
        <w:tc>
          <w:tcPr>
            <w:tcW w:w="425" w:type="dxa"/>
            <w:vMerge/>
            <w:tcBorders>
              <w:left w:val="single" w:sz="4" w:space="0" w:color="000000"/>
              <w:right w:val="single" w:sz="4" w:space="0" w:color="000000"/>
            </w:tcBorders>
            <w:shd w:val="clear" w:color="auto" w:fill="D9D9D9"/>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刘 </w:t>
            </w:r>
            <w:r>
              <w:rPr>
                <w:rFonts w:ascii="宋体" w:hAnsi="宋体" w:cs="宋体" w:eastAsia="宋体" w:hint="default"/>
                <w:spacing w:val="2"/>
                <w:sz w:val="18"/>
                <w:szCs w:val="18"/>
              </w:rPr>
              <w:t> </w:t>
            </w:r>
            <w:r>
              <w:rPr>
                <w:rFonts w:ascii="宋体" w:hAnsi="宋体" w:cs="宋体" w:eastAsia="宋体" w:hint="default"/>
                <w:spacing w:val="2"/>
                <w:sz w:val="18"/>
                <w:szCs w:val="18"/>
              </w:rPr>
            </w:r>
            <w:r>
              <w:rPr>
                <w:rFonts w:ascii="宋体" w:hAnsi="宋体" w:cs="宋体" w:eastAsia="宋体" w:hint="default"/>
                <w:spacing w:val="-3"/>
                <w:sz w:val="18"/>
                <w:szCs w:val="18"/>
              </w:rPr>
              <w:t>宏</w:t>
            </w:r>
            <w:r>
              <w:rPr>
                <w:rFonts w:ascii="宋体" w:hAnsi="宋体" w:cs="宋体" w:eastAsia="宋体" w:hint="default"/>
                <w:sz w:val="18"/>
                <w:szCs w:val="18"/>
              </w:rPr>
              <w:t> </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监事会主席</w:t>
            </w:r>
            <w:r>
              <w:rPr>
                <w:rFonts w:ascii="宋体" w:hAnsi="宋体" w:cs="宋体" w:eastAsia="宋体" w:hint="default"/>
                <w:sz w:val="18"/>
                <w:szCs w:val="18"/>
              </w:rPr>
              <w:t> </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9" w:right="0"/>
              <w:jc w:val="center"/>
              <w:rPr>
                <w:rFonts w:ascii="宋体" w:hAnsi="宋体" w:cs="宋体" w:eastAsia="宋体" w:hint="default"/>
                <w:sz w:val="18"/>
                <w:szCs w:val="18"/>
              </w:rPr>
            </w:pPr>
            <w:r>
              <w:rPr>
                <w:rFonts w:ascii="宋体" w:hAnsi="宋体" w:cs="宋体" w:eastAsia="宋体" w:hint="default"/>
                <w:sz w:val="18"/>
                <w:szCs w:val="18"/>
              </w:rPr>
              <w:t>现任</w:t>
            </w:r>
            <w:r>
              <w:rPr>
                <w:rFonts w:ascii="宋体" w:hAnsi="宋体" w:cs="宋体" w:eastAsia="宋体" w:hint="default"/>
                <w:sz w:val="18"/>
                <w:szCs w:val="18"/>
              </w:rPr>
              <w:t> </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
              <w:jc w:val="right"/>
              <w:rPr>
                <w:rFonts w:ascii="宋体" w:hAnsi="宋体" w:cs="宋体" w:eastAsia="宋体" w:hint="default"/>
                <w:sz w:val="18"/>
                <w:szCs w:val="18"/>
              </w:rPr>
            </w:pPr>
            <w:r>
              <w:rPr>
                <w:rFonts w:ascii="宋体"/>
                <w:spacing w:val="-1"/>
                <w:sz w:val="18"/>
              </w:rPr>
              <w:t>82.00</w:t>
            </w:r>
            <w:r>
              <w:rPr>
                <w:rFonts w:ascii="宋体"/>
                <w:sz w:val="18"/>
              </w:rPr>
              <w:t> </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7" w:right="0"/>
              <w:jc w:val="center"/>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sz w:val="18"/>
                <w:szCs w:val="18"/>
              </w:rPr>
              <w:t> </w:t>
            </w:r>
          </w:p>
        </w:tc>
      </w:tr>
      <w:tr>
        <w:trPr>
          <w:trHeight w:val="403" w:hRule="exact"/>
        </w:trPr>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刘 </w:t>
            </w:r>
            <w:r>
              <w:rPr>
                <w:rFonts w:ascii="宋体" w:hAnsi="宋体" w:cs="宋体" w:eastAsia="宋体" w:hint="default"/>
                <w:spacing w:val="2"/>
                <w:sz w:val="18"/>
                <w:szCs w:val="18"/>
              </w:rPr>
              <w:t> </w:t>
            </w:r>
            <w:r>
              <w:rPr>
                <w:rFonts w:ascii="宋体" w:hAnsi="宋体" w:cs="宋体" w:eastAsia="宋体" w:hint="default"/>
                <w:spacing w:val="2"/>
                <w:sz w:val="18"/>
                <w:szCs w:val="18"/>
              </w:rPr>
            </w:r>
            <w:r>
              <w:rPr>
                <w:rFonts w:ascii="宋体" w:hAnsi="宋体" w:cs="宋体" w:eastAsia="宋体" w:hint="default"/>
                <w:spacing w:val="-3"/>
                <w:sz w:val="18"/>
                <w:szCs w:val="18"/>
              </w:rPr>
              <w:t>宁</w:t>
            </w:r>
            <w:r>
              <w:rPr>
                <w:rFonts w:ascii="宋体" w:hAnsi="宋体" w:cs="宋体" w:eastAsia="宋体" w:hint="default"/>
                <w:sz w:val="18"/>
                <w:szCs w:val="18"/>
              </w:rPr>
              <w:t> </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独立董事</w:t>
            </w:r>
            <w:r>
              <w:rPr>
                <w:rFonts w:ascii="宋体" w:hAnsi="宋体" w:cs="宋体" w:eastAsia="宋体" w:hint="default"/>
                <w:sz w:val="18"/>
                <w:szCs w:val="18"/>
              </w:rPr>
              <w:t> </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r>
              <w:rPr>
                <w:rFonts w:ascii="宋体" w:hAnsi="宋体" w:cs="宋体" w:eastAsia="宋体" w:hint="default"/>
                <w:sz w:val="18"/>
                <w:szCs w:val="18"/>
              </w:rPr>
              <w:t> </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
              <w:jc w:val="right"/>
              <w:rPr>
                <w:rFonts w:ascii="宋体" w:hAnsi="宋体" w:cs="宋体" w:eastAsia="宋体" w:hint="default"/>
                <w:sz w:val="18"/>
                <w:szCs w:val="18"/>
              </w:rPr>
            </w:pPr>
            <w:r>
              <w:rPr>
                <w:rFonts w:ascii="宋体"/>
                <w:spacing w:val="-1"/>
                <w:sz w:val="18"/>
              </w:rPr>
              <w:t>5.00</w:t>
            </w:r>
            <w:r>
              <w:rPr>
                <w:rFonts w:ascii="宋体"/>
                <w:sz w:val="18"/>
              </w:rPr>
              <w:t> </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92" w:right="0"/>
              <w:jc w:val="center"/>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sz w:val="18"/>
                <w:szCs w:val="18"/>
              </w:rPr>
              <w:t> </w:t>
            </w:r>
          </w:p>
        </w:tc>
        <w:tc>
          <w:tcPr>
            <w:tcW w:w="425" w:type="dxa"/>
            <w:vMerge/>
            <w:tcBorders>
              <w:left w:val="single" w:sz="4" w:space="0" w:color="000000"/>
              <w:right w:val="single" w:sz="4" w:space="0" w:color="000000"/>
            </w:tcBorders>
            <w:shd w:val="clear" w:color="auto" w:fill="D9D9D9"/>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谢海燕</w:t>
            </w:r>
            <w:r>
              <w:rPr>
                <w:rFonts w:ascii="宋体" w:hAnsi="宋体" w:cs="宋体" w:eastAsia="宋体" w:hint="default"/>
                <w:sz w:val="18"/>
                <w:szCs w:val="18"/>
              </w:rPr>
              <w:t> </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监事</w:t>
            </w:r>
            <w:r>
              <w:rPr>
                <w:rFonts w:ascii="宋体" w:hAnsi="宋体" w:cs="宋体" w:eastAsia="宋体" w:hint="default"/>
                <w:sz w:val="18"/>
                <w:szCs w:val="18"/>
              </w:rPr>
              <w:t> </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9" w:right="0"/>
              <w:jc w:val="center"/>
              <w:rPr>
                <w:rFonts w:ascii="宋体" w:hAnsi="宋体" w:cs="宋体" w:eastAsia="宋体" w:hint="default"/>
                <w:sz w:val="18"/>
                <w:szCs w:val="18"/>
              </w:rPr>
            </w:pPr>
            <w:r>
              <w:rPr>
                <w:rFonts w:ascii="宋体" w:hAnsi="宋体" w:cs="宋体" w:eastAsia="宋体" w:hint="default"/>
                <w:sz w:val="18"/>
                <w:szCs w:val="18"/>
              </w:rPr>
              <w:t>现任</w:t>
            </w:r>
            <w:r>
              <w:rPr>
                <w:rFonts w:ascii="宋体" w:hAnsi="宋体" w:cs="宋体" w:eastAsia="宋体" w:hint="default"/>
                <w:sz w:val="18"/>
                <w:szCs w:val="18"/>
              </w:rPr>
              <w:t> </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
              <w:jc w:val="right"/>
              <w:rPr>
                <w:rFonts w:ascii="宋体" w:hAnsi="宋体" w:cs="宋体" w:eastAsia="宋体" w:hint="default"/>
                <w:sz w:val="18"/>
                <w:szCs w:val="18"/>
              </w:rPr>
            </w:pPr>
            <w:r>
              <w:rPr>
                <w:rFonts w:ascii="宋体"/>
                <w:spacing w:val="-1"/>
                <w:sz w:val="18"/>
              </w:rPr>
              <w:t>1.00</w:t>
            </w:r>
            <w:r>
              <w:rPr>
                <w:rFonts w:ascii="宋体"/>
                <w:sz w:val="18"/>
              </w:rPr>
              <w:t> </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7" w:right="0"/>
              <w:jc w:val="center"/>
              <w:rPr>
                <w:rFonts w:ascii="宋体" w:hAnsi="宋体" w:cs="宋体" w:eastAsia="宋体" w:hint="default"/>
                <w:sz w:val="18"/>
                <w:szCs w:val="18"/>
              </w:rPr>
            </w:pPr>
            <w:r>
              <w:rPr>
                <w:rFonts w:ascii="宋体" w:hAnsi="宋体" w:cs="宋体" w:eastAsia="宋体" w:hint="default"/>
                <w:sz w:val="18"/>
                <w:szCs w:val="18"/>
              </w:rPr>
              <w:t>是</w:t>
            </w:r>
            <w:r>
              <w:rPr>
                <w:rFonts w:ascii="宋体" w:hAnsi="宋体" w:cs="宋体" w:eastAsia="宋体" w:hint="default"/>
                <w:sz w:val="18"/>
                <w:szCs w:val="18"/>
              </w:rPr>
              <w:t> </w:t>
            </w:r>
          </w:p>
        </w:tc>
      </w:tr>
      <w:tr>
        <w:trPr>
          <w:trHeight w:val="401" w:hRule="exact"/>
        </w:trPr>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郝振平</w:t>
            </w:r>
            <w:r>
              <w:rPr>
                <w:rFonts w:ascii="宋体" w:hAnsi="宋体" w:cs="宋体" w:eastAsia="宋体" w:hint="default"/>
                <w:sz w:val="18"/>
                <w:szCs w:val="18"/>
              </w:rPr>
              <w:t> </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独立董事</w:t>
            </w:r>
            <w:r>
              <w:rPr>
                <w:rFonts w:ascii="宋体" w:hAnsi="宋体" w:cs="宋体" w:eastAsia="宋体" w:hint="default"/>
                <w:sz w:val="18"/>
                <w:szCs w:val="18"/>
              </w:rPr>
              <w:t> </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现任</w:t>
            </w:r>
            <w:r>
              <w:rPr>
                <w:rFonts w:ascii="宋体" w:hAnsi="宋体" w:cs="宋体" w:eastAsia="宋体" w:hint="default"/>
                <w:sz w:val="18"/>
                <w:szCs w:val="18"/>
              </w:rPr>
              <w:t> </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8"/>
              <w:jc w:val="right"/>
              <w:rPr>
                <w:rFonts w:ascii="宋体" w:hAnsi="宋体" w:cs="宋体" w:eastAsia="宋体" w:hint="default"/>
                <w:sz w:val="18"/>
                <w:szCs w:val="18"/>
              </w:rPr>
            </w:pPr>
            <w:r>
              <w:rPr>
                <w:rFonts w:ascii="宋体"/>
                <w:spacing w:val="-1"/>
                <w:sz w:val="18"/>
              </w:rPr>
              <w:t>5.00</w:t>
            </w:r>
            <w:r>
              <w:rPr>
                <w:rFonts w:ascii="宋体"/>
                <w:sz w:val="18"/>
              </w:rPr>
              <w:t> </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92" w:right="0"/>
              <w:jc w:val="center"/>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sz w:val="18"/>
                <w:szCs w:val="18"/>
              </w:rPr>
              <w:t> </w:t>
            </w:r>
          </w:p>
        </w:tc>
        <w:tc>
          <w:tcPr>
            <w:tcW w:w="425" w:type="dxa"/>
            <w:vMerge/>
            <w:tcBorders>
              <w:left w:val="single" w:sz="4" w:space="0" w:color="000000"/>
              <w:right w:val="single" w:sz="4" w:space="0" w:color="000000"/>
            </w:tcBorders>
            <w:shd w:val="clear" w:color="auto" w:fill="D9D9D9"/>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吕晓清</w:t>
            </w:r>
            <w:r>
              <w:rPr>
                <w:rFonts w:ascii="宋体" w:hAnsi="宋体" w:cs="宋体" w:eastAsia="宋体" w:hint="default"/>
                <w:sz w:val="18"/>
                <w:szCs w:val="18"/>
              </w:rPr>
              <w:t> </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5" w:right="0"/>
              <w:jc w:val="left"/>
              <w:rPr>
                <w:rFonts w:ascii="宋体" w:hAnsi="宋体" w:cs="宋体" w:eastAsia="宋体" w:hint="default"/>
                <w:sz w:val="18"/>
                <w:szCs w:val="18"/>
              </w:rPr>
            </w:pPr>
            <w:r>
              <w:rPr>
                <w:rFonts w:ascii="宋体" w:hAnsi="宋体" w:cs="宋体" w:eastAsia="宋体" w:hint="default"/>
                <w:sz w:val="18"/>
                <w:szCs w:val="18"/>
              </w:rPr>
              <w:t>监事</w:t>
            </w:r>
            <w:r>
              <w:rPr>
                <w:rFonts w:ascii="宋体" w:hAnsi="宋体" w:cs="宋体" w:eastAsia="宋体" w:hint="default"/>
                <w:sz w:val="18"/>
                <w:szCs w:val="18"/>
              </w:rPr>
              <w:t> </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89" w:right="0"/>
              <w:jc w:val="center"/>
              <w:rPr>
                <w:rFonts w:ascii="宋体" w:hAnsi="宋体" w:cs="宋体" w:eastAsia="宋体" w:hint="default"/>
                <w:sz w:val="18"/>
                <w:szCs w:val="18"/>
              </w:rPr>
            </w:pPr>
            <w:r>
              <w:rPr>
                <w:rFonts w:ascii="宋体" w:hAnsi="宋体" w:cs="宋体" w:eastAsia="宋体" w:hint="default"/>
                <w:sz w:val="18"/>
                <w:szCs w:val="18"/>
              </w:rPr>
              <w:t>现任</w:t>
            </w:r>
            <w:r>
              <w:rPr>
                <w:rFonts w:ascii="宋体" w:hAnsi="宋体" w:cs="宋体" w:eastAsia="宋体" w:hint="default"/>
                <w:sz w:val="18"/>
                <w:szCs w:val="18"/>
              </w:rPr>
              <w:t> </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8"/>
              <w:jc w:val="right"/>
              <w:rPr>
                <w:rFonts w:ascii="宋体" w:hAnsi="宋体" w:cs="宋体" w:eastAsia="宋体" w:hint="default"/>
                <w:sz w:val="18"/>
                <w:szCs w:val="18"/>
              </w:rPr>
            </w:pPr>
            <w:r>
              <w:rPr>
                <w:rFonts w:ascii="宋体"/>
                <w:spacing w:val="-1"/>
                <w:sz w:val="18"/>
              </w:rPr>
              <w:t>1.00</w:t>
            </w:r>
            <w:r>
              <w:rPr>
                <w:rFonts w:ascii="宋体"/>
                <w:sz w:val="18"/>
              </w:rPr>
              <w:t> </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87" w:right="0"/>
              <w:jc w:val="center"/>
              <w:rPr>
                <w:rFonts w:ascii="宋体" w:hAnsi="宋体" w:cs="宋体" w:eastAsia="宋体" w:hint="default"/>
                <w:sz w:val="18"/>
                <w:szCs w:val="18"/>
              </w:rPr>
            </w:pPr>
            <w:r>
              <w:rPr>
                <w:rFonts w:ascii="宋体" w:hAnsi="宋体" w:cs="宋体" w:eastAsia="宋体" w:hint="default"/>
                <w:sz w:val="18"/>
                <w:szCs w:val="18"/>
              </w:rPr>
              <w:t>是</w:t>
            </w:r>
            <w:r>
              <w:rPr>
                <w:rFonts w:ascii="宋体" w:hAnsi="宋体" w:cs="宋体" w:eastAsia="宋体" w:hint="default"/>
                <w:sz w:val="18"/>
                <w:szCs w:val="18"/>
              </w:rPr>
              <w:t> </w:t>
            </w:r>
          </w:p>
        </w:tc>
      </w:tr>
      <w:tr>
        <w:trPr>
          <w:trHeight w:val="403" w:hRule="exact"/>
        </w:trPr>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刘一平</w:t>
            </w:r>
            <w:r>
              <w:rPr>
                <w:rFonts w:ascii="宋体" w:hAnsi="宋体" w:cs="宋体" w:eastAsia="宋体" w:hint="default"/>
                <w:sz w:val="18"/>
                <w:szCs w:val="18"/>
              </w:rPr>
              <w:t> </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独立董事</w:t>
            </w:r>
            <w:r>
              <w:rPr>
                <w:rFonts w:ascii="宋体" w:hAnsi="宋体" w:cs="宋体" w:eastAsia="宋体" w:hint="default"/>
                <w:sz w:val="18"/>
                <w:szCs w:val="18"/>
              </w:rPr>
              <w:t> </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r>
              <w:rPr>
                <w:rFonts w:ascii="宋体" w:hAnsi="宋体" w:cs="宋体" w:eastAsia="宋体" w:hint="default"/>
                <w:sz w:val="18"/>
                <w:szCs w:val="18"/>
              </w:rPr>
              <w:t> </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
              <w:jc w:val="right"/>
              <w:rPr>
                <w:rFonts w:ascii="宋体" w:hAnsi="宋体" w:cs="宋体" w:eastAsia="宋体" w:hint="default"/>
                <w:sz w:val="18"/>
                <w:szCs w:val="18"/>
              </w:rPr>
            </w:pPr>
            <w:r>
              <w:rPr>
                <w:rFonts w:ascii="宋体"/>
                <w:spacing w:val="-1"/>
                <w:sz w:val="18"/>
              </w:rPr>
              <w:t>4.17</w:t>
            </w:r>
            <w:r>
              <w:rPr>
                <w:rFonts w:ascii="宋体"/>
                <w:sz w:val="18"/>
              </w:rPr>
              <w:t> </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92" w:right="0"/>
              <w:jc w:val="center"/>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sz w:val="18"/>
                <w:szCs w:val="18"/>
              </w:rPr>
              <w:t> </w:t>
            </w:r>
          </w:p>
        </w:tc>
        <w:tc>
          <w:tcPr>
            <w:tcW w:w="425" w:type="dxa"/>
            <w:vMerge/>
            <w:tcBorders>
              <w:left w:val="single" w:sz="4" w:space="0" w:color="000000"/>
              <w:right w:val="single" w:sz="4" w:space="0" w:color="000000"/>
            </w:tcBorders>
            <w:shd w:val="clear" w:color="auto" w:fill="D9D9D9"/>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张海英</w:t>
            </w:r>
            <w:r>
              <w:rPr>
                <w:rFonts w:ascii="宋体" w:hAnsi="宋体" w:cs="宋体" w:eastAsia="宋体" w:hint="default"/>
                <w:sz w:val="18"/>
                <w:szCs w:val="18"/>
              </w:rPr>
              <w:t> </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监事</w:t>
            </w:r>
            <w:r>
              <w:rPr>
                <w:rFonts w:ascii="宋体" w:hAnsi="宋体" w:cs="宋体" w:eastAsia="宋体" w:hint="default"/>
                <w:sz w:val="18"/>
                <w:szCs w:val="18"/>
              </w:rPr>
              <w:t> </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9" w:right="0"/>
              <w:jc w:val="center"/>
              <w:rPr>
                <w:rFonts w:ascii="宋体" w:hAnsi="宋体" w:cs="宋体" w:eastAsia="宋体" w:hint="default"/>
                <w:sz w:val="18"/>
                <w:szCs w:val="18"/>
              </w:rPr>
            </w:pPr>
            <w:r>
              <w:rPr>
                <w:rFonts w:ascii="宋体" w:hAnsi="宋体" w:cs="宋体" w:eastAsia="宋体" w:hint="default"/>
                <w:sz w:val="18"/>
                <w:szCs w:val="18"/>
              </w:rPr>
              <w:t>现任</w:t>
            </w:r>
            <w:r>
              <w:rPr>
                <w:rFonts w:ascii="宋体" w:hAnsi="宋体" w:cs="宋体" w:eastAsia="宋体" w:hint="default"/>
                <w:sz w:val="18"/>
                <w:szCs w:val="18"/>
              </w:rPr>
              <w:t> </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
              <w:jc w:val="right"/>
              <w:rPr>
                <w:rFonts w:ascii="宋体" w:hAnsi="宋体" w:cs="宋体" w:eastAsia="宋体" w:hint="default"/>
                <w:sz w:val="18"/>
                <w:szCs w:val="18"/>
              </w:rPr>
            </w:pPr>
            <w:r>
              <w:rPr>
                <w:rFonts w:ascii="宋体"/>
                <w:sz w:val="18"/>
              </w:rPr>
              <w:t>13.75 </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7" w:right="0"/>
              <w:jc w:val="center"/>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sz w:val="18"/>
                <w:szCs w:val="18"/>
              </w:rPr>
              <w:t> </w:t>
            </w:r>
          </w:p>
        </w:tc>
      </w:tr>
      <w:tr>
        <w:trPr>
          <w:trHeight w:val="401" w:hRule="exact"/>
        </w:trPr>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费自力</w:t>
            </w:r>
            <w:r>
              <w:rPr>
                <w:rFonts w:ascii="宋体" w:hAnsi="宋体" w:cs="宋体" w:eastAsia="宋体" w:hint="default"/>
                <w:sz w:val="18"/>
                <w:szCs w:val="18"/>
              </w:rPr>
              <w:t> </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董事</w:t>
            </w:r>
            <w:r>
              <w:rPr>
                <w:rFonts w:ascii="宋体" w:hAnsi="宋体" w:cs="宋体" w:eastAsia="宋体" w:hint="default"/>
                <w:sz w:val="18"/>
                <w:szCs w:val="18"/>
              </w:rPr>
              <w:t> </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r>
              <w:rPr>
                <w:rFonts w:ascii="宋体" w:hAnsi="宋体" w:cs="宋体" w:eastAsia="宋体" w:hint="default"/>
                <w:sz w:val="18"/>
                <w:szCs w:val="18"/>
              </w:rPr>
              <w:t> </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
              <w:jc w:val="right"/>
              <w:rPr>
                <w:rFonts w:ascii="宋体" w:hAnsi="宋体" w:cs="宋体" w:eastAsia="宋体" w:hint="default"/>
                <w:sz w:val="18"/>
                <w:szCs w:val="18"/>
              </w:rPr>
            </w:pPr>
            <w:r>
              <w:rPr>
                <w:rFonts w:ascii="宋体"/>
                <w:spacing w:val="-1"/>
                <w:sz w:val="18"/>
              </w:rPr>
              <w:t>2.00</w:t>
            </w:r>
            <w:r>
              <w:rPr>
                <w:rFonts w:ascii="宋体"/>
                <w:sz w:val="18"/>
              </w:rPr>
              <w:t> </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92" w:right="0"/>
              <w:jc w:val="center"/>
              <w:rPr>
                <w:rFonts w:ascii="宋体" w:hAnsi="宋体" w:cs="宋体" w:eastAsia="宋体" w:hint="default"/>
                <w:sz w:val="18"/>
                <w:szCs w:val="18"/>
              </w:rPr>
            </w:pPr>
            <w:r>
              <w:rPr>
                <w:rFonts w:ascii="宋体" w:hAnsi="宋体" w:cs="宋体" w:eastAsia="宋体" w:hint="default"/>
                <w:sz w:val="18"/>
                <w:szCs w:val="18"/>
              </w:rPr>
              <w:t>是</w:t>
            </w:r>
            <w:r>
              <w:rPr>
                <w:rFonts w:ascii="宋体" w:hAnsi="宋体" w:cs="宋体" w:eastAsia="宋体" w:hint="default"/>
                <w:sz w:val="18"/>
                <w:szCs w:val="18"/>
              </w:rPr>
              <w:t> </w:t>
            </w:r>
          </w:p>
        </w:tc>
        <w:tc>
          <w:tcPr>
            <w:tcW w:w="425" w:type="dxa"/>
            <w:vMerge/>
            <w:tcBorders>
              <w:left w:val="single" w:sz="4" w:space="0" w:color="000000"/>
              <w:right w:val="single" w:sz="4" w:space="0" w:color="000000"/>
            </w:tcBorders>
            <w:shd w:val="clear" w:color="auto" w:fill="D9D9D9"/>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林 </w:t>
            </w:r>
            <w:r>
              <w:rPr>
                <w:rFonts w:ascii="宋体" w:hAnsi="宋体" w:cs="宋体" w:eastAsia="宋体" w:hint="default"/>
                <w:spacing w:val="2"/>
                <w:sz w:val="18"/>
                <w:szCs w:val="18"/>
              </w:rPr>
              <w:t> </w:t>
            </w:r>
            <w:r>
              <w:rPr>
                <w:rFonts w:ascii="宋体" w:hAnsi="宋体" w:cs="宋体" w:eastAsia="宋体" w:hint="default"/>
                <w:spacing w:val="2"/>
                <w:sz w:val="18"/>
                <w:szCs w:val="18"/>
              </w:rPr>
            </w:r>
            <w:r>
              <w:rPr>
                <w:rFonts w:ascii="宋体" w:hAnsi="宋体" w:cs="宋体" w:eastAsia="宋体" w:hint="default"/>
                <w:spacing w:val="-3"/>
                <w:sz w:val="18"/>
                <w:szCs w:val="18"/>
              </w:rPr>
              <w:t>明</w:t>
            </w:r>
            <w:r>
              <w:rPr>
                <w:rFonts w:ascii="宋体" w:hAnsi="宋体" w:cs="宋体" w:eastAsia="宋体" w:hint="default"/>
                <w:sz w:val="18"/>
                <w:szCs w:val="18"/>
              </w:rPr>
              <w:t> </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总裁</w:t>
            </w:r>
            <w:r>
              <w:rPr>
                <w:rFonts w:ascii="宋体" w:hAnsi="宋体" w:cs="宋体" w:eastAsia="宋体" w:hint="default"/>
                <w:sz w:val="18"/>
                <w:szCs w:val="18"/>
              </w:rPr>
              <w:t> </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9" w:right="0"/>
              <w:jc w:val="center"/>
              <w:rPr>
                <w:rFonts w:ascii="宋体" w:hAnsi="宋体" w:cs="宋体" w:eastAsia="宋体" w:hint="default"/>
                <w:sz w:val="18"/>
                <w:szCs w:val="18"/>
              </w:rPr>
            </w:pPr>
            <w:r>
              <w:rPr>
                <w:rFonts w:ascii="宋体" w:hAnsi="宋体" w:cs="宋体" w:eastAsia="宋体" w:hint="default"/>
                <w:sz w:val="18"/>
                <w:szCs w:val="18"/>
              </w:rPr>
              <w:t>现任</w:t>
            </w:r>
            <w:r>
              <w:rPr>
                <w:rFonts w:ascii="宋体" w:hAnsi="宋体" w:cs="宋体" w:eastAsia="宋体" w:hint="default"/>
                <w:sz w:val="18"/>
                <w:szCs w:val="18"/>
              </w:rPr>
              <w:t> </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
              <w:jc w:val="right"/>
              <w:rPr>
                <w:rFonts w:ascii="宋体" w:hAnsi="宋体" w:cs="宋体" w:eastAsia="宋体" w:hint="default"/>
                <w:sz w:val="18"/>
                <w:szCs w:val="18"/>
              </w:rPr>
            </w:pPr>
            <w:r>
              <w:rPr>
                <w:rFonts w:ascii="宋体"/>
                <w:spacing w:val="-1"/>
                <w:sz w:val="18"/>
              </w:rPr>
              <w:t>24.41</w:t>
            </w:r>
            <w:r>
              <w:rPr>
                <w:rFonts w:ascii="宋体"/>
                <w:sz w:val="18"/>
              </w:rPr>
              <w:t> </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7" w:right="0"/>
              <w:jc w:val="center"/>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sz w:val="18"/>
                <w:szCs w:val="18"/>
              </w:rPr>
              <w:t> </w:t>
            </w:r>
          </w:p>
        </w:tc>
      </w:tr>
      <w:tr>
        <w:trPr>
          <w:trHeight w:val="403" w:hRule="exact"/>
        </w:trPr>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卢小娟</w:t>
            </w:r>
            <w:r>
              <w:rPr>
                <w:rFonts w:ascii="宋体" w:hAnsi="宋体" w:cs="宋体" w:eastAsia="宋体" w:hint="default"/>
                <w:sz w:val="18"/>
                <w:szCs w:val="18"/>
              </w:rPr>
              <w:t> </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董事</w:t>
            </w:r>
            <w:r>
              <w:rPr>
                <w:rFonts w:ascii="宋体" w:hAnsi="宋体" w:cs="宋体" w:eastAsia="宋体" w:hint="default"/>
                <w:sz w:val="18"/>
                <w:szCs w:val="18"/>
              </w:rPr>
              <w:t> </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r>
              <w:rPr>
                <w:rFonts w:ascii="宋体" w:hAnsi="宋体" w:cs="宋体" w:eastAsia="宋体" w:hint="default"/>
                <w:sz w:val="18"/>
                <w:szCs w:val="18"/>
              </w:rPr>
              <w:t> </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
              <w:jc w:val="right"/>
              <w:rPr>
                <w:rFonts w:ascii="宋体" w:hAnsi="宋体" w:cs="宋体" w:eastAsia="宋体" w:hint="default"/>
                <w:sz w:val="18"/>
                <w:szCs w:val="18"/>
              </w:rPr>
            </w:pPr>
            <w:r>
              <w:rPr>
                <w:rFonts w:ascii="宋体"/>
                <w:spacing w:val="-1"/>
                <w:sz w:val="18"/>
              </w:rPr>
              <w:t>2.00</w:t>
            </w:r>
            <w:r>
              <w:rPr>
                <w:rFonts w:ascii="宋体"/>
                <w:sz w:val="18"/>
              </w:rPr>
              <w:t> </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92" w:right="0"/>
              <w:jc w:val="center"/>
              <w:rPr>
                <w:rFonts w:ascii="宋体" w:hAnsi="宋体" w:cs="宋体" w:eastAsia="宋体" w:hint="default"/>
                <w:sz w:val="18"/>
                <w:szCs w:val="18"/>
              </w:rPr>
            </w:pPr>
            <w:r>
              <w:rPr>
                <w:rFonts w:ascii="宋体" w:hAnsi="宋体" w:cs="宋体" w:eastAsia="宋体" w:hint="default"/>
                <w:sz w:val="18"/>
                <w:szCs w:val="18"/>
              </w:rPr>
              <w:t>是</w:t>
            </w:r>
            <w:r>
              <w:rPr>
                <w:rFonts w:ascii="宋体" w:hAnsi="宋体" w:cs="宋体" w:eastAsia="宋体" w:hint="default"/>
                <w:sz w:val="18"/>
                <w:szCs w:val="18"/>
              </w:rPr>
              <w:t> </w:t>
            </w:r>
          </w:p>
        </w:tc>
        <w:tc>
          <w:tcPr>
            <w:tcW w:w="425" w:type="dxa"/>
            <w:vMerge/>
            <w:tcBorders>
              <w:left w:val="single" w:sz="4" w:space="0" w:color="000000"/>
              <w:right w:val="single" w:sz="4" w:space="0" w:color="000000"/>
            </w:tcBorders>
            <w:shd w:val="clear" w:color="auto" w:fill="D9D9D9"/>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束海峰</w:t>
            </w:r>
            <w:r>
              <w:rPr>
                <w:rFonts w:ascii="宋体" w:hAnsi="宋体" w:cs="宋体" w:eastAsia="宋体" w:hint="default"/>
                <w:sz w:val="18"/>
                <w:szCs w:val="18"/>
              </w:rPr>
              <w:t> </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董事会秘书</w:t>
            </w:r>
            <w:r>
              <w:rPr>
                <w:rFonts w:ascii="宋体" w:hAnsi="宋体" w:cs="宋体" w:eastAsia="宋体" w:hint="default"/>
                <w:sz w:val="18"/>
                <w:szCs w:val="18"/>
              </w:rPr>
              <w:t> </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9" w:right="0"/>
              <w:jc w:val="center"/>
              <w:rPr>
                <w:rFonts w:ascii="宋体" w:hAnsi="宋体" w:cs="宋体" w:eastAsia="宋体" w:hint="default"/>
                <w:sz w:val="18"/>
                <w:szCs w:val="18"/>
              </w:rPr>
            </w:pPr>
            <w:r>
              <w:rPr>
                <w:rFonts w:ascii="宋体" w:hAnsi="宋体" w:cs="宋体" w:eastAsia="宋体" w:hint="default"/>
                <w:sz w:val="18"/>
                <w:szCs w:val="18"/>
              </w:rPr>
              <w:t>现任</w:t>
            </w:r>
            <w:r>
              <w:rPr>
                <w:rFonts w:ascii="宋体" w:hAnsi="宋体" w:cs="宋体" w:eastAsia="宋体" w:hint="default"/>
                <w:sz w:val="18"/>
                <w:szCs w:val="18"/>
              </w:rPr>
              <w:t> </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
              <w:jc w:val="right"/>
              <w:rPr>
                <w:rFonts w:ascii="宋体" w:hAnsi="宋体" w:cs="宋体" w:eastAsia="宋体" w:hint="default"/>
                <w:sz w:val="18"/>
                <w:szCs w:val="18"/>
              </w:rPr>
            </w:pPr>
            <w:r>
              <w:rPr>
                <w:rFonts w:ascii="宋体"/>
                <w:sz w:val="18"/>
              </w:rPr>
              <w:t>50.07 </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7" w:right="0"/>
              <w:jc w:val="center"/>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sz w:val="18"/>
                <w:szCs w:val="18"/>
              </w:rPr>
              <w:t> </w:t>
            </w:r>
          </w:p>
        </w:tc>
      </w:tr>
      <w:tr>
        <w:trPr>
          <w:trHeight w:val="401" w:hRule="exact"/>
        </w:trPr>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柳 </w:t>
            </w:r>
            <w:r>
              <w:rPr>
                <w:rFonts w:ascii="宋体" w:hAnsi="宋体" w:cs="宋体" w:eastAsia="宋体" w:hint="default"/>
                <w:spacing w:val="2"/>
                <w:sz w:val="18"/>
                <w:szCs w:val="18"/>
              </w:rPr>
              <w:t> </w:t>
            </w:r>
            <w:r>
              <w:rPr>
                <w:rFonts w:ascii="宋体" w:hAnsi="宋体" w:cs="宋体" w:eastAsia="宋体" w:hint="default"/>
                <w:spacing w:val="2"/>
                <w:sz w:val="18"/>
                <w:szCs w:val="18"/>
              </w:rPr>
            </w:r>
            <w:r>
              <w:rPr>
                <w:rFonts w:ascii="宋体" w:hAnsi="宋体" w:cs="宋体" w:eastAsia="宋体" w:hint="default"/>
                <w:spacing w:val="-3"/>
                <w:sz w:val="18"/>
                <w:szCs w:val="18"/>
              </w:rPr>
              <w:t>攀</w:t>
            </w:r>
            <w:r>
              <w:rPr>
                <w:rFonts w:ascii="宋体" w:hAnsi="宋体" w:cs="宋体" w:eastAsia="宋体" w:hint="default"/>
                <w:sz w:val="18"/>
                <w:szCs w:val="18"/>
              </w:rPr>
              <w:t> </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董事</w:t>
            </w:r>
            <w:r>
              <w:rPr>
                <w:rFonts w:ascii="宋体" w:hAnsi="宋体" w:cs="宋体" w:eastAsia="宋体" w:hint="default"/>
                <w:sz w:val="18"/>
                <w:szCs w:val="18"/>
              </w:rPr>
              <w:t> </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r>
              <w:rPr>
                <w:rFonts w:ascii="宋体" w:hAnsi="宋体" w:cs="宋体" w:eastAsia="宋体" w:hint="default"/>
                <w:sz w:val="18"/>
                <w:szCs w:val="18"/>
              </w:rPr>
              <w:t> </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
              <w:jc w:val="right"/>
              <w:rPr>
                <w:rFonts w:ascii="宋体" w:hAnsi="宋体" w:cs="宋体" w:eastAsia="宋体" w:hint="default"/>
                <w:sz w:val="18"/>
                <w:szCs w:val="18"/>
              </w:rPr>
            </w:pPr>
            <w:r>
              <w:rPr>
                <w:rFonts w:ascii="宋体"/>
                <w:spacing w:val="-1"/>
                <w:sz w:val="18"/>
              </w:rPr>
              <w:t>2.00</w:t>
            </w:r>
            <w:r>
              <w:rPr>
                <w:rFonts w:ascii="宋体"/>
                <w:sz w:val="18"/>
              </w:rPr>
              <w:t> </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92" w:right="0"/>
              <w:jc w:val="center"/>
              <w:rPr>
                <w:rFonts w:ascii="宋体" w:hAnsi="宋体" w:cs="宋体" w:eastAsia="宋体" w:hint="default"/>
                <w:sz w:val="18"/>
                <w:szCs w:val="18"/>
              </w:rPr>
            </w:pPr>
            <w:r>
              <w:rPr>
                <w:rFonts w:ascii="宋体" w:hAnsi="宋体" w:cs="宋体" w:eastAsia="宋体" w:hint="default"/>
                <w:sz w:val="18"/>
                <w:szCs w:val="18"/>
              </w:rPr>
              <w:t>是</w:t>
            </w:r>
            <w:r>
              <w:rPr>
                <w:rFonts w:ascii="宋体" w:hAnsi="宋体" w:cs="宋体" w:eastAsia="宋体" w:hint="default"/>
                <w:sz w:val="18"/>
                <w:szCs w:val="18"/>
              </w:rPr>
              <w:t> </w:t>
            </w:r>
          </w:p>
        </w:tc>
        <w:tc>
          <w:tcPr>
            <w:tcW w:w="425" w:type="dxa"/>
            <w:vMerge/>
            <w:tcBorders>
              <w:left w:val="single" w:sz="4" w:space="0" w:color="000000"/>
              <w:right w:val="single" w:sz="4" w:space="0" w:color="000000"/>
            </w:tcBorders>
            <w:shd w:val="clear" w:color="auto" w:fill="D9D9D9"/>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李鹏宇</w:t>
            </w:r>
            <w:r>
              <w:rPr>
                <w:rFonts w:ascii="宋体" w:hAnsi="宋体" w:cs="宋体" w:eastAsia="宋体" w:hint="default"/>
                <w:sz w:val="18"/>
                <w:szCs w:val="18"/>
              </w:rPr>
              <w:t> </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财务总监</w:t>
            </w:r>
            <w:r>
              <w:rPr>
                <w:rFonts w:ascii="宋体" w:hAnsi="宋体" w:cs="宋体" w:eastAsia="宋体" w:hint="default"/>
                <w:sz w:val="18"/>
                <w:szCs w:val="18"/>
              </w:rPr>
              <w:t> </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9" w:right="0"/>
              <w:jc w:val="center"/>
              <w:rPr>
                <w:rFonts w:ascii="宋体" w:hAnsi="宋体" w:cs="宋体" w:eastAsia="宋体" w:hint="default"/>
                <w:sz w:val="18"/>
                <w:szCs w:val="18"/>
              </w:rPr>
            </w:pPr>
            <w:r>
              <w:rPr>
                <w:rFonts w:ascii="宋体" w:hAnsi="宋体" w:cs="宋体" w:eastAsia="宋体" w:hint="default"/>
                <w:sz w:val="18"/>
                <w:szCs w:val="18"/>
              </w:rPr>
              <w:t>现任</w:t>
            </w:r>
            <w:r>
              <w:rPr>
                <w:rFonts w:ascii="宋体" w:hAnsi="宋体" w:cs="宋体" w:eastAsia="宋体" w:hint="default"/>
                <w:sz w:val="18"/>
                <w:szCs w:val="18"/>
              </w:rPr>
              <w:t> </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
              <w:jc w:val="right"/>
              <w:rPr>
                <w:rFonts w:ascii="宋体" w:hAnsi="宋体" w:cs="宋体" w:eastAsia="宋体" w:hint="default"/>
                <w:sz w:val="18"/>
                <w:szCs w:val="18"/>
              </w:rPr>
            </w:pPr>
            <w:r>
              <w:rPr>
                <w:rFonts w:ascii="宋体"/>
                <w:sz w:val="18"/>
              </w:rPr>
              <w:t>30.80 </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7" w:right="0"/>
              <w:jc w:val="center"/>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sz w:val="18"/>
                <w:szCs w:val="18"/>
              </w:rPr>
              <w:t> </w:t>
            </w:r>
          </w:p>
        </w:tc>
      </w:tr>
      <w:tr>
        <w:trPr>
          <w:trHeight w:val="403" w:hRule="exact"/>
        </w:trPr>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郭 </w:t>
            </w:r>
            <w:r>
              <w:rPr>
                <w:rFonts w:ascii="宋体" w:hAnsi="宋体" w:cs="宋体" w:eastAsia="宋体" w:hint="default"/>
                <w:spacing w:val="2"/>
                <w:sz w:val="18"/>
                <w:szCs w:val="18"/>
              </w:rPr>
              <w:t> </w:t>
            </w:r>
            <w:r>
              <w:rPr>
                <w:rFonts w:ascii="宋体" w:hAnsi="宋体" w:cs="宋体" w:eastAsia="宋体" w:hint="default"/>
                <w:spacing w:val="2"/>
                <w:sz w:val="18"/>
                <w:szCs w:val="18"/>
              </w:rPr>
            </w:r>
            <w:r>
              <w:rPr>
                <w:rFonts w:ascii="宋体" w:hAnsi="宋体" w:cs="宋体" w:eastAsia="宋体" w:hint="default"/>
                <w:spacing w:val="-3"/>
                <w:sz w:val="18"/>
                <w:szCs w:val="18"/>
              </w:rPr>
              <w:t>瀚</w:t>
            </w:r>
            <w:r>
              <w:rPr>
                <w:rFonts w:ascii="宋体" w:hAnsi="宋体" w:cs="宋体" w:eastAsia="宋体" w:hint="default"/>
                <w:sz w:val="18"/>
                <w:szCs w:val="18"/>
              </w:rPr>
              <w:t> </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董事</w:t>
            </w:r>
            <w:r>
              <w:rPr>
                <w:rFonts w:ascii="宋体" w:hAnsi="宋体" w:cs="宋体" w:eastAsia="宋体" w:hint="default"/>
                <w:sz w:val="18"/>
                <w:szCs w:val="18"/>
              </w:rPr>
              <w:t> </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r>
              <w:rPr>
                <w:rFonts w:ascii="宋体" w:hAnsi="宋体" w:cs="宋体" w:eastAsia="宋体" w:hint="default"/>
                <w:sz w:val="18"/>
                <w:szCs w:val="18"/>
              </w:rPr>
              <w:t> </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
              <w:jc w:val="right"/>
              <w:rPr>
                <w:rFonts w:ascii="宋体" w:hAnsi="宋体" w:cs="宋体" w:eastAsia="宋体" w:hint="default"/>
                <w:sz w:val="18"/>
                <w:szCs w:val="18"/>
              </w:rPr>
            </w:pPr>
            <w:r>
              <w:rPr>
                <w:rFonts w:ascii="宋体"/>
                <w:sz w:val="18"/>
              </w:rPr>
              <w:t>24.41 </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92" w:right="0"/>
              <w:jc w:val="center"/>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sz w:val="18"/>
                <w:szCs w:val="18"/>
              </w:rPr>
              <w:t> </w:t>
            </w:r>
          </w:p>
        </w:tc>
        <w:tc>
          <w:tcPr>
            <w:tcW w:w="425" w:type="dxa"/>
            <w:vMerge/>
            <w:tcBorders>
              <w:left w:val="single" w:sz="4" w:space="0" w:color="000000"/>
              <w:right w:val="single" w:sz="4" w:space="0" w:color="000000"/>
            </w:tcBorders>
            <w:shd w:val="clear" w:color="auto" w:fill="D9D9D9"/>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陈枫</w:t>
            </w:r>
            <w:r>
              <w:rPr>
                <w:rFonts w:ascii="宋体" w:hAnsi="宋体" w:cs="宋体" w:eastAsia="宋体" w:hint="default"/>
                <w:sz w:val="18"/>
                <w:szCs w:val="18"/>
              </w:rPr>
              <w:t> </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副总裁</w:t>
            </w:r>
            <w:r>
              <w:rPr>
                <w:rFonts w:ascii="宋体" w:hAnsi="宋体" w:cs="宋体" w:eastAsia="宋体" w:hint="default"/>
                <w:sz w:val="18"/>
                <w:szCs w:val="18"/>
              </w:rPr>
              <w:t> </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9" w:right="0"/>
              <w:jc w:val="center"/>
              <w:rPr>
                <w:rFonts w:ascii="宋体" w:hAnsi="宋体" w:cs="宋体" w:eastAsia="宋体" w:hint="default"/>
                <w:sz w:val="18"/>
                <w:szCs w:val="18"/>
              </w:rPr>
            </w:pPr>
            <w:r>
              <w:rPr>
                <w:rFonts w:ascii="宋体" w:hAnsi="宋体" w:cs="宋体" w:eastAsia="宋体" w:hint="default"/>
                <w:sz w:val="18"/>
                <w:szCs w:val="18"/>
              </w:rPr>
              <w:t>现任</w:t>
            </w:r>
            <w:r>
              <w:rPr>
                <w:rFonts w:ascii="宋体" w:hAnsi="宋体" w:cs="宋体" w:eastAsia="宋体" w:hint="default"/>
                <w:sz w:val="18"/>
                <w:szCs w:val="18"/>
              </w:rPr>
              <w:t> </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
              <w:jc w:val="right"/>
              <w:rPr>
                <w:rFonts w:ascii="宋体" w:hAnsi="宋体" w:cs="宋体" w:eastAsia="宋体" w:hint="default"/>
                <w:sz w:val="18"/>
                <w:szCs w:val="18"/>
              </w:rPr>
            </w:pPr>
            <w:r>
              <w:rPr>
                <w:rFonts w:ascii="宋体"/>
                <w:sz w:val="18"/>
              </w:rPr>
              <w:t>73.80 </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7" w:right="0"/>
              <w:jc w:val="center"/>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sz w:val="18"/>
                <w:szCs w:val="18"/>
              </w:rPr>
              <w:t> </w:t>
            </w:r>
          </w:p>
        </w:tc>
      </w:tr>
      <w:tr>
        <w:trPr>
          <w:trHeight w:val="401" w:hRule="exact"/>
        </w:trPr>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朱文平</w:t>
            </w:r>
            <w:r>
              <w:rPr>
                <w:rFonts w:ascii="宋体" w:hAnsi="宋体" w:cs="宋体" w:eastAsia="宋体" w:hint="default"/>
                <w:sz w:val="18"/>
                <w:szCs w:val="18"/>
              </w:rPr>
              <w:t> </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董事</w:t>
            </w:r>
            <w:r>
              <w:rPr>
                <w:rFonts w:ascii="宋体" w:hAnsi="宋体" w:cs="宋体" w:eastAsia="宋体" w:hint="default"/>
                <w:sz w:val="18"/>
                <w:szCs w:val="18"/>
              </w:rPr>
              <w:t> </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离任</w:t>
            </w:r>
            <w:r>
              <w:rPr>
                <w:rFonts w:ascii="宋体" w:hAnsi="宋体" w:cs="宋体" w:eastAsia="宋体" w:hint="default"/>
                <w:sz w:val="18"/>
                <w:szCs w:val="18"/>
              </w:rPr>
              <w:t> </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
              <w:jc w:val="right"/>
              <w:rPr>
                <w:rFonts w:ascii="宋体" w:hAnsi="宋体" w:cs="宋体" w:eastAsia="宋体" w:hint="default"/>
                <w:sz w:val="18"/>
                <w:szCs w:val="18"/>
              </w:rPr>
            </w:pPr>
            <w:r>
              <w:rPr>
                <w:rFonts w:ascii="宋体"/>
                <w:spacing w:val="-1"/>
                <w:sz w:val="18"/>
              </w:rPr>
              <w:t>2.00</w:t>
            </w:r>
            <w:r>
              <w:rPr>
                <w:rFonts w:ascii="宋体"/>
                <w:sz w:val="18"/>
              </w:rPr>
              <w:t> </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92" w:right="0"/>
              <w:jc w:val="center"/>
              <w:rPr>
                <w:rFonts w:ascii="宋体" w:hAnsi="宋体" w:cs="宋体" w:eastAsia="宋体" w:hint="default"/>
                <w:sz w:val="18"/>
                <w:szCs w:val="18"/>
              </w:rPr>
            </w:pPr>
            <w:r>
              <w:rPr>
                <w:rFonts w:ascii="宋体" w:hAnsi="宋体" w:cs="宋体" w:eastAsia="宋体" w:hint="default"/>
                <w:sz w:val="18"/>
                <w:szCs w:val="18"/>
              </w:rPr>
              <w:t>是</w:t>
            </w:r>
            <w:r>
              <w:rPr>
                <w:rFonts w:ascii="宋体" w:hAnsi="宋体" w:cs="宋体" w:eastAsia="宋体" w:hint="default"/>
                <w:sz w:val="18"/>
                <w:szCs w:val="18"/>
              </w:rPr>
              <w:t> </w:t>
            </w:r>
          </w:p>
        </w:tc>
        <w:tc>
          <w:tcPr>
            <w:tcW w:w="425" w:type="dxa"/>
            <w:vMerge/>
            <w:tcBorders>
              <w:left w:val="single" w:sz="4" w:space="0" w:color="000000"/>
              <w:right w:val="single" w:sz="4" w:space="0" w:color="000000"/>
            </w:tcBorders>
            <w:shd w:val="clear" w:color="auto" w:fill="D9D9D9"/>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袁奕</w:t>
            </w:r>
            <w:r>
              <w:rPr>
                <w:rFonts w:ascii="宋体" w:hAnsi="宋体" w:cs="宋体" w:eastAsia="宋体" w:hint="default"/>
                <w:sz w:val="18"/>
                <w:szCs w:val="18"/>
              </w:rPr>
              <w:t> </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副总裁</w:t>
            </w:r>
            <w:r>
              <w:rPr>
                <w:rFonts w:ascii="宋体" w:hAnsi="宋体" w:cs="宋体" w:eastAsia="宋体" w:hint="default"/>
                <w:sz w:val="18"/>
                <w:szCs w:val="18"/>
              </w:rPr>
              <w:t> </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9" w:right="0"/>
              <w:jc w:val="center"/>
              <w:rPr>
                <w:rFonts w:ascii="宋体" w:hAnsi="宋体" w:cs="宋体" w:eastAsia="宋体" w:hint="default"/>
                <w:sz w:val="18"/>
                <w:szCs w:val="18"/>
              </w:rPr>
            </w:pPr>
            <w:r>
              <w:rPr>
                <w:rFonts w:ascii="宋体" w:hAnsi="宋体" w:cs="宋体" w:eastAsia="宋体" w:hint="default"/>
                <w:sz w:val="18"/>
                <w:szCs w:val="18"/>
              </w:rPr>
              <w:t>现任</w:t>
            </w:r>
            <w:r>
              <w:rPr>
                <w:rFonts w:ascii="宋体" w:hAnsi="宋体" w:cs="宋体" w:eastAsia="宋体" w:hint="default"/>
                <w:sz w:val="18"/>
                <w:szCs w:val="18"/>
              </w:rPr>
              <w:t> </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
              <w:jc w:val="right"/>
              <w:rPr>
                <w:rFonts w:ascii="宋体" w:hAnsi="宋体" w:cs="宋体" w:eastAsia="宋体" w:hint="default"/>
                <w:sz w:val="18"/>
                <w:szCs w:val="18"/>
              </w:rPr>
            </w:pPr>
            <w:r>
              <w:rPr>
                <w:rFonts w:ascii="宋体"/>
                <w:sz w:val="18"/>
              </w:rPr>
              <w:t>45.35 </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7" w:right="0"/>
              <w:jc w:val="center"/>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sz w:val="18"/>
                <w:szCs w:val="18"/>
              </w:rPr>
              <w:t> </w:t>
            </w:r>
          </w:p>
        </w:tc>
      </w:tr>
      <w:tr>
        <w:trPr>
          <w:trHeight w:val="403" w:hRule="exact"/>
        </w:trPr>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徐小伍</w:t>
            </w:r>
            <w:r>
              <w:rPr>
                <w:rFonts w:ascii="宋体" w:hAnsi="宋体" w:cs="宋体" w:eastAsia="宋体" w:hint="default"/>
                <w:sz w:val="18"/>
                <w:szCs w:val="18"/>
              </w:rPr>
              <w:t> </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独立董事</w:t>
            </w:r>
            <w:r>
              <w:rPr>
                <w:rFonts w:ascii="宋体" w:hAnsi="宋体" w:cs="宋体" w:eastAsia="宋体" w:hint="default"/>
                <w:sz w:val="18"/>
                <w:szCs w:val="18"/>
              </w:rPr>
              <w:t> </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离任</w:t>
            </w:r>
            <w:r>
              <w:rPr>
                <w:rFonts w:ascii="宋体" w:hAnsi="宋体" w:cs="宋体" w:eastAsia="宋体" w:hint="default"/>
                <w:sz w:val="18"/>
                <w:szCs w:val="18"/>
              </w:rPr>
              <w:t> </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
              <w:jc w:val="right"/>
              <w:rPr>
                <w:rFonts w:ascii="宋体" w:hAnsi="宋体" w:cs="宋体" w:eastAsia="宋体" w:hint="default"/>
                <w:sz w:val="18"/>
                <w:szCs w:val="18"/>
              </w:rPr>
            </w:pPr>
            <w:r>
              <w:rPr>
                <w:rFonts w:ascii="宋体"/>
                <w:spacing w:val="-1"/>
                <w:sz w:val="18"/>
              </w:rPr>
              <w:t>0.83</w:t>
            </w:r>
            <w:r>
              <w:rPr>
                <w:rFonts w:ascii="宋体"/>
                <w:sz w:val="18"/>
              </w:rPr>
              <w:t> </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92" w:right="0"/>
              <w:jc w:val="center"/>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sz w:val="18"/>
                <w:szCs w:val="18"/>
              </w:rPr>
              <w:t> </w:t>
            </w:r>
          </w:p>
        </w:tc>
        <w:tc>
          <w:tcPr>
            <w:tcW w:w="425" w:type="dxa"/>
            <w:vMerge/>
            <w:tcBorders>
              <w:left w:val="single" w:sz="4" w:space="0" w:color="000000"/>
              <w:right w:val="single" w:sz="4" w:space="0" w:color="000000"/>
            </w:tcBorders>
            <w:shd w:val="clear" w:color="auto" w:fill="D9D9D9"/>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毛琳娜</w:t>
            </w:r>
            <w:r>
              <w:rPr>
                <w:rFonts w:ascii="宋体" w:hAnsi="宋体" w:cs="宋体" w:eastAsia="宋体" w:hint="default"/>
                <w:sz w:val="18"/>
                <w:szCs w:val="18"/>
              </w:rPr>
              <w:t> </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监事</w:t>
            </w:r>
            <w:r>
              <w:rPr>
                <w:rFonts w:ascii="宋体" w:hAnsi="宋体" w:cs="宋体" w:eastAsia="宋体" w:hint="default"/>
                <w:sz w:val="18"/>
                <w:szCs w:val="18"/>
              </w:rPr>
              <w:t> </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9" w:right="0"/>
              <w:jc w:val="center"/>
              <w:rPr>
                <w:rFonts w:ascii="宋体" w:hAnsi="宋体" w:cs="宋体" w:eastAsia="宋体" w:hint="default"/>
                <w:sz w:val="18"/>
                <w:szCs w:val="18"/>
              </w:rPr>
            </w:pPr>
            <w:r>
              <w:rPr>
                <w:rFonts w:ascii="宋体" w:hAnsi="宋体" w:cs="宋体" w:eastAsia="宋体" w:hint="default"/>
                <w:sz w:val="18"/>
                <w:szCs w:val="18"/>
              </w:rPr>
              <w:t>离任</w:t>
            </w:r>
            <w:r>
              <w:rPr>
                <w:rFonts w:ascii="宋体" w:hAnsi="宋体" w:cs="宋体" w:eastAsia="宋体" w:hint="default"/>
                <w:sz w:val="18"/>
                <w:szCs w:val="18"/>
              </w:rPr>
              <w:t> </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
              <w:jc w:val="right"/>
              <w:rPr>
                <w:rFonts w:ascii="宋体" w:hAnsi="宋体" w:cs="宋体" w:eastAsia="宋体" w:hint="default"/>
                <w:sz w:val="18"/>
                <w:szCs w:val="18"/>
              </w:rPr>
            </w:pPr>
            <w:r>
              <w:rPr>
                <w:rFonts w:ascii="宋体"/>
                <w:sz w:val="18"/>
              </w:rPr>
              <w:t>0 </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7" w:right="0"/>
              <w:jc w:val="center"/>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sz w:val="18"/>
                <w:szCs w:val="18"/>
              </w:rPr>
              <w:t> </w:t>
            </w:r>
          </w:p>
        </w:tc>
      </w:tr>
      <w:tr>
        <w:trPr>
          <w:trHeight w:val="401" w:hRule="exact"/>
        </w:trPr>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sz w:val="18"/>
              </w:rPr>
              <w:t> </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sz w:val="18"/>
              </w:rPr>
              <w:t> </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sz w:val="18"/>
              </w:rPr>
              <w:t> </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
              <w:jc w:val="right"/>
              <w:rPr>
                <w:rFonts w:ascii="宋体" w:hAnsi="宋体" w:cs="宋体" w:eastAsia="宋体" w:hint="default"/>
                <w:sz w:val="18"/>
                <w:szCs w:val="18"/>
              </w:rPr>
            </w:pPr>
            <w:r>
              <w:rPr>
                <w:rFonts w:ascii="宋体"/>
                <w:sz w:val="18"/>
              </w:rPr>
              <w:t> </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90" w:right="0"/>
              <w:jc w:val="center"/>
              <w:rPr>
                <w:rFonts w:ascii="宋体" w:hAnsi="宋体" w:cs="宋体" w:eastAsia="宋体" w:hint="default"/>
                <w:sz w:val="18"/>
                <w:szCs w:val="18"/>
              </w:rPr>
            </w:pPr>
            <w:r>
              <w:rPr>
                <w:rFonts w:ascii="宋体"/>
                <w:sz w:val="18"/>
              </w:rPr>
              <w:t> </w:t>
            </w:r>
          </w:p>
        </w:tc>
        <w:tc>
          <w:tcPr>
            <w:tcW w:w="425" w:type="dxa"/>
            <w:vMerge/>
            <w:tcBorders>
              <w:left w:val="single" w:sz="4" w:space="0" w:color="000000"/>
              <w:bottom w:val="single" w:sz="4" w:space="0" w:color="000000"/>
              <w:right w:val="single" w:sz="4" w:space="0" w:color="000000"/>
            </w:tcBorders>
            <w:shd w:val="clear" w:color="auto" w:fill="D9D9D9"/>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孙 </w:t>
            </w:r>
            <w:r>
              <w:rPr>
                <w:rFonts w:ascii="宋体" w:hAnsi="宋体" w:cs="宋体" w:eastAsia="宋体" w:hint="default"/>
                <w:spacing w:val="2"/>
                <w:sz w:val="18"/>
                <w:szCs w:val="18"/>
              </w:rPr>
              <w:t> </w:t>
            </w:r>
            <w:r>
              <w:rPr>
                <w:rFonts w:ascii="宋体" w:hAnsi="宋体" w:cs="宋体" w:eastAsia="宋体" w:hint="default"/>
                <w:spacing w:val="2"/>
                <w:sz w:val="18"/>
                <w:szCs w:val="18"/>
              </w:rPr>
            </w:r>
            <w:r>
              <w:rPr>
                <w:rFonts w:ascii="宋体" w:hAnsi="宋体" w:cs="宋体" w:eastAsia="宋体" w:hint="default"/>
                <w:spacing w:val="-3"/>
                <w:sz w:val="18"/>
                <w:szCs w:val="18"/>
              </w:rPr>
              <w:t>达</w:t>
            </w:r>
            <w:r>
              <w:rPr>
                <w:rFonts w:ascii="宋体" w:hAnsi="宋体" w:cs="宋体" w:eastAsia="宋体" w:hint="default"/>
                <w:sz w:val="18"/>
                <w:szCs w:val="18"/>
              </w:rPr>
              <w:t> </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副总裁</w:t>
            </w:r>
            <w:r>
              <w:rPr>
                <w:rFonts w:ascii="宋体" w:hAnsi="宋体" w:cs="宋体" w:eastAsia="宋体" w:hint="default"/>
                <w:sz w:val="18"/>
                <w:szCs w:val="18"/>
              </w:rPr>
              <w:t> </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9" w:right="0"/>
              <w:jc w:val="center"/>
              <w:rPr>
                <w:rFonts w:ascii="宋体" w:hAnsi="宋体" w:cs="宋体" w:eastAsia="宋体" w:hint="default"/>
                <w:sz w:val="18"/>
                <w:szCs w:val="18"/>
              </w:rPr>
            </w:pPr>
            <w:r>
              <w:rPr>
                <w:rFonts w:ascii="宋体" w:hAnsi="宋体" w:cs="宋体" w:eastAsia="宋体" w:hint="default"/>
                <w:sz w:val="18"/>
                <w:szCs w:val="18"/>
              </w:rPr>
              <w:t>离任</w:t>
            </w:r>
            <w:r>
              <w:rPr>
                <w:rFonts w:ascii="宋体" w:hAnsi="宋体" w:cs="宋体" w:eastAsia="宋体" w:hint="default"/>
                <w:sz w:val="18"/>
                <w:szCs w:val="18"/>
              </w:rPr>
              <w:t> </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
              <w:jc w:val="right"/>
              <w:rPr>
                <w:rFonts w:ascii="宋体" w:hAnsi="宋体" w:cs="宋体" w:eastAsia="宋体" w:hint="default"/>
                <w:sz w:val="18"/>
                <w:szCs w:val="18"/>
              </w:rPr>
            </w:pPr>
            <w:r>
              <w:rPr>
                <w:rFonts w:ascii="宋体"/>
                <w:sz w:val="18"/>
              </w:rPr>
              <w:t>43.00 </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7" w:right="0"/>
              <w:jc w:val="center"/>
              <w:rPr>
                <w:rFonts w:ascii="宋体" w:hAnsi="宋体" w:cs="宋体" w:eastAsia="宋体" w:hint="default"/>
                <w:sz w:val="18"/>
                <w:szCs w:val="18"/>
              </w:rPr>
            </w:pPr>
            <w:r>
              <w:rPr>
                <w:rFonts w:ascii="宋体" w:hAnsi="宋体" w:cs="宋体" w:eastAsia="宋体" w:hint="default"/>
                <w:sz w:val="18"/>
                <w:szCs w:val="18"/>
              </w:rPr>
              <w:t>否</w:t>
            </w:r>
            <w:r>
              <w:rPr>
                <w:rFonts w:ascii="宋体" w:hAnsi="宋体" w:cs="宋体" w:eastAsia="宋体" w:hint="default"/>
                <w:sz w:val="18"/>
                <w:szCs w:val="18"/>
              </w:rPr>
              <w:t> </w:t>
            </w:r>
          </w:p>
        </w:tc>
      </w:tr>
      <w:tr>
        <w:trPr>
          <w:trHeight w:val="404" w:hRule="exact"/>
        </w:trPr>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24" w:right="0"/>
              <w:jc w:val="left"/>
              <w:rPr>
                <w:rFonts w:ascii="宋体" w:hAnsi="宋体" w:cs="宋体" w:eastAsia="宋体" w:hint="default"/>
                <w:sz w:val="18"/>
                <w:szCs w:val="18"/>
              </w:rPr>
            </w:pPr>
            <w:r>
              <w:rPr>
                <w:rFonts w:ascii="宋体"/>
                <w:sz w:val="18"/>
              </w:rPr>
              <w:t>--- </w:t>
            </w:r>
          </w:p>
        </w:tc>
        <w:tc>
          <w:tcPr>
            <w:tcW w:w="6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72" w:right="0"/>
              <w:jc w:val="left"/>
              <w:rPr>
                <w:rFonts w:ascii="宋体" w:hAnsi="宋体" w:cs="宋体" w:eastAsia="宋体" w:hint="default"/>
                <w:sz w:val="18"/>
                <w:szCs w:val="18"/>
              </w:rPr>
            </w:pPr>
            <w:r>
              <w:rPr>
                <w:rFonts w:ascii="宋体"/>
                <w:sz w:val="18"/>
              </w:rPr>
              <w:t>--- </w:t>
            </w:r>
          </w:p>
        </w:tc>
        <w:tc>
          <w:tcPr>
            <w:tcW w:w="9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55" w:right="0"/>
              <w:jc w:val="left"/>
              <w:rPr>
                <w:rFonts w:ascii="宋体" w:hAnsi="宋体" w:cs="宋体" w:eastAsia="宋体" w:hint="default"/>
                <w:sz w:val="18"/>
                <w:szCs w:val="18"/>
              </w:rPr>
            </w:pPr>
            <w:r>
              <w:rPr>
                <w:rFonts w:ascii="宋体"/>
                <w:sz w:val="18"/>
              </w:rPr>
              <w:t>--- </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92" w:right="0"/>
              <w:jc w:val="center"/>
              <w:rPr>
                <w:rFonts w:ascii="宋体" w:hAnsi="宋体" w:cs="宋体" w:eastAsia="宋体" w:hint="default"/>
                <w:sz w:val="18"/>
                <w:szCs w:val="18"/>
              </w:rPr>
            </w:pPr>
            <w:r>
              <w:rPr>
                <w:rFonts w:ascii="宋体"/>
                <w:sz w:val="18"/>
              </w:rPr>
              <w:t>--- </w:t>
            </w:r>
          </w:p>
        </w:tc>
        <w:tc>
          <w:tcPr>
            <w:tcW w:w="42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51"/>
              <w:ind w:left="117" w:right="0"/>
              <w:jc w:val="left"/>
              <w:rPr>
                <w:rFonts w:ascii="宋体" w:hAnsi="宋体" w:cs="宋体" w:eastAsia="宋体" w:hint="default"/>
                <w:sz w:val="18"/>
                <w:szCs w:val="18"/>
              </w:rPr>
            </w:pPr>
            <w:r>
              <w:rPr>
                <w:rFonts w:ascii="宋体"/>
                <w:sz w:val="18"/>
              </w:rPr>
              <w:t>-- </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85" w:right="0"/>
              <w:jc w:val="left"/>
              <w:rPr>
                <w:rFonts w:ascii="宋体" w:hAnsi="宋体" w:cs="宋体" w:eastAsia="宋体" w:hint="default"/>
                <w:sz w:val="18"/>
                <w:szCs w:val="18"/>
              </w:rPr>
            </w:pPr>
            <w:r>
              <w:rPr>
                <w:rFonts w:ascii="宋体"/>
                <w:sz w:val="18"/>
              </w:rPr>
              <w:t>--- </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25" w:right="0"/>
              <w:jc w:val="left"/>
              <w:rPr>
                <w:rFonts w:ascii="宋体" w:hAnsi="宋体" w:cs="宋体" w:eastAsia="宋体" w:hint="default"/>
                <w:sz w:val="18"/>
                <w:szCs w:val="18"/>
              </w:rPr>
            </w:pPr>
            <w:r>
              <w:rPr>
                <w:rFonts w:ascii="宋体"/>
                <w:sz w:val="18"/>
              </w:rPr>
              <w:t>--- </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7" w:right="0"/>
              <w:jc w:val="center"/>
              <w:rPr>
                <w:rFonts w:ascii="宋体" w:hAnsi="宋体" w:cs="宋体" w:eastAsia="宋体" w:hint="default"/>
                <w:sz w:val="18"/>
                <w:szCs w:val="18"/>
              </w:rPr>
            </w:pPr>
            <w:r>
              <w:rPr>
                <w:rFonts w:ascii="宋体"/>
                <w:sz w:val="18"/>
              </w:rPr>
              <w:t>--- </w:t>
            </w:r>
          </w:p>
        </w:tc>
        <w:tc>
          <w:tcPr>
            <w:tcW w:w="9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
              <w:jc w:val="right"/>
              <w:rPr>
                <w:rFonts w:ascii="宋体" w:hAnsi="宋体" w:cs="宋体" w:eastAsia="宋体" w:hint="default"/>
                <w:sz w:val="18"/>
                <w:szCs w:val="18"/>
              </w:rPr>
            </w:pPr>
            <w:r>
              <w:rPr>
                <w:rFonts w:ascii="宋体"/>
                <w:spacing w:val="-1"/>
                <w:sz w:val="18"/>
              </w:rPr>
              <w:t>414.59</w:t>
            </w:r>
            <w:r>
              <w:rPr>
                <w:rFonts w:ascii="宋体"/>
                <w:sz w:val="18"/>
              </w:rPr>
              <w:t> </w:t>
            </w:r>
          </w:p>
        </w:tc>
        <w:tc>
          <w:tcPr>
            <w:tcW w:w="8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7" w:right="0"/>
              <w:jc w:val="center"/>
              <w:rPr>
                <w:rFonts w:ascii="宋体" w:hAnsi="宋体" w:cs="宋体" w:eastAsia="宋体" w:hint="default"/>
                <w:sz w:val="18"/>
                <w:szCs w:val="18"/>
              </w:rPr>
            </w:pPr>
            <w:r>
              <w:rPr>
                <w:rFonts w:ascii="宋体"/>
                <w:sz w:val="18"/>
              </w:rPr>
              <w:t>--- </w:t>
            </w:r>
          </w:p>
        </w:tc>
      </w:tr>
    </w:tbl>
    <w:p>
      <w:pPr>
        <w:pStyle w:val="BodyText"/>
        <w:spacing w:line="240" w:lineRule="auto" w:before="26"/>
        <w:ind w:left="212" w:right="0"/>
        <w:jc w:val="left"/>
        <w:rPr>
          <w:rFonts w:ascii="宋体" w:hAnsi="宋体" w:cs="宋体" w:eastAsia="宋体" w:hint="default"/>
        </w:rPr>
      </w:pPr>
      <w:r>
        <w:rPr/>
        <w:t>公司董事、高级管理人员报告期内被授予的股权激励情况</w:t>
      </w:r>
      <w:r>
        <w:rPr>
          <w:rFonts w:ascii="宋体" w:hAnsi="宋体" w:cs="宋体" w:eastAsia="宋体" w:hint="default"/>
        </w:rPr>
        <w:t> </w:t>
      </w:r>
    </w:p>
    <w:p>
      <w:pPr>
        <w:pStyle w:val="BodyText"/>
        <w:spacing w:line="240" w:lineRule="auto" w:before="78"/>
        <w:ind w:left="212" w:right="0"/>
        <w:jc w:val="left"/>
        <w:rPr>
          <w:rFonts w:ascii="宋体" w:hAnsi="宋体" w:cs="宋体" w:eastAsia="宋体" w:hint="default"/>
        </w:rPr>
      </w:pPr>
      <w:r>
        <w:rPr/>
        <w:t>□ 适用 </w:t>
      </w:r>
      <w:r>
        <w:rPr>
          <w:rFonts w:ascii="宋体" w:hAnsi="宋体" w:cs="宋体" w:eastAsia="宋体" w:hint="default"/>
        </w:rPr>
      </w:r>
      <w:r>
        <w:rPr>
          <w:spacing w:val="-3"/>
        </w:rPr>
        <w:t>√</w:t>
      </w:r>
      <w:r>
        <w:rPr/>
        <w:t> 不适用</w:t>
      </w:r>
      <w:r>
        <w:rPr>
          <w:rFonts w:ascii="宋体" w:hAnsi="宋体" w:cs="宋体" w:eastAsia="宋体" w:hint="default"/>
        </w:rPr>
        <w:t> </w:t>
      </w:r>
    </w:p>
    <w:p>
      <w:pPr>
        <w:spacing w:line="240" w:lineRule="auto" w:before="5"/>
        <w:rPr>
          <w:rFonts w:ascii="宋体" w:hAnsi="宋体" w:cs="宋体" w:eastAsia="宋体" w:hint="default"/>
          <w:sz w:val="28"/>
          <w:szCs w:val="28"/>
        </w:rPr>
      </w:pPr>
    </w:p>
    <w:p>
      <w:pPr>
        <w:pStyle w:val="Heading2"/>
        <w:tabs>
          <w:tab w:pos="964" w:val="left" w:leader="none"/>
        </w:tabs>
        <w:spacing w:line="240" w:lineRule="auto" w:before="0"/>
        <w:ind w:left="0" w:right="918"/>
        <w:jc w:val="center"/>
        <w:rPr>
          <w:b w:val="0"/>
          <w:bCs w:val="0"/>
        </w:rPr>
      </w:pPr>
      <w:r>
        <w:rPr>
          <w:w w:val="95"/>
        </w:rPr>
        <w:t>第二节</w:t>
        <w:tab/>
      </w:r>
      <w:r>
        <w:rPr/>
        <w:t>公司员工情况</w:t>
      </w:r>
      <w:r>
        <w:rPr>
          <w:b w:val="0"/>
          <w:bCs w:val="0"/>
        </w:rPr>
      </w:r>
    </w:p>
    <w:p>
      <w:pPr>
        <w:spacing w:line="240" w:lineRule="auto" w:before="4"/>
        <w:rPr>
          <w:rFonts w:ascii="宋体" w:hAnsi="宋体" w:cs="宋体" w:eastAsia="宋体" w:hint="default"/>
          <w:b/>
          <w:bCs/>
          <w:sz w:val="29"/>
          <w:szCs w:val="29"/>
        </w:rPr>
      </w:pPr>
    </w:p>
    <w:p>
      <w:pPr>
        <w:pStyle w:val="Heading3"/>
        <w:spacing w:line="240" w:lineRule="auto" w:before="0"/>
        <w:ind w:left="424" w:right="0"/>
        <w:jc w:val="left"/>
        <w:rPr>
          <w:b w:val="0"/>
          <w:bCs w:val="0"/>
        </w:rPr>
      </w:pPr>
      <w:r>
        <w:rPr/>
        <w:t>一、员工数量、专业构成及教育程度</w:t>
      </w:r>
      <w:r>
        <w:rPr>
          <w:b w:val="0"/>
          <w:bCs w:val="0"/>
        </w:rPr>
      </w:r>
    </w:p>
    <w:p>
      <w:pPr>
        <w:pStyle w:val="BodyText"/>
        <w:spacing w:line="240" w:lineRule="auto" w:before="78"/>
        <w:ind w:left="424" w:right="0"/>
        <w:jc w:val="left"/>
        <w:rPr>
          <w:rFonts w:ascii="宋体" w:hAnsi="宋体" w:cs="宋体" w:eastAsia="宋体" w:hint="default"/>
        </w:rPr>
      </w:pPr>
      <w:r>
        <w:rPr>
          <w:rFonts w:ascii="宋体" w:hAnsi="宋体" w:cs="宋体" w:eastAsia="宋体" w:hint="default"/>
        </w:rPr>
        <w:t>1</w:t>
      </w:r>
      <w:r>
        <w:rPr/>
        <w:t>、员工数量表</w:t>
      </w:r>
      <w:r>
        <w:rPr>
          <w:rFonts w:ascii="宋体" w:hAnsi="宋体" w:cs="宋体" w:eastAsia="宋体" w:hint="default"/>
        </w:rPr>
        <w:t> </w:t>
      </w:r>
    </w:p>
    <w:p>
      <w:pPr>
        <w:spacing w:line="240" w:lineRule="auto" w:before="13"/>
        <w:rPr>
          <w:rFonts w:ascii="宋体" w:hAnsi="宋体" w:cs="宋体" w:eastAsia="宋体" w:hint="default"/>
          <w:sz w:val="12"/>
          <w:szCs w:val="12"/>
        </w:rPr>
      </w:pPr>
    </w:p>
    <w:tbl>
      <w:tblPr>
        <w:tblW w:w="0" w:type="auto"/>
        <w:jc w:val="left"/>
        <w:tblInd w:w="209" w:type="dxa"/>
        <w:tblLayout w:type="fixed"/>
        <w:tblCellMar>
          <w:top w:w="0" w:type="dxa"/>
          <w:left w:w="0" w:type="dxa"/>
          <w:bottom w:w="0" w:type="dxa"/>
          <w:right w:w="0" w:type="dxa"/>
        </w:tblCellMar>
        <w:tblLook w:val="01E0"/>
      </w:tblPr>
      <w:tblGrid>
        <w:gridCol w:w="3261"/>
        <w:gridCol w:w="3401"/>
        <w:gridCol w:w="2837"/>
      </w:tblGrid>
      <w:tr>
        <w:trPr>
          <w:trHeight w:val="402" w:hRule="exact"/>
        </w:trPr>
        <w:tc>
          <w:tcPr>
            <w:tcW w:w="6663"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6"/>
              <w:ind w:left="102" w:right="0"/>
              <w:jc w:val="left"/>
              <w:rPr>
                <w:rFonts w:ascii="宋体" w:hAnsi="宋体" w:cs="宋体" w:eastAsia="宋体" w:hint="default"/>
                <w:sz w:val="21"/>
                <w:szCs w:val="21"/>
              </w:rPr>
            </w:pPr>
            <w:r>
              <w:rPr>
                <w:rFonts w:ascii="宋体" w:hAnsi="宋体" w:cs="宋体" w:eastAsia="宋体" w:hint="default"/>
                <w:sz w:val="21"/>
                <w:szCs w:val="21"/>
              </w:rPr>
              <w:t>母公司在职员工的数量</w:t>
            </w:r>
            <w:r>
              <w:rPr>
                <w:rFonts w:ascii="宋体" w:hAnsi="宋体" w:cs="宋体" w:eastAsia="宋体" w:hint="default"/>
                <w:sz w:val="21"/>
                <w:szCs w:val="21"/>
              </w:rPr>
              <w:t>(</w:t>
            </w:r>
            <w:r>
              <w:rPr>
                <w:rFonts w:ascii="宋体" w:hAnsi="宋体" w:cs="宋体" w:eastAsia="宋体" w:hint="default"/>
                <w:sz w:val="21"/>
                <w:szCs w:val="21"/>
              </w:rPr>
              <w:t>人</w:t>
            </w:r>
            <w:r>
              <w:rPr>
                <w:rFonts w:ascii="宋体" w:hAnsi="宋体" w:cs="宋体" w:eastAsia="宋体" w:hint="default"/>
                <w:sz w:val="21"/>
                <w:szCs w:val="21"/>
              </w:rPr>
              <w:t>) </w:t>
            </w:r>
          </w:p>
        </w:tc>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3"/>
              <w:jc w:val="right"/>
              <w:rPr>
                <w:rFonts w:ascii="宋体" w:hAnsi="宋体" w:cs="宋体" w:eastAsia="宋体" w:hint="default"/>
                <w:sz w:val="21"/>
                <w:szCs w:val="21"/>
              </w:rPr>
            </w:pPr>
            <w:r>
              <w:rPr>
                <w:rFonts w:ascii="宋体"/>
                <w:sz w:val="21"/>
              </w:rPr>
              <w:t>19 </w:t>
            </w:r>
          </w:p>
        </w:tc>
      </w:tr>
      <w:tr>
        <w:trPr>
          <w:trHeight w:val="402" w:hRule="exact"/>
        </w:trPr>
        <w:tc>
          <w:tcPr>
            <w:tcW w:w="3261"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6"/>
              <w:ind w:left="102" w:right="0"/>
              <w:jc w:val="left"/>
              <w:rPr>
                <w:rFonts w:ascii="宋体" w:hAnsi="宋体" w:cs="宋体" w:eastAsia="宋体" w:hint="default"/>
                <w:sz w:val="21"/>
                <w:szCs w:val="21"/>
              </w:rPr>
            </w:pPr>
            <w:r>
              <w:rPr>
                <w:rFonts w:ascii="宋体" w:hAnsi="宋体" w:cs="宋体" w:eastAsia="宋体" w:hint="default"/>
                <w:sz w:val="21"/>
                <w:szCs w:val="21"/>
              </w:rPr>
              <w:t>主要子公司在职员工的数量</w:t>
            </w:r>
            <w:r>
              <w:rPr>
                <w:rFonts w:ascii="宋体" w:hAnsi="宋体" w:cs="宋体" w:eastAsia="宋体" w:hint="default"/>
                <w:sz w:val="21"/>
                <w:szCs w:val="21"/>
              </w:rPr>
              <w:t>(</w:t>
            </w:r>
            <w:r>
              <w:rPr>
                <w:rFonts w:ascii="宋体" w:hAnsi="宋体" w:cs="宋体" w:eastAsia="宋体" w:hint="default"/>
                <w:sz w:val="21"/>
                <w:szCs w:val="21"/>
              </w:rPr>
              <w:t>人</w:t>
            </w:r>
            <w:r>
              <w:rPr>
                <w:rFonts w:ascii="宋体" w:hAnsi="宋体" w:cs="宋体" w:eastAsia="宋体" w:hint="default"/>
                <w:sz w:val="21"/>
                <w:szCs w:val="21"/>
              </w:rPr>
              <w:t>) </w:t>
            </w:r>
          </w:p>
        </w:tc>
        <w:tc>
          <w:tcPr>
            <w:tcW w:w="340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7"/>
              <w:ind w:left="103" w:right="0"/>
              <w:jc w:val="left"/>
              <w:rPr>
                <w:rFonts w:ascii="宋体" w:hAnsi="宋体" w:cs="宋体" w:eastAsia="宋体" w:hint="default"/>
                <w:sz w:val="21"/>
                <w:szCs w:val="21"/>
              </w:rPr>
            </w:pPr>
            <w:r>
              <w:rPr>
                <w:rFonts w:ascii="宋体" w:hAnsi="宋体" w:cs="宋体" w:eastAsia="宋体" w:hint="default"/>
                <w:sz w:val="21"/>
                <w:szCs w:val="21"/>
              </w:rPr>
              <w:t>北京创世漫道科技有限公司</w:t>
            </w:r>
            <w:r>
              <w:rPr>
                <w:rFonts w:ascii="宋体" w:hAnsi="宋体" w:cs="宋体" w:eastAsia="宋体" w:hint="default"/>
                <w:sz w:val="21"/>
                <w:szCs w:val="21"/>
              </w:rPr>
              <w:t> </w:t>
            </w:r>
          </w:p>
        </w:tc>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3"/>
              <w:jc w:val="right"/>
              <w:rPr>
                <w:rFonts w:ascii="宋体" w:hAnsi="宋体" w:cs="宋体" w:eastAsia="宋体" w:hint="default"/>
                <w:sz w:val="21"/>
                <w:szCs w:val="21"/>
              </w:rPr>
            </w:pPr>
            <w:r>
              <w:rPr>
                <w:rFonts w:ascii="宋体"/>
                <w:spacing w:val="-1"/>
                <w:sz w:val="21"/>
              </w:rPr>
              <w:t>159</w:t>
            </w:r>
            <w:r>
              <w:rPr>
                <w:rFonts w:ascii="宋体"/>
                <w:sz w:val="21"/>
              </w:rPr>
              <w:t> </w:t>
            </w:r>
          </w:p>
        </w:tc>
      </w:tr>
      <w:tr>
        <w:trPr>
          <w:trHeight w:val="403" w:hRule="exact"/>
        </w:trPr>
        <w:tc>
          <w:tcPr>
            <w:tcW w:w="3261" w:type="dxa"/>
            <w:vMerge/>
            <w:tcBorders>
              <w:left w:val="single" w:sz="4" w:space="0" w:color="000000"/>
              <w:right w:val="single" w:sz="4" w:space="0" w:color="000000"/>
            </w:tcBorders>
            <w:shd w:val="clear" w:color="auto" w:fill="D9D9D9"/>
          </w:tcPr>
          <w:p>
            <w:pPr/>
          </w:p>
        </w:tc>
        <w:tc>
          <w:tcPr>
            <w:tcW w:w="340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6"/>
              <w:ind w:left="103" w:right="0"/>
              <w:jc w:val="left"/>
              <w:rPr>
                <w:rFonts w:ascii="宋体" w:hAnsi="宋体" w:cs="宋体" w:eastAsia="宋体" w:hint="default"/>
                <w:sz w:val="21"/>
                <w:szCs w:val="21"/>
              </w:rPr>
            </w:pPr>
            <w:r>
              <w:rPr>
                <w:rFonts w:ascii="宋体" w:hAnsi="宋体" w:cs="宋体" w:eastAsia="宋体" w:hint="default"/>
                <w:sz w:val="21"/>
                <w:szCs w:val="21"/>
              </w:rPr>
              <w:t>广东长实通信科技有限公司</w:t>
            </w:r>
            <w:r>
              <w:rPr>
                <w:rFonts w:ascii="宋体" w:hAnsi="宋体" w:cs="宋体" w:eastAsia="宋体" w:hint="default"/>
                <w:sz w:val="21"/>
                <w:szCs w:val="21"/>
              </w:rPr>
              <w:t> </w:t>
            </w:r>
          </w:p>
        </w:tc>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3"/>
              <w:jc w:val="right"/>
              <w:rPr>
                <w:rFonts w:ascii="宋体" w:hAnsi="宋体" w:cs="宋体" w:eastAsia="宋体" w:hint="default"/>
                <w:sz w:val="21"/>
                <w:szCs w:val="21"/>
              </w:rPr>
            </w:pPr>
            <w:r>
              <w:rPr>
                <w:rFonts w:ascii="宋体"/>
                <w:spacing w:val="-1"/>
                <w:sz w:val="21"/>
              </w:rPr>
              <w:t>3464</w:t>
            </w:r>
            <w:r>
              <w:rPr>
                <w:rFonts w:ascii="宋体"/>
                <w:sz w:val="21"/>
              </w:rPr>
              <w:t> </w:t>
            </w:r>
          </w:p>
        </w:tc>
      </w:tr>
      <w:tr>
        <w:trPr>
          <w:trHeight w:val="402" w:hRule="exact"/>
        </w:trPr>
        <w:tc>
          <w:tcPr>
            <w:tcW w:w="3261" w:type="dxa"/>
            <w:vMerge/>
            <w:tcBorders>
              <w:left w:val="single" w:sz="4" w:space="0" w:color="000000"/>
              <w:bottom w:val="single" w:sz="4" w:space="0" w:color="000000"/>
              <w:right w:val="single" w:sz="4" w:space="0" w:color="000000"/>
            </w:tcBorders>
            <w:shd w:val="clear" w:color="auto" w:fill="D9D9D9"/>
          </w:tcPr>
          <w:p>
            <w:pPr/>
          </w:p>
        </w:tc>
        <w:tc>
          <w:tcPr>
            <w:tcW w:w="3401"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7"/>
              <w:ind w:left="103" w:right="0"/>
              <w:jc w:val="left"/>
              <w:rPr>
                <w:rFonts w:ascii="宋体" w:hAnsi="宋体" w:cs="宋体" w:eastAsia="宋体" w:hint="default"/>
                <w:sz w:val="21"/>
                <w:szCs w:val="21"/>
              </w:rPr>
            </w:pPr>
            <w:r>
              <w:rPr>
                <w:rFonts w:ascii="宋体" w:hAnsi="宋体" w:cs="宋体" w:eastAsia="宋体" w:hint="default"/>
                <w:sz w:val="21"/>
                <w:szCs w:val="21"/>
              </w:rPr>
              <w:t>中天嘉华信息技术有限公司</w:t>
            </w:r>
            <w:r>
              <w:rPr>
                <w:rFonts w:ascii="宋体" w:hAnsi="宋体" w:cs="宋体" w:eastAsia="宋体" w:hint="default"/>
                <w:sz w:val="21"/>
                <w:szCs w:val="21"/>
              </w:rPr>
              <w:t> </w:t>
            </w:r>
          </w:p>
        </w:tc>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3"/>
              <w:jc w:val="right"/>
              <w:rPr>
                <w:rFonts w:ascii="宋体" w:hAnsi="宋体" w:cs="宋体" w:eastAsia="宋体" w:hint="default"/>
                <w:sz w:val="21"/>
                <w:szCs w:val="21"/>
              </w:rPr>
            </w:pPr>
            <w:r>
              <w:rPr>
                <w:rFonts w:ascii="宋体"/>
                <w:spacing w:val="-1"/>
                <w:sz w:val="21"/>
              </w:rPr>
              <w:t>2169</w:t>
            </w:r>
            <w:r>
              <w:rPr>
                <w:rFonts w:ascii="宋体"/>
                <w:sz w:val="21"/>
              </w:rPr>
              <w:t> </w:t>
            </w:r>
          </w:p>
        </w:tc>
      </w:tr>
      <w:tr>
        <w:trPr>
          <w:trHeight w:val="402" w:hRule="exact"/>
        </w:trPr>
        <w:tc>
          <w:tcPr>
            <w:tcW w:w="6663"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6"/>
              <w:ind w:left="102" w:right="0"/>
              <w:jc w:val="left"/>
              <w:rPr>
                <w:rFonts w:ascii="宋体" w:hAnsi="宋体" w:cs="宋体" w:eastAsia="宋体" w:hint="default"/>
                <w:sz w:val="21"/>
                <w:szCs w:val="21"/>
              </w:rPr>
            </w:pPr>
            <w:r>
              <w:rPr>
                <w:rFonts w:ascii="宋体" w:hAnsi="宋体" w:cs="宋体" w:eastAsia="宋体" w:hint="default"/>
                <w:sz w:val="21"/>
                <w:szCs w:val="21"/>
              </w:rPr>
              <w:t>在职员工的数量合计</w:t>
            </w:r>
            <w:r>
              <w:rPr>
                <w:rFonts w:ascii="宋体" w:hAnsi="宋体" w:cs="宋体" w:eastAsia="宋体" w:hint="default"/>
                <w:sz w:val="21"/>
                <w:szCs w:val="21"/>
              </w:rPr>
              <w:t>(</w:t>
            </w:r>
            <w:r>
              <w:rPr>
                <w:rFonts w:ascii="宋体" w:hAnsi="宋体" w:cs="宋体" w:eastAsia="宋体" w:hint="default"/>
                <w:sz w:val="21"/>
                <w:szCs w:val="21"/>
              </w:rPr>
              <w:t>人</w:t>
            </w:r>
            <w:r>
              <w:rPr>
                <w:rFonts w:ascii="宋体" w:hAnsi="宋体" w:cs="宋体" w:eastAsia="宋体" w:hint="default"/>
                <w:sz w:val="21"/>
                <w:szCs w:val="21"/>
              </w:rPr>
              <w:t>) </w:t>
            </w:r>
          </w:p>
        </w:tc>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3"/>
              <w:jc w:val="right"/>
              <w:rPr>
                <w:rFonts w:ascii="宋体" w:hAnsi="宋体" w:cs="宋体" w:eastAsia="宋体" w:hint="default"/>
                <w:sz w:val="21"/>
                <w:szCs w:val="21"/>
              </w:rPr>
            </w:pPr>
            <w:r>
              <w:rPr>
                <w:rFonts w:ascii="宋体"/>
                <w:spacing w:val="-1"/>
                <w:sz w:val="21"/>
              </w:rPr>
              <w:t>5811</w:t>
            </w:r>
            <w:r>
              <w:rPr>
                <w:rFonts w:ascii="宋体"/>
                <w:sz w:val="21"/>
              </w:rPr>
              <w:t> </w:t>
            </w:r>
          </w:p>
        </w:tc>
      </w:tr>
      <w:tr>
        <w:trPr>
          <w:trHeight w:val="402" w:hRule="exact"/>
        </w:trPr>
        <w:tc>
          <w:tcPr>
            <w:tcW w:w="6663"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7"/>
              <w:ind w:left="102" w:right="0"/>
              <w:jc w:val="left"/>
              <w:rPr>
                <w:rFonts w:ascii="宋体" w:hAnsi="宋体" w:cs="宋体" w:eastAsia="宋体" w:hint="default"/>
                <w:sz w:val="21"/>
                <w:szCs w:val="21"/>
              </w:rPr>
            </w:pPr>
            <w:r>
              <w:rPr>
                <w:rFonts w:ascii="宋体" w:hAnsi="宋体" w:cs="宋体" w:eastAsia="宋体" w:hint="default"/>
                <w:sz w:val="21"/>
                <w:szCs w:val="21"/>
              </w:rPr>
              <w:t>当期领取薪酬员工总人数</w:t>
            </w:r>
            <w:r>
              <w:rPr>
                <w:rFonts w:ascii="宋体" w:hAnsi="宋体" w:cs="宋体" w:eastAsia="宋体" w:hint="default"/>
                <w:sz w:val="21"/>
                <w:szCs w:val="21"/>
              </w:rPr>
              <w:t>(</w:t>
            </w:r>
            <w:r>
              <w:rPr>
                <w:rFonts w:ascii="宋体" w:hAnsi="宋体" w:cs="宋体" w:eastAsia="宋体" w:hint="default"/>
                <w:sz w:val="21"/>
                <w:szCs w:val="21"/>
              </w:rPr>
              <w:t>人</w:t>
            </w:r>
            <w:r>
              <w:rPr>
                <w:rFonts w:ascii="宋体" w:hAnsi="宋体" w:cs="宋体" w:eastAsia="宋体" w:hint="default"/>
                <w:sz w:val="21"/>
                <w:szCs w:val="21"/>
              </w:rPr>
              <w:t>) </w:t>
            </w:r>
          </w:p>
        </w:tc>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3"/>
              <w:jc w:val="right"/>
              <w:rPr>
                <w:rFonts w:ascii="宋体" w:hAnsi="宋体" w:cs="宋体" w:eastAsia="宋体" w:hint="default"/>
                <w:sz w:val="21"/>
                <w:szCs w:val="21"/>
              </w:rPr>
            </w:pPr>
            <w:r>
              <w:rPr>
                <w:rFonts w:ascii="宋体"/>
                <w:spacing w:val="-1"/>
                <w:sz w:val="21"/>
              </w:rPr>
              <w:t>5811</w:t>
            </w:r>
            <w:r>
              <w:rPr>
                <w:rFonts w:ascii="宋体"/>
                <w:sz w:val="21"/>
              </w:rPr>
              <w:t> </w:t>
            </w:r>
          </w:p>
        </w:tc>
      </w:tr>
      <w:tr>
        <w:trPr>
          <w:trHeight w:val="402" w:hRule="exact"/>
        </w:trPr>
        <w:tc>
          <w:tcPr>
            <w:tcW w:w="6663"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26"/>
              <w:ind w:left="102" w:right="0"/>
              <w:jc w:val="left"/>
              <w:rPr>
                <w:rFonts w:ascii="宋体" w:hAnsi="宋体" w:cs="宋体" w:eastAsia="宋体" w:hint="default"/>
                <w:sz w:val="21"/>
                <w:szCs w:val="21"/>
              </w:rPr>
            </w:pPr>
            <w:r>
              <w:rPr>
                <w:rFonts w:ascii="宋体" w:hAnsi="宋体" w:cs="宋体" w:eastAsia="宋体" w:hint="default"/>
                <w:sz w:val="21"/>
                <w:szCs w:val="21"/>
              </w:rPr>
              <w:t>母公司及主要子公司需承担费用的离退休职工人数</w:t>
            </w:r>
            <w:r>
              <w:rPr>
                <w:rFonts w:ascii="宋体" w:hAnsi="宋体" w:cs="宋体" w:eastAsia="宋体" w:hint="default"/>
                <w:sz w:val="21"/>
                <w:szCs w:val="21"/>
              </w:rPr>
              <w:t>(</w:t>
            </w:r>
            <w:r>
              <w:rPr>
                <w:rFonts w:ascii="宋体" w:hAnsi="宋体" w:cs="宋体" w:eastAsia="宋体" w:hint="default"/>
                <w:sz w:val="21"/>
                <w:szCs w:val="21"/>
              </w:rPr>
              <w:t>人</w:t>
            </w:r>
            <w:r>
              <w:rPr>
                <w:rFonts w:ascii="宋体" w:hAnsi="宋体" w:cs="宋体" w:eastAsia="宋体" w:hint="default"/>
                <w:sz w:val="21"/>
                <w:szCs w:val="21"/>
              </w:rPr>
              <w:t>) </w:t>
            </w:r>
          </w:p>
        </w:tc>
        <w:tc>
          <w:tcPr>
            <w:tcW w:w="28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3"/>
              <w:jc w:val="right"/>
              <w:rPr>
                <w:rFonts w:ascii="宋体" w:hAnsi="宋体" w:cs="宋体" w:eastAsia="宋体" w:hint="default"/>
                <w:sz w:val="21"/>
                <w:szCs w:val="21"/>
              </w:rPr>
            </w:pPr>
            <w:r>
              <w:rPr>
                <w:rFonts w:ascii="宋体"/>
                <w:sz w:val="21"/>
              </w:rPr>
              <w:t>0 </w:t>
            </w:r>
          </w:p>
        </w:tc>
      </w:tr>
    </w:tbl>
    <w:p>
      <w:pPr>
        <w:spacing w:line="240" w:lineRule="auto" w:before="9"/>
        <w:rPr>
          <w:rFonts w:ascii="宋体" w:hAnsi="宋体" w:cs="宋体" w:eastAsia="宋体" w:hint="default"/>
          <w:sz w:val="14"/>
          <w:szCs w:val="14"/>
        </w:rPr>
      </w:pPr>
    </w:p>
    <w:p>
      <w:pPr>
        <w:pStyle w:val="BodyText"/>
        <w:spacing w:line="240" w:lineRule="auto" w:before="36"/>
        <w:ind w:left="633" w:right="0"/>
        <w:jc w:val="left"/>
        <w:rPr>
          <w:rFonts w:ascii="宋体" w:hAnsi="宋体" w:cs="宋体" w:eastAsia="宋体" w:hint="default"/>
        </w:rPr>
      </w:pPr>
      <w:r>
        <w:rPr>
          <w:rFonts w:ascii="宋体"/>
          <w:w w:val="100"/>
        </w:rPr>
        <w:t> </w:t>
      </w:r>
    </w:p>
    <w:p>
      <w:pPr>
        <w:spacing w:after="0" w:line="240" w:lineRule="auto"/>
        <w:jc w:val="left"/>
        <w:rPr>
          <w:rFonts w:ascii="宋体" w:hAnsi="宋体" w:cs="宋体" w:eastAsia="宋体" w:hint="default"/>
        </w:rPr>
        <w:sectPr>
          <w:pgSz w:w="11910" w:h="16840"/>
          <w:pgMar w:header="880" w:footer="975" w:top="1100" w:bottom="1160" w:left="920" w:right="0"/>
        </w:sectPr>
      </w:pPr>
    </w:p>
    <w:p>
      <w:pPr>
        <w:spacing w:line="240" w:lineRule="auto" w:before="11"/>
        <w:rPr>
          <w:rFonts w:ascii="宋体" w:hAnsi="宋体" w:cs="宋体" w:eastAsia="宋体" w:hint="default"/>
          <w:sz w:val="20"/>
          <w:szCs w:val="20"/>
        </w:rPr>
      </w:pPr>
    </w:p>
    <w:p>
      <w:pPr>
        <w:pStyle w:val="BodyText"/>
        <w:spacing w:line="240" w:lineRule="auto" w:before="36"/>
        <w:ind w:left="573" w:right="1133"/>
        <w:jc w:val="left"/>
      </w:pPr>
      <w:r>
        <w:rPr>
          <w:rFonts w:ascii="宋体" w:hAnsi="宋体" w:cs="宋体" w:eastAsia="宋体" w:hint="default"/>
        </w:rPr>
        <w:t>2</w:t>
      </w:r>
      <w:r>
        <w:rPr/>
        <w:t>、专业构成情况</w:t>
      </w:r>
    </w:p>
    <w:p>
      <w:pPr>
        <w:spacing w:line="240" w:lineRule="auto" w:before="12"/>
        <w:rPr>
          <w:rFonts w:ascii="宋体" w:hAnsi="宋体" w:cs="宋体" w:eastAsia="宋体" w:hint="default"/>
          <w:sz w:val="6"/>
          <w:szCs w:val="6"/>
        </w:rPr>
      </w:pPr>
    </w:p>
    <w:tbl>
      <w:tblPr>
        <w:tblW w:w="0" w:type="auto"/>
        <w:jc w:val="left"/>
        <w:tblInd w:w="148" w:type="dxa"/>
        <w:tblLayout w:type="fixed"/>
        <w:tblCellMar>
          <w:top w:w="0" w:type="dxa"/>
          <w:left w:w="0" w:type="dxa"/>
          <w:bottom w:w="0" w:type="dxa"/>
          <w:right w:w="0" w:type="dxa"/>
        </w:tblCellMar>
        <w:tblLook w:val="01E0"/>
      </w:tblPr>
      <w:tblGrid>
        <w:gridCol w:w="4784"/>
        <w:gridCol w:w="4717"/>
      </w:tblGrid>
      <w:tr>
        <w:trPr>
          <w:trHeight w:val="322" w:hRule="exact"/>
        </w:trPr>
        <w:tc>
          <w:tcPr>
            <w:tcW w:w="950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63" w:lineRule="exact"/>
              <w:ind w:left="105" w:right="0"/>
              <w:jc w:val="center"/>
              <w:rPr>
                <w:rFonts w:ascii="宋体" w:hAnsi="宋体" w:cs="宋体" w:eastAsia="宋体" w:hint="default"/>
                <w:sz w:val="21"/>
                <w:szCs w:val="21"/>
              </w:rPr>
            </w:pPr>
            <w:r>
              <w:rPr>
                <w:rFonts w:ascii="宋体" w:hAnsi="宋体" w:cs="宋体" w:eastAsia="宋体" w:hint="default"/>
                <w:sz w:val="21"/>
                <w:szCs w:val="21"/>
              </w:rPr>
              <w:t>专业构成</w:t>
            </w:r>
            <w:r>
              <w:rPr>
                <w:rFonts w:ascii="宋体" w:hAnsi="宋体" w:cs="宋体" w:eastAsia="宋体" w:hint="default"/>
                <w:sz w:val="21"/>
                <w:szCs w:val="21"/>
              </w:rPr>
              <w:t> </w:t>
            </w:r>
          </w:p>
        </w:tc>
      </w:tr>
      <w:tr>
        <w:trPr>
          <w:trHeight w:val="317"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62" w:lineRule="exact"/>
              <w:ind w:left="106" w:right="0"/>
              <w:jc w:val="center"/>
              <w:rPr>
                <w:rFonts w:ascii="宋体" w:hAnsi="宋体" w:cs="宋体" w:eastAsia="宋体" w:hint="default"/>
                <w:sz w:val="21"/>
                <w:szCs w:val="21"/>
              </w:rPr>
            </w:pPr>
            <w:r>
              <w:rPr>
                <w:rFonts w:ascii="宋体" w:hAnsi="宋体" w:cs="宋体" w:eastAsia="宋体" w:hint="default"/>
                <w:sz w:val="21"/>
                <w:szCs w:val="21"/>
              </w:rPr>
              <w:t>专业构成类别</w:t>
            </w:r>
            <w:r>
              <w:rPr>
                <w:rFonts w:ascii="宋体" w:hAnsi="宋体" w:cs="宋体" w:eastAsia="宋体" w:hint="default"/>
                <w:sz w:val="21"/>
                <w:szCs w:val="21"/>
              </w:rPr>
              <w:t> </w:t>
            </w:r>
          </w:p>
        </w:tc>
        <w:tc>
          <w:tcPr>
            <w:tcW w:w="47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62" w:lineRule="exact"/>
              <w:ind w:left="1406" w:right="0"/>
              <w:jc w:val="left"/>
              <w:rPr>
                <w:rFonts w:ascii="宋体" w:hAnsi="宋体" w:cs="宋体" w:eastAsia="宋体" w:hint="default"/>
                <w:sz w:val="21"/>
                <w:szCs w:val="21"/>
              </w:rPr>
            </w:pPr>
            <w:r>
              <w:rPr>
                <w:rFonts w:ascii="宋体" w:hAnsi="宋体" w:cs="宋体" w:eastAsia="宋体" w:hint="default"/>
                <w:sz w:val="21"/>
                <w:szCs w:val="21"/>
              </w:rPr>
              <w:t>专业构成人数（人）</w:t>
            </w:r>
            <w:r>
              <w:rPr>
                <w:rFonts w:ascii="宋体" w:hAnsi="宋体" w:cs="宋体" w:eastAsia="宋体" w:hint="default"/>
                <w:sz w:val="21"/>
                <w:szCs w:val="21"/>
              </w:rPr>
              <w:t> </w:t>
            </w:r>
          </w:p>
        </w:tc>
      </w:tr>
      <w:tr>
        <w:trPr>
          <w:trHeight w:val="326"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67" w:lineRule="exact"/>
              <w:ind w:left="24" w:right="0"/>
              <w:jc w:val="left"/>
              <w:rPr>
                <w:rFonts w:ascii="宋体" w:hAnsi="宋体" w:cs="宋体" w:eastAsia="宋体" w:hint="default"/>
                <w:sz w:val="21"/>
                <w:szCs w:val="21"/>
              </w:rPr>
            </w:pPr>
            <w:r>
              <w:rPr>
                <w:rFonts w:ascii="宋体" w:hAnsi="宋体" w:cs="宋体" w:eastAsia="宋体" w:hint="default"/>
                <w:sz w:val="21"/>
                <w:szCs w:val="21"/>
              </w:rPr>
              <w:t>生产人员</w:t>
            </w:r>
            <w:r>
              <w:rPr>
                <w:rFonts w:ascii="宋体" w:hAnsi="宋体" w:cs="宋体" w:eastAsia="宋体" w:hint="default"/>
                <w:sz w:val="21"/>
                <w:szCs w:val="21"/>
              </w:rPr>
              <w:t> </w:t>
            </w:r>
          </w:p>
        </w:tc>
        <w:tc>
          <w:tcPr>
            <w:tcW w:w="4717" w:type="dxa"/>
            <w:tcBorders>
              <w:top w:val="single" w:sz="4" w:space="0" w:color="000000"/>
              <w:left w:val="single" w:sz="4" w:space="0" w:color="000000"/>
              <w:bottom w:val="single" w:sz="4" w:space="0" w:color="000000"/>
              <w:right w:val="single" w:sz="4" w:space="0" w:color="000000"/>
            </w:tcBorders>
          </w:tcPr>
          <w:p>
            <w:pPr>
              <w:pStyle w:val="TableParagraph"/>
              <w:spacing w:line="267" w:lineRule="exact"/>
              <w:ind w:right="23"/>
              <w:jc w:val="right"/>
              <w:rPr>
                <w:rFonts w:ascii="宋体" w:hAnsi="宋体" w:cs="宋体" w:eastAsia="宋体" w:hint="default"/>
                <w:sz w:val="21"/>
                <w:szCs w:val="21"/>
              </w:rPr>
            </w:pPr>
            <w:r>
              <w:rPr>
                <w:rFonts w:ascii="宋体"/>
                <w:w w:val="100"/>
                <w:sz w:val="21"/>
              </w:rPr>
              <w:t> </w:t>
            </w:r>
            <w:r>
              <w:rPr>
                <w:rFonts w:ascii="宋体"/>
                <w:sz w:val="21"/>
              </w:rPr>
              <w:t>4260</w:t>
            </w:r>
          </w:p>
        </w:tc>
      </w:tr>
      <w:tr>
        <w:trPr>
          <w:trHeight w:val="32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62" w:lineRule="exact"/>
              <w:ind w:left="24" w:right="0"/>
              <w:jc w:val="left"/>
              <w:rPr>
                <w:rFonts w:ascii="宋体" w:hAnsi="宋体" w:cs="宋体" w:eastAsia="宋体" w:hint="default"/>
                <w:sz w:val="21"/>
                <w:szCs w:val="21"/>
              </w:rPr>
            </w:pPr>
            <w:r>
              <w:rPr>
                <w:rFonts w:ascii="宋体" w:hAnsi="宋体" w:cs="宋体" w:eastAsia="宋体" w:hint="default"/>
                <w:sz w:val="21"/>
                <w:szCs w:val="21"/>
              </w:rPr>
              <w:t>销售人员</w:t>
            </w:r>
            <w:r>
              <w:rPr>
                <w:rFonts w:ascii="宋体" w:hAnsi="宋体" w:cs="宋体" w:eastAsia="宋体" w:hint="default"/>
                <w:sz w:val="21"/>
                <w:szCs w:val="21"/>
              </w:rPr>
              <w:t> </w:t>
            </w:r>
          </w:p>
        </w:tc>
        <w:tc>
          <w:tcPr>
            <w:tcW w:w="471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6"/>
              <w:jc w:val="right"/>
              <w:rPr>
                <w:rFonts w:ascii="宋体" w:hAnsi="宋体" w:cs="宋体" w:eastAsia="宋体" w:hint="default"/>
                <w:sz w:val="21"/>
                <w:szCs w:val="21"/>
              </w:rPr>
            </w:pPr>
            <w:r>
              <w:rPr>
                <w:rFonts w:ascii="宋体"/>
                <w:sz w:val="21"/>
              </w:rPr>
              <w:t>70 </w:t>
            </w:r>
          </w:p>
        </w:tc>
      </w:tr>
      <w:tr>
        <w:trPr>
          <w:trHeight w:val="323"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62" w:lineRule="exact"/>
              <w:ind w:left="24" w:right="0"/>
              <w:jc w:val="left"/>
              <w:rPr>
                <w:rFonts w:ascii="宋体" w:hAnsi="宋体" w:cs="宋体" w:eastAsia="宋体" w:hint="default"/>
                <w:sz w:val="21"/>
                <w:szCs w:val="21"/>
              </w:rPr>
            </w:pPr>
            <w:r>
              <w:rPr>
                <w:rFonts w:ascii="宋体" w:hAnsi="宋体" w:cs="宋体" w:eastAsia="宋体" w:hint="default"/>
                <w:sz w:val="21"/>
                <w:szCs w:val="21"/>
              </w:rPr>
              <w:t>技术人员</w:t>
            </w:r>
            <w:r>
              <w:rPr>
                <w:rFonts w:ascii="宋体" w:hAnsi="宋体" w:cs="宋体" w:eastAsia="宋体" w:hint="default"/>
                <w:sz w:val="21"/>
                <w:szCs w:val="21"/>
              </w:rPr>
              <w:t> </w:t>
            </w:r>
          </w:p>
        </w:tc>
        <w:tc>
          <w:tcPr>
            <w:tcW w:w="471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6"/>
              <w:jc w:val="right"/>
              <w:rPr>
                <w:rFonts w:ascii="宋体" w:hAnsi="宋体" w:cs="宋体" w:eastAsia="宋体" w:hint="default"/>
                <w:sz w:val="21"/>
                <w:szCs w:val="21"/>
              </w:rPr>
            </w:pPr>
            <w:r>
              <w:rPr>
                <w:rFonts w:ascii="宋体"/>
                <w:spacing w:val="-1"/>
                <w:sz w:val="21"/>
              </w:rPr>
              <w:t>152</w:t>
            </w:r>
            <w:r>
              <w:rPr>
                <w:rFonts w:ascii="宋体"/>
                <w:sz w:val="21"/>
              </w:rPr>
              <w:t> </w:t>
            </w:r>
          </w:p>
        </w:tc>
      </w:tr>
      <w:tr>
        <w:trPr>
          <w:trHeight w:val="323"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64" w:lineRule="exact"/>
              <w:ind w:left="24" w:right="0"/>
              <w:jc w:val="left"/>
              <w:rPr>
                <w:rFonts w:ascii="宋体" w:hAnsi="宋体" w:cs="宋体" w:eastAsia="宋体" w:hint="default"/>
                <w:sz w:val="21"/>
                <w:szCs w:val="21"/>
              </w:rPr>
            </w:pPr>
            <w:r>
              <w:rPr>
                <w:rFonts w:ascii="宋体" w:hAnsi="宋体" w:cs="宋体" w:eastAsia="宋体" w:hint="default"/>
                <w:sz w:val="21"/>
                <w:szCs w:val="21"/>
              </w:rPr>
              <w:t>财务人员</w:t>
            </w:r>
            <w:r>
              <w:rPr>
                <w:rFonts w:ascii="宋体" w:hAnsi="宋体" w:cs="宋体" w:eastAsia="宋体" w:hint="default"/>
                <w:sz w:val="21"/>
                <w:szCs w:val="21"/>
              </w:rPr>
              <w:t> </w:t>
            </w:r>
          </w:p>
        </w:tc>
        <w:tc>
          <w:tcPr>
            <w:tcW w:w="4717" w:type="dxa"/>
            <w:tcBorders>
              <w:top w:val="single" w:sz="4" w:space="0" w:color="000000"/>
              <w:left w:val="single" w:sz="4" w:space="0" w:color="000000"/>
              <w:bottom w:val="single" w:sz="4" w:space="0" w:color="000000"/>
              <w:right w:val="single" w:sz="4" w:space="0" w:color="000000"/>
            </w:tcBorders>
          </w:tcPr>
          <w:p>
            <w:pPr>
              <w:pStyle w:val="TableParagraph"/>
              <w:spacing w:line="264" w:lineRule="exact"/>
              <w:ind w:right="96"/>
              <w:jc w:val="right"/>
              <w:rPr>
                <w:rFonts w:ascii="宋体" w:hAnsi="宋体" w:cs="宋体" w:eastAsia="宋体" w:hint="default"/>
                <w:sz w:val="21"/>
                <w:szCs w:val="21"/>
              </w:rPr>
            </w:pPr>
            <w:r>
              <w:rPr>
                <w:rFonts w:ascii="宋体"/>
                <w:sz w:val="21"/>
              </w:rPr>
              <w:t>88 </w:t>
            </w:r>
          </w:p>
        </w:tc>
      </w:tr>
      <w:tr>
        <w:trPr>
          <w:trHeight w:val="32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62" w:lineRule="exact"/>
              <w:ind w:left="24" w:right="0"/>
              <w:jc w:val="left"/>
              <w:rPr>
                <w:rFonts w:ascii="宋体" w:hAnsi="宋体" w:cs="宋体" w:eastAsia="宋体" w:hint="default"/>
                <w:sz w:val="21"/>
                <w:szCs w:val="21"/>
              </w:rPr>
            </w:pPr>
            <w:r>
              <w:rPr>
                <w:rFonts w:ascii="宋体" w:hAnsi="宋体" w:cs="宋体" w:eastAsia="宋体" w:hint="default"/>
                <w:sz w:val="21"/>
                <w:szCs w:val="21"/>
              </w:rPr>
              <w:t>行政人员</w:t>
            </w:r>
            <w:r>
              <w:rPr>
                <w:rFonts w:ascii="宋体" w:hAnsi="宋体" w:cs="宋体" w:eastAsia="宋体" w:hint="default"/>
                <w:sz w:val="21"/>
                <w:szCs w:val="21"/>
              </w:rPr>
              <w:t> </w:t>
            </w:r>
          </w:p>
        </w:tc>
        <w:tc>
          <w:tcPr>
            <w:tcW w:w="471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6"/>
              <w:jc w:val="right"/>
              <w:rPr>
                <w:rFonts w:ascii="宋体" w:hAnsi="宋体" w:cs="宋体" w:eastAsia="宋体" w:hint="default"/>
                <w:sz w:val="21"/>
                <w:szCs w:val="21"/>
              </w:rPr>
            </w:pPr>
            <w:r>
              <w:rPr>
                <w:rFonts w:ascii="宋体"/>
                <w:sz w:val="21"/>
              </w:rPr>
              <w:t>58 </w:t>
            </w:r>
          </w:p>
        </w:tc>
      </w:tr>
      <w:tr>
        <w:trPr>
          <w:trHeight w:val="322" w:hRule="exact"/>
        </w:trPr>
        <w:tc>
          <w:tcPr>
            <w:tcW w:w="47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24" w:right="0"/>
              <w:jc w:val="left"/>
              <w:rPr>
                <w:rFonts w:ascii="宋体" w:hAnsi="宋体" w:cs="宋体" w:eastAsia="宋体" w:hint="default"/>
                <w:sz w:val="21"/>
                <w:szCs w:val="21"/>
              </w:rPr>
            </w:pPr>
            <w:r>
              <w:rPr>
                <w:rFonts w:ascii="宋体" w:hAnsi="宋体" w:cs="宋体" w:eastAsia="宋体" w:hint="default"/>
                <w:sz w:val="21"/>
                <w:szCs w:val="21"/>
              </w:rPr>
              <w:t>后台支撑人员</w:t>
            </w:r>
            <w:r>
              <w:rPr>
                <w:rFonts w:ascii="宋体" w:hAnsi="宋体" w:cs="宋体" w:eastAsia="宋体" w:hint="default"/>
                <w:sz w:val="21"/>
                <w:szCs w:val="21"/>
              </w:rPr>
              <w:t> </w:t>
            </w:r>
          </w:p>
        </w:tc>
        <w:tc>
          <w:tcPr>
            <w:tcW w:w="471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6"/>
              <w:jc w:val="right"/>
              <w:rPr>
                <w:rFonts w:ascii="宋体" w:hAnsi="宋体" w:cs="宋体" w:eastAsia="宋体" w:hint="default"/>
                <w:sz w:val="21"/>
                <w:szCs w:val="21"/>
              </w:rPr>
            </w:pPr>
            <w:r>
              <w:rPr>
                <w:rFonts w:ascii="宋体"/>
                <w:spacing w:val="-1"/>
                <w:sz w:val="21"/>
              </w:rPr>
              <w:t>736</w:t>
            </w:r>
            <w:r>
              <w:rPr>
                <w:rFonts w:ascii="宋体"/>
                <w:sz w:val="21"/>
              </w:rPr>
              <w:t> </w:t>
            </w:r>
          </w:p>
        </w:tc>
      </w:tr>
      <w:tr>
        <w:trPr>
          <w:trHeight w:val="322" w:hRule="exact"/>
        </w:trPr>
        <w:tc>
          <w:tcPr>
            <w:tcW w:w="478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62" w:lineRule="exact"/>
              <w:ind w:left="24" w:right="0"/>
              <w:jc w:val="left"/>
              <w:rPr>
                <w:rFonts w:ascii="宋体" w:hAnsi="宋体" w:cs="宋体" w:eastAsia="宋体" w:hint="default"/>
                <w:sz w:val="21"/>
                <w:szCs w:val="21"/>
              </w:rPr>
            </w:pPr>
            <w:r>
              <w:rPr>
                <w:rFonts w:ascii="宋体" w:hAnsi="宋体" w:cs="宋体" w:eastAsia="宋体" w:hint="default"/>
                <w:sz w:val="21"/>
                <w:szCs w:val="21"/>
              </w:rPr>
              <w:t>管理人员</w:t>
            </w:r>
            <w:r>
              <w:rPr>
                <w:rFonts w:ascii="宋体" w:hAnsi="宋体" w:cs="宋体" w:eastAsia="宋体" w:hint="default"/>
                <w:sz w:val="21"/>
                <w:szCs w:val="21"/>
              </w:rPr>
              <w:t> </w:t>
            </w:r>
          </w:p>
        </w:tc>
        <w:tc>
          <w:tcPr>
            <w:tcW w:w="471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96"/>
              <w:jc w:val="right"/>
              <w:rPr>
                <w:rFonts w:ascii="宋体" w:hAnsi="宋体" w:cs="宋体" w:eastAsia="宋体" w:hint="default"/>
                <w:sz w:val="21"/>
                <w:szCs w:val="21"/>
              </w:rPr>
            </w:pPr>
            <w:r>
              <w:rPr>
                <w:rFonts w:ascii="宋体"/>
                <w:spacing w:val="-1"/>
                <w:sz w:val="21"/>
              </w:rPr>
              <w:t>447</w:t>
            </w:r>
            <w:r>
              <w:rPr>
                <w:rFonts w:ascii="宋体"/>
                <w:sz w:val="21"/>
              </w:rPr>
              <w:t> </w:t>
            </w:r>
          </w:p>
        </w:tc>
      </w:tr>
      <w:tr>
        <w:trPr>
          <w:trHeight w:val="32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62" w:lineRule="exact"/>
              <w:ind w:left="24" w:right="0"/>
              <w:jc w:val="left"/>
              <w:rPr>
                <w:rFonts w:ascii="宋体" w:hAnsi="宋体" w:cs="宋体" w:eastAsia="宋体" w:hint="default"/>
                <w:sz w:val="21"/>
                <w:szCs w:val="21"/>
              </w:rPr>
            </w:pPr>
            <w:r>
              <w:rPr>
                <w:rFonts w:ascii="宋体" w:hAnsi="宋体" w:cs="宋体" w:eastAsia="宋体" w:hint="default"/>
                <w:sz w:val="21"/>
                <w:szCs w:val="21"/>
              </w:rPr>
              <w:t>合计</w:t>
            </w:r>
            <w:r>
              <w:rPr>
                <w:rFonts w:ascii="宋体" w:hAnsi="宋体" w:cs="宋体" w:eastAsia="宋体" w:hint="default"/>
                <w:sz w:val="21"/>
                <w:szCs w:val="21"/>
              </w:rPr>
              <w:t> </w:t>
            </w:r>
          </w:p>
        </w:tc>
        <w:tc>
          <w:tcPr>
            <w:tcW w:w="4717" w:type="dxa"/>
            <w:tcBorders>
              <w:top w:val="single" w:sz="4" w:space="0" w:color="000000"/>
              <w:left w:val="single" w:sz="4" w:space="0" w:color="000000"/>
              <w:bottom w:val="single" w:sz="4" w:space="0" w:color="000000"/>
              <w:right w:val="single" w:sz="4" w:space="0" w:color="000000"/>
            </w:tcBorders>
          </w:tcPr>
          <w:p>
            <w:pPr>
              <w:pStyle w:val="TableParagraph"/>
              <w:spacing w:line="262" w:lineRule="exact"/>
              <w:ind w:right="127"/>
              <w:jc w:val="right"/>
              <w:rPr>
                <w:rFonts w:ascii="宋体" w:hAnsi="宋体" w:cs="宋体" w:eastAsia="宋体" w:hint="default"/>
                <w:sz w:val="21"/>
                <w:szCs w:val="21"/>
              </w:rPr>
            </w:pPr>
            <w:r>
              <w:rPr>
                <w:rFonts w:ascii="宋体"/>
                <w:spacing w:val="-1"/>
                <w:sz w:val="21"/>
              </w:rPr>
              <w:t>5811</w:t>
            </w:r>
            <w:r>
              <w:rPr>
                <w:rFonts w:ascii="宋体"/>
                <w:sz w:val="21"/>
              </w:rPr>
              <w:t> </w:t>
            </w:r>
          </w:p>
        </w:tc>
      </w:tr>
    </w:tbl>
    <w:p>
      <w:pPr>
        <w:spacing w:line="240" w:lineRule="auto" w:before="6"/>
        <w:rPr>
          <w:rFonts w:ascii="宋体" w:hAnsi="宋体" w:cs="宋体" w:eastAsia="宋体" w:hint="default"/>
          <w:sz w:val="5"/>
          <w:szCs w:val="5"/>
        </w:rPr>
      </w:pPr>
    </w:p>
    <w:p>
      <w:pPr>
        <w:pStyle w:val="BodyText"/>
        <w:spacing w:line="240" w:lineRule="auto" w:before="36"/>
        <w:ind w:left="573" w:right="1133"/>
        <w:jc w:val="left"/>
        <w:rPr>
          <w:rFonts w:ascii="宋体" w:hAnsi="宋体" w:cs="宋体" w:eastAsia="宋体" w:hint="default"/>
        </w:rPr>
      </w:pPr>
      <w:r>
        <w:rPr>
          <w:rFonts w:ascii="宋体" w:hAnsi="宋体" w:cs="宋体" w:eastAsia="宋体" w:hint="default"/>
        </w:rPr>
        <w:t>3</w:t>
      </w:r>
      <w:r>
        <w:rPr/>
        <w:t>、教育程度</w:t>
      </w:r>
      <w:r>
        <w:rPr>
          <w:rFonts w:ascii="宋体" w:hAnsi="宋体" w:cs="宋体" w:eastAsia="宋体" w:hint="default"/>
        </w:rPr>
        <w:t> </w:t>
      </w:r>
    </w:p>
    <w:p>
      <w:pPr>
        <w:spacing w:line="240" w:lineRule="auto" w:before="2"/>
        <w:rPr>
          <w:rFonts w:ascii="宋体" w:hAnsi="宋体" w:cs="宋体" w:eastAsia="宋体" w:hint="default"/>
          <w:sz w:val="11"/>
          <w:szCs w:val="11"/>
        </w:rPr>
      </w:pPr>
    </w:p>
    <w:p>
      <w:pPr>
        <w:spacing w:line="3633" w:lineRule="exact"/>
        <w:ind w:left="146" w:right="0" w:firstLine="0"/>
        <w:rPr>
          <w:rFonts w:ascii="宋体" w:hAnsi="宋体" w:cs="宋体" w:eastAsia="宋体" w:hint="default"/>
          <w:sz w:val="20"/>
          <w:szCs w:val="20"/>
        </w:rPr>
      </w:pPr>
      <w:r>
        <w:rPr>
          <w:rFonts w:ascii="宋体" w:hAnsi="宋体" w:cs="宋体" w:eastAsia="宋体" w:hint="default"/>
          <w:position w:val="-72"/>
          <w:sz w:val="20"/>
          <w:szCs w:val="20"/>
        </w:rPr>
        <w:pict>
          <v:group style="width:353.15pt;height:181.65pt;mso-position-horizontal-relative:char;mso-position-vertical-relative:line" coordorigin="0,0" coordsize="7063,3633">
            <v:group style="position:absolute;left:669;top:3123;width:6167;height:2" coordorigin="669,3123" coordsize="6167,2">
              <v:shape style="position:absolute;left:669;top:3123;width:6167;height:2" coordorigin="669,3123" coordsize="6167,0" path="m669,3123l6836,3123e" filled="false" stroked="true" strokeweight=".75pt" strokecolor="#d3e2f4">
                <v:path arrowok="t"/>
              </v:shape>
            </v:group>
            <v:group style="position:absolute;left:669;top:2654;width:6167;height:2" coordorigin="669,2654" coordsize="6167,2">
              <v:shape style="position:absolute;left:669;top:2654;width:6167;height:2" coordorigin="669,2654" coordsize="6167,0" path="m669,2654l6836,2654e" filled="false" stroked="true" strokeweight=".75pt" strokecolor="#d3e2f4">
                <v:path arrowok="t"/>
              </v:shape>
              <v:shape style="position:absolute;left:911;top:2387;width:736;height:749" type="#_x0000_t75" stroked="false">
                <v:imagedata r:id="rId31" o:title=""/>
              </v:shape>
            </v:group>
            <v:group style="position:absolute;left:669;top:2183;width:6167;height:2" coordorigin="669,2183" coordsize="6167,2">
              <v:shape style="position:absolute;left:669;top:2183;width:6167;height:2" coordorigin="669,2183" coordsize="6167,0" path="m669,2183l6836,2183e" filled="false" stroked="true" strokeweight=".75pt" strokecolor="#d3e2f4">
                <v:path arrowok="t"/>
              </v:shape>
            </v:group>
            <v:group style="position:absolute;left:669;top:1713;width:6167;height:2" coordorigin="669,1713" coordsize="6167,2">
              <v:shape style="position:absolute;left:669;top:1713;width:6167;height:2" coordorigin="669,1713" coordsize="6167,0" path="m669,1713l6836,1713e" filled="false" stroked="true" strokeweight=".75pt" strokecolor="#d3e2f4">
                <v:path arrowok="t"/>
              </v:shape>
              <v:shape style="position:absolute;left:2145;top:933;width:734;height:2203" type="#_x0000_t75" stroked="false">
                <v:imagedata r:id="rId32" o:title=""/>
              </v:shape>
              <v:shape style="position:absolute;left:3376;top:2121;width:736;height:1015" type="#_x0000_t75" stroked="false">
                <v:imagedata r:id="rId33" o:title=""/>
              </v:shape>
              <v:shape style="position:absolute;left:4610;top:2291;width:736;height:845" type="#_x0000_t75" stroked="false">
                <v:imagedata r:id="rId34" o:title=""/>
              </v:shape>
              <v:shape style="position:absolute;left:5843;top:2262;width:736;height:874" type="#_x0000_t75" stroked="false">
                <v:imagedata r:id="rId35" o:title=""/>
              </v:shape>
              <v:shape style="position:absolute;left:978;top:2418;width:617;height:703" type="#_x0000_t75" stroked="false">
                <v:imagedata r:id="rId36" o:title=""/>
              </v:shape>
              <v:shape style="position:absolute;left:2211;top:964;width:617;height:2157" type="#_x0000_t75" stroked="false">
                <v:imagedata r:id="rId37" o:title=""/>
              </v:shape>
              <v:shape style="position:absolute;left:3444;top:2151;width:617;height:970" type="#_x0000_t75" stroked="false">
                <v:imagedata r:id="rId38" o:title=""/>
              </v:shape>
              <v:shape style="position:absolute;left:4677;top:2321;width:617;height:799" type="#_x0000_t75" stroked="false">
                <v:imagedata r:id="rId39" o:title=""/>
              </v:shape>
              <v:shape style="position:absolute;left:5910;top:2293;width:617;height:828" type="#_x0000_t75" stroked="false">
                <v:imagedata r:id="rId40" o:title=""/>
              </v:shape>
            </v:group>
            <v:group style="position:absolute;left:669;top:3121;width:6167;height:2" coordorigin="669,3121" coordsize="6167,2">
              <v:shape style="position:absolute;left:669;top:3121;width:6167;height:2" coordorigin="669,3121" coordsize="6167,0" path="m669,3121l6836,3121e" filled="false" stroked="true" strokeweight=".75pt" strokecolor="#d3e2f4">
                <v:path arrowok="t"/>
              </v:shape>
            </v:group>
            <v:group style="position:absolute;left:669;top:3121;width:2;height:58" coordorigin="669,3121" coordsize="2,58">
              <v:shape style="position:absolute;left:669;top:3121;width:2;height:58" coordorigin="669,3121" coordsize="0,58" path="m669,3121l669,3178e" filled="false" stroked="true" strokeweight=".75pt" strokecolor="#d3e2f4">
                <v:path arrowok="t"/>
              </v:shape>
            </v:group>
            <v:group style="position:absolute;left:1902;top:3121;width:2;height:58" coordorigin="1902,3121" coordsize="2,58">
              <v:shape style="position:absolute;left:1902;top:3121;width:2;height:58" coordorigin="1902,3121" coordsize="0,58" path="m1902,3121l1902,3178e" filled="false" stroked="true" strokeweight=".75pt" strokecolor="#d3e2f4">
                <v:path arrowok="t"/>
              </v:shape>
            </v:group>
            <v:group style="position:absolute;left:3136;top:3121;width:2;height:58" coordorigin="3136,3121" coordsize="2,58">
              <v:shape style="position:absolute;left:3136;top:3121;width:2;height:58" coordorigin="3136,3121" coordsize="0,58" path="m3136,3121l3136,3178e" filled="false" stroked="true" strokeweight=".75pt" strokecolor="#d3e2f4">
                <v:path arrowok="t"/>
              </v:shape>
            </v:group>
            <v:group style="position:absolute;left:4370;top:3121;width:2;height:58" coordorigin="4370,3121" coordsize="2,58">
              <v:shape style="position:absolute;left:4370;top:3121;width:2;height:58" coordorigin="4370,3121" coordsize="0,58" path="m4370,3121l4370,3178e" filled="false" stroked="true" strokeweight=".75pt" strokecolor="#d3e2f4">
                <v:path arrowok="t"/>
              </v:shape>
            </v:group>
            <v:group style="position:absolute;left:5603;top:3121;width:2;height:58" coordorigin="5603,3121" coordsize="2,58">
              <v:shape style="position:absolute;left:5603;top:3121;width:2;height:58" coordorigin="5603,3121" coordsize="0,58" path="m5603,3121l5603,3178e" filled="false" stroked="true" strokeweight=".75pt" strokecolor="#d3e2f4">
                <v:path arrowok="t"/>
              </v:shape>
            </v:group>
            <v:group style="position:absolute;left:6835;top:3121;width:2;height:58" coordorigin="6835,3121" coordsize="2,58">
              <v:shape style="position:absolute;left:6835;top:3121;width:2;height:58" coordorigin="6835,3121" coordsize="0,58" path="m6835,3121l6835,3178e" filled="false" stroked="true" strokeweight=".75pt" strokecolor="#d3e2f4">
                <v:path arrowok="t"/>
              </v:shape>
            </v:group>
            <v:group style="position:absolute;left:669;top:772;width:6167;height:2" coordorigin="669,772" coordsize="6167,2">
              <v:shape style="position:absolute;left:669;top:772;width:6167;height:2" coordorigin="669,772" coordsize="6167,0" path="m669,772l6836,772e" filled="false" stroked="true" strokeweight=".75pt" strokecolor="#d3e2f4">
                <v:path arrowok="t"/>
              </v:shape>
            </v:group>
            <v:group style="position:absolute;left:8;top:8;width:7048;height:3618" coordorigin="8,8" coordsize="7048,3618">
              <v:shape style="position:absolute;left:8;top:8;width:7048;height:3618" coordorigin="8,8" coordsize="7048,3618" path="m8,3626l7056,3626,7056,8,8,8,8,3626xe" filled="false" stroked="true" strokeweight=".75pt" strokecolor="#d3e2f4">
                <v:path arrowok="t"/>
              </v:shape>
              <v:shape style="position:absolute;left:2966;top:200;width:1133;height:281" type="#_x0000_t202" filled="false" stroked="false">
                <v:textbox inset="0,0,0,0">
                  <w:txbxContent>
                    <w:p>
                      <w:pPr>
                        <w:spacing w:line="281" w:lineRule="exact" w:before="0"/>
                        <w:ind w:left="0" w:right="0" w:firstLine="0"/>
                        <w:jc w:val="left"/>
                        <w:rPr>
                          <w:rFonts w:ascii="宋体" w:hAnsi="宋体" w:cs="宋体" w:eastAsia="宋体" w:hint="default"/>
                          <w:sz w:val="28"/>
                          <w:szCs w:val="28"/>
                        </w:rPr>
                      </w:pPr>
                      <w:r>
                        <w:rPr>
                          <w:rFonts w:ascii="宋体" w:hAnsi="宋体" w:cs="宋体" w:eastAsia="宋体" w:hint="default"/>
                          <w:b/>
                          <w:bCs/>
                          <w:sz w:val="28"/>
                          <w:szCs w:val="28"/>
                        </w:rPr>
                        <w:t>教育程度</w:t>
                      </w:r>
                      <w:r>
                        <w:rPr>
                          <w:rFonts w:ascii="宋体" w:hAnsi="宋体" w:cs="宋体" w:eastAsia="宋体" w:hint="default"/>
                          <w:sz w:val="28"/>
                          <w:szCs w:val="28"/>
                        </w:rPr>
                      </w:r>
                    </w:p>
                  </w:txbxContent>
                </v:textbox>
                <w10:wrap type="none"/>
              </v:shape>
              <v:shape style="position:absolute;left:138;top:688;width:365;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color w:val="1F487C"/>
                          <w:spacing w:val="-1"/>
                          <w:sz w:val="18"/>
                        </w:rPr>
                        <w:t>2500</w:t>
                      </w:r>
                      <w:r>
                        <w:rPr>
                          <w:rFonts w:ascii="Calibri"/>
                          <w:sz w:val="18"/>
                        </w:rPr>
                      </w:r>
                    </w:p>
                  </w:txbxContent>
                </v:textbox>
                <w10:wrap type="none"/>
              </v:shape>
              <v:shape style="position:absolute;left:138;top:1158;width:365;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color w:val="1F487C"/>
                          <w:spacing w:val="-1"/>
                          <w:sz w:val="18"/>
                        </w:rPr>
                        <w:t>2000</w:t>
                      </w:r>
                      <w:r>
                        <w:rPr>
                          <w:rFonts w:ascii="Calibri"/>
                          <w:sz w:val="18"/>
                        </w:rPr>
                      </w:r>
                    </w:p>
                  </w:txbxContent>
                </v:textbox>
                <w10:wrap type="none"/>
              </v:shape>
              <v:shape style="position:absolute;left:669;top:1091;width:6167;height:180" type="#_x0000_t202" filled="false" stroked="false">
                <v:textbox inset="0,0,0,0">
                  <w:txbxContent>
                    <w:p>
                      <w:pPr>
                        <w:tabs>
                          <w:tab w:pos="1644" w:val="left" w:leader="none"/>
                          <w:tab w:pos="6166" w:val="left" w:leader="none"/>
                        </w:tabs>
                        <w:spacing w:line="180" w:lineRule="exact" w:before="0"/>
                        <w:ind w:left="0" w:right="0" w:firstLine="0"/>
                        <w:jc w:val="left"/>
                        <w:rPr>
                          <w:rFonts w:ascii="Calibri" w:hAnsi="Calibri" w:cs="Calibri" w:eastAsia="Calibri" w:hint="default"/>
                          <w:sz w:val="18"/>
                          <w:szCs w:val="18"/>
                        </w:rPr>
                      </w:pPr>
                      <w:r>
                        <w:rPr>
                          <w:rFonts w:ascii="Calibri"/>
                          <w:color w:val="FFFFFF"/>
                          <w:sz w:val="18"/>
                        </w:rPr>
                      </w:r>
                      <w:r>
                        <w:rPr>
                          <w:rFonts w:ascii="Calibri"/>
                          <w:color w:val="FFFFFF"/>
                          <w:sz w:val="18"/>
                          <w:u w:val="single" w:color="D3E2F4"/>
                        </w:rPr>
                        <w:t> </w:t>
                        <w:tab/>
                        <w:t>2,295</w:t>
                        <w:tab/>
                      </w:r>
                      <w:r>
                        <w:rPr>
                          <w:rFonts w:ascii="Calibri"/>
                          <w:color w:val="FFFFFF"/>
                          <w:sz w:val="18"/>
                        </w:rPr>
                      </w:r>
                      <w:r>
                        <w:rPr>
                          <w:rFonts w:ascii="Calibri"/>
                          <w:sz w:val="18"/>
                        </w:rPr>
                      </w:r>
                    </w:p>
                  </w:txbxContent>
                </v:textbox>
                <w10:wrap type="none"/>
              </v:shape>
              <v:shape style="position:absolute;left:138;top:1629;width:365;height:650" type="#_x0000_t202" filled="false" stroked="false">
                <v:textbox inset="0,0,0,0">
                  <w:txbxContent>
                    <w:p>
                      <w:pPr>
                        <w:spacing w:line="183" w:lineRule="exact" w:before="0"/>
                        <w:ind w:left="0" w:right="0" w:firstLine="0"/>
                        <w:jc w:val="left"/>
                        <w:rPr>
                          <w:rFonts w:ascii="Calibri" w:hAnsi="Calibri" w:cs="Calibri" w:eastAsia="Calibri" w:hint="default"/>
                          <w:sz w:val="18"/>
                          <w:szCs w:val="18"/>
                        </w:rPr>
                      </w:pPr>
                      <w:r>
                        <w:rPr>
                          <w:rFonts w:ascii="Calibri"/>
                          <w:color w:val="1F487C"/>
                          <w:spacing w:val="-1"/>
                          <w:sz w:val="18"/>
                        </w:rPr>
                        <w:t>1500</w:t>
                      </w:r>
                      <w:r>
                        <w:rPr>
                          <w:rFonts w:ascii="Calibri"/>
                          <w:sz w:val="18"/>
                        </w:rPr>
                      </w:r>
                    </w:p>
                    <w:p>
                      <w:pPr>
                        <w:spacing w:line="240" w:lineRule="auto" w:before="2"/>
                        <w:rPr>
                          <w:rFonts w:ascii="宋体" w:hAnsi="宋体" w:cs="宋体" w:eastAsia="宋体" w:hint="default"/>
                          <w:sz w:val="19"/>
                          <w:szCs w:val="19"/>
                        </w:rPr>
                      </w:pPr>
                    </w:p>
                    <w:p>
                      <w:pPr>
                        <w:spacing w:line="216" w:lineRule="exact" w:before="0"/>
                        <w:ind w:left="0" w:right="0" w:firstLine="0"/>
                        <w:jc w:val="left"/>
                        <w:rPr>
                          <w:rFonts w:ascii="Calibri" w:hAnsi="Calibri" w:cs="Calibri" w:eastAsia="Calibri" w:hint="default"/>
                          <w:sz w:val="18"/>
                          <w:szCs w:val="18"/>
                        </w:rPr>
                      </w:pPr>
                      <w:r>
                        <w:rPr>
                          <w:rFonts w:ascii="Calibri"/>
                          <w:color w:val="1F487C"/>
                          <w:spacing w:val="-1"/>
                          <w:sz w:val="18"/>
                        </w:rPr>
                        <w:t>1000</w:t>
                      </w:r>
                      <w:r>
                        <w:rPr>
                          <w:rFonts w:ascii="Calibri"/>
                          <w:sz w:val="18"/>
                        </w:rPr>
                      </w:r>
                    </w:p>
                  </w:txbxContent>
                </v:textbox>
                <w10:wrap type="none"/>
              </v:shape>
              <v:shape style="position:absolute;left:3548;top:2278;width:410;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color w:val="FFFFFF"/>
                          <w:sz w:val="18"/>
                        </w:rPr>
                        <w:t>1,033</w:t>
                      </w:r>
                      <w:r>
                        <w:rPr>
                          <w:rFonts w:ascii="Calibri"/>
                          <w:sz w:val="18"/>
                        </w:rPr>
                      </w:r>
                    </w:p>
                  </w:txbxContent>
                </v:textbox>
                <w10:wrap type="none"/>
              </v:shape>
              <v:shape style="position:absolute;left:6082;top:2420;width:274;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color w:val="FFFFFF"/>
                          <w:spacing w:val="-1"/>
                          <w:sz w:val="18"/>
                        </w:rPr>
                        <w:t>882</w:t>
                      </w:r>
                      <w:r>
                        <w:rPr>
                          <w:rFonts w:ascii="Calibri"/>
                          <w:sz w:val="18"/>
                        </w:rPr>
                      </w:r>
                    </w:p>
                  </w:txbxContent>
                </v:textbox>
                <w10:wrap type="none"/>
              </v:shape>
              <v:shape style="position:absolute;left:229;top:2569;width:274;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color w:val="1F487C"/>
                          <w:spacing w:val="-1"/>
                          <w:sz w:val="18"/>
                        </w:rPr>
                        <w:t>500</w:t>
                      </w:r>
                      <w:r>
                        <w:rPr>
                          <w:rFonts w:ascii="Calibri"/>
                          <w:sz w:val="18"/>
                        </w:rPr>
                      </w:r>
                    </w:p>
                  </w:txbxContent>
                </v:textbox>
                <w10:wrap type="none"/>
              </v:shape>
              <v:shape style="position:absolute;left:1148;top:2545;width:274;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color w:val="FFFFFF"/>
                          <w:spacing w:val="-1"/>
                          <w:sz w:val="18"/>
                        </w:rPr>
                        <w:t>749</w:t>
                      </w:r>
                      <w:r>
                        <w:rPr>
                          <w:rFonts w:ascii="Calibri"/>
                          <w:sz w:val="18"/>
                        </w:rPr>
                      </w:r>
                    </w:p>
                  </w:txbxContent>
                </v:textbox>
                <w10:wrap type="none"/>
              </v:shape>
              <v:shape style="position:absolute;left:4849;top:2448;width:274;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color w:val="FFFFFF"/>
                          <w:spacing w:val="-1"/>
                          <w:sz w:val="18"/>
                        </w:rPr>
                        <w:t>852</w:t>
                      </w:r>
                      <w:r>
                        <w:rPr>
                          <w:rFonts w:ascii="Calibri"/>
                          <w:sz w:val="18"/>
                        </w:rPr>
                      </w:r>
                    </w:p>
                  </w:txbxContent>
                </v:textbox>
                <w10:wrap type="none"/>
              </v:shape>
              <v:shape style="position:absolute;left:411;top:3040;width:92;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color w:val="1F487C"/>
                          <w:sz w:val="18"/>
                        </w:rPr>
                        <w:t>0</w:t>
                      </w:r>
                      <w:r>
                        <w:rPr>
                          <w:rFonts w:ascii="Calibri"/>
                          <w:sz w:val="18"/>
                        </w:rPr>
                      </w:r>
                    </w:p>
                  </w:txbxContent>
                </v:textbox>
                <w10:wrap type="none"/>
              </v:shape>
              <v:shape style="position:absolute;left:782;top:3267;width:1008;height:200"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本科及以上</w:t>
                      </w:r>
                      <w:r>
                        <w:rPr>
                          <w:rFonts w:ascii="宋体" w:hAnsi="宋体" w:cs="宋体" w:eastAsia="宋体" w:hint="default"/>
                          <w:sz w:val="20"/>
                          <w:szCs w:val="20"/>
                        </w:rPr>
                      </w:r>
                    </w:p>
                  </w:txbxContent>
                </v:textbox>
                <w10:wrap type="none"/>
              </v:shape>
              <v:shape style="position:absolute;left:2319;top:3267;width:404;height:200"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大专</w:t>
                      </w:r>
                      <w:r>
                        <w:rPr>
                          <w:rFonts w:ascii="宋体" w:hAnsi="宋体" w:cs="宋体" w:eastAsia="宋体" w:hint="default"/>
                          <w:sz w:val="20"/>
                          <w:szCs w:val="20"/>
                        </w:rPr>
                      </w:r>
                    </w:p>
                  </w:txbxContent>
                </v:textbox>
                <w10:wrap type="none"/>
              </v:shape>
              <v:shape style="position:absolute;left:3552;top:3267;width:404;height:200"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中专</w:t>
                      </w:r>
                      <w:r>
                        <w:rPr>
                          <w:rFonts w:ascii="宋体" w:hAnsi="宋体" w:cs="宋体" w:eastAsia="宋体" w:hint="default"/>
                          <w:sz w:val="20"/>
                          <w:szCs w:val="20"/>
                        </w:rPr>
                      </w:r>
                    </w:p>
                  </w:txbxContent>
                </v:textbox>
                <w10:wrap type="none"/>
              </v:shape>
              <v:shape style="position:absolute;left:4785;top:3267;width:404;height:200"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高中</w:t>
                      </w:r>
                      <w:r>
                        <w:rPr>
                          <w:rFonts w:ascii="宋体" w:hAnsi="宋体" w:cs="宋体" w:eastAsia="宋体" w:hint="default"/>
                          <w:sz w:val="20"/>
                          <w:szCs w:val="20"/>
                        </w:rPr>
                      </w:r>
                    </w:p>
                  </w:txbxContent>
                </v:textbox>
                <w10:wrap type="none"/>
              </v:shape>
              <v:shape style="position:absolute;left:5817;top:3267;width:807;height:200" type="#_x0000_t202" filled="false" stroked="false">
                <v:textbox inset="0,0,0,0">
                  <w:txbxContent>
                    <w:p>
                      <w:pPr>
                        <w:spacing w:line="199" w:lineRule="exact" w:before="0"/>
                        <w:ind w:left="0" w:right="0" w:firstLine="0"/>
                        <w:jc w:val="left"/>
                        <w:rPr>
                          <w:rFonts w:ascii="宋体" w:hAnsi="宋体" w:cs="宋体" w:eastAsia="宋体" w:hint="default"/>
                          <w:sz w:val="20"/>
                          <w:szCs w:val="20"/>
                        </w:rPr>
                      </w:pPr>
                      <w:r>
                        <w:rPr>
                          <w:rFonts w:ascii="宋体" w:hAnsi="宋体" w:cs="宋体" w:eastAsia="宋体" w:hint="default"/>
                          <w:b/>
                          <w:bCs/>
                          <w:sz w:val="20"/>
                          <w:szCs w:val="20"/>
                        </w:rPr>
                        <w:t>高中以下</w:t>
                      </w:r>
                      <w:r>
                        <w:rPr>
                          <w:rFonts w:ascii="宋体" w:hAnsi="宋体" w:cs="宋体" w:eastAsia="宋体" w:hint="default"/>
                          <w:sz w:val="20"/>
                          <w:szCs w:val="20"/>
                        </w:rPr>
                      </w:r>
                    </w:p>
                  </w:txbxContent>
                </v:textbox>
                <w10:wrap type="none"/>
              </v:shape>
            </v:group>
          </v:group>
        </w:pict>
      </w:r>
      <w:r>
        <w:rPr>
          <w:rFonts w:ascii="宋体" w:hAnsi="宋体" w:cs="宋体" w:eastAsia="宋体" w:hint="default"/>
          <w:position w:val="-72"/>
          <w:sz w:val="20"/>
          <w:szCs w:val="20"/>
        </w:rPr>
      </w:r>
    </w:p>
    <w:p>
      <w:pPr>
        <w:pStyle w:val="Heading3"/>
        <w:spacing w:line="240" w:lineRule="auto" w:before="85"/>
        <w:ind w:right="0"/>
        <w:jc w:val="both"/>
        <w:rPr>
          <w:rFonts w:ascii="宋体" w:hAnsi="宋体" w:cs="宋体" w:eastAsia="宋体" w:hint="default"/>
          <w:b w:val="0"/>
          <w:bCs w:val="0"/>
        </w:rPr>
      </w:pPr>
      <w:r>
        <w:rPr>
          <w:rFonts w:ascii="宋体" w:hAnsi="宋体" w:cs="宋体" w:eastAsia="宋体" w:hint="default"/>
          <w:w w:val="99"/>
        </w:rPr>
        <w:t>    </w:t>
      </w:r>
      <w:r>
        <w:rPr/>
        <w:t>二、薪酬政策</w:t>
      </w:r>
      <w:r>
        <w:rPr>
          <w:rFonts w:ascii="宋体" w:hAnsi="宋体" w:cs="宋体" w:eastAsia="宋体" w:hint="default"/>
          <w:w w:val="99"/>
        </w:rPr>
        <w:t> </w:t>
      </w:r>
      <w:r>
        <w:rPr>
          <w:rFonts w:ascii="宋体" w:hAnsi="宋体" w:cs="宋体" w:eastAsia="宋体" w:hint="default"/>
          <w:b w:val="0"/>
          <w:bCs w:val="0"/>
        </w:rPr>
      </w:r>
    </w:p>
    <w:p>
      <w:pPr>
        <w:pStyle w:val="BodyText"/>
        <w:spacing w:line="273" w:lineRule="auto" w:before="37"/>
        <w:ind w:right="819" w:firstLine="420"/>
        <w:jc w:val="left"/>
        <w:rPr>
          <w:rFonts w:ascii="宋体" w:hAnsi="宋体" w:cs="宋体" w:eastAsia="宋体" w:hint="default"/>
        </w:rPr>
      </w:pPr>
      <w:r>
        <w:rPr>
          <w:spacing w:val="-2"/>
        </w:rPr>
        <w:t>遵守《劳动法》、《劳动合同法》、《社会保险法》等适用法律法规规章规定，维护员工薪酬、社会</w:t>
      </w:r>
      <w:r>
        <w:rPr>
          <w:w w:val="100"/>
        </w:rPr>
        <w:t> </w:t>
      </w:r>
      <w:r>
        <w:rPr>
          <w:spacing w:val="-2"/>
        </w:rPr>
        <w:t>保险统筹、带薪休假等合法权益，建立健全相关薪酬制度，以公司增利为前提，以现有员工薪酬总额为基</w:t>
      </w:r>
      <w:r>
        <w:rPr>
          <w:spacing w:val="-50"/>
        </w:rPr>
        <w:t> </w:t>
      </w:r>
      <w:r>
        <w:rPr>
          <w:spacing w:val="-50"/>
        </w:rPr>
      </w:r>
      <w:r>
        <w:rPr>
          <w:spacing w:val="-2"/>
        </w:rPr>
        <w:t>础，以兼顾公司与员工利益为导向，随着公司收入和盈利的提升，逐步提高员工薪酬总水平，让员工能够</w:t>
      </w:r>
      <w:r>
        <w:rPr>
          <w:spacing w:val="-50"/>
        </w:rPr>
        <w:t> </w:t>
      </w:r>
      <w:r>
        <w:rPr>
          <w:spacing w:val="-50"/>
        </w:rPr>
      </w:r>
      <w:r>
        <w:rPr/>
        <w:t>分享公司发展成长的经营成果。为提高员工工作积极性，发挥薪酬绩效的激励作用，结合公司实际情况，</w:t>
      </w:r>
      <w:r>
        <w:rPr>
          <w:spacing w:val="-24"/>
        </w:rPr>
        <w:t> </w:t>
      </w:r>
      <w:r>
        <w:rPr>
          <w:spacing w:val="-24"/>
        </w:rPr>
      </w:r>
      <w:r>
        <w:rPr/>
        <w:t>公司积极探索员工收入分配机制，建立了“对外具有竞争性，对内具有公平性”的员工薪酬体系。</w:t>
      </w:r>
      <w:r>
        <w:rPr>
          <w:rFonts w:ascii="宋体" w:hAnsi="宋体" w:cs="宋体" w:eastAsia="宋体" w:hint="default"/>
        </w:rPr>
        <w:t> </w:t>
      </w:r>
    </w:p>
    <w:p>
      <w:pPr>
        <w:pStyle w:val="Heading3"/>
        <w:spacing w:line="240" w:lineRule="auto" w:before="127"/>
        <w:ind w:right="0"/>
        <w:jc w:val="both"/>
        <w:rPr>
          <w:rFonts w:ascii="宋体" w:hAnsi="宋体" w:cs="宋体" w:eastAsia="宋体" w:hint="default"/>
          <w:b w:val="0"/>
          <w:bCs w:val="0"/>
        </w:rPr>
      </w:pPr>
      <w:r>
        <w:rPr>
          <w:rFonts w:ascii="宋体" w:hAnsi="宋体" w:cs="宋体" w:eastAsia="宋体" w:hint="default"/>
          <w:w w:val="99"/>
        </w:rPr>
        <w:t>    </w:t>
      </w:r>
      <w:r>
        <w:rPr/>
        <w:t>三、培训计划</w:t>
      </w:r>
      <w:r>
        <w:rPr>
          <w:rFonts w:ascii="宋体" w:hAnsi="宋体" w:cs="宋体" w:eastAsia="宋体" w:hint="default"/>
          <w:w w:val="99"/>
        </w:rPr>
        <w:t> </w:t>
      </w:r>
      <w:r>
        <w:rPr>
          <w:rFonts w:ascii="宋体" w:hAnsi="宋体" w:cs="宋体" w:eastAsia="宋体" w:hint="default"/>
          <w:b w:val="0"/>
          <w:bCs w:val="0"/>
        </w:rPr>
      </w:r>
    </w:p>
    <w:p>
      <w:pPr>
        <w:pStyle w:val="BodyText"/>
        <w:spacing w:line="273" w:lineRule="auto" w:before="37"/>
        <w:ind w:right="1126"/>
        <w:jc w:val="both"/>
        <w:rPr>
          <w:rFonts w:ascii="宋体" w:hAnsi="宋体" w:cs="宋体" w:eastAsia="宋体" w:hint="default"/>
        </w:rPr>
      </w:pPr>
      <w:r>
        <w:rPr>
          <w:rFonts w:ascii="宋体" w:hAnsi="宋体" w:cs="宋体" w:eastAsia="宋体" w:hint="default"/>
          <w:w w:val="100"/>
        </w:rPr>
        <w:t>    </w:t>
      </w:r>
      <w:r>
        <w:rPr>
          <w:spacing w:val="-2"/>
        </w:rPr>
        <w:t>公司以服务发展、人才优先、以用为本、创新机制为理念，围绕公司发展战略、经营目标、依法合规</w:t>
      </w:r>
      <w:r>
        <w:rPr>
          <w:w w:val="100"/>
        </w:rPr>
        <w:t> </w:t>
      </w:r>
      <w:r>
        <w:rPr>
          <w:spacing w:val="-7"/>
        </w:rPr>
        <w:t>运作、塑造职业观念、提高执行与操作能力、团结互助等科目，组织员工培训。培训内容涵盖业务、技术、</w:t>
      </w:r>
      <w:r>
        <w:rPr>
          <w:spacing w:val="-23"/>
        </w:rPr>
        <w:t> </w:t>
      </w:r>
      <w:r>
        <w:rPr>
          <w:spacing w:val="-23"/>
        </w:rPr>
      </w:r>
      <w:r>
        <w:rPr>
          <w:spacing w:val="-2"/>
        </w:rPr>
        <w:t>工程、职能、运营五大系统的专业知识、通用素质、管理能力等，通过以刚需为中心的学习机制建设，激</w:t>
      </w:r>
      <w:r>
        <w:rPr>
          <w:spacing w:val="-42"/>
        </w:rPr>
        <w:t> </w:t>
      </w:r>
      <w:r>
        <w:rPr>
          <w:spacing w:val="-42"/>
        </w:rPr>
      </w:r>
      <w:r>
        <w:rPr>
          <w:spacing w:val="-2"/>
        </w:rPr>
        <w:t>发了员工强烈的学习动力，形成愿学、能学的组织氛围，增进战略共识，提升组织运营效率，为企业绩效</w:t>
      </w:r>
      <w:r>
        <w:rPr>
          <w:spacing w:val="-43"/>
        </w:rPr>
        <w:t> </w:t>
      </w:r>
      <w:r>
        <w:rPr>
          <w:spacing w:val="-43"/>
        </w:rPr>
      </w:r>
      <w:r>
        <w:rPr/>
        <w:t>目标实现奠定坚实的基础。 </w:t>
      </w:r>
      <w:r>
        <w:rPr>
          <w:spacing w:val="-2"/>
        </w:rPr>
        <w:t> </w:t>
      </w:r>
      <w:r>
        <w:rPr>
          <w:rFonts w:ascii="宋体" w:hAnsi="宋体" w:cs="宋体" w:eastAsia="宋体" w:hint="default"/>
          <w:w w:val="100"/>
        </w:rPr>
        <w:t> </w:t>
      </w:r>
    </w:p>
    <w:p>
      <w:pPr>
        <w:pStyle w:val="Heading3"/>
        <w:spacing w:line="240" w:lineRule="auto" w:before="128"/>
        <w:ind w:left="575" w:right="1133"/>
        <w:jc w:val="left"/>
        <w:rPr>
          <w:b w:val="0"/>
          <w:bCs w:val="0"/>
        </w:rPr>
      </w:pPr>
      <w:r>
        <w:rPr/>
        <w:t>四、劳务外包情况</w:t>
      </w:r>
      <w:r>
        <w:rPr>
          <w:b w:val="0"/>
          <w:bCs w:val="0"/>
        </w:rPr>
      </w:r>
    </w:p>
    <w:p>
      <w:pPr>
        <w:pStyle w:val="BodyText"/>
        <w:spacing w:line="240" w:lineRule="auto" w:before="75"/>
        <w:ind w:right="0"/>
        <w:jc w:val="both"/>
        <w:rPr>
          <w:rFonts w:ascii="宋体" w:hAnsi="宋体" w:cs="宋体" w:eastAsia="宋体" w:hint="default"/>
        </w:rPr>
      </w:pPr>
      <w:r>
        <w:rPr>
          <w:rFonts w:ascii="宋体" w:hAnsi="宋体" w:cs="宋体" w:eastAsia="宋体" w:hint="default"/>
          <w:w w:val="100"/>
        </w:rPr>
        <w:t>    </w:t>
      </w:r>
      <w:r>
        <w:rPr>
          <w:spacing w:val="-3"/>
        </w:rPr>
        <w:t>√ </w:t>
      </w:r>
      <w:r>
        <w:rPr/>
        <w:t>适用 </w:t>
      </w:r>
      <w:r>
        <w:rPr>
          <w:rFonts w:ascii="宋体" w:hAnsi="宋体" w:cs="宋体" w:eastAsia="宋体" w:hint="default"/>
        </w:rPr>
      </w:r>
      <w:r>
        <w:rPr>
          <w:spacing w:val="-3"/>
        </w:rPr>
        <w:t>□</w:t>
      </w:r>
      <w:r>
        <w:rPr>
          <w:spacing w:val="3"/>
        </w:rPr>
        <w:t> </w:t>
      </w:r>
      <w:r>
        <w:rPr/>
        <w:t>不适用</w:t>
      </w:r>
      <w:r>
        <w:rPr>
          <w:rFonts w:ascii="宋体" w:hAnsi="宋体" w:cs="宋体" w:eastAsia="宋体" w:hint="default"/>
        </w:rPr>
        <w:t> </w:t>
      </w:r>
    </w:p>
    <w:p>
      <w:pPr>
        <w:spacing w:line="240" w:lineRule="auto" w:before="12"/>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2819"/>
        <w:gridCol w:w="6700"/>
      </w:tblGrid>
      <w:tr>
        <w:trPr>
          <w:trHeight w:val="588" w:hRule="exact"/>
        </w:trPr>
        <w:tc>
          <w:tcPr>
            <w:tcW w:w="28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9"/>
              <w:ind w:left="22" w:right="0"/>
              <w:jc w:val="left"/>
              <w:rPr>
                <w:rFonts w:ascii="宋体" w:hAnsi="宋体" w:cs="宋体" w:eastAsia="宋体" w:hint="default"/>
                <w:sz w:val="18"/>
                <w:szCs w:val="18"/>
              </w:rPr>
            </w:pPr>
            <w:r>
              <w:rPr>
                <w:rFonts w:ascii="宋体" w:hAnsi="宋体" w:cs="宋体" w:eastAsia="宋体" w:hint="default"/>
                <w:sz w:val="18"/>
                <w:szCs w:val="18"/>
              </w:rPr>
              <w:t>劳务外包的工时总数（小时）</w:t>
            </w:r>
          </w:p>
        </w:tc>
        <w:tc>
          <w:tcPr>
            <w:tcW w:w="6700" w:type="dxa"/>
            <w:tcBorders>
              <w:top w:val="single" w:sz="4" w:space="0" w:color="000000"/>
              <w:left w:val="single" w:sz="4" w:space="0" w:color="000000"/>
              <w:bottom w:val="single" w:sz="4" w:space="0" w:color="000000"/>
              <w:right w:val="single" w:sz="4" w:space="0" w:color="000000"/>
            </w:tcBorders>
          </w:tcPr>
          <w:p>
            <w:pPr>
              <w:pStyle w:val="TableParagraph"/>
              <w:spacing w:line="244" w:lineRule="auto" w:before="29"/>
              <w:ind w:left="23" w:right="4"/>
              <w:jc w:val="left"/>
              <w:rPr>
                <w:rFonts w:ascii="宋体" w:hAnsi="宋体" w:cs="宋体" w:eastAsia="宋体" w:hint="default"/>
                <w:sz w:val="18"/>
                <w:szCs w:val="18"/>
              </w:rPr>
            </w:pPr>
            <w:r>
              <w:rPr>
                <w:rFonts w:ascii="宋体" w:hAnsi="宋体" w:cs="宋体" w:eastAsia="宋体" w:hint="default"/>
                <w:sz w:val="18"/>
                <w:szCs w:val="18"/>
              </w:rPr>
              <w:t>因长实通信按约定的外包项目收入比例支付报酬，涉及不同省区，不掌握工时情况， 因此不能估算劳务外包的工时总数。</w:t>
            </w:r>
          </w:p>
        </w:tc>
      </w:tr>
      <w:tr>
        <w:trPr>
          <w:trHeight w:val="506" w:hRule="exact"/>
        </w:trPr>
        <w:tc>
          <w:tcPr>
            <w:tcW w:w="28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9"/>
              <w:ind w:left="22" w:right="0"/>
              <w:jc w:val="left"/>
              <w:rPr>
                <w:rFonts w:ascii="宋体" w:hAnsi="宋体" w:cs="宋体" w:eastAsia="宋体" w:hint="default"/>
                <w:sz w:val="18"/>
                <w:szCs w:val="18"/>
              </w:rPr>
            </w:pPr>
            <w:r>
              <w:rPr>
                <w:rFonts w:ascii="宋体" w:hAnsi="宋体" w:cs="宋体" w:eastAsia="宋体" w:hint="default"/>
                <w:sz w:val="18"/>
                <w:szCs w:val="18"/>
              </w:rPr>
              <w:t>劳务外包支付的报酬总额（亿元）</w:t>
            </w:r>
          </w:p>
        </w:tc>
        <w:tc>
          <w:tcPr>
            <w:tcW w:w="6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9"/>
              <w:ind w:left="23" w:right="0"/>
              <w:jc w:val="left"/>
              <w:rPr>
                <w:rFonts w:ascii="宋体" w:hAnsi="宋体" w:cs="宋体" w:eastAsia="宋体" w:hint="default"/>
                <w:sz w:val="18"/>
                <w:szCs w:val="18"/>
              </w:rPr>
            </w:pPr>
            <w:r>
              <w:rPr>
                <w:rFonts w:ascii="宋体"/>
                <w:sz w:val="18"/>
              </w:rPr>
              <w:t>9.0 </w:t>
            </w:r>
          </w:p>
        </w:tc>
      </w:tr>
    </w:tbl>
    <w:p>
      <w:pPr>
        <w:spacing w:after="0" w:line="240" w:lineRule="auto"/>
        <w:jc w:val="left"/>
        <w:rPr>
          <w:rFonts w:ascii="宋体" w:hAnsi="宋体" w:cs="宋体" w:eastAsia="宋体" w:hint="default"/>
          <w:sz w:val="18"/>
          <w:szCs w:val="18"/>
        </w:rPr>
        <w:sectPr>
          <w:pgSz w:w="11910" w:h="16840"/>
          <w:pgMar w:header="880" w:footer="975" w:top="1100" w:bottom="1160" w:left="980" w:right="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Heading1"/>
        <w:spacing w:line="240" w:lineRule="auto"/>
        <w:ind w:right="976"/>
        <w:jc w:val="center"/>
        <w:rPr>
          <w:b w:val="0"/>
          <w:bCs w:val="0"/>
        </w:rPr>
      </w:pPr>
      <w:bookmarkStart w:name="_bookmark9" w:id="10"/>
      <w:bookmarkEnd w:id="10"/>
      <w:r>
        <w:rPr>
          <w:b w:val="0"/>
          <w:bCs w:val="0"/>
        </w:rPr>
      </w:r>
      <w:r>
        <w:rPr/>
        <w:t>第十章</w:t>
      </w:r>
      <w:r>
        <w:rPr>
          <w:spacing w:val="-2"/>
        </w:rPr>
        <w:t> </w:t>
      </w:r>
      <w:r>
        <w:rPr/>
        <w:t>公司治理</w:t>
      </w:r>
      <w:r>
        <w:rPr>
          <w:b w:val="0"/>
          <w:bCs w:val="0"/>
        </w:rPr>
      </w:r>
    </w:p>
    <w:p>
      <w:pPr>
        <w:spacing w:line="240" w:lineRule="auto" w:before="0"/>
        <w:rPr>
          <w:rFonts w:ascii="宋体" w:hAnsi="宋体" w:cs="宋体" w:eastAsia="宋体" w:hint="default"/>
          <w:b/>
          <w:bCs/>
          <w:sz w:val="32"/>
          <w:szCs w:val="32"/>
        </w:rPr>
      </w:pPr>
    </w:p>
    <w:p>
      <w:pPr>
        <w:spacing w:line="240" w:lineRule="auto" w:before="1"/>
        <w:rPr>
          <w:rFonts w:ascii="宋体" w:hAnsi="宋体" w:cs="宋体" w:eastAsia="宋体" w:hint="default"/>
          <w:b/>
          <w:bCs/>
          <w:sz w:val="41"/>
          <w:szCs w:val="41"/>
        </w:rPr>
      </w:pPr>
    </w:p>
    <w:p>
      <w:pPr>
        <w:spacing w:line="272" w:lineRule="exact" w:before="0"/>
        <w:ind w:left="573" w:right="1133" w:firstLine="2"/>
        <w:jc w:val="left"/>
        <w:rPr>
          <w:rFonts w:ascii="宋体" w:hAnsi="宋体" w:cs="宋体" w:eastAsia="宋体" w:hint="default"/>
          <w:sz w:val="21"/>
          <w:szCs w:val="21"/>
        </w:rPr>
      </w:pPr>
      <w:r>
        <w:rPr>
          <w:rFonts w:ascii="宋体" w:hAnsi="宋体" w:cs="宋体" w:eastAsia="宋体" w:hint="default"/>
          <w:b/>
          <w:bCs/>
          <w:sz w:val="21"/>
          <w:szCs w:val="21"/>
        </w:rPr>
        <w:t>一、公司治理的基本状况</w:t>
      </w:r>
      <w:r>
        <w:rPr>
          <w:rFonts w:ascii="宋体" w:hAnsi="宋体" w:cs="宋体" w:eastAsia="宋体" w:hint="default"/>
          <w:b/>
          <w:bCs/>
          <w:w w:val="100"/>
          <w:sz w:val="21"/>
          <w:szCs w:val="21"/>
        </w:rPr>
        <w:t> </w:t>
      </w:r>
      <w:r>
        <w:rPr>
          <w:rFonts w:ascii="宋体" w:hAnsi="宋体" w:cs="宋体" w:eastAsia="宋体" w:hint="default"/>
          <w:spacing w:val="-2"/>
          <w:sz w:val="21"/>
          <w:szCs w:val="21"/>
        </w:rPr>
        <w:t>依据有关法律、行政法规、部门规章和规范性文件的要求，公司建立起治理结构并持续完善且规范运</w:t>
      </w:r>
    </w:p>
    <w:p>
      <w:pPr>
        <w:pStyle w:val="BodyText"/>
        <w:spacing w:line="272" w:lineRule="exact" w:before="1"/>
        <w:ind w:right="819"/>
        <w:jc w:val="left"/>
      </w:pPr>
      <w:r>
        <w:rPr/>
        <w:t>作。公司的</w:t>
      </w:r>
      <w:r>
        <w:rPr>
          <w:rFonts w:ascii="Times New Roman" w:hAnsi="Times New Roman" w:cs="Times New Roman" w:eastAsia="Times New Roman" w:hint="default"/>
        </w:rPr>
        <w:t>“</w:t>
      </w:r>
      <w:r>
        <w:rPr/>
        <w:t>三会一层</w:t>
      </w:r>
      <w:r>
        <w:rPr>
          <w:rFonts w:ascii="Times New Roman" w:hAnsi="Times New Roman" w:cs="Times New Roman" w:eastAsia="Times New Roman" w:hint="default"/>
        </w:rPr>
        <w:t>”</w:t>
      </w:r>
      <w:r>
        <w:rPr/>
        <w:t>各司其职，协调运转，有效制衡；公司董事、监事、高级管理人员及各位员工的行</w:t>
      </w:r>
      <w:r>
        <w:rPr>
          <w:w w:val="100"/>
        </w:rPr>
        <w:t> </w:t>
      </w:r>
      <w:r>
        <w:rPr>
          <w:spacing w:val="-2"/>
        </w:rPr>
        <w:t>为和各控股公司、分公司、职能部门的业务规程，受到以公司章程为根本的制度体系的约束。本公司治理</w:t>
      </w:r>
    </w:p>
    <w:p>
      <w:pPr>
        <w:pStyle w:val="BodyText"/>
        <w:spacing w:line="272" w:lineRule="exact" w:before="1"/>
        <w:ind w:right="819"/>
        <w:jc w:val="left"/>
      </w:pPr>
      <w:r>
        <w:rPr/>
        <w:t>的有效性在于：比照控股股东、实际控制人规范第一大股东及其最终控制人及其控制的其他企业的行为，</w:t>
      </w:r>
      <w:r>
        <w:rPr>
          <w:spacing w:val="-24"/>
        </w:rPr>
        <w:t> </w:t>
      </w:r>
      <w:r>
        <w:rPr>
          <w:spacing w:val="-24"/>
        </w:rPr>
      </w:r>
      <w:r>
        <w:rPr/>
        <w:t>确保所有股东，特别是中小股东享有平等地位，充分行使权利；明确</w:t>
      </w:r>
      <w:r>
        <w:rPr>
          <w:rFonts w:ascii="Times New Roman" w:hAnsi="Times New Roman" w:cs="Times New Roman" w:eastAsia="Times New Roman" w:hint="default"/>
        </w:rPr>
        <w:t>“</w:t>
      </w:r>
      <w:r>
        <w:rPr/>
        <w:t>三会一层</w:t>
      </w:r>
      <w:r>
        <w:rPr>
          <w:rFonts w:ascii="Times New Roman" w:hAnsi="Times New Roman" w:cs="Times New Roman" w:eastAsia="Times New Roman" w:hint="default"/>
        </w:rPr>
        <w:t>”</w:t>
      </w:r>
      <w:r>
        <w:rPr/>
        <w:t>的职责并得到切实执行；</w:t>
      </w:r>
    </w:p>
    <w:p>
      <w:pPr>
        <w:pStyle w:val="BodyText"/>
        <w:spacing w:line="272" w:lineRule="exact" w:before="1"/>
        <w:ind w:right="1133"/>
        <w:jc w:val="left"/>
      </w:pPr>
      <w:r>
        <w:rPr>
          <w:spacing w:val="-2"/>
        </w:rPr>
        <w:t>合理保证公司经营管理合法合规、资产安全、财务报告及相关信息真实完整，提高经营效率和效果，促进</w:t>
      </w:r>
      <w:r>
        <w:rPr>
          <w:spacing w:val="-44"/>
        </w:rPr>
        <w:t> </w:t>
      </w:r>
      <w:r>
        <w:rPr>
          <w:spacing w:val="-44"/>
        </w:rPr>
      </w:r>
      <w:r>
        <w:rPr>
          <w:spacing w:val="-2"/>
        </w:rPr>
        <w:t>公司实现发展战略，促进财务管理、重大投资、关联交易、子公司管控和其他内部治理工作的深入，促进</w:t>
      </w:r>
    </w:p>
    <w:p>
      <w:pPr>
        <w:pStyle w:val="BodyText"/>
        <w:spacing w:line="272" w:lineRule="exact" w:before="1"/>
        <w:ind w:right="819"/>
        <w:jc w:val="left"/>
      </w:pPr>
      <w:r>
        <w:rPr>
          <w:spacing w:val="-2"/>
        </w:rPr>
        <w:t>健全内部约束机制和责任追究机制，促进完善信息披露与增加透明度，促进持续尊重债权人、职工、消费</w:t>
      </w:r>
      <w:r>
        <w:rPr>
          <w:spacing w:val="-47"/>
        </w:rPr>
        <w:t> </w:t>
      </w:r>
      <w:r>
        <w:rPr>
          <w:spacing w:val="-47"/>
        </w:rPr>
      </w:r>
      <w:r>
        <w:rPr/>
        <w:t>者、供应商、社区等利益相关者的合法权利，促进持续关注环境保护、节能降耗、公益事业等社会责任。</w:t>
      </w:r>
    </w:p>
    <w:p>
      <w:pPr>
        <w:spacing w:line="240" w:lineRule="auto" w:before="5"/>
        <w:rPr>
          <w:rFonts w:ascii="宋体" w:hAnsi="宋体" w:cs="宋体" w:eastAsia="宋体" w:hint="default"/>
          <w:sz w:val="16"/>
          <w:szCs w:val="16"/>
        </w:rPr>
      </w:pPr>
    </w:p>
    <w:p>
      <w:pPr>
        <w:pStyle w:val="BodyText"/>
        <w:spacing w:line="240" w:lineRule="auto"/>
        <w:ind w:right="0"/>
        <w:jc w:val="both"/>
        <w:rPr>
          <w:rFonts w:ascii="宋体" w:hAnsi="宋体" w:cs="宋体" w:eastAsia="宋体" w:hint="default"/>
        </w:rPr>
      </w:pPr>
      <w:r>
        <w:rPr>
          <w:rFonts w:ascii="宋体" w:hAnsi="宋体" w:cs="宋体" w:eastAsia="宋体" w:hint="default"/>
          <w:w w:val="100"/>
        </w:rPr>
        <w:t>    </w:t>
      </w:r>
      <w:r>
        <w:rPr/>
        <w:t>公司治理的实际状况与中国证监会发布的有关上市公司治理的规范性文件是否存在重大差异</w:t>
      </w:r>
      <w:r>
        <w:rPr>
          <w:rFonts w:ascii="宋体" w:hAnsi="宋体" w:cs="宋体" w:eastAsia="宋体" w:hint="default"/>
        </w:rPr>
        <w:t> </w:t>
      </w:r>
    </w:p>
    <w:p>
      <w:pPr>
        <w:pStyle w:val="BodyText"/>
        <w:spacing w:line="240" w:lineRule="auto" w:before="37"/>
        <w:ind w:right="0"/>
        <w:jc w:val="both"/>
        <w:rPr>
          <w:rFonts w:ascii="宋体" w:hAnsi="宋体" w:cs="宋体" w:eastAsia="宋体" w:hint="default"/>
        </w:rPr>
      </w:pPr>
      <w:r>
        <w:rPr>
          <w:rFonts w:ascii="宋体" w:hAnsi="宋体" w:cs="宋体" w:eastAsia="宋体" w:hint="default"/>
          <w:w w:val="100"/>
        </w:rPr>
        <w:t>    </w:t>
      </w:r>
      <w:r>
        <w:rPr>
          <w:spacing w:val="-3"/>
        </w:rPr>
        <w:t>□ </w:t>
      </w:r>
      <w:r>
        <w:rPr/>
        <w:t>是 </w:t>
      </w:r>
      <w:r>
        <w:rPr>
          <w:rFonts w:ascii="宋体" w:hAnsi="宋体" w:cs="宋体" w:eastAsia="宋体" w:hint="default"/>
        </w:rPr>
      </w:r>
      <w:r>
        <w:rPr/>
        <w:t>√</w:t>
      </w:r>
      <w:r>
        <w:rPr>
          <w:spacing w:val="2"/>
        </w:rPr>
        <w:t> </w:t>
      </w:r>
      <w:r>
        <w:rPr>
          <w:spacing w:val="-3"/>
        </w:rPr>
        <w:t>否</w:t>
      </w:r>
      <w:r>
        <w:rPr>
          <w:rFonts w:ascii="宋体" w:hAnsi="宋体" w:cs="宋体" w:eastAsia="宋体" w:hint="default"/>
        </w:rPr>
        <w:t> </w:t>
      </w:r>
    </w:p>
    <w:p>
      <w:pPr>
        <w:pStyle w:val="BodyText"/>
        <w:spacing w:line="240" w:lineRule="auto" w:before="37"/>
        <w:ind w:right="0"/>
        <w:jc w:val="both"/>
        <w:rPr>
          <w:rFonts w:ascii="宋体" w:hAnsi="宋体" w:cs="宋体" w:eastAsia="宋体" w:hint="default"/>
        </w:rPr>
      </w:pPr>
      <w:r>
        <w:rPr>
          <w:rFonts w:ascii="宋体" w:hAnsi="宋体" w:cs="宋体" w:eastAsia="宋体" w:hint="default"/>
          <w:w w:val="100"/>
        </w:rPr>
        <w:t>    </w:t>
      </w:r>
      <w:r>
        <w:rPr/>
        <w:t>公司治理的实际状况与中国证监会发布的有关上市公司治理的规范性文件不存在重大差异。</w:t>
      </w:r>
      <w:r>
        <w:rPr>
          <w:rFonts w:ascii="宋体" w:hAnsi="宋体" w:cs="宋体" w:eastAsia="宋体" w:hint="default"/>
        </w:rPr>
        <w:t> </w:t>
      </w:r>
    </w:p>
    <w:p>
      <w:pPr>
        <w:spacing w:line="240" w:lineRule="auto" w:before="3"/>
        <w:rPr>
          <w:rFonts w:ascii="宋体" w:hAnsi="宋体" w:cs="宋体" w:eastAsia="宋体" w:hint="default"/>
          <w:sz w:val="18"/>
          <w:szCs w:val="18"/>
        </w:rPr>
      </w:pPr>
    </w:p>
    <w:p>
      <w:pPr>
        <w:pStyle w:val="Heading3"/>
        <w:spacing w:line="273" w:lineRule="exact" w:before="0"/>
        <w:ind w:left="618" w:right="1133"/>
        <w:jc w:val="left"/>
        <w:rPr>
          <w:b w:val="0"/>
          <w:bCs w:val="0"/>
        </w:rPr>
      </w:pPr>
      <w:r>
        <w:rPr/>
        <w:t>二、公司相对于控股股东在业务、人员、资产、机构、财务等方面的独立情况</w:t>
      </w:r>
      <w:r>
        <w:rPr>
          <w:b w:val="0"/>
          <w:bCs w:val="0"/>
        </w:rPr>
      </w:r>
    </w:p>
    <w:p>
      <w:pPr>
        <w:pStyle w:val="BodyText"/>
        <w:spacing w:line="272" w:lineRule="exact" w:before="26"/>
        <w:ind w:right="1133"/>
        <w:jc w:val="left"/>
      </w:pPr>
      <w:r>
        <w:rPr>
          <w:rFonts w:ascii="宋体" w:hAnsi="宋体" w:cs="宋体" w:eastAsia="宋体" w:hint="default"/>
          <w:w w:val="100"/>
        </w:rPr>
        <w:t>    </w:t>
      </w:r>
      <w:r>
        <w:rPr>
          <w:spacing w:val="-2"/>
        </w:rPr>
        <w:t>公司与第一大股东鹰溪谷在业务、人员、资产、机构、财务等方面完全分开，具有独立完整的业务及</w:t>
      </w:r>
      <w:r>
        <w:rPr>
          <w:w w:val="100"/>
        </w:rPr>
        <w:t> </w:t>
      </w:r>
      <w:r>
        <w:rPr/>
        <w:t>自主经营能力，具体情况如下：</w:t>
      </w:r>
    </w:p>
    <w:p>
      <w:pPr>
        <w:pStyle w:val="BodyText"/>
        <w:spacing w:line="272" w:lineRule="exact" w:before="1"/>
        <w:ind w:right="1133"/>
        <w:jc w:val="left"/>
      </w:pPr>
      <w:r>
        <w:rPr>
          <w:rFonts w:ascii="宋体" w:hAnsi="宋体" w:cs="宋体" w:eastAsia="宋体" w:hint="default"/>
          <w:w w:val="100"/>
        </w:rPr>
        <w:t>    </w:t>
      </w:r>
      <w:r>
        <w:rPr>
          <w:spacing w:val="-2"/>
        </w:rPr>
        <w:t>（一）业务独立情况：公司与第一大股东分属不同行业，公司根据中国证监会核准的经营范围依法独</w:t>
      </w:r>
      <w:r>
        <w:rPr>
          <w:w w:val="100"/>
        </w:rPr>
        <w:t> </w:t>
      </w:r>
      <w:r>
        <w:rPr>
          <w:spacing w:val="-2"/>
        </w:rPr>
        <w:t>立自主地开展业务，具有独立完整的业务体系和自主经营能力，业务经营不受股东单位的控制与影响，能</w:t>
      </w:r>
    </w:p>
    <w:p>
      <w:pPr>
        <w:pStyle w:val="BodyText"/>
        <w:spacing w:line="247" w:lineRule="exact"/>
        <w:ind w:right="0"/>
        <w:jc w:val="both"/>
      </w:pPr>
      <w:r>
        <w:rPr/>
        <w:t>独立面向市场参与竞争，能独立承担风险及责任。</w:t>
      </w:r>
    </w:p>
    <w:p>
      <w:pPr>
        <w:pStyle w:val="BodyText"/>
        <w:spacing w:line="237" w:lineRule="auto"/>
        <w:ind w:right="1126"/>
        <w:jc w:val="both"/>
      </w:pPr>
      <w:r>
        <w:rPr>
          <w:rFonts w:ascii="宋体" w:hAnsi="宋体" w:cs="宋体" w:eastAsia="宋体" w:hint="default"/>
          <w:w w:val="100"/>
        </w:rPr>
        <w:t>    </w:t>
      </w:r>
      <w:r>
        <w:rPr>
          <w:spacing w:val="-3"/>
        </w:rPr>
        <w:t>（二）人员独立情况：公司按照《公司法》和《公司章程》的规定选聘公司董事、监事及高级管理人</w:t>
      </w:r>
      <w:r>
        <w:rPr>
          <w:w w:val="100"/>
        </w:rPr>
        <w:t> </w:t>
      </w:r>
      <w:r>
        <w:rPr>
          <w:spacing w:val="-2"/>
        </w:rPr>
        <w:t>员，不存在股东超越股东大会、董事会的权限任免公司董事、监事和高级管理人员的情形，也不存在公司</w:t>
      </w:r>
      <w:r>
        <w:rPr>
          <w:spacing w:val="-50"/>
        </w:rPr>
        <w:t> </w:t>
      </w:r>
      <w:r>
        <w:rPr>
          <w:spacing w:val="-50"/>
        </w:rPr>
      </w:r>
      <w:r>
        <w:rPr>
          <w:spacing w:val="-2"/>
        </w:rPr>
        <w:t>高级管理人员在股东单位任职和领取薪酬的情形。公司建立了独立的人事劳资制度，拥有完整的劳动、人</w:t>
      </w:r>
      <w:r>
        <w:rPr>
          <w:spacing w:val="-42"/>
        </w:rPr>
        <w:t> </w:t>
      </w:r>
      <w:r>
        <w:rPr>
          <w:spacing w:val="-42"/>
        </w:rPr>
      </w:r>
      <w:r>
        <w:rPr/>
        <w:t>事及工资管理体系，不存在受股东干涉的情形。</w:t>
      </w:r>
    </w:p>
    <w:p>
      <w:pPr>
        <w:pStyle w:val="BodyText"/>
        <w:spacing w:line="274" w:lineRule="exact" w:before="22"/>
        <w:ind w:right="819"/>
        <w:jc w:val="left"/>
      </w:pPr>
      <w:r>
        <w:rPr>
          <w:rFonts w:ascii="宋体" w:hAnsi="宋体" w:cs="宋体" w:eastAsia="宋体" w:hint="default"/>
          <w:w w:val="100"/>
        </w:rPr>
        <w:t>    </w:t>
      </w:r>
      <w:r>
        <w:rPr>
          <w:spacing w:val="-2"/>
        </w:rPr>
        <w:t>（三）资产独立情况：公司具有开展证券业务所必备的独立完整的资产，公司对资产拥有独立的所有</w:t>
      </w:r>
      <w:r>
        <w:rPr>
          <w:w w:val="100"/>
        </w:rPr>
        <w:t> </w:t>
      </w:r>
      <w:r>
        <w:rPr/>
        <w:t>权和使用权，依法独立经营管理公司资产，不存在资产、资金被第一大股东占用而损害公司利益的情形。</w:t>
      </w:r>
    </w:p>
    <w:p>
      <w:pPr>
        <w:pStyle w:val="BodyText"/>
        <w:spacing w:line="245" w:lineRule="exact"/>
        <w:ind w:right="0"/>
        <w:jc w:val="both"/>
      </w:pPr>
      <w:r>
        <w:rPr>
          <w:rFonts w:ascii="宋体" w:hAnsi="宋体" w:cs="宋体" w:eastAsia="宋体" w:hint="default"/>
          <w:w w:val="100"/>
        </w:rPr>
        <w:t>    </w:t>
      </w:r>
      <w:r>
        <w:rPr/>
        <w:t>（四）机构独立情况：公司股东大会、董事会、监事会、经理层及内部经营管理部门独立运作。</w:t>
      </w:r>
    </w:p>
    <w:p>
      <w:pPr>
        <w:pStyle w:val="BodyText"/>
        <w:spacing w:line="272" w:lineRule="exact" w:before="27"/>
        <w:ind w:right="1133"/>
        <w:jc w:val="left"/>
      </w:pPr>
      <w:r>
        <w:rPr>
          <w:rFonts w:ascii="宋体" w:hAnsi="宋体" w:cs="宋体" w:eastAsia="宋体" w:hint="default"/>
          <w:w w:val="100"/>
        </w:rPr>
        <w:t>    </w:t>
      </w:r>
      <w:r>
        <w:rPr>
          <w:spacing w:val="-2"/>
        </w:rPr>
        <w:t>（五）财务独立情况：公司具备独立财务部门、独立的财务核算体系，具有规范、独立的财务会计制</w:t>
      </w:r>
      <w:r>
        <w:rPr>
          <w:w w:val="100"/>
        </w:rPr>
        <w:t> </w:t>
      </w:r>
      <w:r>
        <w:rPr/>
        <w:t>度和财务管理制度，独立的银行帐户，并独立依法纳税。</w:t>
      </w:r>
    </w:p>
    <w:p>
      <w:pPr>
        <w:spacing w:line="240" w:lineRule="auto" w:before="5"/>
        <w:rPr>
          <w:rFonts w:ascii="宋体" w:hAnsi="宋体" w:cs="宋体" w:eastAsia="宋体" w:hint="default"/>
          <w:sz w:val="16"/>
          <w:szCs w:val="16"/>
        </w:rPr>
      </w:pPr>
    </w:p>
    <w:p>
      <w:pPr>
        <w:pStyle w:val="Heading3"/>
        <w:spacing w:line="240" w:lineRule="auto" w:before="0"/>
        <w:ind w:left="618" w:right="1133"/>
        <w:jc w:val="left"/>
        <w:rPr>
          <w:b w:val="0"/>
          <w:bCs w:val="0"/>
        </w:rPr>
      </w:pPr>
      <w:r>
        <w:rPr/>
        <w:t>三、同业竞争情况</w:t>
      </w:r>
      <w:r>
        <w:rPr>
          <w:b w:val="0"/>
          <w:bCs w:val="0"/>
        </w:rPr>
      </w:r>
    </w:p>
    <w:p>
      <w:pPr>
        <w:pStyle w:val="BodyText"/>
        <w:spacing w:line="240" w:lineRule="auto" w:before="37"/>
        <w:ind w:right="0"/>
        <w:jc w:val="both"/>
        <w:rPr>
          <w:rFonts w:ascii="宋体" w:hAnsi="宋体" w:cs="宋体" w:eastAsia="宋体" w:hint="default"/>
        </w:rPr>
      </w:pPr>
      <w:r>
        <w:rPr>
          <w:rFonts w:ascii="宋体" w:hAnsi="宋体" w:cs="宋体" w:eastAsia="宋体" w:hint="default"/>
          <w:w w:val="100"/>
        </w:rPr>
        <w:t>    </w:t>
      </w:r>
      <w:r>
        <w:rPr>
          <w:spacing w:val="-3"/>
        </w:rPr>
        <w:t>□ </w:t>
      </w:r>
      <w:r>
        <w:rPr/>
        <w:t>适用 </w:t>
      </w:r>
      <w:r>
        <w:rPr>
          <w:rFonts w:ascii="宋体" w:hAnsi="宋体" w:cs="宋体" w:eastAsia="宋体" w:hint="default"/>
        </w:rPr>
      </w:r>
      <w:r>
        <w:rPr>
          <w:spacing w:val="-3"/>
        </w:rPr>
        <w:t>√</w:t>
      </w:r>
      <w:r>
        <w:rPr>
          <w:spacing w:val="3"/>
        </w:rPr>
        <w:t> </w:t>
      </w:r>
      <w:r>
        <w:rPr/>
        <w:t>不适用</w:t>
      </w:r>
      <w:r>
        <w:rPr>
          <w:rFonts w:ascii="宋体" w:hAnsi="宋体" w:cs="宋体" w:eastAsia="宋体" w:hint="default"/>
        </w:rPr>
        <w:t> </w:t>
      </w:r>
    </w:p>
    <w:p>
      <w:pPr>
        <w:spacing w:line="240" w:lineRule="auto" w:before="3"/>
        <w:rPr>
          <w:rFonts w:ascii="宋体" w:hAnsi="宋体" w:cs="宋体" w:eastAsia="宋体" w:hint="default"/>
          <w:sz w:val="18"/>
          <w:szCs w:val="18"/>
        </w:rPr>
      </w:pPr>
    </w:p>
    <w:p>
      <w:pPr>
        <w:pStyle w:val="Heading3"/>
        <w:spacing w:line="240" w:lineRule="auto" w:before="0"/>
        <w:ind w:left="604" w:right="1133"/>
        <w:jc w:val="left"/>
        <w:rPr>
          <w:b w:val="0"/>
          <w:bCs w:val="0"/>
        </w:rPr>
      </w:pPr>
      <w:r>
        <w:rPr/>
        <w:t>四、报告期内召开的年度股东大会和临时股东大会的有关情况</w:t>
      </w:r>
      <w:r>
        <w:rPr>
          <w:b w:val="0"/>
          <w:bCs w:val="0"/>
        </w:rPr>
      </w:r>
    </w:p>
    <w:p>
      <w:pPr>
        <w:spacing w:before="116"/>
        <w:ind w:left="152" w:right="0" w:firstLine="0"/>
        <w:jc w:val="both"/>
        <w:rPr>
          <w:rFonts w:ascii="宋体" w:hAnsi="宋体" w:cs="宋体" w:eastAsia="宋体" w:hint="default"/>
          <w:sz w:val="21"/>
          <w:szCs w:val="21"/>
        </w:rPr>
      </w:pPr>
      <w:r>
        <w:rPr>
          <w:rFonts w:ascii="宋体" w:hAnsi="宋体" w:cs="宋体" w:eastAsia="宋体" w:hint="default"/>
          <w:b/>
          <w:bCs/>
          <w:w w:val="99"/>
          <w:sz w:val="21"/>
          <w:szCs w:val="21"/>
        </w:rPr>
        <w:t>    </w:t>
      </w:r>
      <w:r>
        <w:rPr>
          <w:rFonts w:ascii="宋体" w:hAnsi="宋体" w:cs="宋体" w:eastAsia="宋体" w:hint="default"/>
          <w:b/>
          <w:bCs/>
          <w:sz w:val="21"/>
          <w:szCs w:val="21"/>
        </w:rPr>
        <w:t>1</w:t>
      </w:r>
      <w:r>
        <w:rPr>
          <w:rFonts w:ascii="宋体" w:hAnsi="宋体" w:cs="宋体" w:eastAsia="宋体" w:hint="default"/>
          <w:b/>
          <w:bCs/>
          <w:sz w:val="21"/>
          <w:szCs w:val="21"/>
        </w:rPr>
        <w:t>、本报告期股东大会情况</w:t>
      </w:r>
      <w:r>
        <w:rPr>
          <w:rFonts w:ascii="宋体" w:hAnsi="宋体" w:cs="宋体" w:eastAsia="宋体" w:hint="default"/>
          <w:b/>
          <w:bCs/>
          <w:w w:val="99"/>
          <w:sz w:val="21"/>
          <w:szCs w:val="21"/>
        </w:rPr>
        <w:t> </w:t>
      </w:r>
      <w:r>
        <w:rPr>
          <w:rFonts w:ascii="宋体" w:hAnsi="宋体" w:cs="宋体" w:eastAsia="宋体" w:hint="default"/>
          <w:sz w:val="21"/>
          <w:szCs w:val="21"/>
        </w:rPr>
      </w:r>
    </w:p>
    <w:p>
      <w:pPr>
        <w:pStyle w:val="BodyText"/>
        <w:spacing w:line="240" w:lineRule="auto" w:before="37"/>
        <w:ind w:left="573" w:right="1133"/>
        <w:jc w:val="left"/>
        <w:rPr>
          <w:rFonts w:ascii="宋体" w:hAnsi="宋体" w:cs="宋体" w:eastAsia="宋体" w:hint="default"/>
        </w:rPr>
      </w:pPr>
      <w:r>
        <w:rPr/>
        <w:t>报告期内，公司召开了</w:t>
      </w:r>
      <w:r>
        <w:rPr>
          <w:spacing w:val="-53"/>
        </w:rPr>
        <w:t> </w:t>
      </w:r>
      <w:r>
        <w:rPr>
          <w:rFonts w:ascii="宋体" w:hAnsi="宋体" w:cs="宋体" w:eastAsia="宋体" w:hint="default"/>
        </w:rPr>
        <w:t>1</w:t>
      </w:r>
      <w:r>
        <w:rPr>
          <w:rFonts w:ascii="宋体" w:hAnsi="宋体" w:cs="宋体" w:eastAsia="宋体" w:hint="default"/>
          <w:spacing w:val="-55"/>
        </w:rPr>
        <w:t> </w:t>
      </w:r>
      <w:r>
        <w:rPr/>
        <w:t>次年度股东大会，</w:t>
      </w:r>
      <w:r>
        <w:rPr>
          <w:rFonts w:ascii="宋体" w:hAnsi="宋体" w:cs="宋体" w:eastAsia="宋体" w:hint="default"/>
        </w:rPr>
        <w:t>4</w:t>
      </w:r>
      <w:r>
        <w:rPr>
          <w:rFonts w:ascii="宋体" w:hAnsi="宋体" w:cs="宋体" w:eastAsia="宋体" w:hint="default"/>
          <w:spacing w:val="-55"/>
        </w:rPr>
        <w:t> </w:t>
      </w:r>
      <w:r>
        <w:rPr/>
        <w:t>次临时股东大会，有关情况见下表：</w:t>
      </w:r>
      <w:r>
        <w:rPr>
          <w:rFonts w:ascii="宋体" w:hAnsi="宋体" w:cs="宋体" w:eastAsia="宋体" w:hint="default"/>
        </w:rPr>
        <w:t> </w:t>
      </w:r>
    </w:p>
    <w:p>
      <w:pPr>
        <w:spacing w:line="240" w:lineRule="auto" w:before="3"/>
        <w:rPr>
          <w:rFonts w:ascii="宋体" w:hAnsi="宋体" w:cs="宋体" w:eastAsia="宋体" w:hint="default"/>
          <w:sz w:val="4"/>
          <w:szCs w:val="4"/>
        </w:rPr>
      </w:pPr>
    </w:p>
    <w:tbl>
      <w:tblPr>
        <w:tblW w:w="0" w:type="auto"/>
        <w:jc w:val="left"/>
        <w:tblInd w:w="148" w:type="dxa"/>
        <w:tblLayout w:type="fixed"/>
        <w:tblCellMar>
          <w:top w:w="0" w:type="dxa"/>
          <w:left w:w="0" w:type="dxa"/>
          <w:bottom w:w="0" w:type="dxa"/>
          <w:right w:w="0" w:type="dxa"/>
        </w:tblCellMar>
        <w:tblLook w:val="01E0"/>
      </w:tblPr>
      <w:tblGrid>
        <w:gridCol w:w="3404"/>
        <w:gridCol w:w="1985"/>
        <w:gridCol w:w="2124"/>
        <w:gridCol w:w="2127"/>
      </w:tblGrid>
      <w:tr>
        <w:trPr>
          <w:trHeight w:val="323" w:hRule="exact"/>
        </w:trPr>
        <w:tc>
          <w:tcPr>
            <w:tcW w:w="340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
              <w:ind w:left="89" w:right="0"/>
              <w:jc w:val="center"/>
              <w:rPr>
                <w:rFonts w:ascii="宋体" w:hAnsi="宋体" w:cs="宋体" w:eastAsia="宋体" w:hint="default"/>
                <w:sz w:val="18"/>
                <w:szCs w:val="18"/>
              </w:rPr>
            </w:pPr>
            <w:r>
              <w:rPr>
                <w:rFonts w:ascii="宋体" w:hAnsi="宋体" w:cs="宋体" w:eastAsia="宋体" w:hint="default"/>
                <w:sz w:val="18"/>
                <w:szCs w:val="18"/>
              </w:rPr>
              <w:t>会议届次</w:t>
            </w:r>
            <w:r>
              <w:rPr>
                <w:rFonts w:ascii="宋体" w:hAnsi="宋体" w:cs="宋体" w:eastAsia="宋体" w:hint="default"/>
                <w:sz w:val="18"/>
                <w:szCs w:val="18"/>
              </w:rPr>
              <w:t> </w:t>
            </w:r>
          </w:p>
        </w:tc>
        <w:tc>
          <w:tcPr>
            <w:tcW w:w="1985"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
              <w:ind w:left="87" w:right="0"/>
              <w:jc w:val="center"/>
              <w:rPr>
                <w:rFonts w:ascii="宋体" w:hAnsi="宋体" w:cs="宋体" w:eastAsia="宋体" w:hint="default"/>
                <w:sz w:val="18"/>
                <w:szCs w:val="18"/>
              </w:rPr>
            </w:pPr>
            <w:r>
              <w:rPr>
                <w:rFonts w:ascii="宋体" w:hAnsi="宋体" w:cs="宋体" w:eastAsia="宋体" w:hint="default"/>
                <w:sz w:val="18"/>
                <w:szCs w:val="18"/>
              </w:rPr>
              <w:t>会议类型</w:t>
            </w:r>
            <w:r>
              <w:rPr>
                <w:rFonts w:ascii="宋体" w:hAnsi="宋体" w:cs="宋体" w:eastAsia="宋体" w:hint="default"/>
                <w:sz w:val="18"/>
                <w:szCs w:val="18"/>
              </w:rPr>
              <w:t> </w:t>
            </w:r>
          </w:p>
        </w:tc>
        <w:tc>
          <w:tcPr>
            <w:tcW w:w="2124"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
              <w:ind w:left="90" w:right="0"/>
              <w:jc w:val="center"/>
              <w:rPr>
                <w:rFonts w:ascii="宋体" w:hAnsi="宋体" w:cs="宋体" w:eastAsia="宋体" w:hint="default"/>
                <w:sz w:val="18"/>
                <w:szCs w:val="18"/>
              </w:rPr>
            </w:pPr>
            <w:r>
              <w:rPr>
                <w:rFonts w:ascii="宋体" w:hAnsi="宋体" w:cs="宋体" w:eastAsia="宋体" w:hint="default"/>
                <w:sz w:val="18"/>
                <w:szCs w:val="18"/>
              </w:rPr>
              <w:t>投资者参与比例</w:t>
            </w:r>
            <w:r>
              <w:rPr>
                <w:rFonts w:ascii="宋体" w:hAnsi="宋体" w:cs="宋体" w:eastAsia="宋体" w:hint="default"/>
                <w:sz w:val="18"/>
                <w:szCs w:val="18"/>
              </w:rPr>
              <w:t> </w:t>
            </w:r>
          </w:p>
        </w:tc>
        <w:tc>
          <w:tcPr>
            <w:tcW w:w="212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4"/>
              <w:ind w:left="94" w:right="0"/>
              <w:jc w:val="center"/>
              <w:rPr>
                <w:rFonts w:ascii="宋体" w:hAnsi="宋体" w:cs="宋体" w:eastAsia="宋体" w:hint="default"/>
                <w:sz w:val="18"/>
                <w:szCs w:val="18"/>
              </w:rPr>
            </w:pPr>
            <w:r>
              <w:rPr>
                <w:rFonts w:ascii="宋体" w:hAnsi="宋体" w:cs="宋体" w:eastAsia="宋体" w:hint="default"/>
                <w:sz w:val="18"/>
                <w:szCs w:val="18"/>
              </w:rPr>
              <w:t>召开日期</w:t>
            </w:r>
            <w:r>
              <w:rPr>
                <w:rFonts w:ascii="宋体" w:hAnsi="宋体" w:cs="宋体" w:eastAsia="宋体" w:hint="default"/>
                <w:sz w:val="18"/>
                <w:szCs w:val="18"/>
              </w:rPr>
              <w:t> </w:t>
            </w:r>
          </w:p>
        </w:tc>
      </w:tr>
      <w:tr>
        <w:trPr>
          <w:trHeight w:val="324" w:hRule="exact"/>
        </w:trPr>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46"/>
                <w:sz w:val="18"/>
                <w:szCs w:val="18"/>
              </w:rPr>
              <w:t> </w:t>
            </w:r>
            <w:r>
              <w:rPr>
                <w:rFonts w:ascii="宋体" w:hAnsi="宋体" w:cs="宋体" w:eastAsia="宋体" w:hint="default"/>
                <w:sz w:val="18"/>
                <w:szCs w:val="18"/>
              </w:rPr>
              <w:t>2019</w:t>
            </w:r>
            <w:r>
              <w:rPr>
                <w:rFonts w:ascii="宋体" w:hAnsi="宋体" w:cs="宋体" w:eastAsia="宋体" w:hint="default"/>
                <w:spacing w:val="-45"/>
                <w:sz w:val="18"/>
                <w:szCs w:val="18"/>
              </w:rPr>
              <w:t> </w:t>
            </w:r>
            <w:r>
              <w:rPr>
                <w:rFonts w:ascii="宋体" w:hAnsi="宋体" w:cs="宋体" w:eastAsia="宋体" w:hint="default"/>
                <w:sz w:val="18"/>
                <w:szCs w:val="18"/>
              </w:rPr>
              <w:t>年第一次临时股东大会</w:t>
            </w:r>
            <w:r>
              <w:rPr>
                <w:rFonts w:ascii="宋体" w:hAnsi="宋体" w:cs="宋体" w:eastAsia="宋体" w:hint="default"/>
                <w:sz w:val="18"/>
                <w:szCs w:val="18"/>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87" w:right="0"/>
              <w:jc w:val="center"/>
              <w:rPr>
                <w:rFonts w:ascii="宋体" w:hAnsi="宋体" w:cs="宋体" w:eastAsia="宋体" w:hint="default"/>
                <w:sz w:val="18"/>
                <w:szCs w:val="18"/>
              </w:rPr>
            </w:pPr>
            <w:r>
              <w:rPr>
                <w:rFonts w:ascii="宋体" w:hAnsi="宋体" w:cs="宋体" w:eastAsia="宋体" w:hint="default"/>
                <w:sz w:val="18"/>
                <w:szCs w:val="18"/>
              </w:rPr>
              <w:t>临时</w:t>
            </w:r>
            <w:r>
              <w:rPr>
                <w:rFonts w:ascii="宋体" w:hAnsi="宋体" w:cs="宋体" w:eastAsia="宋体" w:hint="default"/>
                <w:sz w:val="18"/>
                <w:szCs w:val="18"/>
              </w:rPr>
              <w:t> </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90" w:right="0"/>
              <w:jc w:val="center"/>
              <w:rPr>
                <w:rFonts w:ascii="宋体" w:hAnsi="宋体" w:cs="宋体" w:eastAsia="宋体" w:hint="default"/>
                <w:sz w:val="18"/>
                <w:szCs w:val="18"/>
              </w:rPr>
            </w:pPr>
            <w:r>
              <w:rPr>
                <w:rFonts w:ascii="宋体"/>
                <w:sz w:val="18"/>
              </w:rPr>
              <w:t>73.04% </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92"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14</w:t>
            </w:r>
            <w:r>
              <w:rPr>
                <w:rFonts w:ascii="宋体" w:hAnsi="宋体" w:cs="宋体" w:eastAsia="宋体" w:hint="default"/>
                <w:spacing w:val="-45"/>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r>
      <w:tr>
        <w:trPr>
          <w:trHeight w:val="324" w:hRule="exact"/>
        </w:trPr>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46"/>
                <w:sz w:val="18"/>
                <w:szCs w:val="18"/>
              </w:rPr>
              <w:t> </w:t>
            </w:r>
            <w:r>
              <w:rPr>
                <w:rFonts w:ascii="宋体" w:hAnsi="宋体" w:cs="宋体" w:eastAsia="宋体" w:hint="default"/>
                <w:sz w:val="18"/>
                <w:szCs w:val="18"/>
              </w:rPr>
              <w:t>2019</w:t>
            </w:r>
            <w:r>
              <w:rPr>
                <w:rFonts w:ascii="宋体" w:hAnsi="宋体" w:cs="宋体" w:eastAsia="宋体" w:hint="default"/>
                <w:spacing w:val="-45"/>
                <w:sz w:val="18"/>
                <w:szCs w:val="18"/>
              </w:rPr>
              <w:t> </w:t>
            </w:r>
            <w:r>
              <w:rPr>
                <w:rFonts w:ascii="宋体" w:hAnsi="宋体" w:cs="宋体" w:eastAsia="宋体" w:hint="default"/>
                <w:sz w:val="18"/>
                <w:szCs w:val="18"/>
              </w:rPr>
              <w:t>年第二次临时股东大会</w:t>
            </w:r>
            <w:r>
              <w:rPr>
                <w:rFonts w:ascii="宋体" w:hAnsi="宋体" w:cs="宋体" w:eastAsia="宋体" w:hint="default"/>
                <w:sz w:val="18"/>
                <w:szCs w:val="18"/>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临时</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90" w:right="0"/>
              <w:jc w:val="center"/>
              <w:rPr>
                <w:rFonts w:ascii="宋体" w:hAnsi="宋体" w:cs="宋体" w:eastAsia="宋体" w:hint="default"/>
                <w:sz w:val="18"/>
                <w:szCs w:val="18"/>
              </w:rPr>
            </w:pPr>
            <w:r>
              <w:rPr>
                <w:rFonts w:ascii="宋体"/>
                <w:sz w:val="18"/>
              </w:rPr>
              <w:t>58.33% </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92"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18</w:t>
            </w:r>
            <w:r>
              <w:rPr>
                <w:rFonts w:ascii="宋体" w:hAnsi="宋体" w:cs="宋体" w:eastAsia="宋体" w:hint="default"/>
                <w:spacing w:val="-45"/>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r>
      <w:tr>
        <w:trPr>
          <w:trHeight w:val="322" w:hRule="exact"/>
        </w:trPr>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46"/>
                <w:sz w:val="18"/>
                <w:szCs w:val="18"/>
              </w:rPr>
              <w:t> </w:t>
            </w:r>
            <w:r>
              <w:rPr>
                <w:rFonts w:ascii="宋体" w:hAnsi="宋体" w:cs="宋体" w:eastAsia="宋体" w:hint="default"/>
                <w:sz w:val="18"/>
                <w:szCs w:val="18"/>
              </w:rPr>
              <w:t>2019</w:t>
            </w:r>
            <w:r>
              <w:rPr>
                <w:rFonts w:ascii="宋体" w:hAnsi="宋体" w:cs="宋体" w:eastAsia="宋体" w:hint="default"/>
                <w:spacing w:val="-46"/>
                <w:sz w:val="18"/>
                <w:szCs w:val="18"/>
              </w:rPr>
              <w:t> </w:t>
            </w:r>
            <w:r>
              <w:rPr>
                <w:rFonts w:ascii="宋体" w:hAnsi="宋体" w:cs="宋体" w:eastAsia="宋体" w:hint="default"/>
                <w:sz w:val="18"/>
                <w:szCs w:val="18"/>
              </w:rPr>
              <w:t>年第三次临时股东大会</w:t>
            </w:r>
            <w:r>
              <w:rPr>
                <w:rFonts w:ascii="宋体" w:hAnsi="宋体" w:cs="宋体" w:eastAsia="宋体" w:hint="default"/>
                <w:sz w:val="18"/>
                <w:szCs w:val="18"/>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临时</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90" w:right="0"/>
              <w:jc w:val="center"/>
              <w:rPr>
                <w:rFonts w:ascii="宋体" w:hAnsi="宋体" w:cs="宋体" w:eastAsia="宋体" w:hint="default"/>
                <w:sz w:val="18"/>
                <w:szCs w:val="18"/>
              </w:rPr>
            </w:pPr>
            <w:r>
              <w:rPr>
                <w:rFonts w:ascii="宋体"/>
                <w:sz w:val="18"/>
              </w:rPr>
              <w:t>71.16% </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92"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15</w:t>
            </w:r>
            <w:r>
              <w:rPr>
                <w:rFonts w:ascii="宋体" w:hAnsi="宋体" w:cs="宋体" w:eastAsia="宋体" w:hint="default"/>
                <w:spacing w:val="-45"/>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r>
      <w:tr>
        <w:trPr>
          <w:trHeight w:val="324" w:hRule="exact"/>
        </w:trPr>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46"/>
                <w:sz w:val="18"/>
                <w:szCs w:val="18"/>
              </w:rPr>
              <w:t> </w:t>
            </w:r>
            <w:r>
              <w:rPr>
                <w:rFonts w:ascii="宋体" w:hAnsi="宋体" w:cs="宋体" w:eastAsia="宋体" w:hint="default"/>
                <w:sz w:val="18"/>
                <w:szCs w:val="18"/>
              </w:rPr>
              <w:t>2018</w:t>
            </w:r>
            <w:r>
              <w:rPr>
                <w:rFonts w:ascii="宋体" w:hAnsi="宋体" w:cs="宋体" w:eastAsia="宋体" w:hint="default"/>
                <w:spacing w:val="-45"/>
                <w:sz w:val="18"/>
                <w:szCs w:val="18"/>
              </w:rPr>
              <w:t> </w:t>
            </w:r>
            <w:r>
              <w:rPr>
                <w:rFonts w:ascii="宋体" w:hAnsi="宋体" w:cs="宋体" w:eastAsia="宋体" w:hint="default"/>
                <w:sz w:val="18"/>
                <w:szCs w:val="18"/>
              </w:rPr>
              <w:t>年度股东大会</w:t>
            </w:r>
            <w:r>
              <w:rPr>
                <w:rFonts w:ascii="宋体" w:hAnsi="宋体" w:cs="宋体" w:eastAsia="宋体" w:hint="default"/>
                <w:sz w:val="18"/>
                <w:szCs w:val="18"/>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87" w:right="0"/>
              <w:jc w:val="center"/>
              <w:rPr>
                <w:rFonts w:ascii="宋体" w:hAnsi="宋体" w:cs="宋体" w:eastAsia="宋体" w:hint="default"/>
                <w:sz w:val="18"/>
                <w:szCs w:val="18"/>
              </w:rPr>
            </w:pPr>
            <w:r>
              <w:rPr>
                <w:rFonts w:ascii="宋体" w:hAnsi="宋体" w:cs="宋体" w:eastAsia="宋体" w:hint="default"/>
                <w:sz w:val="18"/>
                <w:szCs w:val="18"/>
              </w:rPr>
              <w:t>年度</w:t>
            </w:r>
            <w:r>
              <w:rPr>
                <w:rFonts w:ascii="宋体" w:hAnsi="宋体" w:cs="宋体" w:eastAsia="宋体" w:hint="default"/>
                <w:sz w:val="18"/>
                <w:szCs w:val="18"/>
              </w:rPr>
              <w:t> </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90" w:right="0"/>
              <w:jc w:val="center"/>
              <w:rPr>
                <w:rFonts w:ascii="宋体" w:hAnsi="宋体" w:cs="宋体" w:eastAsia="宋体" w:hint="default"/>
                <w:sz w:val="18"/>
                <w:szCs w:val="18"/>
              </w:rPr>
            </w:pPr>
            <w:r>
              <w:rPr>
                <w:rFonts w:ascii="宋体"/>
                <w:sz w:val="18"/>
              </w:rPr>
              <w:t>71.08% </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92"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05</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14</w:t>
            </w:r>
            <w:r>
              <w:rPr>
                <w:rFonts w:ascii="宋体" w:hAnsi="宋体" w:cs="宋体" w:eastAsia="宋体" w:hint="default"/>
                <w:spacing w:val="-45"/>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r>
      <w:tr>
        <w:trPr>
          <w:trHeight w:val="324" w:hRule="exact"/>
        </w:trPr>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46"/>
                <w:sz w:val="18"/>
                <w:szCs w:val="18"/>
              </w:rPr>
              <w:t> </w:t>
            </w:r>
            <w:r>
              <w:rPr>
                <w:rFonts w:ascii="宋体" w:hAnsi="宋体" w:cs="宋体" w:eastAsia="宋体" w:hint="default"/>
                <w:sz w:val="18"/>
                <w:szCs w:val="18"/>
              </w:rPr>
              <w:t>2019</w:t>
            </w:r>
            <w:r>
              <w:rPr>
                <w:rFonts w:ascii="宋体" w:hAnsi="宋体" w:cs="宋体" w:eastAsia="宋体" w:hint="default"/>
                <w:spacing w:val="-45"/>
                <w:sz w:val="18"/>
                <w:szCs w:val="18"/>
              </w:rPr>
              <w:t> </w:t>
            </w:r>
            <w:r>
              <w:rPr>
                <w:rFonts w:ascii="宋体" w:hAnsi="宋体" w:cs="宋体" w:eastAsia="宋体" w:hint="default"/>
                <w:sz w:val="18"/>
                <w:szCs w:val="18"/>
              </w:rPr>
              <w:t>年第四次临时股东大会</w:t>
            </w:r>
            <w:r>
              <w:rPr>
                <w:rFonts w:ascii="宋体" w:hAnsi="宋体" w:cs="宋体" w:eastAsia="宋体" w:hint="default"/>
                <w:sz w:val="18"/>
                <w:szCs w:val="18"/>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87" w:right="0"/>
              <w:jc w:val="center"/>
              <w:rPr>
                <w:rFonts w:ascii="宋体" w:hAnsi="宋体" w:cs="宋体" w:eastAsia="宋体" w:hint="default"/>
                <w:sz w:val="18"/>
                <w:szCs w:val="18"/>
              </w:rPr>
            </w:pPr>
            <w:r>
              <w:rPr>
                <w:rFonts w:ascii="宋体" w:hAnsi="宋体" w:cs="宋体" w:eastAsia="宋体" w:hint="default"/>
                <w:sz w:val="18"/>
                <w:szCs w:val="18"/>
              </w:rPr>
              <w:t>临时</w:t>
            </w:r>
            <w:r>
              <w:rPr>
                <w:rFonts w:ascii="宋体" w:hAnsi="宋体" w:cs="宋体" w:eastAsia="宋体" w:hint="default"/>
                <w:sz w:val="18"/>
                <w:szCs w:val="18"/>
              </w:rPr>
              <w:t> </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90" w:right="0"/>
              <w:jc w:val="center"/>
              <w:rPr>
                <w:rFonts w:ascii="宋体" w:hAnsi="宋体" w:cs="宋体" w:eastAsia="宋体" w:hint="default"/>
                <w:sz w:val="18"/>
                <w:szCs w:val="18"/>
              </w:rPr>
            </w:pPr>
            <w:r>
              <w:rPr>
                <w:rFonts w:ascii="宋体"/>
                <w:sz w:val="18"/>
              </w:rPr>
              <w:t>69.93% </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92"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26</w:t>
            </w:r>
            <w:r>
              <w:rPr>
                <w:rFonts w:ascii="宋体" w:hAnsi="宋体" w:cs="宋体" w:eastAsia="宋体" w:hint="default"/>
                <w:spacing w:val="-45"/>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r>
    </w:tbl>
    <w:p>
      <w:pPr>
        <w:spacing w:after="0" w:line="240" w:lineRule="auto"/>
        <w:jc w:val="center"/>
        <w:rPr>
          <w:rFonts w:ascii="宋体" w:hAnsi="宋体" w:cs="宋体" w:eastAsia="宋体" w:hint="default"/>
          <w:sz w:val="18"/>
          <w:szCs w:val="18"/>
        </w:rPr>
        <w:sectPr>
          <w:headerReference w:type="default" r:id="rId41"/>
          <w:footerReference w:type="default" r:id="rId42"/>
          <w:pgSz w:w="11910" w:h="16840"/>
          <w:pgMar w:header="921" w:footer="725" w:top="1160" w:bottom="920" w:left="980" w:right="0"/>
          <w:pgNumType w:start="79"/>
        </w:sectPr>
      </w:pPr>
    </w:p>
    <w:p>
      <w:pPr>
        <w:spacing w:line="240" w:lineRule="auto" w:before="4"/>
        <w:rPr>
          <w:rFonts w:ascii="宋体" w:hAnsi="宋体" w:cs="宋体" w:eastAsia="宋体" w:hint="default"/>
          <w:sz w:val="21"/>
          <w:szCs w:val="21"/>
        </w:rPr>
      </w:pPr>
    </w:p>
    <w:tbl>
      <w:tblPr>
        <w:tblW w:w="0" w:type="auto"/>
        <w:jc w:val="left"/>
        <w:tblInd w:w="149" w:type="dxa"/>
        <w:tblLayout w:type="fixed"/>
        <w:tblCellMar>
          <w:top w:w="0" w:type="dxa"/>
          <w:left w:w="0" w:type="dxa"/>
          <w:bottom w:w="0" w:type="dxa"/>
          <w:right w:w="0" w:type="dxa"/>
        </w:tblCellMar>
        <w:tblLook w:val="01E0"/>
      </w:tblPr>
      <w:tblGrid>
        <w:gridCol w:w="1134"/>
        <w:gridCol w:w="1560"/>
        <w:gridCol w:w="4818"/>
        <w:gridCol w:w="2127"/>
      </w:tblGrid>
      <w:tr>
        <w:trPr>
          <w:trHeight w:val="324" w:hRule="exact"/>
        </w:trPr>
        <w:tc>
          <w:tcPr>
            <w:tcW w:w="1134" w:type="dxa"/>
            <w:vMerge w:val="restart"/>
            <w:tcBorders>
              <w:top w:val="single" w:sz="4" w:space="0" w:color="000000"/>
              <w:left w:val="single" w:sz="4" w:space="0" w:color="000000"/>
              <w:right w:val="single" w:sz="4" w:space="0" w:color="000000"/>
            </w:tcBorders>
            <w:shd w:val="clear" w:color="auto" w:fill="D9D9D9"/>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left="102" w:right="0"/>
              <w:jc w:val="left"/>
              <w:rPr>
                <w:rFonts w:ascii="宋体" w:hAnsi="宋体" w:cs="宋体" w:eastAsia="宋体" w:hint="default"/>
                <w:sz w:val="18"/>
                <w:szCs w:val="18"/>
              </w:rPr>
            </w:pPr>
            <w:r>
              <w:rPr>
                <w:rFonts w:ascii="宋体" w:hAnsi="宋体" w:cs="宋体" w:eastAsia="宋体" w:hint="default"/>
                <w:sz w:val="18"/>
                <w:szCs w:val="18"/>
              </w:rPr>
              <w:t>查询索引</w:t>
            </w:r>
            <w:r>
              <w:rPr>
                <w:rFonts w:ascii="宋体" w:hAnsi="宋体" w:cs="宋体" w:eastAsia="宋体" w:hint="default"/>
                <w:sz w:val="18"/>
                <w:szCs w:val="18"/>
              </w:rPr>
              <w:t> </w:t>
            </w:r>
          </w:p>
        </w:tc>
        <w:tc>
          <w:tcPr>
            <w:tcW w:w="1560"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披露网站</w:t>
            </w:r>
            <w:r>
              <w:rPr>
                <w:rFonts w:ascii="宋体" w:hAnsi="宋体" w:cs="宋体" w:eastAsia="宋体" w:hint="default"/>
                <w:sz w:val="18"/>
                <w:szCs w:val="18"/>
              </w:rPr>
              <w:t> </w:t>
            </w:r>
          </w:p>
        </w:tc>
        <w:tc>
          <w:tcPr>
            <w:tcW w:w="694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巨潮资讯网</w:t>
            </w:r>
            <w:r>
              <w:rPr>
                <w:rFonts w:ascii="宋体" w:hAnsi="宋体" w:cs="宋体" w:eastAsia="宋体" w:hint="default"/>
                <w:sz w:val="18"/>
                <w:szCs w:val="18"/>
              </w:rPr>
              <w:t> </w:t>
            </w:r>
          </w:p>
        </w:tc>
      </w:tr>
      <w:tr>
        <w:trPr>
          <w:trHeight w:val="324" w:hRule="exact"/>
        </w:trPr>
        <w:tc>
          <w:tcPr>
            <w:tcW w:w="1134" w:type="dxa"/>
            <w:vMerge/>
            <w:tcBorders>
              <w:left w:val="single" w:sz="4" w:space="0" w:color="000000"/>
              <w:right w:val="single" w:sz="4" w:space="0" w:color="000000"/>
            </w:tcBorders>
            <w:shd w:val="clear" w:color="auto" w:fill="D9D9D9"/>
          </w:tcPr>
          <w:p>
            <w:pPr/>
          </w:p>
        </w:tc>
        <w:tc>
          <w:tcPr>
            <w:tcW w:w="6378" w:type="dxa"/>
            <w:gridSpan w:val="2"/>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3"/>
              <w:ind w:left="2194" w:right="0"/>
              <w:jc w:val="left"/>
              <w:rPr>
                <w:rFonts w:ascii="宋体" w:hAnsi="宋体" w:cs="宋体" w:eastAsia="宋体" w:hint="default"/>
                <w:sz w:val="18"/>
                <w:szCs w:val="18"/>
              </w:rPr>
            </w:pPr>
            <w:r>
              <w:rPr>
                <w:rFonts w:ascii="宋体" w:hAnsi="宋体" w:cs="宋体" w:eastAsia="宋体" w:hint="default"/>
                <w:sz w:val="18"/>
                <w:szCs w:val="18"/>
              </w:rPr>
              <w:t>会议决议公告名称</w:t>
            </w:r>
            <w:r>
              <w:rPr>
                <w:rFonts w:ascii="宋体" w:hAnsi="宋体" w:cs="宋体" w:eastAsia="宋体" w:hint="default"/>
                <w:sz w:val="18"/>
                <w:szCs w:val="18"/>
              </w:rPr>
              <w:t>(</w:t>
            </w:r>
            <w:r>
              <w:rPr>
                <w:rFonts w:ascii="宋体" w:hAnsi="宋体" w:cs="宋体" w:eastAsia="宋体" w:hint="default"/>
                <w:sz w:val="18"/>
                <w:szCs w:val="18"/>
              </w:rPr>
              <w:t>编号</w:t>
            </w:r>
            <w:r>
              <w:rPr>
                <w:rFonts w:ascii="宋体" w:hAnsi="宋体" w:cs="宋体" w:eastAsia="宋体" w:hint="default"/>
                <w:sz w:val="18"/>
                <w:szCs w:val="18"/>
              </w:rPr>
              <w:t>) </w:t>
            </w:r>
          </w:p>
        </w:tc>
        <w:tc>
          <w:tcPr>
            <w:tcW w:w="2127" w:type="dxa"/>
            <w:tcBorders>
              <w:top w:val="single" w:sz="4"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13"/>
              <w:ind w:left="94" w:right="0"/>
              <w:jc w:val="center"/>
              <w:rPr>
                <w:rFonts w:ascii="宋体" w:hAnsi="宋体" w:cs="宋体" w:eastAsia="宋体" w:hint="default"/>
                <w:sz w:val="18"/>
                <w:szCs w:val="18"/>
              </w:rPr>
            </w:pPr>
            <w:r>
              <w:rPr>
                <w:rFonts w:ascii="宋体" w:hAnsi="宋体" w:cs="宋体" w:eastAsia="宋体" w:hint="default"/>
                <w:sz w:val="18"/>
                <w:szCs w:val="18"/>
              </w:rPr>
              <w:t>披露日期</w:t>
            </w:r>
            <w:r>
              <w:rPr>
                <w:rFonts w:ascii="宋体" w:hAnsi="宋体" w:cs="宋体" w:eastAsia="宋体" w:hint="default"/>
                <w:sz w:val="18"/>
                <w:szCs w:val="18"/>
              </w:rPr>
              <w:t> </w:t>
            </w:r>
          </w:p>
        </w:tc>
      </w:tr>
      <w:tr>
        <w:trPr>
          <w:trHeight w:val="322" w:hRule="exact"/>
        </w:trPr>
        <w:tc>
          <w:tcPr>
            <w:tcW w:w="1134" w:type="dxa"/>
            <w:vMerge/>
            <w:tcBorders>
              <w:left w:val="single" w:sz="4" w:space="0" w:color="000000"/>
              <w:right w:val="single" w:sz="4" w:space="0" w:color="000000"/>
            </w:tcBorders>
            <w:shd w:val="clear" w:color="auto" w:fill="D9D9D9"/>
          </w:tcPr>
          <w:p>
            <w:pPr/>
          </w:p>
        </w:tc>
        <w:tc>
          <w:tcPr>
            <w:tcW w:w="637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47"/>
                <w:sz w:val="18"/>
                <w:szCs w:val="18"/>
              </w:rPr>
              <w:t> </w:t>
            </w:r>
            <w:r>
              <w:rPr>
                <w:rFonts w:ascii="宋体" w:hAnsi="宋体" w:cs="宋体" w:eastAsia="宋体" w:hint="default"/>
                <w:sz w:val="18"/>
                <w:szCs w:val="18"/>
              </w:rPr>
              <w:t>2019</w:t>
            </w:r>
            <w:r>
              <w:rPr>
                <w:rFonts w:ascii="宋体" w:hAnsi="宋体" w:cs="宋体" w:eastAsia="宋体" w:hint="default"/>
                <w:spacing w:val="-45"/>
                <w:sz w:val="18"/>
                <w:szCs w:val="18"/>
              </w:rPr>
              <w:t> </w:t>
            </w:r>
            <w:r>
              <w:rPr>
                <w:rFonts w:ascii="宋体" w:hAnsi="宋体" w:cs="宋体" w:eastAsia="宋体" w:hint="default"/>
                <w:sz w:val="18"/>
                <w:szCs w:val="18"/>
              </w:rPr>
              <w:t>年第一次临时股东大会决议公告</w:t>
            </w:r>
            <w:r>
              <w:rPr>
                <w:rFonts w:ascii="宋体" w:hAnsi="宋体" w:cs="宋体" w:eastAsia="宋体" w:hint="default"/>
                <w:spacing w:val="-3"/>
                <w:sz w:val="18"/>
                <w:szCs w:val="18"/>
              </w:rPr>
              <w:t> </w:t>
            </w:r>
            <w:r>
              <w:rPr>
                <w:rFonts w:ascii="宋体" w:hAnsi="宋体" w:cs="宋体" w:eastAsia="宋体" w:hint="default"/>
                <w:spacing w:val="-3"/>
                <w:sz w:val="18"/>
                <w:szCs w:val="18"/>
              </w:rPr>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2019</w:t>
            </w:r>
            <w:r>
              <w:rPr>
                <w:rFonts w:ascii="宋体" w:hAnsi="宋体" w:cs="宋体" w:eastAsia="宋体" w:hint="default"/>
                <w:sz w:val="18"/>
                <w:szCs w:val="18"/>
              </w:rPr>
              <w:t>—</w:t>
            </w:r>
            <w:r>
              <w:rPr>
                <w:rFonts w:ascii="宋体" w:hAnsi="宋体" w:cs="宋体" w:eastAsia="宋体" w:hint="default"/>
                <w:sz w:val="18"/>
                <w:szCs w:val="18"/>
              </w:rPr>
              <w:t>10) </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92"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15</w:t>
            </w:r>
            <w:r>
              <w:rPr>
                <w:rFonts w:ascii="宋体" w:hAnsi="宋体" w:cs="宋体" w:eastAsia="宋体" w:hint="default"/>
                <w:spacing w:val="-45"/>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r>
      <w:tr>
        <w:trPr>
          <w:trHeight w:val="324" w:hRule="exact"/>
        </w:trPr>
        <w:tc>
          <w:tcPr>
            <w:tcW w:w="1134" w:type="dxa"/>
            <w:vMerge/>
            <w:tcBorders>
              <w:left w:val="single" w:sz="4" w:space="0" w:color="000000"/>
              <w:right w:val="single" w:sz="4" w:space="0" w:color="000000"/>
            </w:tcBorders>
            <w:shd w:val="clear" w:color="auto" w:fill="D9D9D9"/>
          </w:tcPr>
          <w:p>
            <w:pPr/>
          </w:p>
        </w:tc>
        <w:tc>
          <w:tcPr>
            <w:tcW w:w="637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47"/>
                <w:sz w:val="18"/>
                <w:szCs w:val="18"/>
              </w:rPr>
              <w:t> </w:t>
            </w:r>
            <w:r>
              <w:rPr>
                <w:rFonts w:ascii="宋体" w:hAnsi="宋体" w:cs="宋体" w:eastAsia="宋体" w:hint="default"/>
                <w:sz w:val="18"/>
                <w:szCs w:val="18"/>
              </w:rPr>
              <w:t>2019</w:t>
            </w:r>
            <w:r>
              <w:rPr>
                <w:rFonts w:ascii="宋体" w:hAnsi="宋体" w:cs="宋体" w:eastAsia="宋体" w:hint="default"/>
                <w:spacing w:val="-45"/>
                <w:sz w:val="18"/>
                <w:szCs w:val="18"/>
              </w:rPr>
              <w:t> </w:t>
            </w:r>
            <w:r>
              <w:rPr>
                <w:rFonts w:ascii="宋体" w:hAnsi="宋体" w:cs="宋体" w:eastAsia="宋体" w:hint="default"/>
                <w:sz w:val="18"/>
                <w:szCs w:val="18"/>
              </w:rPr>
              <w:t>年第二次临时股东大会决议公告</w:t>
            </w:r>
            <w:r>
              <w:rPr>
                <w:rFonts w:ascii="宋体" w:hAnsi="宋体" w:cs="宋体" w:eastAsia="宋体" w:hint="default"/>
                <w:spacing w:val="-2"/>
                <w:sz w:val="18"/>
                <w:szCs w:val="18"/>
              </w:rPr>
              <w:t> </w:t>
            </w:r>
            <w:r>
              <w:rPr>
                <w:rFonts w:ascii="宋体" w:hAnsi="宋体" w:cs="宋体" w:eastAsia="宋体" w:hint="default"/>
                <w:spacing w:val="-2"/>
                <w:sz w:val="18"/>
                <w:szCs w:val="18"/>
              </w:rPr>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2019</w:t>
            </w:r>
            <w:r>
              <w:rPr>
                <w:rFonts w:ascii="宋体" w:hAnsi="宋体" w:cs="宋体" w:eastAsia="宋体" w:hint="default"/>
                <w:sz w:val="18"/>
                <w:szCs w:val="18"/>
              </w:rPr>
              <w:t>—</w:t>
            </w:r>
            <w:r>
              <w:rPr>
                <w:rFonts w:ascii="宋体" w:hAnsi="宋体" w:cs="宋体" w:eastAsia="宋体" w:hint="default"/>
                <w:sz w:val="18"/>
                <w:szCs w:val="18"/>
              </w:rPr>
              <w:t>19) </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92"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02</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19</w:t>
            </w:r>
            <w:r>
              <w:rPr>
                <w:rFonts w:ascii="宋体" w:hAnsi="宋体" w:cs="宋体" w:eastAsia="宋体" w:hint="default"/>
                <w:spacing w:val="-45"/>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r>
      <w:tr>
        <w:trPr>
          <w:trHeight w:val="324" w:hRule="exact"/>
        </w:trPr>
        <w:tc>
          <w:tcPr>
            <w:tcW w:w="1134" w:type="dxa"/>
            <w:vMerge/>
            <w:tcBorders>
              <w:left w:val="single" w:sz="4" w:space="0" w:color="000000"/>
              <w:right w:val="single" w:sz="4" w:space="0" w:color="000000"/>
            </w:tcBorders>
            <w:shd w:val="clear" w:color="auto" w:fill="D9D9D9"/>
          </w:tcPr>
          <w:p>
            <w:pPr/>
          </w:p>
        </w:tc>
        <w:tc>
          <w:tcPr>
            <w:tcW w:w="637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47"/>
                <w:sz w:val="18"/>
                <w:szCs w:val="18"/>
              </w:rPr>
              <w:t> </w:t>
            </w:r>
            <w:r>
              <w:rPr>
                <w:rFonts w:ascii="宋体" w:hAnsi="宋体" w:cs="宋体" w:eastAsia="宋体" w:hint="default"/>
                <w:sz w:val="18"/>
                <w:szCs w:val="18"/>
              </w:rPr>
              <w:t>2019</w:t>
            </w:r>
            <w:r>
              <w:rPr>
                <w:rFonts w:ascii="宋体" w:hAnsi="宋体" w:cs="宋体" w:eastAsia="宋体" w:hint="default"/>
                <w:spacing w:val="-45"/>
                <w:sz w:val="18"/>
                <w:szCs w:val="18"/>
              </w:rPr>
              <w:t> </w:t>
            </w:r>
            <w:r>
              <w:rPr>
                <w:rFonts w:ascii="宋体" w:hAnsi="宋体" w:cs="宋体" w:eastAsia="宋体" w:hint="default"/>
                <w:sz w:val="18"/>
                <w:szCs w:val="18"/>
              </w:rPr>
              <w:t>年第三次临时股东大会决议公告</w:t>
            </w:r>
            <w:r>
              <w:rPr>
                <w:rFonts w:ascii="宋体" w:hAnsi="宋体" w:cs="宋体" w:eastAsia="宋体" w:hint="default"/>
                <w:spacing w:val="-2"/>
                <w:sz w:val="18"/>
                <w:szCs w:val="18"/>
              </w:rPr>
              <w:t> </w:t>
            </w:r>
            <w:r>
              <w:rPr>
                <w:rFonts w:ascii="宋体" w:hAnsi="宋体" w:cs="宋体" w:eastAsia="宋体" w:hint="default"/>
                <w:spacing w:val="-2"/>
                <w:sz w:val="18"/>
                <w:szCs w:val="18"/>
              </w:rPr>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2019</w:t>
            </w:r>
            <w:r>
              <w:rPr>
                <w:rFonts w:ascii="宋体" w:hAnsi="宋体" w:cs="宋体" w:eastAsia="宋体" w:hint="default"/>
                <w:sz w:val="18"/>
                <w:szCs w:val="18"/>
              </w:rPr>
              <w:t>—</w:t>
            </w:r>
            <w:r>
              <w:rPr>
                <w:rFonts w:ascii="宋体" w:hAnsi="宋体" w:cs="宋体" w:eastAsia="宋体" w:hint="default"/>
                <w:sz w:val="18"/>
                <w:szCs w:val="18"/>
              </w:rPr>
              <w:t>27) </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92"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03</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16</w:t>
            </w:r>
            <w:r>
              <w:rPr>
                <w:rFonts w:ascii="宋体" w:hAnsi="宋体" w:cs="宋体" w:eastAsia="宋体" w:hint="default"/>
                <w:spacing w:val="-45"/>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r>
      <w:tr>
        <w:trPr>
          <w:trHeight w:val="324" w:hRule="exact"/>
        </w:trPr>
        <w:tc>
          <w:tcPr>
            <w:tcW w:w="1134" w:type="dxa"/>
            <w:vMerge/>
            <w:tcBorders>
              <w:left w:val="single" w:sz="4" w:space="0" w:color="000000"/>
              <w:right w:val="single" w:sz="4" w:space="0" w:color="000000"/>
            </w:tcBorders>
            <w:shd w:val="clear" w:color="auto" w:fill="D9D9D9"/>
          </w:tcPr>
          <w:p>
            <w:pPr/>
          </w:p>
        </w:tc>
        <w:tc>
          <w:tcPr>
            <w:tcW w:w="637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公司</w:t>
            </w:r>
            <w:r>
              <w:rPr>
                <w:rFonts w:ascii="宋体" w:hAnsi="宋体" w:cs="宋体" w:eastAsia="宋体" w:hint="default"/>
                <w:spacing w:val="-47"/>
                <w:sz w:val="18"/>
                <w:szCs w:val="18"/>
              </w:rPr>
              <w:t> </w:t>
            </w:r>
            <w:r>
              <w:rPr>
                <w:rFonts w:ascii="宋体" w:hAnsi="宋体" w:cs="宋体" w:eastAsia="宋体" w:hint="default"/>
                <w:sz w:val="18"/>
                <w:szCs w:val="18"/>
              </w:rPr>
              <w:t>2018</w:t>
            </w:r>
            <w:r>
              <w:rPr>
                <w:rFonts w:ascii="宋体" w:hAnsi="宋体" w:cs="宋体" w:eastAsia="宋体" w:hint="default"/>
                <w:spacing w:val="-46"/>
                <w:sz w:val="18"/>
                <w:szCs w:val="18"/>
              </w:rPr>
              <w:t> </w:t>
            </w:r>
            <w:r>
              <w:rPr>
                <w:rFonts w:ascii="宋体" w:hAnsi="宋体" w:cs="宋体" w:eastAsia="宋体" w:hint="default"/>
                <w:sz w:val="18"/>
                <w:szCs w:val="18"/>
              </w:rPr>
              <w:t>年度股东大会决议公告</w:t>
            </w:r>
            <w:r>
              <w:rPr>
                <w:rFonts w:ascii="宋体" w:hAnsi="宋体" w:cs="宋体" w:eastAsia="宋体" w:hint="default"/>
                <w:spacing w:val="-2"/>
                <w:sz w:val="18"/>
                <w:szCs w:val="18"/>
              </w:rPr>
              <w:t> </w:t>
            </w:r>
            <w:r>
              <w:rPr>
                <w:rFonts w:ascii="宋体" w:hAnsi="宋体" w:cs="宋体" w:eastAsia="宋体" w:hint="default"/>
                <w:spacing w:val="-2"/>
                <w:sz w:val="18"/>
                <w:szCs w:val="18"/>
              </w:rPr>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2019</w:t>
            </w:r>
            <w:r>
              <w:rPr>
                <w:rFonts w:ascii="宋体" w:hAnsi="宋体" w:cs="宋体" w:eastAsia="宋体" w:hint="default"/>
                <w:sz w:val="18"/>
                <w:szCs w:val="18"/>
              </w:rPr>
              <w:t>—</w:t>
            </w:r>
            <w:r>
              <w:rPr>
                <w:rFonts w:ascii="宋体" w:hAnsi="宋体" w:cs="宋体" w:eastAsia="宋体" w:hint="default"/>
                <w:sz w:val="18"/>
                <w:szCs w:val="18"/>
              </w:rPr>
              <w:t>48) </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92"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05</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15</w:t>
            </w:r>
            <w:r>
              <w:rPr>
                <w:rFonts w:ascii="宋体" w:hAnsi="宋体" w:cs="宋体" w:eastAsia="宋体" w:hint="default"/>
                <w:spacing w:val="-45"/>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r>
      <w:tr>
        <w:trPr>
          <w:trHeight w:val="324" w:hRule="exact"/>
        </w:trPr>
        <w:tc>
          <w:tcPr>
            <w:tcW w:w="1134" w:type="dxa"/>
            <w:vMerge/>
            <w:tcBorders>
              <w:left w:val="single" w:sz="4" w:space="0" w:color="000000"/>
              <w:bottom w:val="single" w:sz="4" w:space="0" w:color="000000"/>
              <w:right w:val="single" w:sz="4" w:space="0" w:color="000000"/>
            </w:tcBorders>
            <w:shd w:val="clear" w:color="auto" w:fill="D9D9D9"/>
          </w:tcPr>
          <w:p>
            <w:pPr/>
          </w:p>
        </w:tc>
        <w:tc>
          <w:tcPr>
            <w:tcW w:w="637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公司 </w:t>
            </w:r>
            <w:r>
              <w:rPr>
                <w:rFonts w:ascii="宋体" w:hAnsi="宋体" w:cs="宋体" w:eastAsia="宋体" w:hint="default"/>
                <w:sz w:val="18"/>
                <w:szCs w:val="18"/>
              </w:rPr>
              <w:t>2019</w:t>
            </w:r>
            <w:r>
              <w:rPr>
                <w:rFonts w:ascii="宋体" w:hAnsi="宋体" w:cs="宋体" w:eastAsia="宋体" w:hint="default"/>
                <w:spacing w:val="-51"/>
                <w:sz w:val="18"/>
                <w:szCs w:val="18"/>
              </w:rPr>
              <w:t> </w:t>
            </w:r>
            <w:r>
              <w:rPr>
                <w:rFonts w:ascii="宋体" w:hAnsi="宋体" w:cs="宋体" w:eastAsia="宋体" w:hint="default"/>
                <w:sz w:val="18"/>
                <w:szCs w:val="18"/>
              </w:rPr>
              <w:t>年第四次临时股东大会决议公告</w:t>
            </w:r>
            <w:r>
              <w:rPr>
                <w:rFonts w:ascii="宋体" w:hAnsi="宋体" w:cs="宋体" w:eastAsia="宋体" w:hint="default"/>
                <w:sz w:val="18"/>
                <w:szCs w:val="18"/>
              </w:rPr>
              <w:t>(</w:t>
            </w:r>
            <w:r>
              <w:rPr>
                <w:rFonts w:ascii="宋体" w:hAnsi="宋体" w:cs="宋体" w:eastAsia="宋体" w:hint="default"/>
                <w:sz w:val="18"/>
                <w:szCs w:val="18"/>
              </w:rPr>
              <w:t>公告编号：</w:t>
            </w:r>
            <w:r>
              <w:rPr>
                <w:rFonts w:ascii="宋体" w:hAnsi="宋体" w:cs="宋体" w:eastAsia="宋体" w:hint="default"/>
                <w:sz w:val="18"/>
                <w:szCs w:val="18"/>
              </w:rPr>
              <w:t>2019</w:t>
            </w:r>
            <w:r>
              <w:rPr>
                <w:rFonts w:ascii="宋体" w:hAnsi="宋体" w:cs="宋体" w:eastAsia="宋体" w:hint="default"/>
                <w:sz w:val="18"/>
                <w:szCs w:val="18"/>
              </w:rPr>
              <w:t>—</w:t>
            </w:r>
            <w:r>
              <w:rPr>
                <w:rFonts w:ascii="宋体" w:hAnsi="宋体" w:cs="宋体" w:eastAsia="宋体" w:hint="default"/>
                <w:sz w:val="18"/>
                <w:szCs w:val="18"/>
              </w:rPr>
              <w:t>107) </w:t>
            </w:r>
          </w:p>
        </w:tc>
        <w:tc>
          <w:tcPr>
            <w:tcW w:w="2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92"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宋体" w:hAnsi="宋体" w:cs="宋体" w:eastAsia="宋体" w:hint="default"/>
                <w:sz w:val="18"/>
                <w:szCs w:val="18"/>
              </w:rPr>
              <w:t>27</w:t>
            </w:r>
            <w:r>
              <w:rPr>
                <w:rFonts w:ascii="宋体" w:hAnsi="宋体" w:cs="宋体" w:eastAsia="宋体" w:hint="default"/>
                <w:spacing w:val="-45"/>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r>
    </w:tbl>
    <w:p>
      <w:pPr>
        <w:spacing w:line="240" w:lineRule="auto" w:before="9"/>
        <w:rPr>
          <w:rFonts w:ascii="宋体" w:hAnsi="宋体" w:cs="宋体" w:eastAsia="宋体" w:hint="default"/>
          <w:sz w:val="22"/>
          <w:szCs w:val="22"/>
        </w:rPr>
      </w:pPr>
    </w:p>
    <w:p>
      <w:pPr>
        <w:pStyle w:val="Heading3"/>
        <w:spacing w:line="240" w:lineRule="auto"/>
        <w:ind w:left="575" w:right="1133"/>
        <w:jc w:val="left"/>
        <w:rPr>
          <w:b w:val="0"/>
          <w:bCs w:val="0"/>
        </w:rPr>
      </w:pPr>
      <w:r>
        <w:rPr>
          <w:rFonts w:ascii="Times New Roman" w:hAnsi="Times New Roman" w:cs="Times New Roman" w:eastAsia="Times New Roman" w:hint="default"/>
        </w:rPr>
        <w:t>2</w:t>
      </w:r>
      <w:r>
        <w:rPr/>
        <w:t>、表决权恢复的优先股股东请求召开临时股东大会</w:t>
      </w:r>
      <w:r>
        <w:rPr>
          <w:b w:val="0"/>
          <w:bCs w:val="0"/>
        </w:rPr>
      </w:r>
    </w:p>
    <w:p>
      <w:pPr>
        <w:pStyle w:val="BodyText"/>
        <w:spacing w:line="240" w:lineRule="auto" w:before="100"/>
        <w:ind w:right="1133"/>
        <w:jc w:val="left"/>
        <w:rPr>
          <w:rFonts w:ascii="宋体" w:hAnsi="宋体" w:cs="宋体" w:eastAsia="宋体" w:hint="default"/>
        </w:rPr>
      </w:pPr>
      <w:r>
        <w:rPr>
          <w:rFonts w:ascii="宋体" w:hAnsi="宋体" w:cs="宋体" w:eastAsia="宋体" w:hint="default"/>
          <w:w w:val="100"/>
        </w:rPr>
        <w:t>    </w:t>
      </w:r>
      <w:r>
        <w:rPr>
          <w:spacing w:val="-3"/>
        </w:rPr>
        <w:t>□ </w:t>
      </w:r>
      <w:r>
        <w:rPr/>
        <w:t>适用 </w:t>
      </w:r>
      <w:r>
        <w:rPr>
          <w:rFonts w:ascii="宋体" w:hAnsi="宋体" w:cs="宋体" w:eastAsia="宋体" w:hint="default"/>
        </w:rPr>
      </w:r>
      <w:r>
        <w:rPr>
          <w:spacing w:val="-3"/>
        </w:rPr>
        <w:t>√</w:t>
      </w:r>
      <w:r>
        <w:rPr>
          <w:spacing w:val="3"/>
        </w:rPr>
        <w:t> </w:t>
      </w:r>
      <w:r>
        <w:rPr/>
        <w:t>不适用</w:t>
      </w:r>
      <w:r>
        <w:rPr>
          <w:rFonts w:ascii="宋体" w:hAnsi="宋体" w:cs="宋体" w:eastAsia="宋体" w:hint="default"/>
        </w:rPr>
        <w:t> </w:t>
      </w:r>
    </w:p>
    <w:p>
      <w:pPr>
        <w:spacing w:line="240" w:lineRule="auto" w:before="5"/>
        <w:rPr>
          <w:rFonts w:ascii="宋体" w:hAnsi="宋体" w:cs="宋体" w:eastAsia="宋体" w:hint="default"/>
          <w:sz w:val="27"/>
          <w:szCs w:val="27"/>
        </w:rPr>
      </w:pPr>
    </w:p>
    <w:p>
      <w:pPr>
        <w:pStyle w:val="Heading3"/>
        <w:spacing w:line="240" w:lineRule="auto" w:before="0"/>
        <w:ind w:left="604" w:right="1133"/>
        <w:jc w:val="left"/>
        <w:rPr>
          <w:b w:val="0"/>
          <w:bCs w:val="0"/>
        </w:rPr>
      </w:pPr>
      <w:r>
        <w:rPr/>
        <w:t>五、报告期内独立董事履行职责的情况</w:t>
      </w:r>
      <w:r>
        <w:rPr>
          <w:b w:val="0"/>
          <w:bCs w:val="0"/>
        </w:rPr>
      </w:r>
    </w:p>
    <w:p>
      <w:pPr>
        <w:spacing w:before="117"/>
        <w:ind w:left="575" w:right="113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、独立董事出席董事会及股东大会的情况</w:t>
      </w:r>
      <w:r>
        <w:rPr>
          <w:rFonts w:ascii="宋体" w:hAnsi="宋体" w:cs="宋体" w:eastAsia="宋体" w:hint="default"/>
          <w:sz w:val="21"/>
          <w:szCs w:val="21"/>
        </w:rPr>
      </w:r>
    </w:p>
    <w:p>
      <w:pPr>
        <w:spacing w:line="240" w:lineRule="auto" w:before="5"/>
        <w:rPr>
          <w:rFonts w:ascii="宋体" w:hAnsi="宋体" w:cs="宋体" w:eastAsia="宋体" w:hint="default"/>
          <w:b/>
          <w:bCs/>
          <w:sz w:val="10"/>
          <w:szCs w:val="10"/>
        </w:rPr>
      </w:pPr>
    </w:p>
    <w:tbl>
      <w:tblPr>
        <w:tblW w:w="0" w:type="auto"/>
        <w:jc w:val="left"/>
        <w:tblInd w:w="148" w:type="dxa"/>
        <w:tblLayout w:type="fixed"/>
        <w:tblCellMar>
          <w:top w:w="0" w:type="dxa"/>
          <w:left w:w="0" w:type="dxa"/>
          <w:bottom w:w="0" w:type="dxa"/>
          <w:right w:w="0" w:type="dxa"/>
        </w:tblCellMar>
        <w:tblLook w:val="01E0"/>
      </w:tblPr>
      <w:tblGrid>
        <w:gridCol w:w="1428"/>
        <w:gridCol w:w="1164"/>
        <w:gridCol w:w="1165"/>
        <w:gridCol w:w="1162"/>
        <w:gridCol w:w="1164"/>
        <w:gridCol w:w="1162"/>
        <w:gridCol w:w="1165"/>
        <w:gridCol w:w="1164"/>
      </w:tblGrid>
      <w:tr>
        <w:trPr>
          <w:trHeight w:val="323" w:hRule="exact"/>
        </w:trPr>
        <w:tc>
          <w:tcPr>
            <w:tcW w:w="9573"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
              <w:ind w:right="0"/>
              <w:jc w:val="center"/>
              <w:rPr>
                <w:rFonts w:ascii="宋体" w:hAnsi="宋体" w:cs="宋体" w:eastAsia="宋体" w:hint="default"/>
                <w:sz w:val="18"/>
                <w:szCs w:val="18"/>
              </w:rPr>
            </w:pPr>
            <w:r>
              <w:rPr>
                <w:rFonts w:ascii="宋体" w:hAnsi="宋体" w:cs="宋体" w:eastAsia="宋体" w:hint="default"/>
                <w:sz w:val="18"/>
                <w:szCs w:val="18"/>
              </w:rPr>
              <w:t>独立董事出席董事会及股东大会的情况</w:t>
            </w:r>
          </w:p>
        </w:tc>
      </w:tr>
      <w:tr>
        <w:trPr>
          <w:trHeight w:val="790" w:hRule="exact"/>
        </w:trPr>
        <w:tc>
          <w:tcPr>
            <w:tcW w:w="14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独立董事姓名</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8"/>
              <w:ind w:left="38" w:right="35"/>
              <w:jc w:val="left"/>
              <w:rPr>
                <w:rFonts w:ascii="宋体" w:hAnsi="宋体" w:cs="宋体" w:eastAsia="宋体" w:hint="default"/>
                <w:sz w:val="18"/>
                <w:szCs w:val="18"/>
              </w:rPr>
            </w:pPr>
            <w:r>
              <w:rPr>
                <w:rFonts w:ascii="宋体" w:hAnsi="宋体" w:cs="宋体" w:eastAsia="宋体" w:hint="default"/>
                <w:sz w:val="18"/>
                <w:szCs w:val="18"/>
              </w:rPr>
              <w:t>本报告期应参 加董事会次数</w:t>
            </w:r>
          </w:p>
        </w:tc>
        <w:tc>
          <w:tcPr>
            <w:tcW w:w="1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8"/>
              <w:ind w:left="307" w:right="34" w:hanging="270"/>
              <w:jc w:val="left"/>
              <w:rPr>
                <w:rFonts w:ascii="宋体" w:hAnsi="宋体" w:cs="宋体" w:eastAsia="宋体" w:hint="default"/>
                <w:sz w:val="18"/>
                <w:szCs w:val="18"/>
              </w:rPr>
            </w:pPr>
            <w:r>
              <w:rPr>
                <w:rFonts w:ascii="宋体" w:hAnsi="宋体" w:cs="宋体" w:eastAsia="宋体" w:hint="default"/>
                <w:sz w:val="18"/>
                <w:szCs w:val="18"/>
              </w:rPr>
              <w:t>现场出席董事 会次数</w:t>
            </w:r>
          </w:p>
        </w:tc>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8"/>
              <w:ind w:left="35" w:right="35"/>
              <w:jc w:val="left"/>
              <w:rPr>
                <w:rFonts w:ascii="宋体" w:hAnsi="宋体" w:cs="宋体" w:eastAsia="宋体" w:hint="default"/>
                <w:sz w:val="18"/>
                <w:szCs w:val="18"/>
              </w:rPr>
            </w:pPr>
            <w:r>
              <w:rPr>
                <w:rFonts w:ascii="宋体" w:hAnsi="宋体" w:cs="宋体" w:eastAsia="宋体" w:hint="default"/>
                <w:sz w:val="18"/>
                <w:szCs w:val="18"/>
              </w:rPr>
              <w:t>以通讯方式参 加董事会次数</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8"/>
              <w:ind w:left="307" w:right="36" w:hanging="272"/>
              <w:jc w:val="left"/>
              <w:rPr>
                <w:rFonts w:ascii="宋体" w:hAnsi="宋体" w:cs="宋体" w:eastAsia="宋体" w:hint="default"/>
                <w:sz w:val="18"/>
                <w:szCs w:val="18"/>
              </w:rPr>
            </w:pPr>
            <w:r>
              <w:rPr>
                <w:rFonts w:ascii="宋体" w:hAnsi="宋体" w:cs="宋体" w:eastAsia="宋体" w:hint="default"/>
                <w:sz w:val="18"/>
                <w:szCs w:val="18"/>
              </w:rPr>
              <w:t>委托出席董事 会次数</w:t>
            </w:r>
          </w:p>
        </w:tc>
        <w:tc>
          <w:tcPr>
            <w:tcW w:w="11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8"/>
              <w:ind w:left="487" w:right="35" w:hanging="452"/>
              <w:jc w:val="left"/>
              <w:rPr>
                <w:rFonts w:ascii="宋体" w:hAnsi="宋体" w:cs="宋体" w:eastAsia="宋体" w:hint="default"/>
                <w:sz w:val="18"/>
                <w:szCs w:val="18"/>
              </w:rPr>
            </w:pPr>
            <w:r>
              <w:rPr>
                <w:rFonts w:ascii="宋体" w:hAnsi="宋体" w:cs="宋体" w:eastAsia="宋体" w:hint="default"/>
                <w:sz w:val="18"/>
                <w:szCs w:val="18"/>
              </w:rPr>
              <w:t>缺席董事会次 数</w:t>
            </w:r>
          </w:p>
        </w:tc>
        <w:tc>
          <w:tcPr>
            <w:tcW w:w="1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7" w:lineRule="auto" w:before="12"/>
              <w:ind w:left="35" w:right="38"/>
              <w:jc w:val="center"/>
              <w:rPr>
                <w:rFonts w:ascii="宋体" w:hAnsi="宋体" w:cs="宋体" w:eastAsia="宋体" w:hint="default"/>
                <w:sz w:val="18"/>
                <w:szCs w:val="18"/>
              </w:rPr>
            </w:pPr>
            <w:r>
              <w:rPr>
                <w:rFonts w:ascii="宋体" w:hAnsi="宋体" w:cs="宋体" w:eastAsia="宋体" w:hint="default"/>
                <w:sz w:val="18"/>
                <w:szCs w:val="18"/>
              </w:rPr>
              <w:t>是否连续两次 未亲自参加董 事会会议</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8"/>
              <w:ind w:left="396" w:right="36" w:hanging="360"/>
              <w:jc w:val="left"/>
              <w:rPr>
                <w:rFonts w:ascii="宋体" w:hAnsi="宋体" w:cs="宋体" w:eastAsia="宋体" w:hint="default"/>
                <w:sz w:val="18"/>
                <w:szCs w:val="18"/>
              </w:rPr>
            </w:pPr>
            <w:r>
              <w:rPr>
                <w:rFonts w:ascii="宋体" w:hAnsi="宋体" w:cs="宋体" w:eastAsia="宋体" w:hint="default"/>
                <w:sz w:val="18"/>
                <w:szCs w:val="18"/>
              </w:rPr>
              <w:t>出席股东大会 次数</w:t>
            </w:r>
          </w:p>
        </w:tc>
      </w:tr>
      <w:tr>
        <w:trPr>
          <w:trHeight w:val="324" w:hRule="exact"/>
        </w:trPr>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1"/>
              <w:jc w:val="center"/>
              <w:rPr>
                <w:rFonts w:ascii="宋体" w:hAnsi="宋体" w:cs="宋体" w:eastAsia="宋体" w:hint="default"/>
                <w:sz w:val="18"/>
                <w:szCs w:val="18"/>
              </w:rPr>
            </w:pPr>
            <w:r>
              <w:rPr>
                <w:rFonts w:ascii="宋体" w:hAnsi="宋体" w:cs="宋体" w:eastAsia="宋体" w:hint="default"/>
                <w:sz w:val="18"/>
                <w:szCs w:val="18"/>
              </w:rPr>
              <w:t>刘宁</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487" w:right="0"/>
              <w:jc w:val="left"/>
              <w:rPr>
                <w:rFonts w:ascii="Times New Roman" w:hAnsi="Times New Roman" w:cs="Times New Roman" w:eastAsia="Times New Roman" w:hint="default"/>
                <w:sz w:val="18"/>
                <w:szCs w:val="18"/>
              </w:rPr>
            </w:pPr>
            <w:r>
              <w:rPr>
                <w:rFonts w:ascii="Times New Roman"/>
                <w:sz w:val="18"/>
              </w:rPr>
              <w:t>17</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533" w:right="0"/>
              <w:jc w:val="left"/>
              <w:rPr>
                <w:rFonts w:ascii="Times New Roman" w:hAnsi="Times New Roman" w:cs="Times New Roman" w:eastAsia="Times New Roman" w:hint="default"/>
                <w:sz w:val="18"/>
                <w:szCs w:val="18"/>
              </w:rPr>
            </w:pPr>
            <w:r>
              <w:rPr>
                <w:rFonts w:ascii="Times New Roman"/>
                <w:sz w:val="18"/>
              </w:rPr>
              <w:t>2</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4" w:right="0"/>
              <w:jc w:val="center"/>
              <w:rPr>
                <w:rFonts w:ascii="Times New Roman" w:hAnsi="Times New Roman" w:cs="Times New Roman" w:eastAsia="Times New Roman" w:hint="default"/>
                <w:sz w:val="18"/>
                <w:szCs w:val="18"/>
              </w:rPr>
            </w:pPr>
            <w:r>
              <w:rPr>
                <w:rFonts w:ascii="Times New Roman"/>
                <w:sz w:val="18"/>
              </w:rPr>
              <w:t>15</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530" w:right="0"/>
              <w:jc w:val="left"/>
              <w:rPr>
                <w:rFonts w:ascii="Times New Roman" w:hAnsi="Times New Roman" w:cs="Times New Roman" w:eastAsia="Times New Roman" w:hint="default"/>
                <w:sz w:val="18"/>
                <w:szCs w:val="18"/>
              </w:rPr>
            </w:pPr>
            <w:r>
              <w:rPr>
                <w:rFonts w:ascii="Times New Roman"/>
                <w:sz w:val="18"/>
              </w:rPr>
              <w:t>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
              <w:jc w:val="center"/>
              <w:rPr>
                <w:rFonts w:ascii="Times New Roman" w:hAnsi="Times New Roman" w:cs="Times New Roman" w:eastAsia="Times New Roman" w:hint="default"/>
                <w:sz w:val="18"/>
                <w:szCs w:val="18"/>
              </w:rPr>
            </w:pPr>
            <w:r>
              <w:rPr>
                <w:rFonts w:ascii="Times New Roman"/>
                <w:sz w:val="18"/>
              </w:rPr>
              <w:t>0</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
              <w:jc w:val="center"/>
              <w:rPr>
                <w:rFonts w:ascii="Times New Roman" w:hAnsi="Times New Roman" w:cs="Times New Roman" w:eastAsia="Times New Roman" w:hint="default"/>
                <w:sz w:val="18"/>
                <w:szCs w:val="18"/>
              </w:rPr>
            </w:pPr>
            <w:r>
              <w:rPr>
                <w:rFonts w:ascii="Times New Roman"/>
                <w:sz w:val="18"/>
              </w:rPr>
              <w:t>4</w:t>
            </w:r>
          </w:p>
        </w:tc>
      </w:tr>
      <w:tr>
        <w:trPr>
          <w:trHeight w:val="324" w:hRule="exact"/>
        </w:trPr>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郝振平</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487" w:right="0"/>
              <w:jc w:val="left"/>
              <w:rPr>
                <w:rFonts w:ascii="Times New Roman" w:hAnsi="Times New Roman" w:cs="Times New Roman" w:eastAsia="Times New Roman" w:hint="default"/>
                <w:sz w:val="18"/>
                <w:szCs w:val="18"/>
              </w:rPr>
            </w:pPr>
            <w:r>
              <w:rPr>
                <w:rFonts w:ascii="Times New Roman"/>
                <w:sz w:val="18"/>
              </w:rPr>
              <w:t>17</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533" w:right="0"/>
              <w:jc w:val="left"/>
              <w:rPr>
                <w:rFonts w:ascii="Times New Roman" w:hAnsi="Times New Roman" w:cs="Times New Roman" w:eastAsia="Times New Roman" w:hint="default"/>
                <w:sz w:val="18"/>
                <w:szCs w:val="18"/>
              </w:rPr>
            </w:pPr>
            <w:r>
              <w:rPr>
                <w:rFonts w:ascii="Times New Roman"/>
                <w:sz w:val="18"/>
              </w:rPr>
              <w:t>1</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4" w:right="0"/>
              <w:jc w:val="center"/>
              <w:rPr>
                <w:rFonts w:ascii="Times New Roman" w:hAnsi="Times New Roman" w:cs="Times New Roman" w:eastAsia="Times New Roman" w:hint="default"/>
                <w:sz w:val="18"/>
                <w:szCs w:val="18"/>
              </w:rPr>
            </w:pPr>
            <w:r>
              <w:rPr>
                <w:rFonts w:ascii="Times New Roman"/>
                <w:sz w:val="18"/>
              </w:rPr>
              <w:t>16</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530" w:right="0"/>
              <w:jc w:val="left"/>
              <w:rPr>
                <w:rFonts w:ascii="Times New Roman" w:hAnsi="Times New Roman" w:cs="Times New Roman" w:eastAsia="Times New Roman" w:hint="default"/>
                <w:sz w:val="18"/>
                <w:szCs w:val="18"/>
              </w:rPr>
            </w:pPr>
            <w:r>
              <w:rPr>
                <w:rFonts w:ascii="Times New Roman"/>
                <w:sz w:val="18"/>
              </w:rPr>
              <w:t>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
              <w:jc w:val="center"/>
              <w:rPr>
                <w:rFonts w:ascii="Times New Roman" w:hAnsi="Times New Roman" w:cs="Times New Roman" w:eastAsia="Times New Roman" w:hint="default"/>
                <w:sz w:val="18"/>
                <w:szCs w:val="18"/>
              </w:rPr>
            </w:pPr>
            <w:r>
              <w:rPr>
                <w:rFonts w:ascii="Times New Roman"/>
                <w:sz w:val="18"/>
              </w:rPr>
              <w:t>0</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
              <w:jc w:val="center"/>
              <w:rPr>
                <w:rFonts w:ascii="Times New Roman" w:hAnsi="Times New Roman" w:cs="Times New Roman" w:eastAsia="Times New Roman" w:hint="default"/>
                <w:sz w:val="18"/>
                <w:szCs w:val="18"/>
              </w:rPr>
            </w:pPr>
            <w:r>
              <w:rPr>
                <w:rFonts w:ascii="Times New Roman"/>
                <w:sz w:val="18"/>
              </w:rPr>
              <w:t>2</w:t>
            </w:r>
          </w:p>
        </w:tc>
      </w:tr>
      <w:tr>
        <w:trPr>
          <w:trHeight w:val="324" w:hRule="exact"/>
        </w:trPr>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刘一平</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487" w:right="0"/>
              <w:jc w:val="left"/>
              <w:rPr>
                <w:rFonts w:ascii="Times New Roman" w:hAnsi="Times New Roman" w:cs="Times New Roman" w:eastAsia="Times New Roman" w:hint="default"/>
                <w:sz w:val="18"/>
                <w:szCs w:val="18"/>
              </w:rPr>
            </w:pPr>
            <w:r>
              <w:rPr>
                <w:rFonts w:ascii="Times New Roman"/>
                <w:sz w:val="18"/>
              </w:rPr>
              <w:t>15</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533" w:right="0"/>
              <w:jc w:val="left"/>
              <w:rPr>
                <w:rFonts w:ascii="Times New Roman" w:hAnsi="Times New Roman" w:cs="Times New Roman" w:eastAsia="Times New Roman" w:hint="default"/>
                <w:sz w:val="18"/>
                <w:szCs w:val="18"/>
              </w:rPr>
            </w:pPr>
            <w:r>
              <w:rPr>
                <w:rFonts w:ascii="Times New Roman"/>
                <w:sz w:val="18"/>
              </w:rPr>
              <w:t>1</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4" w:right="0"/>
              <w:jc w:val="center"/>
              <w:rPr>
                <w:rFonts w:ascii="Times New Roman" w:hAnsi="Times New Roman" w:cs="Times New Roman" w:eastAsia="Times New Roman" w:hint="default"/>
                <w:sz w:val="18"/>
                <w:szCs w:val="18"/>
              </w:rPr>
            </w:pPr>
            <w:r>
              <w:rPr>
                <w:rFonts w:ascii="Times New Roman"/>
                <w:sz w:val="18"/>
              </w:rPr>
              <w:t>14</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left="530" w:right="0"/>
              <w:jc w:val="left"/>
              <w:rPr>
                <w:rFonts w:ascii="Times New Roman" w:hAnsi="Times New Roman" w:cs="Times New Roman" w:eastAsia="Times New Roman" w:hint="default"/>
                <w:sz w:val="18"/>
                <w:szCs w:val="18"/>
              </w:rPr>
            </w:pPr>
            <w:r>
              <w:rPr>
                <w:rFonts w:ascii="Times New Roman"/>
                <w:sz w:val="18"/>
              </w:rPr>
              <w:t>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
              <w:jc w:val="center"/>
              <w:rPr>
                <w:rFonts w:ascii="Times New Roman" w:hAnsi="Times New Roman" w:cs="Times New Roman" w:eastAsia="Times New Roman" w:hint="default"/>
                <w:sz w:val="18"/>
                <w:szCs w:val="18"/>
              </w:rPr>
            </w:pPr>
            <w:r>
              <w:rPr>
                <w:rFonts w:ascii="Times New Roman"/>
                <w:sz w:val="18"/>
              </w:rPr>
              <w:t>0</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1"/>
              <w:jc w:val="center"/>
              <w:rPr>
                <w:rFonts w:ascii="Times New Roman" w:hAnsi="Times New Roman" w:cs="Times New Roman" w:eastAsia="Times New Roman" w:hint="default"/>
                <w:sz w:val="18"/>
                <w:szCs w:val="18"/>
              </w:rPr>
            </w:pPr>
            <w:r>
              <w:rPr>
                <w:rFonts w:ascii="Times New Roman"/>
                <w:sz w:val="18"/>
              </w:rPr>
              <w:t>0</w:t>
            </w:r>
          </w:p>
        </w:tc>
      </w:tr>
      <w:tr>
        <w:trPr>
          <w:trHeight w:val="324" w:hRule="exact"/>
        </w:trPr>
        <w:tc>
          <w:tcPr>
            <w:tcW w:w="142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徐小伍</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532" w:right="0"/>
              <w:jc w:val="left"/>
              <w:rPr>
                <w:rFonts w:ascii="Times New Roman" w:hAnsi="Times New Roman" w:cs="Times New Roman" w:eastAsia="Times New Roman" w:hint="default"/>
                <w:sz w:val="18"/>
                <w:szCs w:val="18"/>
              </w:rPr>
            </w:pPr>
            <w:r>
              <w:rPr>
                <w:rFonts w:ascii="Times New Roman"/>
                <w:sz w:val="18"/>
              </w:rPr>
              <w:t>2</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533" w:right="0"/>
              <w:jc w:val="left"/>
              <w:rPr>
                <w:rFonts w:ascii="Times New Roman" w:hAnsi="Times New Roman" w:cs="Times New Roman" w:eastAsia="Times New Roman" w:hint="default"/>
                <w:sz w:val="18"/>
                <w:szCs w:val="18"/>
              </w:rPr>
            </w:pPr>
            <w:r>
              <w:rPr>
                <w:rFonts w:ascii="Times New Roman"/>
                <w:sz w:val="18"/>
              </w:rPr>
              <w:t>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Times New Roman" w:hAnsi="Times New Roman" w:cs="Times New Roman" w:eastAsia="Times New Roman" w:hint="default"/>
                <w:sz w:val="18"/>
                <w:szCs w:val="18"/>
              </w:rPr>
            </w:pPr>
            <w:r>
              <w:rPr>
                <w:rFonts w:ascii="Times New Roman"/>
                <w:sz w:val="18"/>
              </w:rPr>
              <w:t>2</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530" w:right="0"/>
              <w:jc w:val="left"/>
              <w:rPr>
                <w:rFonts w:ascii="Times New Roman" w:hAnsi="Times New Roman" w:cs="Times New Roman" w:eastAsia="Times New Roman" w:hint="default"/>
                <w:sz w:val="18"/>
                <w:szCs w:val="18"/>
              </w:rPr>
            </w:pPr>
            <w:r>
              <w:rPr>
                <w:rFonts w:ascii="Times New Roman"/>
                <w:sz w:val="18"/>
              </w:rPr>
              <w:t>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Times New Roman" w:hAnsi="Times New Roman" w:cs="Times New Roman" w:eastAsia="Times New Roman" w:hint="default"/>
                <w:sz w:val="18"/>
                <w:szCs w:val="18"/>
              </w:rPr>
            </w:pPr>
            <w:r>
              <w:rPr>
                <w:rFonts w:ascii="Times New Roman"/>
                <w:sz w:val="18"/>
              </w:rPr>
              <w:t>0</w:t>
            </w:r>
          </w:p>
        </w:tc>
        <w:tc>
          <w:tcPr>
            <w:tcW w:w="1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否</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1"/>
              <w:jc w:val="center"/>
              <w:rPr>
                <w:rFonts w:ascii="Times New Roman" w:hAnsi="Times New Roman" w:cs="Times New Roman" w:eastAsia="Times New Roman" w:hint="default"/>
                <w:sz w:val="18"/>
                <w:szCs w:val="18"/>
              </w:rPr>
            </w:pPr>
            <w:r>
              <w:rPr>
                <w:rFonts w:ascii="Times New Roman"/>
                <w:sz w:val="18"/>
              </w:rPr>
              <w:t>0</w:t>
            </w:r>
          </w:p>
        </w:tc>
      </w:tr>
    </w:tbl>
    <w:p>
      <w:pPr>
        <w:spacing w:line="240" w:lineRule="auto" w:before="13"/>
        <w:rPr>
          <w:rFonts w:ascii="宋体" w:hAnsi="宋体" w:cs="宋体" w:eastAsia="宋体" w:hint="default"/>
          <w:b/>
          <w:bCs/>
          <w:sz w:val="12"/>
          <w:szCs w:val="12"/>
        </w:rPr>
      </w:pPr>
    </w:p>
    <w:p>
      <w:pPr>
        <w:spacing w:before="36"/>
        <w:ind w:left="575" w:right="113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、独立董事对公司有关事项提出异议的情况</w:t>
      </w:r>
      <w:r>
        <w:rPr>
          <w:rFonts w:ascii="宋体" w:hAnsi="宋体" w:cs="宋体" w:eastAsia="宋体" w:hint="default"/>
          <w:sz w:val="21"/>
          <w:szCs w:val="21"/>
        </w:rPr>
      </w:r>
    </w:p>
    <w:p>
      <w:pPr>
        <w:pStyle w:val="BodyText"/>
        <w:spacing w:line="240" w:lineRule="auto" w:before="100"/>
        <w:ind w:right="1133"/>
        <w:jc w:val="left"/>
        <w:rPr>
          <w:rFonts w:ascii="宋体" w:hAnsi="宋体" w:cs="宋体" w:eastAsia="宋体" w:hint="default"/>
        </w:rPr>
      </w:pPr>
      <w:r>
        <w:rPr>
          <w:rFonts w:ascii="宋体" w:hAnsi="宋体" w:cs="宋体" w:eastAsia="宋体" w:hint="default"/>
          <w:w w:val="100"/>
        </w:rPr>
        <w:t>    </w:t>
      </w:r>
      <w:r>
        <w:rPr/>
        <w:t>独立董事对公司有关事项是否提出异议</w:t>
      </w:r>
      <w:r>
        <w:rPr>
          <w:rFonts w:ascii="宋体" w:hAnsi="宋体" w:cs="宋体" w:eastAsia="宋体" w:hint="default"/>
        </w:rPr>
        <w:t> </w:t>
      </w:r>
    </w:p>
    <w:p>
      <w:pPr>
        <w:pStyle w:val="BodyText"/>
        <w:spacing w:line="240" w:lineRule="auto" w:before="37"/>
        <w:ind w:right="1133"/>
        <w:jc w:val="left"/>
        <w:rPr>
          <w:rFonts w:ascii="宋体" w:hAnsi="宋体" w:cs="宋体" w:eastAsia="宋体" w:hint="default"/>
        </w:rPr>
      </w:pPr>
      <w:r>
        <w:rPr>
          <w:rFonts w:ascii="宋体" w:hAnsi="宋体" w:cs="宋体" w:eastAsia="宋体" w:hint="default"/>
          <w:w w:val="100"/>
        </w:rPr>
        <w:t>    </w:t>
      </w:r>
      <w:r>
        <w:rPr>
          <w:spacing w:val="-3"/>
        </w:rPr>
        <w:t>□ </w:t>
      </w:r>
      <w:r>
        <w:rPr/>
        <w:t>是 </w:t>
      </w:r>
      <w:r>
        <w:rPr>
          <w:rFonts w:ascii="宋体" w:hAnsi="宋体" w:cs="宋体" w:eastAsia="宋体" w:hint="default"/>
        </w:rPr>
      </w:r>
      <w:r>
        <w:rPr/>
        <w:t>√</w:t>
      </w:r>
      <w:r>
        <w:rPr>
          <w:spacing w:val="2"/>
        </w:rPr>
        <w:t> </w:t>
      </w:r>
      <w:r>
        <w:rPr>
          <w:spacing w:val="-3"/>
        </w:rPr>
        <w:t>否</w:t>
      </w:r>
      <w:r>
        <w:rPr>
          <w:rFonts w:ascii="宋体" w:hAnsi="宋体" w:cs="宋体" w:eastAsia="宋体" w:hint="default"/>
        </w:rPr>
        <w:t> </w:t>
      </w:r>
    </w:p>
    <w:p>
      <w:pPr>
        <w:pStyle w:val="BodyText"/>
        <w:spacing w:line="240" w:lineRule="auto" w:before="37"/>
        <w:ind w:right="1133"/>
        <w:jc w:val="left"/>
        <w:rPr>
          <w:rFonts w:ascii="宋体" w:hAnsi="宋体" w:cs="宋体" w:eastAsia="宋体" w:hint="default"/>
        </w:rPr>
      </w:pPr>
      <w:r>
        <w:rPr>
          <w:rFonts w:ascii="宋体" w:hAnsi="宋体" w:cs="宋体" w:eastAsia="宋体" w:hint="default"/>
          <w:w w:val="100"/>
        </w:rPr>
        <w:t>    </w:t>
      </w:r>
      <w:r>
        <w:rPr/>
        <w:t>报告期内独立董事对公司有关事项未提出异议。</w:t>
      </w:r>
      <w:r>
        <w:rPr>
          <w:rFonts w:ascii="宋体" w:hAnsi="宋体" w:cs="宋体" w:eastAsia="宋体" w:hint="default"/>
        </w:rPr>
        <w:t> </w:t>
      </w:r>
    </w:p>
    <w:p>
      <w:pPr>
        <w:spacing w:line="240" w:lineRule="auto" w:before="0"/>
        <w:rPr>
          <w:rFonts w:ascii="宋体" w:hAnsi="宋体" w:cs="宋体" w:eastAsia="宋体" w:hint="default"/>
          <w:sz w:val="23"/>
          <w:szCs w:val="23"/>
        </w:rPr>
      </w:pPr>
    </w:p>
    <w:p>
      <w:pPr>
        <w:pStyle w:val="Heading3"/>
        <w:spacing w:line="240" w:lineRule="auto" w:before="0"/>
        <w:ind w:left="575" w:right="1133"/>
        <w:jc w:val="left"/>
        <w:rPr>
          <w:b w:val="0"/>
          <w:bCs w:val="0"/>
        </w:rPr>
      </w:pPr>
      <w:r>
        <w:rPr>
          <w:rFonts w:ascii="Times New Roman" w:hAnsi="Times New Roman" w:cs="Times New Roman" w:eastAsia="Times New Roman" w:hint="default"/>
        </w:rPr>
        <w:t>3</w:t>
      </w:r>
      <w:r>
        <w:rPr/>
        <w:t>、独立董事履行职责的其他说明</w:t>
      </w:r>
      <w:r>
        <w:rPr>
          <w:b w:val="0"/>
          <w:bCs w:val="0"/>
        </w:rPr>
      </w:r>
    </w:p>
    <w:p>
      <w:pPr>
        <w:pStyle w:val="BodyText"/>
        <w:spacing w:line="240" w:lineRule="auto" w:before="98"/>
        <w:ind w:right="1133"/>
        <w:jc w:val="left"/>
        <w:rPr>
          <w:rFonts w:ascii="宋体" w:hAnsi="宋体" w:cs="宋体" w:eastAsia="宋体" w:hint="default"/>
        </w:rPr>
      </w:pPr>
      <w:r>
        <w:rPr>
          <w:rFonts w:ascii="宋体" w:hAnsi="宋体" w:cs="宋体" w:eastAsia="宋体" w:hint="default"/>
          <w:w w:val="100"/>
        </w:rPr>
        <w:t>    </w:t>
      </w:r>
      <w:r>
        <w:rPr/>
        <w:t>独立董事对公司有关建议是否被采纳</w:t>
      </w:r>
      <w:r>
        <w:rPr>
          <w:rFonts w:ascii="宋体" w:hAnsi="宋体" w:cs="宋体" w:eastAsia="宋体" w:hint="default"/>
        </w:rPr>
        <w:t> </w:t>
      </w:r>
    </w:p>
    <w:p>
      <w:pPr>
        <w:pStyle w:val="BodyText"/>
        <w:spacing w:line="240" w:lineRule="auto" w:before="37"/>
        <w:ind w:right="1133"/>
        <w:jc w:val="left"/>
        <w:rPr>
          <w:rFonts w:ascii="宋体" w:hAnsi="宋体" w:cs="宋体" w:eastAsia="宋体" w:hint="default"/>
        </w:rPr>
      </w:pPr>
      <w:r>
        <w:rPr>
          <w:rFonts w:ascii="宋体" w:hAnsi="宋体" w:cs="宋体" w:eastAsia="宋体" w:hint="default"/>
          <w:w w:val="100"/>
        </w:rPr>
        <w:t>    </w:t>
      </w:r>
      <w:r>
        <w:rPr>
          <w:spacing w:val="-3"/>
        </w:rPr>
        <w:t>√ </w:t>
      </w:r>
      <w:r>
        <w:rPr/>
        <w:t>是 </w:t>
      </w:r>
      <w:r>
        <w:rPr>
          <w:rFonts w:ascii="宋体" w:hAnsi="宋体" w:cs="宋体" w:eastAsia="宋体" w:hint="default"/>
        </w:rPr>
      </w:r>
      <w:r>
        <w:rPr/>
        <w:t>□</w:t>
      </w:r>
      <w:r>
        <w:rPr>
          <w:spacing w:val="2"/>
        </w:rPr>
        <w:t> </w:t>
      </w:r>
      <w:r>
        <w:rPr>
          <w:spacing w:val="-3"/>
        </w:rPr>
        <w:t>否</w:t>
      </w:r>
      <w:r>
        <w:rPr>
          <w:rFonts w:ascii="宋体" w:hAnsi="宋体" w:cs="宋体" w:eastAsia="宋体" w:hint="default"/>
        </w:rPr>
        <w:t> </w:t>
      </w:r>
    </w:p>
    <w:p>
      <w:pPr>
        <w:pStyle w:val="BodyText"/>
        <w:spacing w:line="240" w:lineRule="auto" w:before="39"/>
        <w:ind w:right="1133"/>
        <w:jc w:val="left"/>
        <w:rPr>
          <w:rFonts w:ascii="宋体" w:hAnsi="宋体" w:cs="宋体" w:eastAsia="宋体" w:hint="default"/>
        </w:rPr>
      </w:pPr>
      <w:r>
        <w:rPr>
          <w:rFonts w:ascii="宋体" w:hAnsi="宋体" w:cs="宋体" w:eastAsia="宋体" w:hint="default"/>
          <w:w w:val="100"/>
        </w:rPr>
        <w:t>    </w:t>
      </w:r>
      <w:r>
        <w:rPr/>
        <w:t>独立董事对公司有关建议被采纳或未被采纳的说明</w:t>
      </w:r>
      <w:r>
        <w:rPr>
          <w:rFonts w:ascii="宋体" w:hAnsi="宋体" w:cs="宋体" w:eastAsia="宋体" w:hint="default"/>
        </w:rPr>
        <w:t> </w:t>
      </w:r>
    </w:p>
    <w:p>
      <w:pPr>
        <w:pStyle w:val="BodyText"/>
        <w:spacing w:line="237" w:lineRule="auto" w:before="39"/>
        <w:ind w:right="819"/>
        <w:jc w:val="left"/>
      </w:pPr>
      <w:r>
        <w:rPr>
          <w:rFonts w:ascii="宋体" w:hAnsi="宋体" w:cs="宋体" w:eastAsia="宋体" w:hint="default"/>
          <w:w w:val="100"/>
        </w:rPr>
        <w:t>    </w:t>
      </w:r>
      <w:r>
        <w:rPr/>
        <w:t>公司独立董事根据相关法律法规、规范性文件、《公司章程》等规定，本着对全体股东负责的精神和</w:t>
      </w:r>
      <w:r>
        <w:rPr>
          <w:w w:val="100"/>
        </w:rPr>
        <w:t> </w:t>
      </w:r>
      <w:r>
        <w:rPr/>
        <w:t>独立、客观、公正的原则，勤勉地履行职责，在深入了解公司经营状况、内部控制情况、公司治理情况及</w:t>
      </w:r>
      <w:r>
        <w:rPr>
          <w:w w:val="100"/>
        </w:rPr>
        <w:t> </w:t>
      </w:r>
      <w:r>
        <w:rPr/>
        <w:t>股东大会决议、董事会决议的执行情况，充分发挥各自专业优势，对公司合规风险管理、内部控制和经营</w:t>
      </w:r>
      <w:r>
        <w:rPr>
          <w:w w:val="100"/>
        </w:rPr>
        <w:t> </w:t>
      </w:r>
      <w:r>
        <w:rPr>
          <w:spacing w:val="-7"/>
        </w:rPr>
        <w:t>发展提出了很多宝贵的意见和建议，并对公司利润分配、聘任审计机构、关联交易事项、对外担保、融资、</w:t>
      </w:r>
      <w:r>
        <w:rPr>
          <w:spacing w:val="-28"/>
        </w:rPr>
        <w:t> </w:t>
      </w:r>
      <w:r>
        <w:rPr>
          <w:spacing w:val="-28"/>
        </w:rPr>
      </w:r>
      <w:r>
        <w:rPr/>
        <w:t>董事任职资格、高级管理人员聘任等重大事项出具了独立、公正的独立意见，为完善公司监督机制、促进</w:t>
      </w:r>
      <w:r>
        <w:rPr>
          <w:w w:val="100"/>
        </w:rPr>
        <w:t> </w:t>
      </w:r>
      <w:r>
        <w:rPr>
          <w:spacing w:val="-2"/>
        </w:rPr>
        <w:t>公司合规风险体系的建立健全及风险控制能力的提升、维护公司和全体股东的合法权益发挥了应有的作用。</w:t>
      </w:r>
      <w:r>
        <w:rPr>
          <w:spacing w:val="-43"/>
        </w:rPr>
        <w:t> </w:t>
      </w:r>
      <w:r>
        <w:rPr>
          <w:spacing w:val="-43"/>
        </w:rPr>
      </w:r>
      <w:r>
        <w:rPr/>
        <w:t>公司独立董事对报告期内历次董事会会议审议的议案均未提出异议。公司独立董事提出的建议已经由公司</w:t>
      </w:r>
      <w:r>
        <w:rPr>
          <w:w w:val="100"/>
        </w:rPr>
        <w:t> </w:t>
      </w:r>
      <w:r>
        <w:rPr/>
        <w:t>全部采纳并认真落实，具体包括：不断完善公司内控制度，提高公司治理水平；持续关注宏观经济政策和</w:t>
      </w:r>
      <w:r>
        <w:rPr>
          <w:w w:val="100"/>
        </w:rPr>
        <w:t> </w:t>
      </w:r>
      <w:r>
        <w:rPr/>
        <w:t>行业发展趋势；加强公司董事、监事、高级管理人员的专业素质和管理能力；</w:t>
      </w:r>
      <w:r>
        <w:rPr>
          <w:rFonts w:ascii="Times New Roman" w:hAnsi="Times New Roman" w:cs="Times New Roman" w:eastAsia="Times New Roman" w:hint="default"/>
        </w:rPr>
        <w:t>2019</w:t>
      </w:r>
      <w:r>
        <w:rPr/>
        <w:t>年度公司进行资本公积</w:t>
      </w:r>
      <w:r>
        <w:rPr>
          <w:w w:val="100"/>
        </w:rPr>
        <w:t> </w:t>
      </w:r>
      <w:r>
        <w:rPr/>
        <w:t>金转增股本的的建议等。</w:t>
      </w:r>
    </w:p>
    <w:p>
      <w:pPr>
        <w:spacing w:line="240" w:lineRule="auto" w:before="11"/>
        <w:rPr>
          <w:rFonts w:ascii="宋体" w:hAnsi="宋体" w:cs="宋体" w:eastAsia="宋体" w:hint="default"/>
          <w:sz w:val="22"/>
          <w:szCs w:val="22"/>
        </w:rPr>
      </w:pPr>
    </w:p>
    <w:p>
      <w:pPr>
        <w:pStyle w:val="Heading3"/>
        <w:spacing w:line="240" w:lineRule="auto" w:before="0"/>
        <w:ind w:left="575" w:right="1133"/>
        <w:jc w:val="left"/>
        <w:rPr>
          <w:b w:val="0"/>
          <w:bCs w:val="0"/>
        </w:rPr>
      </w:pPr>
      <w:r>
        <w:rPr/>
        <w:t>六、董事会下设专门委员会在报告期内履行职责情况</w:t>
      </w:r>
      <w:r>
        <w:rPr>
          <w:b w:val="0"/>
          <w:bCs w:val="0"/>
        </w:rPr>
      </w:r>
    </w:p>
    <w:p>
      <w:pPr>
        <w:pStyle w:val="BodyText"/>
        <w:spacing w:line="240" w:lineRule="auto" w:before="116"/>
        <w:ind w:right="819"/>
        <w:jc w:val="left"/>
      </w:pPr>
      <w:r>
        <w:rPr>
          <w:rFonts w:ascii="宋体" w:hAnsi="宋体" w:cs="宋体" w:eastAsia="宋体" w:hint="default"/>
          <w:w w:val="100"/>
        </w:rPr>
        <w:t>    </w:t>
      </w:r>
      <w:r>
        <w:rPr/>
        <w:t>公司董事会下设战略与投资委员会、审计委员会、薪酬与考核委员会、提名委员会 </w:t>
      </w:r>
      <w:r>
        <w:rPr>
          <w:rFonts w:ascii="宋体" w:hAnsi="宋体" w:cs="宋体" w:eastAsia="宋体" w:hint="default"/>
        </w:rPr>
        <w:t>4</w:t>
      </w:r>
      <w:r>
        <w:rPr>
          <w:rFonts w:ascii="宋体" w:hAnsi="宋体" w:cs="宋体" w:eastAsia="宋体" w:hint="default"/>
          <w:spacing w:val="-31"/>
        </w:rPr>
        <w:t> </w:t>
      </w:r>
      <w:r>
        <w:rPr/>
        <w:t>个专门委员会。</w:t>
      </w:r>
    </w:p>
    <w:p>
      <w:pPr>
        <w:spacing w:after="0" w:line="240" w:lineRule="auto"/>
        <w:jc w:val="left"/>
        <w:sectPr>
          <w:pgSz w:w="11910" w:h="16840"/>
          <w:pgMar w:header="921" w:footer="725" w:top="1160" w:bottom="920" w:left="980" w:right="0"/>
        </w:sectPr>
      </w:pPr>
    </w:p>
    <w:p>
      <w:pPr>
        <w:spacing w:line="240" w:lineRule="auto" w:before="12"/>
        <w:rPr>
          <w:rFonts w:ascii="宋体" w:hAnsi="宋体" w:cs="宋体" w:eastAsia="宋体" w:hint="default"/>
          <w:sz w:val="15"/>
          <w:szCs w:val="15"/>
        </w:rPr>
      </w:pPr>
    </w:p>
    <w:p>
      <w:pPr>
        <w:pStyle w:val="BodyText"/>
        <w:spacing w:line="272" w:lineRule="exact" w:before="64"/>
        <w:ind w:right="1133"/>
        <w:jc w:val="left"/>
        <w:rPr>
          <w:rFonts w:ascii="宋体" w:hAnsi="宋体" w:cs="宋体" w:eastAsia="宋体" w:hint="default"/>
        </w:rPr>
      </w:pPr>
      <w:r>
        <w:rPr>
          <w:spacing w:val="-2"/>
        </w:rPr>
        <w:t>报告期内，各专门委员会本着勤勉尽责的原则，按照有关法律法规、规范性文件及公司各专门委员会工作</w:t>
      </w:r>
      <w:r>
        <w:rPr>
          <w:spacing w:val="-45"/>
        </w:rPr>
        <w:t> </w:t>
      </w:r>
      <w:r>
        <w:rPr>
          <w:spacing w:val="-45"/>
        </w:rPr>
      </w:r>
      <w:r>
        <w:rPr/>
        <w:t>细则的有关规定开展相关工作，为董事会的决策提供了科学、专业的意见。</w:t>
      </w:r>
      <w:r>
        <w:rPr>
          <w:rFonts w:ascii="宋体" w:hAnsi="宋体" w:cs="宋体" w:eastAsia="宋体" w:hint="default"/>
        </w:rPr>
        <w:t> </w:t>
      </w:r>
    </w:p>
    <w:p>
      <w:pPr>
        <w:pStyle w:val="Heading3"/>
        <w:spacing w:line="240" w:lineRule="auto" w:before="94"/>
        <w:ind w:right="1133"/>
        <w:jc w:val="left"/>
        <w:rPr>
          <w:rFonts w:ascii="宋体" w:hAnsi="宋体" w:cs="宋体" w:eastAsia="宋体" w:hint="default"/>
          <w:b w:val="0"/>
          <w:bCs w:val="0"/>
        </w:rPr>
      </w:pPr>
      <w:r>
        <w:rPr>
          <w:rFonts w:ascii="宋体" w:hAnsi="宋体" w:cs="宋体" w:eastAsia="宋体" w:hint="default"/>
          <w:w w:val="99"/>
        </w:rPr>
        <w:t>    </w:t>
      </w:r>
      <w:r>
        <w:rPr>
          <w:rFonts w:ascii="宋体" w:hAnsi="宋体" w:cs="宋体" w:eastAsia="宋体" w:hint="default"/>
        </w:rPr>
        <w:t>1</w:t>
      </w:r>
      <w:r>
        <w:rPr/>
        <w:t>、董事会战略与投资委员会</w:t>
      </w:r>
      <w:r>
        <w:rPr>
          <w:rFonts w:ascii="宋体" w:hAnsi="宋体" w:cs="宋体" w:eastAsia="宋体" w:hint="default"/>
          <w:w w:val="99"/>
        </w:rPr>
        <w:t> </w:t>
      </w:r>
      <w:r>
        <w:rPr>
          <w:rFonts w:ascii="宋体" w:hAnsi="宋体" w:cs="宋体" w:eastAsia="宋体" w:hint="default"/>
          <w:b w:val="0"/>
          <w:bCs w:val="0"/>
        </w:rPr>
      </w:r>
    </w:p>
    <w:p>
      <w:pPr>
        <w:pStyle w:val="BodyText"/>
        <w:spacing w:line="237" w:lineRule="auto" w:before="39"/>
        <w:ind w:right="819"/>
        <w:jc w:val="left"/>
        <w:rPr>
          <w:rFonts w:ascii="宋体" w:hAnsi="宋体" w:cs="宋体" w:eastAsia="宋体" w:hint="default"/>
        </w:rPr>
      </w:pPr>
      <w:r>
        <w:rPr>
          <w:rFonts w:ascii="宋体" w:hAnsi="宋体" w:cs="宋体" w:eastAsia="宋体" w:hint="default"/>
          <w:w w:val="100"/>
        </w:rPr>
        <w:t>    </w:t>
      </w:r>
      <w:r>
        <w:rPr>
          <w:spacing w:val="-2"/>
        </w:rPr>
        <w:t>董事会战略与投资委员会是董事会按照《上市公司治理准则》的规定设立的专门工作机构，主要负责</w:t>
      </w:r>
      <w:r>
        <w:rPr>
          <w:w w:val="100"/>
        </w:rPr>
        <w:t> </w:t>
      </w:r>
      <w:r>
        <w:rPr>
          <w:spacing w:val="-4"/>
          <w:w w:val="100"/>
        </w:rPr>
        <w:t>对公司长期发展战略和重大投资决策进行研究并提出建议。公司董事会战略与投资委员会由</w:t>
      </w:r>
      <w:r>
        <w:rPr>
          <w:spacing w:val="-64"/>
          <w:w w:val="100"/>
        </w:rPr>
        <w:t> </w:t>
      </w:r>
      <w:r>
        <w:rPr>
          <w:rFonts w:ascii="宋体" w:hAnsi="宋体" w:cs="宋体" w:eastAsia="宋体" w:hint="default"/>
          <w:w w:val="100"/>
        </w:rPr>
        <w:t>7</w:t>
      </w:r>
      <w:r>
        <w:rPr>
          <w:rFonts w:ascii="宋体" w:hAnsi="宋体" w:cs="宋体" w:eastAsia="宋体" w:hint="default"/>
          <w:spacing w:val="-65"/>
          <w:w w:val="100"/>
        </w:rPr>
        <w:t> </w:t>
      </w:r>
      <w:r>
        <w:rPr>
          <w:spacing w:val="-2"/>
          <w:w w:val="100"/>
        </w:rPr>
        <w:t>名董事组成，</w:t>
      </w:r>
      <w:r>
        <w:rPr>
          <w:w w:val="100"/>
        </w:rPr>
        <w:t> </w:t>
      </w:r>
      <w:r>
        <w:rPr>
          <w:spacing w:val="-2"/>
        </w:rPr>
        <w:t>其中召集人由公司董事长担任。报告期内，公司董事会战略与投资委员会积极履行职责，发挥个人专业特</w:t>
      </w:r>
      <w:r>
        <w:rPr>
          <w:spacing w:val="-42"/>
        </w:rPr>
        <w:t> </w:t>
      </w:r>
      <w:r>
        <w:rPr>
          <w:spacing w:val="-42"/>
        </w:rPr>
      </w:r>
      <w:r>
        <w:rPr/>
        <w:t>长，为公司持续、稳健发展提供了战略层面的支持。</w:t>
      </w:r>
      <w:r>
        <w:rPr>
          <w:rFonts w:ascii="宋体" w:hAnsi="宋体" w:cs="宋体" w:eastAsia="宋体" w:hint="default"/>
        </w:rPr>
        <w:t> </w:t>
      </w:r>
    </w:p>
    <w:p>
      <w:pPr>
        <w:pStyle w:val="BodyText"/>
        <w:spacing w:line="272" w:lineRule="exact" w:before="65"/>
        <w:ind w:right="1017" w:firstLine="420"/>
        <w:jc w:val="left"/>
        <w:rPr>
          <w:rFonts w:ascii="宋体" w:hAnsi="宋体" w:cs="宋体" w:eastAsia="宋体" w:hint="default"/>
        </w:rPr>
      </w:pPr>
      <w:r>
        <w:rPr>
          <w:rFonts w:ascii="宋体" w:hAnsi="宋体" w:cs="宋体" w:eastAsia="宋体" w:hint="default"/>
        </w:rPr>
        <w:t>2019</w:t>
      </w:r>
      <w:r>
        <w:rPr>
          <w:rFonts w:ascii="宋体" w:hAnsi="宋体" w:cs="宋体" w:eastAsia="宋体" w:hint="default"/>
          <w:spacing w:val="-28"/>
        </w:rPr>
        <w:t> </w:t>
      </w:r>
      <w:r>
        <w:rPr/>
        <w:t>年，董事会战略与投资委员会结合“主业突出、业务清晰、同业整合、价值实现”的发展目标，</w:t>
      </w:r>
      <w:r>
        <w:rPr>
          <w:w w:val="100"/>
        </w:rPr>
        <w:t> </w:t>
      </w:r>
      <w:r>
        <w:rPr/>
        <w:t>继续做强做大主业的发展思路，同时积极借助资本市场，为股东创造更大价值。</w:t>
      </w:r>
      <w:r>
        <w:rPr>
          <w:rFonts w:ascii="宋体" w:hAnsi="宋体" w:cs="宋体" w:eastAsia="宋体" w:hint="default"/>
        </w:rPr>
        <w:t> </w:t>
      </w:r>
    </w:p>
    <w:p>
      <w:pPr>
        <w:pStyle w:val="Heading3"/>
        <w:spacing w:line="240" w:lineRule="auto" w:before="91"/>
        <w:ind w:right="1133"/>
        <w:jc w:val="left"/>
        <w:rPr>
          <w:rFonts w:ascii="宋体" w:hAnsi="宋体" w:cs="宋体" w:eastAsia="宋体" w:hint="default"/>
          <w:b w:val="0"/>
          <w:bCs w:val="0"/>
        </w:rPr>
      </w:pPr>
      <w:r>
        <w:rPr>
          <w:rFonts w:ascii="宋体" w:hAnsi="宋体" w:cs="宋体" w:eastAsia="宋体" w:hint="default"/>
          <w:w w:val="99"/>
        </w:rPr>
        <w:t>    </w:t>
      </w:r>
      <w:r>
        <w:rPr>
          <w:rFonts w:ascii="宋体" w:hAnsi="宋体" w:cs="宋体" w:eastAsia="宋体" w:hint="default"/>
        </w:rPr>
        <w:t>2</w:t>
      </w:r>
      <w:r>
        <w:rPr/>
        <w:t>、董事会审计委员会</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39"/>
        <w:ind w:right="1133"/>
        <w:jc w:val="left"/>
        <w:rPr>
          <w:rFonts w:ascii="宋体" w:hAnsi="宋体" w:cs="宋体" w:eastAsia="宋体" w:hint="default"/>
        </w:rPr>
      </w:pPr>
      <w:r>
        <w:rPr>
          <w:rFonts w:ascii="宋体" w:hAnsi="宋体" w:cs="宋体" w:eastAsia="宋体" w:hint="default"/>
          <w:w w:val="100"/>
        </w:rPr>
        <w:t>    </w:t>
      </w:r>
      <w:r>
        <w:rPr/>
        <w:t>公司董事会审计委员会由</w:t>
      </w:r>
      <w:r>
        <w:rPr>
          <w:spacing w:val="-55"/>
        </w:rPr>
        <w:t> </w:t>
      </w:r>
      <w:r>
        <w:rPr>
          <w:rFonts w:ascii="宋体" w:hAnsi="宋体" w:cs="宋体" w:eastAsia="宋体" w:hint="default"/>
        </w:rPr>
        <w:t>3</w:t>
      </w:r>
      <w:r>
        <w:rPr>
          <w:rFonts w:ascii="宋体" w:hAnsi="宋体" w:cs="宋体" w:eastAsia="宋体" w:hint="default"/>
          <w:spacing w:val="-56"/>
        </w:rPr>
        <w:t> </w:t>
      </w:r>
      <w:r>
        <w:rPr/>
        <w:t>名独立董事和</w:t>
      </w:r>
      <w:r>
        <w:rPr>
          <w:spacing w:val="-55"/>
        </w:rPr>
        <w:t> </w:t>
      </w:r>
      <w:r>
        <w:rPr>
          <w:rFonts w:ascii="宋体" w:hAnsi="宋体" w:cs="宋体" w:eastAsia="宋体" w:hint="default"/>
        </w:rPr>
        <w:t>2</w:t>
      </w:r>
      <w:r>
        <w:rPr>
          <w:rFonts w:ascii="宋体" w:hAnsi="宋体" w:cs="宋体" w:eastAsia="宋体" w:hint="default"/>
          <w:spacing w:val="-55"/>
        </w:rPr>
        <w:t> </w:t>
      </w:r>
      <w:r>
        <w:rPr/>
        <w:t>名董事组成，召集人由会计专业人士独立董事担任。</w:t>
      </w:r>
      <w:r>
        <w:rPr>
          <w:rFonts w:ascii="宋体" w:hAnsi="宋体" w:cs="宋体" w:eastAsia="宋体" w:hint="default"/>
        </w:rPr>
        <w:t> </w:t>
      </w:r>
    </w:p>
    <w:p>
      <w:pPr>
        <w:pStyle w:val="BodyText"/>
        <w:tabs>
          <w:tab w:pos="7975" w:val="left" w:leader="none"/>
        </w:tabs>
        <w:spacing w:line="237" w:lineRule="auto" w:before="39"/>
        <w:ind w:right="1025"/>
        <w:jc w:val="left"/>
        <w:rPr>
          <w:rFonts w:ascii="宋体" w:hAnsi="宋体" w:cs="宋体" w:eastAsia="宋体" w:hint="default"/>
        </w:rPr>
      </w:pPr>
      <w:r>
        <w:rPr>
          <w:rFonts w:ascii="宋体" w:hAnsi="宋体" w:cs="宋体" w:eastAsia="宋体" w:hint="default"/>
          <w:w w:val="100"/>
        </w:rPr>
        <w:t>   </w:t>
      </w:r>
      <w:r>
        <w:rPr>
          <w:rFonts w:ascii="宋体" w:hAnsi="宋体" w:cs="宋体" w:eastAsia="宋体" w:hint="default"/>
          <w:spacing w:val="-2"/>
          <w:w w:val="100"/>
        </w:rPr>
        <w:t> </w:t>
      </w:r>
      <w:r>
        <w:rPr>
          <w:spacing w:val="-2"/>
          <w:w w:val="100"/>
        </w:rPr>
        <w:t>公司董事会审计委员会积极开展年报相关工作，在会计师进场审计前与年审会计师就审计时间安排、</w:t>
      </w:r>
      <w:r>
        <w:rPr>
          <w:rFonts w:ascii="宋体" w:hAnsi="宋体" w:cs="宋体" w:eastAsia="宋体" w:hint="default"/>
          <w:w w:val="100"/>
        </w:rPr>
        <w:t> </w:t>
      </w:r>
      <w:r>
        <w:rPr>
          <w:spacing w:val="-2"/>
        </w:rPr>
        <w:t>审计注意事项等进行了充分的沟通。在审计机构审计期间两次审阅了公司的财务报表，并与会计师就公司</w:t>
      </w:r>
      <w:r>
        <w:rPr>
          <w:spacing w:val="-42"/>
        </w:rPr>
        <w:t> </w:t>
      </w:r>
      <w:r>
        <w:rPr>
          <w:spacing w:val="-42"/>
        </w:rPr>
      </w:r>
      <w:r>
        <w:rPr>
          <w:spacing w:val="-2"/>
        </w:rPr>
        <w:t>审计重要事项进行了现场沟通，并形成书面审阅记录。在会计师事务所出具审计报告后，审计委员会对审</w:t>
      </w:r>
      <w:r>
        <w:rPr>
          <w:spacing w:val="-43"/>
        </w:rPr>
        <w:t> </w:t>
      </w:r>
      <w:r>
        <w:rPr>
          <w:spacing w:val="-43"/>
        </w:rPr>
      </w:r>
      <w:r>
        <w:rPr>
          <w:spacing w:val="-2"/>
        </w:rPr>
        <w:t>计报告进行审议，对会计师事务所的审计工作进行评价，提出聘任年度财务审计机构的意见。同时审计委</w:t>
      </w:r>
      <w:r>
        <w:rPr>
          <w:spacing w:val="-45"/>
        </w:rPr>
        <w:t> </w:t>
      </w:r>
      <w:r>
        <w:rPr>
          <w:spacing w:val="-45"/>
        </w:rPr>
      </w:r>
      <w:r>
        <w:rPr/>
        <w:t>员会审核了公司</w:t>
      </w:r>
      <w:r>
        <w:rPr>
          <w:spacing w:val="-55"/>
        </w:rPr>
        <w:t> </w:t>
      </w:r>
      <w:r>
        <w:rPr>
          <w:rFonts w:ascii="宋体" w:hAnsi="宋体" w:cs="宋体" w:eastAsia="宋体" w:hint="default"/>
        </w:rPr>
        <w:t>2018</w:t>
      </w:r>
      <w:r>
        <w:rPr>
          <w:rFonts w:ascii="宋体" w:hAnsi="宋体" w:cs="宋体" w:eastAsia="宋体" w:hint="default"/>
          <w:spacing w:val="-55"/>
        </w:rPr>
        <w:t> </w:t>
      </w:r>
      <w:r>
        <w:rPr/>
        <w:t>年年度报告、</w:t>
      </w:r>
      <w:r>
        <w:rPr>
          <w:rFonts w:ascii="宋体" w:hAnsi="宋体" w:cs="宋体" w:eastAsia="宋体" w:hint="default"/>
        </w:rPr>
        <w:t>2019</w:t>
      </w:r>
      <w:r>
        <w:rPr>
          <w:rFonts w:ascii="宋体" w:hAnsi="宋体" w:cs="宋体" w:eastAsia="宋体" w:hint="default"/>
          <w:spacing w:val="-57"/>
        </w:rPr>
        <w:t> </w:t>
      </w:r>
      <w:r>
        <w:rPr/>
        <w:t>年第一季度、</w:t>
      </w:r>
      <w:r>
        <w:rPr>
          <w:spacing w:val="-4"/>
        </w:rPr>
        <w:t> </w:t>
      </w:r>
      <w:r>
        <w:rPr>
          <w:rFonts w:ascii="宋体" w:hAnsi="宋体" w:cs="宋体" w:eastAsia="宋体" w:hint="default"/>
          <w:spacing w:val="-4"/>
        </w:rPr>
      </w:r>
      <w:r>
        <w:rPr/>
        <w:t>半年度以及第三季度报告。</w:t>
        <w:tab/>
      </w:r>
      <w:r>
        <w:rPr>
          <w:rFonts w:ascii="宋体" w:hAnsi="宋体" w:cs="宋体" w:eastAsia="宋体" w:hint="default"/>
          <w:w w:val="100"/>
        </w:rPr>
        <w:t> </w:t>
      </w:r>
    </w:p>
    <w:p>
      <w:pPr>
        <w:pStyle w:val="Heading3"/>
        <w:spacing w:line="240" w:lineRule="auto" w:before="116"/>
        <w:ind w:right="1133"/>
        <w:jc w:val="left"/>
        <w:rPr>
          <w:rFonts w:ascii="宋体" w:hAnsi="宋体" w:cs="宋体" w:eastAsia="宋体" w:hint="default"/>
          <w:b w:val="0"/>
          <w:bCs w:val="0"/>
        </w:rPr>
      </w:pPr>
      <w:r>
        <w:rPr>
          <w:rFonts w:ascii="宋体" w:hAnsi="宋体" w:cs="宋体" w:eastAsia="宋体" w:hint="default"/>
          <w:w w:val="99"/>
        </w:rPr>
        <w:t>    </w:t>
      </w:r>
      <w:r>
        <w:rPr>
          <w:rFonts w:ascii="宋体" w:hAnsi="宋体" w:cs="宋体" w:eastAsia="宋体" w:hint="default"/>
        </w:rPr>
        <w:t>3</w:t>
      </w:r>
      <w:r>
        <w:rPr/>
        <w:t>、董事会提名委员会</w:t>
      </w:r>
      <w:r>
        <w:rPr>
          <w:rFonts w:ascii="宋体" w:hAnsi="宋体" w:cs="宋体" w:eastAsia="宋体" w:hint="default"/>
          <w:w w:val="99"/>
        </w:rPr>
        <w:t> </w:t>
      </w:r>
      <w:r>
        <w:rPr>
          <w:rFonts w:ascii="宋体" w:hAnsi="宋体" w:cs="宋体" w:eastAsia="宋体" w:hint="default"/>
          <w:b w:val="0"/>
          <w:bCs w:val="0"/>
        </w:rPr>
      </w:r>
    </w:p>
    <w:p>
      <w:pPr>
        <w:pStyle w:val="BodyText"/>
        <w:tabs>
          <w:tab w:pos="2044" w:val="left" w:leader="none"/>
        </w:tabs>
        <w:spacing w:line="240" w:lineRule="auto" w:before="37"/>
        <w:ind w:right="1133"/>
        <w:jc w:val="left"/>
        <w:rPr>
          <w:rFonts w:ascii="宋体" w:hAnsi="宋体" w:cs="宋体" w:eastAsia="宋体" w:hint="default"/>
        </w:rPr>
      </w:pPr>
      <w:r>
        <w:rPr>
          <w:rFonts w:ascii="宋体" w:hAnsi="宋体" w:cs="宋体" w:eastAsia="宋体" w:hint="default"/>
          <w:w w:val="100"/>
        </w:rPr>
        <w:t>    </w:t>
      </w:r>
      <w:r>
        <w:rPr>
          <w:spacing w:val="-2"/>
        </w:rPr>
        <w:t>报告期内，董事会提名委员会认真履行职责，对聘任的董事及高级管理人员进行审查并提出建议，切</w:t>
      </w:r>
      <w:r>
        <w:rPr>
          <w:w w:val="100"/>
        </w:rPr>
        <w:t> </w:t>
      </w:r>
      <w:r>
        <w:rPr/>
        <w:t>实维护公司利益。</w:t>
        <w:tab/>
      </w:r>
      <w:r>
        <w:rPr>
          <w:rFonts w:ascii="宋体" w:hAnsi="宋体" w:cs="宋体" w:eastAsia="宋体" w:hint="default"/>
          <w:w w:val="100"/>
        </w:rPr>
        <w:t> </w:t>
      </w:r>
    </w:p>
    <w:p>
      <w:pPr>
        <w:pStyle w:val="Heading3"/>
        <w:spacing w:line="240" w:lineRule="auto" w:before="116"/>
        <w:ind w:right="1133"/>
        <w:jc w:val="left"/>
        <w:rPr>
          <w:rFonts w:ascii="宋体" w:hAnsi="宋体" w:cs="宋体" w:eastAsia="宋体" w:hint="default"/>
          <w:b w:val="0"/>
          <w:bCs w:val="0"/>
        </w:rPr>
      </w:pPr>
      <w:r>
        <w:rPr>
          <w:rFonts w:ascii="宋体" w:hAnsi="宋体" w:cs="宋体" w:eastAsia="宋体" w:hint="default"/>
          <w:w w:val="99"/>
        </w:rPr>
        <w:t>    </w:t>
      </w:r>
      <w:r>
        <w:rPr>
          <w:rFonts w:ascii="宋体" w:hAnsi="宋体" w:cs="宋体" w:eastAsia="宋体" w:hint="default"/>
        </w:rPr>
        <w:t>4</w:t>
      </w:r>
      <w:r>
        <w:rPr/>
        <w:t>、董事会薪酬与考核委员会</w:t>
      </w:r>
      <w:r>
        <w:rPr>
          <w:rFonts w:ascii="宋体" w:hAnsi="宋体" w:cs="宋体" w:eastAsia="宋体" w:hint="default"/>
          <w:w w:val="99"/>
        </w:rPr>
        <w:t> </w:t>
      </w:r>
      <w:r>
        <w:rPr>
          <w:rFonts w:ascii="宋体" w:hAnsi="宋体" w:cs="宋体" w:eastAsia="宋体" w:hint="default"/>
          <w:b w:val="0"/>
          <w:bCs w:val="0"/>
        </w:rPr>
      </w:r>
    </w:p>
    <w:p>
      <w:pPr>
        <w:pStyle w:val="BodyText"/>
        <w:tabs>
          <w:tab w:pos="6247" w:val="left" w:leader="none"/>
        </w:tabs>
        <w:spacing w:line="272" w:lineRule="exact" w:before="67"/>
        <w:ind w:right="1133"/>
        <w:jc w:val="left"/>
        <w:rPr>
          <w:rFonts w:ascii="宋体" w:hAnsi="宋体" w:cs="宋体" w:eastAsia="宋体" w:hint="default"/>
        </w:rPr>
      </w:pPr>
      <w:r>
        <w:rPr>
          <w:rFonts w:ascii="宋体" w:hAnsi="宋体" w:cs="宋体" w:eastAsia="宋体" w:hint="default"/>
          <w:w w:val="100"/>
        </w:rPr>
        <w:t>    </w:t>
      </w:r>
      <w:r>
        <w:rPr>
          <w:spacing w:val="-2"/>
        </w:rPr>
        <w:t>薪酬与考核委员会对公司总体薪酬发放情况及公司所披露的董事、监事及高级管理人员薪酬情况进行</w:t>
      </w:r>
      <w:r>
        <w:rPr>
          <w:w w:val="100"/>
        </w:rPr>
        <w:t> </w:t>
      </w:r>
      <w:r>
        <w:rPr/>
        <w:t>了审核，并对有关董事、监事及高级管理人员进行了绩效考评。</w:t>
        <w:tab/>
      </w:r>
      <w:r>
        <w:rPr>
          <w:rFonts w:ascii="宋体" w:hAnsi="宋体" w:cs="宋体" w:eastAsia="宋体" w:hint="default"/>
          <w:w w:val="100"/>
        </w:rPr>
        <w:t> </w:t>
      </w:r>
    </w:p>
    <w:p>
      <w:pPr>
        <w:spacing w:line="240" w:lineRule="auto" w:before="12"/>
        <w:rPr>
          <w:rFonts w:ascii="宋体" w:hAnsi="宋体" w:cs="宋体" w:eastAsia="宋体" w:hint="default"/>
          <w:sz w:val="20"/>
          <w:szCs w:val="20"/>
        </w:rPr>
      </w:pPr>
    </w:p>
    <w:p>
      <w:pPr>
        <w:pStyle w:val="Heading3"/>
        <w:spacing w:line="240" w:lineRule="auto" w:before="0"/>
        <w:ind w:left="633" w:right="1133"/>
        <w:jc w:val="left"/>
        <w:rPr>
          <w:b w:val="0"/>
          <w:bCs w:val="0"/>
        </w:rPr>
      </w:pPr>
      <w:r>
        <w:rPr/>
        <w:t>七、监事会工作情况</w:t>
      </w:r>
      <w:r>
        <w:rPr>
          <w:b w:val="0"/>
          <w:bCs w:val="0"/>
        </w:rPr>
      </w:r>
    </w:p>
    <w:p>
      <w:pPr>
        <w:pStyle w:val="BodyText"/>
        <w:spacing w:line="240" w:lineRule="auto" w:before="116"/>
        <w:ind w:right="1133"/>
        <w:jc w:val="left"/>
        <w:rPr>
          <w:rFonts w:ascii="宋体" w:hAnsi="宋体" w:cs="宋体" w:eastAsia="宋体" w:hint="default"/>
        </w:rPr>
      </w:pPr>
      <w:r>
        <w:rPr>
          <w:rFonts w:ascii="宋体" w:hAnsi="宋体" w:cs="宋体" w:eastAsia="宋体" w:hint="default"/>
          <w:w w:val="100"/>
        </w:rPr>
        <w:t>    </w:t>
      </w:r>
      <w:r>
        <w:rPr/>
        <w:t>监事会在报告期内的监督活动中发现公司是否存在风险</w:t>
      </w:r>
      <w:r>
        <w:rPr>
          <w:rFonts w:ascii="宋体" w:hAnsi="宋体" w:cs="宋体" w:eastAsia="宋体" w:hint="default"/>
        </w:rPr>
        <w:t> </w:t>
      </w:r>
    </w:p>
    <w:p>
      <w:pPr>
        <w:pStyle w:val="BodyText"/>
        <w:spacing w:line="240" w:lineRule="auto" w:before="37"/>
        <w:ind w:right="1133"/>
        <w:jc w:val="left"/>
        <w:rPr>
          <w:rFonts w:ascii="宋体" w:hAnsi="宋体" w:cs="宋体" w:eastAsia="宋体" w:hint="default"/>
        </w:rPr>
      </w:pPr>
      <w:r>
        <w:rPr>
          <w:rFonts w:ascii="宋体" w:hAnsi="宋体" w:cs="宋体" w:eastAsia="宋体" w:hint="default"/>
          <w:w w:val="100"/>
        </w:rPr>
        <w:t>    </w:t>
      </w:r>
      <w:r>
        <w:rPr>
          <w:spacing w:val="-3"/>
        </w:rPr>
        <w:t>□ </w:t>
      </w:r>
      <w:r>
        <w:rPr/>
        <w:t>是 </w:t>
      </w:r>
      <w:r>
        <w:rPr>
          <w:rFonts w:ascii="宋体" w:hAnsi="宋体" w:cs="宋体" w:eastAsia="宋体" w:hint="default"/>
        </w:rPr>
      </w:r>
      <w:r>
        <w:rPr/>
        <w:t>√</w:t>
      </w:r>
      <w:r>
        <w:rPr>
          <w:spacing w:val="2"/>
        </w:rPr>
        <w:t> </w:t>
      </w:r>
      <w:r>
        <w:rPr>
          <w:spacing w:val="-3"/>
        </w:rPr>
        <w:t>否</w:t>
      </w:r>
      <w:r>
        <w:rPr>
          <w:rFonts w:ascii="宋体" w:hAnsi="宋体" w:cs="宋体" w:eastAsia="宋体" w:hint="default"/>
        </w:rPr>
        <w:t> </w:t>
      </w:r>
    </w:p>
    <w:p>
      <w:pPr>
        <w:pStyle w:val="BodyText"/>
        <w:spacing w:line="240" w:lineRule="auto" w:before="37"/>
        <w:ind w:right="1133"/>
        <w:jc w:val="left"/>
        <w:rPr>
          <w:rFonts w:ascii="宋体" w:hAnsi="宋体" w:cs="宋体" w:eastAsia="宋体" w:hint="default"/>
        </w:rPr>
      </w:pPr>
      <w:r>
        <w:rPr>
          <w:rFonts w:ascii="宋体" w:hAnsi="宋体" w:cs="宋体" w:eastAsia="宋体" w:hint="default"/>
          <w:w w:val="100"/>
        </w:rPr>
        <w:t>    </w:t>
      </w:r>
      <w:r>
        <w:rPr/>
        <w:t>监事会对报告期内的监督事项无异议。</w:t>
      </w:r>
      <w:r>
        <w:rPr>
          <w:rFonts w:ascii="宋体" w:hAnsi="宋体" w:cs="宋体" w:eastAsia="宋体" w:hint="default"/>
        </w:rPr>
        <w:t> </w:t>
      </w:r>
    </w:p>
    <w:p>
      <w:pPr>
        <w:spacing w:line="240" w:lineRule="auto" w:before="0"/>
        <w:rPr>
          <w:rFonts w:ascii="宋体" w:hAnsi="宋体" w:cs="宋体" w:eastAsia="宋体" w:hint="default"/>
          <w:sz w:val="14"/>
          <w:szCs w:val="14"/>
        </w:rPr>
      </w:pPr>
    </w:p>
    <w:p>
      <w:pPr>
        <w:spacing w:line="390" w:lineRule="atLeast" w:before="0"/>
        <w:ind w:left="573" w:right="1133" w:firstLine="60"/>
        <w:jc w:val="left"/>
        <w:rPr>
          <w:rFonts w:ascii="宋体" w:hAnsi="宋体" w:cs="宋体" w:eastAsia="宋体" w:hint="default"/>
          <w:sz w:val="21"/>
          <w:szCs w:val="21"/>
        </w:rPr>
      </w:pPr>
      <w:r>
        <w:rPr>
          <w:rFonts w:ascii="宋体" w:hAnsi="宋体" w:cs="宋体" w:eastAsia="宋体" w:hint="default"/>
          <w:b/>
          <w:bCs/>
          <w:sz w:val="21"/>
          <w:szCs w:val="21"/>
        </w:rPr>
        <w:t>八、高级管理人员的考评及激励情况</w:t>
      </w:r>
      <w:r>
        <w:rPr>
          <w:rFonts w:ascii="宋体" w:hAnsi="宋体" w:cs="宋体" w:eastAsia="宋体" w:hint="default"/>
          <w:b/>
          <w:bCs/>
          <w:w w:val="100"/>
          <w:sz w:val="21"/>
          <w:szCs w:val="21"/>
        </w:rPr>
        <w:t> </w:t>
      </w:r>
      <w:r>
        <w:rPr>
          <w:rFonts w:ascii="宋体" w:hAnsi="宋体" w:cs="宋体" w:eastAsia="宋体" w:hint="default"/>
          <w:spacing w:val="-2"/>
          <w:sz w:val="21"/>
          <w:szCs w:val="21"/>
        </w:rPr>
        <w:t>董事会根据公司经营工作开展及经营目标实现情况考评经理层，公司总裁代表经理层向董事会报告工</w:t>
      </w:r>
    </w:p>
    <w:p>
      <w:pPr>
        <w:pStyle w:val="BodyText"/>
        <w:spacing w:line="230" w:lineRule="auto" w:before="8"/>
        <w:ind w:right="1126"/>
        <w:jc w:val="both"/>
      </w:pPr>
      <w:r>
        <w:rPr>
          <w:spacing w:val="-2"/>
        </w:rPr>
        <w:t>作情况，公司董事会对经理层</w:t>
      </w:r>
      <w:r>
        <w:rPr>
          <w:rFonts w:ascii="Times New Roman" w:hAnsi="Times New Roman" w:cs="Times New Roman" w:eastAsia="Times New Roman" w:hint="default"/>
          <w:spacing w:val="-2"/>
        </w:rPr>
        <w:t>2019</w:t>
      </w:r>
      <w:r>
        <w:rPr>
          <w:spacing w:val="-2"/>
        </w:rPr>
        <w:t>年度的工作予以肯定。公司董事会建立起基本薪酬加绩效薪酬、绩效薪</w:t>
      </w:r>
      <w:r>
        <w:rPr>
          <w:spacing w:val="-40"/>
        </w:rPr>
        <w:t> </w:t>
      </w:r>
      <w:r>
        <w:rPr>
          <w:spacing w:val="-40"/>
        </w:rPr>
      </w:r>
      <w:r>
        <w:rPr>
          <w:spacing w:val="-2"/>
        </w:rPr>
        <w:t>酬与年度经营业绩挂钩的激励制度，并按制度实施。公司将借鉴其他上市公司的成功经验，结合公司实际</w:t>
      </w:r>
      <w:r>
        <w:rPr>
          <w:spacing w:val="-45"/>
        </w:rPr>
        <w:t> </w:t>
      </w:r>
      <w:r>
        <w:rPr>
          <w:spacing w:val="-45"/>
        </w:rPr>
      </w:r>
      <w:r>
        <w:rPr/>
        <w:t>情况，继续完善激励机制。</w:t>
      </w:r>
    </w:p>
    <w:p>
      <w:pPr>
        <w:spacing w:line="240" w:lineRule="auto" w:before="10"/>
        <w:rPr>
          <w:rFonts w:ascii="宋体" w:hAnsi="宋体" w:cs="宋体" w:eastAsia="宋体" w:hint="default"/>
          <w:sz w:val="22"/>
          <w:szCs w:val="22"/>
        </w:rPr>
      </w:pPr>
    </w:p>
    <w:p>
      <w:pPr>
        <w:pStyle w:val="Heading3"/>
        <w:spacing w:line="240" w:lineRule="auto" w:before="0"/>
        <w:ind w:left="513" w:right="1133"/>
        <w:jc w:val="left"/>
        <w:rPr>
          <w:b w:val="0"/>
          <w:bCs w:val="0"/>
        </w:rPr>
      </w:pPr>
      <w:r>
        <w:rPr/>
        <w:t>九、内部控制情况</w:t>
      </w:r>
      <w:r>
        <w:rPr>
          <w:b w:val="0"/>
          <w:bCs w:val="0"/>
        </w:rPr>
      </w:r>
    </w:p>
    <w:p>
      <w:pPr>
        <w:spacing w:before="118"/>
        <w:ind w:left="575" w:right="113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、报告期内发现的内部控制重大缺陷的具体情况</w:t>
      </w:r>
      <w:r>
        <w:rPr>
          <w:rFonts w:ascii="宋体" w:hAnsi="宋体" w:cs="宋体" w:eastAsia="宋体" w:hint="default"/>
          <w:sz w:val="21"/>
          <w:szCs w:val="21"/>
        </w:rPr>
      </w:r>
    </w:p>
    <w:p>
      <w:pPr>
        <w:pStyle w:val="BodyText"/>
        <w:spacing w:line="240" w:lineRule="auto" w:before="21"/>
        <w:ind w:right="1133"/>
        <w:jc w:val="left"/>
        <w:rPr>
          <w:rFonts w:ascii="宋体" w:hAnsi="宋体" w:cs="宋体" w:eastAsia="宋体" w:hint="default"/>
        </w:rPr>
      </w:pPr>
      <w:r>
        <w:rPr>
          <w:rFonts w:ascii="宋体" w:hAnsi="宋体" w:cs="宋体" w:eastAsia="宋体" w:hint="default"/>
          <w:w w:val="100"/>
        </w:rPr>
        <w:t>    </w:t>
      </w:r>
      <w:r>
        <w:rPr>
          <w:spacing w:val="-3"/>
        </w:rPr>
        <w:t>□ </w:t>
      </w:r>
      <w:r>
        <w:rPr/>
        <w:t>是 </w:t>
      </w:r>
      <w:r>
        <w:rPr>
          <w:rFonts w:ascii="宋体" w:hAnsi="宋体" w:cs="宋体" w:eastAsia="宋体" w:hint="default"/>
        </w:rPr>
      </w:r>
      <w:r>
        <w:rPr/>
        <w:t>√</w:t>
      </w:r>
      <w:r>
        <w:rPr>
          <w:spacing w:val="2"/>
        </w:rPr>
        <w:t> </w:t>
      </w:r>
      <w:r>
        <w:rPr>
          <w:spacing w:val="-3"/>
        </w:rPr>
        <w:t>否</w:t>
      </w:r>
      <w:r>
        <w:rPr>
          <w:rFonts w:ascii="宋体" w:hAnsi="宋体" w:cs="宋体" w:eastAsia="宋体" w:hint="default"/>
        </w:rPr>
        <w:t> </w:t>
      </w:r>
    </w:p>
    <w:p>
      <w:pPr>
        <w:spacing w:line="240" w:lineRule="auto" w:before="12"/>
        <w:rPr>
          <w:rFonts w:ascii="宋体" w:hAnsi="宋体" w:cs="宋体" w:eastAsia="宋体" w:hint="default"/>
          <w:sz w:val="22"/>
          <w:szCs w:val="22"/>
        </w:rPr>
      </w:pPr>
    </w:p>
    <w:p>
      <w:pPr>
        <w:pStyle w:val="Heading3"/>
        <w:spacing w:line="240" w:lineRule="auto" w:before="0"/>
        <w:ind w:left="575" w:right="1133"/>
        <w:jc w:val="left"/>
        <w:rPr>
          <w:b w:val="0"/>
          <w:bCs w:val="0"/>
        </w:rPr>
      </w:pPr>
      <w:r>
        <w:rPr>
          <w:rFonts w:ascii="Times New Roman" w:hAnsi="Times New Roman" w:cs="Times New Roman" w:eastAsia="Times New Roman" w:hint="default"/>
        </w:rPr>
        <w:t>2</w:t>
      </w:r>
      <w:r>
        <w:rPr/>
        <w:t>、内控自我评价报告</w:t>
      </w:r>
      <w:r>
        <w:rPr>
          <w:b w:val="0"/>
          <w:bCs w:val="0"/>
        </w:rPr>
      </w:r>
    </w:p>
    <w:tbl>
      <w:tblPr>
        <w:tblW w:w="0" w:type="auto"/>
        <w:jc w:val="left"/>
        <w:tblInd w:w="148" w:type="dxa"/>
        <w:tblLayout w:type="fixed"/>
        <w:tblCellMar>
          <w:top w:w="0" w:type="dxa"/>
          <w:left w:w="0" w:type="dxa"/>
          <w:bottom w:w="0" w:type="dxa"/>
          <w:right w:w="0" w:type="dxa"/>
        </w:tblCellMar>
        <w:tblLook w:val="01E0"/>
      </w:tblPr>
      <w:tblGrid>
        <w:gridCol w:w="994"/>
        <w:gridCol w:w="2269"/>
        <w:gridCol w:w="3401"/>
        <w:gridCol w:w="2907"/>
      </w:tblGrid>
      <w:tr>
        <w:trPr>
          <w:trHeight w:val="322" w:hRule="exact"/>
        </w:trPr>
        <w:tc>
          <w:tcPr>
            <w:tcW w:w="326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4"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内部控制评价报告全文披露日期</w:t>
            </w:r>
          </w:p>
        </w:tc>
        <w:tc>
          <w:tcPr>
            <w:tcW w:w="630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 </w:t>
            </w:r>
            <w:r>
              <w:rPr>
                <w:rFonts w:ascii="宋体" w:hAnsi="宋体" w:cs="宋体" w:eastAsia="宋体" w:hint="default"/>
                <w:sz w:val="18"/>
                <w:szCs w:val="18"/>
              </w:rPr>
              <w:t>日</w:t>
            </w:r>
          </w:p>
        </w:tc>
      </w:tr>
      <w:tr>
        <w:trPr>
          <w:trHeight w:val="324" w:hRule="exact"/>
        </w:trPr>
        <w:tc>
          <w:tcPr>
            <w:tcW w:w="3263"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内部控制评价报告全文披露索引</w:t>
            </w:r>
          </w:p>
        </w:tc>
        <w:tc>
          <w:tcPr>
            <w:tcW w:w="630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24" w:right="0"/>
              <w:jc w:val="left"/>
              <w:rPr>
                <w:rFonts w:ascii="宋体" w:hAnsi="宋体" w:cs="宋体" w:eastAsia="宋体" w:hint="default"/>
                <w:sz w:val="18"/>
                <w:szCs w:val="18"/>
              </w:rPr>
            </w:pPr>
            <w:r>
              <w:rPr>
                <w:rFonts w:ascii="宋体" w:hAnsi="宋体" w:cs="宋体" w:eastAsia="宋体" w:hint="default"/>
                <w:sz w:val="18"/>
                <w:szCs w:val="18"/>
              </w:rPr>
              <w:t>指定网站：巨潮资讯网，标题：公司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年度内部控制评价报告</w:t>
            </w:r>
          </w:p>
        </w:tc>
      </w:tr>
      <w:tr>
        <w:trPr>
          <w:trHeight w:val="324" w:hRule="exact"/>
        </w:trPr>
        <w:tc>
          <w:tcPr>
            <w:tcW w:w="6664"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4" w:right="0"/>
              <w:jc w:val="left"/>
              <w:rPr>
                <w:rFonts w:ascii="宋体" w:hAnsi="宋体" w:cs="宋体" w:eastAsia="宋体" w:hint="default"/>
                <w:sz w:val="18"/>
                <w:szCs w:val="18"/>
              </w:rPr>
            </w:pPr>
            <w:r>
              <w:rPr>
                <w:rFonts w:ascii="宋体" w:hAnsi="宋体" w:cs="宋体" w:eastAsia="宋体" w:hint="default"/>
                <w:sz w:val="18"/>
                <w:szCs w:val="18"/>
              </w:rPr>
              <w:t>纳入评价范围单位资产总额占公司合并财务报表资产总额的比例</w:t>
            </w:r>
          </w:p>
        </w:tc>
        <w:tc>
          <w:tcPr>
            <w:tcW w:w="2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21"/>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324" w:hRule="exact"/>
        </w:trPr>
        <w:tc>
          <w:tcPr>
            <w:tcW w:w="6664"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4" w:right="0"/>
              <w:jc w:val="left"/>
              <w:rPr>
                <w:rFonts w:ascii="宋体" w:hAnsi="宋体" w:cs="宋体" w:eastAsia="宋体" w:hint="default"/>
                <w:sz w:val="18"/>
                <w:szCs w:val="18"/>
              </w:rPr>
            </w:pPr>
            <w:r>
              <w:rPr>
                <w:rFonts w:ascii="宋体" w:hAnsi="宋体" w:cs="宋体" w:eastAsia="宋体" w:hint="default"/>
                <w:sz w:val="18"/>
                <w:szCs w:val="18"/>
              </w:rPr>
              <w:t>纳入评价范围单位营业收入占公司合并财务报表营业收入的比例</w:t>
            </w:r>
          </w:p>
        </w:tc>
        <w:tc>
          <w:tcPr>
            <w:tcW w:w="2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21"/>
              <w:jc w:val="right"/>
              <w:rPr>
                <w:rFonts w:ascii="Times New Roman" w:hAnsi="Times New Roman" w:cs="Times New Roman" w:eastAsia="Times New Roman" w:hint="default"/>
                <w:sz w:val="18"/>
                <w:szCs w:val="18"/>
              </w:rPr>
            </w:pPr>
            <w:r>
              <w:rPr>
                <w:rFonts w:ascii="Times New Roman"/>
                <w:spacing w:val="-1"/>
                <w:sz w:val="18"/>
              </w:rPr>
              <w:t>100.00%</w:t>
            </w:r>
          </w:p>
        </w:tc>
      </w:tr>
      <w:tr>
        <w:trPr>
          <w:trHeight w:val="324" w:hRule="exact"/>
        </w:trPr>
        <w:tc>
          <w:tcPr>
            <w:tcW w:w="9571"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缺陷认定标准</w:t>
            </w:r>
          </w:p>
        </w:tc>
      </w:tr>
      <w:tr>
        <w:trPr>
          <w:trHeight w:val="322" w:hRule="exact"/>
        </w:trPr>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312" w:right="0"/>
              <w:jc w:val="left"/>
              <w:rPr>
                <w:rFonts w:ascii="宋体" w:hAnsi="宋体" w:cs="宋体" w:eastAsia="宋体" w:hint="default"/>
                <w:sz w:val="18"/>
                <w:szCs w:val="18"/>
              </w:rPr>
            </w:pPr>
            <w:r>
              <w:rPr>
                <w:rFonts w:ascii="宋体" w:hAnsi="宋体" w:cs="宋体" w:eastAsia="宋体" w:hint="default"/>
                <w:sz w:val="18"/>
                <w:szCs w:val="18"/>
              </w:rPr>
              <w:t>类别</w:t>
            </w:r>
          </w:p>
        </w:tc>
        <w:tc>
          <w:tcPr>
            <w:tcW w:w="567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财务报告</w:t>
            </w:r>
          </w:p>
        </w:tc>
        <w:tc>
          <w:tcPr>
            <w:tcW w:w="290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非财务报告</w:t>
            </w:r>
          </w:p>
        </w:tc>
      </w:tr>
    </w:tbl>
    <w:p>
      <w:pPr>
        <w:spacing w:after="0" w:line="240" w:lineRule="auto"/>
        <w:jc w:val="center"/>
        <w:rPr>
          <w:rFonts w:ascii="宋体" w:hAnsi="宋体" w:cs="宋体" w:eastAsia="宋体" w:hint="default"/>
          <w:sz w:val="18"/>
          <w:szCs w:val="18"/>
        </w:rPr>
        <w:sectPr>
          <w:pgSz w:w="11910" w:h="16840"/>
          <w:pgMar w:header="921" w:footer="725" w:top="1160" w:bottom="920" w:left="980" w:right="0"/>
        </w:sectPr>
      </w:pPr>
    </w:p>
    <w:p>
      <w:pPr>
        <w:spacing w:line="240" w:lineRule="auto" w:before="4"/>
        <w:rPr>
          <w:rFonts w:ascii="宋体" w:hAnsi="宋体" w:cs="宋体" w:eastAsia="宋体" w:hint="default"/>
          <w:b/>
          <w:bCs/>
          <w:sz w:val="21"/>
          <w:szCs w:val="21"/>
        </w:rPr>
      </w:pPr>
      <w:r>
        <w:rPr/>
        <w:pict>
          <v:shape style="position:absolute;margin-left:321.016998pt;margin-top:72.47998pt;width:213.95pt;height:189.15pt;mso-position-horizontal-relative:page;mso-position-vertical-relative:page;z-index:-1012360" type="#_x0000_t202" filled="false" stroked="false">
            <v:textbox inset="0,0,0,0">
              <w:txbxContent>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3"/>
                    <w:rPr>
                      <w:rFonts w:ascii="宋体" w:hAnsi="宋体" w:cs="宋体" w:eastAsia="宋体" w:hint="default"/>
                      <w:sz w:val="16"/>
                      <w:szCs w:val="16"/>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认定为一般缺陷。</w:t>
                  </w:r>
                </w:p>
              </w:txbxContent>
            </v:textbox>
            <w10:wrap type="none"/>
          </v:shape>
        </w:pict>
      </w:r>
      <w:r>
        <w:rPr/>
        <w:pict>
          <v:group style="position:absolute;margin-left:390.190002pt;margin-top:245.899979pt;width:144.75pt;height:15.75pt;mso-position-horizontal-relative:page;mso-position-vertical-relative:page;z-index:-1012336" coordorigin="7804,4918" coordsize="2895,315">
            <v:shape style="position:absolute;left:7804;top:4918;width:2895;height:315" coordorigin="7804,4918" coordsize="2895,315" path="m7804,5232l10699,5232,10699,4918,7804,4918,7804,5232xe" filled="true" fillcolor="#ffffff" stroked="false">
              <v:path arrowok="t"/>
              <v:fill type="solid"/>
            </v:shape>
            <w10:wrap type="none"/>
          </v:group>
        </w:pict>
      </w:r>
    </w:p>
    <w:tbl>
      <w:tblPr>
        <w:tblW w:w="0" w:type="auto"/>
        <w:jc w:val="left"/>
        <w:tblInd w:w="148" w:type="dxa"/>
        <w:tblLayout w:type="fixed"/>
        <w:tblCellMar>
          <w:top w:w="0" w:type="dxa"/>
          <w:left w:w="0" w:type="dxa"/>
          <w:bottom w:w="0" w:type="dxa"/>
          <w:right w:w="0" w:type="dxa"/>
        </w:tblCellMar>
        <w:tblLook w:val="01E0"/>
      </w:tblPr>
      <w:tblGrid>
        <w:gridCol w:w="994"/>
        <w:gridCol w:w="2127"/>
        <w:gridCol w:w="3543"/>
        <w:gridCol w:w="2907"/>
      </w:tblGrid>
      <w:tr>
        <w:trPr>
          <w:trHeight w:val="300" w:hRule="exact"/>
        </w:trPr>
        <w:tc>
          <w:tcPr>
            <w:tcW w:w="994" w:type="dxa"/>
            <w:tcBorders>
              <w:top w:val="single" w:sz="4" w:space="0" w:color="000000"/>
              <w:left w:val="single" w:sz="4" w:space="0" w:color="000000"/>
              <w:bottom w:val="nil" w:sz="6" w:space="0" w:color="auto"/>
              <w:right w:val="single" w:sz="4" w:space="0" w:color="000000"/>
            </w:tcBorders>
            <w:shd w:val="clear" w:color="auto" w:fill="D2D2D2"/>
          </w:tcPr>
          <w:p>
            <w:pPr/>
          </w:p>
        </w:tc>
        <w:tc>
          <w:tcPr>
            <w:tcW w:w="5670" w:type="dxa"/>
            <w:gridSpan w:val="2"/>
            <w:tcBorders>
              <w:top w:val="single" w:sz="4" w:space="0" w:color="000000"/>
              <w:left w:val="single" w:sz="4" w:space="0" w:color="000000"/>
              <w:bottom w:val="nil" w:sz="6" w:space="0" w:color="auto"/>
              <w:right w:val="single" w:sz="4" w:space="0" w:color="000000"/>
            </w:tcBorders>
          </w:tcPr>
          <w:p>
            <w:pPr>
              <w:pStyle w:val="TableParagraph"/>
              <w:spacing w:line="240" w:lineRule="auto" w:before="13"/>
              <w:ind w:left="23"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、重大缺陷</w:t>
            </w:r>
            <w:r>
              <w:rPr>
                <w:rFonts w:ascii="宋体" w:hAnsi="宋体" w:cs="宋体" w:eastAsia="宋体" w:hint="default"/>
                <w:sz w:val="18"/>
                <w:szCs w:val="18"/>
              </w:rPr>
              <w:t> </w:t>
            </w:r>
          </w:p>
        </w:tc>
        <w:tc>
          <w:tcPr>
            <w:tcW w:w="2907" w:type="dxa"/>
            <w:tcBorders>
              <w:top w:val="single" w:sz="4" w:space="0" w:color="000000"/>
              <w:left w:val="single" w:sz="4" w:space="0" w:color="000000"/>
              <w:bottom w:val="nil" w:sz="6" w:space="0" w:color="auto"/>
              <w:right w:val="single" w:sz="4" w:space="0" w:color="000000"/>
            </w:tcBorders>
          </w:tcPr>
          <w:p>
            <w:pPr>
              <w:pStyle w:val="TableParagraph"/>
              <w:spacing w:line="314" w:lineRule="exact"/>
              <w:ind w:left="2" w:right="-50"/>
              <w:jc w:val="left"/>
              <w:rPr>
                <w:rFonts w:ascii="宋体" w:hAnsi="宋体" w:cs="宋体" w:eastAsia="宋体" w:hint="default"/>
                <w:sz w:val="20"/>
                <w:szCs w:val="20"/>
              </w:rPr>
            </w:pPr>
            <w:r>
              <w:rPr>
                <w:rFonts w:ascii="宋体" w:hAnsi="宋体" w:cs="宋体" w:eastAsia="宋体" w:hint="default"/>
                <w:position w:val="-5"/>
                <w:sz w:val="20"/>
                <w:szCs w:val="20"/>
              </w:rPr>
              <w:pict>
                <v:group style="width:144.75pt;height:15.75pt;mso-position-horizontal-relative:char;mso-position-vertical-relative:line" coordorigin="0,0" coordsize="2895,315">
                  <v:group style="position:absolute;left:0;top:0;width:2895;height:315" coordorigin="0,0" coordsize="2895,315">
                    <v:shape style="position:absolute;left:0;top:0;width:2895;height:315" coordorigin="0,0" coordsize="2895,315" path="m0,314l2895,314,2895,0,0,0,0,314xe" filled="true" fillcolor="#ffffff" stroked="false">
                      <v:path arrowok="t"/>
                      <v:fill type="solid"/>
                    </v:shape>
                  </v:group>
                </v:group>
              </w:pict>
            </w:r>
            <w:r>
              <w:rPr>
                <w:rFonts w:ascii="宋体" w:hAnsi="宋体" w:cs="宋体" w:eastAsia="宋体" w:hint="default"/>
                <w:position w:val="-5"/>
                <w:sz w:val="20"/>
                <w:szCs w:val="20"/>
              </w:rPr>
            </w:r>
          </w:p>
        </w:tc>
      </w:tr>
      <w:tr>
        <w:trPr>
          <w:trHeight w:val="293" w:hRule="exact"/>
        </w:trPr>
        <w:tc>
          <w:tcPr>
            <w:tcW w:w="994" w:type="dxa"/>
            <w:tcBorders>
              <w:top w:val="nil" w:sz="6" w:space="0" w:color="auto"/>
              <w:left w:val="single" w:sz="4" w:space="0" w:color="000000"/>
              <w:bottom w:val="nil" w:sz="6" w:space="0" w:color="auto"/>
              <w:right w:val="single" w:sz="4" w:space="0" w:color="000000"/>
            </w:tcBorders>
            <w:shd w:val="clear" w:color="auto" w:fill="D2D2D2"/>
          </w:tcPr>
          <w:p>
            <w:pPr/>
          </w:p>
        </w:tc>
        <w:tc>
          <w:tcPr>
            <w:tcW w:w="5670" w:type="dxa"/>
            <w:gridSpan w:val="2"/>
            <w:tcBorders>
              <w:top w:val="nil" w:sz="6" w:space="0" w:color="auto"/>
              <w:left w:val="single" w:sz="4" w:space="0" w:color="000000"/>
              <w:bottom w:val="nil" w:sz="6" w:space="0" w:color="auto"/>
              <w:right w:val="single" w:sz="4" w:space="0" w:color="000000"/>
            </w:tcBorders>
          </w:tcPr>
          <w:p>
            <w:pPr>
              <w:pStyle w:val="TableParagraph"/>
              <w:spacing w:line="227" w:lineRule="exact"/>
              <w:ind w:left="23" w:right="0"/>
              <w:jc w:val="left"/>
              <w:rPr>
                <w:rFonts w:ascii="宋体" w:hAnsi="宋体" w:cs="宋体" w:eastAsia="宋体" w:hint="default"/>
                <w:sz w:val="18"/>
                <w:szCs w:val="18"/>
              </w:rPr>
            </w:pPr>
            <w:r>
              <w:rPr>
                <w:rFonts w:ascii="宋体" w:hAnsi="宋体" w:cs="宋体" w:eastAsia="宋体" w:hint="default"/>
                <w:sz w:val="18"/>
                <w:szCs w:val="18"/>
              </w:rPr>
              <w:t>出现下列特征，认定为重大缺陷：</w:t>
            </w:r>
            <w:r>
              <w:rPr>
                <w:rFonts w:ascii="宋体" w:hAnsi="宋体" w:cs="宋体" w:eastAsia="宋体" w:hint="default"/>
                <w:sz w:val="18"/>
                <w:szCs w:val="18"/>
              </w:rPr>
              <w:t> </w:t>
            </w:r>
          </w:p>
        </w:tc>
        <w:tc>
          <w:tcPr>
            <w:tcW w:w="2907" w:type="dxa"/>
            <w:tcBorders>
              <w:top w:val="nil" w:sz="6" w:space="0" w:color="auto"/>
              <w:left w:val="single" w:sz="4" w:space="0" w:color="000000"/>
              <w:bottom w:val="nil" w:sz="6" w:space="0" w:color="auto"/>
              <w:right w:val="single" w:sz="4" w:space="0" w:color="000000"/>
            </w:tcBorders>
          </w:tcPr>
          <w:p>
            <w:pPr>
              <w:pStyle w:val="TableParagraph"/>
              <w:spacing w:line="240" w:lineRule="auto" w:before="32"/>
              <w:ind w:left="24" w:right="-9"/>
              <w:jc w:val="center"/>
              <w:rPr>
                <w:rFonts w:ascii="宋体" w:hAnsi="宋体" w:cs="宋体" w:eastAsia="宋体" w:hint="default"/>
                <w:sz w:val="18"/>
                <w:szCs w:val="18"/>
              </w:rPr>
            </w:pPr>
            <w:r>
              <w:rPr>
                <w:rFonts w:ascii="宋体" w:hAnsi="宋体" w:cs="宋体" w:eastAsia="宋体" w:hint="default"/>
                <w:sz w:val="18"/>
                <w:szCs w:val="18"/>
              </w:rPr>
              <w:t>出现下列特征，认定为重大缺陷：</w:t>
            </w:r>
            <w:r>
              <w:rPr>
                <w:rFonts w:ascii="宋体" w:hAnsi="宋体" w:cs="宋体" w:eastAsia="宋体" w:hint="default"/>
                <w:spacing w:val="1"/>
                <w:sz w:val="18"/>
                <w:szCs w:val="18"/>
              </w:rPr>
              <w:t> </w:t>
            </w:r>
            <w:r>
              <w:rPr>
                <w:rFonts w:ascii="宋体" w:hAnsi="宋体" w:cs="宋体" w:eastAsia="宋体" w:hint="default"/>
                <w:sz w:val="18"/>
                <w:szCs w:val="18"/>
              </w:rPr>
              <w:t> </w:t>
            </w:r>
          </w:p>
        </w:tc>
      </w:tr>
      <w:tr>
        <w:trPr>
          <w:trHeight w:val="251" w:hRule="exact"/>
        </w:trPr>
        <w:tc>
          <w:tcPr>
            <w:tcW w:w="994" w:type="dxa"/>
            <w:tcBorders>
              <w:top w:val="nil" w:sz="6" w:space="0" w:color="auto"/>
              <w:left w:val="single" w:sz="4" w:space="0" w:color="000000"/>
              <w:bottom w:val="nil" w:sz="6" w:space="0" w:color="auto"/>
              <w:right w:val="single" w:sz="4" w:space="0" w:color="000000"/>
            </w:tcBorders>
            <w:shd w:val="clear" w:color="auto" w:fill="D2D2D2"/>
          </w:tcPr>
          <w:p>
            <w:pPr/>
          </w:p>
        </w:tc>
        <w:tc>
          <w:tcPr>
            <w:tcW w:w="5670" w:type="dxa"/>
            <w:gridSpan w:val="2"/>
            <w:tcBorders>
              <w:top w:val="nil" w:sz="6" w:space="0" w:color="auto"/>
              <w:left w:val="single" w:sz="4" w:space="0" w:color="000000"/>
              <w:bottom w:val="nil" w:sz="6" w:space="0" w:color="auto"/>
              <w:right w:val="single" w:sz="4" w:space="0" w:color="000000"/>
            </w:tcBorders>
          </w:tcPr>
          <w:p>
            <w:pPr>
              <w:pStyle w:val="TableParagraph"/>
              <w:spacing w:line="205" w:lineRule="exact"/>
              <w:ind w:left="23"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董事、监事和高级管理人员舞弊；</w:t>
            </w:r>
            <w:r>
              <w:rPr>
                <w:rFonts w:ascii="宋体" w:hAnsi="宋体" w:cs="宋体" w:eastAsia="宋体" w:hint="default"/>
                <w:sz w:val="18"/>
                <w:szCs w:val="18"/>
              </w:rPr>
              <w:t>(2)</w:t>
            </w:r>
            <w:r>
              <w:rPr>
                <w:rFonts w:ascii="宋体" w:hAnsi="宋体" w:cs="宋体" w:eastAsia="宋体" w:hint="default"/>
                <w:sz w:val="18"/>
                <w:szCs w:val="18"/>
              </w:rPr>
              <w:t>对公司已经公告的财务报告出</w:t>
            </w:r>
          </w:p>
        </w:tc>
        <w:tc>
          <w:tcPr>
            <w:tcW w:w="2907"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left="2" w:right="0"/>
              <w:jc w:val="center"/>
              <w:rPr>
                <w:rFonts w:ascii="宋体" w:hAnsi="宋体" w:cs="宋体" w:eastAsia="宋体" w:hint="default"/>
                <w:sz w:val="18"/>
                <w:szCs w:val="18"/>
              </w:rPr>
            </w:pPr>
            <w:r>
              <w:rPr>
                <w:rFonts w:ascii="宋体" w:hAnsi="宋体" w:cs="宋体" w:eastAsia="宋体" w:hint="default"/>
                <w:spacing w:val="-2"/>
                <w:sz w:val="18"/>
                <w:szCs w:val="18"/>
              </w:rPr>
              <w:t>(1)</w:t>
            </w:r>
            <w:r>
              <w:rPr>
                <w:rFonts w:ascii="宋体" w:hAnsi="宋体" w:cs="宋体" w:eastAsia="宋体" w:hint="default"/>
                <w:spacing w:val="-2"/>
                <w:sz w:val="18"/>
                <w:szCs w:val="18"/>
              </w:rPr>
              <w:t>公司缺乏民主决策程序；</w:t>
            </w:r>
            <w:r>
              <w:rPr>
                <w:rFonts w:ascii="宋体" w:hAnsi="宋体" w:cs="宋体" w:eastAsia="宋体" w:hint="default"/>
                <w:spacing w:val="-2"/>
                <w:sz w:val="18"/>
                <w:szCs w:val="18"/>
              </w:rPr>
              <w:t>(2)</w:t>
            </w:r>
            <w:r>
              <w:rPr>
                <w:rFonts w:ascii="宋体" w:hAnsi="宋体" w:cs="宋体" w:eastAsia="宋体" w:hint="default"/>
                <w:spacing w:val="-2"/>
                <w:sz w:val="18"/>
                <w:szCs w:val="18"/>
              </w:rPr>
              <w:t>公司</w:t>
            </w:r>
          </w:p>
        </w:tc>
      </w:tr>
      <w:tr>
        <w:trPr>
          <w:trHeight w:val="234" w:hRule="exact"/>
        </w:trPr>
        <w:tc>
          <w:tcPr>
            <w:tcW w:w="994" w:type="dxa"/>
            <w:tcBorders>
              <w:top w:val="nil" w:sz="6" w:space="0" w:color="auto"/>
              <w:left w:val="single" w:sz="4" w:space="0" w:color="000000"/>
              <w:bottom w:val="nil" w:sz="6" w:space="0" w:color="auto"/>
              <w:right w:val="single" w:sz="4" w:space="0" w:color="000000"/>
            </w:tcBorders>
            <w:shd w:val="clear" w:color="auto" w:fill="D2D2D2"/>
          </w:tcPr>
          <w:p>
            <w:pPr/>
          </w:p>
        </w:tc>
        <w:tc>
          <w:tcPr>
            <w:tcW w:w="5670" w:type="dxa"/>
            <w:gridSpan w:val="2"/>
            <w:tcBorders>
              <w:top w:val="nil" w:sz="6" w:space="0" w:color="auto"/>
              <w:left w:val="single" w:sz="4" w:space="0" w:color="000000"/>
              <w:bottom w:val="nil" w:sz="6" w:space="0" w:color="auto"/>
              <w:right w:val="single" w:sz="4" w:space="0" w:color="000000"/>
            </w:tcBorders>
          </w:tcPr>
          <w:p>
            <w:pPr>
              <w:pStyle w:val="TableParagraph"/>
              <w:spacing w:line="187" w:lineRule="exact"/>
              <w:ind w:left="23" w:right="0"/>
              <w:jc w:val="left"/>
              <w:rPr>
                <w:rFonts w:ascii="宋体" w:hAnsi="宋体" w:cs="宋体" w:eastAsia="宋体" w:hint="default"/>
                <w:sz w:val="18"/>
                <w:szCs w:val="18"/>
              </w:rPr>
            </w:pPr>
            <w:r>
              <w:rPr>
                <w:rFonts w:ascii="宋体" w:hAnsi="宋体" w:cs="宋体" w:eastAsia="宋体" w:hint="default"/>
                <w:spacing w:val="-2"/>
                <w:sz w:val="18"/>
                <w:szCs w:val="18"/>
              </w:rPr>
              <w:t>现重大差错进行错报更正；</w:t>
            </w:r>
            <w:r>
              <w:rPr>
                <w:rFonts w:ascii="宋体" w:hAnsi="宋体" w:cs="宋体" w:eastAsia="宋体" w:hint="default"/>
                <w:spacing w:val="-2"/>
                <w:sz w:val="18"/>
                <w:szCs w:val="18"/>
              </w:rPr>
              <w:t>(3)</w:t>
            </w:r>
            <w:r>
              <w:rPr>
                <w:rFonts w:ascii="宋体" w:hAnsi="宋体" w:cs="宋体" w:eastAsia="宋体" w:hint="default"/>
                <w:spacing w:val="-2"/>
                <w:sz w:val="18"/>
                <w:szCs w:val="18"/>
              </w:rPr>
              <w:t>当期财务报告存在重大错报，而内部控制</w:t>
            </w:r>
          </w:p>
        </w:tc>
        <w:tc>
          <w:tcPr>
            <w:tcW w:w="2907" w:type="dxa"/>
            <w:tcBorders>
              <w:top w:val="nil" w:sz="6" w:space="0" w:color="auto"/>
              <w:left w:val="single" w:sz="4" w:space="0" w:color="000000"/>
              <w:bottom w:val="nil" w:sz="6" w:space="0" w:color="auto"/>
              <w:right w:val="single" w:sz="4" w:space="0" w:color="000000"/>
            </w:tcBorders>
          </w:tcPr>
          <w:p>
            <w:pPr>
              <w:pStyle w:val="TableParagraph"/>
              <w:spacing w:line="228" w:lineRule="exact"/>
              <w:ind w:right="53"/>
              <w:jc w:val="center"/>
              <w:rPr>
                <w:rFonts w:ascii="宋体" w:hAnsi="宋体" w:cs="宋体" w:eastAsia="宋体" w:hint="default"/>
                <w:sz w:val="18"/>
                <w:szCs w:val="18"/>
              </w:rPr>
            </w:pPr>
            <w:r>
              <w:rPr>
                <w:rFonts w:ascii="宋体" w:hAnsi="宋体" w:cs="宋体" w:eastAsia="宋体" w:hint="default"/>
                <w:sz w:val="18"/>
                <w:szCs w:val="18"/>
              </w:rPr>
              <w:t>决策程序不科学导致重大失误；</w:t>
            </w:r>
            <w:r>
              <w:rPr>
                <w:rFonts w:ascii="宋体" w:hAnsi="宋体" w:cs="宋体" w:eastAsia="宋体" w:hint="default"/>
                <w:sz w:val="18"/>
                <w:szCs w:val="18"/>
              </w:rPr>
              <w:t>(3)</w:t>
            </w:r>
          </w:p>
        </w:tc>
      </w:tr>
      <w:tr>
        <w:trPr>
          <w:trHeight w:val="234" w:hRule="exact"/>
        </w:trPr>
        <w:tc>
          <w:tcPr>
            <w:tcW w:w="994" w:type="dxa"/>
            <w:tcBorders>
              <w:top w:val="nil" w:sz="6" w:space="0" w:color="auto"/>
              <w:left w:val="single" w:sz="4" w:space="0" w:color="000000"/>
              <w:bottom w:val="nil" w:sz="6" w:space="0" w:color="auto"/>
              <w:right w:val="single" w:sz="4" w:space="0" w:color="000000"/>
            </w:tcBorders>
            <w:shd w:val="clear" w:color="auto" w:fill="D2D2D2"/>
          </w:tcPr>
          <w:p>
            <w:pPr/>
          </w:p>
        </w:tc>
        <w:tc>
          <w:tcPr>
            <w:tcW w:w="5670" w:type="dxa"/>
            <w:gridSpan w:val="2"/>
            <w:tcBorders>
              <w:top w:val="nil" w:sz="6" w:space="0" w:color="auto"/>
              <w:left w:val="single" w:sz="4" w:space="0" w:color="000000"/>
              <w:bottom w:val="nil" w:sz="6" w:space="0" w:color="auto"/>
              <w:right w:val="single" w:sz="4" w:space="0" w:color="000000"/>
            </w:tcBorders>
          </w:tcPr>
          <w:p>
            <w:pPr>
              <w:pStyle w:val="TableParagraph"/>
              <w:spacing w:line="186" w:lineRule="exact"/>
              <w:ind w:left="23" w:right="0"/>
              <w:jc w:val="left"/>
              <w:rPr>
                <w:rFonts w:ascii="宋体" w:hAnsi="宋体" w:cs="宋体" w:eastAsia="宋体" w:hint="default"/>
                <w:sz w:val="18"/>
                <w:szCs w:val="18"/>
              </w:rPr>
            </w:pPr>
            <w:r>
              <w:rPr>
                <w:rFonts w:ascii="宋体" w:hAnsi="宋体" w:cs="宋体" w:eastAsia="宋体" w:hint="default"/>
                <w:spacing w:val="-2"/>
                <w:sz w:val="18"/>
                <w:szCs w:val="18"/>
              </w:rPr>
              <w:t>在运行过程中未能发现该错报；</w:t>
            </w:r>
            <w:r>
              <w:rPr>
                <w:rFonts w:ascii="宋体" w:hAnsi="宋体" w:cs="宋体" w:eastAsia="宋体" w:hint="default"/>
                <w:spacing w:val="-2"/>
                <w:sz w:val="18"/>
                <w:szCs w:val="18"/>
              </w:rPr>
              <w:t>(4)</w:t>
            </w:r>
            <w:r>
              <w:rPr>
                <w:rFonts w:ascii="宋体" w:hAnsi="宋体" w:cs="宋体" w:eastAsia="宋体" w:hint="default"/>
                <w:spacing w:val="-2"/>
                <w:sz w:val="18"/>
                <w:szCs w:val="18"/>
              </w:rPr>
              <w:t>审计委员会以及内部审计部门对财务</w:t>
            </w:r>
          </w:p>
        </w:tc>
        <w:tc>
          <w:tcPr>
            <w:tcW w:w="2907" w:type="dxa"/>
            <w:tcBorders>
              <w:top w:val="nil" w:sz="6" w:space="0" w:color="auto"/>
              <w:left w:val="single" w:sz="4" w:space="0" w:color="000000"/>
              <w:bottom w:val="nil" w:sz="6" w:space="0" w:color="auto"/>
              <w:right w:val="single" w:sz="4" w:space="0" w:color="000000"/>
            </w:tcBorders>
          </w:tcPr>
          <w:p>
            <w:pPr>
              <w:pStyle w:val="TableParagraph"/>
              <w:spacing w:line="227" w:lineRule="exact"/>
              <w:ind w:right="55"/>
              <w:jc w:val="center"/>
              <w:rPr>
                <w:rFonts w:ascii="宋体" w:hAnsi="宋体" w:cs="宋体" w:eastAsia="宋体" w:hint="default"/>
                <w:sz w:val="18"/>
                <w:szCs w:val="18"/>
              </w:rPr>
            </w:pPr>
            <w:r>
              <w:rPr>
                <w:rFonts w:ascii="宋体" w:hAnsi="宋体" w:cs="宋体" w:eastAsia="宋体" w:hint="default"/>
                <w:sz w:val="18"/>
                <w:szCs w:val="18"/>
              </w:rPr>
              <w:t>违反国家法律、法规；</w:t>
            </w:r>
            <w:r>
              <w:rPr>
                <w:rFonts w:ascii="宋体" w:hAnsi="宋体" w:cs="宋体" w:eastAsia="宋体" w:hint="default"/>
                <w:sz w:val="18"/>
                <w:szCs w:val="18"/>
              </w:rPr>
              <w:t>(4)</w:t>
            </w:r>
            <w:r>
              <w:rPr>
                <w:rFonts w:ascii="宋体" w:hAnsi="宋体" w:cs="宋体" w:eastAsia="宋体" w:hint="default"/>
                <w:sz w:val="18"/>
                <w:szCs w:val="18"/>
              </w:rPr>
              <w:t>核心管理</w:t>
            </w:r>
          </w:p>
        </w:tc>
      </w:tr>
      <w:tr>
        <w:trPr>
          <w:trHeight w:val="252" w:hRule="exact"/>
        </w:trPr>
        <w:tc>
          <w:tcPr>
            <w:tcW w:w="994" w:type="dxa"/>
            <w:tcBorders>
              <w:top w:val="nil" w:sz="6" w:space="0" w:color="auto"/>
              <w:left w:val="single" w:sz="4" w:space="0" w:color="000000"/>
              <w:bottom w:val="nil" w:sz="6" w:space="0" w:color="auto"/>
              <w:right w:val="single" w:sz="4" w:space="0" w:color="000000"/>
            </w:tcBorders>
            <w:shd w:val="clear" w:color="auto" w:fill="D2D2D2"/>
          </w:tcPr>
          <w:p>
            <w:pPr/>
          </w:p>
        </w:tc>
        <w:tc>
          <w:tcPr>
            <w:tcW w:w="5670" w:type="dxa"/>
            <w:gridSpan w:val="2"/>
            <w:tcBorders>
              <w:top w:val="nil" w:sz="6" w:space="0" w:color="auto"/>
              <w:left w:val="single" w:sz="4" w:space="0" w:color="000000"/>
              <w:bottom w:val="nil" w:sz="6" w:space="0" w:color="auto"/>
              <w:right w:val="single" w:sz="4" w:space="0" w:color="000000"/>
            </w:tcBorders>
          </w:tcPr>
          <w:p>
            <w:pPr>
              <w:pStyle w:val="TableParagraph"/>
              <w:spacing w:line="187" w:lineRule="exact"/>
              <w:ind w:left="23" w:right="0"/>
              <w:jc w:val="left"/>
              <w:rPr>
                <w:rFonts w:ascii="宋体" w:hAnsi="宋体" w:cs="宋体" w:eastAsia="宋体" w:hint="default"/>
                <w:sz w:val="18"/>
                <w:szCs w:val="18"/>
              </w:rPr>
            </w:pPr>
            <w:r>
              <w:rPr>
                <w:rFonts w:ascii="宋体" w:hAnsi="宋体" w:cs="宋体" w:eastAsia="宋体" w:hint="default"/>
                <w:sz w:val="18"/>
                <w:szCs w:val="18"/>
              </w:rPr>
              <w:t>报告内部控制的监督无效。</w:t>
            </w:r>
            <w:r>
              <w:rPr>
                <w:rFonts w:ascii="宋体" w:hAnsi="宋体" w:cs="宋体" w:eastAsia="宋体" w:hint="default"/>
                <w:sz w:val="18"/>
                <w:szCs w:val="18"/>
              </w:rPr>
              <w:t> </w:t>
            </w:r>
          </w:p>
        </w:tc>
        <w:tc>
          <w:tcPr>
            <w:tcW w:w="2907" w:type="dxa"/>
            <w:tcBorders>
              <w:top w:val="nil" w:sz="6" w:space="0" w:color="auto"/>
              <w:left w:val="single" w:sz="4" w:space="0" w:color="000000"/>
              <w:bottom w:val="nil" w:sz="6" w:space="0" w:color="auto"/>
              <w:right w:val="single" w:sz="4" w:space="0" w:color="000000"/>
            </w:tcBorders>
          </w:tcPr>
          <w:p>
            <w:pPr>
              <w:pStyle w:val="TableParagraph"/>
              <w:spacing w:line="226" w:lineRule="exact"/>
              <w:ind w:right="53"/>
              <w:jc w:val="center"/>
              <w:rPr>
                <w:rFonts w:ascii="宋体" w:hAnsi="宋体" w:cs="宋体" w:eastAsia="宋体" w:hint="default"/>
                <w:sz w:val="18"/>
                <w:szCs w:val="18"/>
              </w:rPr>
            </w:pPr>
            <w:r>
              <w:rPr>
                <w:rFonts w:ascii="宋体" w:hAnsi="宋体" w:cs="宋体" w:eastAsia="宋体" w:hint="default"/>
                <w:sz w:val="18"/>
                <w:szCs w:val="18"/>
              </w:rPr>
              <w:t>人员或核心技术人员纷纷流失；</w:t>
            </w:r>
            <w:r>
              <w:rPr>
                <w:rFonts w:ascii="宋体" w:hAnsi="宋体" w:cs="宋体" w:eastAsia="宋体" w:hint="default"/>
                <w:sz w:val="18"/>
                <w:szCs w:val="18"/>
              </w:rPr>
              <w:t>(5)</w:t>
            </w:r>
          </w:p>
        </w:tc>
      </w:tr>
      <w:tr>
        <w:trPr>
          <w:trHeight w:val="227" w:hRule="exact"/>
        </w:trPr>
        <w:tc>
          <w:tcPr>
            <w:tcW w:w="994" w:type="dxa"/>
            <w:tcBorders>
              <w:top w:val="nil" w:sz="6" w:space="0" w:color="auto"/>
              <w:left w:val="single" w:sz="4" w:space="0" w:color="000000"/>
              <w:bottom w:val="nil" w:sz="6" w:space="0" w:color="auto"/>
              <w:right w:val="single" w:sz="4" w:space="0" w:color="000000"/>
            </w:tcBorders>
            <w:shd w:val="clear" w:color="auto" w:fill="D2D2D2"/>
          </w:tcPr>
          <w:p>
            <w:pPr/>
          </w:p>
        </w:tc>
        <w:tc>
          <w:tcPr>
            <w:tcW w:w="5670" w:type="dxa"/>
            <w:gridSpan w:val="2"/>
            <w:tcBorders>
              <w:top w:val="nil" w:sz="6" w:space="0" w:color="auto"/>
              <w:left w:val="single" w:sz="4" w:space="0" w:color="000000"/>
              <w:bottom w:val="nil" w:sz="6" w:space="0" w:color="auto"/>
              <w:right w:val="single" w:sz="4" w:space="0" w:color="000000"/>
            </w:tcBorders>
          </w:tcPr>
          <w:p>
            <w:pPr>
              <w:pStyle w:val="TableParagraph"/>
              <w:spacing w:line="209" w:lineRule="exact"/>
              <w:ind w:left="23"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、重要缺陷</w:t>
            </w:r>
            <w:r>
              <w:rPr>
                <w:rFonts w:ascii="宋体" w:hAnsi="宋体" w:cs="宋体" w:eastAsia="宋体" w:hint="default"/>
                <w:sz w:val="18"/>
                <w:szCs w:val="18"/>
              </w:rPr>
              <w:t> </w:t>
            </w:r>
          </w:p>
        </w:tc>
        <w:tc>
          <w:tcPr>
            <w:tcW w:w="2907" w:type="dxa"/>
            <w:tcBorders>
              <w:top w:val="nil" w:sz="6" w:space="0" w:color="auto"/>
              <w:left w:val="single" w:sz="4" w:space="0" w:color="000000"/>
              <w:bottom w:val="nil" w:sz="6" w:space="0" w:color="auto"/>
              <w:right w:val="single" w:sz="4" w:space="0" w:color="000000"/>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spacing w:val="-2"/>
                <w:sz w:val="18"/>
                <w:szCs w:val="18"/>
              </w:rPr>
              <w:t>媒体负面新闻频现，涉及面广且负面</w:t>
            </w:r>
          </w:p>
        </w:tc>
      </w:tr>
      <w:tr>
        <w:trPr>
          <w:trHeight w:val="262" w:hRule="exact"/>
        </w:trPr>
        <w:tc>
          <w:tcPr>
            <w:tcW w:w="99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198" w:lineRule="exact"/>
              <w:ind w:left="24" w:right="0"/>
              <w:jc w:val="left"/>
              <w:rPr>
                <w:rFonts w:ascii="宋体" w:hAnsi="宋体" w:cs="宋体" w:eastAsia="宋体" w:hint="default"/>
                <w:sz w:val="18"/>
                <w:szCs w:val="18"/>
              </w:rPr>
            </w:pPr>
            <w:r>
              <w:rPr>
                <w:rFonts w:ascii="宋体" w:hAnsi="宋体" w:cs="宋体" w:eastAsia="宋体" w:hint="default"/>
                <w:sz w:val="18"/>
                <w:szCs w:val="18"/>
              </w:rPr>
              <w:t>定性标准</w:t>
            </w:r>
          </w:p>
        </w:tc>
        <w:tc>
          <w:tcPr>
            <w:tcW w:w="5670"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20"/>
              <w:ind w:left="23" w:right="0"/>
              <w:jc w:val="left"/>
              <w:rPr>
                <w:rFonts w:ascii="宋体" w:hAnsi="宋体" w:cs="宋体" w:eastAsia="宋体" w:hint="default"/>
                <w:sz w:val="18"/>
                <w:szCs w:val="18"/>
              </w:rPr>
            </w:pPr>
            <w:r>
              <w:rPr>
                <w:rFonts w:ascii="宋体" w:hAnsi="宋体" w:cs="宋体" w:eastAsia="宋体" w:hint="default"/>
                <w:sz w:val="18"/>
                <w:szCs w:val="18"/>
              </w:rPr>
              <w:t>出现下列特征，认定为重要缺陷：</w:t>
            </w:r>
            <w:r>
              <w:rPr>
                <w:rFonts w:ascii="宋体" w:hAnsi="宋体" w:cs="宋体" w:eastAsia="宋体" w:hint="default"/>
                <w:sz w:val="18"/>
                <w:szCs w:val="18"/>
              </w:rPr>
              <w:t> </w:t>
            </w:r>
          </w:p>
        </w:tc>
        <w:tc>
          <w:tcPr>
            <w:tcW w:w="2907" w:type="dxa"/>
            <w:tcBorders>
              <w:top w:val="nil" w:sz="6" w:space="0" w:color="auto"/>
              <w:left w:val="single" w:sz="4" w:space="0" w:color="000000"/>
              <w:bottom w:val="nil" w:sz="6" w:space="0" w:color="auto"/>
              <w:right w:val="single" w:sz="4" w:space="0" w:color="000000"/>
            </w:tcBorders>
          </w:tcPr>
          <w:p>
            <w:pPr>
              <w:pStyle w:val="TableParagraph"/>
              <w:spacing w:line="215" w:lineRule="exact"/>
              <w:ind w:right="55"/>
              <w:jc w:val="center"/>
              <w:rPr>
                <w:rFonts w:ascii="宋体" w:hAnsi="宋体" w:cs="宋体" w:eastAsia="宋体" w:hint="default"/>
                <w:sz w:val="18"/>
                <w:szCs w:val="18"/>
              </w:rPr>
            </w:pPr>
            <w:r>
              <w:rPr>
                <w:rFonts w:ascii="宋体" w:hAnsi="宋体" w:cs="宋体" w:eastAsia="宋体" w:hint="default"/>
                <w:sz w:val="18"/>
                <w:szCs w:val="18"/>
              </w:rPr>
              <w:t>影响一直未能消除；</w:t>
            </w:r>
            <w:r>
              <w:rPr>
                <w:rFonts w:ascii="宋体" w:hAnsi="宋体" w:cs="宋体" w:eastAsia="宋体" w:hint="default"/>
                <w:sz w:val="18"/>
                <w:szCs w:val="18"/>
              </w:rPr>
              <w:t>(6)</w:t>
            </w:r>
            <w:r>
              <w:rPr>
                <w:rFonts w:ascii="宋体" w:hAnsi="宋体" w:cs="宋体" w:eastAsia="宋体" w:hint="default"/>
                <w:sz w:val="18"/>
                <w:szCs w:val="18"/>
              </w:rPr>
              <w:t>内部控制评</w:t>
            </w:r>
          </w:p>
        </w:tc>
      </w:tr>
      <w:tr>
        <w:trPr>
          <w:trHeight w:val="1500" w:hRule="exact"/>
        </w:trPr>
        <w:tc>
          <w:tcPr>
            <w:tcW w:w="994" w:type="dxa"/>
            <w:tcBorders>
              <w:top w:val="nil" w:sz="6" w:space="0" w:color="auto"/>
              <w:left w:val="single" w:sz="4" w:space="0" w:color="000000"/>
              <w:bottom w:val="nil" w:sz="6" w:space="0" w:color="auto"/>
              <w:right w:val="single" w:sz="4" w:space="0" w:color="000000"/>
            </w:tcBorders>
            <w:shd w:val="clear" w:color="auto" w:fill="D2D2D2"/>
          </w:tcPr>
          <w:p>
            <w:pPr/>
          </w:p>
        </w:tc>
        <w:tc>
          <w:tcPr>
            <w:tcW w:w="5670" w:type="dxa"/>
            <w:gridSpan w:val="2"/>
            <w:tcBorders>
              <w:top w:val="nil" w:sz="6" w:space="0" w:color="auto"/>
              <w:left w:val="single" w:sz="4" w:space="0" w:color="000000"/>
              <w:bottom w:val="nil" w:sz="6" w:space="0" w:color="auto"/>
              <w:right w:val="single" w:sz="4" w:space="0" w:color="000000"/>
            </w:tcBorders>
          </w:tcPr>
          <w:p>
            <w:pPr>
              <w:pStyle w:val="TableParagraph"/>
              <w:spacing w:line="237" w:lineRule="auto" w:before="31"/>
              <w:ind w:left="23" w:right="19"/>
              <w:jc w:val="both"/>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未按照公认会计准则选择和应用会计政策；</w:t>
            </w:r>
            <w:r>
              <w:rPr>
                <w:rFonts w:ascii="宋体" w:hAnsi="宋体" w:cs="宋体" w:eastAsia="宋体" w:hint="default"/>
                <w:sz w:val="18"/>
                <w:szCs w:val="18"/>
              </w:rPr>
              <w:t>(2)</w:t>
            </w:r>
            <w:r>
              <w:rPr>
                <w:rFonts w:ascii="宋体" w:hAnsi="宋体" w:cs="宋体" w:eastAsia="宋体" w:hint="default"/>
                <w:sz w:val="18"/>
                <w:szCs w:val="18"/>
              </w:rPr>
              <w:t>未建立反舞弊程序和</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pacing w:val="-2"/>
                <w:sz w:val="18"/>
                <w:szCs w:val="18"/>
              </w:rPr>
              <w:t>控制措施；</w:t>
            </w:r>
            <w:r>
              <w:rPr>
                <w:rFonts w:ascii="宋体" w:hAnsi="宋体" w:cs="宋体" w:eastAsia="宋体" w:hint="default"/>
                <w:spacing w:val="-2"/>
                <w:sz w:val="18"/>
                <w:szCs w:val="18"/>
              </w:rPr>
              <w:t>(3)</w:t>
            </w:r>
            <w:r>
              <w:rPr>
                <w:rFonts w:ascii="宋体" w:hAnsi="宋体" w:cs="宋体" w:eastAsia="宋体" w:hint="default"/>
                <w:spacing w:val="-2"/>
                <w:sz w:val="18"/>
                <w:szCs w:val="18"/>
              </w:rPr>
              <w:t>对于非常规或特殊交易的账务处理，没有建立相应的控制</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pacing w:val="-2"/>
                <w:sz w:val="18"/>
                <w:szCs w:val="18"/>
              </w:rPr>
              <w:t>机制或没有实施且没有相应的补偿性控制；</w:t>
            </w:r>
            <w:r>
              <w:rPr>
                <w:rFonts w:ascii="宋体" w:hAnsi="宋体" w:cs="宋体" w:eastAsia="宋体" w:hint="default"/>
                <w:spacing w:val="-2"/>
                <w:sz w:val="18"/>
                <w:szCs w:val="18"/>
              </w:rPr>
              <w:t>(4)</w:t>
            </w:r>
            <w:r>
              <w:rPr>
                <w:rFonts w:ascii="宋体" w:hAnsi="宋体" w:cs="宋体" w:eastAsia="宋体" w:hint="default"/>
                <w:spacing w:val="-2"/>
                <w:sz w:val="18"/>
                <w:szCs w:val="18"/>
              </w:rPr>
              <w:t>对于期末财务报告过程的</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控制存在一项或多项缺陷，且不能合理保证编制的财务报表达到真实、</w:t>
            </w:r>
            <w:r>
              <w:rPr>
                <w:rFonts w:ascii="宋体" w:hAnsi="宋体" w:cs="宋体" w:eastAsia="宋体" w:hint="default"/>
                <w:spacing w:val="-65"/>
                <w:sz w:val="18"/>
                <w:szCs w:val="18"/>
              </w:rPr>
              <w:t> </w:t>
            </w:r>
            <w:r>
              <w:rPr>
                <w:rFonts w:ascii="宋体" w:hAnsi="宋体" w:cs="宋体" w:eastAsia="宋体" w:hint="default"/>
                <w:spacing w:val="-65"/>
                <w:sz w:val="18"/>
                <w:szCs w:val="18"/>
              </w:rPr>
            </w:r>
            <w:r>
              <w:rPr>
                <w:rFonts w:ascii="宋体" w:hAnsi="宋体" w:cs="宋体" w:eastAsia="宋体" w:hint="default"/>
                <w:sz w:val="18"/>
                <w:szCs w:val="18"/>
              </w:rPr>
              <w:t>准确的目标。</w:t>
            </w:r>
            <w:r>
              <w:rPr>
                <w:rFonts w:ascii="宋体" w:hAnsi="宋体" w:cs="宋体" w:eastAsia="宋体" w:hint="default"/>
                <w:sz w:val="18"/>
                <w:szCs w:val="18"/>
              </w:rPr>
              <w:t> </w:t>
            </w:r>
          </w:p>
          <w:p>
            <w:pPr>
              <w:pStyle w:val="TableParagraph"/>
              <w:spacing w:line="240" w:lineRule="auto" w:before="36"/>
              <w:ind w:left="23" w:right="0"/>
              <w:jc w:val="both"/>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、一般缺陷</w:t>
            </w:r>
            <w:r>
              <w:rPr>
                <w:rFonts w:ascii="宋体" w:hAnsi="宋体" w:cs="宋体" w:eastAsia="宋体" w:hint="default"/>
                <w:sz w:val="18"/>
                <w:szCs w:val="18"/>
              </w:rPr>
              <w:t> </w:t>
            </w:r>
          </w:p>
        </w:tc>
        <w:tc>
          <w:tcPr>
            <w:tcW w:w="2907" w:type="dxa"/>
            <w:tcBorders>
              <w:top w:val="nil" w:sz="6" w:space="0" w:color="auto"/>
              <w:left w:val="single" w:sz="4" w:space="0" w:color="000000"/>
              <w:bottom w:val="nil" w:sz="6" w:space="0" w:color="auto"/>
              <w:right w:val="single" w:sz="4" w:space="0" w:color="000000"/>
            </w:tcBorders>
          </w:tcPr>
          <w:p>
            <w:pPr>
              <w:pStyle w:val="TableParagraph"/>
              <w:spacing w:line="185" w:lineRule="exact"/>
              <w:ind w:left="24" w:right="0"/>
              <w:jc w:val="both"/>
              <w:rPr>
                <w:rFonts w:ascii="宋体" w:hAnsi="宋体" w:cs="宋体" w:eastAsia="宋体" w:hint="default"/>
                <w:sz w:val="18"/>
                <w:szCs w:val="18"/>
              </w:rPr>
            </w:pPr>
            <w:r>
              <w:rPr>
                <w:rFonts w:ascii="宋体" w:hAnsi="宋体" w:cs="宋体" w:eastAsia="宋体" w:hint="default"/>
                <w:sz w:val="18"/>
                <w:szCs w:val="18"/>
              </w:rPr>
              <w:t>价的结果特别是重大或重要缺陷未</w:t>
            </w:r>
          </w:p>
          <w:p>
            <w:pPr>
              <w:pStyle w:val="TableParagraph"/>
              <w:spacing w:line="237" w:lineRule="auto"/>
              <w:ind w:left="24" w:right="21"/>
              <w:jc w:val="both"/>
              <w:rPr>
                <w:rFonts w:ascii="宋体" w:hAnsi="宋体" w:cs="宋体" w:eastAsia="宋体" w:hint="default"/>
                <w:sz w:val="18"/>
                <w:szCs w:val="18"/>
              </w:rPr>
            </w:pPr>
            <w:r>
              <w:rPr>
                <w:rFonts w:ascii="宋体" w:hAnsi="宋体" w:cs="宋体" w:eastAsia="宋体" w:hint="default"/>
                <w:sz w:val="18"/>
                <w:szCs w:val="18"/>
              </w:rPr>
              <w:t>得到整改；</w:t>
            </w:r>
            <w:r>
              <w:rPr>
                <w:rFonts w:ascii="宋体" w:hAnsi="宋体" w:cs="宋体" w:eastAsia="宋体" w:hint="default"/>
                <w:sz w:val="18"/>
                <w:szCs w:val="18"/>
              </w:rPr>
              <w:t>(7)</w:t>
            </w:r>
            <w:r>
              <w:rPr>
                <w:rFonts w:ascii="宋体" w:hAnsi="宋体" w:cs="宋体" w:eastAsia="宋体" w:hint="default"/>
                <w:sz w:val="18"/>
                <w:szCs w:val="18"/>
              </w:rPr>
              <w:t>公司重要业务缺乏制 </w:t>
            </w:r>
            <w:r>
              <w:rPr>
                <w:rFonts w:ascii="宋体" w:hAnsi="宋体" w:cs="宋体" w:eastAsia="宋体" w:hint="default"/>
                <w:spacing w:val="-2"/>
                <w:sz w:val="18"/>
                <w:szCs w:val="18"/>
              </w:rPr>
              <w:t>度控制或制度系统性失效，重要的经</w:t>
            </w:r>
            <w:r>
              <w:rPr>
                <w:rFonts w:ascii="宋体" w:hAnsi="宋体" w:cs="宋体" w:eastAsia="宋体" w:hint="default"/>
                <w:sz w:val="18"/>
                <w:szCs w:val="18"/>
              </w:rPr>
              <w:t> </w:t>
            </w:r>
            <w:r>
              <w:rPr>
                <w:rFonts w:ascii="宋体" w:hAnsi="宋体" w:cs="宋体" w:eastAsia="宋体" w:hint="default"/>
                <w:spacing w:val="-2"/>
                <w:sz w:val="18"/>
                <w:szCs w:val="18"/>
              </w:rPr>
              <w:t>济业务虽有内控制度，但没有有效的</w:t>
            </w:r>
            <w:r>
              <w:rPr>
                <w:rFonts w:ascii="宋体" w:hAnsi="宋体" w:cs="宋体" w:eastAsia="宋体" w:hint="default"/>
                <w:sz w:val="18"/>
                <w:szCs w:val="18"/>
              </w:rPr>
              <w:t> 运行；</w:t>
            </w:r>
            <w:r>
              <w:rPr>
                <w:rFonts w:ascii="宋体" w:hAnsi="宋体" w:cs="宋体" w:eastAsia="宋体" w:hint="default"/>
                <w:sz w:val="18"/>
                <w:szCs w:val="18"/>
              </w:rPr>
              <w:t>(8)</w:t>
            </w:r>
            <w:r>
              <w:rPr>
                <w:rFonts w:ascii="宋体" w:hAnsi="宋体" w:cs="宋体" w:eastAsia="宋体" w:hint="default"/>
                <w:sz w:val="18"/>
                <w:szCs w:val="18"/>
              </w:rPr>
              <w:t>公司遭受证监会处罚或证 券交易所警告。</w:t>
            </w:r>
          </w:p>
        </w:tc>
      </w:tr>
      <w:tr>
        <w:trPr>
          <w:trHeight w:val="240" w:hRule="exact"/>
        </w:trPr>
        <w:tc>
          <w:tcPr>
            <w:tcW w:w="994" w:type="dxa"/>
            <w:tcBorders>
              <w:top w:val="nil" w:sz="6" w:space="0" w:color="auto"/>
              <w:left w:val="single" w:sz="4" w:space="0" w:color="000000"/>
              <w:bottom w:val="single" w:sz="4" w:space="0" w:color="000000"/>
              <w:right w:val="single" w:sz="4" w:space="0" w:color="000000"/>
            </w:tcBorders>
            <w:shd w:val="clear" w:color="auto" w:fill="D2D2D2"/>
          </w:tcPr>
          <w:p>
            <w:pPr/>
          </w:p>
        </w:tc>
        <w:tc>
          <w:tcPr>
            <w:tcW w:w="5670" w:type="dxa"/>
            <w:gridSpan w:val="2"/>
            <w:tcBorders>
              <w:top w:val="nil" w:sz="6" w:space="0" w:color="auto"/>
              <w:left w:val="single" w:sz="4" w:space="0" w:color="000000"/>
              <w:bottom w:val="single" w:sz="4" w:space="0" w:color="000000"/>
              <w:right w:val="single" w:sz="4" w:space="0" w:color="000000"/>
            </w:tcBorders>
          </w:tcPr>
          <w:p>
            <w:pPr>
              <w:pStyle w:val="TableParagraph"/>
              <w:spacing w:line="208" w:lineRule="exact"/>
              <w:ind w:left="23" w:right="0"/>
              <w:jc w:val="left"/>
              <w:rPr>
                <w:rFonts w:ascii="宋体" w:hAnsi="宋体" w:cs="宋体" w:eastAsia="宋体" w:hint="default"/>
                <w:sz w:val="18"/>
                <w:szCs w:val="18"/>
              </w:rPr>
            </w:pPr>
            <w:r>
              <w:rPr>
                <w:rFonts w:ascii="宋体" w:hAnsi="宋体" w:cs="宋体" w:eastAsia="宋体" w:hint="default"/>
                <w:sz w:val="18"/>
                <w:szCs w:val="18"/>
              </w:rPr>
              <w:t>不构成重大缺陷和重要缺陷的财务报告内部控制缺陷，</w:t>
            </w:r>
          </w:p>
        </w:tc>
        <w:tc>
          <w:tcPr>
            <w:tcW w:w="2907" w:type="dxa"/>
            <w:tcBorders>
              <w:top w:val="nil" w:sz="6" w:space="0" w:color="auto"/>
              <w:left w:val="single" w:sz="4" w:space="0" w:color="000000"/>
              <w:bottom w:val="single" w:sz="4" w:space="0" w:color="000000"/>
              <w:right w:val="single" w:sz="4" w:space="0" w:color="000000"/>
            </w:tcBorders>
          </w:tcPr>
          <w:p>
            <w:pPr/>
          </w:p>
        </w:tc>
      </w:tr>
      <w:tr>
        <w:trPr>
          <w:trHeight w:val="299" w:hRule="exact"/>
        </w:trPr>
        <w:tc>
          <w:tcPr>
            <w:tcW w:w="994" w:type="dxa"/>
            <w:tcBorders>
              <w:top w:val="single" w:sz="4" w:space="0" w:color="000000"/>
              <w:left w:val="single" w:sz="4" w:space="0" w:color="000000"/>
              <w:bottom w:val="nil" w:sz="6" w:space="0" w:color="auto"/>
              <w:right w:val="single" w:sz="4" w:space="0" w:color="000000"/>
            </w:tcBorders>
            <w:shd w:val="clear" w:color="auto" w:fill="D2D2D2"/>
          </w:tcPr>
          <w:p>
            <w:pPr/>
          </w:p>
        </w:tc>
        <w:tc>
          <w:tcPr>
            <w:tcW w:w="5670" w:type="dxa"/>
            <w:gridSpan w:val="2"/>
            <w:tcBorders>
              <w:top w:val="single" w:sz="4" w:space="0" w:color="000000"/>
              <w:left w:val="single" w:sz="4" w:space="0" w:color="000000"/>
              <w:bottom w:val="nil" w:sz="6" w:space="0" w:color="auto"/>
              <w:right w:val="single" w:sz="4" w:space="0" w:color="000000"/>
            </w:tcBorders>
          </w:tcPr>
          <w:p>
            <w:pPr>
              <w:pStyle w:val="TableParagraph"/>
              <w:spacing w:line="240" w:lineRule="auto" w:before="13"/>
              <w:ind w:left="23" w:right="0"/>
              <w:jc w:val="left"/>
              <w:rPr>
                <w:rFonts w:ascii="宋体" w:hAnsi="宋体" w:cs="宋体" w:eastAsia="宋体" w:hint="default"/>
                <w:sz w:val="18"/>
                <w:szCs w:val="18"/>
              </w:rPr>
            </w:pPr>
            <w:r>
              <w:rPr>
                <w:rFonts w:ascii="宋体" w:hAnsi="宋体" w:cs="宋体" w:eastAsia="宋体" w:hint="default"/>
                <w:sz w:val="18"/>
                <w:szCs w:val="18"/>
              </w:rPr>
              <w:t>公司确定的财务报告内部控制缺陷评价的定量标准如下：</w:t>
            </w:r>
            <w:r>
              <w:rPr>
                <w:rFonts w:ascii="宋体" w:hAnsi="宋体" w:cs="宋体" w:eastAsia="宋体" w:hint="default"/>
                <w:sz w:val="18"/>
                <w:szCs w:val="18"/>
              </w:rPr>
              <w:t> </w:t>
            </w:r>
          </w:p>
        </w:tc>
        <w:tc>
          <w:tcPr>
            <w:tcW w:w="2907" w:type="dxa"/>
            <w:tcBorders>
              <w:top w:val="single" w:sz="4" w:space="0" w:color="000000"/>
              <w:left w:val="single" w:sz="4" w:space="0" w:color="000000"/>
              <w:bottom w:val="nil" w:sz="6" w:space="0" w:color="auto"/>
              <w:right w:val="single" w:sz="4" w:space="0" w:color="000000"/>
            </w:tcBorders>
          </w:tcPr>
          <w:p>
            <w:pPr/>
          </w:p>
        </w:tc>
      </w:tr>
      <w:tr>
        <w:trPr>
          <w:trHeight w:val="2200" w:hRule="exact"/>
        </w:trPr>
        <w:tc>
          <w:tcPr>
            <w:tcW w:w="994" w:type="dxa"/>
            <w:tcBorders>
              <w:top w:val="nil" w:sz="6" w:space="0" w:color="auto"/>
              <w:left w:val="single" w:sz="4" w:space="0" w:color="000000"/>
              <w:bottom w:val="nil" w:sz="6" w:space="0" w:color="auto"/>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8"/>
                <w:szCs w:val="18"/>
              </w:rPr>
            </w:pPr>
          </w:p>
          <w:p>
            <w:pPr>
              <w:pStyle w:val="TableParagraph"/>
              <w:spacing w:line="240" w:lineRule="auto"/>
              <w:ind w:left="24" w:right="0"/>
              <w:jc w:val="left"/>
              <w:rPr>
                <w:rFonts w:ascii="宋体" w:hAnsi="宋体" w:cs="宋体" w:eastAsia="宋体" w:hint="default"/>
                <w:sz w:val="18"/>
                <w:szCs w:val="18"/>
              </w:rPr>
            </w:pPr>
            <w:r>
              <w:rPr>
                <w:rFonts w:ascii="宋体" w:hAnsi="宋体" w:cs="宋体" w:eastAsia="宋体" w:hint="default"/>
                <w:sz w:val="18"/>
                <w:szCs w:val="18"/>
              </w:rPr>
              <w:t>定量标准</w:t>
            </w:r>
          </w:p>
        </w:tc>
        <w:tc>
          <w:tcPr>
            <w:tcW w:w="5670" w:type="dxa"/>
            <w:gridSpan w:val="2"/>
            <w:tcBorders>
              <w:top w:val="nil" w:sz="6" w:space="0" w:color="auto"/>
              <w:left w:val="single" w:sz="4" w:space="0" w:color="000000"/>
              <w:bottom w:val="nil" w:sz="6" w:space="0" w:color="auto"/>
              <w:right w:val="single" w:sz="4" w:space="0" w:color="000000"/>
            </w:tcBorders>
          </w:tcPr>
          <w:p>
            <w:pPr>
              <w:pStyle w:val="TableParagraph"/>
              <w:spacing w:line="237" w:lineRule="auto"/>
              <w:ind w:left="23" w:right="17"/>
              <w:jc w:val="both"/>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、重大缺陷：利润错报金额≥利润总额的</w:t>
            </w:r>
            <w:r>
              <w:rPr>
                <w:rFonts w:ascii="宋体" w:hAnsi="宋体" w:cs="宋体" w:eastAsia="宋体" w:hint="default"/>
                <w:spacing w:val="-54"/>
                <w:sz w:val="18"/>
                <w:szCs w:val="18"/>
              </w:rPr>
              <w:t> </w:t>
            </w:r>
            <w:r>
              <w:rPr>
                <w:rFonts w:ascii="宋体" w:hAnsi="宋体" w:cs="宋体" w:eastAsia="宋体" w:hint="default"/>
                <w:sz w:val="18"/>
                <w:szCs w:val="18"/>
              </w:rPr>
              <w:t>10%</w:t>
            </w:r>
            <w:r>
              <w:rPr>
                <w:rFonts w:ascii="宋体" w:hAnsi="宋体" w:cs="宋体" w:eastAsia="宋体" w:hint="default"/>
                <w:sz w:val="18"/>
                <w:szCs w:val="18"/>
              </w:rPr>
              <w:t>；资产错报金额≥资产总 额的</w:t>
            </w:r>
            <w:r>
              <w:rPr>
                <w:rFonts w:ascii="宋体" w:hAnsi="宋体" w:cs="宋体" w:eastAsia="宋体" w:hint="default"/>
                <w:spacing w:val="-54"/>
                <w:sz w:val="18"/>
                <w:szCs w:val="18"/>
              </w:rPr>
              <w:t> </w:t>
            </w:r>
            <w:r>
              <w:rPr>
                <w:rFonts w:ascii="宋体" w:hAnsi="宋体" w:cs="宋体" w:eastAsia="宋体" w:hint="default"/>
                <w:sz w:val="18"/>
                <w:szCs w:val="18"/>
              </w:rPr>
              <w:t>3%</w:t>
            </w:r>
            <w:r>
              <w:rPr>
                <w:rFonts w:ascii="宋体" w:hAnsi="宋体" w:cs="宋体" w:eastAsia="宋体" w:hint="default"/>
                <w:sz w:val="18"/>
                <w:szCs w:val="18"/>
              </w:rPr>
              <w:t>；经营收入错报金额≥经营收入总额</w:t>
            </w:r>
            <w:r>
              <w:rPr>
                <w:rFonts w:ascii="宋体" w:hAnsi="宋体" w:cs="宋体" w:eastAsia="宋体" w:hint="default"/>
                <w:spacing w:val="-53"/>
                <w:sz w:val="18"/>
                <w:szCs w:val="18"/>
              </w:rPr>
              <w:t> </w:t>
            </w:r>
            <w:r>
              <w:rPr>
                <w:rFonts w:ascii="宋体" w:hAnsi="宋体" w:cs="宋体" w:eastAsia="宋体" w:hint="default"/>
                <w:spacing w:val="-3"/>
                <w:sz w:val="18"/>
                <w:szCs w:val="18"/>
              </w:rPr>
              <w:t>5%</w:t>
            </w:r>
            <w:r>
              <w:rPr>
                <w:rFonts w:ascii="宋体" w:hAnsi="宋体" w:cs="宋体" w:eastAsia="宋体" w:hint="default"/>
                <w:spacing w:val="-3"/>
                <w:sz w:val="18"/>
                <w:szCs w:val="18"/>
              </w:rPr>
              <w:t>；所有者权益错报金额≥</w:t>
            </w:r>
            <w:r>
              <w:rPr>
                <w:rFonts w:ascii="宋体" w:hAnsi="宋体" w:cs="宋体" w:eastAsia="宋体" w:hint="default"/>
                <w:sz w:val="18"/>
                <w:szCs w:val="18"/>
              </w:rPr>
              <w:t> 所有者权益总额的</w:t>
            </w:r>
            <w:r>
              <w:rPr>
                <w:rFonts w:ascii="宋体" w:hAnsi="宋体" w:cs="宋体" w:eastAsia="宋体" w:hint="default"/>
                <w:spacing w:val="-46"/>
                <w:sz w:val="18"/>
                <w:szCs w:val="18"/>
              </w:rPr>
              <w:t> </w:t>
            </w:r>
            <w:r>
              <w:rPr>
                <w:rFonts w:ascii="宋体" w:hAnsi="宋体" w:cs="宋体" w:eastAsia="宋体" w:hint="default"/>
                <w:sz w:val="18"/>
                <w:szCs w:val="18"/>
              </w:rPr>
              <w:t>5%</w:t>
            </w:r>
            <w:r>
              <w:rPr>
                <w:rFonts w:ascii="宋体" w:hAnsi="宋体" w:cs="宋体" w:eastAsia="宋体" w:hint="default"/>
                <w:sz w:val="18"/>
                <w:szCs w:val="18"/>
              </w:rPr>
              <w:t>。</w:t>
            </w:r>
            <w:r>
              <w:rPr>
                <w:rFonts w:ascii="宋体" w:hAnsi="宋体" w:cs="宋体" w:eastAsia="宋体" w:hint="default"/>
                <w:sz w:val="18"/>
                <w:szCs w:val="18"/>
              </w:rPr>
              <w:t> </w:t>
            </w:r>
          </w:p>
          <w:p>
            <w:pPr>
              <w:pStyle w:val="TableParagraph"/>
              <w:spacing w:line="240" w:lineRule="auto" w:before="36"/>
              <w:ind w:left="23" w:right="14"/>
              <w:jc w:val="both"/>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、重要缺陷：利润错报金额≥利润总额的</w:t>
            </w:r>
            <w:r>
              <w:rPr>
                <w:rFonts w:ascii="宋体" w:hAnsi="宋体" w:cs="宋体" w:eastAsia="宋体" w:hint="default"/>
                <w:spacing w:val="-68"/>
                <w:sz w:val="18"/>
                <w:szCs w:val="18"/>
              </w:rPr>
              <w:t> </w:t>
            </w:r>
            <w:r>
              <w:rPr>
                <w:rFonts w:ascii="宋体" w:hAnsi="宋体" w:cs="宋体" w:eastAsia="宋体" w:hint="default"/>
                <w:sz w:val="18"/>
                <w:szCs w:val="18"/>
              </w:rPr>
              <w:t>5%</w:t>
            </w:r>
            <w:r>
              <w:rPr>
                <w:rFonts w:ascii="宋体" w:hAnsi="宋体" w:cs="宋体" w:eastAsia="宋体" w:hint="default"/>
                <w:sz w:val="18"/>
                <w:szCs w:val="18"/>
              </w:rPr>
              <w:t>，＜利润总额的</w:t>
            </w:r>
            <w:r>
              <w:rPr>
                <w:rFonts w:ascii="宋体" w:hAnsi="宋体" w:cs="宋体" w:eastAsia="宋体" w:hint="default"/>
                <w:spacing w:val="-69"/>
                <w:sz w:val="18"/>
                <w:szCs w:val="18"/>
              </w:rPr>
              <w:t> </w:t>
            </w:r>
            <w:r>
              <w:rPr>
                <w:rFonts w:ascii="宋体" w:hAnsi="宋体" w:cs="宋体" w:eastAsia="宋体" w:hint="default"/>
                <w:sz w:val="18"/>
                <w:szCs w:val="18"/>
              </w:rPr>
              <w:t>10%</w:t>
            </w:r>
            <w:r>
              <w:rPr>
                <w:rFonts w:ascii="宋体" w:hAnsi="宋体" w:cs="宋体" w:eastAsia="宋体" w:hint="default"/>
                <w:sz w:val="18"/>
                <w:szCs w:val="18"/>
              </w:rPr>
              <w:t>；资产 错报金额≥资产总额的</w:t>
            </w:r>
            <w:r>
              <w:rPr>
                <w:rFonts w:ascii="宋体" w:hAnsi="宋体" w:cs="宋体" w:eastAsia="宋体" w:hint="default"/>
                <w:spacing w:val="-41"/>
                <w:sz w:val="18"/>
                <w:szCs w:val="18"/>
              </w:rPr>
              <w:t> </w:t>
            </w:r>
            <w:r>
              <w:rPr>
                <w:rFonts w:ascii="宋体" w:hAnsi="宋体" w:cs="宋体" w:eastAsia="宋体" w:hint="default"/>
                <w:spacing w:val="-3"/>
                <w:sz w:val="18"/>
                <w:szCs w:val="18"/>
              </w:rPr>
              <w:t>0.6%</w:t>
            </w:r>
            <w:r>
              <w:rPr>
                <w:rFonts w:ascii="宋体" w:hAnsi="宋体" w:cs="宋体" w:eastAsia="宋体" w:hint="default"/>
                <w:spacing w:val="-3"/>
                <w:sz w:val="18"/>
                <w:szCs w:val="18"/>
              </w:rPr>
              <w:t>，＜资产总额的</w:t>
            </w:r>
            <w:r>
              <w:rPr>
                <w:rFonts w:ascii="宋体" w:hAnsi="宋体" w:cs="宋体" w:eastAsia="宋体" w:hint="default"/>
                <w:spacing w:val="-41"/>
                <w:sz w:val="18"/>
                <w:szCs w:val="18"/>
              </w:rPr>
              <w:t> </w:t>
            </w:r>
            <w:r>
              <w:rPr>
                <w:rFonts w:ascii="宋体" w:hAnsi="宋体" w:cs="宋体" w:eastAsia="宋体" w:hint="default"/>
                <w:spacing w:val="-3"/>
                <w:sz w:val="18"/>
                <w:szCs w:val="18"/>
              </w:rPr>
              <w:t>3%</w:t>
            </w:r>
            <w:r>
              <w:rPr>
                <w:rFonts w:ascii="宋体" w:hAnsi="宋体" w:cs="宋体" w:eastAsia="宋体" w:hint="default"/>
                <w:spacing w:val="-3"/>
                <w:sz w:val="18"/>
                <w:szCs w:val="18"/>
              </w:rPr>
              <w:t>；经营收入错报金额≥经</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营收入总额的</w:t>
            </w:r>
            <w:r>
              <w:rPr>
                <w:rFonts w:ascii="宋体" w:hAnsi="宋体" w:cs="宋体" w:eastAsia="宋体" w:hint="default"/>
                <w:spacing w:val="-56"/>
                <w:sz w:val="18"/>
                <w:szCs w:val="18"/>
              </w:rPr>
              <w:t> </w:t>
            </w:r>
            <w:r>
              <w:rPr>
                <w:rFonts w:ascii="宋体" w:hAnsi="宋体" w:cs="宋体" w:eastAsia="宋体" w:hint="default"/>
                <w:spacing w:val="-3"/>
                <w:sz w:val="18"/>
                <w:szCs w:val="18"/>
              </w:rPr>
              <w:t>2%</w:t>
            </w:r>
            <w:r>
              <w:rPr>
                <w:rFonts w:ascii="宋体" w:hAnsi="宋体" w:cs="宋体" w:eastAsia="宋体" w:hint="default"/>
                <w:spacing w:val="-3"/>
                <w:sz w:val="18"/>
                <w:szCs w:val="18"/>
              </w:rPr>
              <w:t>，＜经营收入总额的</w:t>
            </w:r>
            <w:r>
              <w:rPr>
                <w:rFonts w:ascii="宋体" w:hAnsi="宋体" w:cs="宋体" w:eastAsia="宋体" w:hint="default"/>
                <w:spacing w:val="-55"/>
                <w:sz w:val="18"/>
                <w:szCs w:val="18"/>
              </w:rPr>
              <w:t> </w:t>
            </w:r>
            <w:r>
              <w:rPr>
                <w:rFonts w:ascii="宋体" w:hAnsi="宋体" w:cs="宋体" w:eastAsia="宋体" w:hint="default"/>
                <w:sz w:val="18"/>
                <w:szCs w:val="18"/>
              </w:rPr>
              <w:t>5%</w:t>
            </w:r>
            <w:r>
              <w:rPr>
                <w:rFonts w:ascii="宋体" w:hAnsi="宋体" w:cs="宋体" w:eastAsia="宋体" w:hint="default"/>
                <w:sz w:val="18"/>
                <w:szCs w:val="18"/>
              </w:rPr>
              <w:t>；所有者权益错报金额≥所有者 权益总额的</w:t>
            </w:r>
            <w:r>
              <w:rPr>
                <w:rFonts w:ascii="宋体" w:hAnsi="宋体" w:cs="宋体" w:eastAsia="宋体" w:hint="default"/>
                <w:spacing w:val="-46"/>
                <w:sz w:val="18"/>
                <w:szCs w:val="18"/>
              </w:rPr>
              <w:t> </w:t>
            </w:r>
            <w:r>
              <w:rPr>
                <w:rFonts w:ascii="宋体" w:hAnsi="宋体" w:cs="宋体" w:eastAsia="宋体" w:hint="default"/>
                <w:sz w:val="18"/>
                <w:szCs w:val="18"/>
              </w:rPr>
              <w:t>2%</w:t>
            </w:r>
            <w:r>
              <w:rPr>
                <w:rFonts w:ascii="宋体" w:hAnsi="宋体" w:cs="宋体" w:eastAsia="宋体" w:hint="default"/>
                <w:sz w:val="18"/>
                <w:szCs w:val="18"/>
              </w:rPr>
              <w:t>，＜所有者权益总额的</w:t>
            </w:r>
            <w:r>
              <w:rPr>
                <w:rFonts w:ascii="宋体" w:hAnsi="宋体" w:cs="宋体" w:eastAsia="宋体" w:hint="default"/>
                <w:spacing w:val="-45"/>
                <w:sz w:val="18"/>
                <w:szCs w:val="18"/>
              </w:rPr>
              <w:t> </w:t>
            </w:r>
            <w:r>
              <w:rPr>
                <w:rFonts w:ascii="宋体" w:hAnsi="宋体" w:cs="宋体" w:eastAsia="宋体" w:hint="default"/>
                <w:sz w:val="18"/>
                <w:szCs w:val="18"/>
              </w:rPr>
              <w:t>5%</w:t>
            </w:r>
            <w:r>
              <w:rPr>
                <w:rFonts w:ascii="宋体" w:hAnsi="宋体" w:cs="宋体" w:eastAsia="宋体" w:hint="default"/>
                <w:sz w:val="18"/>
                <w:szCs w:val="18"/>
              </w:rPr>
              <w:t>。</w:t>
            </w:r>
            <w:r>
              <w:rPr>
                <w:rFonts w:ascii="宋体" w:hAnsi="宋体" w:cs="宋体" w:eastAsia="宋体" w:hint="default"/>
                <w:sz w:val="18"/>
                <w:szCs w:val="18"/>
              </w:rPr>
              <w:t> </w:t>
            </w:r>
          </w:p>
          <w:p>
            <w:pPr>
              <w:pStyle w:val="TableParagraph"/>
              <w:spacing w:line="232" w:lineRule="exact" w:before="60"/>
              <w:ind w:left="23" w:right="19"/>
              <w:jc w:val="both"/>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、一般缺陷：利润错报金额＜利润总额的</w:t>
            </w:r>
            <w:r>
              <w:rPr>
                <w:rFonts w:ascii="宋体" w:hAnsi="宋体" w:cs="宋体" w:eastAsia="宋体" w:hint="default"/>
                <w:spacing w:val="-45"/>
                <w:sz w:val="18"/>
                <w:szCs w:val="18"/>
              </w:rPr>
              <w:t> </w:t>
            </w:r>
            <w:r>
              <w:rPr>
                <w:rFonts w:ascii="宋体" w:hAnsi="宋体" w:cs="宋体" w:eastAsia="宋体" w:hint="default"/>
                <w:sz w:val="18"/>
                <w:szCs w:val="18"/>
              </w:rPr>
              <w:t>5%</w:t>
            </w:r>
            <w:r>
              <w:rPr>
                <w:rFonts w:ascii="宋体" w:hAnsi="宋体" w:cs="宋体" w:eastAsia="宋体" w:hint="default"/>
                <w:sz w:val="18"/>
                <w:szCs w:val="18"/>
              </w:rPr>
              <w:t>；资产错报金额＜资产总 额的</w:t>
            </w:r>
            <w:r>
              <w:rPr>
                <w:rFonts w:ascii="宋体" w:hAnsi="宋体" w:cs="宋体" w:eastAsia="宋体" w:hint="default"/>
                <w:spacing w:val="-59"/>
                <w:sz w:val="18"/>
                <w:szCs w:val="18"/>
              </w:rPr>
              <w:t> </w:t>
            </w:r>
            <w:r>
              <w:rPr>
                <w:rFonts w:ascii="宋体" w:hAnsi="宋体" w:cs="宋体" w:eastAsia="宋体" w:hint="default"/>
                <w:sz w:val="18"/>
                <w:szCs w:val="18"/>
              </w:rPr>
              <w:t>0.6%</w:t>
            </w:r>
            <w:r>
              <w:rPr>
                <w:rFonts w:ascii="宋体" w:hAnsi="宋体" w:cs="宋体" w:eastAsia="宋体" w:hint="default"/>
                <w:sz w:val="18"/>
                <w:szCs w:val="18"/>
              </w:rPr>
              <w:t>；经营收入错报金额＜经营收入总额的</w:t>
            </w:r>
            <w:r>
              <w:rPr>
                <w:rFonts w:ascii="宋体" w:hAnsi="宋体" w:cs="宋体" w:eastAsia="宋体" w:hint="default"/>
                <w:spacing w:val="-59"/>
                <w:sz w:val="18"/>
                <w:szCs w:val="18"/>
              </w:rPr>
              <w:t> </w:t>
            </w:r>
            <w:r>
              <w:rPr>
                <w:rFonts w:ascii="宋体" w:hAnsi="宋体" w:cs="宋体" w:eastAsia="宋体" w:hint="default"/>
                <w:spacing w:val="-3"/>
                <w:sz w:val="18"/>
                <w:szCs w:val="18"/>
              </w:rPr>
              <w:t>2%</w:t>
            </w:r>
            <w:r>
              <w:rPr>
                <w:rFonts w:ascii="宋体" w:hAnsi="宋体" w:cs="宋体" w:eastAsia="宋体" w:hint="default"/>
                <w:spacing w:val="-3"/>
                <w:sz w:val="18"/>
                <w:szCs w:val="18"/>
              </w:rPr>
              <w:t>；所有者权益错报金</w:t>
            </w:r>
          </w:p>
        </w:tc>
        <w:tc>
          <w:tcPr>
            <w:tcW w:w="2907"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left="24" w:right="19"/>
              <w:jc w:val="left"/>
              <w:rPr>
                <w:rFonts w:ascii="宋体" w:hAnsi="宋体" w:cs="宋体" w:eastAsia="宋体" w:hint="default"/>
                <w:sz w:val="18"/>
                <w:szCs w:val="18"/>
              </w:rPr>
            </w:pPr>
            <w:r>
              <w:rPr>
                <w:rFonts w:ascii="宋体" w:hAnsi="宋体" w:cs="宋体" w:eastAsia="宋体" w:hint="default"/>
                <w:spacing w:val="9"/>
                <w:sz w:val="18"/>
                <w:szCs w:val="18"/>
              </w:rPr>
              <w:t>公司确定的非财务报告内部控制缺</w:t>
            </w:r>
            <w:r>
              <w:rPr>
                <w:rFonts w:ascii="宋体" w:hAnsi="宋体" w:cs="宋体" w:eastAsia="宋体" w:hint="default"/>
                <w:sz w:val="18"/>
                <w:szCs w:val="18"/>
              </w:rPr>
              <w:t> 陷评价的定量标准如下：</w:t>
            </w:r>
            <w:r>
              <w:rPr>
                <w:rFonts w:ascii="宋体" w:hAnsi="宋体" w:cs="宋体" w:eastAsia="宋体" w:hint="default"/>
                <w:sz w:val="18"/>
                <w:szCs w:val="18"/>
              </w:rPr>
              <w:t> </w:t>
            </w:r>
          </w:p>
          <w:p>
            <w:pPr>
              <w:pStyle w:val="TableParagraph"/>
              <w:spacing w:line="256" w:lineRule="auto" w:before="35"/>
              <w:ind w:left="24" w:right="-13"/>
              <w:jc w:val="left"/>
              <w:rPr>
                <w:rFonts w:ascii="宋体" w:hAnsi="宋体" w:cs="宋体" w:eastAsia="宋体" w:hint="default"/>
                <w:sz w:val="18"/>
                <w:szCs w:val="18"/>
              </w:rPr>
            </w:pPr>
            <w:r>
              <w:rPr>
                <w:rFonts w:ascii="宋体" w:hAnsi="宋体" w:cs="宋体" w:eastAsia="宋体" w:hint="default"/>
                <w:spacing w:val="3"/>
                <w:sz w:val="18"/>
                <w:szCs w:val="18"/>
              </w:rPr>
              <w:t>1</w:t>
            </w:r>
            <w:r>
              <w:rPr>
                <w:rFonts w:ascii="宋体" w:hAnsi="宋体" w:cs="宋体" w:eastAsia="宋体" w:hint="default"/>
                <w:spacing w:val="3"/>
                <w:sz w:val="18"/>
                <w:szCs w:val="18"/>
              </w:rPr>
              <w:t>、重大缺陷：直接财产损失金额≥</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利润总额的</w:t>
            </w:r>
            <w:r>
              <w:rPr>
                <w:rFonts w:ascii="宋体" w:hAnsi="宋体" w:cs="宋体" w:eastAsia="宋体" w:hint="default"/>
                <w:spacing w:val="-46"/>
                <w:sz w:val="18"/>
                <w:szCs w:val="18"/>
              </w:rPr>
              <w:t> </w:t>
            </w:r>
            <w:r>
              <w:rPr>
                <w:rFonts w:ascii="宋体" w:hAnsi="宋体" w:cs="宋体" w:eastAsia="宋体" w:hint="default"/>
                <w:sz w:val="18"/>
                <w:szCs w:val="18"/>
              </w:rPr>
              <w:t>10%</w:t>
            </w:r>
            <w:r>
              <w:rPr>
                <w:rFonts w:ascii="宋体" w:hAnsi="宋体" w:cs="宋体" w:eastAsia="宋体" w:hint="default"/>
                <w:sz w:val="18"/>
                <w:szCs w:val="18"/>
              </w:rPr>
              <w:t>。</w:t>
            </w:r>
            <w:r>
              <w:rPr>
                <w:rFonts w:ascii="宋体" w:hAnsi="宋体" w:cs="宋体" w:eastAsia="宋体" w:hint="default"/>
                <w:sz w:val="18"/>
                <w:szCs w:val="18"/>
              </w:rPr>
              <w:t> </w:t>
            </w:r>
            <w:r>
              <w:rPr>
                <w:rFonts w:ascii="宋体" w:hAnsi="宋体" w:cs="宋体" w:eastAsia="宋体" w:hint="default"/>
                <w:spacing w:val="3"/>
                <w:sz w:val="18"/>
                <w:szCs w:val="18"/>
              </w:rPr>
              <w:t>2</w:t>
            </w:r>
            <w:r>
              <w:rPr>
                <w:rFonts w:ascii="宋体" w:hAnsi="宋体" w:cs="宋体" w:eastAsia="宋体" w:hint="default"/>
                <w:spacing w:val="3"/>
                <w:sz w:val="18"/>
                <w:szCs w:val="18"/>
              </w:rPr>
              <w:t>、重要缺陷：直接财产损失金额≥</w:t>
            </w:r>
            <w:r>
              <w:rPr>
                <w:rFonts w:ascii="宋体" w:hAnsi="宋体" w:cs="宋体" w:eastAsia="宋体" w:hint="default"/>
                <w:sz w:val="18"/>
                <w:szCs w:val="18"/>
              </w:rPr>
            </w:r>
          </w:p>
          <w:p>
            <w:pPr>
              <w:pStyle w:val="TableParagraph"/>
              <w:spacing w:line="223" w:lineRule="exact"/>
              <w:ind w:left="24" w:right="-13"/>
              <w:jc w:val="left"/>
              <w:rPr>
                <w:rFonts w:ascii="宋体" w:hAnsi="宋体" w:cs="宋体" w:eastAsia="宋体" w:hint="default"/>
                <w:sz w:val="18"/>
                <w:szCs w:val="18"/>
              </w:rPr>
            </w:pPr>
            <w:r>
              <w:rPr>
                <w:rFonts w:ascii="宋体" w:hAnsi="宋体" w:cs="宋体" w:eastAsia="宋体" w:hint="default"/>
                <w:sz w:val="18"/>
                <w:szCs w:val="18"/>
              </w:rPr>
              <w:t>利润总额的</w:t>
            </w:r>
            <w:r>
              <w:rPr>
                <w:rFonts w:ascii="宋体" w:hAnsi="宋体" w:cs="宋体" w:eastAsia="宋体" w:hint="default"/>
                <w:spacing w:val="-43"/>
                <w:sz w:val="18"/>
                <w:szCs w:val="18"/>
              </w:rPr>
              <w:t> </w:t>
            </w:r>
            <w:r>
              <w:rPr>
                <w:rFonts w:ascii="宋体" w:hAnsi="宋体" w:cs="宋体" w:eastAsia="宋体" w:hint="default"/>
                <w:sz w:val="18"/>
                <w:szCs w:val="18"/>
              </w:rPr>
              <w:t>5%</w:t>
            </w:r>
            <w:r>
              <w:rPr>
                <w:rFonts w:ascii="宋体" w:hAnsi="宋体" w:cs="宋体" w:eastAsia="宋体" w:hint="default"/>
                <w:sz w:val="18"/>
                <w:szCs w:val="18"/>
              </w:rPr>
              <w:t>，＜利润总额的</w:t>
            </w:r>
            <w:r>
              <w:rPr>
                <w:rFonts w:ascii="宋体" w:hAnsi="宋体" w:cs="宋体" w:eastAsia="宋体" w:hint="default"/>
                <w:spacing w:val="-45"/>
                <w:sz w:val="18"/>
                <w:szCs w:val="18"/>
              </w:rPr>
              <w:t> </w:t>
            </w:r>
            <w:r>
              <w:rPr>
                <w:rFonts w:ascii="宋体" w:hAnsi="宋体" w:cs="宋体" w:eastAsia="宋体" w:hint="default"/>
                <w:sz w:val="18"/>
                <w:szCs w:val="18"/>
              </w:rPr>
              <w:t>10%</w:t>
            </w:r>
            <w:r>
              <w:rPr>
                <w:rFonts w:ascii="宋体" w:hAnsi="宋体" w:cs="宋体" w:eastAsia="宋体" w:hint="default"/>
                <w:sz w:val="18"/>
                <w:szCs w:val="18"/>
              </w:rPr>
              <w:t>。</w:t>
            </w:r>
          </w:p>
          <w:p>
            <w:pPr>
              <w:pStyle w:val="TableParagraph"/>
              <w:spacing w:line="240" w:lineRule="auto" w:before="35"/>
              <w:ind w:left="24" w:right="22"/>
              <w:jc w:val="left"/>
              <w:rPr>
                <w:rFonts w:ascii="宋体" w:hAnsi="宋体" w:cs="宋体" w:eastAsia="宋体" w:hint="default"/>
                <w:sz w:val="18"/>
                <w:szCs w:val="18"/>
              </w:rPr>
            </w:pPr>
            <w:r>
              <w:rPr>
                <w:rFonts w:ascii="宋体" w:hAnsi="宋体" w:cs="宋体" w:eastAsia="宋体" w:hint="default"/>
                <w:spacing w:val="3"/>
                <w:sz w:val="18"/>
                <w:szCs w:val="18"/>
              </w:rPr>
              <w:t>3</w:t>
            </w:r>
            <w:r>
              <w:rPr>
                <w:rFonts w:ascii="宋体" w:hAnsi="宋体" w:cs="宋体" w:eastAsia="宋体" w:hint="default"/>
                <w:spacing w:val="3"/>
                <w:sz w:val="18"/>
                <w:szCs w:val="18"/>
              </w:rPr>
              <w:t>：一般缺陷：直接财产损失金额＜</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利润总额的</w:t>
            </w:r>
            <w:r>
              <w:rPr>
                <w:rFonts w:ascii="宋体" w:hAnsi="宋体" w:cs="宋体" w:eastAsia="宋体" w:hint="default"/>
                <w:spacing w:val="-46"/>
                <w:sz w:val="18"/>
                <w:szCs w:val="18"/>
              </w:rPr>
              <w:t> </w:t>
            </w:r>
            <w:r>
              <w:rPr>
                <w:rFonts w:ascii="宋体" w:hAnsi="宋体" w:cs="宋体" w:eastAsia="宋体" w:hint="default"/>
                <w:sz w:val="18"/>
                <w:szCs w:val="18"/>
              </w:rPr>
              <w:t>5%</w:t>
            </w:r>
            <w:r>
              <w:rPr>
                <w:rFonts w:ascii="宋体" w:hAnsi="宋体" w:cs="宋体" w:eastAsia="宋体" w:hint="default"/>
                <w:sz w:val="18"/>
                <w:szCs w:val="18"/>
              </w:rPr>
              <w:t>。</w:t>
            </w:r>
            <w:r>
              <w:rPr>
                <w:rFonts w:ascii="宋体" w:hAnsi="宋体" w:cs="宋体" w:eastAsia="宋体" w:hint="default"/>
                <w:sz w:val="18"/>
                <w:szCs w:val="18"/>
              </w:rPr>
              <w:t> </w:t>
            </w:r>
          </w:p>
        </w:tc>
      </w:tr>
      <w:tr>
        <w:trPr>
          <w:trHeight w:val="278" w:hRule="exact"/>
        </w:trPr>
        <w:tc>
          <w:tcPr>
            <w:tcW w:w="994" w:type="dxa"/>
            <w:tcBorders>
              <w:top w:val="nil" w:sz="6" w:space="0" w:color="auto"/>
              <w:left w:val="single" w:sz="4" w:space="0" w:color="000000"/>
              <w:bottom w:val="single" w:sz="4" w:space="0" w:color="000000"/>
              <w:right w:val="single" w:sz="4" w:space="0" w:color="000000"/>
            </w:tcBorders>
            <w:shd w:val="clear" w:color="auto" w:fill="D2D2D2"/>
          </w:tcPr>
          <w:p>
            <w:pPr/>
          </w:p>
        </w:tc>
        <w:tc>
          <w:tcPr>
            <w:tcW w:w="5670" w:type="dxa"/>
            <w:gridSpan w:val="2"/>
            <w:tcBorders>
              <w:top w:val="nil" w:sz="6" w:space="0" w:color="auto"/>
              <w:left w:val="single" w:sz="4" w:space="0" w:color="000000"/>
              <w:bottom w:val="single" w:sz="4" w:space="0" w:color="000000"/>
              <w:right w:val="single" w:sz="4" w:space="0" w:color="000000"/>
            </w:tcBorders>
          </w:tcPr>
          <w:p>
            <w:pPr>
              <w:pStyle w:val="TableParagraph"/>
              <w:spacing w:line="208" w:lineRule="exact"/>
              <w:ind w:left="23" w:right="0"/>
              <w:jc w:val="left"/>
              <w:rPr>
                <w:rFonts w:ascii="宋体" w:hAnsi="宋体" w:cs="宋体" w:eastAsia="宋体" w:hint="default"/>
                <w:sz w:val="18"/>
                <w:szCs w:val="18"/>
              </w:rPr>
            </w:pPr>
            <w:r>
              <w:rPr>
                <w:rFonts w:ascii="宋体" w:hAnsi="宋体" w:cs="宋体" w:eastAsia="宋体" w:hint="default"/>
                <w:sz w:val="18"/>
                <w:szCs w:val="18"/>
              </w:rPr>
              <w:t>额＜所有者权益总额的</w:t>
            </w:r>
            <w:r>
              <w:rPr>
                <w:rFonts w:ascii="宋体" w:hAnsi="宋体" w:cs="宋体" w:eastAsia="宋体" w:hint="default"/>
                <w:spacing w:val="-43"/>
                <w:sz w:val="18"/>
                <w:szCs w:val="18"/>
              </w:rPr>
              <w:t> </w:t>
            </w:r>
            <w:r>
              <w:rPr>
                <w:rFonts w:ascii="宋体" w:hAnsi="宋体" w:cs="宋体" w:eastAsia="宋体" w:hint="default"/>
                <w:sz w:val="18"/>
                <w:szCs w:val="18"/>
              </w:rPr>
              <w:t>2%</w:t>
            </w:r>
            <w:r>
              <w:rPr>
                <w:rFonts w:ascii="宋体" w:hAnsi="宋体" w:cs="宋体" w:eastAsia="宋体" w:hint="default"/>
                <w:sz w:val="18"/>
                <w:szCs w:val="18"/>
              </w:rPr>
              <w:t>。</w:t>
            </w:r>
          </w:p>
        </w:tc>
        <w:tc>
          <w:tcPr>
            <w:tcW w:w="2907" w:type="dxa"/>
            <w:tcBorders>
              <w:top w:val="nil" w:sz="6" w:space="0" w:color="auto"/>
              <w:left w:val="single" w:sz="4" w:space="0" w:color="000000"/>
              <w:bottom w:val="single" w:sz="4" w:space="0" w:color="000000"/>
              <w:right w:val="single" w:sz="4" w:space="0" w:color="000000"/>
            </w:tcBorders>
          </w:tcPr>
          <w:p>
            <w:pPr/>
          </w:p>
        </w:tc>
      </w:tr>
      <w:tr>
        <w:trPr>
          <w:trHeight w:val="324" w:hRule="exact"/>
        </w:trPr>
        <w:tc>
          <w:tcPr>
            <w:tcW w:w="312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4" w:right="0"/>
              <w:jc w:val="left"/>
              <w:rPr>
                <w:rFonts w:ascii="宋体" w:hAnsi="宋体" w:cs="宋体" w:eastAsia="宋体" w:hint="default"/>
                <w:sz w:val="18"/>
                <w:szCs w:val="18"/>
              </w:rPr>
            </w:pPr>
            <w:r>
              <w:rPr>
                <w:rFonts w:ascii="宋体" w:hAnsi="宋体" w:cs="宋体" w:eastAsia="宋体" w:hint="default"/>
                <w:sz w:val="18"/>
                <w:szCs w:val="18"/>
              </w:rPr>
              <w:t>财务报告重大缺陷数量（个）</w:t>
            </w:r>
          </w:p>
        </w:tc>
        <w:tc>
          <w:tcPr>
            <w:tcW w:w="64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20"/>
              <w:jc w:val="right"/>
              <w:rPr>
                <w:rFonts w:ascii="Times New Roman" w:hAnsi="Times New Roman" w:cs="Times New Roman" w:eastAsia="Times New Roman" w:hint="default"/>
                <w:sz w:val="18"/>
                <w:szCs w:val="18"/>
              </w:rPr>
            </w:pPr>
            <w:r>
              <w:rPr>
                <w:rFonts w:ascii="Times New Roman"/>
                <w:sz w:val="18"/>
              </w:rPr>
              <w:t>0</w:t>
            </w:r>
          </w:p>
        </w:tc>
      </w:tr>
      <w:tr>
        <w:trPr>
          <w:trHeight w:val="324" w:hRule="exact"/>
        </w:trPr>
        <w:tc>
          <w:tcPr>
            <w:tcW w:w="312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4" w:right="0"/>
              <w:jc w:val="left"/>
              <w:rPr>
                <w:rFonts w:ascii="宋体" w:hAnsi="宋体" w:cs="宋体" w:eastAsia="宋体" w:hint="default"/>
                <w:sz w:val="18"/>
                <w:szCs w:val="18"/>
              </w:rPr>
            </w:pPr>
            <w:r>
              <w:rPr>
                <w:rFonts w:ascii="宋体" w:hAnsi="宋体" w:cs="宋体" w:eastAsia="宋体" w:hint="default"/>
                <w:sz w:val="18"/>
                <w:szCs w:val="18"/>
              </w:rPr>
              <w:t>非财务报告重大缺陷数量（个）</w:t>
            </w:r>
          </w:p>
        </w:tc>
        <w:tc>
          <w:tcPr>
            <w:tcW w:w="64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5"/>
              <w:ind w:right="20"/>
              <w:jc w:val="right"/>
              <w:rPr>
                <w:rFonts w:ascii="Times New Roman" w:hAnsi="Times New Roman" w:cs="Times New Roman" w:eastAsia="Times New Roman" w:hint="default"/>
                <w:sz w:val="18"/>
                <w:szCs w:val="18"/>
              </w:rPr>
            </w:pPr>
            <w:r>
              <w:rPr>
                <w:rFonts w:ascii="Times New Roman"/>
                <w:sz w:val="18"/>
              </w:rPr>
              <w:t>0</w:t>
            </w:r>
          </w:p>
        </w:tc>
      </w:tr>
      <w:tr>
        <w:trPr>
          <w:trHeight w:val="324" w:hRule="exact"/>
        </w:trPr>
        <w:tc>
          <w:tcPr>
            <w:tcW w:w="312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4" w:right="0"/>
              <w:jc w:val="left"/>
              <w:rPr>
                <w:rFonts w:ascii="宋体" w:hAnsi="宋体" w:cs="宋体" w:eastAsia="宋体" w:hint="default"/>
                <w:sz w:val="18"/>
                <w:szCs w:val="18"/>
              </w:rPr>
            </w:pPr>
            <w:r>
              <w:rPr>
                <w:rFonts w:ascii="宋体" w:hAnsi="宋体" w:cs="宋体" w:eastAsia="宋体" w:hint="default"/>
                <w:sz w:val="18"/>
                <w:szCs w:val="18"/>
              </w:rPr>
              <w:t>财务报告重要缺陷数量（个）</w:t>
            </w:r>
          </w:p>
        </w:tc>
        <w:tc>
          <w:tcPr>
            <w:tcW w:w="64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Times New Roman" w:hAnsi="Times New Roman" w:cs="Times New Roman" w:eastAsia="Times New Roman" w:hint="default"/>
                <w:sz w:val="18"/>
                <w:szCs w:val="18"/>
              </w:rPr>
            </w:pPr>
            <w:r>
              <w:rPr>
                <w:rFonts w:ascii="Times New Roman"/>
                <w:sz w:val="18"/>
              </w:rPr>
              <w:t>0</w:t>
            </w:r>
          </w:p>
        </w:tc>
      </w:tr>
      <w:tr>
        <w:trPr>
          <w:trHeight w:val="322" w:hRule="exact"/>
        </w:trPr>
        <w:tc>
          <w:tcPr>
            <w:tcW w:w="312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4" w:right="0"/>
              <w:jc w:val="left"/>
              <w:rPr>
                <w:rFonts w:ascii="宋体" w:hAnsi="宋体" w:cs="宋体" w:eastAsia="宋体" w:hint="default"/>
                <w:sz w:val="18"/>
                <w:szCs w:val="18"/>
              </w:rPr>
            </w:pPr>
            <w:r>
              <w:rPr>
                <w:rFonts w:ascii="宋体" w:hAnsi="宋体" w:cs="宋体" w:eastAsia="宋体" w:hint="default"/>
                <w:sz w:val="18"/>
                <w:szCs w:val="18"/>
              </w:rPr>
              <w:t>非财务报告重要缺陷数量（个）</w:t>
            </w:r>
          </w:p>
        </w:tc>
        <w:tc>
          <w:tcPr>
            <w:tcW w:w="64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right="20"/>
              <w:jc w:val="right"/>
              <w:rPr>
                <w:rFonts w:ascii="Times New Roman" w:hAnsi="Times New Roman" w:cs="Times New Roman" w:eastAsia="Times New Roman" w:hint="default"/>
                <w:sz w:val="18"/>
                <w:szCs w:val="18"/>
              </w:rPr>
            </w:pPr>
            <w:r>
              <w:rPr>
                <w:rFonts w:ascii="Times New Roman"/>
                <w:sz w:val="18"/>
              </w:rPr>
              <w:t>0</w:t>
            </w:r>
          </w:p>
        </w:tc>
      </w:tr>
    </w:tbl>
    <w:p>
      <w:pPr>
        <w:spacing w:line="240" w:lineRule="auto" w:before="2"/>
        <w:rPr>
          <w:rFonts w:ascii="宋体" w:hAnsi="宋体" w:cs="宋体" w:eastAsia="宋体" w:hint="default"/>
          <w:b/>
          <w:bCs/>
          <w:sz w:val="22"/>
          <w:szCs w:val="22"/>
        </w:rPr>
      </w:pPr>
    </w:p>
    <w:p>
      <w:pPr>
        <w:pStyle w:val="Heading3"/>
        <w:spacing w:line="240" w:lineRule="auto"/>
        <w:ind w:left="633" w:right="1133"/>
        <w:jc w:val="left"/>
        <w:rPr>
          <w:b w:val="0"/>
          <w:bCs w:val="0"/>
        </w:rPr>
      </w:pPr>
      <w:r>
        <w:rPr/>
        <w:t>十、内部控制审计报告</w:t>
      </w:r>
      <w:r>
        <w:rPr>
          <w:b w:val="0"/>
          <w:bCs w:val="0"/>
        </w:rPr>
      </w:r>
    </w:p>
    <w:p>
      <w:pPr>
        <w:pStyle w:val="BodyText"/>
        <w:spacing w:line="240" w:lineRule="auto" w:before="39"/>
        <w:ind w:left="573" w:right="1133"/>
        <w:jc w:val="left"/>
        <w:rPr>
          <w:rFonts w:ascii="宋体" w:hAnsi="宋体" w:cs="宋体" w:eastAsia="宋体" w:hint="default"/>
        </w:rPr>
      </w:pPr>
      <w:r>
        <w:rPr/>
        <w:t>√ 适用 </w:t>
      </w:r>
      <w:r>
        <w:rPr>
          <w:rFonts w:ascii="宋体" w:hAnsi="宋体" w:cs="宋体" w:eastAsia="宋体" w:hint="default"/>
        </w:rPr>
      </w:r>
      <w:r>
        <w:rPr>
          <w:spacing w:val="-3"/>
        </w:rPr>
        <w:t>□</w:t>
      </w:r>
      <w:r>
        <w:rPr/>
        <w:t> 不适用</w:t>
      </w:r>
      <w:r>
        <w:rPr>
          <w:rFonts w:ascii="宋体" w:hAnsi="宋体" w:cs="宋体" w:eastAsia="宋体" w:hint="default"/>
        </w:rPr>
        <w:t> </w:t>
      </w:r>
    </w:p>
    <w:p>
      <w:pPr>
        <w:spacing w:line="240" w:lineRule="auto" w:before="6"/>
        <w:rPr>
          <w:rFonts w:ascii="宋体" w:hAnsi="宋体" w:cs="宋体" w:eastAsia="宋体" w:hint="default"/>
          <w:sz w:val="5"/>
          <w:szCs w:val="5"/>
        </w:rPr>
      </w:pPr>
    </w:p>
    <w:tbl>
      <w:tblPr>
        <w:tblW w:w="0" w:type="auto"/>
        <w:jc w:val="left"/>
        <w:tblInd w:w="149" w:type="dxa"/>
        <w:tblLayout w:type="fixed"/>
        <w:tblCellMar>
          <w:top w:w="0" w:type="dxa"/>
          <w:left w:w="0" w:type="dxa"/>
          <w:bottom w:w="0" w:type="dxa"/>
          <w:right w:w="0" w:type="dxa"/>
        </w:tblCellMar>
        <w:tblLook w:val="01E0"/>
      </w:tblPr>
      <w:tblGrid>
        <w:gridCol w:w="2661"/>
        <w:gridCol w:w="6909"/>
      </w:tblGrid>
      <w:tr>
        <w:trPr>
          <w:trHeight w:val="362" w:hRule="exact"/>
        </w:trPr>
        <w:tc>
          <w:tcPr>
            <w:tcW w:w="957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2"/>
              <w:ind w:right="1"/>
              <w:jc w:val="center"/>
              <w:rPr>
                <w:rFonts w:ascii="宋体" w:hAnsi="宋体" w:cs="宋体" w:eastAsia="宋体" w:hint="default"/>
                <w:sz w:val="18"/>
                <w:szCs w:val="18"/>
              </w:rPr>
            </w:pPr>
            <w:r>
              <w:rPr>
                <w:rFonts w:ascii="宋体" w:hAnsi="宋体" w:cs="宋体" w:eastAsia="宋体" w:hint="default"/>
                <w:sz w:val="18"/>
                <w:szCs w:val="18"/>
              </w:rPr>
              <w:t>内部控制审计报告中的审议意见段</w:t>
            </w:r>
          </w:p>
        </w:tc>
      </w:tr>
      <w:tr>
        <w:trPr>
          <w:trHeight w:val="598" w:hRule="exact"/>
        </w:trPr>
        <w:tc>
          <w:tcPr>
            <w:tcW w:w="9570" w:type="dxa"/>
            <w:gridSpan w:val="2"/>
            <w:tcBorders>
              <w:top w:val="single" w:sz="4" w:space="0" w:color="000000"/>
              <w:left w:val="single" w:sz="4" w:space="0" w:color="000000"/>
              <w:bottom w:val="single" w:sz="4" w:space="0" w:color="000000"/>
              <w:right w:val="single" w:sz="4" w:space="0" w:color="000000"/>
            </w:tcBorders>
          </w:tcPr>
          <w:p>
            <w:pPr>
              <w:pStyle w:val="TableParagraph"/>
              <w:spacing w:line="238" w:lineRule="exact" w:before="49"/>
              <w:ind w:left="22" w:right="82" w:firstLine="360"/>
              <w:jc w:val="left"/>
              <w:rPr>
                <w:rFonts w:ascii="宋体" w:hAnsi="宋体" w:cs="宋体" w:eastAsia="宋体" w:hint="default"/>
                <w:sz w:val="18"/>
                <w:szCs w:val="18"/>
              </w:rPr>
            </w:pPr>
            <w:r>
              <w:rPr>
                <w:rFonts w:ascii="宋体" w:hAnsi="宋体" w:cs="宋体" w:eastAsia="宋体" w:hint="default"/>
                <w:sz w:val="18"/>
                <w:szCs w:val="18"/>
              </w:rPr>
              <w:t>我们认为，贵公司于</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日按照《企业内部控制基本规范》和规范运作指引相关规定在所有重大方面保 持了有效的财务报告内部控制。</w:t>
            </w:r>
          </w:p>
        </w:tc>
      </w:tr>
      <w:tr>
        <w:trPr>
          <w:trHeight w:val="362"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内控审计报告披露情况</w:t>
            </w:r>
          </w:p>
        </w:tc>
        <w:tc>
          <w:tcPr>
            <w:tcW w:w="6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3" w:right="0"/>
              <w:jc w:val="left"/>
              <w:rPr>
                <w:rFonts w:ascii="宋体" w:hAnsi="宋体" w:cs="宋体" w:eastAsia="宋体" w:hint="default"/>
                <w:sz w:val="18"/>
                <w:szCs w:val="18"/>
              </w:rPr>
            </w:pPr>
            <w:r>
              <w:rPr>
                <w:rFonts w:ascii="宋体" w:hAnsi="宋体" w:cs="宋体" w:eastAsia="宋体" w:hint="default"/>
                <w:sz w:val="18"/>
                <w:szCs w:val="18"/>
              </w:rPr>
              <w:t>与本年报同日全文披露</w:t>
            </w:r>
          </w:p>
        </w:tc>
      </w:tr>
      <w:tr>
        <w:trPr>
          <w:trHeight w:val="365"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内部控制审计报告全文披露日期</w:t>
            </w:r>
          </w:p>
        </w:tc>
        <w:tc>
          <w:tcPr>
            <w:tcW w:w="6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 </w:t>
            </w:r>
            <w:r>
              <w:rPr>
                <w:rFonts w:ascii="宋体" w:hAnsi="宋体" w:cs="宋体" w:eastAsia="宋体" w:hint="default"/>
                <w:sz w:val="18"/>
                <w:szCs w:val="18"/>
              </w:rPr>
              <w:t>日</w:t>
            </w:r>
          </w:p>
        </w:tc>
      </w:tr>
      <w:tr>
        <w:trPr>
          <w:trHeight w:val="362"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内部控制审计报告全文披露索引</w:t>
            </w:r>
          </w:p>
        </w:tc>
        <w:tc>
          <w:tcPr>
            <w:tcW w:w="6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3" w:right="0"/>
              <w:jc w:val="left"/>
              <w:rPr>
                <w:rFonts w:ascii="宋体" w:hAnsi="宋体" w:cs="宋体" w:eastAsia="宋体" w:hint="default"/>
                <w:sz w:val="18"/>
                <w:szCs w:val="18"/>
              </w:rPr>
            </w:pPr>
            <w:r>
              <w:rPr>
                <w:rFonts w:ascii="宋体" w:hAnsi="宋体" w:cs="宋体" w:eastAsia="宋体" w:hint="default"/>
                <w:sz w:val="18"/>
                <w:szCs w:val="18"/>
              </w:rPr>
              <w:t>指定网站名称：巨潮资讯网，标题：中嘉博创信息技术股份有限公司内部控制审计报告</w:t>
            </w:r>
          </w:p>
        </w:tc>
      </w:tr>
      <w:tr>
        <w:trPr>
          <w:trHeight w:val="365"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内控审计报告意见类型</w:t>
            </w:r>
          </w:p>
        </w:tc>
        <w:tc>
          <w:tcPr>
            <w:tcW w:w="6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3" w:right="0"/>
              <w:jc w:val="left"/>
              <w:rPr>
                <w:rFonts w:ascii="宋体" w:hAnsi="宋体" w:cs="宋体" w:eastAsia="宋体" w:hint="default"/>
                <w:sz w:val="18"/>
                <w:szCs w:val="18"/>
              </w:rPr>
            </w:pPr>
            <w:r>
              <w:rPr>
                <w:rFonts w:ascii="宋体" w:hAnsi="宋体" w:cs="宋体" w:eastAsia="宋体" w:hint="default"/>
                <w:sz w:val="18"/>
                <w:szCs w:val="18"/>
              </w:rPr>
              <w:t>标准无保留意见</w:t>
            </w:r>
          </w:p>
        </w:tc>
      </w:tr>
      <w:tr>
        <w:trPr>
          <w:trHeight w:val="362" w:hRule="exact"/>
        </w:trPr>
        <w:tc>
          <w:tcPr>
            <w:tcW w:w="26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非财务报告是否存在重大缺陷</w:t>
            </w:r>
          </w:p>
        </w:tc>
        <w:tc>
          <w:tcPr>
            <w:tcW w:w="6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3"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line="240" w:lineRule="auto" w:before="0"/>
        <w:rPr>
          <w:rFonts w:ascii="宋体" w:hAnsi="宋体" w:cs="宋体" w:eastAsia="宋体" w:hint="default"/>
          <w:sz w:val="13"/>
          <w:szCs w:val="13"/>
        </w:rPr>
      </w:pPr>
    </w:p>
    <w:p>
      <w:pPr>
        <w:pStyle w:val="BodyText"/>
        <w:spacing w:line="240" w:lineRule="auto" w:before="36"/>
        <w:ind w:right="1133"/>
        <w:jc w:val="left"/>
        <w:rPr>
          <w:rFonts w:ascii="宋体" w:hAnsi="宋体" w:cs="宋体" w:eastAsia="宋体" w:hint="default"/>
        </w:rPr>
      </w:pPr>
      <w:r>
        <w:rPr>
          <w:rFonts w:ascii="宋体" w:hAnsi="宋体" w:cs="宋体" w:eastAsia="宋体" w:hint="default"/>
          <w:w w:val="100"/>
        </w:rPr>
        <w:t>    </w:t>
      </w:r>
      <w:r>
        <w:rPr/>
        <w:t>会计师事务所是否出具非标准意见的内部控制审计报告</w:t>
      </w:r>
      <w:r>
        <w:rPr>
          <w:rFonts w:ascii="宋体" w:hAnsi="宋体" w:cs="宋体" w:eastAsia="宋体" w:hint="default"/>
        </w:rPr>
        <w:t> </w:t>
      </w:r>
    </w:p>
    <w:p>
      <w:pPr>
        <w:pStyle w:val="BodyText"/>
        <w:spacing w:line="240" w:lineRule="auto" w:before="37"/>
        <w:ind w:right="1133"/>
        <w:jc w:val="left"/>
        <w:rPr>
          <w:rFonts w:ascii="宋体" w:hAnsi="宋体" w:cs="宋体" w:eastAsia="宋体" w:hint="default"/>
        </w:rPr>
      </w:pPr>
      <w:r>
        <w:rPr>
          <w:rFonts w:ascii="宋体" w:hAnsi="宋体" w:cs="宋体" w:eastAsia="宋体" w:hint="default"/>
          <w:w w:val="100"/>
        </w:rPr>
        <w:t>    </w:t>
      </w:r>
      <w:r>
        <w:rPr>
          <w:spacing w:val="-3"/>
        </w:rPr>
        <w:t>□ </w:t>
      </w:r>
      <w:r>
        <w:rPr/>
        <w:t>是 </w:t>
      </w:r>
      <w:r>
        <w:rPr>
          <w:rFonts w:ascii="宋体" w:hAnsi="宋体" w:cs="宋体" w:eastAsia="宋体" w:hint="default"/>
        </w:rPr>
      </w:r>
      <w:r>
        <w:rPr/>
        <w:t>√</w:t>
      </w:r>
      <w:r>
        <w:rPr>
          <w:spacing w:val="2"/>
        </w:rPr>
        <w:t> </w:t>
      </w:r>
      <w:r>
        <w:rPr>
          <w:spacing w:val="-3"/>
        </w:rPr>
        <w:t>否</w:t>
      </w:r>
      <w:r>
        <w:rPr>
          <w:rFonts w:ascii="宋体" w:hAnsi="宋体" w:cs="宋体" w:eastAsia="宋体" w:hint="default"/>
        </w:rPr>
        <w:t> </w:t>
      </w:r>
    </w:p>
    <w:p>
      <w:pPr>
        <w:pStyle w:val="BodyText"/>
        <w:spacing w:line="240" w:lineRule="auto" w:before="39"/>
        <w:ind w:right="1133"/>
        <w:jc w:val="left"/>
        <w:rPr>
          <w:rFonts w:ascii="宋体" w:hAnsi="宋体" w:cs="宋体" w:eastAsia="宋体" w:hint="default"/>
        </w:rPr>
      </w:pPr>
      <w:r>
        <w:rPr>
          <w:rFonts w:ascii="宋体" w:hAnsi="宋体" w:cs="宋体" w:eastAsia="宋体" w:hint="default"/>
          <w:w w:val="100"/>
        </w:rPr>
        <w:t>    </w:t>
      </w:r>
      <w:r>
        <w:rPr/>
        <w:t>会计师事务所出具的内部控制审计报告与董事会的自我评价报告意见是否一致</w:t>
      </w:r>
      <w:r>
        <w:rPr>
          <w:rFonts w:ascii="宋体" w:hAnsi="宋体" w:cs="宋体" w:eastAsia="宋体" w:hint="default"/>
        </w:rPr>
        <w:t> </w:t>
      </w:r>
    </w:p>
    <w:p>
      <w:pPr>
        <w:pStyle w:val="BodyText"/>
        <w:spacing w:line="240" w:lineRule="auto" w:before="37"/>
        <w:ind w:left="573" w:right="1133"/>
        <w:jc w:val="left"/>
        <w:rPr>
          <w:rFonts w:ascii="宋体" w:hAnsi="宋体" w:cs="宋体" w:eastAsia="宋体" w:hint="default"/>
        </w:rPr>
      </w:pPr>
      <w:r>
        <w:rPr/>
        <w:t>√ 是 </w:t>
      </w:r>
      <w:r>
        <w:rPr>
          <w:rFonts w:ascii="宋体" w:hAnsi="宋体" w:cs="宋体" w:eastAsia="宋体" w:hint="default"/>
        </w:rPr>
      </w:r>
      <w:r>
        <w:rPr/>
        <w:t>□</w:t>
      </w:r>
      <w:r>
        <w:rPr>
          <w:spacing w:val="-1"/>
        </w:rPr>
        <w:t> </w:t>
      </w:r>
      <w:r>
        <w:rPr>
          <w:spacing w:val="-3"/>
        </w:rPr>
        <w:t>否</w:t>
      </w:r>
      <w:r>
        <w:rPr>
          <w:rFonts w:ascii="宋体" w:hAnsi="宋体" w:cs="宋体" w:eastAsia="宋体" w:hint="default"/>
        </w:rPr>
        <w:t> </w:t>
      </w:r>
    </w:p>
    <w:p>
      <w:pPr>
        <w:pStyle w:val="BodyText"/>
        <w:spacing w:line="240" w:lineRule="auto" w:before="37"/>
        <w:ind w:left="573" w:right="0"/>
        <w:jc w:val="left"/>
        <w:rPr>
          <w:rFonts w:ascii="宋体" w:hAnsi="宋体" w:cs="宋体" w:eastAsia="宋体" w:hint="default"/>
        </w:rPr>
      </w:pPr>
      <w:r>
        <w:rPr>
          <w:rFonts w:ascii="宋体"/>
          <w:w w:val="100"/>
        </w:rPr>
        <w:t> </w:t>
      </w:r>
    </w:p>
    <w:p>
      <w:pPr>
        <w:pStyle w:val="BodyText"/>
        <w:spacing w:line="240" w:lineRule="auto" w:before="37"/>
        <w:ind w:left="573" w:right="0"/>
        <w:jc w:val="left"/>
        <w:rPr>
          <w:rFonts w:ascii="宋体" w:hAnsi="宋体" w:cs="宋体" w:eastAsia="宋体" w:hint="default"/>
        </w:rPr>
      </w:pPr>
      <w:r>
        <w:rPr>
          <w:rFonts w:ascii="宋体"/>
          <w:w w:val="100"/>
        </w:rPr>
        <w:t> </w:t>
      </w:r>
    </w:p>
    <w:p>
      <w:pPr>
        <w:spacing w:after="0" w:line="240" w:lineRule="auto"/>
        <w:jc w:val="left"/>
        <w:rPr>
          <w:rFonts w:ascii="宋体" w:hAnsi="宋体" w:cs="宋体" w:eastAsia="宋体" w:hint="default"/>
        </w:rPr>
        <w:sectPr>
          <w:pgSz w:w="11910" w:h="16840"/>
          <w:pgMar w:header="921" w:footer="725" w:top="1160" w:bottom="92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4"/>
          <w:szCs w:val="24"/>
        </w:rPr>
      </w:pPr>
    </w:p>
    <w:p>
      <w:pPr>
        <w:pStyle w:val="Heading1"/>
        <w:tabs>
          <w:tab w:pos="4490" w:val="left" w:leader="none"/>
        </w:tabs>
        <w:spacing w:line="240" w:lineRule="auto"/>
        <w:ind w:left="2882" w:right="1133"/>
        <w:jc w:val="left"/>
        <w:rPr>
          <w:b w:val="0"/>
          <w:bCs w:val="0"/>
        </w:rPr>
      </w:pPr>
      <w:bookmarkStart w:name="_bookmark10" w:id="11"/>
      <w:bookmarkEnd w:id="11"/>
      <w:r>
        <w:rPr>
          <w:b w:val="0"/>
          <w:bCs w:val="0"/>
        </w:rPr>
      </w:r>
      <w:r>
        <w:rPr>
          <w:w w:val="95"/>
        </w:rPr>
        <w:t>第十一章</w:t>
        <w:tab/>
      </w:r>
      <w:r>
        <w:rPr/>
        <w:t>公司债券相关情况</w:t>
      </w:r>
      <w:r>
        <w:rPr>
          <w:b w:val="0"/>
          <w:bCs w:val="0"/>
        </w:rPr>
      </w:r>
    </w:p>
    <w:p>
      <w:pPr>
        <w:spacing w:line="240" w:lineRule="auto" w:before="0"/>
        <w:rPr>
          <w:rFonts w:ascii="宋体" w:hAnsi="宋体" w:cs="宋体" w:eastAsia="宋体" w:hint="default"/>
          <w:b/>
          <w:bCs/>
          <w:sz w:val="32"/>
          <w:szCs w:val="32"/>
        </w:rPr>
      </w:pPr>
    </w:p>
    <w:p>
      <w:pPr>
        <w:spacing w:line="240" w:lineRule="auto" w:before="13"/>
        <w:rPr>
          <w:rFonts w:ascii="宋体" w:hAnsi="宋体" w:cs="宋体" w:eastAsia="宋体" w:hint="default"/>
          <w:b/>
          <w:bCs/>
          <w:sz w:val="38"/>
          <w:szCs w:val="38"/>
        </w:rPr>
      </w:pPr>
    </w:p>
    <w:p>
      <w:pPr>
        <w:pStyle w:val="BodyText"/>
        <w:spacing w:line="240" w:lineRule="auto"/>
        <w:ind w:left="424" w:right="1133"/>
        <w:jc w:val="left"/>
        <w:rPr>
          <w:rFonts w:ascii="宋体" w:hAnsi="宋体" w:cs="宋体" w:eastAsia="宋体" w:hint="default"/>
        </w:rPr>
      </w:pPr>
      <w:r>
        <w:rPr>
          <w:rFonts w:ascii="宋体" w:hAnsi="宋体" w:cs="宋体" w:eastAsia="宋体" w:hint="default"/>
          <w:w w:val="100"/>
        </w:rPr>
        <w:t>  </w:t>
      </w:r>
      <w:r>
        <w:rPr>
          <w:spacing w:val="-3"/>
        </w:rPr>
        <w:t>□ </w:t>
      </w:r>
      <w:r>
        <w:rPr/>
        <w:t>适用  </w:t>
      </w:r>
      <w:r>
        <w:rPr>
          <w:rFonts w:ascii="宋体" w:hAnsi="宋体" w:cs="宋体" w:eastAsia="宋体" w:hint="default"/>
        </w:rPr>
      </w:r>
      <w:r>
        <w:rPr/>
        <w:t>√ </w:t>
      </w:r>
      <w:r>
        <w:rPr>
          <w:rFonts w:ascii="宋体" w:hAnsi="宋体" w:cs="宋体" w:eastAsia="宋体" w:hint="default"/>
        </w:rPr>
      </w:r>
      <w:r>
        <w:rPr/>
        <w:t>不适用</w:t>
      </w:r>
      <w:r>
        <w:rPr>
          <w:rFonts w:ascii="宋体" w:hAnsi="宋体" w:cs="宋体" w:eastAsia="宋体" w:hint="default"/>
        </w:rPr>
        <w:t> </w:t>
      </w:r>
    </w:p>
    <w:p>
      <w:pPr>
        <w:pStyle w:val="BodyText"/>
        <w:spacing w:line="240" w:lineRule="auto" w:before="37"/>
        <w:ind w:right="1133" w:firstLine="422"/>
        <w:jc w:val="left"/>
      </w:pPr>
      <w:r>
        <w:rPr>
          <w:spacing w:val="-2"/>
        </w:rPr>
        <w:t>公司不存在公开发行并在证券交易所上市，且在年度报告批准报出日未到期或到期未能全额兑付的公</w:t>
      </w:r>
      <w:r>
        <w:rPr>
          <w:w w:val="100"/>
        </w:rPr>
        <w:t> </w:t>
      </w:r>
      <w:r>
        <w:rPr/>
        <w:t>司债券</w:t>
      </w:r>
    </w:p>
    <w:p>
      <w:pPr>
        <w:spacing w:after="0" w:line="240" w:lineRule="auto"/>
        <w:jc w:val="left"/>
        <w:sectPr>
          <w:pgSz w:w="11910" w:h="16840"/>
          <w:pgMar w:header="921" w:footer="725" w:top="1160" w:bottom="920" w:left="98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1"/>
        <w:tabs>
          <w:tab w:pos="5133" w:val="left" w:leader="none"/>
        </w:tabs>
        <w:spacing w:line="240" w:lineRule="auto" w:before="149"/>
        <w:ind w:left="3525" w:right="1133"/>
        <w:jc w:val="left"/>
        <w:rPr>
          <w:b w:val="0"/>
          <w:bCs w:val="0"/>
        </w:rPr>
      </w:pPr>
      <w:bookmarkStart w:name="_bookmark11" w:id="12"/>
      <w:bookmarkEnd w:id="12"/>
      <w:r>
        <w:rPr>
          <w:b w:val="0"/>
          <w:bCs w:val="0"/>
        </w:rPr>
      </w:r>
      <w:r>
        <w:rPr>
          <w:w w:val="95"/>
        </w:rPr>
        <w:t>第十二章</w:t>
        <w:tab/>
      </w:r>
      <w:r>
        <w:rPr/>
        <w:t>财务报告</w:t>
      </w:r>
      <w:r>
        <w:rPr>
          <w:b w:val="0"/>
          <w:bCs w:val="0"/>
        </w:rPr>
      </w:r>
    </w:p>
    <w:p>
      <w:pPr>
        <w:spacing w:line="240" w:lineRule="auto" w:before="10"/>
        <w:rPr>
          <w:rFonts w:ascii="宋体" w:hAnsi="宋体" w:cs="宋体" w:eastAsia="宋体" w:hint="default"/>
          <w:b/>
          <w:bCs/>
          <w:sz w:val="21"/>
          <w:szCs w:val="21"/>
        </w:rPr>
      </w:pPr>
    </w:p>
    <w:p>
      <w:pPr>
        <w:pStyle w:val="Heading2"/>
        <w:spacing w:line="240" w:lineRule="auto"/>
        <w:ind w:right="1133"/>
        <w:jc w:val="left"/>
        <w:rPr>
          <w:b w:val="0"/>
          <w:bCs w:val="0"/>
        </w:rPr>
      </w:pPr>
      <w:r>
        <w:rPr/>
        <w:t>一、审计报告</w:t>
      </w:r>
      <w:r>
        <w:rPr>
          <w:b w:val="0"/>
          <w:bCs w:val="0"/>
        </w:rPr>
      </w:r>
    </w:p>
    <w:p>
      <w:pPr>
        <w:spacing w:line="240" w:lineRule="auto" w:before="9"/>
        <w:rPr>
          <w:rFonts w:ascii="宋体" w:hAnsi="宋体" w:cs="宋体" w:eastAsia="宋体" w:hint="default"/>
          <w:b/>
          <w:bCs/>
          <w:sz w:val="25"/>
          <w:szCs w:val="25"/>
        </w:rPr>
      </w:pPr>
    </w:p>
    <w:tbl>
      <w:tblPr>
        <w:tblW w:w="0" w:type="auto"/>
        <w:jc w:val="left"/>
        <w:tblInd w:w="149" w:type="dxa"/>
        <w:tblLayout w:type="fixed"/>
        <w:tblCellMar>
          <w:top w:w="0" w:type="dxa"/>
          <w:left w:w="0" w:type="dxa"/>
          <w:bottom w:w="0" w:type="dxa"/>
          <w:right w:w="0" w:type="dxa"/>
        </w:tblCellMar>
        <w:tblLook w:val="01E0"/>
      </w:tblPr>
      <w:tblGrid>
        <w:gridCol w:w="4783"/>
        <w:gridCol w:w="4787"/>
      </w:tblGrid>
      <w:tr>
        <w:trPr>
          <w:trHeight w:val="365"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4"/>
              <w:ind w:left="22" w:right="0"/>
              <w:jc w:val="left"/>
              <w:rPr>
                <w:rFonts w:ascii="宋体" w:hAnsi="宋体" w:cs="宋体" w:eastAsia="宋体" w:hint="default"/>
                <w:sz w:val="18"/>
                <w:szCs w:val="18"/>
              </w:rPr>
            </w:pPr>
            <w:r>
              <w:rPr>
                <w:rFonts w:ascii="宋体" w:hAnsi="宋体" w:cs="宋体" w:eastAsia="宋体" w:hint="default"/>
                <w:sz w:val="18"/>
                <w:szCs w:val="18"/>
              </w:rPr>
              <w:t>审计意见类型</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4"/>
              <w:ind w:left="23" w:right="0"/>
              <w:jc w:val="left"/>
              <w:rPr>
                <w:rFonts w:ascii="宋体" w:hAnsi="宋体" w:cs="宋体" w:eastAsia="宋体" w:hint="default"/>
                <w:sz w:val="18"/>
                <w:szCs w:val="18"/>
              </w:rPr>
            </w:pPr>
            <w:r>
              <w:rPr>
                <w:rFonts w:ascii="宋体" w:hAnsi="宋体" w:cs="宋体" w:eastAsia="宋体" w:hint="default"/>
                <w:sz w:val="18"/>
                <w:szCs w:val="18"/>
              </w:rPr>
              <w:t>标准的无保留意见</w:t>
            </w:r>
            <w:r>
              <w:rPr>
                <w:rFonts w:ascii="宋体" w:hAnsi="宋体" w:cs="宋体" w:eastAsia="宋体" w:hint="default"/>
                <w:sz w:val="18"/>
                <w:szCs w:val="18"/>
              </w:rPr>
              <w:t> </w:t>
            </w:r>
          </w:p>
        </w:tc>
      </w:tr>
      <w:tr>
        <w:trPr>
          <w:trHeight w:val="36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审计报告签署日期</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3" w:right="0"/>
              <w:jc w:val="left"/>
              <w:rPr>
                <w:rFonts w:ascii="宋体" w:hAnsi="宋体" w:cs="宋体" w:eastAsia="宋体" w:hint="default"/>
                <w:sz w:val="18"/>
                <w:szCs w:val="18"/>
              </w:rPr>
            </w:pPr>
            <w:r>
              <w:rPr>
                <w:rFonts w:ascii="宋体" w:hAnsi="宋体" w:cs="宋体" w:eastAsia="宋体" w:hint="default"/>
                <w:sz w:val="18"/>
                <w:szCs w:val="18"/>
              </w:rPr>
              <w:t>2020</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4</w:t>
            </w:r>
            <w:r>
              <w:rPr>
                <w:rFonts w:ascii="宋体" w:hAnsi="宋体" w:cs="宋体" w:eastAsia="宋体" w:hint="default"/>
                <w:spacing w:val="-44"/>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26</w:t>
            </w:r>
            <w:r>
              <w:rPr>
                <w:rFonts w:ascii="宋体" w:hAnsi="宋体" w:cs="宋体" w:eastAsia="宋体" w:hint="default"/>
                <w:spacing w:val="-45"/>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r>
      <w:tr>
        <w:trPr>
          <w:trHeight w:val="365"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审计机构名称</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3" w:right="0"/>
              <w:jc w:val="left"/>
              <w:rPr>
                <w:rFonts w:ascii="宋体" w:hAnsi="宋体" w:cs="宋体" w:eastAsia="宋体" w:hint="default"/>
                <w:sz w:val="18"/>
                <w:szCs w:val="18"/>
              </w:rPr>
            </w:pPr>
            <w:r>
              <w:rPr>
                <w:rFonts w:ascii="宋体" w:hAnsi="宋体" w:cs="宋体" w:eastAsia="宋体" w:hint="default"/>
                <w:sz w:val="18"/>
                <w:szCs w:val="18"/>
              </w:rPr>
              <w:t>亚太（集团）会计师事务所（特殊普通合伙）</w:t>
            </w:r>
            <w:r>
              <w:rPr>
                <w:rFonts w:ascii="宋体" w:hAnsi="宋体" w:cs="宋体" w:eastAsia="宋体" w:hint="default"/>
                <w:sz w:val="18"/>
                <w:szCs w:val="18"/>
              </w:rPr>
              <w:t> </w:t>
            </w:r>
          </w:p>
        </w:tc>
      </w:tr>
      <w:tr>
        <w:trPr>
          <w:trHeight w:val="36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审计报告文号</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left="23" w:right="0"/>
              <w:jc w:val="left"/>
              <w:rPr>
                <w:rFonts w:ascii="宋体" w:hAnsi="宋体" w:cs="宋体" w:eastAsia="宋体" w:hint="default"/>
                <w:sz w:val="18"/>
                <w:szCs w:val="18"/>
              </w:rPr>
            </w:pPr>
            <w:r>
              <w:rPr>
                <w:rFonts w:ascii="宋体" w:hAnsi="宋体" w:cs="宋体" w:eastAsia="宋体" w:hint="default"/>
                <w:sz w:val="18"/>
                <w:szCs w:val="18"/>
              </w:rPr>
              <w:t>亚会</w:t>
            </w:r>
            <w:r>
              <w:rPr>
                <w:rFonts w:ascii="宋体" w:hAnsi="宋体" w:cs="宋体" w:eastAsia="宋体" w:hint="default"/>
                <w:spacing w:val="-47"/>
                <w:sz w:val="18"/>
                <w:szCs w:val="18"/>
              </w:rPr>
              <w:t> </w:t>
            </w:r>
            <w:r>
              <w:rPr>
                <w:rFonts w:ascii="宋体" w:hAnsi="宋体" w:cs="宋体" w:eastAsia="宋体" w:hint="default"/>
                <w:sz w:val="18"/>
                <w:szCs w:val="18"/>
              </w:rPr>
              <w:t>A</w:t>
            </w:r>
            <w:r>
              <w:rPr>
                <w:rFonts w:ascii="宋体" w:hAnsi="宋体" w:cs="宋体" w:eastAsia="宋体" w:hint="default"/>
                <w:spacing w:val="-46"/>
                <w:sz w:val="18"/>
                <w:szCs w:val="18"/>
              </w:rPr>
              <w:t> </w:t>
            </w:r>
            <w:r>
              <w:rPr>
                <w:rFonts w:ascii="宋体" w:hAnsi="宋体" w:cs="宋体" w:eastAsia="宋体" w:hint="default"/>
                <w:sz w:val="18"/>
                <w:szCs w:val="18"/>
              </w:rPr>
              <w:t>审字（</w:t>
            </w:r>
            <w:r>
              <w:rPr>
                <w:rFonts w:ascii="宋体" w:hAnsi="宋体" w:cs="宋体" w:eastAsia="宋体" w:hint="default"/>
                <w:sz w:val="18"/>
                <w:szCs w:val="18"/>
              </w:rPr>
              <w:t>2020</w:t>
            </w:r>
            <w:r>
              <w:rPr>
                <w:rFonts w:ascii="宋体" w:hAnsi="宋体" w:cs="宋体" w:eastAsia="宋体" w:hint="default"/>
                <w:sz w:val="18"/>
                <w:szCs w:val="18"/>
              </w:rPr>
              <w:t>）</w:t>
            </w:r>
            <w:r>
              <w:rPr>
                <w:rFonts w:ascii="宋体" w:hAnsi="宋体" w:cs="宋体" w:eastAsia="宋体" w:hint="default"/>
                <w:sz w:val="18"/>
                <w:szCs w:val="18"/>
              </w:rPr>
              <w:t>1360</w:t>
            </w:r>
            <w:r>
              <w:rPr>
                <w:rFonts w:ascii="宋体" w:hAnsi="宋体" w:cs="宋体" w:eastAsia="宋体" w:hint="default"/>
                <w:spacing w:val="-45"/>
                <w:sz w:val="18"/>
                <w:szCs w:val="18"/>
              </w:rPr>
              <w:t> </w:t>
            </w:r>
            <w:r>
              <w:rPr>
                <w:rFonts w:ascii="宋体" w:hAnsi="宋体" w:cs="宋体" w:eastAsia="宋体" w:hint="default"/>
                <w:spacing w:val="-3"/>
                <w:sz w:val="18"/>
                <w:szCs w:val="18"/>
              </w:rPr>
              <w:t>号</w:t>
            </w:r>
            <w:r>
              <w:rPr>
                <w:rFonts w:ascii="宋体" w:hAnsi="宋体" w:cs="宋体" w:eastAsia="宋体" w:hint="default"/>
                <w:sz w:val="18"/>
                <w:szCs w:val="18"/>
              </w:rPr>
              <w:t> </w:t>
            </w:r>
          </w:p>
        </w:tc>
      </w:tr>
      <w:tr>
        <w:trPr>
          <w:trHeight w:val="365"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sz w:val="18"/>
                <w:szCs w:val="18"/>
              </w:rPr>
              <w:t>注册会计师姓名</w:t>
            </w:r>
          </w:p>
        </w:tc>
        <w:tc>
          <w:tcPr>
            <w:tcW w:w="4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2"/>
              <w:ind w:left="23" w:right="0"/>
              <w:jc w:val="left"/>
              <w:rPr>
                <w:rFonts w:ascii="宋体" w:hAnsi="宋体" w:cs="宋体" w:eastAsia="宋体" w:hint="default"/>
                <w:sz w:val="18"/>
                <w:szCs w:val="18"/>
              </w:rPr>
            </w:pPr>
            <w:r>
              <w:rPr>
                <w:rFonts w:ascii="宋体" w:hAnsi="宋体" w:cs="宋体" w:eastAsia="宋体" w:hint="default"/>
                <w:sz w:val="18"/>
                <w:szCs w:val="18"/>
              </w:rPr>
              <w:t>张庆栾、朱文华</w:t>
            </w:r>
            <w:r>
              <w:rPr>
                <w:rFonts w:ascii="宋体" w:hAnsi="宋体" w:cs="宋体" w:eastAsia="宋体" w:hint="default"/>
                <w:sz w:val="18"/>
                <w:szCs w:val="18"/>
              </w:rPr>
              <w:t> </w:t>
            </w:r>
          </w:p>
        </w:tc>
      </w:tr>
    </w:tbl>
    <w:p>
      <w:pPr>
        <w:spacing w:line="240" w:lineRule="auto" w:before="3"/>
        <w:rPr>
          <w:rFonts w:ascii="宋体" w:hAnsi="宋体" w:cs="宋体" w:eastAsia="宋体" w:hint="default"/>
          <w:b/>
          <w:bCs/>
          <w:sz w:val="22"/>
          <w:szCs w:val="22"/>
        </w:rPr>
      </w:pPr>
    </w:p>
    <w:p>
      <w:pPr>
        <w:spacing w:before="26"/>
        <w:ind w:left="0" w:right="858" w:firstLine="0"/>
        <w:jc w:val="center"/>
        <w:rPr>
          <w:rFonts w:ascii="宋体" w:hAnsi="宋体" w:cs="宋体" w:eastAsia="宋体" w:hint="default"/>
          <w:sz w:val="24"/>
          <w:szCs w:val="24"/>
        </w:rPr>
      </w:pPr>
      <w:r>
        <w:rPr>
          <w:rFonts w:ascii="宋体" w:hAnsi="宋体" w:cs="宋体" w:eastAsia="宋体" w:hint="default"/>
          <w:b/>
          <w:bCs/>
          <w:sz w:val="24"/>
          <w:szCs w:val="24"/>
        </w:rPr>
        <w:t>审计报告正文</w:t>
      </w:r>
      <w:r>
        <w:rPr>
          <w:rFonts w:ascii="宋体" w:hAnsi="宋体" w:cs="宋体" w:eastAsia="宋体" w:hint="default"/>
          <w:b/>
          <w:bCs/>
          <w:w w:val="99"/>
          <w:sz w:val="24"/>
          <w:szCs w:val="24"/>
        </w:rPr>
        <w:t> </w:t>
      </w:r>
      <w:r>
        <w:rPr>
          <w:rFonts w:ascii="宋体" w:hAnsi="宋体" w:cs="宋体" w:eastAsia="宋体" w:hint="default"/>
          <w:sz w:val="24"/>
          <w:szCs w:val="24"/>
        </w:rPr>
      </w:r>
    </w:p>
    <w:p>
      <w:pPr>
        <w:spacing w:line="240" w:lineRule="auto" w:before="6"/>
        <w:rPr>
          <w:rFonts w:ascii="宋体" w:hAnsi="宋体" w:cs="宋体" w:eastAsia="宋体" w:hint="default"/>
          <w:b/>
          <w:bCs/>
          <w:sz w:val="27"/>
          <w:szCs w:val="27"/>
        </w:rPr>
      </w:pPr>
    </w:p>
    <w:p>
      <w:pPr>
        <w:pStyle w:val="Heading3"/>
        <w:spacing w:line="240" w:lineRule="auto"/>
        <w:ind w:right="1133"/>
        <w:jc w:val="left"/>
        <w:rPr>
          <w:rFonts w:ascii="宋体" w:hAnsi="宋体" w:cs="宋体" w:eastAsia="宋体" w:hint="default"/>
          <w:b w:val="0"/>
          <w:bCs w:val="0"/>
        </w:rPr>
      </w:pPr>
      <w:r>
        <w:rPr>
          <w:spacing w:val="6"/>
        </w:rPr>
        <w:t>中嘉博创信息技术股份有限公司全体股东：</w:t>
      </w:r>
      <w:r>
        <w:rPr>
          <w:rFonts w:ascii="宋体" w:hAnsi="宋体" w:cs="宋体" w:eastAsia="宋体" w:hint="default"/>
          <w:w w:val="99"/>
        </w:rPr>
        <w:t> </w:t>
      </w:r>
      <w:r>
        <w:rPr>
          <w:rFonts w:ascii="宋体" w:hAnsi="宋体" w:cs="宋体" w:eastAsia="宋体" w:hint="default"/>
          <w:b w:val="0"/>
          <w:bCs w:val="0"/>
        </w:rPr>
      </w:r>
    </w:p>
    <w:p>
      <w:pPr>
        <w:pStyle w:val="BodyText"/>
        <w:spacing w:line="390" w:lineRule="atLeast" w:before="121"/>
        <w:ind w:left="573" w:right="1128"/>
        <w:jc w:val="left"/>
      </w:pPr>
      <w:r>
        <w:rPr/>
        <w:t>一、审计意见</w:t>
      </w:r>
      <w:r>
        <w:rPr>
          <w:rFonts w:ascii="宋体" w:hAnsi="宋体" w:cs="宋体" w:eastAsia="宋体" w:hint="default"/>
          <w:spacing w:val="-3"/>
          <w:w w:val="100"/>
        </w:rPr>
        <w:t> </w:t>
      </w:r>
      <w:r>
        <w:rPr>
          <w:rFonts w:ascii="宋体" w:hAnsi="宋体" w:cs="宋体" w:eastAsia="宋体" w:hint="default"/>
          <w:w w:val="100"/>
        </w:rPr>
        <w:t> </w:t>
      </w:r>
      <w:r>
        <w:rPr>
          <w:spacing w:val="-2"/>
          <w:w w:val="100"/>
        </w:rPr>
        <w:t>我们审计了中嘉博创信息技术股份有限公司（以下简称“中嘉博创”或“母公司”）合并及母公司财</w:t>
      </w:r>
    </w:p>
    <w:p>
      <w:pPr>
        <w:pStyle w:val="BodyText"/>
        <w:spacing w:line="272" w:lineRule="exact" w:before="26"/>
        <w:ind w:right="819"/>
        <w:jc w:val="left"/>
        <w:rPr>
          <w:rFonts w:ascii="宋体" w:hAnsi="宋体" w:cs="宋体" w:eastAsia="宋体" w:hint="default"/>
        </w:rPr>
      </w:pPr>
      <w:r>
        <w:rPr>
          <w:spacing w:val="-12"/>
          <w:w w:val="100"/>
        </w:rPr>
        <w:t>务报表（以下简称财务报表），包括</w:t>
      </w:r>
      <w:r>
        <w:rPr>
          <w:spacing w:val="-49"/>
          <w:w w:val="100"/>
        </w:rPr>
        <w:t> </w:t>
      </w:r>
      <w:r>
        <w:rPr>
          <w:rFonts w:ascii="宋体" w:hAnsi="宋体" w:cs="宋体" w:eastAsia="宋体" w:hint="default"/>
          <w:spacing w:val="-1"/>
          <w:w w:val="100"/>
        </w:rPr>
        <w:t>2019</w:t>
      </w:r>
      <w:r>
        <w:rPr>
          <w:rFonts w:ascii="宋体" w:hAnsi="宋体" w:cs="宋体" w:eastAsia="宋体" w:hint="default"/>
          <w:spacing w:val="-50"/>
          <w:w w:val="100"/>
        </w:rPr>
        <w:t> </w:t>
      </w:r>
      <w:r>
        <w:rPr>
          <w:w w:val="100"/>
        </w:rPr>
        <w:t>年</w:t>
      </w:r>
      <w:r>
        <w:rPr>
          <w:spacing w:val="-52"/>
          <w:w w:val="100"/>
        </w:rPr>
        <w:t> </w:t>
      </w:r>
      <w:r>
        <w:rPr>
          <w:rFonts w:ascii="宋体" w:hAnsi="宋体" w:cs="宋体" w:eastAsia="宋体" w:hint="default"/>
          <w:w w:val="100"/>
        </w:rPr>
        <w:t>12</w:t>
      </w:r>
      <w:r>
        <w:rPr>
          <w:rFonts w:ascii="宋体" w:hAnsi="宋体" w:cs="宋体" w:eastAsia="宋体" w:hint="default"/>
          <w:spacing w:val="-52"/>
          <w:w w:val="100"/>
        </w:rPr>
        <w:t> </w:t>
      </w:r>
      <w:r>
        <w:rPr>
          <w:w w:val="100"/>
        </w:rPr>
        <w:t>月</w:t>
      </w:r>
      <w:r>
        <w:rPr>
          <w:spacing w:val="-50"/>
          <w:w w:val="100"/>
        </w:rPr>
        <w:t> </w:t>
      </w:r>
      <w:r>
        <w:rPr>
          <w:rFonts w:ascii="宋体" w:hAnsi="宋体" w:cs="宋体" w:eastAsia="宋体" w:hint="default"/>
          <w:spacing w:val="-2"/>
          <w:w w:val="100"/>
        </w:rPr>
        <w:t>31</w:t>
      </w:r>
      <w:r>
        <w:rPr>
          <w:rFonts w:ascii="宋体" w:hAnsi="宋体" w:cs="宋体" w:eastAsia="宋体" w:hint="default"/>
          <w:spacing w:val="-50"/>
          <w:w w:val="100"/>
        </w:rPr>
        <w:t> </w:t>
      </w:r>
      <w:r>
        <w:rPr>
          <w:spacing w:val="-3"/>
          <w:w w:val="100"/>
        </w:rPr>
        <w:t>日的合并及母公司资产负债表，</w:t>
      </w:r>
      <w:r>
        <w:rPr>
          <w:rFonts w:ascii="宋体" w:hAnsi="宋体" w:cs="宋体" w:eastAsia="宋体" w:hint="default"/>
          <w:spacing w:val="-3"/>
          <w:w w:val="100"/>
        </w:rPr>
        <w:t>2019</w:t>
      </w:r>
      <w:r>
        <w:rPr>
          <w:rFonts w:ascii="宋体" w:hAnsi="宋体" w:cs="宋体" w:eastAsia="宋体" w:hint="default"/>
          <w:spacing w:val="-52"/>
          <w:w w:val="100"/>
        </w:rPr>
        <w:t> </w:t>
      </w:r>
      <w:r>
        <w:rPr>
          <w:spacing w:val="-2"/>
          <w:w w:val="100"/>
        </w:rPr>
        <w:t>年度的合并及母</w:t>
      </w:r>
      <w:r>
        <w:rPr>
          <w:w w:val="100"/>
        </w:rPr>
        <w:t> </w:t>
      </w:r>
      <w:r>
        <w:rPr/>
        <w:t>公司利润表、合并及母公司现金流量表、合并及母公司股东权益变动表以及相关合并财务报表附注。</w:t>
      </w:r>
      <w:r>
        <w:rPr>
          <w:rFonts w:ascii="宋体" w:hAnsi="宋体" w:cs="宋体" w:eastAsia="宋体" w:hint="default"/>
          <w:spacing w:val="-3"/>
        </w:rPr>
        <w:t> </w:t>
      </w:r>
      <w:r>
        <w:rPr>
          <w:rFonts w:ascii="宋体" w:hAnsi="宋体" w:cs="宋体" w:eastAsia="宋体" w:hint="default"/>
        </w:rPr>
        <w:t> </w:t>
      </w:r>
    </w:p>
    <w:p>
      <w:pPr>
        <w:pStyle w:val="BodyText"/>
        <w:spacing w:line="273" w:lineRule="exact" w:before="94"/>
        <w:ind w:left="573" w:right="819"/>
        <w:jc w:val="left"/>
        <w:rPr>
          <w:rFonts w:ascii="宋体" w:hAnsi="宋体" w:cs="宋体" w:eastAsia="宋体" w:hint="default"/>
        </w:rPr>
      </w:pPr>
      <w:r>
        <w:rPr>
          <w:spacing w:val="-4"/>
        </w:rPr>
        <w:t>我们认为，后附的财务报表在所有重大方面按照企业会计准则的规定编制，公允反映了中嘉博创</w:t>
      </w:r>
      <w:r>
        <w:rPr>
          <w:spacing w:val="31"/>
        </w:rPr>
        <w:t> </w:t>
      </w:r>
      <w:r>
        <w:rPr>
          <w:rFonts w:ascii="宋体" w:hAnsi="宋体" w:cs="宋体" w:eastAsia="宋体" w:hint="default"/>
        </w:rPr>
        <w:t>2019</w:t>
      </w:r>
    </w:p>
    <w:p>
      <w:pPr>
        <w:pStyle w:val="BodyText"/>
        <w:spacing w:line="240" w:lineRule="auto"/>
        <w:ind w:right="1127"/>
        <w:jc w:val="left"/>
        <w:rPr>
          <w:rFonts w:ascii="宋体" w:hAnsi="宋体" w:cs="宋体" w:eastAsia="宋体" w:hint="default"/>
        </w:rPr>
      </w:pPr>
      <w:r>
        <w:rPr/>
        <w:t>年</w:t>
      </w:r>
      <w:r>
        <w:rPr>
          <w:spacing w:val="-39"/>
        </w:rPr>
        <w:t> </w:t>
      </w:r>
      <w:r>
        <w:rPr>
          <w:rFonts w:ascii="宋体" w:hAnsi="宋体" w:cs="宋体" w:eastAsia="宋体" w:hint="default"/>
        </w:rPr>
        <w:t>12</w:t>
      </w:r>
      <w:r>
        <w:rPr>
          <w:rFonts w:ascii="宋体" w:hAnsi="宋体" w:cs="宋体" w:eastAsia="宋体" w:hint="default"/>
          <w:spacing w:val="-42"/>
        </w:rPr>
        <w:t> </w:t>
      </w:r>
      <w:r>
        <w:rPr/>
        <w:t>月</w:t>
      </w:r>
      <w:r>
        <w:rPr>
          <w:spacing w:val="-39"/>
        </w:rPr>
        <w:t> </w:t>
      </w:r>
      <w:r>
        <w:rPr>
          <w:rFonts w:ascii="宋体" w:hAnsi="宋体" w:cs="宋体" w:eastAsia="宋体" w:hint="default"/>
        </w:rPr>
        <w:t>31</w:t>
      </w:r>
      <w:r>
        <w:rPr>
          <w:rFonts w:ascii="宋体" w:hAnsi="宋体" w:cs="宋体" w:eastAsia="宋体" w:hint="default"/>
          <w:spacing w:val="-42"/>
        </w:rPr>
        <w:t> </w:t>
      </w:r>
      <w:r>
        <w:rPr/>
        <w:t>日的合并及母公司财务状况以及</w:t>
      </w:r>
      <w:r>
        <w:rPr>
          <w:spacing w:val="-42"/>
        </w:rPr>
        <w:t> </w:t>
      </w:r>
      <w:r>
        <w:rPr>
          <w:rFonts w:ascii="宋体" w:hAnsi="宋体" w:cs="宋体" w:eastAsia="宋体" w:hint="default"/>
        </w:rPr>
        <w:t>2019</w:t>
      </w:r>
      <w:r>
        <w:rPr>
          <w:rFonts w:ascii="宋体" w:hAnsi="宋体" w:cs="宋体" w:eastAsia="宋体" w:hint="default"/>
          <w:spacing w:val="-39"/>
        </w:rPr>
        <w:t> </w:t>
      </w:r>
      <w:r>
        <w:rPr/>
        <w:t>年年度的合并及母公司经营成果和合并及母公司现金流</w:t>
      </w:r>
      <w:r>
        <w:rPr>
          <w:w w:val="100"/>
        </w:rPr>
        <w:t> </w:t>
      </w:r>
      <w:r>
        <w:rPr/>
        <w:t>量。</w:t>
      </w:r>
      <w:r>
        <w:rPr>
          <w:rFonts w:ascii="宋体" w:hAnsi="宋体" w:cs="宋体" w:eastAsia="宋体" w:hint="default"/>
          <w:spacing w:val="-3"/>
        </w:rPr>
        <w:t> </w:t>
      </w:r>
      <w:r>
        <w:rPr>
          <w:rFonts w:ascii="宋体" w:hAnsi="宋体" w:cs="宋体" w:eastAsia="宋体" w:hint="default"/>
        </w:rPr>
        <w:t> </w:t>
      </w:r>
    </w:p>
    <w:p>
      <w:pPr>
        <w:pStyle w:val="BodyText"/>
        <w:spacing w:line="307" w:lineRule="auto" w:before="118"/>
        <w:ind w:left="573" w:right="1133"/>
        <w:jc w:val="left"/>
      </w:pPr>
      <w:r>
        <w:rPr/>
        <w:t>二、形成审计意见的基础</w:t>
      </w:r>
      <w:r>
        <w:rPr>
          <w:rFonts w:ascii="宋体" w:hAnsi="宋体" w:cs="宋体" w:eastAsia="宋体" w:hint="default"/>
          <w:spacing w:val="-3"/>
          <w:w w:val="100"/>
        </w:rPr>
        <w:t> </w:t>
      </w:r>
      <w:r>
        <w:rPr>
          <w:rFonts w:ascii="宋体" w:hAnsi="宋体" w:cs="宋体" w:eastAsia="宋体" w:hint="default"/>
          <w:w w:val="100"/>
        </w:rPr>
        <w:t> </w:t>
      </w:r>
      <w:r>
        <w:rPr>
          <w:spacing w:val="-2"/>
        </w:rPr>
        <w:t>我们按照中国注册会计师审计准则的规定执行了审计工作。审计报告“注册会计师对财务报表审计的</w:t>
      </w:r>
    </w:p>
    <w:p>
      <w:pPr>
        <w:pStyle w:val="BodyText"/>
        <w:spacing w:line="212" w:lineRule="exact"/>
        <w:ind w:right="819"/>
        <w:jc w:val="left"/>
      </w:pPr>
      <w:r>
        <w:rPr/>
        <w:t>责任”部分进一步阐述了我们在这些准则下的责任。按照中国注册会计师职业道德守则，我们独立于中嘉</w:t>
      </w:r>
    </w:p>
    <w:p>
      <w:pPr>
        <w:pStyle w:val="BodyText"/>
        <w:spacing w:line="240" w:lineRule="auto"/>
        <w:ind w:right="1133"/>
        <w:jc w:val="left"/>
        <w:rPr>
          <w:rFonts w:ascii="宋体" w:hAnsi="宋体" w:cs="宋体" w:eastAsia="宋体" w:hint="default"/>
        </w:rPr>
      </w:pPr>
      <w:r>
        <w:rPr>
          <w:spacing w:val="-2"/>
        </w:rPr>
        <w:t>博创，并履行了职业道德方面的其他责任。我们相信，我们获取的审计证据是充分、适当的，为发表审计</w:t>
      </w:r>
      <w:r>
        <w:rPr>
          <w:spacing w:val="-43"/>
        </w:rPr>
        <w:t> </w:t>
      </w:r>
      <w:r>
        <w:rPr>
          <w:spacing w:val="-43"/>
        </w:rPr>
      </w:r>
      <w:r>
        <w:rPr/>
        <w:t>意见提供了基础。</w:t>
      </w:r>
      <w:r>
        <w:rPr>
          <w:rFonts w:ascii="宋体" w:hAnsi="宋体" w:cs="宋体" w:eastAsia="宋体" w:hint="default"/>
          <w:spacing w:val="-3"/>
        </w:rPr>
        <w:t> </w:t>
      </w:r>
      <w:r>
        <w:rPr>
          <w:rFonts w:ascii="宋体" w:hAnsi="宋体" w:cs="宋体" w:eastAsia="宋体" w:hint="default"/>
        </w:rPr>
        <w:t> </w:t>
      </w:r>
    </w:p>
    <w:p>
      <w:pPr>
        <w:pStyle w:val="BodyText"/>
        <w:spacing w:line="390" w:lineRule="atLeast" w:before="1"/>
        <w:ind w:left="573" w:right="1133"/>
        <w:jc w:val="left"/>
      </w:pPr>
      <w:r>
        <w:rPr/>
        <w:t>三、关键审计事项</w:t>
      </w:r>
      <w:r>
        <w:rPr>
          <w:rFonts w:ascii="宋体" w:hAnsi="宋体" w:cs="宋体" w:eastAsia="宋体" w:hint="default"/>
          <w:w w:val="100"/>
        </w:rPr>
        <w:t> </w:t>
      </w:r>
      <w:r>
        <w:rPr>
          <w:spacing w:val="-2"/>
        </w:rPr>
        <w:t>关键审计事项是我们根据职业判断，认为对本期财务报表审计最为重要的事项。这些事项的应对以对</w:t>
      </w:r>
    </w:p>
    <w:p>
      <w:pPr>
        <w:pStyle w:val="BodyText"/>
        <w:spacing w:line="272" w:lineRule="exact" w:before="26"/>
        <w:ind w:right="1133"/>
        <w:jc w:val="left"/>
        <w:rPr>
          <w:rFonts w:ascii="宋体" w:hAnsi="宋体" w:cs="宋体" w:eastAsia="宋体" w:hint="default"/>
        </w:rPr>
      </w:pPr>
      <w:r>
        <w:rPr>
          <w:spacing w:val="-2"/>
        </w:rPr>
        <w:t>财务报表整体进行审计并形成审计意见为背景，我们不对这些事项单独发表意见。我们确定下列事项是需</w:t>
      </w:r>
      <w:r>
        <w:rPr>
          <w:spacing w:val="-43"/>
        </w:rPr>
        <w:t> </w:t>
      </w:r>
      <w:r>
        <w:rPr>
          <w:spacing w:val="-43"/>
        </w:rPr>
      </w:r>
      <w:r>
        <w:rPr/>
        <w:t>要在审计报告中沟通的关键审计事项。</w:t>
      </w:r>
      <w:r>
        <w:rPr>
          <w:rFonts w:ascii="宋体" w:hAnsi="宋体" w:cs="宋体" w:eastAsia="宋体" w:hint="default"/>
        </w:rPr>
        <w:t> </w:t>
      </w:r>
    </w:p>
    <w:p>
      <w:pPr>
        <w:pStyle w:val="BodyText"/>
        <w:spacing w:line="340" w:lineRule="auto" w:before="94"/>
        <w:ind w:left="573" w:right="8232"/>
        <w:jc w:val="left"/>
        <w:rPr>
          <w:rFonts w:ascii="宋体" w:hAnsi="宋体" w:cs="宋体" w:eastAsia="宋体" w:hint="default"/>
        </w:rPr>
      </w:pPr>
      <w:r>
        <w:rPr/>
        <w:t>（一）商誉减值</w:t>
      </w:r>
      <w:r>
        <w:rPr>
          <w:rFonts w:ascii="宋体" w:hAnsi="宋体" w:cs="宋体" w:eastAsia="宋体" w:hint="default"/>
          <w:w w:val="100"/>
        </w:rPr>
        <w:t> </w:t>
      </w:r>
      <w:r>
        <w:rPr>
          <w:rFonts w:ascii="宋体" w:hAnsi="宋体" w:cs="宋体" w:eastAsia="宋体" w:hint="default"/>
        </w:rPr>
        <w:t>1</w:t>
      </w:r>
      <w:r>
        <w:rPr/>
        <w:t>、事项描述</w:t>
      </w:r>
      <w:r>
        <w:rPr>
          <w:rFonts w:ascii="宋体" w:hAnsi="宋体" w:cs="宋体" w:eastAsia="宋体" w:hint="default"/>
        </w:rPr>
        <w:t> </w:t>
      </w:r>
    </w:p>
    <w:p>
      <w:pPr>
        <w:pStyle w:val="BodyText"/>
        <w:spacing w:line="237" w:lineRule="auto" w:before="33"/>
        <w:ind w:right="1126" w:firstLine="420"/>
        <w:jc w:val="both"/>
        <w:rPr>
          <w:rFonts w:ascii="宋体" w:hAnsi="宋体" w:cs="宋体" w:eastAsia="宋体" w:hint="default"/>
        </w:rPr>
      </w:pPr>
      <w:r>
        <w:rPr/>
        <w:t>如财务报表附注六</w:t>
      </w:r>
      <w:r>
        <w:rPr>
          <w:rFonts w:ascii="宋体" w:hAnsi="宋体" w:cs="宋体" w:eastAsia="宋体" w:hint="default"/>
        </w:rPr>
        <w:t>.</w:t>
      </w:r>
      <w:r>
        <w:rPr/>
        <w:t>（十四）所述，</w:t>
      </w:r>
      <w:r>
        <w:rPr>
          <w:rFonts w:ascii="宋体" w:hAnsi="宋体" w:cs="宋体" w:eastAsia="宋体" w:hint="default"/>
        </w:rPr>
        <w:t>2019</w:t>
      </w:r>
      <w:r>
        <w:rPr>
          <w:rFonts w:ascii="宋体" w:hAnsi="宋体" w:cs="宋体" w:eastAsia="宋体" w:hint="default"/>
          <w:spacing w:val="-49"/>
        </w:rPr>
        <w:t> </w:t>
      </w:r>
      <w:r>
        <w:rPr/>
        <w:t>年</w:t>
      </w:r>
      <w:r>
        <w:rPr>
          <w:spacing w:val="-49"/>
        </w:rPr>
        <w:t> </w:t>
      </w:r>
      <w:r>
        <w:rPr>
          <w:rFonts w:ascii="宋体" w:hAnsi="宋体" w:cs="宋体" w:eastAsia="宋体" w:hint="default"/>
        </w:rPr>
        <w:t>12</w:t>
      </w:r>
      <w:r>
        <w:rPr>
          <w:rFonts w:ascii="宋体" w:hAnsi="宋体" w:cs="宋体" w:eastAsia="宋体" w:hint="default"/>
          <w:spacing w:val="-49"/>
        </w:rPr>
        <w:t> </w:t>
      </w:r>
      <w:r>
        <w:rPr/>
        <w:t>月</w:t>
      </w:r>
      <w:r>
        <w:rPr>
          <w:spacing w:val="-49"/>
        </w:rPr>
        <w:t> </w:t>
      </w:r>
      <w:r>
        <w:rPr>
          <w:rFonts w:ascii="宋体" w:hAnsi="宋体" w:cs="宋体" w:eastAsia="宋体" w:hint="default"/>
        </w:rPr>
        <w:t>31</w:t>
      </w:r>
      <w:r>
        <w:rPr>
          <w:rFonts w:ascii="宋体" w:hAnsi="宋体" w:cs="宋体" w:eastAsia="宋体" w:hint="default"/>
          <w:spacing w:val="-51"/>
        </w:rPr>
        <w:t> </w:t>
      </w:r>
      <w:r>
        <w:rPr/>
        <w:t>日中嘉博创合并资产负债表中商誉账面余额为人</w:t>
      </w:r>
      <w:r>
        <w:rPr>
          <w:w w:val="100"/>
        </w:rPr>
        <w:t> </w:t>
      </w:r>
      <w:r>
        <w:rPr/>
        <w:t>民币</w:t>
      </w:r>
      <w:r>
        <w:rPr>
          <w:spacing w:val="-54"/>
        </w:rPr>
        <w:t> </w:t>
      </w:r>
      <w:r>
        <w:rPr>
          <w:rFonts w:ascii="宋体" w:hAnsi="宋体" w:cs="宋体" w:eastAsia="宋体" w:hint="default"/>
        </w:rPr>
        <w:t>297,153.95</w:t>
      </w:r>
      <w:r>
        <w:rPr>
          <w:rFonts w:ascii="宋体" w:hAnsi="宋体" w:cs="宋体" w:eastAsia="宋体" w:hint="default"/>
          <w:spacing w:val="-55"/>
        </w:rPr>
        <w:t> </w:t>
      </w:r>
      <w:r>
        <w:rPr/>
        <w:t>万元，商誉减值准备</w:t>
      </w:r>
      <w:r>
        <w:rPr>
          <w:spacing w:val="-54"/>
        </w:rPr>
        <w:t> </w:t>
      </w:r>
      <w:r>
        <w:rPr>
          <w:rFonts w:ascii="宋体" w:hAnsi="宋体" w:cs="宋体" w:eastAsia="宋体" w:hint="default"/>
        </w:rPr>
        <w:t>120,</w:t>
      </w:r>
      <w:r>
        <w:rPr>
          <w:rFonts w:ascii="宋体" w:hAnsi="宋体" w:cs="宋体" w:eastAsia="宋体" w:hint="default"/>
          <w:spacing w:val="-25"/>
        </w:rPr>
        <w:t> </w:t>
      </w:r>
      <w:r>
        <w:rPr>
          <w:rFonts w:ascii="宋体" w:hAnsi="宋体" w:cs="宋体" w:eastAsia="宋体" w:hint="default"/>
        </w:rPr>
        <w:t>270.00</w:t>
      </w:r>
      <w:r>
        <w:rPr>
          <w:rFonts w:ascii="宋体" w:hAnsi="宋体" w:cs="宋体" w:eastAsia="宋体" w:hint="default"/>
          <w:spacing w:val="-57"/>
        </w:rPr>
        <w:t> </w:t>
      </w:r>
      <w:r>
        <w:rPr/>
        <w:t>万元，商誉账面价值</w:t>
      </w:r>
      <w:r>
        <w:rPr>
          <w:spacing w:val="-55"/>
        </w:rPr>
        <w:t> </w:t>
      </w:r>
      <w:r>
        <w:rPr>
          <w:rFonts w:ascii="宋体" w:hAnsi="宋体" w:cs="宋体" w:eastAsia="宋体" w:hint="default"/>
        </w:rPr>
        <w:t>176,931.75</w:t>
      </w:r>
      <w:r>
        <w:rPr>
          <w:rFonts w:ascii="宋体" w:hAnsi="宋体" w:cs="宋体" w:eastAsia="宋体" w:hint="default"/>
          <w:spacing w:val="-55"/>
        </w:rPr>
        <w:t> </w:t>
      </w:r>
      <w:r>
        <w:rPr/>
        <w:t>万元，占资产总额的</w:t>
      </w:r>
      <w:r>
        <w:rPr>
          <w:w w:val="100"/>
        </w:rPr>
        <w:t> </w:t>
      </w:r>
      <w:r>
        <w:rPr>
          <w:rFonts w:ascii="宋体" w:hAnsi="宋体" w:cs="宋体" w:eastAsia="宋体" w:hint="default"/>
          <w:spacing w:val="-2"/>
        </w:rPr>
        <w:t>45.28%</w:t>
      </w:r>
      <w:r>
        <w:rPr>
          <w:spacing w:val="-2"/>
        </w:rPr>
        <w:t>。中嘉博创管理层每年年终对商誉进行减值测试，减值测试要求估计包含商誉在内的相关资产组的</w:t>
      </w:r>
      <w:r>
        <w:rPr>
          <w:spacing w:val="-36"/>
        </w:rPr>
        <w:t> </w:t>
      </w:r>
      <w:r>
        <w:rPr>
          <w:spacing w:val="-36"/>
        </w:rPr>
      </w:r>
      <w:r>
        <w:rPr>
          <w:spacing w:val="-2"/>
        </w:rPr>
        <w:t>可收回金额。在确定资产组预计未来现金流量的现值时，中嘉博创管理层需要合理预计相关资产组产生未</w:t>
      </w:r>
      <w:r>
        <w:rPr>
          <w:spacing w:val="-43"/>
        </w:rPr>
        <w:t> </w:t>
      </w:r>
      <w:r>
        <w:rPr>
          <w:spacing w:val="-43"/>
        </w:rPr>
      </w:r>
      <w:r>
        <w:rPr>
          <w:spacing w:val="-2"/>
        </w:rPr>
        <w:t>来现金流量的平均增长率以及合理确定恰当的折现率，这涉及管理层运用重大会计估计和判断，因此我们</w:t>
      </w:r>
      <w:r>
        <w:rPr>
          <w:spacing w:val="-43"/>
        </w:rPr>
        <w:t> </w:t>
      </w:r>
      <w:r>
        <w:rPr>
          <w:spacing w:val="-43"/>
        </w:rPr>
      </w:r>
      <w:r>
        <w:rPr/>
        <w:t>将商誉减值作为关键审计事项。</w:t>
      </w:r>
      <w:r>
        <w:rPr>
          <w:rFonts w:ascii="宋体" w:hAnsi="宋体" w:cs="宋体" w:eastAsia="宋体" w:hint="default"/>
        </w:rPr>
        <w:t> </w:t>
      </w:r>
    </w:p>
    <w:p>
      <w:pPr>
        <w:pStyle w:val="BodyText"/>
        <w:spacing w:line="240" w:lineRule="auto" w:before="116"/>
        <w:ind w:left="573" w:right="1133"/>
        <w:jc w:val="left"/>
        <w:rPr>
          <w:rFonts w:ascii="宋体" w:hAnsi="宋体" w:cs="宋体" w:eastAsia="宋体" w:hint="default"/>
        </w:rPr>
      </w:pPr>
      <w:r>
        <w:rPr>
          <w:rFonts w:ascii="宋体" w:hAnsi="宋体" w:cs="宋体" w:eastAsia="宋体" w:hint="default"/>
        </w:rPr>
        <w:t>2</w:t>
      </w:r>
      <w:r>
        <w:rPr/>
        <w:t>、审计应对</w:t>
      </w:r>
      <w:r>
        <w:rPr>
          <w:rFonts w:ascii="宋体" w:hAnsi="宋体" w:cs="宋体" w:eastAsia="宋体" w:hint="default"/>
        </w:rPr>
        <w:t> </w:t>
      </w:r>
    </w:p>
    <w:p>
      <w:pPr>
        <w:pStyle w:val="BodyText"/>
        <w:spacing w:line="240" w:lineRule="auto" w:before="118"/>
        <w:ind w:left="573" w:right="1133"/>
        <w:jc w:val="left"/>
        <w:rPr>
          <w:rFonts w:ascii="宋体" w:hAnsi="宋体" w:cs="宋体" w:eastAsia="宋体" w:hint="default"/>
        </w:rPr>
      </w:pPr>
      <w:r>
        <w:rPr/>
        <w:t>针对商誉减值，我们实施的审计程序主要包括：</w:t>
      </w:r>
      <w:r>
        <w:rPr>
          <w:rFonts w:ascii="宋体" w:hAnsi="宋体" w:cs="宋体" w:eastAsia="宋体" w:hint="default"/>
        </w:rPr>
        <w:t> </w:t>
      </w:r>
    </w:p>
    <w:p>
      <w:pPr>
        <w:pStyle w:val="BodyText"/>
        <w:spacing w:line="240" w:lineRule="auto" w:before="116"/>
        <w:ind w:left="573" w:right="1133"/>
        <w:jc w:val="left"/>
        <w:rPr>
          <w:rFonts w:ascii="宋体" w:hAnsi="宋体" w:cs="宋体" w:eastAsia="宋体" w:hint="default"/>
        </w:rPr>
      </w:pPr>
      <w:r>
        <w:rPr/>
        <w:t>（</w:t>
      </w:r>
      <w:r>
        <w:rPr>
          <w:rFonts w:ascii="宋体" w:hAnsi="宋体" w:cs="宋体" w:eastAsia="宋体" w:hint="default"/>
        </w:rPr>
        <w:t>1</w:t>
      </w:r>
      <w:r>
        <w:rPr/>
        <w:t>）了解并测试与商誉减值相关内部控制设计的合理性及执行的有效性；</w:t>
      </w:r>
      <w:r>
        <w:rPr>
          <w:rFonts w:ascii="宋体" w:hAnsi="宋体" w:cs="宋体" w:eastAsia="宋体" w:hint="default"/>
        </w:rPr>
        <w:t> </w:t>
      </w:r>
    </w:p>
    <w:p>
      <w:pPr>
        <w:spacing w:after="0" w:line="240" w:lineRule="auto"/>
        <w:jc w:val="left"/>
        <w:rPr>
          <w:rFonts w:ascii="宋体" w:hAnsi="宋体" w:cs="宋体" w:eastAsia="宋体" w:hint="default"/>
        </w:rPr>
        <w:sectPr>
          <w:pgSz w:w="11910" w:h="16840"/>
          <w:pgMar w:header="921" w:footer="725" w:top="1160" w:bottom="920" w:left="980" w:right="0"/>
        </w:sectPr>
      </w:pPr>
    </w:p>
    <w:p>
      <w:pPr>
        <w:spacing w:line="240" w:lineRule="auto" w:before="12"/>
        <w:rPr>
          <w:rFonts w:ascii="宋体" w:hAnsi="宋体" w:cs="宋体" w:eastAsia="宋体" w:hint="default"/>
          <w:sz w:val="15"/>
          <w:szCs w:val="15"/>
        </w:rPr>
      </w:pPr>
    </w:p>
    <w:p>
      <w:pPr>
        <w:pStyle w:val="BodyText"/>
        <w:spacing w:line="240" w:lineRule="auto" w:before="36"/>
        <w:ind w:left="573" w:right="1133"/>
        <w:jc w:val="left"/>
        <w:rPr>
          <w:rFonts w:ascii="宋体" w:hAnsi="宋体" w:cs="宋体" w:eastAsia="宋体" w:hint="default"/>
        </w:rPr>
      </w:pPr>
      <w:r>
        <w:rPr/>
        <w:t>（</w:t>
      </w:r>
      <w:r>
        <w:rPr>
          <w:rFonts w:ascii="宋体" w:hAnsi="宋体" w:cs="宋体" w:eastAsia="宋体" w:hint="default"/>
        </w:rPr>
        <w:t>2</w:t>
      </w:r>
      <w:r>
        <w:rPr/>
        <w:t>）了解资产组的历史业绩实现情况及资产组未来发展规划，是否与行业预期发展趋势相一致；</w:t>
      </w:r>
      <w:r>
        <w:rPr>
          <w:rFonts w:ascii="宋体" w:hAnsi="宋体" w:cs="宋体" w:eastAsia="宋体" w:hint="default"/>
        </w:rPr>
        <w:t> </w:t>
      </w:r>
    </w:p>
    <w:p>
      <w:pPr>
        <w:pStyle w:val="BodyText"/>
        <w:spacing w:line="237" w:lineRule="auto" w:before="119"/>
        <w:ind w:right="819" w:firstLine="420"/>
        <w:jc w:val="left"/>
        <w:rPr>
          <w:rFonts w:ascii="宋体" w:hAnsi="宋体" w:cs="宋体" w:eastAsia="宋体" w:hint="default"/>
        </w:rPr>
      </w:pPr>
      <w:r>
        <w:rPr>
          <w:spacing w:val="-5"/>
        </w:rPr>
        <w:t>（</w:t>
      </w:r>
      <w:r>
        <w:rPr>
          <w:rFonts w:ascii="宋体" w:hAnsi="宋体" w:cs="宋体" w:eastAsia="宋体" w:hint="default"/>
          <w:spacing w:val="-5"/>
        </w:rPr>
        <w:t>3</w:t>
      </w:r>
      <w:r>
        <w:rPr>
          <w:spacing w:val="-5"/>
        </w:rPr>
        <w:t>）分析管理层对商誉所属资产组的认定和进行商誉减值测试时采用的关键假设、方法及预测数据，</w:t>
      </w:r>
      <w:r>
        <w:rPr>
          <w:w w:val="100"/>
        </w:rPr>
        <w:t> </w:t>
      </w:r>
      <w:r>
        <w:rPr>
          <w:spacing w:val="-5"/>
        </w:rPr>
        <w:t>检查相关假设、方法及预测数据的合理性，特别是复核现金流量预测所采用的折现率以及未来销售增长率、 </w:t>
      </w:r>
      <w:r>
        <w:rPr>
          <w:spacing w:val="-5"/>
        </w:rPr>
      </w:r>
      <w:r>
        <w:rPr/>
        <w:t>预计毛利率等关键指标；</w:t>
      </w:r>
      <w:r>
        <w:rPr>
          <w:rFonts w:ascii="宋体" w:hAnsi="宋体" w:cs="宋体" w:eastAsia="宋体" w:hint="default"/>
        </w:rPr>
        <w:t> </w:t>
      </w:r>
    </w:p>
    <w:p>
      <w:pPr>
        <w:pStyle w:val="BodyText"/>
        <w:spacing w:line="272" w:lineRule="exact" w:before="146"/>
        <w:ind w:right="1133" w:firstLine="420"/>
        <w:jc w:val="left"/>
        <w:rPr>
          <w:rFonts w:ascii="宋体" w:hAnsi="宋体" w:cs="宋体" w:eastAsia="宋体" w:hint="default"/>
        </w:rPr>
      </w:pPr>
      <w:r>
        <w:rPr/>
        <w:t>（</w:t>
      </w:r>
      <w:r>
        <w:rPr>
          <w:rFonts w:ascii="宋体" w:hAnsi="宋体" w:cs="宋体" w:eastAsia="宋体" w:hint="default"/>
        </w:rPr>
        <w:t>4</w:t>
      </w:r>
      <w:r>
        <w:rPr/>
        <w:t>）评价管理层委聘的外部估值专家的胜任能力、专业素质和客观性，同时复核外部估值专家对资</w:t>
      </w:r>
      <w:r>
        <w:rPr>
          <w:w w:val="100"/>
        </w:rPr>
        <w:t> </w:t>
      </w:r>
      <w:r>
        <w:rPr/>
        <w:t>产组的估值方法及出具的评估报告；</w:t>
      </w:r>
      <w:r>
        <w:rPr>
          <w:rFonts w:ascii="宋体" w:hAnsi="宋体" w:cs="宋体" w:eastAsia="宋体" w:hint="default"/>
        </w:rPr>
        <w:t> </w:t>
      </w:r>
    </w:p>
    <w:p>
      <w:pPr>
        <w:pStyle w:val="BodyText"/>
        <w:spacing w:line="272" w:lineRule="exact" w:before="121"/>
        <w:ind w:right="1133" w:firstLine="420"/>
        <w:jc w:val="left"/>
        <w:rPr>
          <w:rFonts w:ascii="宋体" w:hAnsi="宋体" w:cs="宋体" w:eastAsia="宋体" w:hint="default"/>
        </w:rPr>
      </w:pPr>
      <w:r>
        <w:rPr/>
        <w:t>（</w:t>
      </w:r>
      <w:r>
        <w:rPr>
          <w:rFonts w:ascii="宋体" w:hAnsi="宋体" w:cs="宋体" w:eastAsia="宋体" w:hint="default"/>
        </w:rPr>
        <w:t>5</w:t>
      </w:r>
      <w:r>
        <w:rPr/>
        <w:t>）复核管理层编制的商誉所属资产组可收回金额的计算表，并与商誉所属资产组的账面价值进行</w:t>
      </w:r>
      <w:r>
        <w:rPr>
          <w:w w:val="100"/>
        </w:rPr>
        <w:t> </w:t>
      </w:r>
      <w:r>
        <w:rPr/>
        <w:t>比较，确认是否存在商誉减值情况；</w:t>
      </w:r>
      <w:r>
        <w:rPr>
          <w:rFonts w:ascii="宋体" w:hAnsi="宋体" w:cs="宋体" w:eastAsia="宋体" w:hint="default"/>
        </w:rPr>
        <w:t> </w:t>
      </w:r>
    </w:p>
    <w:p>
      <w:pPr>
        <w:pStyle w:val="BodyText"/>
        <w:spacing w:line="240" w:lineRule="auto" w:before="94"/>
        <w:ind w:left="573" w:right="1133"/>
        <w:jc w:val="left"/>
        <w:rPr>
          <w:rFonts w:ascii="宋体" w:hAnsi="宋体" w:cs="宋体" w:eastAsia="宋体" w:hint="default"/>
        </w:rPr>
      </w:pPr>
      <w:r>
        <w:rPr/>
        <w:t>（</w:t>
      </w:r>
      <w:r>
        <w:rPr>
          <w:rFonts w:ascii="宋体" w:hAnsi="宋体" w:cs="宋体" w:eastAsia="宋体" w:hint="default"/>
        </w:rPr>
        <w:t>6</w:t>
      </w:r>
      <w:r>
        <w:rPr/>
        <w:t>）检查与商誉减值相关的信息是否已在财务报表中作出恰当列报和披露。</w:t>
      </w:r>
      <w:r>
        <w:rPr>
          <w:rFonts w:ascii="宋体" w:hAnsi="宋体" w:cs="宋体" w:eastAsia="宋体" w:hint="default"/>
        </w:rPr>
        <w:t> </w:t>
      </w:r>
    </w:p>
    <w:p>
      <w:pPr>
        <w:pStyle w:val="BodyText"/>
        <w:spacing w:line="343" w:lineRule="auto" w:before="116"/>
        <w:ind w:left="573" w:right="8232"/>
        <w:jc w:val="left"/>
        <w:rPr>
          <w:rFonts w:ascii="宋体" w:hAnsi="宋体" w:cs="宋体" w:eastAsia="宋体" w:hint="default"/>
        </w:rPr>
      </w:pPr>
      <w:r>
        <w:rPr/>
        <w:t>（二）收入确认</w:t>
      </w:r>
      <w:r>
        <w:rPr>
          <w:rFonts w:ascii="宋体" w:hAnsi="宋体" w:cs="宋体" w:eastAsia="宋体" w:hint="default"/>
          <w:w w:val="100"/>
        </w:rPr>
        <w:t> </w:t>
      </w:r>
      <w:r>
        <w:rPr>
          <w:rFonts w:ascii="宋体" w:hAnsi="宋体" w:cs="宋体" w:eastAsia="宋体" w:hint="default"/>
        </w:rPr>
        <w:t>1</w:t>
      </w:r>
      <w:r>
        <w:rPr/>
        <w:t>、事项描述</w:t>
      </w:r>
      <w:r>
        <w:rPr>
          <w:rFonts w:ascii="宋体" w:hAnsi="宋体" w:cs="宋体" w:eastAsia="宋体" w:hint="default"/>
        </w:rPr>
        <w:t> </w:t>
      </w:r>
    </w:p>
    <w:p>
      <w:pPr>
        <w:pStyle w:val="BodyText"/>
        <w:spacing w:line="237" w:lineRule="auto" w:before="28"/>
        <w:ind w:right="1126" w:firstLine="420"/>
        <w:jc w:val="both"/>
        <w:rPr>
          <w:rFonts w:ascii="宋体" w:hAnsi="宋体" w:cs="宋体" w:eastAsia="宋体" w:hint="default"/>
        </w:rPr>
      </w:pPr>
      <w:r>
        <w:rPr>
          <w:spacing w:val="-4"/>
        </w:rPr>
        <w:t>如财务报表附注六</w:t>
      </w:r>
      <w:r>
        <w:rPr>
          <w:rFonts w:ascii="宋体" w:hAnsi="宋体" w:cs="宋体" w:eastAsia="宋体" w:hint="default"/>
          <w:spacing w:val="-4"/>
        </w:rPr>
        <w:t>.</w:t>
      </w:r>
      <w:r>
        <w:rPr>
          <w:spacing w:val="-4"/>
        </w:rPr>
        <w:t>（三十三）所述，</w:t>
      </w:r>
      <w:r>
        <w:rPr>
          <w:rFonts w:ascii="宋体" w:hAnsi="宋体" w:cs="宋体" w:eastAsia="宋体" w:hint="default"/>
          <w:spacing w:val="-4"/>
        </w:rPr>
        <w:t>2019</w:t>
      </w:r>
      <w:r>
        <w:rPr>
          <w:rFonts w:ascii="宋体" w:hAnsi="宋体" w:cs="宋体" w:eastAsia="宋体" w:hint="default"/>
          <w:spacing w:val="-46"/>
        </w:rPr>
        <w:t> </w:t>
      </w:r>
      <w:r>
        <w:rPr/>
        <w:t>年度中嘉博创实现营业收入</w:t>
      </w:r>
      <w:r>
        <w:rPr>
          <w:spacing w:val="-43"/>
        </w:rPr>
        <w:t> </w:t>
      </w:r>
      <w:r>
        <w:rPr>
          <w:rFonts w:ascii="宋体" w:hAnsi="宋体" w:cs="宋体" w:eastAsia="宋体" w:hint="default"/>
        </w:rPr>
        <w:t>316,263.14</w:t>
      </w:r>
      <w:r>
        <w:rPr>
          <w:rFonts w:ascii="宋体" w:hAnsi="宋体" w:cs="宋体" w:eastAsia="宋体" w:hint="default"/>
          <w:spacing w:val="-46"/>
        </w:rPr>
        <w:t> </w:t>
      </w:r>
      <w:r>
        <w:rPr>
          <w:spacing w:val="-4"/>
        </w:rPr>
        <w:t>万元，营业收入是</w:t>
      </w:r>
      <w:r>
        <w:rPr>
          <w:w w:val="100"/>
        </w:rPr>
        <w:t> </w:t>
      </w:r>
      <w:r>
        <w:rPr>
          <w:spacing w:val="-2"/>
        </w:rPr>
        <w:t>中嘉博创公司的关键业绩指标之一，营业收入确认是否恰当对中嘉博创经营成果产生很大影响，因此我们</w:t>
      </w:r>
      <w:r>
        <w:rPr>
          <w:spacing w:val="-42"/>
        </w:rPr>
        <w:t> </w:t>
      </w:r>
      <w:r>
        <w:rPr>
          <w:spacing w:val="-42"/>
        </w:rPr>
      </w:r>
      <w:r>
        <w:rPr/>
        <w:t>将营业收入确认作为关键审计事项。</w:t>
      </w:r>
      <w:r>
        <w:rPr>
          <w:rFonts w:ascii="宋体" w:hAnsi="宋体" w:cs="宋体" w:eastAsia="宋体" w:hint="default"/>
        </w:rPr>
        <w:t> </w:t>
      </w:r>
    </w:p>
    <w:p>
      <w:pPr>
        <w:pStyle w:val="BodyText"/>
        <w:spacing w:line="240" w:lineRule="auto" w:before="119"/>
        <w:ind w:left="573" w:right="1133"/>
        <w:jc w:val="left"/>
        <w:rPr>
          <w:rFonts w:ascii="宋体" w:hAnsi="宋体" w:cs="宋体" w:eastAsia="宋体" w:hint="default"/>
        </w:rPr>
      </w:pPr>
      <w:r>
        <w:rPr>
          <w:rFonts w:ascii="宋体" w:hAnsi="宋体" w:cs="宋体" w:eastAsia="宋体" w:hint="default"/>
        </w:rPr>
        <w:t>2</w:t>
      </w:r>
      <w:r>
        <w:rPr/>
        <w:t>、审计应对</w:t>
      </w:r>
      <w:r>
        <w:rPr>
          <w:rFonts w:ascii="宋体" w:hAnsi="宋体" w:cs="宋体" w:eastAsia="宋体" w:hint="default"/>
        </w:rPr>
        <w:t> </w:t>
      </w:r>
    </w:p>
    <w:p>
      <w:pPr>
        <w:pStyle w:val="BodyText"/>
        <w:spacing w:line="240" w:lineRule="auto" w:before="116"/>
        <w:ind w:right="1133" w:firstLine="420"/>
        <w:jc w:val="left"/>
        <w:rPr>
          <w:rFonts w:ascii="宋体" w:hAnsi="宋体" w:cs="宋体" w:eastAsia="宋体" w:hint="default"/>
        </w:rPr>
      </w:pPr>
      <w:r>
        <w:rPr/>
        <w:t>（</w:t>
      </w:r>
      <w:r>
        <w:rPr>
          <w:rFonts w:ascii="宋体" w:hAnsi="宋体" w:cs="宋体" w:eastAsia="宋体" w:hint="default"/>
        </w:rPr>
        <w:t>1</w:t>
      </w:r>
      <w:r>
        <w:rPr/>
        <w:t>）了解并评价与公司收入确认相关的内部控制制度设计的合理性，测试与收入确认相关的内部控</w:t>
      </w:r>
      <w:r>
        <w:rPr>
          <w:w w:val="100"/>
        </w:rPr>
        <w:t> </w:t>
      </w:r>
      <w:r>
        <w:rPr/>
        <w:t>制制度执行的有效性；</w:t>
      </w:r>
      <w:r>
        <w:rPr>
          <w:rFonts w:ascii="宋体" w:hAnsi="宋体" w:cs="宋体" w:eastAsia="宋体" w:hint="default"/>
        </w:rPr>
        <w:t> </w:t>
      </w:r>
    </w:p>
    <w:p>
      <w:pPr>
        <w:pStyle w:val="BodyText"/>
        <w:spacing w:line="240" w:lineRule="auto" w:before="116"/>
        <w:ind w:left="573" w:right="1133"/>
        <w:jc w:val="left"/>
        <w:rPr>
          <w:rFonts w:ascii="宋体" w:hAnsi="宋体" w:cs="宋体" w:eastAsia="宋体" w:hint="default"/>
        </w:rPr>
      </w:pPr>
      <w:r>
        <w:rPr/>
        <w:t>（</w:t>
      </w:r>
      <w:r>
        <w:rPr>
          <w:rFonts w:ascii="宋体" w:hAnsi="宋体" w:cs="宋体" w:eastAsia="宋体" w:hint="default"/>
        </w:rPr>
        <w:t>2</w:t>
      </w:r>
      <w:r>
        <w:rPr/>
        <w:t>）了解营业收入确认的会计政策是否发生重大变化，检查营业收入确认是否符合相关会计政策；</w:t>
      </w:r>
      <w:r>
        <w:rPr>
          <w:rFonts w:ascii="宋体" w:hAnsi="宋体" w:cs="宋体" w:eastAsia="宋体" w:hint="default"/>
        </w:rPr>
        <w:t> </w:t>
      </w:r>
    </w:p>
    <w:p>
      <w:pPr>
        <w:pStyle w:val="BodyText"/>
        <w:spacing w:line="240" w:lineRule="auto" w:before="118"/>
        <w:ind w:left="573" w:right="1133"/>
        <w:jc w:val="left"/>
        <w:rPr>
          <w:rFonts w:ascii="宋体" w:hAnsi="宋体" w:cs="宋体" w:eastAsia="宋体" w:hint="default"/>
        </w:rPr>
      </w:pPr>
      <w:r>
        <w:rPr/>
        <w:t>（</w:t>
      </w:r>
      <w:r>
        <w:rPr>
          <w:rFonts w:ascii="宋体" w:hAnsi="宋体" w:cs="宋体" w:eastAsia="宋体" w:hint="default"/>
        </w:rPr>
        <w:t>3</w:t>
      </w:r>
      <w:r>
        <w:rPr/>
        <w:t>）执行分析性复核程序，判断营业收入和毛利变动的合理性；</w:t>
      </w:r>
      <w:r>
        <w:rPr>
          <w:rFonts w:ascii="宋体" w:hAnsi="宋体" w:cs="宋体" w:eastAsia="宋体" w:hint="default"/>
        </w:rPr>
        <w:t> </w:t>
      </w:r>
    </w:p>
    <w:p>
      <w:pPr>
        <w:pStyle w:val="BodyText"/>
        <w:spacing w:line="240" w:lineRule="auto" w:before="116"/>
        <w:ind w:right="1133" w:firstLine="420"/>
        <w:jc w:val="left"/>
        <w:rPr>
          <w:rFonts w:ascii="宋体" w:hAnsi="宋体" w:cs="宋体" w:eastAsia="宋体" w:hint="default"/>
        </w:rPr>
      </w:pPr>
      <w:r>
        <w:rPr>
          <w:spacing w:val="-5"/>
          <w:w w:val="100"/>
        </w:rPr>
        <w:t>（</w:t>
      </w:r>
      <w:r>
        <w:rPr>
          <w:rFonts w:ascii="宋体" w:hAnsi="宋体" w:cs="宋体" w:eastAsia="宋体" w:hint="default"/>
          <w:spacing w:val="-5"/>
          <w:w w:val="100"/>
        </w:rPr>
        <w:t>4</w:t>
      </w:r>
      <w:r>
        <w:rPr>
          <w:spacing w:val="-5"/>
          <w:w w:val="100"/>
        </w:rPr>
        <w:t>）对营业收入重要客户进行抽样检查，检查产值预估表、维护结算表（客户对账单）、收款回单等</w:t>
      </w:r>
      <w:r>
        <w:rPr>
          <w:w w:val="100"/>
        </w:rPr>
        <w:t> </w:t>
      </w:r>
      <w:r>
        <w:rPr/>
        <w:t>支持性文件并与财务记录进行核对；</w:t>
      </w:r>
      <w:r>
        <w:rPr>
          <w:rFonts w:ascii="宋体" w:hAnsi="宋体" w:cs="宋体" w:eastAsia="宋体" w:hint="default"/>
        </w:rPr>
        <w:t> </w:t>
      </w:r>
    </w:p>
    <w:p>
      <w:pPr>
        <w:pStyle w:val="BodyText"/>
        <w:spacing w:line="240" w:lineRule="auto" w:before="116"/>
        <w:ind w:left="573" w:right="1133"/>
        <w:jc w:val="left"/>
        <w:rPr>
          <w:rFonts w:ascii="宋体" w:hAnsi="宋体" w:cs="宋体" w:eastAsia="宋体" w:hint="default"/>
        </w:rPr>
      </w:pPr>
      <w:r>
        <w:rPr/>
        <w:t>（</w:t>
      </w:r>
      <w:r>
        <w:rPr>
          <w:rFonts w:ascii="宋体" w:hAnsi="宋体" w:cs="宋体" w:eastAsia="宋体" w:hint="default"/>
        </w:rPr>
        <w:t>5</w:t>
      </w:r>
      <w:r>
        <w:rPr/>
        <w:t>）向重要客户实施函证程序，函证客户的期末余额及当期销售金额；</w:t>
      </w:r>
      <w:r>
        <w:rPr>
          <w:rFonts w:ascii="宋体" w:hAnsi="宋体" w:cs="宋体" w:eastAsia="宋体" w:hint="default"/>
        </w:rPr>
        <w:t> </w:t>
      </w:r>
    </w:p>
    <w:p>
      <w:pPr>
        <w:pStyle w:val="BodyText"/>
        <w:spacing w:line="240" w:lineRule="auto" w:before="116"/>
        <w:ind w:left="573" w:right="1133"/>
        <w:jc w:val="left"/>
        <w:rPr>
          <w:rFonts w:ascii="宋体" w:hAnsi="宋体" w:cs="宋体" w:eastAsia="宋体" w:hint="default"/>
        </w:rPr>
      </w:pPr>
      <w:r>
        <w:rPr/>
        <w:t>（</w:t>
      </w:r>
      <w:r>
        <w:rPr>
          <w:rFonts w:ascii="宋体" w:hAnsi="宋体" w:cs="宋体" w:eastAsia="宋体" w:hint="default"/>
        </w:rPr>
        <w:t>6</w:t>
      </w:r>
      <w:r>
        <w:rPr/>
        <w:t>）对重要客户实施走访程序，并了解核查业务的真实性；</w:t>
      </w:r>
      <w:r>
        <w:rPr>
          <w:rFonts w:ascii="宋体" w:hAnsi="宋体" w:cs="宋体" w:eastAsia="宋体" w:hint="default"/>
        </w:rPr>
        <w:t> </w:t>
      </w:r>
    </w:p>
    <w:p>
      <w:pPr>
        <w:pStyle w:val="BodyText"/>
        <w:spacing w:line="240" w:lineRule="auto" w:before="119"/>
        <w:ind w:left="573" w:right="1133"/>
        <w:jc w:val="left"/>
        <w:rPr>
          <w:rFonts w:ascii="宋体" w:hAnsi="宋体" w:cs="宋体" w:eastAsia="宋体" w:hint="default"/>
        </w:rPr>
      </w:pPr>
      <w:r>
        <w:rPr/>
        <w:t>（</w:t>
      </w:r>
      <w:r>
        <w:rPr>
          <w:rFonts w:ascii="宋体" w:hAnsi="宋体" w:cs="宋体" w:eastAsia="宋体" w:hint="default"/>
        </w:rPr>
        <w:t>7</w:t>
      </w:r>
      <w:r>
        <w:rPr/>
        <w:t>）检查重要客户期后收款情况；</w:t>
      </w:r>
      <w:r>
        <w:rPr>
          <w:rFonts w:ascii="宋体" w:hAnsi="宋体" w:cs="宋体" w:eastAsia="宋体" w:hint="default"/>
        </w:rPr>
        <w:t> </w:t>
      </w:r>
    </w:p>
    <w:p>
      <w:pPr>
        <w:pStyle w:val="BodyText"/>
        <w:spacing w:line="240" w:lineRule="auto" w:before="116"/>
        <w:ind w:left="573" w:right="1133"/>
        <w:jc w:val="left"/>
        <w:rPr>
          <w:rFonts w:ascii="宋体" w:hAnsi="宋体" w:cs="宋体" w:eastAsia="宋体" w:hint="default"/>
        </w:rPr>
      </w:pPr>
      <w:r>
        <w:rPr/>
        <w:t>（</w:t>
      </w:r>
      <w:r>
        <w:rPr>
          <w:rFonts w:ascii="宋体" w:hAnsi="宋体" w:cs="宋体" w:eastAsia="宋体" w:hint="default"/>
        </w:rPr>
        <w:t>8</w:t>
      </w:r>
      <w:r>
        <w:rPr/>
        <w:t>）对营业收入执行截止测试，检查营业收入是否在恰当的期间确认。</w:t>
      </w:r>
      <w:r>
        <w:rPr>
          <w:rFonts w:ascii="宋体" w:hAnsi="宋体" w:cs="宋体" w:eastAsia="宋体" w:hint="default"/>
        </w:rPr>
        <w:t> </w:t>
      </w:r>
    </w:p>
    <w:p>
      <w:pPr>
        <w:pStyle w:val="BodyText"/>
        <w:spacing w:line="340" w:lineRule="auto" w:before="118"/>
        <w:ind w:left="573" w:right="7341"/>
        <w:jc w:val="left"/>
        <w:rPr>
          <w:rFonts w:ascii="宋体" w:hAnsi="宋体" w:cs="宋体" w:eastAsia="宋体" w:hint="default"/>
        </w:rPr>
      </w:pPr>
      <w:r>
        <w:rPr/>
        <w:t>（三）应收款项减值</w:t>
      </w:r>
      <w:r>
        <w:rPr>
          <w:rFonts w:ascii="宋体" w:hAnsi="宋体" w:cs="宋体" w:eastAsia="宋体" w:hint="default"/>
          <w:w w:val="100"/>
        </w:rPr>
        <w:t> </w:t>
      </w:r>
      <w:r>
        <w:rPr>
          <w:rFonts w:ascii="宋体" w:hAnsi="宋体" w:cs="宋体" w:eastAsia="宋体" w:hint="default"/>
        </w:rPr>
        <w:t>1</w:t>
      </w:r>
      <w:r>
        <w:rPr/>
        <w:t>、事项描述</w:t>
      </w:r>
      <w:r>
        <w:rPr>
          <w:rFonts w:ascii="宋体" w:hAnsi="宋体" w:cs="宋体" w:eastAsia="宋体" w:hint="default"/>
        </w:rPr>
        <w:t> </w:t>
      </w:r>
    </w:p>
    <w:p>
      <w:pPr>
        <w:pStyle w:val="BodyText"/>
        <w:spacing w:line="273" w:lineRule="exact" w:before="30"/>
        <w:ind w:left="573" w:right="819"/>
        <w:jc w:val="left"/>
      </w:pPr>
      <w:r>
        <w:rPr>
          <w:spacing w:val="-7"/>
        </w:rPr>
        <w:t>如财务报表附注六所述，</w:t>
      </w:r>
      <w:r>
        <w:rPr>
          <w:rFonts w:ascii="宋体" w:hAnsi="宋体" w:cs="宋体" w:eastAsia="宋体" w:hint="default"/>
          <w:spacing w:val="-7"/>
        </w:rPr>
        <w:t>2019</w:t>
      </w:r>
      <w:r>
        <w:rPr>
          <w:rFonts w:ascii="宋体" w:hAnsi="宋体" w:cs="宋体" w:eastAsia="宋体" w:hint="default"/>
          <w:spacing w:val="-47"/>
        </w:rPr>
        <w:t> </w:t>
      </w:r>
      <w:r>
        <w:rPr/>
        <w:t>年</w:t>
      </w:r>
      <w:r>
        <w:rPr>
          <w:spacing w:val="-48"/>
        </w:rPr>
        <w:t> </w:t>
      </w:r>
      <w:r>
        <w:rPr>
          <w:rFonts w:ascii="宋体" w:hAnsi="宋体" w:cs="宋体" w:eastAsia="宋体" w:hint="default"/>
        </w:rPr>
        <w:t>12</w:t>
      </w:r>
      <w:r>
        <w:rPr>
          <w:rFonts w:ascii="宋体" w:hAnsi="宋体" w:cs="宋体" w:eastAsia="宋体" w:hint="default"/>
          <w:spacing w:val="-48"/>
        </w:rPr>
        <w:t> </w:t>
      </w:r>
      <w:r>
        <w:rPr/>
        <w:t>月</w:t>
      </w:r>
      <w:r>
        <w:rPr>
          <w:spacing w:val="-51"/>
        </w:rPr>
        <w:t> </w:t>
      </w:r>
      <w:r>
        <w:rPr>
          <w:rFonts w:ascii="宋体" w:hAnsi="宋体" w:cs="宋体" w:eastAsia="宋体" w:hint="default"/>
        </w:rPr>
        <w:t>31</w:t>
      </w:r>
      <w:r>
        <w:rPr>
          <w:rFonts w:ascii="宋体" w:hAnsi="宋体" w:cs="宋体" w:eastAsia="宋体" w:hint="default"/>
          <w:spacing w:val="-51"/>
        </w:rPr>
        <w:t> </w:t>
      </w:r>
      <w:r>
        <w:rPr/>
        <w:t>日中嘉博创合并资产负债表中应收款项的账面余额为人民币</w:t>
      </w:r>
    </w:p>
    <w:p>
      <w:pPr>
        <w:pStyle w:val="BodyText"/>
        <w:spacing w:line="237" w:lineRule="auto"/>
        <w:ind w:right="1126"/>
        <w:jc w:val="both"/>
        <w:rPr>
          <w:rFonts w:ascii="宋体" w:hAnsi="宋体" w:cs="宋体" w:eastAsia="宋体" w:hint="default"/>
        </w:rPr>
      </w:pPr>
      <w:r>
        <w:rPr>
          <w:rFonts w:ascii="宋体" w:hAnsi="宋体" w:cs="宋体" w:eastAsia="宋体" w:hint="default"/>
        </w:rPr>
        <w:t>112,583.94</w:t>
      </w:r>
      <w:r>
        <w:rPr>
          <w:rFonts w:ascii="宋体" w:hAnsi="宋体" w:cs="宋体" w:eastAsia="宋体" w:hint="default"/>
          <w:spacing w:val="-45"/>
        </w:rPr>
        <w:t> </w:t>
      </w:r>
      <w:r>
        <w:rPr>
          <w:spacing w:val="-4"/>
        </w:rPr>
        <w:t>万元，应收款项减值准备为人民币</w:t>
      </w:r>
      <w:r>
        <w:rPr>
          <w:spacing w:val="-46"/>
        </w:rPr>
        <w:t> </w:t>
      </w:r>
      <w:r>
        <w:rPr>
          <w:rFonts w:ascii="宋体" w:hAnsi="宋体" w:cs="宋体" w:eastAsia="宋体" w:hint="default"/>
        </w:rPr>
        <w:t>16,897.07</w:t>
      </w:r>
      <w:r>
        <w:rPr>
          <w:rFonts w:ascii="宋体" w:hAnsi="宋体" w:cs="宋体" w:eastAsia="宋体" w:hint="default"/>
          <w:spacing w:val="-48"/>
        </w:rPr>
        <w:t> </w:t>
      </w:r>
      <w:r>
        <w:rPr>
          <w:spacing w:val="-4"/>
        </w:rPr>
        <w:t>万元，应收款项账面价值为人民币</w:t>
      </w:r>
      <w:r>
        <w:rPr>
          <w:spacing w:val="-45"/>
        </w:rPr>
        <w:t> </w:t>
      </w:r>
      <w:r>
        <w:rPr>
          <w:rFonts w:ascii="宋体" w:hAnsi="宋体" w:cs="宋体" w:eastAsia="宋体" w:hint="default"/>
        </w:rPr>
        <w:t>95,686.87</w:t>
      </w:r>
      <w:r>
        <w:rPr>
          <w:rFonts w:ascii="宋体" w:hAnsi="宋体" w:cs="宋体" w:eastAsia="宋体" w:hint="default"/>
          <w:spacing w:val="-48"/>
        </w:rPr>
        <w:t> </w:t>
      </w:r>
      <w:r>
        <w:rPr/>
        <w:t>万</w:t>
      </w:r>
      <w:r>
        <w:rPr>
          <w:spacing w:val="-102"/>
        </w:rPr>
        <w:t> </w:t>
      </w:r>
      <w:r>
        <w:rPr>
          <w:spacing w:val="-3"/>
        </w:rPr>
        <w:t>元。管理层对应收款项减值准备采用预期信用损失模型进行计量</w:t>
      </w:r>
      <w:r>
        <w:rPr>
          <w:rFonts w:ascii="宋体" w:hAnsi="宋体" w:cs="宋体" w:eastAsia="宋体" w:hint="default"/>
          <w:spacing w:val="-3"/>
        </w:rPr>
        <w:t>,</w:t>
      </w:r>
      <w:r>
        <w:rPr>
          <w:rFonts w:ascii="宋体" w:hAnsi="宋体" w:cs="宋体" w:eastAsia="宋体" w:hint="default"/>
          <w:spacing w:val="47"/>
        </w:rPr>
        <w:t> </w:t>
      </w:r>
      <w:r>
        <w:rPr/>
        <w:t>对应收账款按照相当于整个存续期内预</w:t>
      </w:r>
      <w:r>
        <w:rPr>
          <w:spacing w:val="-95"/>
        </w:rPr>
        <w:t> </w:t>
      </w:r>
      <w:r>
        <w:rPr>
          <w:spacing w:val="-95"/>
        </w:rPr>
      </w:r>
      <w:r>
        <w:rPr>
          <w:spacing w:val="-2"/>
        </w:rPr>
        <w:t>期信用损失的金额计量减值准备，其中考虑了历史违约数据、历史损失率和前瞻性信息。由于应收账款余</w:t>
      </w:r>
      <w:r>
        <w:rPr>
          <w:spacing w:val="-43"/>
        </w:rPr>
        <w:t> </w:t>
      </w:r>
      <w:r>
        <w:rPr>
          <w:spacing w:val="-43"/>
        </w:rPr>
      </w:r>
      <w:r>
        <w:rPr>
          <w:spacing w:val="-2"/>
        </w:rPr>
        <w:t>额较大，应收账款减值准备的计提需要管理层做出重大会计估计和判断，因此，我们将应收款项减值准备</w:t>
      </w:r>
      <w:r>
        <w:rPr>
          <w:spacing w:val="-43"/>
        </w:rPr>
        <w:t> </w:t>
      </w:r>
      <w:r>
        <w:rPr>
          <w:spacing w:val="-43"/>
        </w:rPr>
      </w:r>
      <w:r>
        <w:rPr/>
        <w:t>识别为关键审计事项。</w:t>
      </w:r>
      <w:r>
        <w:rPr>
          <w:rFonts w:ascii="宋体" w:hAnsi="宋体" w:cs="宋体" w:eastAsia="宋体" w:hint="default"/>
        </w:rPr>
        <w:t> </w:t>
      </w:r>
    </w:p>
    <w:p>
      <w:pPr>
        <w:pStyle w:val="BodyText"/>
        <w:spacing w:line="240" w:lineRule="auto" w:before="119"/>
        <w:ind w:left="573" w:right="1133"/>
        <w:jc w:val="left"/>
        <w:rPr>
          <w:rFonts w:ascii="宋体" w:hAnsi="宋体" w:cs="宋体" w:eastAsia="宋体" w:hint="default"/>
        </w:rPr>
      </w:pPr>
      <w:r>
        <w:rPr>
          <w:rFonts w:ascii="宋体" w:hAnsi="宋体" w:cs="宋体" w:eastAsia="宋体" w:hint="default"/>
        </w:rPr>
        <w:t>2</w:t>
      </w:r>
      <w:r>
        <w:rPr/>
        <w:t>、审计应对</w:t>
      </w:r>
      <w:r>
        <w:rPr>
          <w:rFonts w:ascii="宋体" w:hAnsi="宋体" w:cs="宋体" w:eastAsia="宋体" w:hint="default"/>
        </w:rPr>
        <w:t> </w:t>
      </w:r>
    </w:p>
    <w:p>
      <w:pPr>
        <w:pStyle w:val="BodyText"/>
        <w:spacing w:line="240" w:lineRule="auto" w:before="117"/>
        <w:ind w:left="573" w:right="1133"/>
        <w:jc w:val="left"/>
        <w:rPr>
          <w:rFonts w:ascii="宋体" w:hAnsi="宋体" w:cs="宋体" w:eastAsia="宋体" w:hint="default"/>
        </w:rPr>
      </w:pPr>
      <w:r>
        <w:rPr/>
        <w:t>（</w:t>
      </w:r>
      <w:r>
        <w:rPr>
          <w:rFonts w:ascii="宋体" w:hAnsi="宋体" w:cs="宋体" w:eastAsia="宋体" w:hint="default"/>
        </w:rPr>
        <w:t>1</w:t>
      </w:r>
      <w:r>
        <w:rPr/>
        <w:t>）了解、测试、评价管理层对应收款项管理内部控制制度的设计和运行的有效性；</w:t>
      </w:r>
      <w:r>
        <w:rPr>
          <w:rFonts w:ascii="宋体" w:hAnsi="宋体" w:cs="宋体" w:eastAsia="宋体" w:hint="default"/>
        </w:rPr>
        <w:t> </w:t>
      </w:r>
    </w:p>
    <w:p>
      <w:pPr>
        <w:pStyle w:val="BodyText"/>
        <w:spacing w:line="272" w:lineRule="exact" w:before="146"/>
        <w:ind w:right="1133" w:firstLine="420"/>
        <w:jc w:val="left"/>
        <w:rPr>
          <w:rFonts w:ascii="宋体" w:hAnsi="宋体" w:cs="宋体" w:eastAsia="宋体" w:hint="default"/>
        </w:rPr>
      </w:pPr>
      <w:r>
        <w:rPr/>
        <w:t>（</w:t>
      </w:r>
      <w:r>
        <w:rPr>
          <w:rFonts w:ascii="宋体" w:hAnsi="宋体" w:cs="宋体" w:eastAsia="宋体" w:hint="default"/>
        </w:rPr>
        <w:t>2</w:t>
      </w:r>
      <w:r>
        <w:rPr/>
        <w:t>）检查管理层制定的相关会计政策是否符合新金融工具准则的相关规定，会计政策变更是否经过</w:t>
      </w:r>
      <w:r>
        <w:rPr>
          <w:w w:val="100"/>
        </w:rPr>
        <w:t> </w:t>
      </w:r>
      <w:r>
        <w:rPr/>
        <w:t>董事会审议；</w:t>
      </w:r>
      <w:r>
        <w:rPr>
          <w:rFonts w:ascii="宋体" w:hAnsi="宋体" w:cs="宋体" w:eastAsia="宋体" w:hint="default"/>
        </w:rPr>
        <w:t> </w:t>
      </w:r>
    </w:p>
    <w:p>
      <w:pPr>
        <w:pStyle w:val="BodyText"/>
        <w:spacing w:line="237" w:lineRule="auto" w:before="96"/>
        <w:ind w:right="1126" w:firstLine="420"/>
        <w:jc w:val="both"/>
        <w:rPr>
          <w:rFonts w:ascii="宋体" w:hAnsi="宋体" w:cs="宋体" w:eastAsia="宋体" w:hint="default"/>
        </w:rPr>
      </w:pPr>
      <w:r>
        <w:rPr/>
        <w:t>（</w:t>
      </w:r>
      <w:r>
        <w:rPr>
          <w:rFonts w:ascii="宋体" w:hAnsi="宋体" w:cs="宋体" w:eastAsia="宋体" w:hint="default"/>
        </w:rPr>
        <w:t>3</w:t>
      </w:r>
      <w:r>
        <w:rPr/>
        <w:t>）获取了管理层评估应收款项是否发生减值以及确认预期损失率所依据的数据及相关资料，评价</w:t>
      </w:r>
      <w:r>
        <w:rPr>
          <w:w w:val="100"/>
        </w:rPr>
        <w:t> </w:t>
      </w:r>
      <w:r>
        <w:rPr>
          <w:spacing w:val="-2"/>
        </w:rPr>
        <w:t>其恰当性和充分性；通过比较前期损失准备计提数与实际发生数，评价及复核应收款项损失准备计提的充</w:t>
      </w:r>
      <w:r>
        <w:rPr>
          <w:spacing w:val="-42"/>
        </w:rPr>
        <w:t> </w:t>
      </w:r>
      <w:r>
        <w:rPr>
          <w:spacing w:val="-42"/>
        </w:rPr>
      </w:r>
      <w:r>
        <w:rPr/>
        <w:t>分性、准确性；</w:t>
      </w:r>
      <w:r>
        <w:rPr>
          <w:rFonts w:ascii="宋体" w:hAnsi="宋体" w:cs="宋体" w:eastAsia="宋体" w:hint="default"/>
        </w:rPr>
        <w:t> </w:t>
      </w:r>
    </w:p>
    <w:p>
      <w:pPr>
        <w:spacing w:after="0" w:line="237" w:lineRule="auto"/>
        <w:jc w:val="both"/>
        <w:rPr>
          <w:rFonts w:ascii="宋体" w:hAnsi="宋体" w:cs="宋体" w:eastAsia="宋体" w:hint="default"/>
        </w:rPr>
        <w:sectPr>
          <w:pgSz w:w="11910" w:h="16840"/>
          <w:pgMar w:header="921" w:footer="725" w:top="1160" w:bottom="920" w:left="980" w:right="0"/>
        </w:sectPr>
      </w:pPr>
    </w:p>
    <w:p>
      <w:pPr>
        <w:spacing w:line="240" w:lineRule="auto" w:before="12"/>
        <w:rPr>
          <w:rFonts w:ascii="宋体" w:hAnsi="宋体" w:cs="宋体" w:eastAsia="宋体" w:hint="default"/>
          <w:sz w:val="15"/>
          <w:szCs w:val="15"/>
        </w:rPr>
      </w:pPr>
    </w:p>
    <w:p>
      <w:pPr>
        <w:pStyle w:val="BodyText"/>
        <w:spacing w:line="272" w:lineRule="exact" w:before="64"/>
        <w:ind w:right="1136" w:firstLine="420"/>
        <w:jc w:val="both"/>
        <w:rPr>
          <w:rFonts w:ascii="宋体" w:hAnsi="宋体" w:cs="宋体" w:eastAsia="宋体" w:hint="default"/>
        </w:rPr>
      </w:pPr>
      <w:r>
        <w:rPr/>
        <w:t>（</w:t>
      </w:r>
      <w:r>
        <w:rPr>
          <w:rFonts w:ascii="宋体" w:hAnsi="宋体" w:cs="宋体" w:eastAsia="宋体" w:hint="default"/>
        </w:rPr>
        <w:t>4</w:t>
      </w:r>
      <w:r>
        <w:rPr/>
        <w:t>）通过查阅相关业务合同、检查以往应收款项的收回及坏账发生情况、与管理层沟通等程序，了</w:t>
      </w:r>
      <w:r>
        <w:rPr>
          <w:w w:val="100"/>
        </w:rPr>
        <w:t> </w:t>
      </w:r>
      <w:r>
        <w:rPr/>
        <w:t>解和评价管理层对应收款项减值准备计提的会计估计；</w:t>
      </w:r>
      <w:r>
        <w:rPr>
          <w:rFonts w:ascii="宋体" w:hAnsi="宋体" w:cs="宋体" w:eastAsia="宋体" w:hint="default"/>
        </w:rPr>
        <w:t> </w:t>
      </w:r>
    </w:p>
    <w:p>
      <w:pPr>
        <w:pStyle w:val="BodyText"/>
        <w:spacing w:line="340" w:lineRule="auto" w:before="94"/>
        <w:ind w:left="573" w:right="1903"/>
        <w:jc w:val="left"/>
        <w:rPr>
          <w:rFonts w:ascii="宋体" w:hAnsi="宋体" w:cs="宋体" w:eastAsia="宋体" w:hint="default"/>
        </w:rPr>
      </w:pPr>
      <w:r>
        <w:rPr/>
        <w:t>（</w:t>
      </w:r>
      <w:r>
        <w:rPr>
          <w:rFonts w:ascii="宋体" w:hAnsi="宋体" w:cs="宋体" w:eastAsia="宋体" w:hint="default"/>
        </w:rPr>
        <w:t>5</w:t>
      </w:r>
      <w:r>
        <w:rPr/>
        <w:t>）检查中嘉博创与客户的对账情况，对应收款项期末余额选取样本执行函证程序。</w:t>
      </w:r>
      <w:r>
        <w:rPr>
          <w:rFonts w:ascii="宋体" w:hAnsi="宋体" w:cs="宋体" w:eastAsia="宋体" w:hint="default"/>
          <w:w w:val="100"/>
        </w:rPr>
        <w:t> </w:t>
      </w:r>
      <w:r>
        <w:rPr/>
        <w:t>四、其他信息</w:t>
      </w:r>
      <w:r>
        <w:rPr>
          <w:rFonts w:ascii="宋体" w:hAnsi="宋体" w:cs="宋体" w:eastAsia="宋体" w:hint="default"/>
        </w:rPr>
        <w:t> </w:t>
      </w:r>
    </w:p>
    <w:p>
      <w:pPr>
        <w:pStyle w:val="BodyText"/>
        <w:spacing w:line="272" w:lineRule="exact" w:before="58"/>
        <w:ind w:right="1126" w:firstLine="420"/>
        <w:jc w:val="both"/>
        <w:rPr>
          <w:rFonts w:ascii="宋体" w:hAnsi="宋体" w:cs="宋体" w:eastAsia="宋体" w:hint="default"/>
        </w:rPr>
      </w:pPr>
      <w:r>
        <w:rPr/>
        <w:t>中嘉博创管理层对其他信息负责。其他信息包括中嘉博创 </w:t>
      </w:r>
      <w:r>
        <w:rPr>
          <w:rFonts w:ascii="宋体" w:hAnsi="宋体" w:cs="宋体" w:eastAsia="宋体" w:hint="default"/>
        </w:rPr>
        <w:t>2019</w:t>
      </w:r>
      <w:r>
        <w:rPr>
          <w:rFonts w:ascii="宋体" w:hAnsi="宋体" w:cs="宋体" w:eastAsia="宋体" w:hint="default"/>
          <w:spacing w:val="-28"/>
        </w:rPr>
        <w:t> </w:t>
      </w:r>
      <w:r>
        <w:rPr/>
        <w:t>年年度报告中涵盖的信息，但不包括</w:t>
      </w:r>
      <w:r>
        <w:rPr>
          <w:w w:val="100"/>
        </w:rPr>
        <w:t> </w:t>
      </w:r>
      <w:r>
        <w:rPr/>
        <w:t>财务报表和我们的审计报告。</w:t>
      </w:r>
      <w:r>
        <w:rPr>
          <w:rFonts w:ascii="宋体" w:hAnsi="宋体" w:cs="宋体" w:eastAsia="宋体" w:hint="default"/>
        </w:rPr>
        <w:t> </w:t>
      </w:r>
    </w:p>
    <w:p>
      <w:pPr>
        <w:pStyle w:val="BodyText"/>
        <w:spacing w:line="392" w:lineRule="exact" w:before="25"/>
        <w:ind w:left="573" w:right="1133"/>
        <w:jc w:val="left"/>
      </w:pPr>
      <w:r>
        <w:rPr/>
        <w:t>我们对财务报表发表的审计意见不涵盖其他信息，我们也不对其他信息发表任何形式的鉴证结论。</w:t>
      </w:r>
      <w:r>
        <w:rPr>
          <w:rFonts w:ascii="宋体" w:hAnsi="宋体" w:cs="宋体" w:eastAsia="宋体" w:hint="default"/>
          <w:spacing w:val="-3"/>
          <w:w w:val="100"/>
        </w:rPr>
        <w:t> </w:t>
      </w:r>
      <w:r>
        <w:rPr>
          <w:rFonts w:ascii="宋体" w:hAnsi="宋体" w:cs="宋体" w:eastAsia="宋体" w:hint="default"/>
          <w:w w:val="100"/>
        </w:rPr>
        <w:t> </w:t>
      </w:r>
      <w:r>
        <w:rPr>
          <w:spacing w:val="-2"/>
        </w:rPr>
        <w:t>结合我们对财务报表的审计，我们的责任是阅读其他信息，在此过程中，考虑其他信息是否与财务报</w:t>
      </w:r>
    </w:p>
    <w:p>
      <w:pPr>
        <w:pStyle w:val="BodyText"/>
        <w:spacing w:line="225" w:lineRule="exact"/>
        <w:ind w:right="1133"/>
        <w:jc w:val="left"/>
        <w:rPr>
          <w:rFonts w:ascii="宋体" w:hAnsi="宋体" w:cs="宋体" w:eastAsia="宋体" w:hint="default"/>
        </w:rPr>
      </w:pPr>
      <w:r>
        <w:rPr/>
        <w:t>表或我们在审计过程中了解到的情况存在重大不一致或者似乎存在重大错报。</w:t>
      </w:r>
      <w:r>
        <w:rPr>
          <w:rFonts w:ascii="宋体" w:hAnsi="宋体" w:cs="宋体" w:eastAsia="宋体" w:hint="default"/>
        </w:rPr>
        <w:t> </w:t>
      </w:r>
    </w:p>
    <w:p>
      <w:pPr>
        <w:pStyle w:val="BodyText"/>
        <w:spacing w:line="240" w:lineRule="auto" w:before="116"/>
        <w:ind w:right="1128" w:firstLine="420"/>
        <w:jc w:val="both"/>
        <w:rPr>
          <w:rFonts w:ascii="宋体" w:hAnsi="宋体" w:cs="宋体" w:eastAsia="宋体" w:hint="default"/>
        </w:rPr>
      </w:pPr>
      <w:r>
        <w:rPr>
          <w:spacing w:val="-2"/>
        </w:rPr>
        <w:t>基于我们已执行的工作，如果我们确定其他信息存在重大错报，我们应当报告该事实。在这方面，我</w:t>
      </w:r>
      <w:r>
        <w:rPr>
          <w:w w:val="100"/>
        </w:rPr>
        <w:t> </w:t>
      </w:r>
      <w:r>
        <w:rPr/>
        <w:t>们无任何事项需要报告。</w:t>
      </w:r>
      <w:r>
        <w:rPr>
          <w:rFonts w:ascii="宋体" w:hAnsi="宋体" w:cs="宋体" w:eastAsia="宋体" w:hint="default"/>
        </w:rPr>
        <w:t> </w:t>
      </w:r>
    </w:p>
    <w:p>
      <w:pPr>
        <w:pStyle w:val="BodyText"/>
        <w:spacing w:line="394" w:lineRule="exact" w:before="46"/>
        <w:ind w:left="573" w:right="1133"/>
        <w:jc w:val="left"/>
      </w:pPr>
      <w:r>
        <w:rPr/>
        <w:t>五、管理层和治理层对财务报表的责任</w:t>
      </w:r>
      <w:r>
        <w:rPr>
          <w:rFonts w:ascii="宋体" w:hAnsi="宋体" w:cs="宋体" w:eastAsia="宋体" w:hint="default"/>
          <w:spacing w:val="-3"/>
          <w:w w:val="100"/>
        </w:rPr>
        <w:t> </w:t>
      </w:r>
      <w:r>
        <w:rPr>
          <w:rFonts w:ascii="宋体" w:hAnsi="宋体" w:cs="宋体" w:eastAsia="宋体" w:hint="default"/>
          <w:w w:val="100"/>
        </w:rPr>
        <w:t> </w:t>
      </w:r>
      <w:r>
        <w:rPr>
          <w:spacing w:val="-2"/>
        </w:rPr>
        <w:t>中嘉博创管理层负责按照企业会计准则的规定编制财务报表，使其实现公允反映，并设计、执行和维</w:t>
      </w:r>
    </w:p>
    <w:p>
      <w:pPr>
        <w:pStyle w:val="BodyText"/>
        <w:spacing w:line="222" w:lineRule="exact"/>
        <w:ind w:right="1133"/>
        <w:jc w:val="left"/>
        <w:rPr>
          <w:rFonts w:ascii="宋体" w:hAnsi="宋体" w:cs="宋体" w:eastAsia="宋体" w:hint="default"/>
        </w:rPr>
      </w:pPr>
      <w:r>
        <w:rPr/>
        <w:t>护必要的内部控制，以使财务报表不存在由于舞弊或错误导致的重大错报。</w:t>
      </w:r>
      <w:r>
        <w:rPr>
          <w:rFonts w:ascii="宋体" w:hAnsi="宋体" w:cs="宋体" w:eastAsia="宋体" w:hint="default"/>
          <w:spacing w:val="-3"/>
        </w:rPr>
        <w:t> </w:t>
      </w:r>
      <w:r>
        <w:rPr>
          <w:rFonts w:ascii="宋体" w:hAnsi="宋体" w:cs="宋体" w:eastAsia="宋体" w:hint="default"/>
        </w:rPr>
        <w:t> </w:t>
      </w:r>
    </w:p>
    <w:p>
      <w:pPr>
        <w:pStyle w:val="BodyText"/>
        <w:spacing w:line="272" w:lineRule="exact" w:before="146"/>
        <w:ind w:right="819" w:firstLine="420"/>
        <w:jc w:val="left"/>
        <w:rPr>
          <w:rFonts w:ascii="宋体" w:hAnsi="宋体" w:cs="宋体" w:eastAsia="宋体" w:hint="default"/>
        </w:rPr>
      </w:pPr>
      <w:r>
        <w:rPr>
          <w:spacing w:val="-9"/>
          <w:w w:val="100"/>
        </w:rPr>
        <w:t>在编制财务报表时，管理层负责评估中嘉博创的持续经营能力，披露与持续经营相关的事项（如适用），</w:t>
      </w:r>
      <w:r>
        <w:rPr>
          <w:w w:val="100"/>
        </w:rPr>
        <w:t> </w:t>
      </w:r>
      <w:r>
        <w:rPr/>
        <w:t>并运用持续经营假设，除非管理层计划清算中嘉博创、终止运营或别无其他现实的选择。</w:t>
      </w:r>
      <w:r>
        <w:rPr>
          <w:rFonts w:ascii="宋体" w:hAnsi="宋体" w:cs="宋体" w:eastAsia="宋体" w:hint="default"/>
          <w:spacing w:val="-2"/>
        </w:rPr>
        <w:t> </w:t>
      </w:r>
      <w:r>
        <w:rPr>
          <w:rFonts w:ascii="宋体" w:hAnsi="宋体" w:cs="宋体" w:eastAsia="宋体" w:hint="default"/>
        </w:rPr>
        <w:t> </w:t>
      </w:r>
    </w:p>
    <w:p>
      <w:pPr>
        <w:pStyle w:val="BodyText"/>
        <w:spacing w:line="340" w:lineRule="auto" w:before="94"/>
        <w:ind w:left="573" w:right="2896"/>
        <w:jc w:val="left"/>
        <w:rPr>
          <w:rFonts w:ascii="宋体" w:hAnsi="宋体" w:cs="宋体" w:eastAsia="宋体" w:hint="default"/>
        </w:rPr>
      </w:pPr>
      <w:r>
        <w:rPr/>
        <w:t>治理层负责监督中嘉博创的财务报告过程。</w:t>
      </w:r>
      <w:r>
        <w:rPr>
          <w:rFonts w:ascii="宋体" w:hAnsi="宋体" w:cs="宋体" w:eastAsia="宋体" w:hint="default"/>
          <w:spacing w:val="-3"/>
          <w:w w:val="100"/>
        </w:rPr>
        <w:t> </w:t>
      </w:r>
      <w:r>
        <w:rPr>
          <w:rFonts w:ascii="宋体" w:hAnsi="宋体" w:cs="宋体" w:eastAsia="宋体" w:hint="default"/>
          <w:w w:val="100"/>
        </w:rPr>
        <w:t> </w:t>
      </w:r>
      <w:r>
        <w:rPr/>
        <w:t>六、注册会计师对财务报表审计的责任</w:t>
      </w:r>
      <w:r>
        <w:rPr>
          <w:rFonts w:ascii="宋体" w:hAnsi="宋体" w:cs="宋体" w:eastAsia="宋体" w:hint="default"/>
          <w:spacing w:val="-3"/>
        </w:rPr>
        <w:t> </w:t>
      </w:r>
      <w:r>
        <w:rPr>
          <w:rFonts w:ascii="宋体" w:hAnsi="宋体" w:cs="宋体" w:eastAsia="宋体" w:hint="default"/>
        </w:rPr>
        <w:t> </w:t>
      </w:r>
    </w:p>
    <w:p>
      <w:pPr>
        <w:pStyle w:val="BodyText"/>
        <w:spacing w:line="237" w:lineRule="auto" w:before="33"/>
        <w:ind w:right="1126" w:firstLine="420"/>
        <w:jc w:val="both"/>
        <w:rPr>
          <w:rFonts w:ascii="宋体" w:hAnsi="宋体" w:cs="宋体" w:eastAsia="宋体" w:hint="default"/>
        </w:rPr>
      </w:pPr>
      <w:r>
        <w:rPr>
          <w:spacing w:val="-2"/>
        </w:rPr>
        <w:t>我们的目标是对财务报表整体是否不存在由于舞弊或错误导致的重大错报获取合理保证，并出具包含</w:t>
      </w:r>
      <w:r>
        <w:rPr>
          <w:w w:val="100"/>
        </w:rPr>
        <w:t> </w:t>
      </w:r>
      <w:r>
        <w:rPr>
          <w:spacing w:val="-2"/>
        </w:rPr>
        <w:t>审计意见的审计报告。合理保证是高水平的保证，但并不能保证按照审计准则执行的审计在某一重大错报</w:t>
      </w:r>
      <w:r>
        <w:rPr>
          <w:spacing w:val="-43"/>
        </w:rPr>
        <w:t> </w:t>
      </w:r>
      <w:r>
        <w:rPr>
          <w:spacing w:val="-43"/>
        </w:rPr>
      </w:r>
      <w:r>
        <w:rPr>
          <w:spacing w:val="-2"/>
        </w:rPr>
        <w:t>存在时总能发现。错报可能由于舞弊或错误导致，如果合理预期错报单独或汇总起来可能影响财务报表使</w:t>
      </w:r>
      <w:r>
        <w:rPr>
          <w:spacing w:val="-43"/>
        </w:rPr>
        <w:t> </w:t>
      </w:r>
      <w:r>
        <w:rPr>
          <w:spacing w:val="-43"/>
        </w:rPr>
      </w:r>
      <w:r>
        <w:rPr/>
        <w:t>用者依据财务报表作出的经济决策，则通常认为错报是重大的。</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116"/>
        <w:ind w:right="1128" w:firstLine="420"/>
        <w:jc w:val="both"/>
        <w:rPr>
          <w:rFonts w:ascii="宋体" w:hAnsi="宋体" w:cs="宋体" w:eastAsia="宋体" w:hint="default"/>
        </w:rPr>
      </w:pPr>
      <w:r>
        <w:rPr>
          <w:spacing w:val="-2"/>
        </w:rPr>
        <w:t>在按照审计准则执行审计工作的过程中，我们运用职业判断，并保持职业怀疑。同时，我们也执行以</w:t>
      </w:r>
      <w:r>
        <w:rPr>
          <w:w w:val="100"/>
        </w:rPr>
        <w:t> </w:t>
      </w:r>
      <w:r>
        <w:rPr/>
        <w:t>下工作：</w:t>
      </w:r>
      <w:r>
        <w:rPr>
          <w:rFonts w:ascii="宋体" w:hAnsi="宋体" w:cs="宋体" w:eastAsia="宋体" w:hint="default"/>
          <w:spacing w:val="-3"/>
        </w:rPr>
        <w:t> </w:t>
      </w:r>
      <w:r>
        <w:rPr>
          <w:rFonts w:ascii="宋体" w:hAnsi="宋体" w:cs="宋体" w:eastAsia="宋体" w:hint="default"/>
        </w:rPr>
        <w:t> </w:t>
      </w:r>
    </w:p>
    <w:p>
      <w:pPr>
        <w:pStyle w:val="BodyText"/>
        <w:spacing w:line="237" w:lineRule="auto" w:before="119"/>
        <w:ind w:right="1126" w:firstLine="420"/>
        <w:jc w:val="both"/>
        <w:rPr>
          <w:rFonts w:ascii="宋体" w:hAnsi="宋体" w:cs="宋体" w:eastAsia="宋体" w:hint="default"/>
        </w:rPr>
      </w:pPr>
      <w:r>
        <w:rPr/>
        <w:t>（</w:t>
      </w:r>
      <w:r>
        <w:rPr>
          <w:rFonts w:ascii="宋体" w:hAnsi="宋体" w:cs="宋体" w:eastAsia="宋体" w:hint="default"/>
        </w:rPr>
        <w:t>1</w:t>
      </w:r>
      <w:r>
        <w:rPr/>
        <w:t>）识别和评估由于舞弊或错误导致的财务报表重大错报风险，设计和实施审计程序以应对这些风</w:t>
      </w:r>
      <w:r>
        <w:rPr>
          <w:w w:val="100"/>
        </w:rPr>
        <w:t> </w:t>
      </w:r>
      <w:r>
        <w:rPr>
          <w:spacing w:val="-7"/>
        </w:rPr>
        <w:t>险，并获取充分、适当的审计证据，作为发表审计意见的基础。由于舞弊可能涉及串通、伪造、故意遗漏、</w:t>
      </w:r>
      <w:r>
        <w:rPr>
          <w:spacing w:val="-22"/>
        </w:rPr>
        <w:t> </w:t>
      </w:r>
      <w:r>
        <w:rPr>
          <w:spacing w:val="-22"/>
        </w:rPr>
      </w:r>
      <w:r>
        <w:rPr>
          <w:spacing w:val="-2"/>
        </w:rPr>
        <w:t>虚假陈述或凌驾于内部控制之上，未能发现由于舞弊导致的重大错报的风险高于未能发现由于错误导致的</w:t>
      </w:r>
      <w:r>
        <w:rPr>
          <w:spacing w:val="-43"/>
        </w:rPr>
        <w:t> </w:t>
      </w:r>
      <w:r>
        <w:rPr>
          <w:spacing w:val="-43"/>
        </w:rPr>
      </w:r>
      <w:r>
        <w:rPr/>
        <w:t>重大错报的风险。</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116"/>
        <w:ind w:left="573" w:right="1133"/>
        <w:jc w:val="left"/>
        <w:rPr>
          <w:rFonts w:ascii="宋体" w:hAnsi="宋体" w:cs="宋体" w:eastAsia="宋体" w:hint="default"/>
        </w:rPr>
      </w:pPr>
      <w:r>
        <w:rPr/>
        <w:t>（</w:t>
      </w:r>
      <w:r>
        <w:rPr>
          <w:rFonts w:ascii="宋体" w:hAnsi="宋体" w:cs="宋体" w:eastAsia="宋体" w:hint="default"/>
        </w:rPr>
        <w:t>2</w:t>
      </w:r>
      <w:r>
        <w:rPr/>
        <w:t>）了解与审计相关的内部控制，以设计恰当的审计程序。</w:t>
      </w:r>
      <w:r>
        <w:rPr>
          <w:rFonts w:ascii="宋体" w:hAnsi="宋体" w:cs="宋体" w:eastAsia="宋体" w:hint="default"/>
        </w:rPr>
        <w:t> </w:t>
      </w:r>
    </w:p>
    <w:p>
      <w:pPr>
        <w:pStyle w:val="BodyText"/>
        <w:spacing w:line="240" w:lineRule="auto" w:before="118"/>
        <w:ind w:left="573" w:right="1133"/>
        <w:jc w:val="left"/>
        <w:rPr>
          <w:rFonts w:ascii="宋体" w:hAnsi="宋体" w:cs="宋体" w:eastAsia="宋体" w:hint="default"/>
        </w:rPr>
      </w:pPr>
      <w:r>
        <w:rPr/>
        <w:t>（</w:t>
      </w:r>
      <w:r>
        <w:rPr>
          <w:rFonts w:ascii="宋体" w:hAnsi="宋体" w:cs="宋体" w:eastAsia="宋体" w:hint="default"/>
        </w:rPr>
        <w:t>3</w:t>
      </w:r>
      <w:r>
        <w:rPr/>
        <w:t>）评价管理层选用会计政策的恰当性和作出会计估计及相关披露的合理性。</w:t>
      </w:r>
      <w:r>
        <w:rPr>
          <w:rFonts w:ascii="宋体" w:hAnsi="宋体" w:cs="宋体" w:eastAsia="宋体" w:hint="default"/>
          <w:spacing w:val="-3"/>
        </w:rPr>
        <w:t> </w:t>
      </w:r>
      <w:r>
        <w:rPr>
          <w:rFonts w:ascii="宋体" w:hAnsi="宋体" w:cs="宋体" w:eastAsia="宋体" w:hint="default"/>
        </w:rPr>
        <w:t> </w:t>
      </w:r>
    </w:p>
    <w:p>
      <w:pPr>
        <w:pStyle w:val="BodyText"/>
        <w:spacing w:line="237" w:lineRule="auto" w:before="119"/>
        <w:ind w:right="1126" w:firstLine="420"/>
        <w:jc w:val="both"/>
        <w:rPr>
          <w:rFonts w:ascii="宋体" w:hAnsi="宋体" w:cs="宋体" w:eastAsia="宋体" w:hint="default"/>
        </w:rPr>
      </w:pPr>
      <w:r>
        <w:rPr/>
        <w:t>（</w:t>
      </w:r>
      <w:r>
        <w:rPr>
          <w:rFonts w:ascii="宋体" w:hAnsi="宋体" w:cs="宋体" w:eastAsia="宋体" w:hint="default"/>
        </w:rPr>
        <w:t>4</w:t>
      </w:r>
      <w:r>
        <w:rPr/>
        <w:t>）对管理层使用持续经营假设的恰当性得出结论。同时，根据获取的审计证据，就可能导致对中</w:t>
      </w:r>
      <w:r>
        <w:rPr>
          <w:w w:val="100"/>
        </w:rPr>
        <w:t> </w:t>
      </w:r>
      <w:r>
        <w:rPr>
          <w:spacing w:val="-2"/>
        </w:rPr>
        <w:t>嘉博创持续经营能力产生重大疑虑的事项或情况是否存在重大不确定性得出结论。如果我们得出结论认为</w:t>
      </w:r>
      <w:r>
        <w:rPr>
          <w:spacing w:val="-43"/>
        </w:rPr>
        <w:t> </w:t>
      </w:r>
      <w:r>
        <w:rPr>
          <w:spacing w:val="-43"/>
        </w:rPr>
      </w:r>
      <w:r>
        <w:rPr>
          <w:spacing w:val="-2"/>
        </w:rPr>
        <w:t>存在重大不确定性，审计准则要求我们在审计报告中提请报表使用者注意财务报表中的相关披露；如果披</w:t>
      </w:r>
      <w:r>
        <w:rPr>
          <w:spacing w:val="-43"/>
        </w:rPr>
        <w:t> </w:t>
      </w:r>
      <w:r>
        <w:rPr>
          <w:spacing w:val="-43"/>
        </w:rPr>
      </w:r>
      <w:r>
        <w:rPr>
          <w:spacing w:val="-2"/>
        </w:rPr>
        <w:t>露不充分，我们应当发表非无保留意见。我们的结论基于截至审计报告日可获得的信息。然而，未来的事</w:t>
      </w:r>
      <w:r>
        <w:rPr>
          <w:spacing w:val="-47"/>
        </w:rPr>
        <w:t> </w:t>
      </w:r>
      <w:r>
        <w:rPr>
          <w:spacing w:val="-47"/>
        </w:rPr>
      </w:r>
      <w:r>
        <w:rPr/>
        <w:t>项或情况可能导致中嘉博创不能持续经营。</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119"/>
        <w:ind w:left="573" w:right="1133"/>
        <w:jc w:val="left"/>
        <w:rPr>
          <w:rFonts w:ascii="宋体" w:hAnsi="宋体" w:cs="宋体" w:eastAsia="宋体" w:hint="default"/>
        </w:rPr>
      </w:pPr>
      <w:r>
        <w:rPr/>
        <w:t>（</w:t>
      </w:r>
      <w:r>
        <w:rPr>
          <w:rFonts w:ascii="宋体" w:hAnsi="宋体" w:cs="宋体" w:eastAsia="宋体" w:hint="default"/>
        </w:rPr>
        <w:t>5</w:t>
      </w:r>
      <w:r>
        <w:rPr/>
        <w:t>）评价财务报表的总体列报、结构和内容，并评价财务报表是否公允反映相关交易和事项。</w:t>
      </w:r>
      <w:r>
        <w:rPr>
          <w:rFonts w:ascii="宋体" w:hAnsi="宋体" w:cs="宋体" w:eastAsia="宋体" w:hint="default"/>
          <w:spacing w:val="-3"/>
        </w:rPr>
        <w:t> </w:t>
      </w:r>
      <w:r>
        <w:rPr>
          <w:rFonts w:ascii="宋体" w:hAnsi="宋体" w:cs="宋体" w:eastAsia="宋体" w:hint="default"/>
        </w:rPr>
        <w:t> </w:t>
      </w:r>
    </w:p>
    <w:p>
      <w:pPr>
        <w:pStyle w:val="BodyText"/>
        <w:spacing w:line="237" w:lineRule="auto" w:before="119"/>
        <w:ind w:right="819" w:firstLine="420"/>
        <w:jc w:val="left"/>
        <w:rPr>
          <w:rFonts w:ascii="宋体" w:hAnsi="宋体" w:cs="宋体" w:eastAsia="宋体" w:hint="default"/>
        </w:rPr>
      </w:pPr>
      <w:r>
        <w:rPr>
          <w:spacing w:val="-5"/>
        </w:rPr>
        <w:t>（</w:t>
      </w:r>
      <w:r>
        <w:rPr>
          <w:rFonts w:ascii="宋体" w:hAnsi="宋体" w:cs="宋体" w:eastAsia="宋体" w:hint="default"/>
          <w:spacing w:val="-5"/>
        </w:rPr>
        <w:t>6</w:t>
      </w:r>
      <w:r>
        <w:rPr>
          <w:spacing w:val="-5"/>
        </w:rPr>
        <w:t>）就中嘉博创中实体或业务活动的财务信息获取充分、适当的审计证据，以对财务报表发表意见。</w:t>
      </w:r>
      <w:r>
        <w:rPr>
          <w:w w:val="100"/>
        </w:rPr>
        <w:t> </w:t>
      </w:r>
      <w:r>
        <w:rPr/>
        <w:t>我们负责指导、监督和执行集团审计。我们对审计意见承担全部责任。我们与治理层就计划的审计范围、</w:t>
      </w:r>
      <w:r>
        <w:rPr>
          <w:spacing w:val="-24"/>
        </w:rPr>
        <w:t> </w:t>
      </w:r>
      <w:r>
        <w:rPr>
          <w:spacing w:val="-24"/>
        </w:rPr>
      </w:r>
      <w:r>
        <w:rPr/>
        <w:t>时间安排和重大审计发现等事项进行沟通，包括沟通我们在审计中识别出的值得关注的内部控制缺陷。</w:t>
      </w:r>
      <w:r>
        <w:rPr>
          <w:rFonts w:ascii="宋体" w:hAnsi="宋体" w:cs="宋体" w:eastAsia="宋体" w:hint="default"/>
        </w:rPr>
        <w:t> </w:t>
      </w:r>
    </w:p>
    <w:p>
      <w:pPr>
        <w:pStyle w:val="BodyText"/>
        <w:spacing w:line="272" w:lineRule="exact" w:before="146"/>
        <w:ind w:right="1126" w:firstLine="420"/>
        <w:jc w:val="both"/>
        <w:rPr>
          <w:rFonts w:ascii="宋体" w:hAnsi="宋体" w:cs="宋体" w:eastAsia="宋体" w:hint="default"/>
        </w:rPr>
      </w:pPr>
      <w:r>
        <w:rPr>
          <w:spacing w:val="-2"/>
        </w:rPr>
        <w:t>我们还就已遵守与独立性相关的职业道德要求向治理层提供声明，并与治理层沟通可能被合理认为影</w:t>
      </w:r>
      <w:r>
        <w:rPr>
          <w:w w:val="100"/>
        </w:rPr>
        <w:t> </w:t>
      </w:r>
      <w:r>
        <w:rPr>
          <w:spacing w:val="-5"/>
          <w:w w:val="100"/>
        </w:rPr>
        <w:t>响我们独立性的所有关系和其他事项，以及相关的防范措施（如适用）。</w:t>
      </w:r>
      <w:r>
        <w:rPr>
          <w:rFonts w:ascii="宋体" w:hAnsi="宋体" w:cs="宋体" w:eastAsia="宋体" w:hint="default"/>
          <w:w w:val="100"/>
        </w:rPr>
        <w:t> </w:t>
      </w:r>
    </w:p>
    <w:p>
      <w:pPr>
        <w:spacing w:after="0" w:line="272" w:lineRule="exact"/>
        <w:jc w:val="both"/>
        <w:rPr>
          <w:rFonts w:ascii="宋体" w:hAnsi="宋体" w:cs="宋体" w:eastAsia="宋体" w:hint="default"/>
        </w:rPr>
        <w:sectPr>
          <w:pgSz w:w="11910" w:h="16840"/>
          <w:pgMar w:header="921" w:footer="725" w:top="1160" w:bottom="920" w:left="980" w:right="0"/>
        </w:sectPr>
      </w:pPr>
    </w:p>
    <w:p>
      <w:pPr>
        <w:spacing w:line="240" w:lineRule="auto" w:before="12"/>
        <w:rPr>
          <w:rFonts w:ascii="宋体" w:hAnsi="宋体" w:cs="宋体" w:eastAsia="宋体" w:hint="default"/>
          <w:sz w:val="15"/>
          <w:szCs w:val="15"/>
        </w:rPr>
      </w:pPr>
    </w:p>
    <w:p>
      <w:pPr>
        <w:pStyle w:val="BodyText"/>
        <w:spacing w:line="237" w:lineRule="auto" w:before="38"/>
        <w:ind w:right="1126" w:firstLine="420"/>
        <w:jc w:val="both"/>
        <w:rPr>
          <w:rFonts w:ascii="宋体" w:hAnsi="宋体" w:cs="宋体" w:eastAsia="宋体" w:hint="default"/>
        </w:rPr>
      </w:pPr>
      <w:r>
        <w:rPr>
          <w:spacing w:val="-2"/>
        </w:rPr>
        <w:t>从与治理层沟通过的事项中，我们确定哪些事项对本年财务报表审计最为重要，因而构成关键审计事</w:t>
      </w:r>
      <w:r>
        <w:rPr>
          <w:w w:val="100"/>
        </w:rPr>
        <w:t> </w:t>
      </w:r>
      <w:r>
        <w:rPr>
          <w:spacing w:val="-2"/>
        </w:rPr>
        <w:t>项。我们在审计报告中描述这些事项，除非法律法规禁止公开披露这些事项，或在极少数情形下，如果合</w:t>
      </w:r>
      <w:r>
        <w:rPr>
          <w:spacing w:val="-47"/>
        </w:rPr>
        <w:t> </w:t>
      </w:r>
      <w:r>
        <w:rPr>
          <w:spacing w:val="-47"/>
        </w:rPr>
      </w:r>
      <w:r>
        <w:rPr>
          <w:spacing w:val="-2"/>
        </w:rPr>
        <w:t>理预期在审计报告中沟通某事项造成的负面后果超过在公众利益方面产生的益处，我们确定不应在审计报</w:t>
      </w:r>
      <w:r>
        <w:rPr>
          <w:spacing w:val="-43"/>
        </w:rPr>
        <w:t> </w:t>
      </w:r>
      <w:r>
        <w:rPr>
          <w:spacing w:val="-43"/>
        </w:rPr>
      </w:r>
      <w:r>
        <w:rPr/>
        <w:t>告中沟通该事项。</w:t>
      </w:r>
      <w:r>
        <w:rPr>
          <w:rFonts w:ascii="宋体" w:hAnsi="宋体" w:cs="宋体" w:eastAsia="宋体" w:hint="default"/>
        </w:rPr>
        <w:t> </w:t>
      </w:r>
    </w:p>
    <w:p>
      <w:pPr>
        <w:pStyle w:val="BodyText"/>
        <w:spacing w:line="240" w:lineRule="auto" w:before="119"/>
        <w:ind w:left="573" w:right="0"/>
        <w:jc w:val="left"/>
        <w:rPr>
          <w:rFonts w:ascii="宋体" w:hAnsi="宋体" w:cs="宋体" w:eastAsia="宋体" w:hint="default"/>
        </w:rPr>
      </w:pPr>
      <w:r>
        <w:rPr>
          <w:rFonts w:ascii="宋体"/>
          <w:w w:val="100"/>
        </w:rPr>
        <w:t> </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p>
      <w:pPr>
        <w:pStyle w:val="Heading2"/>
        <w:spacing w:line="240" w:lineRule="auto"/>
        <w:ind w:left="635" w:right="1133"/>
        <w:jc w:val="left"/>
        <w:rPr>
          <w:rFonts w:ascii="宋体" w:hAnsi="宋体" w:cs="宋体" w:eastAsia="宋体" w:hint="default"/>
          <w:b w:val="0"/>
          <w:bCs w:val="0"/>
        </w:rPr>
      </w:pPr>
      <w:r>
        <w:rPr/>
        <w:t>亚太（集团）会计师事务所                </w:t>
      </w:r>
      <w:r>
        <w:rPr>
          <w:rFonts w:ascii="宋体" w:hAnsi="宋体" w:cs="宋体" w:eastAsia="宋体" w:hint="default"/>
        </w:rPr>
      </w:r>
      <w:r>
        <w:rPr/>
        <w:t>中国注册会计师：</w:t>
      </w:r>
      <w:r>
        <w:rPr>
          <w:spacing w:val="-10"/>
        </w:rPr>
        <w:t> </w:t>
      </w:r>
      <w:r>
        <w:rPr>
          <w:rFonts w:ascii="宋体" w:hAnsi="宋体" w:cs="宋体" w:eastAsia="宋体" w:hint="default"/>
          <w:spacing w:val="-10"/>
        </w:rPr>
      </w:r>
      <w:r>
        <w:rPr/>
        <w:t>张庆栾</w:t>
      </w:r>
      <w:r>
        <w:rPr>
          <w:rFonts w:ascii="宋体" w:hAnsi="宋体" w:cs="宋体" w:eastAsia="宋体" w:hint="default"/>
          <w:w w:val="99"/>
        </w:rPr>
        <w:t> </w:t>
      </w:r>
      <w:r>
        <w:rPr>
          <w:rFonts w:ascii="宋体" w:hAnsi="宋体" w:cs="宋体" w:eastAsia="宋体" w:hint="default"/>
          <w:b w:val="0"/>
          <w:bCs w:val="0"/>
        </w:rPr>
      </w:r>
    </w:p>
    <w:p>
      <w:pPr>
        <w:spacing w:before="74"/>
        <w:ind w:left="1118" w:right="1133" w:firstLine="0"/>
        <w:jc w:val="left"/>
        <w:rPr>
          <w:rFonts w:ascii="宋体" w:hAnsi="宋体" w:cs="宋体" w:eastAsia="宋体" w:hint="default"/>
          <w:sz w:val="24"/>
          <w:szCs w:val="24"/>
        </w:rPr>
      </w:pPr>
      <w:r>
        <w:rPr>
          <w:rFonts w:ascii="宋体" w:hAnsi="宋体" w:cs="宋体" w:eastAsia="宋体" w:hint="default"/>
          <w:b/>
          <w:bCs/>
          <w:sz w:val="24"/>
          <w:szCs w:val="24"/>
        </w:rPr>
        <w:t>（特殊普通合伙）                  </w:t>
      </w:r>
      <w:r>
        <w:rPr>
          <w:rFonts w:ascii="宋体" w:hAnsi="宋体" w:cs="宋体" w:eastAsia="宋体" w:hint="default"/>
          <w:b/>
          <w:bCs/>
          <w:spacing w:val="110"/>
          <w:sz w:val="24"/>
          <w:szCs w:val="24"/>
        </w:rPr>
        <w:t> </w:t>
      </w:r>
      <w:r>
        <w:rPr>
          <w:rFonts w:ascii="宋体" w:hAnsi="宋体" w:cs="宋体" w:eastAsia="宋体" w:hint="default"/>
          <w:b/>
          <w:bCs/>
          <w:spacing w:val="110"/>
          <w:sz w:val="24"/>
          <w:szCs w:val="24"/>
        </w:rPr>
      </w:r>
      <w:r>
        <w:rPr>
          <w:rFonts w:ascii="宋体" w:hAnsi="宋体" w:cs="宋体" w:eastAsia="宋体" w:hint="default"/>
          <w:b/>
          <w:bCs/>
          <w:sz w:val="24"/>
          <w:szCs w:val="24"/>
        </w:rPr>
        <w:t>（项目合伙人）</w:t>
      </w:r>
      <w:r>
        <w:rPr>
          <w:rFonts w:ascii="宋体" w:hAnsi="宋体" w:cs="宋体" w:eastAsia="宋体" w:hint="default"/>
          <w:b/>
          <w:bCs/>
          <w:w w:val="99"/>
          <w:sz w:val="24"/>
          <w:szCs w:val="24"/>
        </w:rPr>
        <w:t> </w:t>
      </w:r>
      <w:r>
        <w:rPr>
          <w:rFonts w:ascii="宋体" w:hAnsi="宋体" w:cs="宋体" w:eastAsia="宋体" w:hint="default"/>
          <w:sz w:val="24"/>
          <w:szCs w:val="24"/>
        </w:rPr>
      </w:r>
    </w:p>
    <w:p>
      <w:pPr>
        <w:spacing w:before="77"/>
        <w:ind w:left="755" w:right="0" w:firstLine="0"/>
        <w:jc w:val="left"/>
        <w:rPr>
          <w:rFonts w:ascii="宋体" w:hAnsi="宋体" w:cs="宋体" w:eastAsia="宋体" w:hint="default"/>
          <w:sz w:val="24"/>
          <w:szCs w:val="24"/>
        </w:rPr>
      </w:pPr>
      <w:r>
        <w:rPr>
          <w:rFonts w:ascii="宋体"/>
          <w:b/>
          <w:w w:val="99"/>
          <w:sz w:val="24"/>
        </w:rPr>
        <w:t> </w:t>
      </w:r>
      <w:r>
        <w:rPr>
          <w:rFonts w:ascii="宋体"/>
          <w:sz w:val="24"/>
        </w:rPr>
      </w:r>
    </w:p>
    <w:p>
      <w:pPr>
        <w:spacing w:before="77"/>
        <w:ind w:left="351" w:right="1133" w:firstLine="0"/>
        <w:jc w:val="left"/>
        <w:rPr>
          <w:rFonts w:ascii="宋体" w:hAnsi="宋体" w:cs="宋体" w:eastAsia="宋体" w:hint="default"/>
          <w:sz w:val="24"/>
          <w:szCs w:val="24"/>
        </w:rPr>
      </w:pPr>
      <w:r>
        <w:rPr>
          <w:rFonts w:ascii="宋体" w:hAnsi="宋体" w:cs="宋体" w:eastAsia="宋体" w:hint="default"/>
          <w:b/>
          <w:bCs/>
          <w:w w:val="99"/>
          <w:sz w:val="24"/>
          <w:szCs w:val="24"/>
        </w:rPr>
        <w:t> </w:t>
      </w:r>
      <w:r>
        <w:rPr>
          <w:rFonts w:ascii="宋体" w:hAnsi="宋体" w:cs="宋体" w:eastAsia="宋体" w:hint="default"/>
          <w:b/>
          <w:bCs/>
          <w:spacing w:val="2"/>
          <w:w w:val="99"/>
          <w:sz w:val="24"/>
          <w:szCs w:val="24"/>
        </w:rPr>
        <w:t> </w:t>
      </w:r>
      <w:r>
        <w:rPr>
          <w:rFonts w:ascii="宋体" w:hAnsi="宋体" w:cs="宋体" w:eastAsia="宋体" w:hint="default"/>
          <w:b/>
          <w:bCs/>
          <w:w w:val="99"/>
          <w:sz w:val="24"/>
          <w:szCs w:val="24"/>
        </w:rPr>
        <w:t>    </w:t>
      </w:r>
      <w:r>
        <w:rPr>
          <w:rFonts w:ascii="宋体" w:hAnsi="宋体" w:cs="宋体" w:eastAsia="宋体" w:hint="default"/>
          <w:b/>
          <w:bCs/>
          <w:spacing w:val="2"/>
          <w:w w:val="99"/>
          <w:sz w:val="24"/>
          <w:szCs w:val="24"/>
        </w:rPr>
        <w:t> </w:t>
      </w:r>
      <w:r>
        <w:rPr>
          <w:rFonts w:ascii="宋体" w:hAnsi="宋体" w:cs="宋体" w:eastAsia="宋体" w:hint="default"/>
          <w:b/>
          <w:bCs/>
          <w:w w:val="99"/>
          <w:sz w:val="24"/>
          <w:szCs w:val="24"/>
        </w:rPr>
        <w:t>    </w:t>
      </w:r>
      <w:r>
        <w:rPr>
          <w:rFonts w:ascii="宋体" w:hAnsi="宋体" w:cs="宋体" w:eastAsia="宋体" w:hint="default"/>
          <w:b/>
          <w:bCs/>
          <w:spacing w:val="2"/>
          <w:w w:val="99"/>
          <w:sz w:val="24"/>
          <w:szCs w:val="24"/>
        </w:rPr>
        <w:t> </w:t>
      </w:r>
      <w:r>
        <w:rPr>
          <w:rFonts w:ascii="宋体" w:hAnsi="宋体" w:cs="宋体" w:eastAsia="宋体" w:hint="default"/>
          <w:b/>
          <w:bCs/>
          <w:w w:val="99"/>
          <w:sz w:val="24"/>
          <w:szCs w:val="24"/>
        </w:rPr>
        <w:t>    </w:t>
      </w:r>
      <w:r>
        <w:rPr>
          <w:rFonts w:ascii="宋体" w:hAnsi="宋体" w:cs="宋体" w:eastAsia="宋体" w:hint="default"/>
          <w:b/>
          <w:bCs/>
          <w:spacing w:val="2"/>
          <w:w w:val="99"/>
          <w:sz w:val="24"/>
          <w:szCs w:val="24"/>
        </w:rPr>
        <w:t> </w:t>
      </w:r>
      <w:r>
        <w:rPr>
          <w:rFonts w:ascii="宋体" w:hAnsi="宋体" w:cs="宋体" w:eastAsia="宋体" w:hint="default"/>
          <w:b/>
          <w:bCs/>
          <w:w w:val="99"/>
          <w:sz w:val="24"/>
          <w:szCs w:val="24"/>
        </w:rPr>
        <w:t>    </w:t>
      </w:r>
      <w:r>
        <w:rPr>
          <w:rFonts w:ascii="宋体" w:hAnsi="宋体" w:cs="宋体" w:eastAsia="宋体" w:hint="default"/>
          <w:b/>
          <w:bCs/>
          <w:spacing w:val="2"/>
          <w:w w:val="99"/>
          <w:sz w:val="24"/>
          <w:szCs w:val="24"/>
        </w:rPr>
        <w:t> </w:t>
      </w:r>
      <w:r>
        <w:rPr>
          <w:rFonts w:ascii="宋体" w:hAnsi="宋体" w:cs="宋体" w:eastAsia="宋体" w:hint="default"/>
          <w:b/>
          <w:bCs/>
          <w:w w:val="99"/>
          <w:sz w:val="24"/>
          <w:szCs w:val="24"/>
        </w:rPr>
        <w:t>    </w:t>
      </w:r>
      <w:r>
        <w:rPr>
          <w:rFonts w:ascii="宋体" w:hAnsi="宋体" w:cs="宋体" w:eastAsia="宋体" w:hint="default"/>
          <w:b/>
          <w:bCs/>
          <w:spacing w:val="2"/>
          <w:w w:val="99"/>
          <w:sz w:val="24"/>
          <w:szCs w:val="24"/>
        </w:rPr>
        <w:t> </w:t>
      </w:r>
      <w:r>
        <w:rPr>
          <w:rFonts w:ascii="宋体" w:hAnsi="宋体" w:cs="宋体" w:eastAsia="宋体" w:hint="default"/>
          <w:b/>
          <w:bCs/>
          <w:w w:val="99"/>
          <w:sz w:val="24"/>
          <w:szCs w:val="24"/>
        </w:rPr>
        <w:t>    </w:t>
      </w:r>
      <w:r>
        <w:rPr>
          <w:rFonts w:ascii="宋体" w:hAnsi="宋体" w:cs="宋体" w:eastAsia="宋体" w:hint="default"/>
          <w:b/>
          <w:bCs/>
          <w:spacing w:val="2"/>
          <w:w w:val="99"/>
          <w:sz w:val="24"/>
          <w:szCs w:val="24"/>
        </w:rPr>
        <w:t> </w:t>
      </w:r>
      <w:r>
        <w:rPr>
          <w:rFonts w:ascii="宋体" w:hAnsi="宋体" w:cs="宋体" w:eastAsia="宋体" w:hint="default"/>
          <w:b/>
          <w:bCs/>
          <w:w w:val="99"/>
          <w:sz w:val="24"/>
          <w:szCs w:val="24"/>
        </w:rPr>
        <w:t>    </w:t>
      </w:r>
      <w:r>
        <w:rPr>
          <w:rFonts w:ascii="宋体" w:hAnsi="宋体" w:cs="宋体" w:eastAsia="宋体" w:hint="default"/>
          <w:b/>
          <w:bCs/>
          <w:spacing w:val="2"/>
          <w:w w:val="99"/>
          <w:sz w:val="24"/>
          <w:szCs w:val="24"/>
        </w:rPr>
        <w:t> </w:t>
      </w:r>
      <w:r>
        <w:rPr>
          <w:rFonts w:ascii="宋体" w:hAnsi="宋体" w:cs="宋体" w:eastAsia="宋体" w:hint="default"/>
          <w:b/>
          <w:bCs/>
          <w:w w:val="99"/>
          <w:sz w:val="24"/>
          <w:szCs w:val="24"/>
        </w:rPr>
        <w:t>    </w:t>
      </w:r>
      <w:r>
        <w:rPr>
          <w:rFonts w:ascii="宋体" w:hAnsi="宋体" w:cs="宋体" w:eastAsia="宋体" w:hint="default"/>
          <w:b/>
          <w:bCs/>
          <w:spacing w:val="2"/>
          <w:w w:val="99"/>
          <w:sz w:val="24"/>
          <w:szCs w:val="24"/>
        </w:rPr>
        <w:t> </w:t>
      </w:r>
      <w:r>
        <w:rPr>
          <w:rFonts w:ascii="宋体" w:hAnsi="宋体" w:cs="宋体" w:eastAsia="宋体" w:hint="default"/>
          <w:b/>
          <w:bCs/>
          <w:spacing w:val="3"/>
          <w:w w:val="99"/>
          <w:sz w:val="24"/>
          <w:szCs w:val="24"/>
        </w:rPr>
        <w:t> </w:t>
      </w:r>
      <w:r>
        <w:rPr>
          <w:rFonts w:ascii="宋体" w:hAnsi="宋体" w:cs="宋体" w:eastAsia="宋体" w:hint="default"/>
          <w:b/>
          <w:bCs/>
          <w:sz w:val="24"/>
          <w:szCs w:val="24"/>
        </w:rPr>
        <w:t>中国注册会计师：朱文华</w:t>
      </w:r>
      <w:r>
        <w:rPr>
          <w:rFonts w:ascii="宋体" w:hAnsi="宋体" w:cs="宋体" w:eastAsia="宋体" w:hint="default"/>
          <w:b/>
          <w:bCs/>
          <w:w w:val="99"/>
          <w:sz w:val="24"/>
          <w:szCs w:val="24"/>
        </w:rPr>
        <w:t> </w:t>
      </w:r>
      <w:r>
        <w:rPr>
          <w:rFonts w:ascii="宋体" w:hAnsi="宋体" w:cs="宋体" w:eastAsia="宋体" w:hint="default"/>
          <w:sz w:val="24"/>
          <w:szCs w:val="24"/>
        </w:rPr>
      </w:r>
    </w:p>
    <w:p>
      <w:pPr>
        <w:spacing w:before="77"/>
        <w:ind w:left="351" w:right="0" w:firstLine="0"/>
        <w:jc w:val="left"/>
        <w:rPr>
          <w:rFonts w:ascii="宋体" w:hAnsi="宋体" w:cs="宋体" w:eastAsia="宋体" w:hint="default"/>
          <w:sz w:val="24"/>
          <w:szCs w:val="24"/>
        </w:rPr>
      </w:pPr>
      <w:r>
        <w:rPr>
          <w:rFonts w:ascii="宋体"/>
          <w:b/>
          <w:w w:val="99"/>
          <w:sz w:val="24"/>
        </w:rPr>
        <w:t> </w:t>
      </w:r>
      <w:r>
        <w:rPr>
          <w:rFonts w:ascii="宋体"/>
          <w:sz w:val="24"/>
        </w:rPr>
      </w:r>
    </w:p>
    <w:p>
      <w:pPr>
        <w:spacing w:before="77"/>
        <w:ind w:left="1334" w:right="1133" w:firstLine="0"/>
        <w:jc w:val="left"/>
        <w:rPr>
          <w:rFonts w:ascii="宋体" w:hAnsi="宋体" w:cs="宋体" w:eastAsia="宋体" w:hint="default"/>
          <w:sz w:val="24"/>
          <w:szCs w:val="24"/>
        </w:rPr>
      </w:pPr>
      <w:r>
        <w:rPr>
          <w:rFonts w:ascii="宋体" w:hAnsi="宋体" w:cs="宋体" w:eastAsia="宋体" w:hint="default"/>
          <w:b/>
          <w:bCs/>
          <w:sz w:val="24"/>
          <w:szCs w:val="24"/>
        </w:rPr>
        <w:t>中国·北京                      </w:t>
      </w:r>
      <w:r>
        <w:rPr>
          <w:rFonts w:ascii="宋体" w:hAnsi="宋体" w:cs="宋体" w:eastAsia="宋体" w:hint="default"/>
          <w:b/>
          <w:bCs/>
          <w:spacing w:val="107"/>
          <w:sz w:val="24"/>
          <w:szCs w:val="24"/>
        </w:rPr>
        <w:t> </w:t>
      </w:r>
      <w:r>
        <w:rPr>
          <w:rFonts w:ascii="宋体" w:hAnsi="宋体" w:cs="宋体" w:eastAsia="宋体" w:hint="default"/>
          <w:b/>
          <w:bCs/>
          <w:spacing w:val="107"/>
          <w:sz w:val="24"/>
          <w:szCs w:val="24"/>
        </w:rPr>
      </w:r>
      <w:r>
        <w:rPr>
          <w:rFonts w:ascii="宋体" w:hAnsi="宋体" w:cs="宋体" w:eastAsia="宋体" w:hint="default"/>
          <w:b/>
          <w:bCs/>
          <w:sz w:val="24"/>
          <w:szCs w:val="24"/>
        </w:rPr>
        <w:t>二〇二〇年四月二十六日</w:t>
      </w:r>
      <w:r>
        <w:rPr>
          <w:rFonts w:ascii="宋体" w:hAnsi="宋体" w:cs="宋体" w:eastAsia="宋体" w:hint="default"/>
          <w:b/>
          <w:bCs/>
          <w:spacing w:val="2"/>
          <w:w w:val="99"/>
          <w:sz w:val="24"/>
          <w:szCs w:val="24"/>
        </w:rPr>
        <w:t> </w:t>
      </w:r>
      <w:r>
        <w:rPr>
          <w:rFonts w:ascii="宋体" w:hAnsi="宋体" w:cs="宋体" w:eastAsia="宋体" w:hint="default"/>
          <w:b/>
          <w:bCs/>
          <w:w w:val="99"/>
          <w:sz w:val="24"/>
          <w:szCs w:val="24"/>
        </w:rPr>
        <w:t>  </w:t>
      </w:r>
      <w:r>
        <w:rPr>
          <w:rFonts w:ascii="宋体" w:hAnsi="宋体" w:cs="宋体" w:eastAsia="宋体" w:hint="default"/>
          <w:sz w:val="24"/>
          <w:szCs w:val="24"/>
        </w:rPr>
      </w:r>
    </w:p>
    <w:p>
      <w:pPr>
        <w:spacing w:after="0"/>
        <w:jc w:val="left"/>
        <w:rPr>
          <w:rFonts w:ascii="宋体" w:hAnsi="宋体" w:cs="宋体" w:eastAsia="宋体" w:hint="default"/>
          <w:sz w:val="24"/>
          <w:szCs w:val="24"/>
        </w:rPr>
        <w:sectPr>
          <w:pgSz w:w="11910" w:h="16840"/>
          <w:pgMar w:header="921" w:footer="725" w:top="1160" w:bottom="920" w:left="980" w:right="0"/>
        </w:sectPr>
      </w:pPr>
    </w:p>
    <w:p>
      <w:pPr>
        <w:spacing w:line="240" w:lineRule="auto" w:before="5"/>
        <w:rPr>
          <w:rFonts w:ascii="宋体" w:hAnsi="宋体" w:cs="宋体" w:eastAsia="宋体" w:hint="default"/>
          <w:b/>
          <w:bCs/>
          <w:sz w:val="16"/>
          <w:szCs w:val="16"/>
        </w:rPr>
      </w:pPr>
    </w:p>
    <w:p>
      <w:pPr>
        <w:spacing w:before="26"/>
        <w:ind w:left="152" w:right="1133" w:firstLine="0"/>
        <w:jc w:val="left"/>
        <w:rPr>
          <w:rFonts w:ascii="宋体" w:hAnsi="宋体" w:cs="宋体" w:eastAsia="宋体" w:hint="default"/>
          <w:sz w:val="24"/>
          <w:szCs w:val="24"/>
        </w:rPr>
      </w:pPr>
      <w:r>
        <w:rPr>
          <w:rFonts w:ascii="宋体" w:hAnsi="宋体" w:cs="宋体" w:eastAsia="宋体" w:hint="default"/>
          <w:b/>
          <w:bCs/>
          <w:sz w:val="24"/>
          <w:szCs w:val="24"/>
        </w:rPr>
        <w:t>二、财务报表</w:t>
      </w:r>
      <w:r>
        <w:rPr>
          <w:rFonts w:ascii="宋体" w:hAnsi="宋体" w:cs="宋体" w:eastAsia="宋体" w:hint="default"/>
          <w:b/>
          <w:bCs/>
          <w:w w:val="99"/>
          <w:sz w:val="24"/>
          <w:szCs w:val="24"/>
        </w:rPr>
        <w:t> </w:t>
      </w:r>
      <w:r>
        <w:rPr>
          <w:rFonts w:ascii="宋体" w:hAnsi="宋体" w:cs="宋体" w:eastAsia="宋体" w:hint="default"/>
          <w:sz w:val="24"/>
          <w:szCs w:val="24"/>
        </w:rPr>
      </w:r>
    </w:p>
    <w:p>
      <w:pPr>
        <w:spacing w:line="501" w:lineRule="auto" w:before="2"/>
        <w:ind w:left="152" w:right="7341" w:firstLine="0"/>
        <w:jc w:val="left"/>
        <w:rPr>
          <w:rFonts w:ascii="宋体" w:hAnsi="宋体" w:cs="宋体" w:eastAsia="宋体" w:hint="default"/>
          <w:sz w:val="21"/>
          <w:szCs w:val="21"/>
        </w:rPr>
      </w:pPr>
      <w:r>
        <w:rPr>
          <w:rFonts w:ascii="宋体" w:hAnsi="宋体" w:cs="宋体" w:eastAsia="宋体" w:hint="default"/>
          <w:sz w:val="21"/>
          <w:szCs w:val="21"/>
        </w:rPr>
        <w:t>财务附注中报表的单位为：人民币元</w:t>
      </w:r>
      <w:r>
        <w:rPr>
          <w:rFonts w:ascii="宋体" w:hAnsi="宋体" w:cs="宋体" w:eastAsia="宋体" w:hint="default"/>
          <w:w w:val="100"/>
          <w:sz w:val="21"/>
          <w:szCs w:val="21"/>
        </w:rPr>
        <w:t> </w:t>
      </w:r>
      <w:r>
        <w:rPr>
          <w:rFonts w:ascii="宋体" w:hAnsi="宋体" w:cs="宋体" w:eastAsia="宋体" w:hint="default"/>
          <w:b/>
          <w:bCs/>
          <w:sz w:val="21"/>
          <w:szCs w:val="21"/>
        </w:rPr>
        <w:t>1</w:t>
      </w:r>
      <w:r>
        <w:rPr>
          <w:rFonts w:ascii="宋体" w:hAnsi="宋体" w:cs="宋体" w:eastAsia="宋体" w:hint="default"/>
          <w:b/>
          <w:bCs/>
          <w:sz w:val="21"/>
          <w:szCs w:val="21"/>
        </w:rPr>
        <w:t>、合并资产负债表</w:t>
      </w:r>
      <w:r>
        <w:rPr>
          <w:rFonts w:ascii="宋体" w:hAnsi="宋体" w:cs="宋体" w:eastAsia="宋体" w:hint="default"/>
          <w:b/>
          <w:bCs/>
          <w:w w:val="99"/>
          <w:sz w:val="21"/>
          <w:szCs w:val="21"/>
        </w:rPr>
        <w:t> </w:t>
      </w:r>
      <w:r>
        <w:rPr>
          <w:rFonts w:ascii="宋体" w:hAnsi="宋体" w:cs="宋体" w:eastAsia="宋体" w:hint="default"/>
          <w:sz w:val="21"/>
          <w:szCs w:val="21"/>
        </w:rPr>
      </w:r>
    </w:p>
    <w:p>
      <w:pPr>
        <w:spacing w:before="73"/>
        <w:ind w:left="152" w:right="1133" w:firstLine="0"/>
        <w:jc w:val="left"/>
        <w:rPr>
          <w:rFonts w:ascii="宋体" w:hAnsi="宋体" w:cs="宋体" w:eastAsia="宋体" w:hint="default"/>
          <w:sz w:val="18"/>
          <w:szCs w:val="18"/>
        </w:rPr>
      </w:pPr>
      <w:r>
        <w:rPr>
          <w:rFonts w:ascii="宋体" w:hAnsi="宋体" w:cs="宋体" w:eastAsia="宋体" w:hint="default"/>
          <w:sz w:val="18"/>
          <w:szCs w:val="18"/>
        </w:rPr>
        <w:t>编制单位：中嘉博创信息技术股份有限公司</w:t>
      </w:r>
      <w:r>
        <w:rPr>
          <w:rFonts w:ascii="宋体" w:hAnsi="宋体" w:cs="宋体" w:eastAsia="宋体" w:hint="default"/>
          <w:sz w:val="18"/>
          <w:szCs w:val="18"/>
        </w:rPr>
        <w:t> </w:t>
      </w:r>
    </w:p>
    <w:p>
      <w:pPr>
        <w:spacing w:before="38"/>
        <w:ind w:left="0" w:right="1311" w:firstLine="0"/>
        <w:jc w:val="right"/>
        <w:rPr>
          <w:rFonts w:ascii="宋体" w:hAnsi="宋体" w:cs="宋体" w:eastAsia="宋体" w:hint="default"/>
          <w:sz w:val="18"/>
          <w:szCs w:val="18"/>
        </w:rPr>
      </w:pPr>
      <w:r>
        <w:rPr>
          <w:rFonts w:ascii="宋体" w:hAnsi="宋体" w:cs="宋体" w:eastAsia="宋体" w:hint="default"/>
          <w:sz w:val="18"/>
          <w:szCs w:val="18"/>
        </w:rPr>
        <w:t>单位：元</w:t>
      </w:r>
    </w:p>
    <w:tbl>
      <w:tblPr>
        <w:tblW w:w="0" w:type="auto"/>
        <w:jc w:val="left"/>
        <w:tblInd w:w="148" w:type="dxa"/>
        <w:tblLayout w:type="fixed"/>
        <w:tblCellMar>
          <w:top w:w="0" w:type="dxa"/>
          <w:left w:w="0" w:type="dxa"/>
          <w:bottom w:w="0" w:type="dxa"/>
          <w:right w:w="0" w:type="dxa"/>
        </w:tblCellMar>
        <w:tblLook w:val="01E0"/>
      </w:tblPr>
      <w:tblGrid>
        <w:gridCol w:w="4112"/>
        <w:gridCol w:w="1277"/>
        <w:gridCol w:w="2124"/>
        <w:gridCol w:w="1988"/>
      </w:tblGrid>
      <w:tr>
        <w:trPr>
          <w:trHeight w:val="397" w:hRule="exact"/>
        </w:trPr>
        <w:tc>
          <w:tcPr>
            <w:tcW w:w="4112" w:type="dxa"/>
            <w:tcBorders>
              <w:top w:val="single" w:sz="38" w:space="0" w:color="D2D2D2"/>
              <w:left w:val="single" w:sz="4" w:space="0" w:color="000000"/>
              <w:bottom w:val="single" w:sz="35" w:space="0" w:color="D2D2D2"/>
              <w:right w:val="single" w:sz="4" w:space="0" w:color="000000"/>
            </w:tcBorders>
          </w:tcPr>
          <w:p>
            <w:pPr>
              <w:pStyle w:val="TableParagraph"/>
              <w:tabs>
                <w:tab w:pos="1872" w:val="left" w:leader="none"/>
                <w:tab w:pos="4080" w:val="left" w:leader="none"/>
              </w:tabs>
              <w:spacing w:line="240" w:lineRule="auto" w:before="1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项目</w:t>
              <w:tab/>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right="0"/>
              <w:jc w:val="center"/>
              <w:rPr>
                <w:rFonts w:ascii="宋体" w:hAnsi="宋体" w:cs="宋体" w:eastAsia="宋体" w:hint="default"/>
                <w:sz w:val="18"/>
                <w:szCs w:val="18"/>
              </w:rPr>
            </w:pPr>
            <w:r>
              <w:rPr>
                <w:rFonts w:ascii="宋体" w:hAnsi="宋体" w:cs="宋体" w:eastAsia="宋体" w:hint="default"/>
                <w:sz w:val="18"/>
                <w:szCs w:val="18"/>
              </w:rPr>
              <w:t>附注</w:t>
            </w:r>
          </w:p>
        </w:tc>
        <w:tc>
          <w:tcPr>
            <w:tcW w:w="21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698"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631" w:right="0"/>
              <w:jc w:val="left"/>
              <w:rPr>
                <w:rFonts w:ascii="宋体" w:hAnsi="宋体" w:cs="宋体" w:eastAsia="宋体" w:hint="default"/>
                <w:sz w:val="18"/>
                <w:szCs w:val="18"/>
              </w:rPr>
            </w:pPr>
            <w:r>
              <w:rPr>
                <w:rFonts w:ascii="宋体" w:hAnsi="宋体" w:cs="宋体" w:eastAsia="宋体" w:hint="default"/>
                <w:sz w:val="18"/>
                <w:szCs w:val="18"/>
              </w:rPr>
              <w:t>期初余额</w:t>
            </w:r>
          </w:p>
        </w:tc>
      </w:tr>
      <w:tr>
        <w:trPr>
          <w:trHeight w:val="340" w:hRule="exact"/>
        </w:trPr>
        <w:tc>
          <w:tcPr>
            <w:tcW w:w="4112" w:type="dxa"/>
            <w:tcBorders>
              <w:top w:val="single" w:sz="35" w:space="0" w:color="D2D2D2"/>
              <w:left w:val="single" w:sz="4" w:space="0" w:color="000000"/>
              <w:bottom w:val="single" w:sz="19" w:space="0" w:color="D2D2D2"/>
              <w:right w:val="single" w:sz="4" w:space="0" w:color="000000"/>
            </w:tcBorders>
          </w:tcPr>
          <w:p>
            <w:pPr>
              <w:pStyle w:val="TableParagraph"/>
              <w:tabs>
                <w:tab w:pos="4080" w:val="left" w:leader="none"/>
              </w:tabs>
              <w:spacing w:line="235" w:lineRule="exact"/>
              <w:ind w:left="24" w:right="0"/>
              <w:jc w:val="lef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shd w:fill="D2D2D2" w:color="auto" w:val="clear"/>
              </w:rPr>
              <w:t>流动资产：</w:t>
              <w:tab/>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12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98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59" w:hRule="exact"/>
        </w:trPr>
        <w:tc>
          <w:tcPr>
            <w:tcW w:w="4112" w:type="dxa"/>
            <w:tcBorders>
              <w:top w:val="single" w:sz="19" w:space="0" w:color="D2D2D2"/>
              <w:left w:val="single" w:sz="4" w:space="0" w:color="000000"/>
              <w:bottom w:val="single" w:sz="4" w:space="0" w:color="000000"/>
              <w:right w:val="single" w:sz="4" w:space="0" w:color="000000"/>
            </w:tcBorders>
          </w:tcPr>
          <w:p>
            <w:pPr>
              <w:pStyle w:val="TableParagraph"/>
              <w:tabs>
                <w:tab w:pos="298" w:val="left" w:leader="none"/>
                <w:tab w:pos="4080" w:val="left" w:leader="none"/>
              </w:tabs>
              <w:spacing w:line="240" w:lineRule="auto" w:before="22"/>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货币资金</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19"/>
              <w:jc w:val="right"/>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一</w:t>
            </w:r>
            <w:r>
              <w:rPr>
                <w:rFonts w:ascii="宋体" w:hAnsi="宋体" w:cs="宋体" w:eastAsia="宋体" w:hint="default"/>
                <w:w w:val="100"/>
                <w:sz w:val="15"/>
                <w:szCs w:val="15"/>
              </w:rPr>
              <w:t>）</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7"/>
              <w:jc w:val="right"/>
              <w:rPr>
                <w:rFonts w:ascii="宋体" w:hAnsi="宋体" w:cs="宋体" w:eastAsia="宋体" w:hint="default"/>
                <w:sz w:val="18"/>
                <w:szCs w:val="18"/>
              </w:rPr>
            </w:pPr>
            <w:r>
              <w:rPr>
                <w:rFonts w:ascii="宋体"/>
                <w:spacing w:val="-1"/>
                <w:sz w:val="18"/>
              </w:rPr>
              <w:t>830,135,951.15</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20"/>
              <w:jc w:val="right"/>
              <w:rPr>
                <w:rFonts w:ascii="宋体" w:hAnsi="宋体" w:cs="宋体" w:eastAsia="宋体" w:hint="default"/>
                <w:sz w:val="18"/>
                <w:szCs w:val="18"/>
              </w:rPr>
            </w:pPr>
            <w:r>
              <w:rPr>
                <w:rFonts w:ascii="宋体"/>
                <w:spacing w:val="-1"/>
                <w:sz w:val="18"/>
              </w:rPr>
              <w:t>693,276,626.30</w:t>
            </w:r>
          </w:p>
        </w:tc>
      </w:tr>
      <w:tr>
        <w:trPr>
          <w:trHeight w:val="341" w:hRule="exact"/>
        </w:trPr>
        <w:tc>
          <w:tcPr>
            <w:tcW w:w="4112" w:type="dxa"/>
            <w:tcBorders>
              <w:top w:val="single" w:sz="4" w:space="0" w:color="000000"/>
              <w:left w:val="single" w:sz="4" w:space="0" w:color="000000"/>
              <w:bottom w:val="single" w:sz="4" w:space="0" w:color="000000"/>
              <w:right w:val="single" w:sz="4" w:space="0" w:color="000000"/>
            </w:tcBorders>
          </w:tcPr>
          <w:p>
            <w:pPr>
              <w:pStyle w:val="TableParagraph"/>
              <w:tabs>
                <w:tab w:pos="298" w:val="left" w:leader="none"/>
                <w:tab w:pos="4080" w:val="left" w:leader="none"/>
              </w:tabs>
              <w:spacing w:line="240" w:lineRule="auto" w:before="2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结算备付金</w:t>
            </w:r>
            <w:r>
              <w:rPr>
                <w:rFonts w:ascii="Times New Roman" w:hAnsi="Times New Roman" w:cs="Times New Roman" w:eastAsia="Times New Roman" w:hint="default"/>
                <w:sz w:val="18"/>
                <w:szCs w:val="18"/>
                <w:shd w:fill="D2D2D2" w:color="auto" w:val="clear"/>
              </w:rPr>
              <w:t>* </w:t>
            </w:r>
            <w:r>
              <w:rPr>
                <w:rFonts w:ascii="Times New Roman" w:hAnsi="Times New Roman" w:cs="Times New Roman" w:eastAsia="Times New Roman" w:hint="default"/>
                <w:spacing w:val="-3"/>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112" w:type="dxa"/>
            <w:tcBorders>
              <w:top w:val="single" w:sz="4" w:space="0" w:color="000000"/>
              <w:left w:val="single" w:sz="4" w:space="0" w:color="000000"/>
              <w:bottom w:val="single" w:sz="11" w:space="0" w:color="000000"/>
              <w:right w:val="single" w:sz="4" w:space="0" w:color="000000"/>
            </w:tcBorders>
          </w:tcPr>
          <w:p>
            <w:pPr>
              <w:pStyle w:val="TableParagraph"/>
              <w:tabs>
                <w:tab w:pos="298" w:val="left" w:leader="none"/>
                <w:tab w:pos="4080" w:val="left" w:leader="none"/>
              </w:tabs>
              <w:spacing w:line="240" w:lineRule="auto" w:before="2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拆出资金</w:t>
            </w:r>
            <w:r>
              <w:rPr>
                <w:rFonts w:ascii="Times New Roman" w:hAnsi="Times New Roman" w:cs="Times New Roman" w:eastAsia="Times New Roman" w:hint="default"/>
                <w:sz w:val="18"/>
                <w:szCs w:val="18"/>
                <w:shd w:fill="D2D2D2" w:color="auto" w:val="clear"/>
              </w:rPr>
              <w:t>* </w:t>
            </w:r>
            <w:r>
              <w:rPr>
                <w:rFonts w:ascii="Times New Roman" w:hAnsi="Times New Roman" w:cs="Times New Roman" w:eastAsia="Times New Roman" w:hint="default"/>
                <w:spacing w:val="-3"/>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35" w:hRule="exact"/>
        </w:trPr>
        <w:tc>
          <w:tcPr>
            <w:tcW w:w="4112" w:type="dxa"/>
            <w:tcBorders>
              <w:top w:val="single" w:sz="11" w:space="0" w:color="000000"/>
              <w:left w:val="single" w:sz="4" w:space="0" w:color="000000"/>
              <w:bottom w:val="single" w:sz="31" w:space="0" w:color="D2D2D2"/>
              <w:right w:val="single" w:sz="4" w:space="0" w:color="000000"/>
            </w:tcBorders>
          </w:tcPr>
          <w:p>
            <w:pPr>
              <w:pStyle w:val="TableParagraph"/>
              <w:tabs>
                <w:tab w:pos="298" w:val="left" w:leader="none"/>
                <w:tab w:pos="4080" w:val="left" w:leader="none"/>
              </w:tabs>
              <w:spacing w:line="240" w:lineRule="auto" w:before="1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交易性金融资产</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418" w:hRule="exact"/>
        </w:trPr>
        <w:tc>
          <w:tcPr>
            <w:tcW w:w="4112" w:type="dxa"/>
            <w:tcBorders>
              <w:top w:val="single" w:sz="31" w:space="0" w:color="D2D2D2"/>
              <w:left w:val="single" w:sz="4" w:space="0" w:color="000000"/>
              <w:bottom w:val="single" w:sz="24" w:space="0" w:color="D2D2D2"/>
              <w:right w:val="single" w:sz="4" w:space="0" w:color="000000"/>
            </w:tcBorders>
          </w:tcPr>
          <w:p>
            <w:pPr>
              <w:pStyle w:val="TableParagraph"/>
              <w:spacing w:line="240" w:lineRule="auto" w:before="42"/>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r>
            <w:r>
              <w:rPr>
                <w:rFonts w:ascii="Times New Roman" w:hAnsi="Times New Roman" w:cs="Times New Roman" w:eastAsia="Times New Roman" w:hint="default"/>
                <w:spacing w:val="1"/>
                <w:sz w:val="18"/>
                <w:szCs w:val="18"/>
                <w:shd w:fill="D2D2D2" w:color="auto" w:val="clear"/>
              </w:rPr>
              <w:t> </w:t>
            </w:r>
            <w:r>
              <w:rPr>
                <w:rFonts w:ascii="宋体" w:hAnsi="宋体" w:cs="宋体" w:eastAsia="宋体" w:hint="default"/>
                <w:sz w:val="18"/>
                <w:szCs w:val="18"/>
                <w:shd w:fill="D2D2D2" w:color="auto" w:val="clear"/>
              </w:rPr>
              <w:t>以公允价值计量且其变动计入当期损益的金融资产</w:t>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66" w:hRule="exact"/>
        </w:trPr>
        <w:tc>
          <w:tcPr>
            <w:tcW w:w="4112" w:type="dxa"/>
            <w:tcBorders>
              <w:top w:val="single" w:sz="24" w:space="0" w:color="D2D2D2"/>
              <w:left w:val="single" w:sz="4" w:space="0" w:color="000000"/>
              <w:bottom w:val="single" w:sz="4" w:space="0" w:color="000000"/>
              <w:right w:val="single" w:sz="4" w:space="0" w:color="000000"/>
            </w:tcBorders>
          </w:tcPr>
          <w:p>
            <w:pPr>
              <w:pStyle w:val="TableParagraph"/>
              <w:tabs>
                <w:tab w:pos="298" w:val="left" w:leader="none"/>
                <w:tab w:pos="4080" w:val="left" w:leader="none"/>
              </w:tabs>
              <w:spacing w:line="240" w:lineRule="auto" w:before="2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衍生金融资产</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4112" w:type="dxa"/>
            <w:tcBorders>
              <w:top w:val="single" w:sz="4" w:space="0" w:color="000000"/>
              <w:left w:val="single" w:sz="4" w:space="0" w:color="000000"/>
              <w:bottom w:val="single" w:sz="12" w:space="0" w:color="000000"/>
              <w:right w:val="single" w:sz="4" w:space="0" w:color="000000"/>
            </w:tcBorders>
          </w:tcPr>
          <w:p>
            <w:pPr>
              <w:pStyle w:val="TableParagraph"/>
              <w:tabs>
                <w:tab w:pos="298" w:val="left" w:leader="none"/>
                <w:tab w:pos="4080" w:val="left" w:leader="none"/>
              </w:tabs>
              <w:spacing w:line="240" w:lineRule="auto" w:before="2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应收票据</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9"/>
              <w:jc w:val="right"/>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二</w:t>
            </w:r>
            <w:r>
              <w:rPr>
                <w:rFonts w:ascii="宋体" w:hAnsi="宋体" w:cs="宋体" w:eastAsia="宋体" w:hint="default"/>
                <w:w w:val="100"/>
                <w:sz w:val="15"/>
                <w:szCs w:val="15"/>
              </w:rPr>
              <w:t>）</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6"/>
              <w:jc w:val="right"/>
              <w:rPr>
                <w:rFonts w:ascii="宋体" w:hAnsi="宋体" w:cs="宋体" w:eastAsia="宋体" w:hint="default"/>
                <w:sz w:val="18"/>
                <w:szCs w:val="18"/>
              </w:rPr>
            </w:pPr>
            <w:r>
              <w:rPr>
                <w:rFonts w:ascii="宋体"/>
                <w:spacing w:val="-1"/>
                <w:sz w:val="18"/>
              </w:rPr>
              <w:t>594,457.91</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10,215,000.00</w:t>
            </w:r>
          </w:p>
        </w:tc>
      </w:tr>
      <w:tr>
        <w:trPr>
          <w:trHeight w:val="340" w:hRule="exact"/>
        </w:trPr>
        <w:tc>
          <w:tcPr>
            <w:tcW w:w="4112" w:type="dxa"/>
            <w:tcBorders>
              <w:top w:val="single" w:sz="12" w:space="0" w:color="000000"/>
              <w:left w:val="single" w:sz="4" w:space="0" w:color="000000"/>
              <w:bottom w:val="single" w:sz="11" w:space="0" w:color="000000"/>
              <w:right w:val="single" w:sz="4" w:space="0" w:color="000000"/>
            </w:tcBorders>
          </w:tcPr>
          <w:p>
            <w:pPr>
              <w:pStyle w:val="TableParagraph"/>
              <w:tabs>
                <w:tab w:pos="298" w:val="left" w:leader="none"/>
                <w:tab w:pos="4080" w:val="left" w:leader="none"/>
              </w:tabs>
              <w:spacing w:line="240" w:lineRule="auto" w:before="1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应收账款</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9"/>
              <w:jc w:val="right"/>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三</w:t>
            </w:r>
            <w:r>
              <w:rPr>
                <w:rFonts w:ascii="宋体" w:hAnsi="宋体" w:cs="宋体" w:eastAsia="宋体" w:hint="default"/>
                <w:w w:val="100"/>
                <w:sz w:val="15"/>
                <w:szCs w:val="15"/>
              </w:rPr>
              <w:t>）</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7"/>
              <w:jc w:val="right"/>
              <w:rPr>
                <w:rFonts w:ascii="宋体" w:hAnsi="宋体" w:cs="宋体" w:eastAsia="宋体" w:hint="default"/>
                <w:sz w:val="18"/>
                <w:szCs w:val="18"/>
              </w:rPr>
            </w:pPr>
            <w:r>
              <w:rPr>
                <w:rFonts w:ascii="宋体"/>
                <w:spacing w:val="-1"/>
                <w:sz w:val="18"/>
              </w:rPr>
              <w:t>889,919,464.82</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20"/>
              <w:jc w:val="right"/>
              <w:rPr>
                <w:rFonts w:ascii="宋体" w:hAnsi="宋体" w:cs="宋体" w:eastAsia="宋体" w:hint="default"/>
                <w:sz w:val="18"/>
                <w:szCs w:val="18"/>
              </w:rPr>
            </w:pPr>
            <w:r>
              <w:rPr>
                <w:rFonts w:ascii="宋体"/>
                <w:spacing w:val="-1"/>
                <w:sz w:val="18"/>
              </w:rPr>
              <w:t>1,054,026,627.49</w:t>
            </w:r>
          </w:p>
        </w:tc>
      </w:tr>
      <w:tr>
        <w:trPr>
          <w:trHeight w:val="341" w:hRule="exact"/>
        </w:trPr>
        <w:tc>
          <w:tcPr>
            <w:tcW w:w="4112" w:type="dxa"/>
            <w:tcBorders>
              <w:top w:val="single" w:sz="11" w:space="0" w:color="000000"/>
              <w:left w:val="single" w:sz="4" w:space="0" w:color="000000"/>
              <w:bottom w:val="single" w:sz="4" w:space="0" w:color="000000"/>
              <w:right w:val="single" w:sz="4" w:space="0" w:color="000000"/>
            </w:tcBorders>
          </w:tcPr>
          <w:p>
            <w:pPr>
              <w:pStyle w:val="TableParagraph"/>
              <w:tabs>
                <w:tab w:pos="298" w:val="left" w:leader="none"/>
                <w:tab w:pos="4080" w:val="left" w:leader="none"/>
              </w:tabs>
              <w:spacing w:line="240" w:lineRule="auto" w:before="1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应收款项融资</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4112" w:type="dxa"/>
            <w:tcBorders>
              <w:top w:val="single" w:sz="4" w:space="0" w:color="000000"/>
              <w:left w:val="single" w:sz="4" w:space="0" w:color="000000"/>
              <w:bottom w:val="single" w:sz="12" w:space="0" w:color="000000"/>
              <w:right w:val="single" w:sz="4" w:space="0" w:color="000000"/>
            </w:tcBorders>
          </w:tcPr>
          <w:p>
            <w:pPr>
              <w:pStyle w:val="TableParagraph"/>
              <w:tabs>
                <w:tab w:pos="298" w:val="left" w:leader="none"/>
                <w:tab w:pos="4080" w:val="left" w:leader="none"/>
              </w:tabs>
              <w:spacing w:line="240" w:lineRule="auto" w:before="2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预付款项</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9"/>
              <w:jc w:val="right"/>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四</w:t>
            </w:r>
            <w:r>
              <w:rPr>
                <w:rFonts w:ascii="宋体" w:hAnsi="宋体" w:cs="宋体" w:eastAsia="宋体" w:hint="default"/>
                <w:w w:val="100"/>
                <w:sz w:val="15"/>
                <w:szCs w:val="15"/>
              </w:rPr>
              <w:t>）</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7"/>
              <w:jc w:val="right"/>
              <w:rPr>
                <w:rFonts w:ascii="宋体" w:hAnsi="宋体" w:cs="宋体" w:eastAsia="宋体" w:hint="default"/>
                <w:sz w:val="18"/>
                <w:szCs w:val="18"/>
              </w:rPr>
            </w:pPr>
            <w:r>
              <w:rPr>
                <w:rFonts w:ascii="宋体"/>
                <w:spacing w:val="-1"/>
                <w:sz w:val="18"/>
              </w:rPr>
              <w:t>79,844,518.61</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89,822,133.84</w:t>
            </w:r>
          </w:p>
        </w:tc>
      </w:tr>
      <w:tr>
        <w:trPr>
          <w:trHeight w:val="340" w:hRule="exact"/>
        </w:trPr>
        <w:tc>
          <w:tcPr>
            <w:tcW w:w="4112" w:type="dxa"/>
            <w:tcBorders>
              <w:top w:val="single" w:sz="12" w:space="0" w:color="000000"/>
              <w:left w:val="single" w:sz="4" w:space="0" w:color="000000"/>
              <w:bottom w:val="single" w:sz="11" w:space="0" w:color="000000"/>
              <w:right w:val="single" w:sz="4" w:space="0" w:color="000000"/>
            </w:tcBorders>
          </w:tcPr>
          <w:p>
            <w:pPr>
              <w:pStyle w:val="TableParagraph"/>
              <w:tabs>
                <w:tab w:pos="298" w:val="left" w:leader="none"/>
                <w:tab w:pos="4080" w:val="left" w:leader="none"/>
              </w:tabs>
              <w:spacing w:line="240" w:lineRule="auto" w:before="1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应收保费</w:t>
            </w:r>
            <w:r>
              <w:rPr>
                <w:rFonts w:ascii="Times New Roman" w:hAnsi="Times New Roman" w:cs="Times New Roman" w:eastAsia="Times New Roman" w:hint="default"/>
                <w:sz w:val="18"/>
                <w:szCs w:val="18"/>
                <w:shd w:fill="D2D2D2" w:color="auto" w:val="clear"/>
              </w:rPr>
              <w:t>* </w:t>
            </w:r>
            <w:r>
              <w:rPr>
                <w:rFonts w:ascii="Times New Roman" w:hAnsi="Times New Roman" w:cs="Times New Roman" w:eastAsia="Times New Roman" w:hint="default"/>
                <w:spacing w:val="-3"/>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112" w:type="dxa"/>
            <w:tcBorders>
              <w:top w:val="single" w:sz="11" w:space="0" w:color="000000"/>
              <w:left w:val="single" w:sz="4" w:space="0" w:color="000000"/>
              <w:bottom w:val="single" w:sz="4" w:space="0" w:color="000000"/>
              <w:right w:val="single" w:sz="4" w:space="0" w:color="000000"/>
            </w:tcBorders>
          </w:tcPr>
          <w:p>
            <w:pPr>
              <w:pStyle w:val="TableParagraph"/>
              <w:tabs>
                <w:tab w:pos="298" w:val="left" w:leader="none"/>
                <w:tab w:pos="4080" w:val="left" w:leader="none"/>
              </w:tabs>
              <w:spacing w:line="240" w:lineRule="auto" w:before="1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应收分保账款</w:t>
            </w:r>
            <w:r>
              <w:rPr>
                <w:rFonts w:ascii="Times New Roman" w:hAnsi="Times New Roman" w:cs="Times New Roman" w:eastAsia="Times New Roman" w:hint="default"/>
                <w:sz w:val="18"/>
                <w:szCs w:val="18"/>
                <w:shd w:fill="D2D2D2" w:color="auto" w:val="clear"/>
              </w:rPr>
              <w:t>* </w:t>
            </w:r>
            <w:r>
              <w:rPr>
                <w:rFonts w:ascii="Times New Roman" w:hAnsi="Times New Roman" w:cs="Times New Roman" w:eastAsia="Times New Roman" w:hint="default"/>
                <w:spacing w:val="-3"/>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4112" w:type="dxa"/>
            <w:tcBorders>
              <w:top w:val="single" w:sz="4" w:space="0" w:color="000000"/>
              <w:left w:val="single" w:sz="4" w:space="0" w:color="000000"/>
              <w:bottom w:val="single" w:sz="12" w:space="0" w:color="000000"/>
              <w:right w:val="single" w:sz="4" w:space="0" w:color="000000"/>
            </w:tcBorders>
          </w:tcPr>
          <w:p>
            <w:pPr>
              <w:pStyle w:val="TableParagraph"/>
              <w:tabs>
                <w:tab w:pos="298" w:val="left" w:leader="none"/>
                <w:tab w:pos="4080" w:val="left" w:leader="none"/>
              </w:tabs>
              <w:spacing w:line="240" w:lineRule="auto" w:before="2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应收分保合同准备金</w:t>
            </w:r>
            <w:r>
              <w:rPr>
                <w:rFonts w:ascii="Times New Roman" w:hAnsi="Times New Roman" w:cs="Times New Roman" w:eastAsia="Times New Roman" w:hint="default"/>
                <w:sz w:val="18"/>
                <w:szCs w:val="18"/>
                <w:shd w:fill="D2D2D2" w:color="auto" w:val="clear"/>
              </w:rPr>
              <w:t>* </w:t>
            </w:r>
            <w:r>
              <w:rPr>
                <w:rFonts w:ascii="Times New Roman" w:hAnsi="Times New Roman" w:cs="Times New Roman" w:eastAsia="Times New Roman" w:hint="default"/>
                <w:spacing w:val="-3"/>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4112" w:type="dxa"/>
            <w:tcBorders>
              <w:top w:val="single" w:sz="12" w:space="0" w:color="000000"/>
              <w:left w:val="single" w:sz="4" w:space="0" w:color="000000"/>
              <w:bottom w:val="single" w:sz="11" w:space="0" w:color="000000"/>
              <w:right w:val="single" w:sz="4" w:space="0" w:color="000000"/>
            </w:tcBorders>
          </w:tcPr>
          <w:p>
            <w:pPr>
              <w:pStyle w:val="TableParagraph"/>
              <w:tabs>
                <w:tab w:pos="298" w:val="left" w:leader="none"/>
                <w:tab w:pos="4080" w:val="left" w:leader="none"/>
              </w:tabs>
              <w:spacing w:line="240" w:lineRule="auto" w:before="1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其他应收款</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9"/>
              <w:jc w:val="right"/>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五</w:t>
            </w:r>
            <w:r>
              <w:rPr>
                <w:rFonts w:ascii="宋体" w:hAnsi="宋体" w:cs="宋体" w:eastAsia="宋体" w:hint="default"/>
                <w:w w:val="100"/>
                <w:sz w:val="15"/>
                <w:szCs w:val="15"/>
              </w:rPr>
              <w:t>）</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7"/>
              <w:jc w:val="right"/>
              <w:rPr>
                <w:rFonts w:ascii="宋体" w:hAnsi="宋体" w:cs="宋体" w:eastAsia="宋体" w:hint="default"/>
                <w:sz w:val="18"/>
                <w:szCs w:val="18"/>
              </w:rPr>
            </w:pPr>
            <w:r>
              <w:rPr>
                <w:rFonts w:ascii="宋体"/>
                <w:spacing w:val="-1"/>
                <w:sz w:val="18"/>
              </w:rPr>
              <w:t>66,354,682.02</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9"/>
              <w:jc w:val="right"/>
              <w:rPr>
                <w:rFonts w:ascii="宋体" w:hAnsi="宋体" w:cs="宋体" w:eastAsia="宋体" w:hint="default"/>
                <w:sz w:val="18"/>
                <w:szCs w:val="18"/>
              </w:rPr>
            </w:pPr>
            <w:r>
              <w:rPr>
                <w:rFonts w:ascii="宋体"/>
                <w:spacing w:val="-1"/>
                <w:sz w:val="18"/>
              </w:rPr>
              <w:t>61,166,014.21</w:t>
            </w:r>
          </w:p>
        </w:tc>
      </w:tr>
      <w:tr>
        <w:trPr>
          <w:trHeight w:val="341" w:hRule="exact"/>
        </w:trPr>
        <w:tc>
          <w:tcPr>
            <w:tcW w:w="4112" w:type="dxa"/>
            <w:tcBorders>
              <w:top w:val="single" w:sz="11" w:space="0" w:color="000000"/>
              <w:left w:val="single" w:sz="4" w:space="0" w:color="000000"/>
              <w:bottom w:val="single" w:sz="11" w:space="0" w:color="000000"/>
              <w:right w:val="single" w:sz="4" w:space="0" w:color="000000"/>
            </w:tcBorders>
          </w:tcPr>
          <w:p>
            <w:pPr>
              <w:pStyle w:val="TableParagraph"/>
              <w:tabs>
                <w:tab w:pos="298" w:val="left" w:leader="none"/>
                <w:tab w:pos="4080" w:val="left" w:leader="none"/>
              </w:tabs>
              <w:spacing w:line="240" w:lineRule="auto" w:before="1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其中：应收利息</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425,168.29</w:t>
            </w:r>
          </w:p>
        </w:tc>
      </w:tr>
      <w:tr>
        <w:trPr>
          <w:trHeight w:val="340"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838" w:right="0"/>
              <w:jc w:val="left"/>
              <w:rPr>
                <w:rFonts w:ascii="宋体" w:hAnsi="宋体" w:cs="宋体" w:eastAsia="宋体" w:hint="default"/>
                <w:sz w:val="18"/>
                <w:szCs w:val="18"/>
              </w:rPr>
            </w:pPr>
            <w:r>
              <w:rPr>
                <w:rFonts w:ascii="宋体" w:hAnsi="宋体" w:cs="宋体" w:eastAsia="宋体" w:hint="default"/>
                <w:sz w:val="18"/>
                <w:szCs w:val="18"/>
              </w:rPr>
              <w:t>应收股利</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4112" w:type="dxa"/>
            <w:tcBorders>
              <w:top w:val="single" w:sz="4" w:space="0" w:color="000000"/>
              <w:left w:val="single" w:sz="4" w:space="0" w:color="000000"/>
              <w:bottom w:val="single" w:sz="11" w:space="0" w:color="000000"/>
              <w:right w:val="single" w:sz="4" w:space="0" w:color="000000"/>
            </w:tcBorders>
          </w:tcPr>
          <w:p>
            <w:pPr>
              <w:pStyle w:val="TableParagraph"/>
              <w:tabs>
                <w:tab w:pos="298" w:val="left" w:leader="none"/>
                <w:tab w:pos="4080" w:val="left" w:leader="none"/>
              </w:tabs>
              <w:spacing w:line="240" w:lineRule="auto" w:before="22"/>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买入返售金融资产</w:t>
            </w:r>
            <w:r>
              <w:rPr>
                <w:rFonts w:ascii="Times New Roman" w:hAnsi="Times New Roman" w:cs="Times New Roman" w:eastAsia="Times New Roman" w:hint="default"/>
                <w:sz w:val="18"/>
                <w:szCs w:val="18"/>
                <w:shd w:fill="D2D2D2" w:color="auto" w:val="clear"/>
              </w:rPr>
              <w:t>* </w:t>
            </w:r>
            <w:r>
              <w:rPr>
                <w:rFonts w:ascii="Times New Roman" w:hAnsi="Times New Roman" w:cs="Times New Roman" w:eastAsia="Times New Roman" w:hint="default"/>
                <w:spacing w:val="-3"/>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112" w:type="dxa"/>
            <w:tcBorders>
              <w:top w:val="single" w:sz="11" w:space="0" w:color="000000"/>
              <w:left w:val="single" w:sz="4" w:space="0" w:color="000000"/>
              <w:bottom w:val="single" w:sz="4" w:space="0" w:color="000000"/>
              <w:right w:val="single" w:sz="4" w:space="0" w:color="000000"/>
            </w:tcBorders>
          </w:tcPr>
          <w:p>
            <w:pPr>
              <w:pStyle w:val="TableParagraph"/>
              <w:tabs>
                <w:tab w:pos="298" w:val="left" w:leader="none"/>
                <w:tab w:pos="4080" w:val="left" w:leader="none"/>
              </w:tabs>
              <w:spacing w:line="240" w:lineRule="auto" w:before="1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存货</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9"/>
              <w:jc w:val="right"/>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六</w:t>
            </w:r>
            <w:r>
              <w:rPr>
                <w:rFonts w:ascii="宋体" w:hAnsi="宋体" w:cs="宋体" w:eastAsia="宋体" w:hint="default"/>
                <w:w w:val="100"/>
                <w:sz w:val="15"/>
                <w:szCs w:val="15"/>
              </w:rPr>
              <w:t>）</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7"/>
              <w:jc w:val="right"/>
              <w:rPr>
                <w:rFonts w:ascii="宋体" w:hAnsi="宋体" w:cs="宋体" w:eastAsia="宋体" w:hint="default"/>
                <w:sz w:val="18"/>
                <w:szCs w:val="18"/>
              </w:rPr>
            </w:pPr>
            <w:r>
              <w:rPr>
                <w:rFonts w:ascii="宋体"/>
                <w:spacing w:val="-1"/>
                <w:sz w:val="18"/>
              </w:rPr>
              <w:t>31,661,793.29</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47,736,657.49</w:t>
            </w:r>
          </w:p>
        </w:tc>
      </w:tr>
      <w:tr>
        <w:trPr>
          <w:trHeight w:val="340" w:hRule="exact"/>
        </w:trPr>
        <w:tc>
          <w:tcPr>
            <w:tcW w:w="4112" w:type="dxa"/>
            <w:tcBorders>
              <w:top w:val="single" w:sz="4" w:space="0" w:color="000000"/>
              <w:left w:val="single" w:sz="4" w:space="0" w:color="000000"/>
              <w:bottom w:val="single" w:sz="12" w:space="0" w:color="000000"/>
              <w:right w:val="single" w:sz="4" w:space="0" w:color="000000"/>
            </w:tcBorders>
          </w:tcPr>
          <w:p>
            <w:pPr>
              <w:pStyle w:val="TableParagraph"/>
              <w:tabs>
                <w:tab w:pos="298" w:val="left" w:leader="none"/>
                <w:tab w:pos="4080" w:val="left" w:leader="none"/>
              </w:tabs>
              <w:spacing w:line="240" w:lineRule="auto" w:before="2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持有待售资产</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4112" w:type="dxa"/>
            <w:tcBorders>
              <w:top w:val="single" w:sz="12" w:space="0" w:color="000000"/>
              <w:left w:val="single" w:sz="4" w:space="0" w:color="000000"/>
              <w:bottom w:val="single" w:sz="4" w:space="0" w:color="000000"/>
              <w:right w:val="single" w:sz="4" w:space="0" w:color="000000"/>
            </w:tcBorders>
          </w:tcPr>
          <w:p>
            <w:pPr>
              <w:pStyle w:val="TableParagraph"/>
              <w:tabs>
                <w:tab w:pos="298" w:val="left" w:leader="none"/>
                <w:tab w:pos="4080" w:val="left" w:leader="none"/>
              </w:tabs>
              <w:spacing w:line="240" w:lineRule="auto" w:before="1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一年内到期的非流动资产</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9"/>
              <w:jc w:val="right"/>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七</w:t>
            </w:r>
            <w:r>
              <w:rPr>
                <w:rFonts w:ascii="宋体" w:hAnsi="宋体" w:cs="宋体" w:eastAsia="宋体" w:hint="default"/>
                <w:w w:val="100"/>
                <w:sz w:val="15"/>
                <w:szCs w:val="15"/>
              </w:rPr>
              <w:t>）</w:t>
            </w: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9"/>
              <w:jc w:val="right"/>
              <w:rPr>
                <w:rFonts w:ascii="宋体" w:hAnsi="宋体" w:cs="宋体" w:eastAsia="宋体" w:hint="default"/>
                <w:sz w:val="18"/>
                <w:szCs w:val="18"/>
              </w:rPr>
            </w:pPr>
            <w:r>
              <w:rPr>
                <w:rFonts w:ascii="宋体"/>
                <w:spacing w:val="-1"/>
                <w:sz w:val="18"/>
              </w:rPr>
              <w:t>86,820,311.33</w:t>
            </w:r>
          </w:p>
        </w:tc>
      </w:tr>
      <w:tr>
        <w:trPr>
          <w:trHeight w:val="341" w:hRule="exact"/>
        </w:trPr>
        <w:tc>
          <w:tcPr>
            <w:tcW w:w="4112" w:type="dxa"/>
            <w:tcBorders>
              <w:top w:val="single" w:sz="4" w:space="0" w:color="000000"/>
              <w:left w:val="single" w:sz="4" w:space="0" w:color="000000"/>
              <w:bottom w:val="single" w:sz="4" w:space="0" w:color="000000"/>
              <w:right w:val="single" w:sz="4" w:space="0" w:color="000000"/>
            </w:tcBorders>
          </w:tcPr>
          <w:p>
            <w:pPr>
              <w:pStyle w:val="TableParagraph"/>
              <w:tabs>
                <w:tab w:pos="298" w:val="left" w:leader="none"/>
                <w:tab w:pos="4080" w:val="left" w:leader="none"/>
              </w:tabs>
              <w:spacing w:line="240" w:lineRule="auto" w:before="2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其他流动资产</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9"/>
              <w:jc w:val="right"/>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八</w:t>
            </w:r>
            <w:r>
              <w:rPr>
                <w:rFonts w:ascii="宋体" w:hAnsi="宋体" w:cs="宋体" w:eastAsia="宋体" w:hint="default"/>
                <w:w w:val="100"/>
                <w:sz w:val="15"/>
                <w:szCs w:val="15"/>
              </w:rPr>
              <w:t>）</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7"/>
              <w:jc w:val="right"/>
              <w:rPr>
                <w:rFonts w:ascii="宋体" w:hAnsi="宋体" w:cs="宋体" w:eastAsia="宋体" w:hint="default"/>
                <w:sz w:val="18"/>
                <w:szCs w:val="18"/>
              </w:rPr>
            </w:pPr>
            <w:r>
              <w:rPr>
                <w:rFonts w:ascii="宋体"/>
                <w:spacing w:val="-1"/>
                <w:sz w:val="18"/>
              </w:rPr>
              <w:t>40,118,399.66</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49,910,795.42</w:t>
            </w:r>
          </w:p>
        </w:tc>
      </w:tr>
      <w:tr>
        <w:trPr>
          <w:trHeight w:val="340" w:hRule="exact"/>
        </w:trPr>
        <w:tc>
          <w:tcPr>
            <w:tcW w:w="4112" w:type="dxa"/>
            <w:tcBorders>
              <w:top w:val="single" w:sz="4" w:space="0" w:color="000000"/>
              <w:left w:val="single" w:sz="4" w:space="0" w:color="000000"/>
              <w:bottom w:val="single" w:sz="4" w:space="0" w:color="000000"/>
              <w:right w:val="single" w:sz="4" w:space="0" w:color="000000"/>
            </w:tcBorders>
          </w:tcPr>
          <w:p>
            <w:pPr>
              <w:pStyle w:val="TableParagraph"/>
              <w:tabs>
                <w:tab w:pos="386" w:val="left" w:leader="none"/>
                <w:tab w:pos="4080" w:val="left" w:leader="none"/>
              </w:tabs>
              <w:spacing w:line="240" w:lineRule="auto" w:before="21"/>
              <w:ind w:left="24"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z w:val="18"/>
                <w:szCs w:val="18"/>
                <w:shd w:fill="D2D2D2" w:color="auto" w:val="clear"/>
              </w:rPr>
              <w:t> </w:t>
              <w:tab/>
            </w:r>
            <w:r>
              <w:rPr>
                <w:rFonts w:ascii="宋体" w:hAnsi="宋体" w:cs="宋体" w:eastAsia="宋体" w:hint="default"/>
                <w:b/>
                <w:bCs/>
                <w:sz w:val="18"/>
                <w:szCs w:val="18"/>
                <w:shd w:fill="D2D2D2" w:color="auto" w:val="clear"/>
              </w:rPr>
              <w:t>流动资产合计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7"/>
              <w:jc w:val="right"/>
              <w:rPr>
                <w:rFonts w:ascii="宋体" w:hAnsi="宋体" w:cs="宋体" w:eastAsia="宋体" w:hint="default"/>
                <w:sz w:val="18"/>
                <w:szCs w:val="18"/>
              </w:rPr>
            </w:pPr>
            <w:r>
              <w:rPr>
                <w:rFonts w:ascii="宋体"/>
                <w:b/>
                <w:w w:val="95"/>
                <w:sz w:val="18"/>
              </w:rPr>
              <w:t>1,938,629,267.46</w:t>
            </w:r>
            <w:r>
              <w:rPr>
                <w:rFonts w:ascii="宋体"/>
                <w:sz w:val="18"/>
              </w:rPr>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b/>
                <w:w w:val="95"/>
                <w:sz w:val="18"/>
              </w:rPr>
              <w:t>2,092,974,166.08</w:t>
            </w:r>
            <w:r>
              <w:rPr>
                <w:rFonts w:ascii="宋体"/>
                <w:sz w:val="18"/>
              </w:rPr>
            </w:r>
          </w:p>
        </w:tc>
      </w:tr>
      <w:tr>
        <w:trPr>
          <w:trHeight w:val="340" w:hRule="exact"/>
        </w:trPr>
        <w:tc>
          <w:tcPr>
            <w:tcW w:w="4112" w:type="dxa"/>
            <w:tcBorders>
              <w:top w:val="single" w:sz="4" w:space="0" w:color="000000"/>
              <w:left w:val="single" w:sz="4" w:space="0" w:color="000000"/>
              <w:bottom w:val="single" w:sz="4" w:space="0" w:color="000000"/>
              <w:right w:val="single" w:sz="4" w:space="0" w:color="000000"/>
            </w:tcBorders>
          </w:tcPr>
          <w:p>
            <w:pPr>
              <w:pStyle w:val="TableParagraph"/>
              <w:tabs>
                <w:tab w:pos="4080" w:val="left" w:leader="none"/>
              </w:tabs>
              <w:spacing w:line="240" w:lineRule="auto" w:before="22"/>
              <w:ind w:left="24"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z w:val="18"/>
                <w:szCs w:val="18"/>
                <w:shd w:fill="D2D2D2" w:color="auto" w:val="clear"/>
              </w:rPr>
              <w:t> </w:t>
            </w:r>
            <w:r>
              <w:rPr>
                <w:rFonts w:ascii="Times New Roman" w:hAnsi="Times New Roman" w:cs="Times New Roman" w:eastAsia="Times New Roman" w:hint="default"/>
                <w:b/>
                <w:bCs/>
                <w:spacing w:val="1"/>
                <w:sz w:val="18"/>
                <w:szCs w:val="18"/>
                <w:shd w:fill="D2D2D2" w:color="auto" w:val="clear"/>
              </w:rPr>
              <w:t> </w:t>
            </w:r>
            <w:r>
              <w:rPr>
                <w:rFonts w:ascii="宋体" w:hAnsi="宋体" w:cs="宋体" w:eastAsia="宋体" w:hint="default"/>
                <w:b/>
                <w:bCs/>
                <w:sz w:val="18"/>
                <w:szCs w:val="18"/>
                <w:shd w:fill="D2D2D2" w:color="auto" w:val="clear"/>
              </w:rPr>
              <w:t>非流动资产：</w:t>
            </w:r>
            <w:r>
              <w:rPr>
                <w:rFonts w:ascii="宋体" w:hAnsi="宋体" w:cs="宋体" w:eastAsia="宋体" w:hint="default"/>
                <w:b/>
                <w:bCs/>
                <w:spacing w:val="1"/>
                <w:sz w:val="18"/>
                <w:szCs w:val="18"/>
                <w:shd w:fill="D2D2D2" w:color="auto" w:val="clear"/>
              </w:rPr>
              <w:t>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112" w:type="dxa"/>
            <w:tcBorders>
              <w:top w:val="single" w:sz="4" w:space="0" w:color="000000"/>
              <w:left w:val="single" w:sz="4" w:space="0" w:color="000000"/>
              <w:bottom w:val="single" w:sz="4" w:space="0" w:color="000000"/>
              <w:right w:val="single" w:sz="4" w:space="0" w:color="000000"/>
            </w:tcBorders>
          </w:tcPr>
          <w:p>
            <w:pPr>
              <w:pStyle w:val="TableParagraph"/>
              <w:tabs>
                <w:tab w:pos="298" w:val="left" w:leader="none"/>
                <w:tab w:pos="4080" w:val="left" w:leader="none"/>
              </w:tabs>
              <w:spacing w:line="240" w:lineRule="auto" w:before="2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发放贷款和垫款</w:t>
            </w:r>
            <w:r>
              <w:rPr>
                <w:rFonts w:ascii="Times New Roman" w:hAnsi="Times New Roman" w:cs="Times New Roman" w:eastAsia="Times New Roman" w:hint="default"/>
                <w:sz w:val="18"/>
                <w:szCs w:val="18"/>
                <w:shd w:fill="D2D2D2" w:color="auto" w:val="clear"/>
              </w:rPr>
              <w:t>* </w:t>
            </w:r>
            <w:r>
              <w:rPr>
                <w:rFonts w:ascii="Times New Roman" w:hAnsi="Times New Roman" w:cs="Times New Roman" w:eastAsia="Times New Roman" w:hint="default"/>
                <w:spacing w:val="-3"/>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4112" w:type="dxa"/>
            <w:tcBorders>
              <w:top w:val="single" w:sz="4" w:space="0" w:color="000000"/>
              <w:left w:val="single" w:sz="4" w:space="0" w:color="000000"/>
              <w:bottom w:val="single" w:sz="4" w:space="0" w:color="000000"/>
              <w:right w:val="single" w:sz="4" w:space="0" w:color="000000"/>
            </w:tcBorders>
          </w:tcPr>
          <w:p>
            <w:pPr>
              <w:pStyle w:val="TableParagraph"/>
              <w:tabs>
                <w:tab w:pos="298" w:val="left" w:leader="none"/>
                <w:tab w:pos="4080" w:val="left" w:leader="none"/>
              </w:tabs>
              <w:spacing w:line="240" w:lineRule="auto" w:before="2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债权投资</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4112" w:type="dxa"/>
            <w:tcBorders>
              <w:top w:val="single" w:sz="4" w:space="0" w:color="000000"/>
              <w:left w:val="single" w:sz="4" w:space="0" w:color="000000"/>
              <w:bottom w:val="single" w:sz="4" w:space="0" w:color="000000"/>
              <w:right w:val="single" w:sz="4" w:space="0" w:color="000000"/>
            </w:tcBorders>
          </w:tcPr>
          <w:p>
            <w:pPr>
              <w:pStyle w:val="TableParagraph"/>
              <w:tabs>
                <w:tab w:pos="298" w:val="left" w:leader="none"/>
                <w:tab w:pos="4080" w:val="left" w:leader="none"/>
              </w:tabs>
              <w:spacing w:line="240" w:lineRule="auto" w:before="22"/>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可供出售金融资产</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112" w:type="dxa"/>
            <w:tcBorders>
              <w:top w:val="single" w:sz="4" w:space="0" w:color="000000"/>
              <w:left w:val="single" w:sz="4" w:space="0" w:color="000000"/>
              <w:bottom w:val="single" w:sz="4" w:space="0" w:color="000000"/>
              <w:right w:val="single" w:sz="4" w:space="0" w:color="000000"/>
            </w:tcBorders>
          </w:tcPr>
          <w:p>
            <w:pPr>
              <w:pStyle w:val="TableParagraph"/>
              <w:tabs>
                <w:tab w:pos="298" w:val="left" w:leader="none"/>
                <w:tab w:pos="4080" w:val="left" w:leader="none"/>
              </w:tabs>
              <w:spacing w:line="240" w:lineRule="auto" w:before="22"/>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其他债权投资</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4112" w:type="dxa"/>
            <w:tcBorders>
              <w:top w:val="single" w:sz="4" w:space="0" w:color="000000"/>
              <w:left w:val="single" w:sz="4" w:space="0" w:color="000000"/>
              <w:bottom w:val="single" w:sz="4" w:space="0" w:color="000000"/>
              <w:right w:val="single" w:sz="4" w:space="0" w:color="000000"/>
            </w:tcBorders>
          </w:tcPr>
          <w:p>
            <w:pPr>
              <w:pStyle w:val="TableParagraph"/>
              <w:tabs>
                <w:tab w:pos="298" w:val="left" w:leader="none"/>
                <w:tab w:pos="4080" w:val="left" w:leader="none"/>
              </w:tabs>
              <w:spacing w:line="240" w:lineRule="auto" w:before="2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持有至到期投资</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40" w:hRule="exact"/>
        </w:trPr>
        <w:tc>
          <w:tcPr>
            <w:tcW w:w="4112" w:type="dxa"/>
            <w:tcBorders>
              <w:top w:val="single" w:sz="4" w:space="0" w:color="000000"/>
              <w:left w:val="single" w:sz="4" w:space="0" w:color="000000"/>
              <w:bottom w:val="single" w:sz="4" w:space="0" w:color="000000"/>
              <w:right w:val="single" w:sz="4" w:space="0" w:color="000000"/>
            </w:tcBorders>
          </w:tcPr>
          <w:p>
            <w:pPr>
              <w:pStyle w:val="TableParagraph"/>
              <w:tabs>
                <w:tab w:pos="298" w:val="left" w:leader="none"/>
                <w:tab w:pos="4080" w:val="left" w:leader="none"/>
              </w:tabs>
              <w:spacing w:line="240" w:lineRule="auto" w:before="22"/>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长期应收款</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9"/>
              <w:jc w:val="right"/>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九</w:t>
            </w:r>
            <w:r>
              <w:rPr>
                <w:rFonts w:ascii="宋体" w:hAnsi="宋体" w:cs="宋体" w:eastAsia="宋体" w:hint="default"/>
                <w:w w:val="100"/>
                <w:sz w:val="15"/>
                <w:szCs w:val="15"/>
              </w:rPr>
              <w:t>）</w:t>
            </w: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9"/>
              <w:jc w:val="right"/>
              <w:rPr>
                <w:rFonts w:ascii="宋体" w:hAnsi="宋体" w:cs="宋体" w:eastAsia="宋体" w:hint="default"/>
                <w:sz w:val="18"/>
                <w:szCs w:val="18"/>
              </w:rPr>
            </w:pPr>
            <w:r>
              <w:rPr>
                <w:rFonts w:ascii="宋体"/>
                <w:spacing w:val="-1"/>
                <w:sz w:val="18"/>
              </w:rPr>
              <w:t>84,201,750.57</w:t>
            </w:r>
          </w:p>
        </w:tc>
      </w:tr>
      <w:tr>
        <w:trPr>
          <w:trHeight w:val="341" w:hRule="exact"/>
        </w:trPr>
        <w:tc>
          <w:tcPr>
            <w:tcW w:w="4112" w:type="dxa"/>
            <w:tcBorders>
              <w:top w:val="single" w:sz="4" w:space="0" w:color="000000"/>
              <w:left w:val="single" w:sz="4" w:space="0" w:color="000000"/>
              <w:bottom w:val="single" w:sz="4" w:space="0" w:color="000000"/>
              <w:right w:val="single" w:sz="4" w:space="0" w:color="000000"/>
            </w:tcBorders>
          </w:tcPr>
          <w:p>
            <w:pPr>
              <w:pStyle w:val="TableParagraph"/>
              <w:tabs>
                <w:tab w:pos="298" w:val="left" w:leader="none"/>
                <w:tab w:pos="4080" w:val="left" w:leader="none"/>
              </w:tabs>
              <w:spacing w:line="240" w:lineRule="auto" w:before="2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长期股权投资</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9"/>
              <w:jc w:val="right"/>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十</w:t>
            </w:r>
            <w:r>
              <w:rPr>
                <w:rFonts w:ascii="宋体" w:hAnsi="宋体" w:cs="宋体" w:eastAsia="宋体" w:hint="default"/>
                <w:w w:val="100"/>
                <w:sz w:val="15"/>
                <w:szCs w:val="15"/>
              </w:rPr>
              <w:t>）</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6"/>
              <w:jc w:val="right"/>
              <w:rPr>
                <w:rFonts w:ascii="宋体" w:hAnsi="宋体" w:cs="宋体" w:eastAsia="宋体" w:hint="default"/>
                <w:sz w:val="18"/>
                <w:szCs w:val="18"/>
              </w:rPr>
            </w:pPr>
            <w:r>
              <w:rPr>
                <w:rFonts w:ascii="宋体"/>
                <w:spacing w:val="-1"/>
                <w:sz w:val="18"/>
              </w:rPr>
              <w:t>159,527.65</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132,450.03</w:t>
            </w:r>
          </w:p>
        </w:tc>
      </w:tr>
      <w:tr>
        <w:trPr>
          <w:trHeight w:val="340" w:hRule="exact"/>
        </w:trPr>
        <w:tc>
          <w:tcPr>
            <w:tcW w:w="4112" w:type="dxa"/>
            <w:tcBorders>
              <w:top w:val="single" w:sz="4" w:space="0" w:color="000000"/>
              <w:left w:val="single" w:sz="4" w:space="0" w:color="000000"/>
              <w:bottom w:val="single" w:sz="11" w:space="0" w:color="000000"/>
              <w:right w:val="single" w:sz="4" w:space="0" w:color="000000"/>
            </w:tcBorders>
          </w:tcPr>
          <w:p>
            <w:pPr>
              <w:pStyle w:val="TableParagraph"/>
              <w:tabs>
                <w:tab w:pos="298" w:val="left" w:leader="none"/>
                <w:tab w:pos="4080" w:val="left" w:leader="none"/>
              </w:tabs>
              <w:spacing w:line="240" w:lineRule="auto" w:before="2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其他权益工具投资</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36" w:hRule="exact"/>
        </w:trPr>
        <w:tc>
          <w:tcPr>
            <w:tcW w:w="4112" w:type="dxa"/>
            <w:tcBorders>
              <w:top w:val="single" w:sz="11" w:space="0" w:color="000000"/>
              <w:left w:val="single" w:sz="4" w:space="0" w:color="000000"/>
              <w:bottom w:val="single" w:sz="8" w:space="0" w:color="000000"/>
              <w:right w:val="single" w:sz="4" w:space="0" w:color="000000"/>
            </w:tcBorders>
          </w:tcPr>
          <w:p>
            <w:pPr>
              <w:pStyle w:val="TableParagraph"/>
              <w:tabs>
                <w:tab w:pos="298" w:val="left" w:leader="none"/>
                <w:tab w:pos="4080" w:val="left" w:leader="none"/>
              </w:tabs>
              <w:spacing w:line="240" w:lineRule="auto" w:before="1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其他非流动金融资产</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21" w:footer="725" w:top="1160" w:bottom="920" w:left="980" w:right="0"/>
        </w:sectPr>
      </w:pPr>
    </w:p>
    <w:p>
      <w:pPr>
        <w:spacing w:line="240" w:lineRule="auto" w:before="7"/>
        <w:rPr>
          <w:rFonts w:ascii="Times New Roman" w:hAnsi="Times New Roman" w:cs="Times New Roman" w:eastAsia="Times New Roman"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4111"/>
        <w:gridCol w:w="1277"/>
        <w:gridCol w:w="2124"/>
        <w:gridCol w:w="1988"/>
      </w:tblGrid>
      <w:tr>
        <w:trPr>
          <w:trHeight w:val="336" w:hRule="exact"/>
        </w:trPr>
        <w:tc>
          <w:tcPr>
            <w:tcW w:w="41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left="296" w:right="0"/>
              <w:jc w:val="left"/>
              <w:rPr>
                <w:rFonts w:ascii="宋体" w:hAnsi="宋体" w:cs="宋体" w:eastAsia="宋体" w:hint="default"/>
                <w:sz w:val="18"/>
                <w:szCs w:val="18"/>
              </w:rPr>
            </w:pPr>
            <w:r>
              <w:rPr>
                <w:rFonts w:ascii="宋体" w:hAnsi="宋体" w:cs="宋体" w:eastAsia="宋体" w:hint="default"/>
                <w:sz w:val="18"/>
                <w:szCs w:val="18"/>
              </w:rPr>
              <w:t>投资性房地产</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39" w:hRule="exact"/>
        </w:trPr>
        <w:tc>
          <w:tcPr>
            <w:tcW w:w="41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0"/>
              <w:ind w:left="296" w:right="0"/>
              <w:jc w:val="left"/>
              <w:rPr>
                <w:rFonts w:ascii="宋体" w:hAnsi="宋体" w:cs="宋体" w:eastAsia="宋体" w:hint="default"/>
                <w:sz w:val="18"/>
                <w:szCs w:val="18"/>
              </w:rPr>
            </w:pPr>
            <w:r>
              <w:rPr>
                <w:rFonts w:ascii="宋体" w:hAnsi="宋体" w:cs="宋体" w:eastAsia="宋体" w:hint="default"/>
                <w:sz w:val="18"/>
                <w:szCs w:val="18"/>
              </w:rPr>
              <w:t>固定资产</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9"/>
              <w:jc w:val="right"/>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十</w:t>
            </w:r>
            <w:r>
              <w:rPr>
                <w:rFonts w:ascii="宋体" w:hAnsi="宋体" w:cs="宋体" w:eastAsia="宋体" w:hint="default"/>
                <w:w w:val="100"/>
                <w:sz w:val="15"/>
                <w:szCs w:val="15"/>
              </w:rPr>
              <w:t>一）</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7"/>
              <w:jc w:val="right"/>
              <w:rPr>
                <w:rFonts w:ascii="宋体" w:hAnsi="宋体" w:cs="宋体" w:eastAsia="宋体" w:hint="default"/>
                <w:sz w:val="18"/>
                <w:szCs w:val="18"/>
              </w:rPr>
            </w:pPr>
            <w:r>
              <w:rPr>
                <w:rFonts w:ascii="宋体"/>
                <w:spacing w:val="-1"/>
                <w:sz w:val="18"/>
              </w:rPr>
              <w:t>98,876,641.82</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9"/>
              <w:jc w:val="right"/>
              <w:rPr>
                <w:rFonts w:ascii="宋体" w:hAnsi="宋体" w:cs="宋体" w:eastAsia="宋体" w:hint="default"/>
                <w:sz w:val="18"/>
                <w:szCs w:val="18"/>
              </w:rPr>
            </w:pPr>
            <w:r>
              <w:rPr>
                <w:rFonts w:ascii="宋体"/>
                <w:spacing w:val="-1"/>
                <w:sz w:val="18"/>
              </w:rPr>
              <w:t>77,280,265.32</w:t>
            </w:r>
          </w:p>
        </w:tc>
      </w:tr>
      <w:tr>
        <w:trPr>
          <w:trHeight w:val="341" w:hRule="exact"/>
        </w:trPr>
        <w:tc>
          <w:tcPr>
            <w:tcW w:w="41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96" w:right="0"/>
              <w:jc w:val="left"/>
              <w:rPr>
                <w:rFonts w:ascii="宋体" w:hAnsi="宋体" w:cs="宋体" w:eastAsia="宋体" w:hint="default"/>
                <w:sz w:val="18"/>
                <w:szCs w:val="18"/>
              </w:rPr>
            </w:pPr>
            <w:r>
              <w:rPr>
                <w:rFonts w:ascii="宋体" w:hAnsi="宋体" w:cs="宋体" w:eastAsia="宋体" w:hint="default"/>
                <w:sz w:val="18"/>
                <w:szCs w:val="18"/>
              </w:rPr>
              <w:t>在建工程</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9"/>
              <w:jc w:val="right"/>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十</w:t>
            </w:r>
            <w:r>
              <w:rPr>
                <w:rFonts w:ascii="宋体" w:hAnsi="宋体" w:cs="宋体" w:eastAsia="宋体" w:hint="default"/>
                <w:w w:val="100"/>
                <w:sz w:val="15"/>
                <w:szCs w:val="15"/>
              </w:rPr>
              <w:t>二）</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6"/>
              <w:jc w:val="right"/>
              <w:rPr>
                <w:rFonts w:ascii="宋体" w:hAnsi="宋体" w:cs="宋体" w:eastAsia="宋体" w:hint="default"/>
                <w:sz w:val="18"/>
                <w:szCs w:val="18"/>
              </w:rPr>
            </w:pPr>
            <w:r>
              <w:rPr>
                <w:rFonts w:ascii="宋体"/>
                <w:spacing w:val="-1"/>
                <w:sz w:val="18"/>
              </w:rPr>
              <w:t>48,177.65</w:t>
            </w: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1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96" w:right="0"/>
              <w:jc w:val="left"/>
              <w:rPr>
                <w:rFonts w:ascii="宋体" w:hAnsi="宋体" w:cs="宋体" w:eastAsia="宋体" w:hint="default"/>
                <w:sz w:val="18"/>
                <w:szCs w:val="18"/>
              </w:rPr>
            </w:pPr>
            <w:r>
              <w:rPr>
                <w:rFonts w:ascii="宋体" w:hAnsi="宋体" w:cs="宋体" w:eastAsia="宋体" w:hint="default"/>
                <w:sz w:val="18"/>
                <w:szCs w:val="18"/>
              </w:rPr>
              <w:t>生产性生物资产</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41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0"/>
              <w:ind w:left="296" w:right="0"/>
              <w:jc w:val="left"/>
              <w:rPr>
                <w:rFonts w:ascii="宋体" w:hAnsi="宋体" w:cs="宋体" w:eastAsia="宋体" w:hint="default"/>
                <w:sz w:val="18"/>
                <w:szCs w:val="18"/>
              </w:rPr>
            </w:pPr>
            <w:r>
              <w:rPr>
                <w:rFonts w:ascii="宋体" w:hAnsi="宋体" w:cs="宋体" w:eastAsia="宋体" w:hint="default"/>
                <w:sz w:val="18"/>
                <w:szCs w:val="18"/>
              </w:rPr>
              <w:t>油气资产</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1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96" w:right="0"/>
              <w:jc w:val="left"/>
              <w:rPr>
                <w:rFonts w:ascii="宋体" w:hAnsi="宋体" w:cs="宋体" w:eastAsia="宋体" w:hint="default"/>
                <w:sz w:val="18"/>
                <w:szCs w:val="18"/>
              </w:rPr>
            </w:pPr>
            <w:r>
              <w:rPr>
                <w:rFonts w:ascii="宋体" w:hAnsi="宋体" w:cs="宋体" w:eastAsia="宋体" w:hint="default"/>
                <w:sz w:val="18"/>
                <w:szCs w:val="18"/>
              </w:rPr>
              <w:t>无形资产</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9"/>
              <w:jc w:val="right"/>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十</w:t>
            </w:r>
            <w:r>
              <w:rPr>
                <w:rFonts w:ascii="宋体" w:hAnsi="宋体" w:cs="宋体" w:eastAsia="宋体" w:hint="default"/>
                <w:w w:val="100"/>
                <w:sz w:val="15"/>
                <w:szCs w:val="15"/>
              </w:rPr>
              <w:t>三）</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7"/>
              <w:jc w:val="right"/>
              <w:rPr>
                <w:rFonts w:ascii="宋体" w:hAnsi="宋体" w:cs="宋体" w:eastAsia="宋体" w:hint="default"/>
                <w:sz w:val="18"/>
                <w:szCs w:val="18"/>
              </w:rPr>
            </w:pPr>
            <w:r>
              <w:rPr>
                <w:rFonts w:ascii="宋体"/>
                <w:spacing w:val="-1"/>
                <w:sz w:val="18"/>
              </w:rPr>
              <w:t>68,288,568.24</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9"/>
              <w:jc w:val="right"/>
              <w:rPr>
                <w:rFonts w:ascii="宋体" w:hAnsi="宋体" w:cs="宋体" w:eastAsia="宋体" w:hint="default"/>
                <w:sz w:val="18"/>
                <w:szCs w:val="18"/>
              </w:rPr>
            </w:pPr>
            <w:r>
              <w:rPr>
                <w:rFonts w:ascii="宋体"/>
                <w:spacing w:val="-1"/>
                <w:sz w:val="18"/>
              </w:rPr>
              <w:t>80,486,033.41</w:t>
            </w:r>
          </w:p>
        </w:tc>
      </w:tr>
      <w:tr>
        <w:trPr>
          <w:trHeight w:val="341" w:hRule="exact"/>
        </w:trPr>
        <w:tc>
          <w:tcPr>
            <w:tcW w:w="41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96" w:right="0"/>
              <w:jc w:val="left"/>
              <w:rPr>
                <w:rFonts w:ascii="宋体" w:hAnsi="宋体" w:cs="宋体" w:eastAsia="宋体" w:hint="default"/>
                <w:sz w:val="18"/>
                <w:szCs w:val="18"/>
              </w:rPr>
            </w:pPr>
            <w:r>
              <w:rPr>
                <w:rFonts w:ascii="宋体" w:hAnsi="宋体" w:cs="宋体" w:eastAsia="宋体" w:hint="default"/>
                <w:sz w:val="18"/>
                <w:szCs w:val="18"/>
              </w:rPr>
              <w:t>开发支出</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41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0"/>
              <w:ind w:left="296" w:right="0"/>
              <w:jc w:val="left"/>
              <w:rPr>
                <w:rFonts w:ascii="宋体" w:hAnsi="宋体" w:cs="宋体" w:eastAsia="宋体" w:hint="default"/>
                <w:sz w:val="18"/>
                <w:szCs w:val="18"/>
              </w:rPr>
            </w:pPr>
            <w:r>
              <w:rPr>
                <w:rFonts w:ascii="宋体" w:hAnsi="宋体" w:cs="宋体" w:eastAsia="宋体" w:hint="default"/>
                <w:sz w:val="18"/>
                <w:szCs w:val="18"/>
              </w:rPr>
              <w:t>商誉</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9"/>
              <w:jc w:val="right"/>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十</w:t>
            </w:r>
            <w:r>
              <w:rPr>
                <w:rFonts w:ascii="宋体" w:hAnsi="宋体" w:cs="宋体" w:eastAsia="宋体" w:hint="default"/>
                <w:w w:val="100"/>
                <w:sz w:val="15"/>
                <w:szCs w:val="15"/>
              </w:rPr>
              <w:t>四）</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7"/>
              <w:jc w:val="right"/>
              <w:rPr>
                <w:rFonts w:ascii="宋体" w:hAnsi="宋体" w:cs="宋体" w:eastAsia="宋体" w:hint="default"/>
                <w:sz w:val="18"/>
                <w:szCs w:val="18"/>
              </w:rPr>
            </w:pPr>
            <w:r>
              <w:rPr>
                <w:rFonts w:ascii="宋体"/>
                <w:spacing w:val="-1"/>
                <w:sz w:val="18"/>
              </w:rPr>
              <w:t>1,769,317,486.32</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20"/>
              <w:jc w:val="right"/>
              <w:rPr>
                <w:rFonts w:ascii="宋体" w:hAnsi="宋体" w:cs="宋体" w:eastAsia="宋体" w:hint="default"/>
                <w:sz w:val="18"/>
                <w:szCs w:val="18"/>
              </w:rPr>
            </w:pPr>
            <w:r>
              <w:rPr>
                <w:rFonts w:ascii="宋体"/>
                <w:spacing w:val="-1"/>
                <w:sz w:val="18"/>
              </w:rPr>
              <w:t>2,971,539,534.02</w:t>
            </w:r>
          </w:p>
        </w:tc>
      </w:tr>
      <w:tr>
        <w:trPr>
          <w:trHeight w:val="341" w:hRule="exact"/>
        </w:trPr>
        <w:tc>
          <w:tcPr>
            <w:tcW w:w="41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96" w:right="0"/>
              <w:jc w:val="left"/>
              <w:rPr>
                <w:rFonts w:ascii="宋体" w:hAnsi="宋体" w:cs="宋体" w:eastAsia="宋体" w:hint="default"/>
                <w:sz w:val="18"/>
                <w:szCs w:val="18"/>
              </w:rPr>
            </w:pPr>
            <w:r>
              <w:rPr>
                <w:rFonts w:ascii="宋体" w:hAnsi="宋体" w:cs="宋体" w:eastAsia="宋体" w:hint="default"/>
                <w:sz w:val="18"/>
                <w:szCs w:val="18"/>
              </w:rPr>
              <w:t>长期待摊费用</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9"/>
              <w:jc w:val="right"/>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十</w:t>
            </w:r>
            <w:r>
              <w:rPr>
                <w:rFonts w:ascii="宋体" w:hAnsi="宋体" w:cs="宋体" w:eastAsia="宋体" w:hint="default"/>
                <w:w w:val="100"/>
                <w:sz w:val="15"/>
                <w:szCs w:val="15"/>
              </w:rPr>
              <w:t>五）</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7"/>
              <w:jc w:val="right"/>
              <w:rPr>
                <w:rFonts w:ascii="宋体" w:hAnsi="宋体" w:cs="宋体" w:eastAsia="宋体" w:hint="default"/>
                <w:sz w:val="18"/>
                <w:szCs w:val="18"/>
              </w:rPr>
            </w:pPr>
            <w:r>
              <w:rPr>
                <w:rFonts w:ascii="宋体"/>
                <w:spacing w:val="-1"/>
                <w:sz w:val="18"/>
              </w:rPr>
              <w:t>3,411,516.66</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9"/>
              <w:jc w:val="right"/>
              <w:rPr>
                <w:rFonts w:ascii="宋体" w:hAnsi="宋体" w:cs="宋体" w:eastAsia="宋体" w:hint="default"/>
                <w:sz w:val="18"/>
                <w:szCs w:val="18"/>
              </w:rPr>
            </w:pPr>
            <w:r>
              <w:rPr>
                <w:rFonts w:ascii="宋体"/>
                <w:spacing w:val="-1"/>
                <w:sz w:val="18"/>
              </w:rPr>
              <w:t>2,753,911.61</w:t>
            </w:r>
          </w:p>
        </w:tc>
      </w:tr>
      <w:tr>
        <w:trPr>
          <w:trHeight w:val="341" w:hRule="exact"/>
        </w:trPr>
        <w:tc>
          <w:tcPr>
            <w:tcW w:w="41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96" w:right="0"/>
              <w:jc w:val="left"/>
              <w:rPr>
                <w:rFonts w:ascii="宋体" w:hAnsi="宋体" w:cs="宋体" w:eastAsia="宋体" w:hint="default"/>
                <w:sz w:val="18"/>
                <w:szCs w:val="18"/>
              </w:rPr>
            </w:pPr>
            <w:r>
              <w:rPr>
                <w:rFonts w:ascii="宋体" w:hAnsi="宋体" w:cs="宋体" w:eastAsia="宋体" w:hint="default"/>
                <w:sz w:val="18"/>
                <w:szCs w:val="18"/>
              </w:rPr>
              <w:t>递延所得税资产</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9"/>
              <w:jc w:val="right"/>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十</w:t>
            </w:r>
            <w:r>
              <w:rPr>
                <w:rFonts w:ascii="宋体" w:hAnsi="宋体" w:cs="宋体" w:eastAsia="宋体" w:hint="default"/>
                <w:w w:val="100"/>
                <w:sz w:val="15"/>
                <w:szCs w:val="15"/>
              </w:rPr>
              <w:t>六）</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7"/>
              <w:jc w:val="right"/>
              <w:rPr>
                <w:rFonts w:ascii="宋体" w:hAnsi="宋体" w:cs="宋体" w:eastAsia="宋体" w:hint="default"/>
                <w:sz w:val="18"/>
                <w:szCs w:val="18"/>
              </w:rPr>
            </w:pPr>
            <w:r>
              <w:rPr>
                <w:rFonts w:ascii="宋体"/>
                <w:spacing w:val="-1"/>
                <w:sz w:val="18"/>
              </w:rPr>
              <w:t>27,667,923.58</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9"/>
              <w:jc w:val="right"/>
              <w:rPr>
                <w:rFonts w:ascii="宋体" w:hAnsi="宋体" w:cs="宋体" w:eastAsia="宋体" w:hint="default"/>
                <w:sz w:val="18"/>
                <w:szCs w:val="18"/>
              </w:rPr>
            </w:pPr>
            <w:r>
              <w:rPr>
                <w:rFonts w:ascii="宋体"/>
                <w:spacing w:val="-1"/>
                <w:sz w:val="18"/>
              </w:rPr>
              <w:t>14,918,952.23</w:t>
            </w:r>
          </w:p>
        </w:tc>
      </w:tr>
      <w:tr>
        <w:trPr>
          <w:trHeight w:val="338" w:hRule="exact"/>
        </w:trPr>
        <w:tc>
          <w:tcPr>
            <w:tcW w:w="41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0"/>
              <w:ind w:left="296" w:right="0"/>
              <w:jc w:val="left"/>
              <w:rPr>
                <w:rFonts w:ascii="宋体" w:hAnsi="宋体" w:cs="宋体" w:eastAsia="宋体" w:hint="default"/>
                <w:sz w:val="18"/>
                <w:szCs w:val="18"/>
              </w:rPr>
            </w:pPr>
            <w:r>
              <w:rPr>
                <w:rFonts w:ascii="宋体" w:hAnsi="宋体" w:cs="宋体" w:eastAsia="宋体" w:hint="default"/>
                <w:sz w:val="18"/>
                <w:szCs w:val="18"/>
              </w:rPr>
              <w:t>其他非流动资产</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9"/>
              <w:jc w:val="right"/>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十</w:t>
            </w:r>
            <w:r>
              <w:rPr>
                <w:rFonts w:ascii="宋体" w:hAnsi="宋体" w:cs="宋体" w:eastAsia="宋体" w:hint="default"/>
                <w:w w:val="100"/>
                <w:sz w:val="15"/>
                <w:szCs w:val="15"/>
              </w:rPr>
              <w:t>七）</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7"/>
              <w:jc w:val="right"/>
              <w:rPr>
                <w:rFonts w:ascii="宋体" w:hAnsi="宋体" w:cs="宋体" w:eastAsia="宋体" w:hint="default"/>
                <w:sz w:val="18"/>
                <w:szCs w:val="18"/>
              </w:rPr>
            </w:pPr>
            <w:r>
              <w:rPr>
                <w:rFonts w:ascii="宋体"/>
                <w:spacing w:val="-1"/>
                <w:sz w:val="18"/>
              </w:rPr>
              <w:t>1,196,581.19</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9"/>
              <w:jc w:val="right"/>
              <w:rPr>
                <w:rFonts w:ascii="宋体" w:hAnsi="宋体" w:cs="宋体" w:eastAsia="宋体" w:hint="default"/>
                <w:sz w:val="18"/>
                <w:szCs w:val="18"/>
              </w:rPr>
            </w:pPr>
            <w:r>
              <w:rPr>
                <w:rFonts w:ascii="宋体"/>
                <w:spacing w:val="-1"/>
                <w:sz w:val="18"/>
              </w:rPr>
              <w:t>1,212,067.19</w:t>
            </w:r>
          </w:p>
        </w:tc>
      </w:tr>
      <w:tr>
        <w:trPr>
          <w:trHeight w:val="341" w:hRule="exact"/>
        </w:trPr>
        <w:tc>
          <w:tcPr>
            <w:tcW w:w="41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476" w:right="0"/>
              <w:jc w:val="left"/>
              <w:rPr>
                <w:rFonts w:ascii="宋体" w:hAnsi="宋体" w:cs="宋体" w:eastAsia="宋体" w:hint="default"/>
                <w:sz w:val="18"/>
                <w:szCs w:val="18"/>
              </w:rPr>
            </w:pPr>
            <w:r>
              <w:rPr>
                <w:rFonts w:ascii="宋体" w:hAnsi="宋体" w:cs="宋体" w:eastAsia="宋体" w:hint="default"/>
                <w:b/>
                <w:bCs/>
                <w:sz w:val="18"/>
                <w:szCs w:val="18"/>
              </w:rPr>
              <w:t>非流动资产合计 </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7"/>
              <w:jc w:val="right"/>
              <w:rPr>
                <w:rFonts w:ascii="宋体" w:hAnsi="宋体" w:cs="宋体" w:eastAsia="宋体" w:hint="default"/>
                <w:sz w:val="18"/>
                <w:szCs w:val="18"/>
              </w:rPr>
            </w:pPr>
            <w:r>
              <w:rPr>
                <w:rFonts w:ascii="宋体"/>
                <w:b/>
                <w:w w:val="95"/>
                <w:sz w:val="18"/>
              </w:rPr>
              <w:t>1,968,966,423.11</w:t>
            </w:r>
            <w:r>
              <w:rPr>
                <w:rFonts w:ascii="宋体"/>
                <w:sz w:val="18"/>
              </w:rPr>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20"/>
              <w:jc w:val="right"/>
              <w:rPr>
                <w:rFonts w:ascii="宋体" w:hAnsi="宋体" w:cs="宋体" w:eastAsia="宋体" w:hint="default"/>
                <w:sz w:val="18"/>
                <w:szCs w:val="18"/>
              </w:rPr>
            </w:pPr>
            <w:r>
              <w:rPr>
                <w:rFonts w:ascii="宋体"/>
                <w:b/>
                <w:w w:val="95"/>
                <w:sz w:val="18"/>
              </w:rPr>
              <w:t>3,232,524,964.38</w:t>
            </w:r>
            <w:r>
              <w:rPr>
                <w:rFonts w:ascii="宋体"/>
                <w:sz w:val="18"/>
              </w:rPr>
            </w:r>
          </w:p>
        </w:tc>
      </w:tr>
      <w:tr>
        <w:trPr>
          <w:trHeight w:val="341" w:hRule="exact"/>
        </w:trPr>
        <w:tc>
          <w:tcPr>
            <w:tcW w:w="41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3"/>
              <w:ind w:left="476" w:right="0"/>
              <w:jc w:val="left"/>
              <w:rPr>
                <w:rFonts w:ascii="宋体" w:hAnsi="宋体" w:cs="宋体" w:eastAsia="宋体" w:hint="default"/>
                <w:sz w:val="18"/>
                <w:szCs w:val="18"/>
              </w:rPr>
            </w:pPr>
            <w:r>
              <w:rPr>
                <w:rFonts w:ascii="宋体" w:hAnsi="宋体" w:cs="宋体" w:eastAsia="宋体" w:hint="default"/>
                <w:b/>
                <w:bCs/>
                <w:sz w:val="18"/>
                <w:szCs w:val="18"/>
              </w:rPr>
              <w:t>资产总计 </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17"/>
              <w:jc w:val="right"/>
              <w:rPr>
                <w:rFonts w:ascii="宋体" w:hAnsi="宋体" w:cs="宋体" w:eastAsia="宋体" w:hint="default"/>
                <w:sz w:val="18"/>
                <w:szCs w:val="18"/>
              </w:rPr>
            </w:pPr>
            <w:r>
              <w:rPr>
                <w:rFonts w:ascii="宋体"/>
                <w:b/>
                <w:w w:val="95"/>
                <w:sz w:val="18"/>
              </w:rPr>
              <w:t>3,907,595,690.57</w:t>
            </w:r>
            <w:r>
              <w:rPr>
                <w:rFonts w:ascii="宋体"/>
                <w:sz w:val="18"/>
              </w:rPr>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3"/>
              <w:ind w:right="20"/>
              <w:jc w:val="right"/>
              <w:rPr>
                <w:rFonts w:ascii="宋体" w:hAnsi="宋体" w:cs="宋体" w:eastAsia="宋体" w:hint="default"/>
                <w:sz w:val="18"/>
                <w:szCs w:val="18"/>
              </w:rPr>
            </w:pPr>
            <w:r>
              <w:rPr>
                <w:rFonts w:ascii="宋体"/>
                <w:b/>
                <w:w w:val="95"/>
                <w:sz w:val="18"/>
              </w:rPr>
              <w:t>5,325,499,130.46</w:t>
            </w:r>
            <w:r>
              <w:rPr>
                <w:rFonts w:ascii="宋体"/>
                <w:sz w:val="18"/>
              </w:rPr>
            </w:r>
          </w:p>
        </w:tc>
      </w:tr>
      <w:tr>
        <w:trPr>
          <w:trHeight w:val="338" w:hRule="exact"/>
        </w:trPr>
        <w:tc>
          <w:tcPr>
            <w:tcW w:w="41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5" w:lineRule="exact"/>
              <w:ind w:left="2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1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96" w:right="0"/>
              <w:jc w:val="left"/>
              <w:rPr>
                <w:rFonts w:ascii="宋体" w:hAnsi="宋体" w:cs="宋体" w:eastAsia="宋体" w:hint="default"/>
                <w:sz w:val="18"/>
                <w:szCs w:val="18"/>
              </w:rPr>
            </w:pPr>
            <w:r>
              <w:rPr>
                <w:rFonts w:ascii="宋体" w:hAnsi="宋体" w:cs="宋体" w:eastAsia="宋体" w:hint="default"/>
                <w:sz w:val="18"/>
                <w:szCs w:val="18"/>
              </w:rPr>
              <w:t>短期借款</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9"/>
              <w:jc w:val="right"/>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十</w:t>
            </w:r>
            <w:r>
              <w:rPr>
                <w:rFonts w:ascii="宋体" w:hAnsi="宋体" w:cs="宋体" w:eastAsia="宋体" w:hint="default"/>
                <w:w w:val="100"/>
                <w:sz w:val="15"/>
                <w:szCs w:val="15"/>
              </w:rPr>
              <w:t>八）</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7"/>
              <w:jc w:val="right"/>
              <w:rPr>
                <w:rFonts w:ascii="宋体" w:hAnsi="宋体" w:cs="宋体" w:eastAsia="宋体" w:hint="default"/>
                <w:sz w:val="18"/>
                <w:szCs w:val="18"/>
              </w:rPr>
            </w:pPr>
            <w:r>
              <w:rPr>
                <w:rFonts w:ascii="宋体"/>
                <w:spacing w:val="-1"/>
                <w:sz w:val="18"/>
              </w:rPr>
              <w:t>301,730,212.16</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20"/>
              <w:jc w:val="right"/>
              <w:rPr>
                <w:rFonts w:ascii="宋体" w:hAnsi="宋体" w:cs="宋体" w:eastAsia="宋体" w:hint="default"/>
                <w:sz w:val="18"/>
                <w:szCs w:val="18"/>
              </w:rPr>
            </w:pPr>
            <w:r>
              <w:rPr>
                <w:rFonts w:ascii="宋体"/>
                <w:spacing w:val="-1"/>
                <w:sz w:val="18"/>
              </w:rPr>
              <w:t>380,261,829.86</w:t>
            </w:r>
          </w:p>
        </w:tc>
      </w:tr>
      <w:tr>
        <w:trPr>
          <w:trHeight w:val="341" w:hRule="exact"/>
        </w:trPr>
        <w:tc>
          <w:tcPr>
            <w:tcW w:w="41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96" w:right="0"/>
              <w:jc w:val="left"/>
              <w:rPr>
                <w:rFonts w:ascii="宋体" w:hAnsi="宋体" w:cs="宋体" w:eastAsia="宋体" w:hint="default"/>
                <w:sz w:val="18"/>
                <w:szCs w:val="18"/>
              </w:rPr>
            </w:pPr>
            <w:r>
              <w:rPr>
                <w:rFonts w:ascii="宋体" w:hAnsi="宋体" w:cs="宋体" w:eastAsia="宋体" w:hint="default"/>
                <w:sz w:val="18"/>
                <w:szCs w:val="18"/>
              </w:rPr>
              <w:t>向中央银行借款</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41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0"/>
              <w:ind w:left="296" w:right="0"/>
              <w:jc w:val="left"/>
              <w:rPr>
                <w:rFonts w:ascii="宋体" w:hAnsi="宋体" w:cs="宋体" w:eastAsia="宋体" w:hint="default"/>
                <w:sz w:val="18"/>
                <w:szCs w:val="18"/>
              </w:rPr>
            </w:pPr>
            <w:r>
              <w:rPr>
                <w:rFonts w:ascii="宋体" w:hAnsi="宋体" w:cs="宋体" w:eastAsia="宋体" w:hint="default"/>
                <w:sz w:val="18"/>
                <w:szCs w:val="18"/>
              </w:rPr>
              <w:t>拆入资金</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1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96" w:right="0"/>
              <w:jc w:val="left"/>
              <w:rPr>
                <w:rFonts w:ascii="宋体" w:hAnsi="宋体" w:cs="宋体" w:eastAsia="宋体" w:hint="default"/>
                <w:sz w:val="18"/>
                <w:szCs w:val="18"/>
              </w:rPr>
            </w:pPr>
            <w:r>
              <w:rPr>
                <w:rFonts w:ascii="宋体" w:hAnsi="宋体" w:cs="宋体" w:eastAsia="宋体" w:hint="default"/>
                <w:sz w:val="18"/>
                <w:szCs w:val="18"/>
              </w:rPr>
              <w:t>交易性金融负债</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535" w:hRule="exact"/>
        </w:trPr>
        <w:tc>
          <w:tcPr>
            <w:tcW w:w="41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2" w:right="22" w:firstLine="274"/>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以公允价值计量且其变动计入当期损益的金融负 债</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1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96" w:right="0"/>
              <w:jc w:val="left"/>
              <w:rPr>
                <w:rFonts w:ascii="宋体" w:hAnsi="宋体" w:cs="宋体" w:eastAsia="宋体" w:hint="default"/>
                <w:sz w:val="18"/>
                <w:szCs w:val="18"/>
              </w:rPr>
            </w:pPr>
            <w:r>
              <w:rPr>
                <w:rFonts w:ascii="宋体" w:hAnsi="宋体" w:cs="宋体" w:eastAsia="宋体" w:hint="default"/>
                <w:sz w:val="18"/>
                <w:szCs w:val="18"/>
              </w:rPr>
              <w:t>衍生金融负债</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41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0"/>
              <w:ind w:left="296" w:right="0"/>
              <w:jc w:val="left"/>
              <w:rPr>
                <w:rFonts w:ascii="宋体" w:hAnsi="宋体" w:cs="宋体" w:eastAsia="宋体" w:hint="default"/>
                <w:sz w:val="18"/>
                <w:szCs w:val="18"/>
              </w:rPr>
            </w:pPr>
            <w:r>
              <w:rPr>
                <w:rFonts w:ascii="宋体" w:hAnsi="宋体" w:cs="宋体" w:eastAsia="宋体" w:hint="default"/>
                <w:sz w:val="18"/>
                <w:szCs w:val="18"/>
              </w:rPr>
              <w:t>应付票据</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9"/>
              <w:jc w:val="right"/>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十</w:t>
            </w:r>
            <w:r>
              <w:rPr>
                <w:rFonts w:ascii="宋体" w:hAnsi="宋体" w:cs="宋体" w:eastAsia="宋体" w:hint="default"/>
                <w:w w:val="100"/>
                <w:sz w:val="15"/>
                <w:szCs w:val="15"/>
              </w:rPr>
              <w:t>九）</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6"/>
              <w:jc w:val="right"/>
              <w:rPr>
                <w:rFonts w:ascii="宋体" w:hAnsi="宋体" w:cs="宋体" w:eastAsia="宋体" w:hint="default"/>
                <w:sz w:val="18"/>
                <w:szCs w:val="18"/>
              </w:rPr>
            </w:pPr>
            <w:r>
              <w:rPr>
                <w:rFonts w:ascii="宋体"/>
                <w:spacing w:val="-1"/>
                <w:sz w:val="18"/>
              </w:rPr>
              <w:t>894,900.00</w:t>
            </w: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1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96" w:right="0"/>
              <w:jc w:val="left"/>
              <w:rPr>
                <w:rFonts w:ascii="宋体" w:hAnsi="宋体" w:cs="宋体" w:eastAsia="宋体" w:hint="default"/>
                <w:sz w:val="18"/>
                <w:szCs w:val="18"/>
              </w:rPr>
            </w:pPr>
            <w:r>
              <w:rPr>
                <w:rFonts w:ascii="宋体" w:hAnsi="宋体" w:cs="宋体" w:eastAsia="宋体" w:hint="default"/>
                <w:sz w:val="18"/>
                <w:szCs w:val="18"/>
              </w:rPr>
              <w:t>应付账款</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9"/>
              <w:jc w:val="right"/>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二</w:t>
            </w:r>
            <w:r>
              <w:rPr>
                <w:rFonts w:ascii="宋体" w:hAnsi="宋体" w:cs="宋体" w:eastAsia="宋体" w:hint="default"/>
                <w:w w:val="100"/>
                <w:sz w:val="15"/>
                <w:szCs w:val="15"/>
              </w:rPr>
              <w:t>十）</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7"/>
              <w:jc w:val="right"/>
              <w:rPr>
                <w:rFonts w:ascii="宋体" w:hAnsi="宋体" w:cs="宋体" w:eastAsia="宋体" w:hint="default"/>
                <w:sz w:val="18"/>
                <w:szCs w:val="18"/>
              </w:rPr>
            </w:pPr>
            <w:r>
              <w:rPr>
                <w:rFonts w:ascii="宋体"/>
                <w:spacing w:val="-1"/>
                <w:sz w:val="18"/>
              </w:rPr>
              <w:t>477,536,218.57</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20"/>
              <w:jc w:val="right"/>
              <w:rPr>
                <w:rFonts w:ascii="宋体" w:hAnsi="宋体" w:cs="宋体" w:eastAsia="宋体" w:hint="default"/>
                <w:sz w:val="18"/>
                <w:szCs w:val="18"/>
              </w:rPr>
            </w:pPr>
            <w:r>
              <w:rPr>
                <w:rFonts w:ascii="宋体"/>
                <w:spacing w:val="-1"/>
                <w:sz w:val="18"/>
              </w:rPr>
              <w:t>398,707,944.61</w:t>
            </w:r>
          </w:p>
        </w:tc>
      </w:tr>
      <w:tr>
        <w:trPr>
          <w:trHeight w:val="341" w:hRule="exact"/>
        </w:trPr>
        <w:tc>
          <w:tcPr>
            <w:tcW w:w="41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96" w:right="0"/>
              <w:jc w:val="left"/>
              <w:rPr>
                <w:rFonts w:ascii="宋体" w:hAnsi="宋体" w:cs="宋体" w:eastAsia="宋体" w:hint="default"/>
                <w:sz w:val="18"/>
                <w:szCs w:val="18"/>
              </w:rPr>
            </w:pPr>
            <w:r>
              <w:rPr>
                <w:rFonts w:ascii="宋体" w:hAnsi="宋体" w:cs="宋体" w:eastAsia="宋体" w:hint="default"/>
                <w:sz w:val="18"/>
                <w:szCs w:val="18"/>
              </w:rPr>
              <w:t>预收款项</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9"/>
              <w:jc w:val="right"/>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二</w:t>
            </w:r>
            <w:r>
              <w:rPr>
                <w:rFonts w:ascii="宋体" w:hAnsi="宋体" w:cs="宋体" w:eastAsia="宋体" w:hint="default"/>
                <w:w w:val="100"/>
                <w:sz w:val="15"/>
                <w:szCs w:val="15"/>
              </w:rPr>
              <w:t>十</w:t>
            </w:r>
            <w:r>
              <w:rPr>
                <w:rFonts w:ascii="宋体" w:hAnsi="宋体" w:cs="宋体" w:eastAsia="宋体" w:hint="default"/>
                <w:spacing w:val="-3"/>
                <w:w w:val="100"/>
                <w:sz w:val="15"/>
                <w:szCs w:val="15"/>
              </w:rPr>
              <w:t>一</w:t>
            </w:r>
            <w:r>
              <w:rPr>
                <w:rFonts w:ascii="宋体" w:hAnsi="宋体" w:cs="宋体" w:eastAsia="宋体" w:hint="default"/>
                <w:w w:val="100"/>
                <w:sz w:val="15"/>
                <w:szCs w:val="15"/>
              </w:rPr>
              <w:t>）</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7"/>
              <w:jc w:val="right"/>
              <w:rPr>
                <w:rFonts w:ascii="宋体" w:hAnsi="宋体" w:cs="宋体" w:eastAsia="宋体" w:hint="default"/>
                <w:sz w:val="18"/>
                <w:szCs w:val="18"/>
              </w:rPr>
            </w:pPr>
            <w:r>
              <w:rPr>
                <w:rFonts w:ascii="宋体"/>
                <w:spacing w:val="-1"/>
                <w:sz w:val="18"/>
              </w:rPr>
              <w:t>87,850,568.86</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20"/>
              <w:jc w:val="right"/>
              <w:rPr>
                <w:rFonts w:ascii="宋体" w:hAnsi="宋体" w:cs="宋体" w:eastAsia="宋体" w:hint="default"/>
                <w:sz w:val="18"/>
                <w:szCs w:val="18"/>
              </w:rPr>
            </w:pPr>
            <w:r>
              <w:rPr>
                <w:rFonts w:ascii="宋体"/>
                <w:spacing w:val="-1"/>
                <w:sz w:val="18"/>
              </w:rPr>
              <w:t>113,507,166.19</w:t>
            </w:r>
          </w:p>
        </w:tc>
      </w:tr>
      <w:tr>
        <w:trPr>
          <w:trHeight w:val="338" w:hRule="exact"/>
        </w:trPr>
        <w:tc>
          <w:tcPr>
            <w:tcW w:w="41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0"/>
              <w:ind w:left="296" w:right="0"/>
              <w:jc w:val="left"/>
              <w:rPr>
                <w:rFonts w:ascii="宋体" w:hAnsi="宋体" w:cs="宋体" w:eastAsia="宋体" w:hint="default"/>
                <w:sz w:val="18"/>
                <w:szCs w:val="18"/>
              </w:rPr>
            </w:pPr>
            <w:r>
              <w:rPr>
                <w:rFonts w:ascii="宋体" w:hAnsi="宋体" w:cs="宋体" w:eastAsia="宋体" w:hint="default"/>
                <w:sz w:val="18"/>
                <w:szCs w:val="18"/>
              </w:rPr>
              <w:t>卖出回购金融资产款</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1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96" w:right="0"/>
              <w:jc w:val="left"/>
              <w:rPr>
                <w:rFonts w:ascii="宋体" w:hAnsi="宋体" w:cs="宋体" w:eastAsia="宋体" w:hint="default"/>
                <w:sz w:val="18"/>
                <w:szCs w:val="18"/>
              </w:rPr>
            </w:pPr>
            <w:r>
              <w:rPr>
                <w:rFonts w:ascii="宋体" w:hAnsi="宋体" w:cs="宋体" w:eastAsia="宋体" w:hint="default"/>
                <w:sz w:val="18"/>
                <w:szCs w:val="18"/>
              </w:rPr>
              <w:t>吸收存款及同业存放</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1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96" w:right="0"/>
              <w:jc w:val="left"/>
              <w:rPr>
                <w:rFonts w:ascii="宋体" w:hAnsi="宋体" w:cs="宋体" w:eastAsia="宋体" w:hint="default"/>
                <w:sz w:val="18"/>
                <w:szCs w:val="18"/>
              </w:rPr>
            </w:pPr>
            <w:r>
              <w:rPr>
                <w:rFonts w:ascii="宋体" w:hAnsi="宋体" w:cs="宋体" w:eastAsia="宋体" w:hint="default"/>
                <w:sz w:val="18"/>
                <w:szCs w:val="18"/>
              </w:rPr>
              <w:t>代理买卖证券款</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41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0"/>
              <w:ind w:left="296" w:right="0"/>
              <w:jc w:val="left"/>
              <w:rPr>
                <w:rFonts w:ascii="宋体" w:hAnsi="宋体" w:cs="宋体" w:eastAsia="宋体" w:hint="default"/>
                <w:sz w:val="18"/>
                <w:szCs w:val="18"/>
              </w:rPr>
            </w:pPr>
            <w:r>
              <w:rPr>
                <w:rFonts w:ascii="宋体" w:hAnsi="宋体" w:cs="宋体" w:eastAsia="宋体" w:hint="default"/>
                <w:sz w:val="18"/>
                <w:szCs w:val="18"/>
              </w:rPr>
              <w:t>代理承销证券款</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1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96" w:right="0"/>
              <w:jc w:val="left"/>
              <w:rPr>
                <w:rFonts w:ascii="宋体" w:hAnsi="宋体" w:cs="宋体" w:eastAsia="宋体" w:hint="default"/>
                <w:sz w:val="18"/>
                <w:szCs w:val="18"/>
              </w:rPr>
            </w:pPr>
            <w:r>
              <w:rPr>
                <w:rFonts w:ascii="宋体" w:hAnsi="宋体" w:cs="宋体" w:eastAsia="宋体" w:hint="default"/>
                <w:sz w:val="18"/>
                <w:szCs w:val="18"/>
              </w:rPr>
              <w:t>应付职工薪酬</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9"/>
              <w:jc w:val="right"/>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二</w:t>
            </w:r>
            <w:r>
              <w:rPr>
                <w:rFonts w:ascii="宋体" w:hAnsi="宋体" w:cs="宋体" w:eastAsia="宋体" w:hint="default"/>
                <w:w w:val="100"/>
                <w:sz w:val="15"/>
                <w:szCs w:val="15"/>
              </w:rPr>
              <w:t>十</w:t>
            </w:r>
            <w:r>
              <w:rPr>
                <w:rFonts w:ascii="宋体" w:hAnsi="宋体" w:cs="宋体" w:eastAsia="宋体" w:hint="default"/>
                <w:spacing w:val="-3"/>
                <w:w w:val="100"/>
                <w:sz w:val="15"/>
                <w:szCs w:val="15"/>
              </w:rPr>
              <w:t>二</w:t>
            </w:r>
            <w:r>
              <w:rPr>
                <w:rFonts w:ascii="宋体" w:hAnsi="宋体" w:cs="宋体" w:eastAsia="宋体" w:hint="default"/>
                <w:w w:val="100"/>
                <w:sz w:val="15"/>
                <w:szCs w:val="15"/>
              </w:rPr>
              <w:t>）</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7"/>
              <w:jc w:val="right"/>
              <w:rPr>
                <w:rFonts w:ascii="宋体" w:hAnsi="宋体" w:cs="宋体" w:eastAsia="宋体" w:hint="default"/>
                <w:sz w:val="18"/>
                <w:szCs w:val="18"/>
              </w:rPr>
            </w:pPr>
            <w:r>
              <w:rPr>
                <w:rFonts w:ascii="宋体"/>
                <w:spacing w:val="-1"/>
                <w:sz w:val="18"/>
              </w:rPr>
              <w:t>53,733,056.05</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9"/>
              <w:jc w:val="right"/>
              <w:rPr>
                <w:rFonts w:ascii="宋体" w:hAnsi="宋体" w:cs="宋体" w:eastAsia="宋体" w:hint="default"/>
                <w:sz w:val="18"/>
                <w:szCs w:val="18"/>
              </w:rPr>
            </w:pPr>
            <w:r>
              <w:rPr>
                <w:rFonts w:ascii="宋体"/>
                <w:spacing w:val="-1"/>
                <w:sz w:val="18"/>
              </w:rPr>
              <w:t>83,864,738.43</w:t>
            </w:r>
          </w:p>
        </w:tc>
      </w:tr>
      <w:tr>
        <w:trPr>
          <w:trHeight w:val="341" w:hRule="exact"/>
        </w:trPr>
        <w:tc>
          <w:tcPr>
            <w:tcW w:w="41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96" w:right="0"/>
              <w:jc w:val="left"/>
              <w:rPr>
                <w:rFonts w:ascii="宋体" w:hAnsi="宋体" w:cs="宋体" w:eastAsia="宋体" w:hint="default"/>
                <w:sz w:val="18"/>
                <w:szCs w:val="18"/>
              </w:rPr>
            </w:pPr>
            <w:r>
              <w:rPr>
                <w:rFonts w:ascii="宋体" w:hAnsi="宋体" w:cs="宋体" w:eastAsia="宋体" w:hint="default"/>
                <w:sz w:val="18"/>
                <w:szCs w:val="18"/>
              </w:rPr>
              <w:t>应交税费</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9"/>
              <w:jc w:val="right"/>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二</w:t>
            </w:r>
            <w:r>
              <w:rPr>
                <w:rFonts w:ascii="宋体" w:hAnsi="宋体" w:cs="宋体" w:eastAsia="宋体" w:hint="default"/>
                <w:w w:val="100"/>
                <w:sz w:val="15"/>
                <w:szCs w:val="15"/>
              </w:rPr>
              <w:t>十</w:t>
            </w:r>
            <w:r>
              <w:rPr>
                <w:rFonts w:ascii="宋体" w:hAnsi="宋体" w:cs="宋体" w:eastAsia="宋体" w:hint="default"/>
                <w:spacing w:val="-3"/>
                <w:w w:val="100"/>
                <w:sz w:val="15"/>
                <w:szCs w:val="15"/>
              </w:rPr>
              <w:t>三</w:t>
            </w:r>
            <w:r>
              <w:rPr>
                <w:rFonts w:ascii="宋体" w:hAnsi="宋体" w:cs="宋体" w:eastAsia="宋体" w:hint="default"/>
                <w:w w:val="100"/>
                <w:sz w:val="15"/>
                <w:szCs w:val="15"/>
              </w:rPr>
              <w:t>）</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7"/>
              <w:jc w:val="right"/>
              <w:rPr>
                <w:rFonts w:ascii="宋体" w:hAnsi="宋体" w:cs="宋体" w:eastAsia="宋体" w:hint="default"/>
                <w:sz w:val="18"/>
                <w:szCs w:val="18"/>
              </w:rPr>
            </w:pPr>
            <w:r>
              <w:rPr>
                <w:rFonts w:ascii="宋体"/>
                <w:spacing w:val="-1"/>
                <w:sz w:val="18"/>
              </w:rPr>
              <w:t>51,140,316.68</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9"/>
              <w:jc w:val="right"/>
              <w:rPr>
                <w:rFonts w:ascii="宋体" w:hAnsi="宋体" w:cs="宋体" w:eastAsia="宋体" w:hint="default"/>
                <w:sz w:val="18"/>
                <w:szCs w:val="18"/>
              </w:rPr>
            </w:pPr>
            <w:r>
              <w:rPr>
                <w:rFonts w:ascii="宋体"/>
                <w:spacing w:val="-1"/>
                <w:sz w:val="18"/>
              </w:rPr>
              <w:t>59,624,653.11</w:t>
            </w:r>
          </w:p>
        </w:tc>
      </w:tr>
      <w:tr>
        <w:trPr>
          <w:trHeight w:val="338" w:hRule="exact"/>
        </w:trPr>
        <w:tc>
          <w:tcPr>
            <w:tcW w:w="41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0"/>
              <w:ind w:left="296" w:right="0"/>
              <w:jc w:val="left"/>
              <w:rPr>
                <w:rFonts w:ascii="宋体" w:hAnsi="宋体" w:cs="宋体" w:eastAsia="宋体" w:hint="default"/>
                <w:sz w:val="18"/>
                <w:szCs w:val="18"/>
              </w:rPr>
            </w:pPr>
            <w:r>
              <w:rPr>
                <w:rFonts w:ascii="宋体" w:hAnsi="宋体" w:cs="宋体" w:eastAsia="宋体" w:hint="default"/>
                <w:sz w:val="18"/>
                <w:szCs w:val="18"/>
              </w:rPr>
              <w:t>其他应付款</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9"/>
              <w:jc w:val="right"/>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二</w:t>
            </w:r>
            <w:r>
              <w:rPr>
                <w:rFonts w:ascii="宋体" w:hAnsi="宋体" w:cs="宋体" w:eastAsia="宋体" w:hint="default"/>
                <w:w w:val="100"/>
                <w:sz w:val="15"/>
                <w:szCs w:val="15"/>
              </w:rPr>
              <w:t>十</w:t>
            </w:r>
            <w:r>
              <w:rPr>
                <w:rFonts w:ascii="宋体" w:hAnsi="宋体" w:cs="宋体" w:eastAsia="宋体" w:hint="default"/>
                <w:spacing w:val="-3"/>
                <w:w w:val="100"/>
                <w:sz w:val="15"/>
                <w:szCs w:val="15"/>
              </w:rPr>
              <w:t>四</w:t>
            </w:r>
            <w:r>
              <w:rPr>
                <w:rFonts w:ascii="宋体" w:hAnsi="宋体" w:cs="宋体" w:eastAsia="宋体" w:hint="default"/>
                <w:w w:val="100"/>
                <w:sz w:val="15"/>
                <w:szCs w:val="15"/>
              </w:rPr>
              <w:t>）</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7"/>
              <w:jc w:val="right"/>
              <w:rPr>
                <w:rFonts w:ascii="宋体" w:hAnsi="宋体" w:cs="宋体" w:eastAsia="宋体" w:hint="default"/>
                <w:sz w:val="18"/>
                <w:szCs w:val="18"/>
              </w:rPr>
            </w:pPr>
            <w:r>
              <w:rPr>
                <w:rFonts w:ascii="宋体"/>
                <w:spacing w:val="-1"/>
                <w:sz w:val="18"/>
              </w:rPr>
              <w:t>392,049,067.40</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20"/>
              <w:jc w:val="right"/>
              <w:rPr>
                <w:rFonts w:ascii="宋体" w:hAnsi="宋体" w:cs="宋体" w:eastAsia="宋体" w:hint="default"/>
                <w:sz w:val="18"/>
                <w:szCs w:val="18"/>
              </w:rPr>
            </w:pPr>
            <w:r>
              <w:rPr>
                <w:rFonts w:ascii="宋体"/>
                <w:spacing w:val="-1"/>
                <w:sz w:val="18"/>
              </w:rPr>
              <w:t>418,121,478.94</w:t>
            </w:r>
          </w:p>
        </w:tc>
      </w:tr>
      <w:tr>
        <w:trPr>
          <w:trHeight w:val="341" w:hRule="exact"/>
        </w:trPr>
        <w:tc>
          <w:tcPr>
            <w:tcW w:w="41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96" w:right="0"/>
              <w:jc w:val="left"/>
              <w:rPr>
                <w:rFonts w:ascii="宋体" w:hAnsi="宋体" w:cs="宋体" w:eastAsia="宋体" w:hint="default"/>
                <w:sz w:val="18"/>
                <w:szCs w:val="18"/>
              </w:rPr>
            </w:pPr>
            <w:r>
              <w:rPr>
                <w:rFonts w:ascii="宋体" w:hAnsi="宋体" w:cs="宋体" w:eastAsia="宋体" w:hint="default"/>
                <w:sz w:val="18"/>
                <w:szCs w:val="18"/>
              </w:rPr>
              <w:t>其中：应付利息</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6"/>
              <w:jc w:val="right"/>
              <w:rPr>
                <w:rFonts w:ascii="宋体" w:hAnsi="宋体" w:cs="宋体" w:eastAsia="宋体" w:hint="default"/>
                <w:sz w:val="18"/>
                <w:szCs w:val="18"/>
              </w:rPr>
            </w:pPr>
            <w:r>
              <w:rPr>
                <w:rFonts w:ascii="宋体"/>
                <w:spacing w:val="-1"/>
                <w:sz w:val="18"/>
              </w:rPr>
              <w:t>816,667.91</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9"/>
              <w:jc w:val="right"/>
              <w:rPr>
                <w:rFonts w:ascii="宋体" w:hAnsi="宋体" w:cs="宋体" w:eastAsia="宋体" w:hint="default"/>
                <w:sz w:val="18"/>
                <w:szCs w:val="18"/>
              </w:rPr>
            </w:pPr>
            <w:r>
              <w:rPr>
                <w:rFonts w:ascii="宋体"/>
                <w:spacing w:val="-1"/>
                <w:sz w:val="18"/>
              </w:rPr>
              <w:t>1,243,294.48</w:t>
            </w:r>
          </w:p>
        </w:tc>
      </w:tr>
      <w:tr>
        <w:trPr>
          <w:trHeight w:val="341" w:hRule="exact"/>
        </w:trPr>
        <w:tc>
          <w:tcPr>
            <w:tcW w:w="41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836" w:right="0"/>
              <w:jc w:val="left"/>
              <w:rPr>
                <w:rFonts w:ascii="宋体" w:hAnsi="宋体" w:cs="宋体" w:eastAsia="宋体" w:hint="default"/>
                <w:sz w:val="18"/>
                <w:szCs w:val="18"/>
              </w:rPr>
            </w:pPr>
            <w:r>
              <w:rPr>
                <w:rFonts w:ascii="宋体" w:hAnsi="宋体" w:cs="宋体" w:eastAsia="宋体" w:hint="default"/>
                <w:sz w:val="18"/>
                <w:szCs w:val="18"/>
              </w:rPr>
              <w:t>应付股利</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6"/>
              <w:jc w:val="right"/>
              <w:rPr>
                <w:rFonts w:ascii="宋体" w:hAnsi="宋体" w:cs="宋体" w:eastAsia="宋体" w:hint="default"/>
                <w:sz w:val="18"/>
                <w:szCs w:val="18"/>
              </w:rPr>
            </w:pPr>
            <w:r>
              <w:rPr>
                <w:rFonts w:ascii="宋体"/>
                <w:spacing w:val="-1"/>
                <w:sz w:val="18"/>
              </w:rPr>
              <w:t>874,026.67</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9"/>
              <w:jc w:val="right"/>
              <w:rPr>
                <w:rFonts w:ascii="宋体" w:hAnsi="宋体" w:cs="宋体" w:eastAsia="宋体" w:hint="default"/>
                <w:sz w:val="18"/>
                <w:szCs w:val="18"/>
              </w:rPr>
            </w:pPr>
            <w:r>
              <w:rPr>
                <w:rFonts w:ascii="宋体"/>
                <w:spacing w:val="-1"/>
                <w:sz w:val="18"/>
              </w:rPr>
              <w:t>874,026.67</w:t>
            </w:r>
          </w:p>
        </w:tc>
      </w:tr>
      <w:tr>
        <w:trPr>
          <w:trHeight w:val="338" w:hRule="exact"/>
        </w:trPr>
        <w:tc>
          <w:tcPr>
            <w:tcW w:w="41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0"/>
              <w:ind w:left="296" w:right="0"/>
              <w:jc w:val="left"/>
              <w:rPr>
                <w:rFonts w:ascii="宋体" w:hAnsi="宋体" w:cs="宋体" w:eastAsia="宋体" w:hint="default"/>
                <w:sz w:val="18"/>
                <w:szCs w:val="18"/>
              </w:rPr>
            </w:pPr>
            <w:r>
              <w:rPr>
                <w:rFonts w:ascii="宋体" w:hAnsi="宋体" w:cs="宋体" w:eastAsia="宋体" w:hint="default"/>
                <w:sz w:val="18"/>
                <w:szCs w:val="18"/>
              </w:rPr>
              <w:t>应付手续费及佣金</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1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96" w:right="0"/>
              <w:jc w:val="left"/>
              <w:rPr>
                <w:rFonts w:ascii="宋体" w:hAnsi="宋体" w:cs="宋体" w:eastAsia="宋体" w:hint="default"/>
                <w:sz w:val="18"/>
                <w:szCs w:val="18"/>
              </w:rPr>
            </w:pPr>
            <w:r>
              <w:rPr>
                <w:rFonts w:ascii="宋体" w:hAnsi="宋体" w:cs="宋体" w:eastAsia="宋体" w:hint="default"/>
                <w:sz w:val="18"/>
                <w:szCs w:val="18"/>
              </w:rPr>
              <w:t>应付分保账款</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1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96" w:right="0"/>
              <w:jc w:val="left"/>
              <w:rPr>
                <w:rFonts w:ascii="宋体" w:hAnsi="宋体" w:cs="宋体" w:eastAsia="宋体" w:hint="default"/>
                <w:sz w:val="18"/>
                <w:szCs w:val="18"/>
              </w:rPr>
            </w:pPr>
            <w:r>
              <w:rPr>
                <w:rFonts w:ascii="宋体" w:hAnsi="宋体" w:cs="宋体" w:eastAsia="宋体" w:hint="default"/>
                <w:sz w:val="18"/>
                <w:szCs w:val="18"/>
              </w:rPr>
              <w:t>持有待售负债</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41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0"/>
              <w:ind w:left="296"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9"/>
              <w:jc w:val="right"/>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二</w:t>
            </w:r>
            <w:r>
              <w:rPr>
                <w:rFonts w:ascii="宋体" w:hAnsi="宋体" w:cs="宋体" w:eastAsia="宋体" w:hint="default"/>
                <w:w w:val="100"/>
                <w:sz w:val="15"/>
                <w:szCs w:val="15"/>
              </w:rPr>
              <w:t>十</w:t>
            </w:r>
            <w:r>
              <w:rPr>
                <w:rFonts w:ascii="宋体" w:hAnsi="宋体" w:cs="宋体" w:eastAsia="宋体" w:hint="default"/>
                <w:spacing w:val="-3"/>
                <w:w w:val="100"/>
                <w:sz w:val="15"/>
                <w:szCs w:val="15"/>
              </w:rPr>
              <w:t>五</w:t>
            </w:r>
            <w:r>
              <w:rPr>
                <w:rFonts w:ascii="宋体" w:hAnsi="宋体" w:cs="宋体" w:eastAsia="宋体" w:hint="default"/>
                <w:w w:val="100"/>
                <w:sz w:val="15"/>
                <w:szCs w:val="15"/>
              </w:rPr>
              <w:t>）</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7"/>
              <w:jc w:val="right"/>
              <w:rPr>
                <w:rFonts w:ascii="宋体" w:hAnsi="宋体" w:cs="宋体" w:eastAsia="宋体" w:hint="default"/>
                <w:sz w:val="18"/>
                <w:szCs w:val="18"/>
              </w:rPr>
            </w:pPr>
            <w:r>
              <w:rPr>
                <w:rFonts w:ascii="宋体"/>
                <w:spacing w:val="-1"/>
                <w:sz w:val="18"/>
              </w:rPr>
              <w:t>119,099,654.38</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9"/>
              <w:jc w:val="right"/>
              <w:rPr>
                <w:rFonts w:ascii="宋体" w:hAnsi="宋体" w:cs="宋体" w:eastAsia="宋体" w:hint="default"/>
                <w:sz w:val="18"/>
                <w:szCs w:val="18"/>
              </w:rPr>
            </w:pPr>
            <w:r>
              <w:rPr>
                <w:rFonts w:ascii="宋体"/>
                <w:spacing w:val="-1"/>
                <w:sz w:val="18"/>
              </w:rPr>
              <w:t>38,983,181.92</w:t>
            </w:r>
          </w:p>
        </w:tc>
      </w:tr>
      <w:tr>
        <w:trPr>
          <w:trHeight w:val="444" w:hRule="exact"/>
        </w:trPr>
        <w:tc>
          <w:tcPr>
            <w:tcW w:w="41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3"/>
              <w:ind w:left="296" w:right="0"/>
              <w:jc w:val="left"/>
              <w:rPr>
                <w:rFonts w:ascii="宋体" w:hAnsi="宋体" w:cs="宋体" w:eastAsia="宋体" w:hint="default"/>
                <w:sz w:val="18"/>
                <w:szCs w:val="18"/>
              </w:rPr>
            </w:pPr>
            <w:r>
              <w:rPr>
                <w:rFonts w:ascii="宋体" w:hAnsi="宋体" w:cs="宋体" w:eastAsia="宋体" w:hint="default"/>
                <w:sz w:val="18"/>
                <w:szCs w:val="18"/>
              </w:rPr>
              <w:t>其他流动负债</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9"/>
              <w:jc w:val="right"/>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二</w:t>
            </w:r>
            <w:r>
              <w:rPr>
                <w:rFonts w:ascii="宋体" w:hAnsi="宋体" w:cs="宋体" w:eastAsia="宋体" w:hint="default"/>
                <w:w w:val="100"/>
                <w:sz w:val="15"/>
                <w:szCs w:val="15"/>
              </w:rPr>
              <w:t>十</w:t>
            </w:r>
            <w:r>
              <w:rPr>
                <w:rFonts w:ascii="宋体" w:hAnsi="宋体" w:cs="宋体" w:eastAsia="宋体" w:hint="default"/>
                <w:spacing w:val="-3"/>
                <w:w w:val="100"/>
                <w:sz w:val="15"/>
                <w:szCs w:val="15"/>
              </w:rPr>
              <w:t>六</w:t>
            </w:r>
            <w:r>
              <w:rPr>
                <w:rFonts w:ascii="宋体" w:hAnsi="宋体" w:cs="宋体" w:eastAsia="宋体" w:hint="default"/>
                <w:w w:val="100"/>
                <w:sz w:val="15"/>
                <w:szCs w:val="15"/>
              </w:rPr>
              <w:t>）</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7"/>
              <w:jc w:val="right"/>
              <w:rPr>
                <w:rFonts w:ascii="宋体" w:hAnsi="宋体" w:cs="宋体" w:eastAsia="宋体" w:hint="default"/>
                <w:sz w:val="18"/>
                <w:szCs w:val="18"/>
              </w:rPr>
            </w:pPr>
            <w:r>
              <w:rPr>
                <w:rFonts w:ascii="宋体"/>
                <w:spacing w:val="-1"/>
                <w:sz w:val="18"/>
              </w:rPr>
              <w:t>23,352,100.91</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3"/>
              <w:ind w:right="19"/>
              <w:jc w:val="right"/>
              <w:rPr>
                <w:rFonts w:ascii="宋体" w:hAnsi="宋体" w:cs="宋体" w:eastAsia="宋体" w:hint="default"/>
                <w:sz w:val="18"/>
                <w:szCs w:val="18"/>
              </w:rPr>
            </w:pPr>
            <w:r>
              <w:rPr>
                <w:rFonts w:ascii="宋体"/>
                <w:spacing w:val="-1"/>
                <w:sz w:val="18"/>
              </w:rPr>
              <w:t>34,777,965.74</w:t>
            </w:r>
          </w:p>
        </w:tc>
      </w:tr>
      <w:tr>
        <w:trPr>
          <w:trHeight w:val="338" w:hRule="exact"/>
        </w:trPr>
        <w:tc>
          <w:tcPr>
            <w:tcW w:w="41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0"/>
              <w:ind w:left="385" w:right="0"/>
              <w:jc w:val="left"/>
              <w:rPr>
                <w:rFonts w:ascii="宋体" w:hAnsi="宋体" w:cs="宋体" w:eastAsia="宋体" w:hint="default"/>
                <w:sz w:val="18"/>
                <w:szCs w:val="18"/>
              </w:rPr>
            </w:pPr>
            <w:r>
              <w:rPr>
                <w:rFonts w:ascii="宋体" w:hAnsi="宋体" w:cs="宋体" w:eastAsia="宋体" w:hint="default"/>
                <w:b/>
                <w:bCs/>
                <w:sz w:val="18"/>
                <w:szCs w:val="18"/>
              </w:rPr>
              <w:t>流动负债合计 </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7"/>
              <w:jc w:val="right"/>
              <w:rPr>
                <w:rFonts w:ascii="宋体" w:hAnsi="宋体" w:cs="宋体" w:eastAsia="宋体" w:hint="default"/>
                <w:sz w:val="18"/>
                <w:szCs w:val="18"/>
              </w:rPr>
            </w:pPr>
            <w:r>
              <w:rPr>
                <w:rFonts w:ascii="宋体"/>
                <w:b/>
                <w:w w:val="95"/>
                <w:sz w:val="18"/>
              </w:rPr>
              <w:t>1,507,386,095.01</w:t>
            </w:r>
            <w:r>
              <w:rPr>
                <w:rFonts w:ascii="宋体"/>
                <w:sz w:val="18"/>
              </w:rPr>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20"/>
              <w:jc w:val="right"/>
              <w:rPr>
                <w:rFonts w:ascii="宋体" w:hAnsi="宋体" w:cs="宋体" w:eastAsia="宋体" w:hint="default"/>
                <w:sz w:val="18"/>
                <w:szCs w:val="18"/>
              </w:rPr>
            </w:pPr>
            <w:r>
              <w:rPr>
                <w:rFonts w:ascii="宋体"/>
                <w:b/>
                <w:w w:val="95"/>
                <w:sz w:val="18"/>
              </w:rPr>
              <w:t>1,527,848,958.80</w:t>
            </w:r>
            <w:r>
              <w:rPr>
                <w:rFonts w:ascii="宋体"/>
                <w:sz w:val="18"/>
              </w:rPr>
            </w:r>
          </w:p>
        </w:tc>
      </w:tr>
      <w:tr>
        <w:trPr>
          <w:trHeight w:val="341" w:hRule="exact"/>
        </w:trPr>
        <w:tc>
          <w:tcPr>
            <w:tcW w:w="41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114" w:right="0"/>
              <w:jc w:val="left"/>
              <w:rPr>
                <w:rFonts w:ascii="宋体" w:hAnsi="宋体" w:cs="宋体" w:eastAsia="宋体" w:hint="default"/>
                <w:sz w:val="18"/>
                <w:szCs w:val="18"/>
              </w:rPr>
            </w:pPr>
            <w:r>
              <w:rPr>
                <w:rFonts w:ascii="宋体" w:hAnsi="宋体" w:cs="宋体" w:eastAsia="宋体" w:hint="default"/>
                <w:b/>
                <w:bCs/>
                <w:sz w:val="18"/>
                <w:szCs w:val="18"/>
              </w:rPr>
              <w:t>非流动负债：</w:t>
            </w:r>
            <w:r>
              <w:rPr>
                <w:rFonts w:ascii="宋体" w:hAnsi="宋体" w:cs="宋体" w:eastAsia="宋体" w:hint="default"/>
                <w:b/>
                <w:bCs/>
                <w:spacing w:val="1"/>
                <w:sz w:val="18"/>
                <w:szCs w:val="18"/>
              </w:rPr>
              <w:t> </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1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96" w:right="0"/>
              <w:jc w:val="left"/>
              <w:rPr>
                <w:rFonts w:ascii="宋体" w:hAnsi="宋体" w:cs="宋体" w:eastAsia="宋体" w:hint="default"/>
                <w:sz w:val="18"/>
                <w:szCs w:val="18"/>
              </w:rPr>
            </w:pPr>
            <w:r>
              <w:rPr>
                <w:rFonts w:ascii="宋体" w:hAnsi="宋体" w:cs="宋体" w:eastAsia="宋体" w:hint="default"/>
                <w:sz w:val="18"/>
                <w:szCs w:val="18"/>
              </w:rPr>
              <w:t>保险合同准备金</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21" w:footer="725" w:top="1160" w:bottom="920" w:left="980" w:right="0"/>
        </w:sectPr>
      </w:pPr>
    </w:p>
    <w:p>
      <w:pPr>
        <w:spacing w:line="240" w:lineRule="auto" w:before="2"/>
        <w:rPr>
          <w:rFonts w:ascii="Times New Roman" w:hAnsi="Times New Roman" w:cs="Times New Roman" w:eastAsia="Times New Roman" w:hint="default"/>
          <w:sz w:val="24"/>
          <w:szCs w:val="24"/>
        </w:rPr>
      </w:pPr>
    </w:p>
    <w:tbl>
      <w:tblPr>
        <w:tblW w:w="0" w:type="auto"/>
        <w:jc w:val="left"/>
        <w:tblInd w:w="148" w:type="dxa"/>
        <w:tblLayout w:type="fixed"/>
        <w:tblCellMar>
          <w:top w:w="0" w:type="dxa"/>
          <w:left w:w="0" w:type="dxa"/>
          <w:bottom w:w="0" w:type="dxa"/>
          <w:right w:w="0" w:type="dxa"/>
        </w:tblCellMar>
        <w:tblLook w:val="01E0"/>
      </w:tblPr>
      <w:tblGrid>
        <w:gridCol w:w="4112"/>
        <w:gridCol w:w="1277"/>
        <w:gridCol w:w="2124"/>
        <w:gridCol w:w="1988"/>
      </w:tblGrid>
      <w:tr>
        <w:trPr>
          <w:trHeight w:val="335" w:hRule="exact"/>
        </w:trPr>
        <w:tc>
          <w:tcPr>
            <w:tcW w:w="4112" w:type="dxa"/>
            <w:tcBorders>
              <w:top w:val="single" w:sz="8" w:space="0" w:color="000000"/>
              <w:left w:val="single" w:sz="4" w:space="0" w:color="000000"/>
              <w:bottom w:val="single" w:sz="11" w:space="0" w:color="000000"/>
              <w:right w:val="single" w:sz="4" w:space="0" w:color="000000"/>
            </w:tcBorders>
          </w:tcPr>
          <w:p>
            <w:pPr>
              <w:pStyle w:val="TableParagraph"/>
              <w:tabs>
                <w:tab w:pos="298" w:val="left" w:leader="none"/>
                <w:tab w:pos="4080" w:val="left" w:leader="none"/>
              </w:tabs>
              <w:spacing w:line="240" w:lineRule="auto" w:before="1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长期借款</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1"/>
              <w:ind w:right="19"/>
              <w:jc w:val="right"/>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二</w:t>
            </w:r>
            <w:r>
              <w:rPr>
                <w:rFonts w:ascii="宋体" w:hAnsi="宋体" w:cs="宋体" w:eastAsia="宋体" w:hint="default"/>
                <w:w w:val="100"/>
                <w:sz w:val="15"/>
                <w:szCs w:val="15"/>
              </w:rPr>
              <w:t>十</w:t>
            </w:r>
            <w:r>
              <w:rPr>
                <w:rFonts w:ascii="宋体" w:hAnsi="宋体" w:cs="宋体" w:eastAsia="宋体" w:hint="default"/>
                <w:spacing w:val="-3"/>
                <w:w w:val="100"/>
                <w:sz w:val="15"/>
                <w:szCs w:val="15"/>
              </w:rPr>
              <w:t>七</w:t>
            </w:r>
            <w:r>
              <w:rPr>
                <w:rFonts w:ascii="宋体" w:hAnsi="宋体" w:cs="宋体" w:eastAsia="宋体" w:hint="default"/>
                <w:w w:val="100"/>
                <w:sz w:val="15"/>
                <w:szCs w:val="15"/>
              </w:rPr>
              <w:t>）</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7"/>
              <w:jc w:val="right"/>
              <w:rPr>
                <w:rFonts w:ascii="宋体" w:hAnsi="宋体" w:cs="宋体" w:eastAsia="宋体" w:hint="default"/>
                <w:sz w:val="18"/>
                <w:szCs w:val="18"/>
              </w:rPr>
            </w:pPr>
            <w:r>
              <w:rPr>
                <w:rFonts w:ascii="宋体"/>
                <w:spacing w:val="-1"/>
                <w:sz w:val="18"/>
              </w:rPr>
              <w:t>66,265,601.54</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20"/>
              <w:jc w:val="right"/>
              <w:rPr>
                <w:rFonts w:ascii="宋体" w:hAnsi="宋体" w:cs="宋体" w:eastAsia="宋体" w:hint="default"/>
                <w:sz w:val="18"/>
                <w:szCs w:val="18"/>
              </w:rPr>
            </w:pPr>
            <w:r>
              <w:rPr>
                <w:rFonts w:ascii="宋体"/>
                <w:spacing w:val="-1"/>
                <w:sz w:val="18"/>
              </w:rPr>
              <w:t>185,365,255.92</w:t>
            </w:r>
          </w:p>
        </w:tc>
      </w:tr>
      <w:tr>
        <w:trPr>
          <w:trHeight w:val="341" w:hRule="exact"/>
        </w:trPr>
        <w:tc>
          <w:tcPr>
            <w:tcW w:w="4112" w:type="dxa"/>
            <w:tcBorders>
              <w:top w:val="single" w:sz="11" w:space="0" w:color="000000"/>
              <w:left w:val="single" w:sz="4" w:space="0" w:color="000000"/>
              <w:bottom w:val="single" w:sz="4" w:space="0" w:color="000000"/>
              <w:right w:val="single" w:sz="4" w:space="0" w:color="000000"/>
            </w:tcBorders>
          </w:tcPr>
          <w:p>
            <w:pPr>
              <w:pStyle w:val="TableParagraph"/>
              <w:tabs>
                <w:tab w:pos="298" w:val="left" w:leader="none"/>
                <w:tab w:pos="4080" w:val="left" w:leader="none"/>
              </w:tabs>
              <w:spacing w:line="240" w:lineRule="auto" w:before="1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应付债券</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112" w:type="dxa"/>
            <w:tcBorders>
              <w:top w:val="single" w:sz="4" w:space="0" w:color="000000"/>
              <w:left w:val="single" w:sz="4" w:space="0" w:color="000000"/>
              <w:bottom w:val="single" w:sz="4" w:space="0" w:color="000000"/>
              <w:right w:val="single" w:sz="4" w:space="0" w:color="000000"/>
            </w:tcBorders>
          </w:tcPr>
          <w:p>
            <w:pPr>
              <w:pStyle w:val="TableParagraph"/>
              <w:tabs>
                <w:tab w:pos="298" w:val="left" w:leader="none"/>
                <w:tab w:pos="4080" w:val="left" w:leader="none"/>
              </w:tabs>
              <w:spacing w:line="240" w:lineRule="auto" w:before="2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其中：优先股</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1"/>
              <w:ind w:left="838" w:right="0"/>
              <w:jc w:val="left"/>
              <w:rPr>
                <w:rFonts w:ascii="宋体" w:hAnsi="宋体" w:cs="宋体" w:eastAsia="宋体" w:hint="default"/>
                <w:sz w:val="18"/>
                <w:szCs w:val="18"/>
              </w:rPr>
            </w:pPr>
            <w:r>
              <w:rPr>
                <w:rFonts w:ascii="宋体" w:hAnsi="宋体" w:cs="宋体" w:eastAsia="宋体" w:hint="default"/>
                <w:sz w:val="18"/>
                <w:szCs w:val="18"/>
              </w:rPr>
              <w:t>永续债 </w:t>
            </w:r>
            <w:r>
              <w:rPr>
                <w:rFonts w:ascii="宋体" w:hAnsi="宋体" w:cs="宋体" w:eastAsia="宋体" w:hint="default"/>
                <w:spacing w:val="-3"/>
                <w:sz w:val="18"/>
                <w:szCs w:val="18"/>
              </w:rPr>
              <w:t> </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112" w:type="dxa"/>
            <w:tcBorders>
              <w:top w:val="single" w:sz="4" w:space="0" w:color="000000"/>
              <w:left w:val="single" w:sz="4" w:space="0" w:color="000000"/>
              <w:bottom w:val="single" w:sz="4" w:space="0" w:color="000000"/>
              <w:right w:val="single" w:sz="4" w:space="0" w:color="000000"/>
            </w:tcBorders>
          </w:tcPr>
          <w:p>
            <w:pPr>
              <w:pStyle w:val="TableParagraph"/>
              <w:tabs>
                <w:tab w:pos="298" w:val="left" w:leader="none"/>
                <w:tab w:pos="4080" w:val="left" w:leader="none"/>
              </w:tabs>
              <w:spacing w:line="240" w:lineRule="auto" w:before="2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长期应付款</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112" w:type="dxa"/>
            <w:tcBorders>
              <w:top w:val="single" w:sz="4" w:space="0" w:color="000000"/>
              <w:left w:val="single" w:sz="4" w:space="0" w:color="000000"/>
              <w:bottom w:val="single" w:sz="4" w:space="0" w:color="000000"/>
              <w:right w:val="single" w:sz="4" w:space="0" w:color="000000"/>
            </w:tcBorders>
          </w:tcPr>
          <w:p>
            <w:pPr>
              <w:pStyle w:val="TableParagraph"/>
              <w:tabs>
                <w:tab w:pos="298" w:val="left" w:leader="none"/>
                <w:tab w:pos="4080" w:val="left" w:leader="none"/>
              </w:tabs>
              <w:spacing w:line="240" w:lineRule="auto" w:before="2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长期应付职工薪酬</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4112" w:type="dxa"/>
            <w:tcBorders>
              <w:top w:val="single" w:sz="4" w:space="0" w:color="000000"/>
              <w:left w:val="single" w:sz="4" w:space="0" w:color="000000"/>
              <w:bottom w:val="single" w:sz="4" w:space="0" w:color="000000"/>
              <w:right w:val="single" w:sz="4" w:space="0" w:color="000000"/>
            </w:tcBorders>
          </w:tcPr>
          <w:p>
            <w:pPr>
              <w:pStyle w:val="TableParagraph"/>
              <w:tabs>
                <w:tab w:pos="298" w:val="left" w:leader="none"/>
                <w:tab w:pos="4080" w:val="left" w:leader="none"/>
              </w:tabs>
              <w:spacing w:line="240" w:lineRule="auto" w:before="2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预计负债</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112" w:type="dxa"/>
            <w:tcBorders>
              <w:top w:val="single" w:sz="4" w:space="0" w:color="000000"/>
              <w:left w:val="single" w:sz="4" w:space="0" w:color="000000"/>
              <w:bottom w:val="single" w:sz="4" w:space="0" w:color="000000"/>
              <w:right w:val="single" w:sz="4" w:space="0" w:color="000000"/>
            </w:tcBorders>
          </w:tcPr>
          <w:p>
            <w:pPr>
              <w:pStyle w:val="TableParagraph"/>
              <w:tabs>
                <w:tab w:pos="298" w:val="left" w:leader="none"/>
                <w:tab w:pos="4080" w:val="left" w:leader="none"/>
              </w:tabs>
              <w:spacing w:line="240" w:lineRule="auto" w:before="2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递延收益</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112" w:type="dxa"/>
            <w:tcBorders>
              <w:top w:val="single" w:sz="4" w:space="0" w:color="000000"/>
              <w:left w:val="single" w:sz="4" w:space="0" w:color="000000"/>
              <w:bottom w:val="single" w:sz="4" w:space="0" w:color="000000"/>
              <w:right w:val="single" w:sz="4" w:space="0" w:color="000000"/>
            </w:tcBorders>
          </w:tcPr>
          <w:p>
            <w:pPr>
              <w:pStyle w:val="TableParagraph"/>
              <w:tabs>
                <w:tab w:pos="298" w:val="left" w:leader="none"/>
                <w:tab w:pos="4080" w:val="left" w:leader="none"/>
              </w:tabs>
              <w:spacing w:line="240" w:lineRule="auto" w:before="2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递延所得税负债</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9"/>
              <w:jc w:val="right"/>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十</w:t>
            </w:r>
            <w:r>
              <w:rPr>
                <w:rFonts w:ascii="宋体" w:hAnsi="宋体" w:cs="宋体" w:eastAsia="宋体" w:hint="default"/>
                <w:w w:val="100"/>
                <w:sz w:val="15"/>
                <w:szCs w:val="15"/>
              </w:rPr>
              <w:t>六）</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7"/>
              <w:jc w:val="right"/>
              <w:rPr>
                <w:rFonts w:ascii="宋体" w:hAnsi="宋体" w:cs="宋体" w:eastAsia="宋体" w:hint="default"/>
                <w:sz w:val="18"/>
                <w:szCs w:val="18"/>
              </w:rPr>
            </w:pPr>
            <w:r>
              <w:rPr>
                <w:rFonts w:ascii="宋体"/>
                <w:spacing w:val="-1"/>
                <w:sz w:val="18"/>
              </w:rPr>
              <w:t>11,316,346.54</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9,680,412.74</w:t>
            </w:r>
          </w:p>
        </w:tc>
      </w:tr>
      <w:tr>
        <w:trPr>
          <w:trHeight w:val="338" w:hRule="exact"/>
        </w:trPr>
        <w:tc>
          <w:tcPr>
            <w:tcW w:w="4112" w:type="dxa"/>
            <w:tcBorders>
              <w:top w:val="single" w:sz="4" w:space="0" w:color="000000"/>
              <w:left w:val="single" w:sz="4" w:space="0" w:color="000000"/>
              <w:bottom w:val="single" w:sz="4" w:space="0" w:color="000000"/>
              <w:right w:val="single" w:sz="4" w:space="0" w:color="000000"/>
            </w:tcBorders>
          </w:tcPr>
          <w:p>
            <w:pPr>
              <w:pStyle w:val="TableParagraph"/>
              <w:tabs>
                <w:tab w:pos="298" w:val="left" w:leader="none"/>
                <w:tab w:pos="4080" w:val="left" w:leader="none"/>
              </w:tabs>
              <w:spacing w:line="240" w:lineRule="auto" w:before="2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其他非流动负债</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112" w:type="dxa"/>
            <w:tcBorders>
              <w:top w:val="single" w:sz="4" w:space="0" w:color="000000"/>
              <w:left w:val="single" w:sz="4" w:space="0" w:color="000000"/>
              <w:bottom w:val="single" w:sz="4" w:space="0" w:color="000000"/>
              <w:right w:val="single" w:sz="4" w:space="0" w:color="000000"/>
            </w:tcBorders>
          </w:tcPr>
          <w:p>
            <w:pPr>
              <w:pStyle w:val="TableParagraph"/>
              <w:tabs>
                <w:tab w:pos="386" w:val="left" w:leader="none"/>
                <w:tab w:pos="4080" w:val="left" w:leader="none"/>
              </w:tabs>
              <w:spacing w:line="240" w:lineRule="auto" w:before="21"/>
              <w:ind w:left="24"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z w:val="18"/>
                <w:szCs w:val="18"/>
                <w:shd w:fill="D2D2D2" w:color="auto" w:val="clear"/>
              </w:rPr>
              <w:t> </w:t>
              <w:tab/>
            </w:r>
            <w:r>
              <w:rPr>
                <w:rFonts w:ascii="宋体" w:hAnsi="宋体" w:cs="宋体" w:eastAsia="宋体" w:hint="default"/>
                <w:b/>
                <w:bCs/>
                <w:sz w:val="18"/>
                <w:szCs w:val="18"/>
                <w:shd w:fill="D2D2D2" w:color="auto" w:val="clear"/>
              </w:rPr>
              <w:t>非流动负债合计</w:t>
            </w:r>
            <w:r>
              <w:rPr>
                <w:rFonts w:ascii="宋体" w:hAnsi="宋体" w:cs="宋体" w:eastAsia="宋体" w:hint="default"/>
                <w:b/>
                <w:bCs/>
                <w:spacing w:val="-2"/>
                <w:sz w:val="18"/>
                <w:szCs w:val="18"/>
                <w:shd w:fill="D2D2D2" w:color="auto" w:val="clear"/>
              </w:rPr>
              <w:t>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7"/>
              <w:jc w:val="right"/>
              <w:rPr>
                <w:rFonts w:ascii="宋体" w:hAnsi="宋体" w:cs="宋体" w:eastAsia="宋体" w:hint="default"/>
                <w:sz w:val="18"/>
                <w:szCs w:val="18"/>
              </w:rPr>
            </w:pPr>
            <w:r>
              <w:rPr>
                <w:rFonts w:ascii="宋体"/>
                <w:b/>
                <w:w w:val="95"/>
                <w:sz w:val="18"/>
              </w:rPr>
              <w:t>77,581,948.08</w:t>
            </w:r>
            <w:r>
              <w:rPr>
                <w:rFonts w:ascii="宋体"/>
                <w:sz w:val="18"/>
              </w:rPr>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b/>
                <w:w w:val="95"/>
                <w:sz w:val="18"/>
              </w:rPr>
              <w:t>195,045,668.66</w:t>
            </w:r>
            <w:r>
              <w:rPr>
                <w:rFonts w:ascii="宋体"/>
                <w:sz w:val="18"/>
              </w:rPr>
            </w:r>
          </w:p>
        </w:tc>
      </w:tr>
      <w:tr>
        <w:trPr>
          <w:trHeight w:val="341" w:hRule="exact"/>
        </w:trPr>
        <w:tc>
          <w:tcPr>
            <w:tcW w:w="4112" w:type="dxa"/>
            <w:tcBorders>
              <w:top w:val="single" w:sz="4" w:space="0" w:color="000000"/>
              <w:left w:val="single" w:sz="4" w:space="0" w:color="000000"/>
              <w:bottom w:val="single" w:sz="4" w:space="0" w:color="000000"/>
              <w:right w:val="single" w:sz="4" w:space="0" w:color="000000"/>
            </w:tcBorders>
          </w:tcPr>
          <w:p>
            <w:pPr>
              <w:pStyle w:val="TableParagraph"/>
              <w:tabs>
                <w:tab w:pos="386" w:val="left" w:leader="none"/>
                <w:tab w:pos="4080" w:val="left" w:leader="none"/>
              </w:tabs>
              <w:spacing w:line="240" w:lineRule="auto" w:before="21"/>
              <w:ind w:left="24"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z w:val="18"/>
                <w:szCs w:val="18"/>
                <w:shd w:fill="D2D2D2" w:color="auto" w:val="clear"/>
              </w:rPr>
              <w:t> </w:t>
              <w:tab/>
            </w:r>
            <w:r>
              <w:rPr>
                <w:rFonts w:ascii="宋体" w:hAnsi="宋体" w:cs="宋体" w:eastAsia="宋体" w:hint="default"/>
                <w:b/>
                <w:bCs/>
                <w:sz w:val="18"/>
                <w:szCs w:val="18"/>
                <w:shd w:fill="D2D2D2" w:color="auto" w:val="clear"/>
              </w:rPr>
              <w:t>负债合计</w:t>
            </w:r>
            <w:r>
              <w:rPr>
                <w:rFonts w:ascii="宋体" w:hAnsi="宋体" w:cs="宋体" w:eastAsia="宋体" w:hint="default"/>
                <w:b/>
                <w:bCs/>
                <w:spacing w:val="-2"/>
                <w:sz w:val="18"/>
                <w:szCs w:val="18"/>
                <w:shd w:fill="D2D2D2" w:color="auto" w:val="clear"/>
              </w:rPr>
              <w:t>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7"/>
              <w:jc w:val="right"/>
              <w:rPr>
                <w:rFonts w:ascii="宋体" w:hAnsi="宋体" w:cs="宋体" w:eastAsia="宋体" w:hint="default"/>
                <w:sz w:val="18"/>
                <w:szCs w:val="18"/>
              </w:rPr>
            </w:pPr>
            <w:r>
              <w:rPr>
                <w:rFonts w:ascii="宋体"/>
                <w:b/>
                <w:w w:val="95"/>
                <w:sz w:val="18"/>
              </w:rPr>
              <w:t>1,584,968,043.09</w:t>
            </w:r>
            <w:r>
              <w:rPr>
                <w:rFonts w:ascii="宋体"/>
                <w:sz w:val="18"/>
              </w:rPr>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b/>
                <w:w w:val="95"/>
                <w:sz w:val="18"/>
              </w:rPr>
              <w:t>1,722,894,627.46</w:t>
            </w:r>
            <w:r>
              <w:rPr>
                <w:rFonts w:ascii="宋体"/>
                <w:sz w:val="18"/>
              </w:rPr>
            </w:r>
          </w:p>
        </w:tc>
      </w:tr>
      <w:tr>
        <w:trPr>
          <w:trHeight w:val="339" w:hRule="exact"/>
        </w:trPr>
        <w:tc>
          <w:tcPr>
            <w:tcW w:w="4112" w:type="dxa"/>
            <w:tcBorders>
              <w:top w:val="single" w:sz="4" w:space="0" w:color="000000"/>
              <w:left w:val="single" w:sz="4" w:space="0" w:color="000000"/>
              <w:bottom w:val="single" w:sz="11" w:space="0" w:color="000000"/>
              <w:right w:val="single" w:sz="4" w:space="0" w:color="000000"/>
            </w:tcBorders>
          </w:tcPr>
          <w:p>
            <w:pPr>
              <w:pStyle w:val="TableParagraph"/>
              <w:tabs>
                <w:tab w:pos="4080" w:val="left" w:leader="none"/>
              </w:tabs>
              <w:spacing w:line="240" w:lineRule="auto" w:before="22"/>
              <w:ind w:left="24"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z w:val="18"/>
                <w:szCs w:val="18"/>
                <w:shd w:fill="D2D2D2" w:color="auto" w:val="clear"/>
              </w:rPr>
              <w:t> </w:t>
            </w:r>
            <w:r>
              <w:rPr>
                <w:rFonts w:ascii="Times New Roman" w:hAnsi="Times New Roman" w:cs="Times New Roman" w:eastAsia="Times New Roman" w:hint="default"/>
                <w:b/>
                <w:bCs/>
                <w:spacing w:val="1"/>
                <w:sz w:val="18"/>
                <w:szCs w:val="18"/>
                <w:shd w:fill="D2D2D2" w:color="auto" w:val="clear"/>
              </w:rPr>
              <w:t> </w:t>
            </w:r>
            <w:r>
              <w:rPr>
                <w:rFonts w:ascii="宋体" w:hAnsi="宋体" w:cs="宋体" w:eastAsia="宋体" w:hint="default"/>
                <w:b/>
                <w:bCs/>
                <w:w w:val="99"/>
                <w:sz w:val="18"/>
                <w:szCs w:val="18"/>
                <w:shd w:fill="D2D2D2" w:color="auto" w:val="clear"/>
              </w:rPr>
              <w:t>所</w:t>
            </w:r>
            <w:r>
              <w:rPr>
                <w:rFonts w:ascii="宋体" w:hAnsi="宋体" w:cs="宋体" w:eastAsia="宋体" w:hint="default"/>
                <w:b/>
                <w:bCs/>
                <w:spacing w:val="2"/>
                <w:w w:val="99"/>
                <w:sz w:val="18"/>
                <w:szCs w:val="18"/>
                <w:shd w:fill="D2D2D2" w:color="auto" w:val="clear"/>
              </w:rPr>
              <w:t>有</w:t>
            </w:r>
            <w:r>
              <w:rPr>
                <w:rFonts w:ascii="宋体" w:hAnsi="宋体" w:cs="宋体" w:eastAsia="宋体" w:hint="default"/>
                <w:b/>
                <w:bCs/>
                <w:w w:val="99"/>
                <w:sz w:val="18"/>
                <w:szCs w:val="18"/>
                <w:shd w:fill="D2D2D2" w:color="auto" w:val="clear"/>
              </w:rPr>
              <w:t>者权益</w:t>
            </w:r>
            <w:r>
              <w:rPr>
                <w:rFonts w:ascii="宋体" w:hAnsi="宋体" w:cs="宋体" w:eastAsia="宋体" w:hint="default"/>
                <w:b/>
                <w:bCs/>
                <w:spacing w:val="2"/>
                <w:w w:val="99"/>
                <w:sz w:val="18"/>
                <w:szCs w:val="18"/>
                <w:shd w:fill="D2D2D2" w:color="auto" w:val="clear"/>
              </w:rPr>
              <w:t>（</w:t>
            </w:r>
            <w:r>
              <w:rPr>
                <w:rFonts w:ascii="宋体" w:hAnsi="宋体" w:cs="宋体" w:eastAsia="宋体" w:hint="default"/>
                <w:b/>
                <w:bCs/>
                <w:w w:val="99"/>
                <w:sz w:val="18"/>
                <w:szCs w:val="18"/>
                <w:shd w:fill="D2D2D2" w:color="auto" w:val="clear"/>
              </w:rPr>
              <w:t>或股</w:t>
            </w:r>
            <w:r>
              <w:rPr>
                <w:rFonts w:ascii="宋体" w:hAnsi="宋体" w:cs="宋体" w:eastAsia="宋体" w:hint="default"/>
                <w:b/>
                <w:bCs/>
                <w:spacing w:val="2"/>
                <w:w w:val="99"/>
                <w:sz w:val="18"/>
                <w:szCs w:val="18"/>
                <w:shd w:fill="D2D2D2" w:color="auto" w:val="clear"/>
              </w:rPr>
              <w:t>东</w:t>
            </w:r>
            <w:r>
              <w:rPr>
                <w:rFonts w:ascii="宋体" w:hAnsi="宋体" w:cs="宋体" w:eastAsia="宋体" w:hint="default"/>
                <w:b/>
                <w:bCs/>
                <w:w w:val="99"/>
                <w:sz w:val="18"/>
                <w:szCs w:val="18"/>
                <w:shd w:fill="D2D2D2" w:color="auto" w:val="clear"/>
              </w:rPr>
              <w:t>权</w:t>
            </w:r>
            <w:r>
              <w:rPr>
                <w:rFonts w:ascii="宋体" w:hAnsi="宋体" w:cs="宋体" w:eastAsia="宋体" w:hint="default"/>
                <w:b/>
                <w:bCs/>
                <w:spacing w:val="2"/>
                <w:w w:val="99"/>
                <w:sz w:val="18"/>
                <w:szCs w:val="18"/>
                <w:shd w:fill="D2D2D2" w:color="auto" w:val="clear"/>
              </w:rPr>
              <w:t>益</w:t>
            </w:r>
            <w:r>
              <w:rPr>
                <w:rFonts w:ascii="宋体" w:hAnsi="宋体" w:cs="宋体" w:eastAsia="宋体" w:hint="default"/>
                <w:b/>
                <w:bCs/>
                <w:spacing w:val="-92"/>
                <w:w w:val="99"/>
                <w:sz w:val="18"/>
                <w:szCs w:val="18"/>
                <w:shd w:fill="D2D2D2" w:color="auto" w:val="clear"/>
              </w:rPr>
              <w:t>）</w:t>
            </w:r>
            <w:r>
              <w:rPr>
                <w:rFonts w:ascii="宋体" w:hAnsi="宋体" w:cs="宋体" w:eastAsia="宋体" w:hint="default"/>
                <w:b/>
                <w:bCs/>
                <w:w w:val="99"/>
                <w:sz w:val="18"/>
                <w:szCs w:val="18"/>
                <w:shd w:fill="D2D2D2" w:color="auto" w:val="clear"/>
              </w:rPr>
              <w:t>：</w:t>
            </w:r>
            <w:r>
              <w:rPr>
                <w:rFonts w:ascii="宋体" w:hAnsi="宋体" w:cs="宋体" w:eastAsia="宋体" w:hint="default"/>
                <w:b/>
                <w:bCs/>
                <w:spacing w:val="1"/>
                <w:sz w:val="18"/>
                <w:szCs w:val="18"/>
                <w:shd w:fill="D2D2D2" w:color="auto" w:val="clear"/>
              </w:rPr>
              <w:t>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112" w:type="dxa"/>
            <w:tcBorders>
              <w:top w:val="single" w:sz="11" w:space="0" w:color="000000"/>
              <w:left w:val="single" w:sz="4" w:space="0" w:color="000000"/>
              <w:bottom w:val="single" w:sz="11" w:space="0" w:color="000000"/>
              <w:right w:val="single" w:sz="4" w:space="0" w:color="000000"/>
            </w:tcBorders>
          </w:tcPr>
          <w:p>
            <w:pPr>
              <w:pStyle w:val="TableParagraph"/>
              <w:tabs>
                <w:tab w:pos="298" w:val="left" w:leader="none"/>
                <w:tab w:pos="4080" w:val="left" w:leader="none"/>
              </w:tabs>
              <w:spacing w:line="240" w:lineRule="auto" w:before="1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实收资本（或股本）</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9"/>
              <w:jc w:val="right"/>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二</w:t>
            </w:r>
            <w:r>
              <w:rPr>
                <w:rFonts w:ascii="宋体" w:hAnsi="宋体" w:cs="宋体" w:eastAsia="宋体" w:hint="default"/>
                <w:w w:val="100"/>
                <w:sz w:val="15"/>
                <w:szCs w:val="15"/>
              </w:rPr>
              <w:t>十</w:t>
            </w:r>
            <w:r>
              <w:rPr>
                <w:rFonts w:ascii="宋体" w:hAnsi="宋体" w:cs="宋体" w:eastAsia="宋体" w:hint="default"/>
                <w:spacing w:val="-3"/>
                <w:w w:val="100"/>
                <w:sz w:val="15"/>
                <w:szCs w:val="15"/>
              </w:rPr>
              <w:t>八</w:t>
            </w:r>
            <w:r>
              <w:rPr>
                <w:rFonts w:ascii="宋体" w:hAnsi="宋体" w:cs="宋体" w:eastAsia="宋体" w:hint="default"/>
                <w:w w:val="100"/>
                <w:sz w:val="15"/>
                <w:szCs w:val="15"/>
              </w:rPr>
              <w:t>）</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7"/>
              <w:jc w:val="right"/>
              <w:rPr>
                <w:rFonts w:ascii="宋体" w:hAnsi="宋体" w:cs="宋体" w:eastAsia="宋体" w:hint="default"/>
                <w:sz w:val="18"/>
                <w:szCs w:val="18"/>
              </w:rPr>
            </w:pPr>
            <w:r>
              <w:rPr>
                <w:rFonts w:ascii="宋体"/>
                <w:spacing w:val="-1"/>
                <w:sz w:val="18"/>
              </w:rPr>
              <w:t>669,101,883.00</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spacing w:val="-1"/>
                <w:sz w:val="18"/>
              </w:rPr>
              <w:t>669,101,883.00</w:t>
            </w:r>
          </w:p>
        </w:tc>
      </w:tr>
      <w:tr>
        <w:trPr>
          <w:trHeight w:val="341" w:hRule="exact"/>
        </w:trPr>
        <w:tc>
          <w:tcPr>
            <w:tcW w:w="4112" w:type="dxa"/>
            <w:tcBorders>
              <w:top w:val="single" w:sz="11" w:space="0" w:color="000000"/>
              <w:left w:val="single" w:sz="4" w:space="0" w:color="000000"/>
              <w:bottom w:val="single" w:sz="11" w:space="0" w:color="000000"/>
              <w:right w:val="single" w:sz="4" w:space="0" w:color="000000"/>
            </w:tcBorders>
          </w:tcPr>
          <w:p>
            <w:pPr>
              <w:pStyle w:val="TableParagraph"/>
              <w:tabs>
                <w:tab w:pos="298" w:val="left" w:leader="none"/>
                <w:tab w:pos="4080" w:val="left" w:leader="none"/>
              </w:tabs>
              <w:spacing w:line="240" w:lineRule="auto" w:before="1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其他权益工具</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4112" w:type="dxa"/>
            <w:tcBorders>
              <w:top w:val="single" w:sz="11" w:space="0" w:color="000000"/>
              <w:left w:val="single" w:sz="4" w:space="0" w:color="000000"/>
              <w:bottom w:val="single" w:sz="4" w:space="0" w:color="000000"/>
              <w:right w:val="single" w:sz="4" w:space="0" w:color="000000"/>
            </w:tcBorders>
          </w:tcPr>
          <w:p>
            <w:pPr>
              <w:pStyle w:val="TableParagraph"/>
              <w:tabs>
                <w:tab w:pos="298" w:val="left" w:leader="none"/>
                <w:tab w:pos="4080" w:val="left" w:leader="none"/>
              </w:tabs>
              <w:spacing w:line="240" w:lineRule="auto" w:before="1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其中：优先股</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1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1"/>
              <w:ind w:left="838" w:right="0"/>
              <w:jc w:val="left"/>
              <w:rPr>
                <w:rFonts w:ascii="宋体" w:hAnsi="宋体" w:cs="宋体" w:eastAsia="宋体" w:hint="default"/>
                <w:sz w:val="18"/>
                <w:szCs w:val="18"/>
              </w:rPr>
            </w:pPr>
            <w:r>
              <w:rPr>
                <w:rFonts w:ascii="宋体" w:hAnsi="宋体" w:cs="宋体" w:eastAsia="宋体" w:hint="default"/>
                <w:sz w:val="18"/>
                <w:szCs w:val="18"/>
              </w:rPr>
              <w:t>永续债 </w:t>
            </w:r>
            <w:r>
              <w:rPr>
                <w:rFonts w:ascii="宋体" w:hAnsi="宋体" w:cs="宋体" w:eastAsia="宋体" w:hint="default"/>
                <w:spacing w:val="-3"/>
                <w:sz w:val="18"/>
                <w:szCs w:val="18"/>
              </w:rPr>
              <w:t> </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112" w:type="dxa"/>
            <w:tcBorders>
              <w:top w:val="single" w:sz="11" w:space="0" w:color="000000"/>
              <w:left w:val="single" w:sz="4" w:space="0" w:color="000000"/>
              <w:bottom w:val="single" w:sz="11" w:space="0" w:color="000000"/>
              <w:right w:val="single" w:sz="4" w:space="0" w:color="000000"/>
            </w:tcBorders>
          </w:tcPr>
          <w:p>
            <w:pPr>
              <w:pStyle w:val="TableParagraph"/>
              <w:tabs>
                <w:tab w:pos="298" w:val="left" w:leader="none"/>
                <w:tab w:pos="4080" w:val="left" w:leader="none"/>
              </w:tabs>
              <w:spacing w:line="240" w:lineRule="auto" w:before="1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资本公积</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9"/>
              <w:jc w:val="right"/>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二</w:t>
            </w:r>
            <w:r>
              <w:rPr>
                <w:rFonts w:ascii="宋体" w:hAnsi="宋体" w:cs="宋体" w:eastAsia="宋体" w:hint="default"/>
                <w:w w:val="100"/>
                <w:sz w:val="15"/>
                <w:szCs w:val="15"/>
              </w:rPr>
              <w:t>十</w:t>
            </w:r>
            <w:r>
              <w:rPr>
                <w:rFonts w:ascii="宋体" w:hAnsi="宋体" w:cs="宋体" w:eastAsia="宋体" w:hint="default"/>
                <w:spacing w:val="-3"/>
                <w:w w:val="100"/>
                <w:sz w:val="15"/>
                <w:szCs w:val="15"/>
              </w:rPr>
              <w:t>九</w:t>
            </w:r>
            <w:r>
              <w:rPr>
                <w:rFonts w:ascii="宋体" w:hAnsi="宋体" w:cs="宋体" w:eastAsia="宋体" w:hint="default"/>
                <w:w w:val="100"/>
                <w:sz w:val="15"/>
                <w:szCs w:val="15"/>
              </w:rPr>
              <w:t>）</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7"/>
              <w:jc w:val="right"/>
              <w:rPr>
                <w:rFonts w:ascii="宋体" w:hAnsi="宋体" w:cs="宋体" w:eastAsia="宋体" w:hint="default"/>
                <w:sz w:val="18"/>
                <w:szCs w:val="18"/>
              </w:rPr>
            </w:pPr>
            <w:r>
              <w:rPr>
                <w:rFonts w:ascii="宋体"/>
                <w:spacing w:val="-1"/>
                <w:sz w:val="18"/>
              </w:rPr>
              <w:t>1,769,042,910.62</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spacing w:val="-1"/>
                <w:sz w:val="18"/>
              </w:rPr>
              <w:t>1,769,042,910.62</w:t>
            </w:r>
          </w:p>
        </w:tc>
      </w:tr>
      <w:tr>
        <w:trPr>
          <w:trHeight w:val="338" w:hRule="exact"/>
        </w:trPr>
        <w:tc>
          <w:tcPr>
            <w:tcW w:w="4112" w:type="dxa"/>
            <w:tcBorders>
              <w:top w:val="single" w:sz="11" w:space="0" w:color="000000"/>
              <w:left w:val="single" w:sz="4" w:space="0" w:color="000000"/>
              <w:bottom w:val="single" w:sz="4" w:space="0" w:color="000000"/>
              <w:right w:val="single" w:sz="4" w:space="0" w:color="000000"/>
            </w:tcBorders>
          </w:tcPr>
          <w:p>
            <w:pPr>
              <w:pStyle w:val="TableParagraph"/>
              <w:tabs>
                <w:tab w:pos="298" w:val="left" w:leader="none"/>
                <w:tab w:pos="4080" w:val="left" w:leader="none"/>
              </w:tabs>
              <w:spacing w:line="240" w:lineRule="auto" w:before="1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减：库存股</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9"/>
              <w:jc w:val="right"/>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三</w:t>
            </w:r>
            <w:r>
              <w:rPr>
                <w:rFonts w:ascii="宋体" w:hAnsi="宋体" w:cs="宋体" w:eastAsia="宋体" w:hint="default"/>
                <w:w w:val="100"/>
                <w:sz w:val="15"/>
                <w:szCs w:val="15"/>
              </w:rPr>
              <w:t>十）</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7"/>
              <w:jc w:val="right"/>
              <w:rPr>
                <w:rFonts w:ascii="宋体" w:hAnsi="宋体" w:cs="宋体" w:eastAsia="宋体" w:hint="default"/>
                <w:sz w:val="18"/>
                <w:szCs w:val="18"/>
              </w:rPr>
            </w:pPr>
            <w:r>
              <w:rPr>
                <w:rFonts w:ascii="宋体"/>
                <w:spacing w:val="-1"/>
                <w:sz w:val="18"/>
              </w:rPr>
              <w:t>14,436,163.60</w:t>
            </w: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112" w:type="dxa"/>
            <w:tcBorders>
              <w:top w:val="single" w:sz="4" w:space="0" w:color="000000"/>
              <w:left w:val="single" w:sz="4" w:space="0" w:color="000000"/>
              <w:bottom w:val="single" w:sz="11" w:space="0" w:color="000000"/>
              <w:right w:val="single" w:sz="4" w:space="0" w:color="000000"/>
            </w:tcBorders>
          </w:tcPr>
          <w:p>
            <w:pPr>
              <w:pStyle w:val="TableParagraph"/>
              <w:tabs>
                <w:tab w:pos="298" w:val="left" w:leader="none"/>
                <w:tab w:pos="4080" w:val="left" w:leader="none"/>
              </w:tabs>
              <w:spacing w:line="240" w:lineRule="auto" w:before="2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其他综合收益</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112" w:type="dxa"/>
            <w:tcBorders>
              <w:top w:val="single" w:sz="11" w:space="0" w:color="000000"/>
              <w:left w:val="single" w:sz="4" w:space="0" w:color="000000"/>
              <w:bottom w:val="single" w:sz="11" w:space="0" w:color="000000"/>
              <w:right w:val="single" w:sz="4" w:space="0" w:color="000000"/>
            </w:tcBorders>
          </w:tcPr>
          <w:p>
            <w:pPr>
              <w:pStyle w:val="TableParagraph"/>
              <w:tabs>
                <w:tab w:pos="298" w:val="left" w:leader="none"/>
                <w:tab w:pos="4080" w:val="left" w:leader="none"/>
              </w:tabs>
              <w:spacing w:line="240" w:lineRule="auto" w:before="1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专项储备</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4112" w:type="dxa"/>
            <w:tcBorders>
              <w:top w:val="single" w:sz="11" w:space="0" w:color="000000"/>
              <w:left w:val="single" w:sz="4" w:space="0" w:color="000000"/>
              <w:bottom w:val="single" w:sz="4" w:space="0" w:color="000000"/>
              <w:right w:val="single" w:sz="4" w:space="0" w:color="000000"/>
            </w:tcBorders>
          </w:tcPr>
          <w:p>
            <w:pPr>
              <w:pStyle w:val="TableParagraph"/>
              <w:tabs>
                <w:tab w:pos="298" w:val="left" w:leader="none"/>
                <w:tab w:pos="4080" w:val="left" w:leader="none"/>
              </w:tabs>
              <w:spacing w:line="240" w:lineRule="auto" w:before="1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盈余公积</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9"/>
              <w:jc w:val="right"/>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三</w:t>
            </w:r>
            <w:r>
              <w:rPr>
                <w:rFonts w:ascii="宋体" w:hAnsi="宋体" w:cs="宋体" w:eastAsia="宋体" w:hint="default"/>
                <w:w w:val="100"/>
                <w:sz w:val="15"/>
                <w:szCs w:val="15"/>
              </w:rPr>
              <w:t>十</w:t>
            </w:r>
            <w:r>
              <w:rPr>
                <w:rFonts w:ascii="宋体" w:hAnsi="宋体" w:cs="宋体" w:eastAsia="宋体" w:hint="default"/>
                <w:spacing w:val="-3"/>
                <w:w w:val="100"/>
                <w:sz w:val="15"/>
                <w:szCs w:val="15"/>
              </w:rPr>
              <w:t>一</w:t>
            </w:r>
            <w:r>
              <w:rPr>
                <w:rFonts w:ascii="宋体" w:hAnsi="宋体" w:cs="宋体" w:eastAsia="宋体" w:hint="default"/>
                <w:w w:val="100"/>
                <w:sz w:val="15"/>
                <w:szCs w:val="15"/>
              </w:rPr>
              <w:t>）</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7"/>
              <w:jc w:val="right"/>
              <w:rPr>
                <w:rFonts w:ascii="宋体" w:hAnsi="宋体" w:cs="宋体" w:eastAsia="宋体" w:hint="default"/>
                <w:sz w:val="18"/>
                <w:szCs w:val="18"/>
              </w:rPr>
            </w:pPr>
            <w:r>
              <w:rPr>
                <w:rFonts w:ascii="宋体"/>
                <w:spacing w:val="-1"/>
                <w:sz w:val="18"/>
              </w:rPr>
              <w:t>104,445,528.28</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spacing w:val="-1"/>
                <w:sz w:val="18"/>
              </w:rPr>
              <w:t>104,445,528.28</w:t>
            </w:r>
          </w:p>
        </w:tc>
      </w:tr>
      <w:tr>
        <w:trPr>
          <w:trHeight w:val="341" w:hRule="exact"/>
        </w:trPr>
        <w:tc>
          <w:tcPr>
            <w:tcW w:w="4112" w:type="dxa"/>
            <w:tcBorders>
              <w:top w:val="single" w:sz="4" w:space="0" w:color="000000"/>
              <w:left w:val="single" w:sz="4" w:space="0" w:color="000000"/>
              <w:bottom w:val="single" w:sz="11" w:space="0" w:color="000000"/>
              <w:right w:val="single" w:sz="4" w:space="0" w:color="000000"/>
            </w:tcBorders>
          </w:tcPr>
          <w:p>
            <w:pPr>
              <w:pStyle w:val="TableParagraph"/>
              <w:tabs>
                <w:tab w:pos="298" w:val="left" w:leader="none"/>
                <w:tab w:pos="4080" w:val="left" w:leader="none"/>
              </w:tabs>
              <w:spacing w:line="240" w:lineRule="auto" w:before="2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一般风险准备</w:t>
            </w:r>
            <w:r>
              <w:rPr>
                <w:rFonts w:ascii="Times New Roman" w:hAnsi="Times New Roman" w:cs="Times New Roman" w:eastAsia="Times New Roman" w:hint="default"/>
                <w:sz w:val="18"/>
                <w:szCs w:val="18"/>
                <w:shd w:fill="D2D2D2" w:color="auto" w:val="clear"/>
              </w:rPr>
              <w:t>* </w:t>
            </w:r>
            <w:r>
              <w:rPr>
                <w:rFonts w:ascii="Times New Roman" w:hAnsi="Times New Roman" w:cs="Times New Roman" w:eastAsia="Times New Roman" w:hint="default"/>
                <w:spacing w:val="-3"/>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112" w:type="dxa"/>
            <w:tcBorders>
              <w:top w:val="single" w:sz="11" w:space="0" w:color="000000"/>
              <w:left w:val="single" w:sz="4" w:space="0" w:color="000000"/>
              <w:bottom w:val="single" w:sz="11" w:space="0" w:color="000000"/>
              <w:right w:val="single" w:sz="4" w:space="0" w:color="000000"/>
            </w:tcBorders>
          </w:tcPr>
          <w:p>
            <w:pPr>
              <w:pStyle w:val="TableParagraph"/>
              <w:tabs>
                <w:tab w:pos="298" w:val="left" w:leader="none"/>
                <w:tab w:pos="4080" w:val="left" w:leader="none"/>
              </w:tabs>
              <w:spacing w:line="240" w:lineRule="auto" w:before="1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未分配利润</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9"/>
              <w:jc w:val="right"/>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三</w:t>
            </w:r>
            <w:r>
              <w:rPr>
                <w:rFonts w:ascii="宋体" w:hAnsi="宋体" w:cs="宋体" w:eastAsia="宋体" w:hint="default"/>
                <w:w w:val="100"/>
                <w:sz w:val="15"/>
                <w:szCs w:val="15"/>
              </w:rPr>
              <w:t>十</w:t>
            </w:r>
            <w:r>
              <w:rPr>
                <w:rFonts w:ascii="宋体" w:hAnsi="宋体" w:cs="宋体" w:eastAsia="宋体" w:hint="default"/>
                <w:spacing w:val="-3"/>
                <w:w w:val="100"/>
                <w:sz w:val="15"/>
                <w:szCs w:val="15"/>
              </w:rPr>
              <w:t>二</w:t>
            </w:r>
            <w:r>
              <w:rPr>
                <w:rFonts w:ascii="宋体" w:hAnsi="宋体" w:cs="宋体" w:eastAsia="宋体" w:hint="default"/>
                <w:w w:val="100"/>
                <w:sz w:val="15"/>
                <w:szCs w:val="15"/>
              </w:rPr>
              <w:t>）</w:t>
            </w: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7"/>
              <w:jc w:val="right"/>
              <w:rPr>
                <w:rFonts w:ascii="宋体" w:hAnsi="宋体" w:cs="宋体" w:eastAsia="宋体" w:hint="default"/>
                <w:sz w:val="18"/>
                <w:szCs w:val="18"/>
              </w:rPr>
            </w:pPr>
            <w:r>
              <w:rPr>
                <w:rFonts w:ascii="宋体"/>
                <w:spacing w:val="-1"/>
                <w:sz w:val="18"/>
              </w:rPr>
              <w:t>-205,526,510.82</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20"/>
              <w:jc w:val="right"/>
              <w:rPr>
                <w:rFonts w:ascii="宋体" w:hAnsi="宋体" w:cs="宋体" w:eastAsia="宋体" w:hint="default"/>
                <w:sz w:val="18"/>
                <w:szCs w:val="18"/>
              </w:rPr>
            </w:pPr>
            <w:r>
              <w:rPr>
                <w:rFonts w:ascii="宋体"/>
                <w:spacing w:val="-1"/>
                <w:sz w:val="18"/>
              </w:rPr>
              <w:t>1,060,014,181.10</w:t>
            </w:r>
          </w:p>
        </w:tc>
      </w:tr>
      <w:tr>
        <w:trPr>
          <w:trHeight w:val="338" w:hRule="exact"/>
        </w:trPr>
        <w:tc>
          <w:tcPr>
            <w:tcW w:w="4112" w:type="dxa"/>
            <w:tcBorders>
              <w:top w:val="single" w:sz="11" w:space="0" w:color="000000"/>
              <w:left w:val="single" w:sz="4" w:space="0" w:color="000000"/>
              <w:bottom w:val="single" w:sz="4" w:space="0" w:color="000000"/>
              <w:right w:val="single" w:sz="4" w:space="0" w:color="000000"/>
            </w:tcBorders>
          </w:tcPr>
          <w:p>
            <w:pPr>
              <w:pStyle w:val="TableParagraph"/>
              <w:tabs>
                <w:tab w:pos="295" w:val="left" w:leader="none"/>
              </w:tabs>
              <w:spacing w:line="240" w:lineRule="auto" w:before="13"/>
              <w:ind w:left="24"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z w:val="18"/>
                <w:szCs w:val="18"/>
                <w:shd w:fill="D2D2D2" w:color="auto" w:val="clear"/>
              </w:rPr>
              <w:t> </w:t>
              <w:tab/>
            </w:r>
            <w:r>
              <w:rPr>
                <w:rFonts w:ascii="宋体" w:hAnsi="宋体" w:cs="宋体" w:eastAsia="宋体" w:hint="default"/>
                <w:b/>
                <w:bCs/>
                <w:sz w:val="18"/>
                <w:szCs w:val="18"/>
                <w:shd w:fill="D2D2D2" w:color="auto" w:val="clear"/>
              </w:rPr>
              <w:t>归属于母公司所有者权益（或股东权益）合计</w:t>
            </w:r>
            <w:r>
              <w:rPr>
                <w:rFonts w:ascii="宋体" w:hAnsi="宋体" w:cs="宋体" w:eastAsia="宋体" w:hint="default"/>
                <w:b/>
                <w:bCs/>
                <w:spacing w:val="2"/>
                <w:sz w:val="18"/>
                <w:szCs w:val="18"/>
                <w:shd w:fill="D2D2D2" w:color="auto" w:val="clear"/>
              </w:rPr>
              <w:t> </w:t>
            </w:r>
            <w:r>
              <w:rPr>
                <w:rFonts w:ascii="宋体" w:hAnsi="宋体" w:cs="宋体" w:eastAsia="宋体" w:hint="default"/>
                <w:b/>
                <w:bCs/>
                <w:w w:val="99"/>
                <w:sz w:val="18"/>
                <w:szCs w:val="18"/>
                <w:shd w:fill="D2D2D2" w:color="auto" w:val="clear"/>
              </w:rPr>
              <w:t> </w:t>
            </w:r>
            <w:r>
              <w:rPr>
                <w:rFonts w:ascii="宋体" w:hAnsi="宋体" w:cs="宋体" w:eastAsia="宋体" w:hint="default"/>
                <w:b/>
                <w:bCs/>
                <w:w w:val="99"/>
                <w:sz w:val="18"/>
                <w:szCs w:val="18"/>
              </w:rPr>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7"/>
              <w:jc w:val="right"/>
              <w:rPr>
                <w:rFonts w:ascii="宋体" w:hAnsi="宋体" w:cs="宋体" w:eastAsia="宋体" w:hint="default"/>
                <w:sz w:val="18"/>
                <w:szCs w:val="18"/>
              </w:rPr>
            </w:pPr>
            <w:r>
              <w:rPr>
                <w:rFonts w:ascii="宋体"/>
                <w:b/>
                <w:w w:val="95"/>
                <w:sz w:val="18"/>
              </w:rPr>
              <w:t>2,322,627,647.48</w:t>
            </w:r>
            <w:r>
              <w:rPr>
                <w:rFonts w:ascii="宋体"/>
                <w:sz w:val="18"/>
              </w:rPr>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b/>
                <w:w w:val="95"/>
                <w:sz w:val="18"/>
              </w:rPr>
              <w:t>3,602,604,503.00</w:t>
            </w:r>
            <w:r>
              <w:rPr>
                <w:rFonts w:ascii="宋体"/>
                <w:sz w:val="18"/>
              </w:rPr>
            </w:r>
          </w:p>
        </w:tc>
      </w:tr>
      <w:tr>
        <w:trPr>
          <w:trHeight w:val="341" w:hRule="exact"/>
        </w:trPr>
        <w:tc>
          <w:tcPr>
            <w:tcW w:w="4112" w:type="dxa"/>
            <w:tcBorders>
              <w:top w:val="single" w:sz="4" w:space="0" w:color="000000"/>
              <w:left w:val="single" w:sz="4" w:space="0" w:color="000000"/>
              <w:bottom w:val="single" w:sz="11" w:space="0" w:color="000000"/>
              <w:right w:val="single" w:sz="4" w:space="0" w:color="000000"/>
            </w:tcBorders>
          </w:tcPr>
          <w:p>
            <w:pPr>
              <w:pStyle w:val="TableParagraph"/>
              <w:tabs>
                <w:tab w:pos="298" w:val="left" w:leader="none"/>
                <w:tab w:pos="4080" w:val="left" w:leader="none"/>
              </w:tabs>
              <w:spacing w:line="240" w:lineRule="auto" w:before="2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少数股东权益</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
        </w:tc>
        <w:tc>
          <w:tcPr>
            <w:tcW w:w="1988"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112" w:type="dxa"/>
            <w:tcBorders>
              <w:top w:val="single" w:sz="11" w:space="0" w:color="000000"/>
              <w:left w:val="single" w:sz="4" w:space="0" w:color="000000"/>
              <w:bottom w:val="single" w:sz="4" w:space="0" w:color="000000"/>
              <w:right w:val="single" w:sz="4" w:space="0" w:color="000000"/>
            </w:tcBorders>
          </w:tcPr>
          <w:p>
            <w:pPr>
              <w:pStyle w:val="TableParagraph"/>
              <w:tabs>
                <w:tab w:pos="295" w:val="left" w:leader="none"/>
                <w:tab w:pos="4080" w:val="left" w:leader="none"/>
              </w:tabs>
              <w:spacing w:line="240" w:lineRule="auto" w:before="13"/>
              <w:ind w:left="24"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z w:val="18"/>
                <w:szCs w:val="18"/>
                <w:shd w:fill="D2D2D2" w:color="auto" w:val="clear"/>
              </w:rPr>
              <w:t> </w:t>
              <w:tab/>
            </w:r>
            <w:r>
              <w:rPr>
                <w:rFonts w:ascii="宋体" w:hAnsi="宋体" w:cs="宋体" w:eastAsia="宋体" w:hint="default"/>
                <w:b/>
                <w:bCs/>
                <w:sz w:val="18"/>
                <w:szCs w:val="18"/>
                <w:shd w:fill="D2D2D2" w:color="auto" w:val="clear"/>
              </w:rPr>
              <w:t>所有者权益（或股东权益）合计</w:t>
            </w:r>
            <w:r>
              <w:rPr>
                <w:rFonts w:ascii="宋体" w:hAnsi="宋体" w:cs="宋体" w:eastAsia="宋体" w:hint="default"/>
                <w:b/>
                <w:bCs/>
                <w:spacing w:val="-1"/>
                <w:sz w:val="18"/>
                <w:szCs w:val="18"/>
                <w:shd w:fill="D2D2D2" w:color="auto" w:val="clear"/>
              </w:rPr>
              <w:t>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7"/>
              <w:jc w:val="right"/>
              <w:rPr>
                <w:rFonts w:ascii="宋体" w:hAnsi="宋体" w:cs="宋体" w:eastAsia="宋体" w:hint="default"/>
                <w:sz w:val="18"/>
                <w:szCs w:val="18"/>
              </w:rPr>
            </w:pPr>
            <w:r>
              <w:rPr>
                <w:rFonts w:ascii="宋体"/>
                <w:b/>
                <w:w w:val="95"/>
                <w:sz w:val="18"/>
              </w:rPr>
              <w:t>2,322,627,647.48</w:t>
            </w:r>
            <w:r>
              <w:rPr>
                <w:rFonts w:ascii="宋体"/>
                <w:sz w:val="18"/>
              </w:rPr>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b/>
                <w:w w:val="95"/>
                <w:sz w:val="18"/>
              </w:rPr>
              <w:t>3,602,604,503.00</w:t>
            </w:r>
            <w:r>
              <w:rPr>
                <w:rFonts w:ascii="宋体"/>
                <w:sz w:val="18"/>
              </w:rPr>
            </w:r>
          </w:p>
        </w:tc>
      </w:tr>
      <w:tr>
        <w:trPr>
          <w:trHeight w:val="335" w:hRule="exact"/>
        </w:trPr>
        <w:tc>
          <w:tcPr>
            <w:tcW w:w="4112" w:type="dxa"/>
            <w:tcBorders>
              <w:top w:val="single" w:sz="4" w:space="0" w:color="000000"/>
              <w:left w:val="single" w:sz="4" w:space="0" w:color="000000"/>
              <w:bottom w:val="single" w:sz="8" w:space="0" w:color="000000"/>
              <w:right w:val="single" w:sz="4" w:space="0" w:color="000000"/>
            </w:tcBorders>
          </w:tcPr>
          <w:p>
            <w:pPr>
              <w:pStyle w:val="TableParagraph"/>
              <w:tabs>
                <w:tab w:pos="295" w:val="left" w:leader="none"/>
                <w:tab w:pos="4080" w:val="left" w:leader="none"/>
              </w:tabs>
              <w:spacing w:line="240" w:lineRule="auto" w:before="21"/>
              <w:ind w:left="24"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z w:val="18"/>
                <w:szCs w:val="18"/>
                <w:shd w:fill="D2D2D2" w:color="auto" w:val="clear"/>
              </w:rPr>
              <w:t> </w:t>
              <w:tab/>
            </w:r>
            <w:r>
              <w:rPr>
                <w:rFonts w:ascii="宋体" w:hAnsi="宋体" w:cs="宋体" w:eastAsia="宋体" w:hint="default"/>
                <w:b/>
                <w:bCs/>
                <w:sz w:val="18"/>
                <w:szCs w:val="18"/>
                <w:shd w:fill="D2D2D2" w:color="auto" w:val="clear"/>
              </w:rPr>
              <w:t>负债和所有者权益（或股东权益）总计</w:t>
            </w:r>
            <w:r>
              <w:rPr>
                <w:rFonts w:ascii="宋体" w:hAnsi="宋体" w:cs="宋体" w:eastAsia="宋体" w:hint="default"/>
                <w:b/>
                <w:bCs/>
                <w:spacing w:val="2"/>
                <w:sz w:val="18"/>
                <w:szCs w:val="18"/>
                <w:shd w:fill="D2D2D2" w:color="auto" w:val="clear"/>
              </w:rPr>
              <w:t>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1277" w:type="dxa"/>
            <w:tcBorders>
              <w:top w:val="single" w:sz="4" w:space="0" w:color="000000"/>
              <w:left w:val="single" w:sz="4" w:space="0" w:color="000000"/>
              <w:bottom w:val="single" w:sz="4" w:space="0" w:color="000000"/>
              <w:right w:val="single" w:sz="4" w:space="0" w:color="000000"/>
            </w:tcBorders>
          </w:tcPr>
          <w:p>
            <w:pPr/>
          </w:p>
        </w:tc>
        <w:tc>
          <w:tcPr>
            <w:tcW w:w="21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7"/>
              <w:jc w:val="right"/>
              <w:rPr>
                <w:rFonts w:ascii="宋体" w:hAnsi="宋体" w:cs="宋体" w:eastAsia="宋体" w:hint="default"/>
                <w:sz w:val="18"/>
                <w:szCs w:val="18"/>
              </w:rPr>
            </w:pPr>
            <w:r>
              <w:rPr>
                <w:rFonts w:ascii="宋体"/>
                <w:b/>
                <w:w w:val="95"/>
                <w:sz w:val="18"/>
              </w:rPr>
              <w:t>3,907,595,690.57</w:t>
            </w:r>
            <w:r>
              <w:rPr>
                <w:rFonts w:ascii="宋体"/>
                <w:sz w:val="18"/>
              </w:rPr>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b/>
                <w:w w:val="95"/>
                <w:sz w:val="18"/>
              </w:rPr>
              <w:t>5,325,499,130.46</w:t>
            </w:r>
            <w:r>
              <w:rPr>
                <w:rFonts w:ascii="宋体"/>
                <w:sz w:val="18"/>
              </w:rPr>
            </w:r>
          </w:p>
        </w:tc>
      </w:tr>
    </w:tbl>
    <w:p>
      <w:pPr>
        <w:spacing w:line="240" w:lineRule="auto" w:before="11"/>
        <w:rPr>
          <w:rFonts w:ascii="Times New Roman" w:hAnsi="Times New Roman" w:cs="Times New Roman" w:eastAsia="Times New Roman" w:hint="default"/>
          <w:sz w:val="14"/>
          <w:szCs w:val="14"/>
        </w:rPr>
      </w:pPr>
    </w:p>
    <w:p>
      <w:pPr>
        <w:pStyle w:val="BodyText"/>
        <w:tabs>
          <w:tab w:pos="3096" w:val="left" w:leader="none"/>
          <w:tab w:pos="7399" w:val="left" w:leader="none"/>
        </w:tabs>
        <w:spacing w:line="240" w:lineRule="auto" w:before="36"/>
        <w:ind w:left="364" w:right="1133"/>
        <w:jc w:val="left"/>
      </w:pPr>
      <w:r>
        <w:rPr>
          <w:spacing w:val="-2"/>
        </w:rPr>
        <w:t>法定代表人：吴鹰</w:t>
        <w:tab/>
        <w:t>主管会计工作负责人：李鹏宇</w:t>
        <w:tab/>
        <w:t>会计机构负责人：张雷</w:t>
      </w:r>
    </w:p>
    <w:p>
      <w:pPr>
        <w:spacing w:line="240" w:lineRule="auto" w:before="4"/>
        <w:rPr>
          <w:rFonts w:ascii="宋体" w:hAnsi="宋体" w:cs="宋体" w:eastAsia="宋体" w:hint="default"/>
          <w:sz w:val="15"/>
          <w:szCs w:val="15"/>
        </w:rPr>
      </w:pPr>
    </w:p>
    <w:p>
      <w:pPr>
        <w:pStyle w:val="Heading3"/>
        <w:spacing w:line="240" w:lineRule="auto"/>
        <w:ind w:right="1133"/>
        <w:jc w:val="left"/>
        <w:rPr>
          <w:b w:val="0"/>
          <w:bCs w:val="0"/>
        </w:rPr>
      </w:pPr>
      <w:r>
        <w:rPr>
          <w:rFonts w:ascii="Times New Roman" w:hAnsi="Times New Roman" w:cs="Times New Roman" w:eastAsia="Times New Roman" w:hint="default"/>
        </w:rPr>
        <w:t>2</w:t>
      </w:r>
      <w:r>
        <w:rPr/>
        <w:t>、母公司资产负债表</w:t>
      </w:r>
      <w:r>
        <w:rPr>
          <w:b w:val="0"/>
          <w:bCs w:val="0"/>
        </w:rPr>
      </w:r>
    </w:p>
    <w:p>
      <w:pPr>
        <w:pStyle w:val="BodyText"/>
        <w:spacing w:line="240" w:lineRule="auto" w:before="21"/>
        <w:ind w:left="0" w:right="1339"/>
        <w:jc w:val="right"/>
      </w:pPr>
      <w:r>
        <w:rPr>
          <w:spacing w:val="-1"/>
        </w:rPr>
        <w:t>单位：元</w:t>
      </w:r>
    </w:p>
    <w:p>
      <w:pPr>
        <w:spacing w:line="240" w:lineRule="auto" w:before="3"/>
        <w:rPr>
          <w:rFonts w:ascii="宋体" w:hAnsi="宋体" w:cs="宋体" w:eastAsia="宋体" w:hint="default"/>
          <w:sz w:val="3"/>
          <w:szCs w:val="3"/>
        </w:rPr>
      </w:pPr>
    </w:p>
    <w:tbl>
      <w:tblPr>
        <w:tblW w:w="0" w:type="auto"/>
        <w:jc w:val="left"/>
        <w:tblInd w:w="148" w:type="dxa"/>
        <w:tblLayout w:type="fixed"/>
        <w:tblCellMar>
          <w:top w:w="0" w:type="dxa"/>
          <w:left w:w="0" w:type="dxa"/>
          <w:bottom w:w="0" w:type="dxa"/>
          <w:right w:w="0" w:type="dxa"/>
        </w:tblCellMar>
        <w:tblLook w:val="01E0"/>
      </w:tblPr>
      <w:tblGrid>
        <w:gridCol w:w="4395"/>
        <w:gridCol w:w="1135"/>
        <w:gridCol w:w="1841"/>
        <w:gridCol w:w="2129"/>
      </w:tblGrid>
      <w:tr>
        <w:trPr>
          <w:trHeight w:val="329" w:hRule="exact"/>
        </w:trPr>
        <w:tc>
          <w:tcPr>
            <w:tcW w:w="4395" w:type="dxa"/>
            <w:tcBorders>
              <w:top w:val="single" w:sz="27" w:space="0" w:color="D2D2D2"/>
              <w:left w:val="single" w:sz="4" w:space="0" w:color="000000"/>
              <w:bottom w:val="single" w:sz="62" w:space="0" w:color="D2D2D2"/>
              <w:right w:val="single" w:sz="4" w:space="0" w:color="000000"/>
            </w:tcBorders>
          </w:tcPr>
          <w:p>
            <w:pPr>
              <w:pStyle w:val="TableParagraph"/>
              <w:tabs>
                <w:tab w:pos="1989" w:val="left" w:leader="none"/>
                <w:tab w:pos="4340" w:val="left" w:leader="none"/>
              </w:tabs>
              <w:spacing w:line="234" w:lineRule="exact"/>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项目</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附注</w:t>
            </w:r>
          </w:p>
        </w:tc>
        <w:tc>
          <w:tcPr>
            <w:tcW w:w="18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left="557"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21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7"/>
              <w:ind w:left="698" w:right="0"/>
              <w:jc w:val="left"/>
              <w:rPr>
                <w:rFonts w:ascii="宋体" w:hAnsi="宋体" w:cs="宋体" w:eastAsia="宋体" w:hint="default"/>
                <w:sz w:val="18"/>
                <w:szCs w:val="18"/>
              </w:rPr>
            </w:pPr>
            <w:r>
              <w:rPr>
                <w:rFonts w:ascii="宋体" w:hAnsi="宋体" w:cs="宋体" w:eastAsia="宋体" w:hint="default"/>
                <w:sz w:val="18"/>
                <w:szCs w:val="18"/>
              </w:rPr>
              <w:t>期初余额</w:t>
            </w:r>
          </w:p>
        </w:tc>
      </w:tr>
      <w:tr>
        <w:trPr>
          <w:trHeight w:val="410" w:hRule="exact"/>
        </w:trPr>
        <w:tc>
          <w:tcPr>
            <w:tcW w:w="4395" w:type="dxa"/>
            <w:tcBorders>
              <w:top w:val="single" w:sz="62" w:space="0" w:color="D2D2D2"/>
              <w:left w:val="single" w:sz="4" w:space="0" w:color="000000"/>
              <w:bottom w:val="single" w:sz="42" w:space="0" w:color="D2D2D2"/>
              <w:right w:val="single" w:sz="4" w:space="0" w:color="000000"/>
            </w:tcBorders>
          </w:tcPr>
          <w:p>
            <w:pPr>
              <w:pStyle w:val="TableParagraph"/>
              <w:tabs>
                <w:tab w:pos="4340" w:val="left" w:leader="none"/>
              </w:tabs>
              <w:spacing w:line="240" w:lineRule="auto" w:before="14"/>
              <w:ind w:right="19"/>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shd w:fill="D2D2D2" w:color="auto" w:val="clear"/>
              </w:rPr>
              <w:t>流动资产：</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84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129"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81" w:hRule="exact"/>
        </w:trPr>
        <w:tc>
          <w:tcPr>
            <w:tcW w:w="4395" w:type="dxa"/>
            <w:tcBorders>
              <w:top w:val="single" w:sz="42" w:space="0" w:color="D2D2D2"/>
              <w:left w:val="single" w:sz="4" w:space="0" w:color="000000"/>
              <w:bottom w:val="single" w:sz="4" w:space="0" w:color="000000"/>
              <w:right w:val="single" w:sz="4" w:space="0" w:color="000000"/>
            </w:tcBorders>
          </w:tcPr>
          <w:p>
            <w:pPr>
              <w:pStyle w:val="TableParagraph"/>
              <w:tabs>
                <w:tab w:pos="274" w:val="left" w:leader="none"/>
                <w:tab w:pos="4340" w:val="left" w:leader="none"/>
              </w:tabs>
              <w:spacing w:line="240" w:lineRule="auto" w:before="13"/>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货币资金</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730" w:right="0"/>
              <w:jc w:val="left"/>
              <w:rPr>
                <w:rFonts w:ascii="宋体" w:hAnsi="宋体" w:cs="宋体" w:eastAsia="宋体" w:hint="default"/>
                <w:sz w:val="18"/>
                <w:szCs w:val="18"/>
              </w:rPr>
            </w:pPr>
            <w:r>
              <w:rPr>
                <w:rFonts w:ascii="宋体"/>
                <w:sz w:val="18"/>
              </w:rPr>
              <w:t>6,466,115.21</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1015" w:right="0"/>
              <w:jc w:val="left"/>
              <w:rPr>
                <w:rFonts w:ascii="宋体" w:hAnsi="宋体" w:cs="宋体" w:eastAsia="宋体" w:hint="default"/>
                <w:sz w:val="18"/>
                <w:szCs w:val="18"/>
              </w:rPr>
            </w:pPr>
            <w:r>
              <w:rPr>
                <w:rFonts w:ascii="宋体"/>
                <w:sz w:val="18"/>
              </w:rPr>
              <w:t>1,904,953.18</w:t>
            </w:r>
          </w:p>
        </w:tc>
      </w:tr>
      <w:tr>
        <w:trPr>
          <w:trHeight w:val="335" w:hRule="exact"/>
        </w:trPr>
        <w:tc>
          <w:tcPr>
            <w:tcW w:w="4395" w:type="dxa"/>
            <w:tcBorders>
              <w:top w:val="single" w:sz="4" w:space="0" w:color="000000"/>
              <w:left w:val="single" w:sz="4" w:space="0" w:color="000000"/>
              <w:bottom w:val="single" w:sz="53" w:space="0" w:color="D2D2D2"/>
              <w:right w:val="single" w:sz="4" w:space="0" w:color="000000"/>
            </w:tcBorders>
          </w:tcPr>
          <w:p>
            <w:pPr>
              <w:pStyle w:val="TableParagraph"/>
              <w:tabs>
                <w:tab w:pos="274" w:val="left" w:leader="none"/>
                <w:tab w:pos="4340" w:val="left" w:leader="none"/>
              </w:tabs>
              <w:spacing w:line="240" w:lineRule="auto" w:before="21"/>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交易性金融资产</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532" w:hRule="exact"/>
        </w:trPr>
        <w:tc>
          <w:tcPr>
            <w:tcW w:w="4395" w:type="dxa"/>
            <w:tcBorders>
              <w:top w:val="single" w:sz="53" w:space="0" w:color="D2D2D2"/>
              <w:left w:val="single" w:sz="4" w:space="0" w:color="000000"/>
              <w:bottom w:val="single" w:sz="53" w:space="0" w:color="D2D2D2"/>
              <w:right w:val="single" w:sz="4" w:space="0" w:color="000000"/>
            </w:tcBorders>
          </w:tcPr>
          <w:p>
            <w:pPr>
              <w:pStyle w:val="TableParagraph"/>
              <w:tabs>
                <w:tab w:pos="274" w:val="left" w:leader="none"/>
                <w:tab w:pos="4340" w:val="left" w:leader="none"/>
              </w:tabs>
              <w:spacing w:line="240" w:lineRule="auto" w:before="88"/>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pacing w:val="-1"/>
                <w:sz w:val="18"/>
                <w:szCs w:val="18"/>
                <w:shd w:fill="D2D2D2" w:color="auto" w:val="clear"/>
              </w:rPr>
              <w:t>以公允价值计量且其变动计入当期损益的金融资产</w:t>
              <w:tab/>
            </w:r>
            <w:r>
              <w:rPr>
                <w:rFonts w:ascii="宋体" w:hAnsi="宋体" w:cs="宋体" w:eastAsia="宋体" w:hint="default"/>
                <w:spacing w:val="-1"/>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4395" w:type="dxa"/>
            <w:tcBorders>
              <w:top w:val="single" w:sz="53" w:space="0" w:color="D2D2D2"/>
              <w:left w:val="single" w:sz="4" w:space="0" w:color="000000"/>
              <w:bottom w:val="single" w:sz="11" w:space="0" w:color="000000"/>
              <w:right w:val="single" w:sz="4" w:space="0" w:color="000000"/>
            </w:tcBorders>
          </w:tcPr>
          <w:p>
            <w:pPr>
              <w:pStyle w:val="TableParagraph"/>
              <w:tabs>
                <w:tab w:pos="274" w:val="left" w:leader="none"/>
                <w:tab w:pos="4340" w:val="left" w:leader="none"/>
              </w:tabs>
              <w:spacing w:line="240" w:lineRule="auto" w:before="22"/>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衍生金融资产</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35" w:hRule="exact"/>
        </w:trPr>
        <w:tc>
          <w:tcPr>
            <w:tcW w:w="4395" w:type="dxa"/>
            <w:tcBorders>
              <w:top w:val="single" w:sz="11" w:space="0" w:color="000000"/>
              <w:left w:val="single" w:sz="4" w:space="0" w:color="000000"/>
              <w:bottom w:val="single" w:sz="8" w:space="0" w:color="000000"/>
              <w:right w:val="single" w:sz="4" w:space="0" w:color="000000"/>
            </w:tcBorders>
          </w:tcPr>
          <w:p>
            <w:pPr>
              <w:pStyle w:val="TableParagraph"/>
              <w:tabs>
                <w:tab w:pos="274" w:val="left" w:leader="none"/>
                <w:tab w:pos="4340" w:val="left" w:leader="none"/>
              </w:tabs>
              <w:spacing w:line="240" w:lineRule="auto" w:before="13"/>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应收票据</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21" w:footer="725" w:top="1160" w:bottom="920" w:left="980" w:right="0"/>
        </w:sectPr>
      </w:pPr>
    </w:p>
    <w:p>
      <w:pPr>
        <w:spacing w:line="240" w:lineRule="auto" w:before="7"/>
        <w:rPr>
          <w:rFonts w:ascii="Times New Roman" w:hAnsi="Times New Roman" w:cs="Times New Roman" w:eastAsia="Times New Roman" w:hint="default"/>
          <w:sz w:val="24"/>
          <w:szCs w:val="24"/>
        </w:rPr>
      </w:pPr>
    </w:p>
    <w:tbl>
      <w:tblPr>
        <w:tblW w:w="0" w:type="auto"/>
        <w:jc w:val="left"/>
        <w:tblInd w:w="149" w:type="dxa"/>
        <w:tblLayout w:type="fixed"/>
        <w:tblCellMar>
          <w:top w:w="0" w:type="dxa"/>
          <w:left w:w="0" w:type="dxa"/>
          <w:bottom w:w="0" w:type="dxa"/>
          <w:right w:w="0" w:type="dxa"/>
        </w:tblCellMar>
        <w:tblLook w:val="01E0"/>
      </w:tblPr>
      <w:tblGrid>
        <w:gridCol w:w="4394"/>
        <w:gridCol w:w="1135"/>
        <w:gridCol w:w="1841"/>
        <w:gridCol w:w="2129"/>
      </w:tblGrid>
      <w:tr>
        <w:trPr>
          <w:trHeight w:val="336"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left="296" w:right="0"/>
              <w:jc w:val="left"/>
              <w:rPr>
                <w:rFonts w:ascii="宋体" w:hAnsi="宋体" w:cs="宋体" w:eastAsia="宋体" w:hint="default"/>
                <w:sz w:val="18"/>
                <w:szCs w:val="18"/>
              </w:rPr>
            </w:pPr>
            <w:r>
              <w:rPr>
                <w:rFonts w:ascii="宋体" w:hAnsi="宋体" w:cs="宋体" w:eastAsia="宋体" w:hint="default"/>
                <w:sz w:val="18"/>
                <w:szCs w:val="18"/>
              </w:rPr>
              <w:t>应收账款</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39"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0"/>
              <w:ind w:left="296" w:right="0"/>
              <w:jc w:val="left"/>
              <w:rPr>
                <w:rFonts w:ascii="宋体" w:hAnsi="宋体" w:cs="宋体" w:eastAsia="宋体" w:hint="default"/>
                <w:sz w:val="18"/>
                <w:szCs w:val="18"/>
              </w:rPr>
            </w:pPr>
            <w:r>
              <w:rPr>
                <w:rFonts w:ascii="宋体" w:hAnsi="宋体" w:cs="宋体" w:eastAsia="宋体" w:hint="default"/>
                <w:sz w:val="18"/>
                <w:szCs w:val="18"/>
              </w:rPr>
              <w:t>应收款项融资</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96" w:right="0"/>
              <w:jc w:val="left"/>
              <w:rPr>
                <w:rFonts w:ascii="宋体" w:hAnsi="宋体" w:cs="宋体" w:eastAsia="宋体" w:hint="default"/>
                <w:sz w:val="18"/>
                <w:szCs w:val="18"/>
              </w:rPr>
            </w:pPr>
            <w:r>
              <w:rPr>
                <w:rFonts w:ascii="宋体" w:hAnsi="宋体" w:cs="宋体" w:eastAsia="宋体" w:hint="default"/>
                <w:sz w:val="18"/>
                <w:szCs w:val="18"/>
              </w:rPr>
              <w:t>预付款项</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9"/>
              <w:jc w:val="right"/>
              <w:rPr>
                <w:rFonts w:ascii="宋体" w:hAnsi="宋体" w:cs="宋体" w:eastAsia="宋体" w:hint="default"/>
                <w:sz w:val="18"/>
                <w:szCs w:val="18"/>
              </w:rPr>
            </w:pPr>
            <w:r>
              <w:rPr>
                <w:rFonts w:ascii="宋体"/>
                <w:spacing w:val="-1"/>
                <w:sz w:val="18"/>
              </w:rPr>
              <w:t>5,400.00</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21"/>
              <w:jc w:val="right"/>
              <w:rPr>
                <w:rFonts w:ascii="宋体" w:hAnsi="宋体" w:cs="宋体" w:eastAsia="宋体" w:hint="default"/>
                <w:sz w:val="18"/>
                <w:szCs w:val="18"/>
              </w:rPr>
            </w:pPr>
            <w:r>
              <w:rPr>
                <w:rFonts w:ascii="宋体"/>
                <w:spacing w:val="-1"/>
                <w:sz w:val="18"/>
              </w:rPr>
              <w:t>3,075.43</w:t>
            </w:r>
          </w:p>
        </w:tc>
      </w:tr>
      <w:tr>
        <w:trPr>
          <w:trHeight w:val="341"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96" w:right="0"/>
              <w:jc w:val="left"/>
              <w:rPr>
                <w:rFonts w:ascii="宋体" w:hAnsi="宋体" w:cs="宋体" w:eastAsia="宋体" w:hint="default"/>
                <w:sz w:val="18"/>
                <w:szCs w:val="18"/>
              </w:rPr>
            </w:pPr>
            <w:r>
              <w:rPr>
                <w:rFonts w:ascii="宋体" w:hAnsi="宋体" w:cs="宋体" w:eastAsia="宋体" w:hint="default"/>
                <w:sz w:val="18"/>
                <w:szCs w:val="18"/>
              </w:rPr>
              <w:t>其他应收款</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201" w:right="0"/>
              <w:jc w:val="left"/>
              <w:rPr>
                <w:rFonts w:ascii="宋体" w:hAnsi="宋体" w:cs="宋体" w:eastAsia="宋体" w:hint="default"/>
                <w:sz w:val="18"/>
                <w:szCs w:val="18"/>
              </w:rPr>
            </w:pPr>
            <w:r>
              <w:rPr>
                <w:rFonts w:ascii="宋体" w:hAnsi="宋体" w:cs="宋体" w:eastAsia="宋体" w:hint="default"/>
                <w:sz w:val="18"/>
                <w:szCs w:val="18"/>
              </w:rPr>
              <w:t>十四（一）</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9"/>
              <w:jc w:val="right"/>
              <w:rPr>
                <w:rFonts w:ascii="宋体" w:hAnsi="宋体" w:cs="宋体" w:eastAsia="宋体" w:hint="default"/>
                <w:sz w:val="18"/>
                <w:szCs w:val="18"/>
              </w:rPr>
            </w:pPr>
            <w:r>
              <w:rPr>
                <w:rFonts w:ascii="宋体"/>
                <w:spacing w:val="-1"/>
                <w:sz w:val="18"/>
              </w:rPr>
              <w:t>61,678,320.45</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22"/>
              <w:jc w:val="right"/>
              <w:rPr>
                <w:rFonts w:ascii="宋体" w:hAnsi="宋体" w:cs="宋体" w:eastAsia="宋体" w:hint="default"/>
                <w:sz w:val="18"/>
                <w:szCs w:val="18"/>
              </w:rPr>
            </w:pPr>
            <w:r>
              <w:rPr>
                <w:rFonts w:ascii="宋体"/>
                <w:spacing w:val="-1"/>
                <w:sz w:val="18"/>
              </w:rPr>
              <w:t>148,471,427.67</w:t>
            </w:r>
          </w:p>
        </w:tc>
      </w:tr>
      <w:tr>
        <w:trPr>
          <w:trHeight w:val="338"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0"/>
              <w:ind w:left="296" w:right="0"/>
              <w:jc w:val="left"/>
              <w:rPr>
                <w:rFonts w:ascii="宋体" w:hAnsi="宋体" w:cs="宋体" w:eastAsia="宋体" w:hint="default"/>
                <w:sz w:val="18"/>
                <w:szCs w:val="18"/>
              </w:rPr>
            </w:pPr>
            <w:r>
              <w:rPr>
                <w:rFonts w:ascii="宋体" w:hAnsi="宋体" w:cs="宋体" w:eastAsia="宋体" w:hint="default"/>
                <w:sz w:val="18"/>
                <w:szCs w:val="18"/>
              </w:rPr>
              <w:t>其中：应收利息</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836" w:right="0"/>
              <w:jc w:val="left"/>
              <w:rPr>
                <w:rFonts w:ascii="宋体" w:hAnsi="宋体" w:cs="宋体" w:eastAsia="宋体" w:hint="default"/>
                <w:sz w:val="18"/>
                <w:szCs w:val="18"/>
              </w:rPr>
            </w:pPr>
            <w:r>
              <w:rPr>
                <w:rFonts w:ascii="宋体" w:hAnsi="宋体" w:cs="宋体" w:eastAsia="宋体" w:hint="default"/>
                <w:sz w:val="18"/>
                <w:szCs w:val="18"/>
              </w:rPr>
              <w:t>应收股利</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9"/>
              <w:jc w:val="right"/>
              <w:rPr>
                <w:rFonts w:ascii="宋体" w:hAnsi="宋体" w:cs="宋体" w:eastAsia="宋体" w:hint="default"/>
                <w:sz w:val="18"/>
                <w:szCs w:val="18"/>
              </w:rPr>
            </w:pPr>
            <w:r>
              <w:rPr>
                <w:rFonts w:ascii="宋体"/>
                <w:spacing w:val="-1"/>
                <w:sz w:val="18"/>
              </w:rPr>
              <w:t>61,576,014.41</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22"/>
              <w:jc w:val="right"/>
              <w:rPr>
                <w:rFonts w:ascii="宋体" w:hAnsi="宋体" w:cs="宋体" w:eastAsia="宋体" w:hint="default"/>
                <w:sz w:val="18"/>
                <w:szCs w:val="18"/>
              </w:rPr>
            </w:pPr>
            <w:r>
              <w:rPr>
                <w:rFonts w:ascii="宋体"/>
                <w:spacing w:val="-1"/>
                <w:sz w:val="18"/>
              </w:rPr>
              <w:t>148,400,000.00</w:t>
            </w:r>
          </w:p>
        </w:tc>
      </w:tr>
      <w:tr>
        <w:trPr>
          <w:trHeight w:val="341"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96" w:right="0"/>
              <w:jc w:val="left"/>
              <w:rPr>
                <w:rFonts w:ascii="宋体" w:hAnsi="宋体" w:cs="宋体" w:eastAsia="宋体" w:hint="default"/>
                <w:sz w:val="18"/>
                <w:szCs w:val="18"/>
              </w:rPr>
            </w:pPr>
            <w:r>
              <w:rPr>
                <w:rFonts w:ascii="宋体" w:hAnsi="宋体" w:cs="宋体" w:eastAsia="宋体" w:hint="default"/>
                <w:sz w:val="18"/>
                <w:szCs w:val="18"/>
              </w:rPr>
              <w:t>存货</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0"/>
              <w:ind w:left="296" w:right="0"/>
              <w:jc w:val="left"/>
              <w:rPr>
                <w:rFonts w:ascii="宋体" w:hAnsi="宋体" w:cs="宋体" w:eastAsia="宋体" w:hint="default"/>
                <w:sz w:val="18"/>
                <w:szCs w:val="18"/>
              </w:rPr>
            </w:pPr>
            <w:r>
              <w:rPr>
                <w:rFonts w:ascii="宋体" w:hAnsi="宋体" w:cs="宋体" w:eastAsia="宋体" w:hint="default"/>
                <w:sz w:val="18"/>
                <w:szCs w:val="18"/>
              </w:rPr>
              <w:t>持有待售资产</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96"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96" w:right="0"/>
              <w:jc w:val="left"/>
              <w:rPr>
                <w:rFonts w:ascii="宋体" w:hAnsi="宋体" w:cs="宋体" w:eastAsia="宋体" w:hint="default"/>
                <w:sz w:val="18"/>
                <w:szCs w:val="18"/>
              </w:rPr>
            </w:pPr>
            <w:r>
              <w:rPr>
                <w:rFonts w:ascii="宋体" w:hAnsi="宋体" w:cs="宋体" w:eastAsia="宋体" w:hint="default"/>
                <w:sz w:val="18"/>
                <w:szCs w:val="18"/>
              </w:rPr>
              <w:t>其他流动资产</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9"/>
              <w:jc w:val="right"/>
              <w:rPr>
                <w:rFonts w:ascii="宋体" w:hAnsi="宋体" w:cs="宋体" w:eastAsia="宋体" w:hint="default"/>
                <w:sz w:val="18"/>
                <w:szCs w:val="18"/>
              </w:rPr>
            </w:pPr>
            <w:r>
              <w:rPr>
                <w:rFonts w:ascii="宋体"/>
                <w:spacing w:val="-1"/>
                <w:sz w:val="18"/>
              </w:rPr>
              <w:t>2,019,756.28</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21"/>
              <w:jc w:val="right"/>
              <w:rPr>
                <w:rFonts w:ascii="宋体" w:hAnsi="宋体" w:cs="宋体" w:eastAsia="宋体" w:hint="default"/>
                <w:sz w:val="18"/>
                <w:szCs w:val="18"/>
              </w:rPr>
            </w:pPr>
            <w:r>
              <w:rPr>
                <w:rFonts w:ascii="宋体"/>
                <w:spacing w:val="-1"/>
                <w:sz w:val="18"/>
              </w:rPr>
              <w:t>1,625,813.33</w:t>
            </w:r>
          </w:p>
        </w:tc>
      </w:tr>
      <w:tr>
        <w:trPr>
          <w:trHeight w:val="338"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0"/>
              <w:ind w:left="476" w:right="0"/>
              <w:jc w:val="left"/>
              <w:rPr>
                <w:rFonts w:ascii="宋体" w:hAnsi="宋体" w:cs="宋体" w:eastAsia="宋体" w:hint="default"/>
                <w:sz w:val="18"/>
                <w:szCs w:val="18"/>
              </w:rPr>
            </w:pPr>
            <w:r>
              <w:rPr>
                <w:rFonts w:ascii="宋体" w:hAnsi="宋体" w:cs="宋体" w:eastAsia="宋体" w:hint="default"/>
                <w:b/>
                <w:bCs/>
                <w:sz w:val="18"/>
                <w:szCs w:val="18"/>
              </w:rPr>
              <w:t>流动资产合计 </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9"/>
              <w:jc w:val="right"/>
              <w:rPr>
                <w:rFonts w:ascii="宋体" w:hAnsi="宋体" w:cs="宋体" w:eastAsia="宋体" w:hint="default"/>
                <w:sz w:val="18"/>
                <w:szCs w:val="18"/>
              </w:rPr>
            </w:pPr>
            <w:r>
              <w:rPr>
                <w:rFonts w:ascii="宋体"/>
                <w:b/>
                <w:w w:val="95"/>
                <w:sz w:val="18"/>
              </w:rPr>
              <w:t>70,169,591.94</w:t>
            </w:r>
            <w:r>
              <w:rPr>
                <w:rFonts w:ascii="宋体"/>
                <w:sz w:val="18"/>
              </w:rPr>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22"/>
              <w:jc w:val="right"/>
              <w:rPr>
                <w:rFonts w:ascii="宋体" w:hAnsi="宋体" w:cs="宋体" w:eastAsia="宋体" w:hint="default"/>
                <w:sz w:val="18"/>
                <w:szCs w:val="18"/>
              </w:rPr>
            </w:pPr>
            <w:r>
              <w:rPr>
                <w:rFonts w:ascii="宋体"/>
                <w:b/>
                <w:w w:val="95"/>
                <w:sz w:val="18"/>
              </w:rPr>
              <w:t>152,005,269.61</w:t>
            </w:r>
            <w:r>
              <w:rPr>
                <w:rFonts w:ascii="宋体"/>
                <w:sz w:val="18"/>
              </w:rPr>
            </w:r>
          </w:p>
        </w:tc>
      </w:tr>
      <w:tr>
        <w:trPr>
          <w:trHeight w:val="341"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114" w:right="0"/>
              <w:jc w:val="left"/>
              <w:rPr>
                <w:rFonts w:ascii="宋体" w:hAnsi="宋体" w:cs="宋体" w:eastAsia="宋体" w:hint="default"/>
                <w:sz w:val="18"/>
                <w:szCs w:val="18"/>
              </w:rPr>
            </w:pPr>
            <w:r>
              <w:rPr>
                <w:rFonts w:ascii="宋体" w:hAnsi="宋体" w:cs="宋体" w:eastAsia="宋体" w:hint="default"/>
                <w:b/>
                <w:bCs/>
                <w:sz w:val="18"/>
                <w:szCs w:val="18"/>
              </w:rPr>
              <w:t>非流动资产：</w:t>
            </w:r>
            <w:r>
              <w:rPr>
                <w:rFonts w:ascii="宋体" w:hAnsi="宋体" w:cs="宋体" w:eastAsia="宋体" w:hint="default"/>
                <w:b/>
                <w:bCs/>
                <w:spacing w:val="1"/>
                <w:sz w:val="18"/>
                <w:szCs w:val="18"/>
              </w:rPr>
              <w:t> </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3"/>
              <w:ind w:left="296" w:right="0"/>
              <w:jc w:val="left"/>
              <w:rPr>
                <w:rFonts w:ascii="宋体" w:hAnsi="宋体" w:cs="宋体" w:eastAsia="宋体" w:hint="default"/>
                <w:sz w:val="18"/>
                <w:szCs w:val="18"/>
              </w:rPr>
            </w:pPr>
            <w:r>
              <w:rPr>
                <w:rFonts w:ascii="宋体" w:hAnsi="宋体" w:cs="宋体" w:eastAsia="宋体" w:hint="default"/>
                <w:sz w:val="18"/>
                <w:szCs w:val="18"/>
              </w:rPr>
              <w:t>债权投资</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0"/>
              <w:ind w:left="296" w:right="0"/>
              <w:jc w:val="left"/>
              <w:rPr>
                <w:rFonts w:ascii="宋体" w:hAnsi="宋体" w:cs="宋体" w:eastAsia="宋体" w:hint="default"/>
                <w:sz w:val="18"/>
                <w:szCs w:val="18"/>
              </w:rPr>
            </w:pPr>
            <w:r>
              <w:rPr>
                <w:rFonts w:ascii="宋体" w:hAnsi="宋体" w:cs="宋体" w:eastAsia="宋体" w:hint="default"/>
                <w:sz w:val="18"/>
                <w:szCs w:val="18"/>
              </w:rPr>
              <w:t>可供出售金融资产</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96" w:right="0"/>
              <w:jc w:val="left"/>
              <w:rPr>
                <w:rFonts w:ascii="宋体" w:hAnsi="宋体" w:cs="宋体" w:eastAsia="宋体" w:hint="default"/>
                <w:sz w:val="18"/>
                <w:szCs w:val="18"/>
              </w:rPr>
            </w:pPr>
            <w:r>
              <w:rPr>
                <w:rFonts w:ascii="宋体" w:hAnsi="宋体" w:cs="宋体" w:eastAsia="宋体" w:hint="default"/>
                <w:sz w:val="18"/>
                <w:szCs w:val="18"/>
              </w:rPr>
              <w:t>其他债权投资</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96" w:right="0"/>
              <w:jc w:val="left"/>
              <w:rPr>
                <w:rFonts w:ascii="宋体" w:hAnsi="宋体" w:cs="宋体" w:eastAsia="宋体" w:hint="default"/>
                <w:sz w:val="18"/>
                <w:szCs w:val="18"/>
              </w:rPr>
            </w:pPr>
            <w:r>
              <w:rPr>
                <w:rFonts w:ascii="宋体" w:hAnsi="宋体" w:cs="宋体" w:eastAsia="宋体" w:hint="default"/>
                <w:sz w:val="18"/>
                <w:szCs w:val="18"/>
              </w:rPr>
              <w:t>持有至到期投资</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0"/>
              <w:ind w:left="296" w:right="0"/>
              <w:jc w:val="left"/>
              <w:rPr>
                <w:rFonts w:ascii="宋体" w:hAnsi="宋体" w:cs="宋体" w:eastAsia="宋体" w:hint="default"/>
                <w:sz w:val="18"/>
                <w:szCs w:val="18"/>
              </w:rPr>
            </w:pPr>
            <w:r>
              <w:rPr>
                <w:rFonts w:ascii="宋体" w:hAnsi="宋体" w:cs="宋体" w:eastAsia="宋体" w:hint="default"/>
                <w:sz w:val="18"/>
                <w:szCs w:val="18"/>
              </w:rPr>
              <w:t>长期应收款</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96" w:right="0"/>
              <w:jc w:val="left"/>
              <w:rPr>
                <w:rFonts w:ascii="宋体" w:hAnsi="宋体" w:cs="宋体" w:eastAsia="宋体" w:hint="default"/>
                <w:sz w:val="18"/>
                <w:szCs w:val="18"/>
              </w:rPr>
            </w:pPr>
            <w:r>
              <w:rPr>
                <w:rFonts w:ascii="宋体" w:hAnsi="宋体" w:cs="宋体" w:eastAsia="宋体" w:hint="default"/>
                <w:sz w:val="18"/>
                <w:szCs w:val="18"/>
              </w:rPr>
              <w:t>长期股权投资</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9"/>
              <w:jc w:val="right"/>
              <w:rPr>
                <w:rFonts w:ascii="宋体" w:hAnsi="宋体" w:cs="宋体" w:eastAsia="宋体" w:hint="default"/>
                <w:sz w:val="18"/>
                <w:szCs w:val="18"/>
              </w:rPr>
            </w:pPr>
            <w:r>
              <w:rPr>
                <w:rFonts w:ascii="宋体"/>
                <w:spacing w:val="-1"/>
                <w:sz w:val="18"/>
              </w:rPr>
              <w:t>2,707,499,527.65</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22"/>
              <w:jc w:val="right"/>
              <w:rPr>
                <w:rFonts w:ascii="宋体" w:hAnsi="宋体" w:cs="宋体" w:eastAsia="宋体" w:hint="default"/>
                <w:sz w:val="18"/>
                <w:szCs w:val="18"/>
              </w:rPr>
            </w:pPr>
            <w:r>
              <w:rPr>
                <w:rFonts w:ascii="宋体"/>
                <w:spacing w:val="-1"/>
                <w:sz w:val="18"/>
              </w:rPr>
              <w:t>3,578,132,450.03</w:t>
            </w:r>
          </w:p>
        </w:tc>
      </w:tr>
      <w:tr>
        <w:trPr>
          <w:trHeight w:val="341"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96" w:right="0"/>
              <w:jc w:val="left"/>
              <w:rPr>
                <w:rFonts w:ascii="宋体" w:hAnsi="宋体" w:cs="宋体" w:eastAsia="宋体" w:hint="default"/>
                <w:sz w:val="18"/>
                <w:szCs w:val="18"/>
              </w:rPr>
            </w:pPr>
            <w:r>
              <w:rPr>
                <w:rFonts w:ascii="宋体" w:hAnsi="宋体" w:cs="宋体" w:eastAsia="宋体" w:hint="default"/>
                <w:sz w:val="18"/>
                <w:szCs w:val="18"/>
              </w:rPr>
              <w:t>其他权益工具投资</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0"/>
              <w:ind w:left="296" w:right="0"/>
              <w:jc w:val="left"/>
              <w:rPr>
                <w:rFonts w:ascii="宋体" w:hAnsi="宋体" w:cs="宋体" w:eastAsia="宋体" w:hint="default"/>
                <w:sz w:val="18"/>
                <w:szCs w:val="18"/>
              </w:rPr>
            </w:pPr>
            <w:r>
              <w:rPr>
                <w:rFonts w:ascii="宋体" w:hAnsi="宋体" w:cs="宋体" w:eastAsia="宋体" w:hint="default"/>
                <w:sz w:val="18"/>
                <w:szCs w:val="18"/>
              </w:rPr>
              <w:t>其他非流动金融资产</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96" w:right="0"/>
              <w:jc w:val="left"/>
              <w:rPr>
                <w:rFonts w:ascii="宋体" w:hAnsi="宋体" w:cs="宋体" w:eastAsia="宋体" w:hint="default"/>
                <w:sz w:val="18"/>
                <w:szCs w:val="18"/>
              </w:rPr>
            </w:pPr>
            <w:r>
              <w:rPr>
                <w:rFonts w:ascii="宋体" w:hAnsi="宋体" w:cs="宋体" w:eastAsia="宋体" w:hint="default"/>
                <w:sz w:val="18"/>
                <w:szCs w:val="18"/>
              </w:rPr>
              <w:t>投资性房地产</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96" w:right="0"/>
              <w:jc w:val="left"/>
              <w:rPr>
                <w:rFonts w:ascii="宋体" w:hAnsi="宋体" w:cs="宋体" w:eastAsia="宋体" w:hint="default"/>
                <w:sz w:val="18"/>
                <w:szCs w:val="18"/>
              </w:rPr>
            </w:pPr>
            <w:r>
              <w:rPr>
                <w:rFonts w:ascii="宋体" w:hAnsi="宋体" w:cs="宋体" w:eastAsia="宋体" w:hint="default"/>
                <w:sz w:val="18"/>
                <w:szCs w:val="18"/>
              </w:rPr>
              <w:t>固定资产</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9"/>
              <w:jc w:val="right"/>
              <w:rPr>
                <w:rFonts w:ascii="宋体" w:hAnsi="宋体" w:cs="宋体" w:eastAsia="宋体" w:hint="default"/>
                <w:sz w:val="18"/>
                <w:szCs w:val="18"/>
              </w:rPr>
            </w:pPr>
            <w:r>
              <w:rPr>
                <w:rFonts w:ascii="宋体"/>
                <w:spacing w:val="-1"/>
                <w:sz w:val="18"/>
              </w:rPr>
              <w:t>352,786.80</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21"/>
              <w:jc w:val="right"/>
              <w:rPr>
                <w:rFonts w:ascii="宋体" w:hAnsi="宋体" w:cs="宋体" w:eastAsia="宋体" w:hint="default"/>
                <w:sz w:val="18"/>
                <w:szCs w:val="18"/>
              </w:rPr>
            </w:pPr>
            <w:r>
              <w:rPr>
                <w:rFonts w:ascii="宋体"/>
                <w:spacing w:val="-1"/>
                <w:sz w:val="18"/>
              </w:rPr>
              <w:t>439,457.59</w:t>
            </w:r>
          </w:p>
        </w:tc>
      </w:tr>
      <w:tr>
        <w:trPr>
          <w:trHeight w:val="338"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0"/>
              <w:ind w:left="296" w:right="0"/>
              <w:jc w:val="left"/>
              <w:rPr>
                <w:rFonts w:ascii="宋体" w:hAnsi="宋体" w:cs="宋体" w:eastAsia="宋体" w:hint="default"/>
                <w:sz w:val="18"/>
                <w:szCs w:val="18"/>
              </w:rPr>
            </w:pPr>
            <w:r>
              <w:rPr>
                <w:rFonts w:ascii="宋体" w:hAnsi="宋体" w:cs="宋体" w:eastAsia="宋体" w:hint="default"/>
                <w:sz w:val="18"/>
                <w:szCs w:val="18"/>
              </w:rPr>
              <w:t>在建工程</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3"/>
              <w:ind w:left="296" w:right="0"/>
              <w:jc w:val="left"/>
              <w:rPr>
                <w:rFonts w:ascii="宋体" w:hAnsi="宋体" w:cs="宋体" w:eastAsia="宋体" w:hint="default"/>
                <w:sz w:val="18"/>
                <w:szCs w:val="18"/>
              </w:rPr>
            </w:pPr>
            <w:r>
              <w:rPr>
                <w:rFonts w:ascii="宋体" w:hAnsi="宋体" w:cs="宋体" w:eastAsia="宋体" w:hint="default"/>
                <w:sz w:val="18"/>
                <w:szCs w:val="18"/>
              </w:rPr>
              <w:t>生产性生物资产</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96" w:right="0"/>
              <w:jc w:val="left"/>
              <w:rPr>
                <w:rFonts w:ascii="宋体" w:hAnsi="宋体" w:cs="宋体" w:eastAsia="宋体" w:hint="default"/>
                <w:sz w:val="18"/>
                <w:szCs w:val="18"/>
              </w:rPr>
            </w:pPr>
            <w:r>
              <w:rPr>
                <w:rFonts w:ascii="宋体" w:hAnsi="宋体" w:cs="宋体" w:eastAsia="宋体" w:hint="default"/>
                <w:sz w:val="18"/>
                <w:szCs w:val="18"/>
              </w:rPr>
              <w:t>油气资产</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0"/>
              <w:ind w:left="296" w:right="0"/>
              <w:jc w:val="left"/>
              <w:rPr>
                <w:rFonts w:ascii="宋体" w:hAnsi="宋体" w:cs="宋体" w:eastAsia="宋体" w:hint="default"/>
                <w:sz w:val="18"/>
                <w:szCs w:val="18"/>
              </w:rPr>
            </w:pPr>
            <w:r>
              <w:rPr>
                <w:rFonts w:ascii="宋体" w:hAnsi="宋体" w:cs="宋体" w:eastAsia="宋体" w:hint="default"/>
                <w:sz w:val="18"/>
                <w:szCs w:val="18"/>
              </w:rPr>
              <w:t>无形资产</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9"/>
              <w:jc w:val="right"/>
              <w:rPr>
                <w:rFonts w:ascii="宋体" w:hAnsi="宋体" w:cs="宋体" w:eastAsia="宋体" w:hint="default"/>
                <w:sz w:val="18"/>
                <w:szCs w:val="18"/>
              </w:rPr>
            </w:pPr>
            <w:r>
              <w:rPr>
                <w:rFonts w:ascii="宋体"/>
                <w:spacing w:val="-1"/>
                <w:sz w:val="18"/>
              </w:rPr>
              <w:t>45,264.04</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21"/>
              <w:jc w:val="right"/>
              <w:rPr>
                <w:rFonts w:ascii="宋体" w:hAnsi="宋体" w:cs="宋体" w:eastAsia="宋体" w:hint="default"/>
                <w:sz w:val="18"/>
                <w:szCs w:val="18"/>
              </w:rPr>
            </w:pPr>
            <w:r>
              <w:rPr>
                <w:rFonts w:ascii="宋体"/>
                <w:spacing w:val="-1"/>
                <w:sz w:val="18"/>
              </w:rPr>
              <w:t>51,267.16</w:t>
            </w:r>
          </w:p>
        </w:tc>
      </w:tr>
      <w:tr>
        <w:trPr>
          <w:trHeight w:val="341"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96" w:right="0"/>
              <w:jc w:val="left"/>
              <w:rPr>
                <w:rFonts w:ascii="宋体" w:hAnsi="宋体" w:cs="宋体" w:eastAsia="宋体" w:hint="default"/>
                <w:sz w:val="18"/>
                <w:szCs w:val="18"/>
              </w:rPr>
            </w:pPr>
            <w:r>
              <w:rPr>
                <w:rFonts w:ascii="宋体" w:hAnsi="宋体" w:cs="宋体" w:eastAsia="宋体" w:hint="default"/>
                <w:sz w:val="18"/>
                <w:szCs w:val="18"/>
              </w:rPr>
              <w:t>开发支出</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96" w:right="0"/>
              <w:jc w:val="left"/>
              <w:rPr>
                <w:rFonts w:ascii="宋体" w:hAnsi="宋体" w:cs="宋体" w:eastAsia="宋体" w:hint="default"/>
                <w:sz w:val="18"/>
                <w:szCs w:val="18"/>
              </w:rPr>
            </w:pPr>
            <w:r>
              <w:rPr>
                <w:rFonts w:ascii="宋体" w:hAnsi="宋体" w:cs="宋体" w:eastAsia="宋体" w:hint="default"/>
                <w:sz w:val="18"/>
                <w:szCs w:val="18"/>
              </w:rPr>
              <w:t>商誉</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0"/>
              <w:ind w:left="296" w:right="0"/>
              <w:jc w:val="left"/>
              <w:rPr>
                <w:rFonts w:ascii="宋体" w:hAnsi="宋体" w:cs="宋体" w:eastAsia="宋体" w:hint="default"/>
                <w:sz w:val="18"/>
                <w:szCs w:val="18"/>
              </w:rPr>
            </w:pPr>
            <w:r>
              <w:rPr>
                <w:rFonts w:ascii="宋体" w:hAnsi="宋体" w:cs="宋体" w:eastAsia="宋体" w:hint="default"/>
                <w:sz w:val="18"/>
                <w:szCs w:val="18"/>
              </w:rPr>
              <w:t>长期待摊费用</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9"/>
              <w:jc w:val="right"/>
              <w:rPr>
                <w:rFonts w:ascii="宋体" w:hAnsi="宋体" w:cs="宋体" w:eastAsia="宋体" w:hint="default"/>
                <w:sz w:val="18"/>
                <w:szCs w:val="18"/>
              </w:rPr>
            </w:pPr>
            <w:r>
              <w:rPr>
                <w:rFonts w:ascii="宋体"/>
                <w:spacing w:val="-1"/>
                <w:sz w:val="18"/>
              </w:rPr>
              <w:t>371,421.81</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21"/>
              <w:jc w:val="right"/>
              <w:rPr>
                <w:rFonts w:ascii="宋体" w:hAnsi="宋体" w:cs="宋体" w:eastAsia="宋体" w:hint="default"/>
                <w:sz w:val="18"/>
                <w:szCs w:val="18"/>
              </w:rPr>
            </w:pPr>
            <w:r>
              <w:rPr>
                <w:rFonts w:ascii="宋体"/>
                <w:spacing w:val="-1"/>
                <w:sz w:val="18"/>
              </w:rPr>
              <w:t>606,003.93</w:t>
            </w:r>
          </w:p>
        </w:tc>
      </w:tr>
      <w:tr>
        <w:trPr>
          <w:trHeight w:val="341"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96" w:right="0"/>
              <w:jc w:val="left"/>
              <w:rPr>
                <w:rFonts w:ascii="宋体" w:hAnsi="宋体" w:cs="宋体" w:eastAsia="宋体" w:hint="default"/>
                <w:sz w:val="18"/>
                <w:szCs w:val="18"/>
              </w:rPr>
            </w:pPr>
            <w:r>
              <w:rPr>
                <w:rFonts w:ascii="宋体" w:hAnsi="宋体" w:cs="宋体" w:eastAsia="宋体" w:hint="default"/>
                <w:sz w:val="18"/>
                <w:szCs w:val="18"/>
              </w:rPr>
              <w:t>递延所得税资产</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21"/>
              <w:jc w:val="right"/>
              <w:rPr>
                <w:rFonts w:ascii="宋体" w:hAnsi="宋体" w:cs="宋体" w:eastAsia="宋体" w:hint="default"/>
                <w:sz w:val="18"/>
                <w:szCs w:val="18"/>
              </w:rPr>
            </w:pPr>
            <w:r>
              <w:rPr>
                <w:rFonts w:ascii="宋体"/>
                <w:spacing w:val="-1"/>
                <w:sz w:val="18"/>
              </w:rPr>
              <w:t>939.84</w:t>
            </w:r>
          </w:p>
        </w:tc>
      </w:tr>
      <w:tr>
        <w:trPr>
          <w:trHeight w:val="341"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96" w:right="0"/>
              <w:jc w:val="left"/>
              <w:rPr>
                <w:rFonts w:ascii="宋体" w:hAnsi="宋体" w:cs="宋体" w:eastAsia="宋体" w:hint="default"/>
                <w:sz w:val="18"/>
                <w:szCs w:val="18"/>
              </w:rPr>
            </w:pPr>
            <w:r>
              <w:rPr>
                <w:rFonts w:ascii="宋体" w:hAnsi="宋体" w:cs="宋体" w:eastAsia="宋体" w:hint="default"/>
                <w:sz w:val="18"/>
                <w:szCs w:val="18"/>
              </w:rPr>
              <w:t>其他非流动资产</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0"/>
              <w:ind w:left="476" w:right="0"/>
              <w:jc w:val="left"/>
              <w:rPr>
                <w:rFonts w:ascii="宋体" w:hAnsi="宋体" w:cs="宋体" w:eastAsia="宋体" w:hint="default"/>
                <w:sz w:val="18"/>
                <w:szCs w:val="18"/>
              </w:rPr>
            </w:pPr>
            <w:r>
              <w:rPr>
                <w:rFonts w:ascii="宋体" w:hAnsi="宋体" w:cs="宋体" w:eastAsia="宋体" w:hint="default"/>
                <w:b/>
                <w:bCs/>
                <w:sz w:val="18"/>
                <w:szCs w:val="18"/>
              </w:rPr>
              <w:t>非流动资产合计 </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20"/>
              <w:jc w:val="right"/>
              <w:rPr>
                <w:rFonts w:ascii="宋体" w:hAnsi="宋体" w:cs="宋体" w:eastAsia="宋体" w:hint="default"/>
                <w:sz w:val="18"/>
                <w:szCs w:val="18"/>
              </w:rPr>
            </w:pPr>
            <w:r>
              <w:rPr>
                <w:rFonts w:ascii="宋体"/>
                <w:b/>
                <w:w w:val="95"/>
                <w:sz w:val="18"/>
              </w:rPr>
              <w:t>2,708,269,000.30</w:t>
            </w:r>
            <w:r>
              <w:rPr>
                <w:rFonts w:ascii="宋体"/>
                <w:sz w:val="18"/>
              </w:rPr>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23"/>
              <w:jc w:val="right"/>
              <w:rPr>
                <w:rFonts w:ascii="宋体" w:hAnsi="宋体" w:cs="宋体" w:eastAsia="宋体" w:hint="default"/>
                <w:sz w:val="18"/>
                <w:szCs w:val="18"/>
              </w:rPr>
            </w:pPr>
            <w:r>
              <w:rPr>
                <w:rFonts w:ascii="宋体"/>
                <w:b/>
                <w:w w:val="95"/>
                <w:sz w:val="18"/>
              </w:rPr>
              <w:t>3,579,230,118.55</w:t>
            </w:r>
            <w:r>
              <w:rPr>
                <w:rFonts w:ascii="宋体"/>
                <w:sz w:val="18"/>
              </w:rPr>
            </w:r>
          </w:p>
        </w:tc>
      </w:tr>
      <w:tr>
        <w:trPr>
          <w:trHeight w:val="341"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476" w:right="0"/>
              <w:jc w:val="left"/>
              <w:rPr>
                <w:rFonts w:ascii="宋体" w:hAnsi="宋体" w:cs="宋体" w:eastAsia="宋体" w:hint="default"/>
                <w:sz w:val="18"/>
                <w:szCs w:val="18"/>
              </w:rPr>
            </w:pPr>
            <w:r>
              <w:rPr>
                <w:rFonts w:ascii="宋体" w:hAnsi="宋体" w:cs="宋体" w:eastAsia="宋体" w:hint="default"/>
                <w:b/>
                <w:bCs/>
                <w:sz w:val="18"/>
                <w:szCs w:val="18"/>
              </w:rPr>
              <w:t>资产总计 </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20"/>
              <w:jc w:val="right"/>
              <w:rPr>
                <w:rFonts w:ascii="宋体" w:hAnsi="宋体" w:cs="宋体" w:eastAsia="宋体" w:hint="default"/>
                <w:sz w:val="18"/>
                <w:szCs w:val="18"/>
              </w:rPr>
            </w:pPr>
            <w:r>
              <w:rPr>
                <w:rFonts w:ascii="宋体"/>
                <w:b/>
                <w:w w:val="95"/>
                <w:sz w:val="18"/>
              </w:rPr>
              <w:t>2,778,438,592.24</w:t>
            </w:r>
            <w:r>
              <w:rPr>
                <w:rFonts w:ascii="宋体"/>
                <w:sz w:val="18"/>
              </w:rPr>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23"/>
              <w:jc w:val="right"/>
              <w:rPr>
                <w:rFonts w:ascii="宋体" w:hAnsi="宋体" w:cs="宋体" w:eastAsia="宋体" w:hint="default"/>
                <w:sz w:val="18"/>
                <w:szCs w:val="18"/>
              </w:rPr>
            </w:pPr>
            <w:r>
              <w:rPr>
                <w:rFonts w:ascii="宋体"/>
                <w:b/>
                <w:w w:val="95"/>
                <w:sz w:val="18"/>
              </w:rPr>
              <w:t>3,731,235,388.16</w:t>
            </w:r>
            <w:r>
              <w:rPr>
                <w:rFonts w:ascii="宋体"/>
                <w:sz w:val="18"/>
              </w:rPr>
            </w:r>
          </w:p>
        </w:tc>
      </w:tr>
      <w:tr>
        <w:trPr>
          <w:trHeight w:val="341"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5" w:lineRule="exact"/>
              <w:ind w:left="2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39"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0"/>
              <w:ind w:left="296" w:right="0"/>
              <w:jc w:val="left"/>
              <w:rPr>
                <w:rFonts w:ascii="宋体" w:hAnsi="宋体" w:cs="宋体" w:eastAsia="宋体" w:hint="default"/>
                <w:sz w:val="18"/>
                <w:szCs w:val="18"/>
              </w:rPr>
            </w:pPr>
            <w:r>
              <w:rPr>
                <w:rFonts w:ascii="宋体" w:hAnsi="宋体" w:cs="宋体" w:eastAsia="宋体" w:hint="default"/>
                <w:sz w:val="18"/>
                <w:szCs w:val="18"/>
              </w:rPr>
              <w:t>短期借款</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96" w:right="0"/>
              <w:jc w:val="left"/>
              <w:rPr>
                <w:rFonts w:ascii="宋体" w:hAnsi="宋体" w:cs="宋体" w:eastAsia="宋体" w:hint="default"/>
                <w:sz w:val="18"/>
                <w:szCs w:val="18"/>
              </w:rPr>
            </w:pPr>
            <w:r>
              <w:rPr>
                <w:rFonts w:ascii="宋体" w:hAnsi="宋体" w:cs="宋体" w:eastAsia="宋体" w:hint="default"/>
                <w:sz w:val="18"/>
                <w:szCs w:val="18"/>
              </w:rPr>
              <w:t>交易性金融负债</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554"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8"/>
              <w:ind w:left="296" w:right="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以公允价值计量且其变动计入当期损益的金融负债</w:t>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0"/>
              <w:ind w:left="296" w:right="0"/>
              <w:jc w:val="left"/>
              <w:rPr>
                <w:rFonts w:ascii="宋体" w:hAnsi="宋体" w:cs="宋体" w:eastAsia="宋体" w:hint="default"/>
                <w:sz w:val="18"/>
                <w:szCs w:val="18"/>
              </w:rPr>
            </w:pPr>
            <w:r>
              <w:rPr>
                <w:rFonts w:ascii="宋体" w:hAnsi="宋体" w:cs="宋体" w:eastAsia="宋体" w:hint="default"/>
                <w:sz w:val="18"/>
                <w:szCs w:val="18"/>
              </w:rPr>
              <w:t>衍生金融负债</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96" w:right="0"/>
              <w:jc w:val="left"/>
              <w:rPr>
                <w:rFonts w:ascii="宋体" w:hAnsi="宋体" w:cs="宋体" w:eastAsia="宋体" w:hint="default"/>
                <w:sz w:val="18"/>
                <w:szCs w:val="18"/>
              </w:rPr>
            </w:pPr>
            <w:r>
              <w:rPr>
                <w:rFonts w:ascii="宋体" w:hAnsi="宋体" w:cs="宋体" w:eastAsia="宋体" w:hint="default"/>
                <w:sz w:val="18"/>
                <w:szCs w:val="18"/>
              </w:rPr>
              <w:t>应付票据</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36" w:hRule="exact"/>
        </w:trPr>
        <w:tc>
          <w:tcPr>
            <w:tcW w:w="4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96" w:right="0"/>
              <w:jc w:val="left"/>
              <w:rPr>
                <w:rFonts w:ascii="宋体" w:hAnsi="宋体" w:cs="宋体" w:eastAsia="宋体" w:hint="default"/>
                <w:sz w:val="18"/>
                <w:szCs w:val="18"/>
              </w:rPr>
            </w:pPr>
            <w:r>
              <w:rPr>
                <w:rFonts w:ascii="宋体" w:hAnsi="宋体" w:cs="宋体" w:eastAsia="宋体" w:hint="default"/>
                <w:sz w:val="18"/>
                <w:szCs w:val="18"/>
              </w:rPr>
              <w:t>应付账款</w:t>
            </w:r>
            <w:r>
              <w:rPr>
                <w:rFonts w:ascii="宋体" w:hAnsi="宋体" w:cs="宋体" w:eastAsia="宋体" w:hint="default"/>
                <w:spacing w:val="-4"/>
                <w:sz w:val="18"/>
                <w:szCs w:val="18"/>
              </w:rPr>
              <w:t> </w:t>
            </w:r>
            <w:r>
              <w:rPr>
                <w:rFonts w:ascii="宋体" w:hAnsi="宋体" w:cs="宋体" w:eastAsia="宋体" w:hint="default"/>
                <w:sz w:val="18"/>
                <w:szCs w:val="18"/>
              </w:rPr>
              <w:t> </w:t>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9"/>
              <w:jc w:val="right"/>
              <w:rPr>
                <w:rFonts w:ascii="宋体" w:hAnsi="宋体" w:cs="宋体" w:eastAsia="宋体" w:hint="default"/>
                <w:sz w:val="18"/>
                <w:szCs w:val="18"/>
              </w:rPr>
            </w:pPr>
            <w:r>
              <w:rPr>
                <w:rFonts w:ascii="宋体"/>
                <w:spacing w:val="-1"/>
                <w:sz w:val="18"/>
              </w:rPr>
              <w:t>21,120.00</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21"/>
              <w:jc w:val="right"/>
              <w:rPr>
                <w:rFonts w:ascii="宋体" w:hAnsi="宋体" w:cs="宋体" w:eastAsia="宋体" w:hint="default"/>
                <w:sz w:val="18"/>
                <w:szCs w:val="18"/>
              </w:rPr>
            </w:pPr>
            <w:r>
              <w:rPr>
                <w:rFonts w:ascii="宋体"/>
                <w:spacing w:val="-1"/>
                <w:sz w:val="18"/>
              </w:rPr>
              <w:t>160,750.00</w:t>
            </w:r>
          </w:p>
        </w:tc>
      </w:tr>
    </w:tbl>
    <w:p>
      <w:pPr>
        <w:spacing w:after="0" w:line="240" w:lineRule="auto"/>
        <w:jc w:val="right"/>
        <w:rPr>
          <w:rFonts w:ascii="宋体" w:hAnsi="宋体" w:cs="宋体" w:eastAsia="宋体" w:hint="default"/>
          <w:sz w:val="18"/>
          <w:szCs w:val="18"/>
        </w:rPr>
        <w:sectPr>
          <w:pgSz w:w="11910" w:h="16840"/>
          <w:pgMar w:header="921" w:footer="725" w:top="1160" w:bottom="920" w:left="980" w:right="0"/>
        </w:sectPr>
      </w:pPr>
    </w:p>
    <w:p>
      <w:pPr>
        <w:spacing w:line="240" w:lineRule="auto" w:before="2"/>
        <w:rPr>
          <w:rFonts w:ascii="Times New Roman" w:hAnsi="Times New Roman" w:cs="Times New Roman" w:eastAsia="Times New Roman" w:hint="default"/>
          <w:sz w:val="24"/>
          <w:szCs w:val="24"/>
        </w:rPr>
      </w:pPr>
    </w:p>
    <w:tbl>
      <w:tblPr>
        <w:tblW w:w="0" w:type="auto"/>
        <w:jc w:val="left"/>
        <w:tblInd w:w="148" w:type="dxa"/>
        <w:tblLayout w:type="fixed"/>
        <w:tblCellMar>
          <w:top w:w="0" w:type="dxa"/>
          <w:left w:w="0" w:type="dxa"/>
          <w:bottom w:w="0" w:type="dxa"/>
          <w:right w:w="0" w:type="dxa"/>
        </w:tblCellMar>
        <w:tblLook w:val="01E0"/>
      </w:tblPr>
      <w:tblGrid>
        <w:gridCol w:w="4395"/>
        <w:gridCol w:w="1135"/>
        <w:gridCol w:w="1841"/>
        <w:gridCol w:w="2129"/>
      </w:tblGrid>
      <w:tr>
        <w:trPr>
          <w:trHeight w:val="335" w:hRule="exact"/>
        </w:trPr>
        <w:tc>
          <w:tcPr>
            <w:tcW w:w="4395" w:type="dxa"/>
            <w:tcBorders>
              <w:top w:val="single" w:sz="8" w:space="0" w:color="000000"/>
              <w:left w:val="single" w:sz="4" w:space="0" w:color="000000"/>
              <w:bottom w:val="single" w:sz="11" w:space="0" w:color="000000"/>
              <w:right w:val="single" w:sz="4" w:space="0" w:color="000000"/>
            </w:tcBorders>
          </w:tcPr>
          <w:p>
            <w:pPr>
              <w:pStyle w:val="TableParagraph"/>
              <w:tabs>
                <w:tab w:pos="274" w:val="left" w:leader="none"/>
                <w:tab w:pos="4340" w:val="left" w:leader="none"/>
              </w:tabs>
              <w:spacing w:line="240" w:lineRule="auto" w:before="13"/>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预收款项</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395" w:type="dxa"/>
            <w:tcBorders>
              <w:top w:val="single" w:sz="11" w:space="0" w:color="000000"/>
              <w:left w:val="single" w:sz="4" w:space="0" w:color="000000"/>
              <w:bottom w:val="single" w:sz="4" w:space="0" w:color="000000"/>
              <w:right w:val="single" w:sz="4" w:space="0" w:color="000000"/>
            </w:tcBorders>
          </w:tcPr>
          <w:p>
            <w:pPr>
              <w:pStyle w:val="TableParagraph"/>
              <w:tabs>
                <w:tab w:pos="274" w:val="left" w:leader="none"/>
                <w:tab w:pos="4340" w:val="left" w:leader="none"/>
              </w:tabs>
              <w:spacing w:line="240" w:lineRule="auto" w:before="13"/>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应付职工薪酬</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9"/>
              <w:jc w:val="right"/>
              <w:rPr>
                <w:rFonts w:ascii="宋体" w:hAnsi="宋体" w:cs="宋体" w:eastAsia="宋体" w:hint="default"/>
                <w:sz w:val="18"/>
                <w:szCs w:val="18"/>
              </w:rPr>
            </w:pPr>
            <w:r>
              <w:rPr>
                <w:rFonts w:ascii="宋体"/>
                <w:spacing w:val="-1"/>
                <w:sz w:val="18"/>
              </w:rPr>
              <w:t>436,116.00</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21"/>
              <w:jc w:val="right"/>
              <w:rPr>
                <w:rFonts w:ascii="宋体" w:hAnsi="宋体" w:cs="宋体" w:eastAsia="宋体" w:hint="default"/>
                <w:sz w:val="18"/>
                <w:szCs w:val="18"/>
              </w:rPr>
            </w:pPr>
            <w:r>
              <w:rPr>
                <w:rFonts w:ascii="宋体"/>
                <w:spacing w:val="-1"/>
                <w:sz w:val="18"/>
              </w:rPr>
              <w:t>622,220.13</w:t>
            </w:r>
          </w:p>
        </w:tc>
      </w:tr>
      <w:tr>
        <w:trPr>
          <w:trHeight w:val="341"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tabs>
                <w:tab w:pos="274" w:val="left" w:leader="none"/>
                <w:tab w:pos="4340" w:val="left" w:leader="none"/>
              </w:tabs>
              <w:spacing w:line="240" w:lineRule="auto" w:before="21"/>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应交税费</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42,680.28</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1"/>
              <w:jc w:val="right"/>
              <w:rPr>
                <w:rFonts w:ascii="宋体" w:hAnsi="宋体" w:cs="宋体" w:eastAsia="宋体" w:hint="default"/>
                <w:sz w:val="18"/>
                <w:szCs w:val="18"/>
              </w:rPr>
            </w:pPr>
            <w:r>
              <w:rPr>
                <w:rFonts w:ascii="宋体"/>
                <w:spacing w:val="-1"/>
                <w:sz w:val="18"/>
              </w:rPr>
              <w:t>232,695.51</w:t>
            </w:r>
          </w:p>
        </w:tc>
      </w:tr>
      <w:tr>
        <w:trPr>
          <w:trHeight w:val="338"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tabs>
                <w:tab w:pos="274" w:val="left" w:leader="none"/>
                <w:tab w:pos="4340" w:val="left" w:leader="none"/>
              </w:tabs>
              <w:spacing w:line="240" w:lineRule="auto" w:before="21"/>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其他应付款</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533,458,713.42</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2"/>
              <w:jc w:val="right"/>
              <w:rPr>
                <w:rFonts w:ascii="宋体" w:hAnsi="宋体" w:cs="宋体" w:eastAsia="宋体" w:hint="default"/>
                <w:sz w:val="18"/>
                <w:szCs w:val="18"/>
              </w:rPr>
            </w:pPr>
            <w:r>
              <w:rPr>
                <w:rFonts w:ascii="宋体"/>
                <w:spacing w:val="-1"/>
                <w:sz w:val="18"/>
              </w:rPr>
              <w:t>513,034,415.26</w:t>
            </w:r>
          </w:p>
        </w:tc>
      </w:tr>
      <w:tr>
        <w:trPr>
          <w:trHeight w:val="341"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tabs>
                <w:tab w:pos="274" w:val="left" w:leader="none"/>
                <w:tab w:pos="4340" w:val="left" w:leader="none"/>
              </w:tabs>
              <w:spacing w:line="240" w:lineRule="auto" w:before="21"/>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其中：应付利息</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11,383,008.13</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1"/>
              <w:jc w:val="right"/>
              <w:rPr>
                <w:rFonts w:ascii="宋体" w:hAnsi="宋体" w:cs="宋体" w:eastAsia="宋体" w:hint="default"/>
                <w:sz w:val="18"/>
                <w:szCs w:val="18"/>
              </w:rPr>
            </w:pPr>
            <w:r>
              <w:rPr>
                <w:rFonts w:ascii="宋体"/>
                <w:spacing w:val="-1"/>
                <w:sz w:val="18"/>
              </w:rPr>
              <w:t>4,538,358.51</w:t>
            </w:r>
          </w:p>
        </w:tc>
      </w:tr>
      <w:tr>
        <w:trPr>
          <w:trHeight w:val="341"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tabs>
                <w:tab w:pos="814" w:val="left" w:leader="none"/>
                <w:tab w:pos="4340" w:val="left" w:leader="none"/>
              </w:tabs>
              <w:spacing w:line="240" w:lineRule="auto" w:before="21"/>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应付股利</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874,026.67</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1"/>
              <w:jc w:val="right"/>
              <w:rPr>
                <w:rFonts w:ascii="宋体" w:hAnsi="宋体" w:cs="宋体" w:eastAsia="宋体" w:hint="default"/>
                <w:sz w:val="18"/>
                <w:szCs w:val="18"/>
              </w:rPr>
            </w:pPr>
            <w:r>
              <w:rPr>
                <w:rFonts w:ascii="宋体"/>
                <w:spacing w:val="-1"/>
                <w:sz w:val="18"/>
              </w:rPr>
              <w:t>874,026.67</w:t>
            </w:r>
          </w:p>
        </w:tc>
      </w:tr>
      <w:tr>
        <w:trPr>
          <w:trHeight w:val="338"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tabs>
                <w:tab w:pos="274" w:val="left" w:leader="none"/>
                <w:tab w:pos="4340" w:val="left" w:leader="none"/>
              </w:tabs>
              <w:spacing w:line="240" w:lineRule="auto" w:before="21"/>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持有待售负债</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tabs>
                <w:tab w:pos="274" w:val="left" w:leader="none"/>
                <w:tab w:pos="4340" w:val="left" w:leader="none"/>
              </w:tabs>
              <w:spacing w:line="240" w:lineRule="auto" w:before="21"/>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一年内到期的非流动负债</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119,099,654.38</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1"/>
              <w:jc w:val="right"/>
              <w:rPr>
                <w:rFonts w:ascii="宋体" w:hAnsi="宋体" w:cs="宋体" w:eastAsia="宋体" w:hint="default"/>
                <w:sz w:val="18"/>
                <w:szCs w:val="18"/>
              </w:rPr>
            </w:pPr>
            <w:r>
              <w:rPr>
                <w:rFonts w:ascii="宋体"/>
                <w:spacing w:val="-1"/>
                <w:sz w:val="18"/>
              </w:rPr>
              <w:t>38,983,181.92</w:t>
            </w:r>
          </w:p>
        </w:tc>
      </w:tr>
      <w:tr>
        <w:trPr>
          <w:trHeight w:val="341"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tabs>
                <w:tab w:pos="274" w:val="left" w:leader="none"/>
                <w:tab w:pos="4340" w:val="left" w:leader="none"/>
              </w:tabs>
              <w:spacing w:line="240" w:lineRule="auto" w:before="21"/>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其他流动负债</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tabs>
                <w:tab w:pos="454" w:val="left" w:leader="none"/>
                <w:tab w:pos="4340" w:val="left" w:leader="none"/>
              </w:tabs>
              <w:spacing w:line="240" w:lineRule="auto" w:before="21"/>
              <w:ind w:right="19"/>
              <w:jc w:val="right"/>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z w:val="18"/>
                <w:szCs w:val="18"/>
                <w:shd w:fill="D2D2D2" w:color="auto" w:val="clear"/>
              </w:rPr>
              <w:t> </w:t>
              <w:tab/>
            </w:r>
            <w:r>
              <w:rPr>
                <w:rFonts w:ascii="宋体" w:hAnsi="宋体" w:cs="宋体" w:eastAsia="宋体" w:hint="default"/>
                <w:b/>
                <w:bCs/>
                <w:w w:val="95"/>
                <w:sz w:val="18"/>
                <w:szCs w:val="18"/>
                <w:shd w:fill="D2D2D2" w:color="auto" w:val="clear"/>
              </w:rPr>
              <w:t>流动负债合计</w:t>
            </w:r>
            <w:r>
              <w:rPr>
                <w:rFonts w:ascii="宋体" w:hAnsi="宋体" w:cs="宋体" w:eastAsia="宋体" w:hint="default"/>
                <w:b/>
                <w:bCs/>
                <w:sz w:val="18"/>
                <w:szCs w:val="18"/>
                <w:shd w:fill="D2D2D2" w:color="auto" w:val="clear"/>
              </w:rPr>
              <w:t>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b/>
                <w:w w:val="95"/>
                <w:sz w:val="18"/>
              </w:rPr>
              <w:t>653,058,284.08</w:t>
            </w:r>
            <w:r>
              <w:rPr>
                <w:rFonts w:ascii="宋体"/>
                <w:sz w:val="18"/>
              </w:rPr>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2"/>
              <w:jc w:val="right"/>
              <w:rPr>
                <w:rFonts w:ascii="宋体" w:hAnsi="宋体" w:cs="宋体" w:eastAsia="宋体" w:hint="default"/>
                <w:sz w:val="18"/>
                <w:szCs w:val="18"/>
              </w:rPr>
            </w:pPr>
            <w:r>
              <w:rPr>
                <w:rFonts w:ascii="宋体"/>
                <w:b/>
                <w:w w:val="95"/>
                <w:sz w:val="18"/>
              </w:rPr>
              <w:t>553,033,262.82</w:t>
            </w:r>
            <w:r>
              <w:rPr>
                <w:rFonts w:ascii="宋体"/>
                <w:sz w:val="18"/>
              </w:rPr>
            </w:r>
          </w:p>
        </w:tc>
      </w:tr>
      <w:tr>
        <w:trPr>
          <w:trHeight w:val="341"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tabs>
                <w:tab w:pos="4340" w:val="left" w:leader="none"/>
              </w:tabs>
              <w:spacing w:line="240" w:lineRule="auto" w:before="21"/>
              <w:ind w:right="19"/>
              <w:jc w:val="right"/>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z w:val="18"/>
                <w:szCs w:val="18"/>
                <w:shd w:fill="D2D2D2" w:color="auto" w:val="clear"/>
              </w:rPr>
              <w:t> </w:t>
            </w:r>
            <w:r>
              <w:rPr>
                <w:rFonts w:ascii="Times New Roman" w:hAnsi="Times New Roman" w:cs="Times New Roman" w:eastAsia="Times New Roman" w:hint="default"/>
                <w:b/>
                <w:bCs/>
                <w:spacing w:val="1"/>
                <w:sz w:val="18"/>
                <w:szCs w:val="18"/>
                <w:shd w:fill="D2D2D2" w:color="auto" w:val="clear"/>
              </w:rPr>
              <w:t> </w:t>
            </w:r>
            <w:r>
              <w:rPr>
                <w:rFonts w:ascii="宋体" w:hAnsi="宋体" w:cs="宋体" w:eastAsia="宋体" w:hint="default"/>
                <w:b/>
                <w:bCs/>
                <w:w w:val="95"/>
                <w:sz w:val="18"/>
                <w:szCs w:val="18"/>
                <w:shd w:fill="D2D2D2" w:color="auto" w:val="clear"/>
              </w:rPr>
              <w:t>非流动负债：</w:t>
            </w:r>
            <w:r>
              <w:rPr>
                <w:rFonts w:ascii="宋体" w:hAnsi="宋体" w:cs="宋体" w:eastAsia="宋体" w:hint="default"/>
                <w:b/>
                <w:bCs/>
                <w:spacing w:val="1"/>
                <w:sz w:val="18"/>
                <w:szCs w:val="18"/>
                <w:shd w:fill="D2D2D2" w:color="auto" w:val="clear"/>
              </w:rPr>
              <w:t>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tabs>
                <w:tab w:pos="274" w:val="left" w:leader="none"/>
                <w:tab w:pos="4340" w:val="left" w:leader="none"/>
              </w:tabs>
              <w:spacing w:line="240" w:lineRule="auto" w:before="21"/>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长期借款</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66,265,601.54</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2"/>
              <w:jc w:val="right"/>
              <w:rPr>
                <w:rFonts w:ascii="宋体" w:hAnsi="宋体" w:cs="宋体" w:eastAsia="宋体" w:hint="default"/>
                <w:sz w:val="18"/>
                <w:szCs w:val="18"/>
              </w:rPr>
            </w:pPr>
            <w:r>
              <w:rPr>
                <w:rFonts w:ascii="宋体"/>
                <w:spacing w:val="-1"/>
                <w:sz w:val="18"/>
              </w:rPr>
              <w:t>185,365,255.92</w:t>
            </w:r>
          </w:p>
        </w:tc>
      </w:tr>
      <w:tr>
        <w:trPr>
          <w:trHeight w:val="339" w:hRule="exact"/>
        </w:trPr>
        <w:tc>
          <w:tcPr>
            <w:tcW w:w="4395" w:type="dxa"/>
            <w:tcBorders>
              <w:top w:val="single" w:sz="4" w:space="0" w:color="000000"/>
              <w:left w:val="single" w:sz="4" w:space="0" w:color="000000"/>
              <w:bottom w:val="single" w:sz="11" w:space="0" w:color="000000"/>
              <w:right w:val="single" w:sz="4" w:space="0" w:color="000000"/>
            </w:tcBorders>
          </w:tcPr>
          <w:p>
            <w:pPr>
              <w:pStyle w:val="TableParagraph"/>
              <w:tabs>
                <w:tab w:pos="274" w:val="left" w:leader="none"/>
                <w:tab w:pos="4340" w:val="left" w:leader="none"/>
              </w:tabs>
              <w:spacing w:line="240" w:lineRule="auto" w:before="22"/>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应付债券</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395" w:type="dxa"/>
            <w:tcBorders>
              <w:top w:val="single" w:sz="11" w:space="0" w:color="000000"/>
              <w:left w:val="single" w:sz="4" w:space="0" w:color="000000"/>
              <w:bottom w:val="single" w:sz="11" w:space="0" w:color="000000"/>
              <w:right w:val="single" w:sz="4" w:space="0" w:color="000000"/>
            </w:tcBorders>
          </w:tcPr>
          <w:p>
            <w:pPr>
              <w:pStyle w:val="TableParagraph"/>
              <w:tabs>
                <w:tab w:pos="274" w:val="left" w:leader="none"/>
                <w:tab w:pos="4340" w:val="left" w:leader="none"/>
              </w:tabs>
              <w:spacing w:line="240" w:lineRule="auto" w:before="13"/>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其中：优先股</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1"/>
              <w:ind w:left="838" w:right="0"/>
              <w:jc w:val="left"/>
              <w:rPr>
                <w:rFonts w:ascii="宋体" w:hAnsi="宋体" w:cs="宋体" w:eastAsia="宋体" w:hint="default"/>
                <w:sz w:val="18"/>
                <w:szCs w:val="18"/>
              </w:rPr>
            </w:pPr>
            <w:r>
              <w:rPr>
                <w:rFonts w:ascii="宋体" w:hAnsi="宋体" w:cs="宋体" w:eastAsia="宋体" w:hint="default"/>
                <w:sz w:val="18"/>
                <w:szCs w:val="18"/>
              </w:rPr>
              <w:t>永续债 </w:t>
            </w:r>
            <w:r>
              <w:rPr>
                <w:rFonts w:ascii="宋体" w:hAnsi="宋体" w:cs="宋体" w:eastAsia="宋体" w:hint="default"/>
                <w:spacing w:val="-3"/>
                <w:sz w:val="18"/>
                <w:szCs w:val="18"/>
              </w:rPr>
              <w:t> </w:t>
            </w:r>
            <w:r>
              <w:rPr>
                <w:rFonts w:ascii="宋体" w:hAnsi="宋体" w:cs="宋体" w:eastAsia="宋体" w:hint="default"/>
                <w:sz w:val="18"/>
                <w:szCs w:val="18"/>
              </w:rPr>
              <w:t> </w:t>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4395" w:type="dxa"/>
            <w:tcBorders>
              <w:top w:val="single" w:sz="11" w:space="0" w:color="000000"/>
              <w:left w:val="single" w:sz="4" w:space="0" w:color="000000"/>
              <w:bottom w:val="single" w:sz="4" w:space="0" w:color="000000"/>
              <w:right w:val="single" w:sz="4" w:space="0" w:color="000000"/>
            </w:tcBorders>
          </w:tcPr>
          <w:p>
            <w:pPr>
              <w:pStyle w:val="TableParagraph"/>
              <w:tabs>
                <w:tab w:pos="274" w:val="left" w:leader="none"/>
                <w:tab w:pos="4340" w:val="left" w:leader="none"/>
              </w:tabs>
              <w:spacing w:line="240" w:lineRule="auto" w:before="13"/>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长期应付款</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395" w:type="dxa"/>
            <w:tcBorders>
              <w:top w:val="single" w:sz="4" w:space="0" w:color="000000"/>
              <w:left w:val="single" w:sz="4" w:space="0" w:color="000000"/>
              <w:bottom w:val="single" w:sz="11" w:space="0" w:color="000000"/>
              <w:right w:val="single" w:sz="4" w:space="0" w:color="000000"/>
            </w:tcBorders>
          </w:tcPr>
          <w:p>
            <w:pPr>
              <w:pStyle w:val="TableParagraph"/>
              <w:tabs>
                <w:tab w:pos="274" w:val="left" w:leader="none"/>
                <w:tab w:pos="4340" w:val="left" w:leader="none"/>
              </w:tabs>
              <w:spacing w:line="240" w:lineRule="auto" w:before="21"/>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长期应付职工薪酬</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395" w:type="dxa"/>
            <w:tcBorders>
              <w:top w:val="single" w:sz="11" w:space="0" w:color="000000"/>
              <w:left w:val="single" w:sz="4" w:space="0" w:color="000000"/>
              <w:bottom w:val="single" w:sz="11" w:space="0" w:color="000000"/>
              <w:right w:val="single" w:sz="4" w:space="0" w:color="000000"/>
            </w:tcBorders>
          </w:tcPr>
          <w:p>
            <w:pPr>
              <w:pStyle w:val="TableParagraph"/>
              <w:tabs>
                <w:tab w:pos="274" w:val="left" w:leader="none"/>
                <w:tab w:pos="4340" w:val="left" w:leader="none"/>
              </w:tabs>
              <w:spacing w:line="240" w:lineRule="auto" w:before="13"/>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预计负债</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4395" w:type="dxa"/>
            <w:tcBorders>
              <w:top w:val="single" w:sz="11" w:space="0" w:color="000000"/>
              <w:left w:val="single" w:sz="4" w:space="0" w:color="000000"/>
              <w:bottom w:val="single" w:sz="4" w:space="0" w:color="000000"/>
              <w:right w:val="single" w:sz="4" w:space="0" w:color="000000"/>
            </w:tcBorders>
          </w:tcPr>
          <w:p>
            <w:pPr>
              <w:pStyle w:val="TableParagraph"/>
              <w:tabs>
                <w:tab w:pos="274" w:val="left" w:leader="none"/>
                <w:tab w:pos="4340" w:val="left" w:leader="none"/>
              </w:tabs>
              <w:spacing w:line="240" w:lineRule="auto" w:before="13"/>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递延收益</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395" w:type="dxa"/>
            <w:tcBorders>
              <w:top w:val="single" w:sz="4" w:space="0" w:color="000000"/>
              <w:left w:val="single" w:sz="4" w:space="0" w:color="000000"/>
              <w:bottom w:val="single" w:sz="11" w:space="0" w:color="000000"/>
              <w:right w:val="single" w:sz="4" w:space="0" w:color="000000"/>
            </w:tcBorders>
          </w:tcPr>
          <w:p>
            <w:pPr>
              <w:pStyle w:val="TableParagraph"/>
              <w:tabs>
                <w:tab w:pos="274" w:val="left" w:leader="none"/>
                <w:tab w:pos="4340" w:val="left" w:leader="none"/>
              </w:tabs>
              <w:spacing w:line="240" w:lineRule="auto" w:before="21"/>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递延所得税负债</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395" w:type="dxa"/>
            <w:tcBorders>
              <w:top w:val="single" w:sz="11" w:space="0" w:color="000000"/>
              <w:left w:val="single" w:sz="4" w:space="0" w:color="000000"/>
              <w:bottom w:val="single" w:sz="11" w:space="0" w:color="000000"/>
              <w:right w:val="single" w:sz="4" w:space="0" w:color="000000"/>
            </w:tcBorders>
          </w:tcPr>
          <w:p>
            <w:pPr>
              <w:pStyle w:val="TableParagraph"/>
              <w:tabs>
                <w:tab w:pos="274" w:val="left" w:leader="none"/>
                <w:tab w:pos="4340" w:val="left" w:leader="none"/>
              </w:tabs>
              <w:spacing w:line="240" w:lineRule="auto" w:before="13"/>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其他非流动负债</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4395" w:type="dxa"/>
            <w:tcBorders>
              <w:top w:val="single" w:sz="11" w:space="0" w:color="000000"/>
              <w:left w:val="single" w:sz="4" w:space="0" w:color="000000"/>
              <w:bottom w:val="single" w:sz="4" w:space="0" w:color="000000"/>
              <w:right w:val="single" w:sz="4" w:space="0" w:color="000000"/>
            </w:tcBorders>
          </w:tcPr>
          <w:p>
            <w:pPr>
              <w:pStyle w:val="TableParagraph"/>
              <w:tabs>
                <w:tab w:pos="454" w:val="left" w:leader="none"/>
                <w:tab w:pos="4340" w:val="left" w:leader="none"/>
              </w:tabs>
              <w:spacing w:line="240" w:lineRule="auto" w:before="13"/>
              <w:ind w:right="19"/>
              <w:jc w:val="right"/>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z w:val="18"/>
                <w:szCs w:val="18"/>
                <w:shd w:fill="D2D2D2" w:color="auto" w:val="clear"/>
              </w:rPr>
              <w:t> </w:t>
              <w:tab/>
            </w:r>
            <w:r>
              <w:rPr>
                <w:rFonts w:ascii="宋体" w:hAnsi="宋体" w:cs="宋体" w:eastAsia="宋体" w:hint="default"/>
                <w:b/>
                <w:bCs/>
                <w:w w:val="95"/>
                <w:sz w:val="18"/>
                <w:szCs w:val="18"/>
                <w:shd w:fill="D2D2D2" w:color="auto" w:val="clear"/>
              </w:rPr>
              <w:t>非流动负债合计</w:t>
            </w:r>
            <w:r>
              <w:rPr>
                <w:rFonts w:ascii="宋体" w:hAnsi="宋体" w:cs="宋体" w:eastAsia="宋体" w:hint="default"/>
                <w:b/>
                <w:bCs/>
                <w:sz w:val="18"/>
                <w:szCs w:val="18"/>
                <w:shd w:fill="D2D2D2" w:color="auto" w:val="clear"/>
              </w:rPr>
              <w:t>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b/>
                <w:w w:val="95"/>
                <w:sz w:val="18"/>
              </w:rPr>
              <w:t>66,265,601.54</w:t>
            </w:r>
            <w:r>
              <w:rPr>
                <w:rFonts w:ascii="宋体"/>
                <w:sz w:val="18"/>
              </w:rPr>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2"/>
              <w:jc w:val="right"/>
              <w:rPr>
                <w:rFonts w:ascii="宋体" w:hAnsi="宋体" w:cs="宋体" w:eastAsia="宋体" w:hint="default"/>
                <w:sz w:val="18"/>
                <w:szCs w:val="18"/>
              </w:rPr>
            </w:pPr>
            <w:r>
              <w:rPr>
                <w:rFonts w:ascii="宋体"/>
                <w:b/>
                <w:w w:val="95"/>
                <w:sz w:val="18"/>
              </w:rPr>
              <w:t>185,365,255.92</w:t>
            </w:r>
            <w:r>
              <w:rPr>
                <w:rFonts w:ascii="宋体"/>
                <w:sz w:val="18"/>
              </w:rPr>
            </w:r>
          </w:p>
        </w:tc>
      </w:tr>
      <w:tr>
        <w:trPr>
          <w:trHeight w:val="341" w:hRule="exact"/>
        </w:trPr>
        <w:tc>
          <w:tcPr>
            <w:tcW w:w="4395" w:type="dxa"/>
            <w:tcBorders>
              <w:top w:val="single" w:sz="4" w:space="0" w:color="000000"/>
              <w:left w:val="single" w:sz="4" w:space="0" w:color="000000"/>
              <w:bottom w:val="single" w:sz="11" w:space="0" w:color="000000"/>
              <w:right w:val="single" w:sz="4" w:space="0" w:color="000000"/>
            </w:tcBorders>
          </w:tcPr>
          <w:p>
            <w:pPr>
              <w:pStyle w:val="TableParagraph"/>
              <w:tabs>
                <w:tab w:pos="454" w:val="left" w:leader="none"/>
                <w:tab w:pos="4340" w:val="left" w:leader="none"/>
              </w:tabs>
              <w:spacing w:line="240" w:lineRule="auto" w:before="21"/>
              <w:ind w:right="19"/>
              <w:jc w:val="right"/>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z w:val="18"/>
                <w:szCs w:val="18"/>
                <w:shd w:fill="D2D2D2" w:color="auto" w:val="clear"/>
              </w:rPr>
              <w:t> </w:t>
              <w:tab/>
            </w:r>
            <w:r>
              <w:rPr>
                <w:rFonts w:ascii="宋体" w:hAnsi="宋体" w:cs="宋体" w:eastAsia="宋体" w:hint="default"/>
                <w:b/>
                <w:bCs/>
                <w:w w:val="95"/>
                <w:sz w:val="18"/>
                <w:szCs w:val="18"/>
                <w:shd w:fill="D2D2D2" w:color="auto" w:val="clear"/>
              </w:rPr>
              <w:t>负债合计</w:t>
            </w:r>
            <w:r>
              <w:rPr>
                <w:rFonts w:ascii="宋体" w:hAnsi="宋体" w:cs="宋体" w:eastAsia="宋体" w:hint="default"/>
                <w:b/>
                <w:bCs/>
                <w:sz w:val="18"/>
                <w:szCs w:val="18"/>
                <w:shd w:fill="D2D2D2" w:color="auto" w:val="clear"/>
              </w:rPr>
              <w:t>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b/>
                <w:w w:val="95"/>
                <w:sz w:val="18"/>
              </w:rPr>
              <w:t>719,323,885.62</w:t>
            </w:r>
            <w:r>
              <w:rPr>
                <w:rFonts w:ascii="宋体"/>
                <w:sz w:val="18"/>
              </w:rPr>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2"/>
              <w:jc w:val="right"/>
              <w:rPr>
                <w:rFonts w:ascii="宋体" w:hAnsi="宋体" w:cs="宋体" w:eastAsia="宋体" w:hint="default"/>
                <w:sz w:val="18"/>
                <w:szCs w:val="18"/>
              </w:rPr>
            </w:pPr>
            <w:r>
              <w:rPr>
                <w:rFonts w:ascii="宋体"/>
                <w:b/>
                <w:w w:val="95"/>
                <w:sz w:val="18"/>
              </w:rPr>
              <w:t>738,398,518.74</w:t>
            </w:r>
            <w:r>
              <w:rPr>
                <w:rFonts w:ascii="宋体"/>
                <w:sz w:val="18"/>
              </w:rPr>
            </w:r>
          </w:p>
        </w:tc>
      </w:tr>
      <w:tr>
        <w:trPr>
          <w:trHeight w:val="341" w:hRule="exact"/>
        </w:trPr>
        <w:tc>
          <w:tcPr>
            <w:tcW w:w="4395" w:type="dxa"/>
            <w:tcBorders>
              <w:top w:val="single" w:sz="11" w:space="0" w:color="000000"/>
              <w:left w:val="single" w:sz="4" w:space="0" w:color="000000"/>
              <w:bottom w:val="single" w:sz="11" w:space="0" w:color="000000"/>
              <w:right w:val="single" w:sz="4" w:space="0" w:color="000000"/>
            </w:tcBorders>
          </w:tcPr>
          <w:p>
            <w:pPr>
              <w:pStyle w:val="TableParagraph"/>
              <w:tabs>
                <w:tab w:pos="4340" w:val="left" w:leader="none"/>
              </w:tabs>
              <w:spacing w:line="240" w:lineRule="auto" w:before="13"/>
              <w:ind w:right="19"/>
              <w:jc w:val="right"/>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z w:val="18"/>
                <w:szCs w:val="18"/>
                <w:shd w:fill="D2D2D2" w:color="auto" w:val="clear"/>
              </w:rPr>
              <w:t> </w:t>
            </w:r>
            <w:r>
              <w:rPr>
                <w:rFonts w:ascii="Times New Roman" w:hAnsi="Times New Roman" w:cs="Times New Roman" w:eastAsia="Times New Roman" w:hint="default"/>
                <w:b/>
                <w:bCs/>
                <w:spacing w:val="1"/>
                <w:sz w:val="18"/>
                <w:szCs w:val="18"/>
                <w:shd w:fill="D2D2D2" w:color="auto" w:val="clear"/>
              </w:rPr>
              <w:t> </w:t>
            </w:r>
            <w:r>
              <w:rPr>
                <w:rFonts w:ascii="宋体" w:hAnsi="宋体" w:cs="宋体" w:eastAsia="宋体" w:hint="default"/>
                <w:b/>
                <w:bCs/>
                <w:w w:val="99"/>
                <w:sz w:val="18"/>
                <w:szCs w:val="18"/>
                <w:shd w:fill="D2D2D2" w:color="auto" w:val="clear"/>
              </w:rPr>
              <w:t>所</w:t>
            </w:r>
            <w:r>
              <w:rPr>
                <w:rFonts w:ascii="宋体" w:hAnsi="宋体" w:cs="宋体" w:eastAsia="宋体" w:hint="default"/>
                <w:b/>
                <w:bCs/>
                <w:spacing w:val="2"/>
                <w:w w:val="99"/>
                <w:sz w:val="18"/>
                <w:szCs w:val="18"/>
                <w:shd w:fill="D2D2D2" w:color="auto" w:val="clear"/>
              </w:rPr>
              <w:t>有</w:t>
            </w:r>
            <w:r>
              <w:rPr>
                <w:rFonts w:ascii="宋体" w:hAnsi="宋体" w:cs="宋体" w:eastAsia="宋体" w:hint="default"/>
                <w:b/>
                <w:bCs/>
                <w:w w:val="99"/>
                <w:sz w:val="18"/>
                <w:szCs w:val="18"/>
                <w:shd w:fill="D2D2D2" w:color="auto" w:val="clear"/>
              </w:rPr>
              <w:t>者权益</w:t>
            </w:r>
            <w:r>
              <w:rPr>
                <w:rFonts w:ascii="宋体" w:hAnsi="宋体" w:cs="宋体" w:eastAsia="宋体" w:hint="default"/>
                <w:b/>
                <w:bCs/>
                <w:spacing w:val="2"/>
                <w:w w:val="99"/>
                <w:sz w:val="18"/>
                <w:szCs w:val="18"/>
                <w:shd w:fill="D2D2D2" w:color="auto" w:val="clear"/>
              </w:rPr>
              <w:t>（</w:t>
            </w:r>
            <w:r>
              <w:rPr>
                <w:rFonts w:ascii="宋体" w:hAnsi="宋体" w:cs="宋体" w:eastAsia="宋体" w:hint="default"/>
                <w:b/>
                <w:bCs/>
                <w:w w:val="99"/>
                <w:sz w:val="18"/>
                <w:szCs w:val="18"/>
                <w:shd w:fill="D2D2D2" w:color="auto" w:val="clear"/>
              </w:rPr>
              <w:t>或股</w:t>
            </w:r>
            <w:r>
              <w:rPr>
                <w:rFonts w:ascii="宋体" w:hAnsi="宋体" w:cs="宋体" w:eastAsia="宋体" w:hint="default"/>
                <w:b/>
                <w:bCs/>
                <w:spacing w:val="2"/>
                <w:w w:val="99"/>
                <w:sz w:val="18"/>
                <w:szCs w:val="18"/>
                <w:shd w:fill="D2D2D2" w:color="auto" w:val="clear"/>
              </w:rPr>
              <w:t>东</w:t>
            </w:r>
            <w:r>
              <w:rPr>
                <w:rFonts w:ascii="宋体" w:hAnsi="宋体" w:cs="宋体" w:eastAsia="宋体" w:hint="default"/>
                <w:b/>
                <w:bCs/>
                <w:w w:val="99"/>
                <w:sz w:val="18"/>
                <w:szCs w:val="18"/>
                <w:shd w:fill="D2D2D2" w:color="auto" w:val="clear"/>
              </w:rPr>
              <w:t>权</w:t>
            </w:r>
            <w:r>
              <w:rPr>
                <w:rFonts w:ascii="宋体" w:hAnsi="宋体" w:cs="宋体" w:eastAsia="宋体" w:hint="default"/>
                <w:b/>
                <w:bCs/>
                <w:spacing w:val="2"/>
                <w:w w:val="99"/>
                <w:sz w:val="18"/>
                <w:szCs w:val="18"/>
                <w:shd w:fill="D2D2D2" w:color="auto" w:val="clear"/>
              </w:rPr>
              <w:t>益</w:t>
            </w:r>
            <w:r>
              <w:rPr>
                <w:rFonts w:ascii="宋体" w:hAnsi="宋体" w:cs="宋体" w:eastAsia="宋体" w:hint="default"/>
                <w:b/>
                <w:bCs/>
                <w:spacing w:val="-92"/>
                <w:w w:val="99"/>
                <w:sz w:val="18"/>
                <w:szCs w:val="18"/>
                <w:shd w:fill="D2D2D2" w:color="auto" w:val="clear"/>
              </w:rPr>
              <w:t>）</w:t>
            </w:r>
            <w:r>
              <w:rPr>
                <w:rFonts w:ascii="宋体" w:hAnsi="宋体" w:cs="宋体" w:eastAsia="宋体" w:hint="default"/>
                <w:b/>
                <w:bCs/>
                <w:w w:val="99"/>
                <w:sz w:val="18"/>
                <w:szCs w:val="18"/>
                <w:shd w:fill="D2D2D2" w:color="auto" w:val="clear"/>
              </w:rPr>
              <w:t>：</w:t>
            </w:r>
            <w:r>
              <w:rPr>
                <w:rFonts w:ascii="宋体" w:hAnsi="宋体" w:cs="宋体" w:eastAsia="宋体" w:hint="default"/>
                <w:b/>
                <w:bCs/>
                <w:spacing w:val="1"/>
                <w:sz w:val="18"/>
                <w:szCs w:val="18"/>
                <w:shd w:fill="D2D2D2" w:color="auto" w:val="clear"/>
              </w:rPr>
              <w:t>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4395" w:type="dxa"/>
            <w:tcBorders>
              <w:top w:val="single" w:sz="11" w:space="0" w:color="000000"/>
              <w:left w:val="single" w:sz="4" w:space="0" w:color="000000"/>
              <w:bottom w:val="single" w:sz="4" w:space="0" w:color="000000"/>
              <w:right w:val="single" w:sz="4" w:space="0" w:color="000000"/>
            </w:tcBorders>
          </w:tcPr>
          <w:p>
            <w:pPr>
              <w:pStyle w:val="TableParagraph"/>
              <w:tabs>
                <w:tab w:pos="274" w:val="left" w:leader="none"/>
                <w:tab w:pos="4340" w:val="left" w:leader="none"/>
              </w:tabs>
              <w:spacing w:line="240" w:lineRule="auto" w:before="13"/>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实收资本（或股本）</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669,101,883.00</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2"/>
              <w:jc w:val="right"/>
              <w:rPr>
                <w:rFonts w:ascii="宋体" w:hAnsi="宋体" w:cs="宋体" w:eastAsia="宋体" w:hint="default"/>
                <w:sz w:val="18"/>
                <w:szCs w:val="18"/>
              </w:rPr>
            </w:pPr>
            <w:r>
              <w:rPr>
                <w:rFonts w:ascii="宋体"/>
                <w:spacing w:val="-1"/>
                <w:sz w:val="18"/>
              </w:rPr>
              <w:t>669,101,883.00</w:t>
            </w:r>
          </w:p>
        </w:tc>
      </w:tr>
      <w:tr>
        <w:trPr>
          <w:trHeight w:val="341" w:hRule="exact"/>
        </w:trPr>
        <w:tc>
          <w:tcPr>
            <w:tcW w:w="4395" w:type="dxa"/>
            <w:tcBorders>
              <w:top w:val="single" w:sz="4" w:space="0" w:color="000000"/>
              <w:left w:val="single" w:sz="4" w:space="0" w:color="000000"/>
              <w:bottom w:val="single" w:sz="11" w:space="0" w:color="000000"/>
              <w:right w:val="single" w:sz="4" w:space="0" w:color="000000"/>
            </w:tcBorders>
          </w:tcPr>
          <w:p>
            <w:pPr>
              <w:pStyle w:val="TableParagraph"/>
              <w:tabs>
                <w:tab w:pos="274" w:val="left" w:leader="none"/>
                <w:tab w:pos="4340" w:val="left" w:leader="none"/>
              </w:tabs>
              <w:spacing w:line="240" w:lineRule="auto" w:before="21"/>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其他权益工具</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395" w:type="dxa"/>
            <w:tcBorders>
              <w:top w:val="single" w:sz="11" w:space="0" w:color="000000"/>
              <w:left w:val="single" w:sz="4" w:space="0" w:color="000000"/>
              <w:bottom w:val="single" w:sz="4" w:space="0" w:color="000000"/>
              <w:right w:val="single" w:sz="4" w:space="0" w:color="000000"/>
            </w:tcBorders>
          </w:tcPr>
          <w:p>
            <w:pPr>
              <w:pStyle w:val="TableParagraph"/>
              <w:tabs>
                <w:tab w:pos="274" w:val="left" w:leader="none"/>
                <w:tab w:pos="4340" w:val="left" w:leader="none"/>
              </w:tabs>
              <w:spacing w:line="240" w:lineRule="auto" w:before="13"/>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其中：优先股</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4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1"/>
              <w:ind w:left="838" w:right="0"/>
              <w:jc w:val="left"/>
              <w:rPr>
                <w:rFonts w:ascii="宋体" w:hAnsi="宋体" w:cs="宋体" w:eastAsia="宋体" w:hint="default"/>
                <w:sz w:val="18"/>
                <w:szCs w:val="18"/>
              </w:rPr>
            </w:pPr>
            <w:r>
              <w:rPr>
                <w:rFonts w:ascii="宋体" w:hAnsi="宋体" w:cs="宋体" w:eastAsia="宋体" w:hint="default"/>
                <w:sz w:val="18"/>
                <w:szCs w:val="18"/>
              </w:rPr>
              <w:t>永续债 </w:t>
            </w:r>
            <w:r>
              <w:rPr>
                <w:rFonts w:ascii="宋体" w:hAnsi="宋体" w:cs="宋体" w:eastAsia="宋体" w:hint="default"/>
                <w:spacing w:val="-3"/>
                <w:sz w:val="18"/>
                <w:szCs w:val="18"/>
              </w:rPr>
              <w:t> </w:t>
            </w:r>
            <w:r>
              <w:rPr>
                <w:rFonts w:ascii="宋体" w:hAnsi="宋体" w:cs="宋体" w:eastAsia="宋体" w:hint="default"/>
                <w:sz w:val="18"/>
                <w:szCs w:val="18"/>
              </w:rPr>
              <w:t> </w:t>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395" w:type="dxa"/>
            <w:tcBorders>
              <w:top w:val="single" w:sz="11" w:space="0" w:color="000000"/>
              <w:left w:val="single" w:sz="4" w:space="0" w:color="000000"/>
              <w:bottom w:val="single" w:sz="11" w:space="0" w:color="000000"/>
              <w:right w:val="single" w:sz="4" w:space="0" w:color="000000"/>
            </w:tcBorders>
          </w:tcPr>
          <w:p>
            <w:pPr>
              <w:pStyle w:val="TableParagraph"/>
              <w:tabs>
                <w:tab w:pos="274" w:val="left" w:leader="none"/>
                <w:tab w:pos="4340" w:val="left" w:leader="none"/>
              </w:tabs>
              <w:spacing w:line="240" w:lineRule="auto" w:before="13"/>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资本公积</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1,807,161,154.72</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2"/>
              <w:jc w:val="right"/>
              <w:rPr>
                <w:rFonts w:ascii="宋体" w:hAnsi="宋体" w:cs="宋体" w:eastAsia="宋体" w:hint="default"/>
                <w:sz w:val="18"/>
                <w:szCs w:val="18"/>
              </w:rPr>
            </w:pPr>
            <w:r>
              <w:rPr>
                <w:rFonts w:ascii="宋体"/>
                <w:spacing w:val="-1"/>
                <w:sz w:val="18"/>
              </w:rPr>
              <w:t>1,807,161,154.72</w:t>
            </w:r>
          </w:p>
        </w:tc>
      </w:tr>
      <w:tr>
        <w:trPr>
          <w:trHeight w:val="341" w:hRule="exact"/>
        </w:trPr>
        <w:tc>
          <w:tcPr>
            <w:tcW w:w="4395" w:type="dxa"/>
            <w:tcBorders>
              <w:top w:val="single" w:sz="11" w:space="0" w:color="000000"/>
              <w:left w:val="single" w:sz="4" w:space="0" w:color="000000"/>
              <w:bottom w:val="single" w:sz="4" w:space="0" w:color="000000"/>
              <w:right w:val="single" w:sz="4" w:space="0" w:color="000000"/>
            </w:tcBorders>
          </w:tcPr>
          <w:p>
            <w:pPr>
              <w:pStyle w:val="TableParagraph"/>
              <w:tabs>
                <w:tab w:pos="274" w:val="left" w:leader="none"/>
                <w:tab w:pos="4340" w:val="left" w:leader="none"/>
              </w:tabs>
              <w:spacing w:line="240" w:lineRule="auto" w:before="13"/>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减：库存股</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14,436,163.60</w:t>
            </w: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tabs>
                <w:tab w:pos="274" w:val="left" w:leader="none"/>
                <w:tab w:pos="4340" w:val="left" w:leader="none"/>
              </w:tabs>
              <w:spacing w:line="240" w:lineRule="auto" w:before="21"/>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其他综合收益</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395" w:type="dxa"/>
            <w:tcBorders>
              <w:top w:val="single" w:sz="4" w:space="0" w:color="000000"/>
              <w:left w:val="single" w:sz="4" w:space="0" w:color="000000"/>
              <w:bottom w:val="single" w:sz="11" w:space="0" w:color="000000"/>
              <w:right w:val="single" w:sz="4" w:space="0" w:color="000000"/>
            </w:tcBorders>
          </w:tcPr>
          <w:p>
            <w:pPr>
              <w:pStyle w:val="TableParagraph"/>
              <w:tabs>
                <w:tab w:pos="274" w:val="left" w:leader="none"/>
                <w:tab w:pos="4340" w:val="left" w:leader="none"/>
              </w:tabs>
              <w:spacing w:line="240" w:lineRule="auto" w:before="21"/>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专项储备</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2129"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395" w:type="dxa"/>
            <w:tcBorders>
              <w:top w:val="single" w:sz="11" w:space="0" w:color="000000"/>
              <w:left w:val="single" w:sz="4" w:space="0" w:color="000000"/>
              <w:bottom w:val="single" w:sz="4" w:space="0" w:color="000000"/>
              <w:right w:val="single" w:sz="4" w:space="0" w:color="000000"/>
            </w:tcBorders>
          </w:tcPr>
          <w:p>
            <w:pPr>
              <w:pStyle w:val="TableParagraph"/>
              <w:tabs>
                <w:tab w:pos="274" w:val="left" w:leader="none"/>
                <w:tab w:pos="4340" w:val="left" w:leader="none"/>
              </w:tabs>
              <w:spacing w:line="240" w:lineRule="auto" w:before="13"/>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盈余公积</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56,093,581.76</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1"/>
              <w:jc w:val="right"/>
              <w:rPr>
                <w:rFonts w:ascii="宋体" w:hAnsi="宋体" w:cs="宋体" w:eastAsia="宋体" w:hint="default"/>
                <w:sz w:val="18"/>
                <w:szCs w:val="18"/>
              </w:rPr>
            </w:pPr>
            <w:r>
              <w:rPr>
                <w:rFonts w:ascii="宋体"/>
                <w:spacing w:val="-1"/>
                <w:sz w:val="18"/>
              </w:rPr>
              <w:t>56,093,581.76</w:t>
            </w:r>
          </w:p>
        </w:tc>
      </w:tr>
      <w:tr>
        <w:trPr>
          <w:trHeight w:val="338"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tabs>
                <w:tab w:pos="274" w:val="left" w:leader="none"/>
                <w:tab w:pos="4340" w:val="left" w:leader="none"/>
              </w:tabs>
              <w:spacing w:line="240" w:lineRule="auto" w:before="21"/>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未分配利润</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-458,805,749.26</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2"/>
              <w:jc w:val="right"/>
              <w:rPr>
                <w:rFonts w:ascii="宋体" w:hAnsi="宋体" w:cs="宋体" w:eastAsia="宋体" w:hint="default"/>
                <w:sz w:val="18"/>
                <w:szCs w:val="18"/>
              </w:rPr>
            </w:pPr>
            <w:r>
              <w:rPr>
                <w:rFonts w:ascii="宋体"/>
                <w:spacing w:val="-1"/>
                <w:sz w:val="18"/>
              </w:rPr>
              <w:t>460,480,249.94</w:t>
            </w:r>
          </w:p>
        </w:tc>
      </w:tr>
      <w:tr>
        <w:trPr>
          <w:trHeight w:val="341"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tabs>
                <w:tab w:pos="454" w:val="left" w:leader="none"/>
                <w:tab w:pos="4340" w:val="left" w:leader="none"/>
              </w:tabs>
              <w:spacing w:line="240" w:lineRule="auto" w:before="22"/>
              <w:ind w:right="19"/>
              <w:jc w:val="right"/>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z w:val="18"/>
                <w:szCs w:val="18"/>
                <w:shd w:fill="D2D2D2" w:color="auto" w:val="clear"/>
              </w:rPr>
              <w:t> </w:t>
              <w:tab/>
            </w:r>
            <w:r>
              <w:rPr>
                <w:rFonts w:ascii="宋体" w:hAnsi="宋体" w:cs="宋体" w:eastAsia="宋体" w:hint="default"/>
                <w:b/>
                <w:bCs/>
                <w:w w:val="95"/>
                <w:sz w:val="18"/>
                <w:szCs w:val="18"/>
                <w:shd w:fill="D2D2D2" w:color="auto" w:val="clear"/>
              </w:rPr>
              <w:t>所有者权益（或股东权益）合计</w:t>
            </w:r>
            <w:r>
              <w:rPr>
                <w:rFonts w:ascii="宋体" w:hAnsi="宋体" w:cs="宋体" w:eastAsia="宋体" w:hint="default"/>
                <w:b/>
                <w:bCs/>
                <w:spacing w:val="1"/>
                <w:sz w:val="18"/>
                <w:szCs w:val="18"/>
                <w:shd w:fill="D2D2D2" w:color="auto" w:val="clear"/>
              </w:rPr>
              <w:t>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20"/>
              <w:jc w:val="right"/>
              <w:rPr>
                <w:rFonts w:ascii="宋体" w:hAnsi="宋体" w:cs="宋体" w:eastAsia="宋体" w:hint="default"/>
                <w:sz w:val="18"/>
                <w:szCs w:val="18"/>
              </w:rPr>
            </w:pPr>
            <w:r>
              <w:rPr>
                <w:rFonts w:ascii="宋体"/>
                <w:b/>
                <w:w w:val="95"/>
                <w:sz w:val="18"/>
              </w:rPr>
              <w:t>2,059,114,706.62</w:t>
            </w:r>
            <w:r>
              <w:rPr>
                <w:rFonts w:ascii="宋体"/>
                <w:sz w:val="18"/>
              </w:rPr>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23"/>
              <w:jc w:val="right"/>
              <w:rPr>
                <w:rFonts w:ascii="宋体" w:hAnsi="宋体" w:cs="宋体" w:eastAsia="宋体" w:hint="default"/>
                <w:sz w:val="18"/>
                <w:szCs w:val="18"/>
              </w:rPr>
            </w:pPr>
            <w:r>
              <w:rPr>
                <w:rFonts w:ascii="宋体"/>
                <w:b/>
                <w:w w:val="95"/>
                <w:sz w:val="18"/>
              </w:rPr>
              <w:t>2,992,836,869.42</w:t>
            </w:r>
            <w:r>
              <w:rPr>
                <w:rFonts w:ascii="宋体"/>
                <w:sz w:val="18"/>
              </w:rPr>
            </w:r>
          </w:p>
        </w:tc>
      </w:tr>
      <w:tr>
        <w:trPr>
          <w:trHeight w:val="336" w:hRule="exact"/>
        </w:trPr>
        <w:tc>
          <w:tcPr>
            <w:tcW w:w="4395" w:type="dxa"/>
            <w:tcBorders>
              <w:top w:val="single" w:sz="4" w:space="0" w:color="000000"/>
              <w:left w:val="single" w:sz="4" w:space="0" w:color="000000"/>
              <w:bottom w:val="single" w:sz="7" w:space="0" w:color="000000"/>
              <w:right w:val="single" w:sz="4" w:space="0" w:color="000000"/>
            </w:tcBorders>
          </w:tcPr>
          <w:p>
            <w:pPr>
              <w:pStyle w:val="TableParagraph"/>
              <w:tabs>
                <w:tab w:pos="454" w:val="left" w:leader="none"/>
                <w:tab w:pos="4340" w:val="left" w:leader="none"/>
              </w:tabs>
              <w:spacing w:line="240" w:lineRule="auto" w:before="21"/>
              <w:ind w:right="19"/>
              <w:jc w:val="right"/>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z w:val="18"/>
                <w:szCs w:val="18"/>
                <w:shd w:fill="D2D2D2" w:color="auto" w:val="clear"/>
              </w:rPr>
              <w:t> </w:t>
              <w:tab/>
            </w:r>
            <w:r>
              <w:rPr>
                <w:rFonts w:ascii="宋体" w:hAnsi="宋体" w:cs="宋体" w:eastAsia="宋体" w:hint="default"/>
                <w:b/>
                <w:bCs/>
                <w:w w:val="95"/>
                <w:sz w:val="18"/>
                <w:szCs w:val="18"/>
                <w:shd w:fill="D2D2D2" w:color="auto" w:val="clear"/>
              </w:rPr>
              <w:t>负债和所有者权益（或股东权益）总计</w:t>
            </w:r>
            <w:r>
              <w:rPr>
                <w:rFonts w:ascii="宋体" w:hAnsi="宋体" w:cs="宋体" w:eastAsia="宋体" w:hint="default"/>
                <w:b/>
                <w:bCs/>
                <w:spacing w:val="-1"/>
                <w:sz w:val="18"/>
                <w:szCs w:val="18"/>
                <w:shd w:fill="D2D2D2" w:color="auto" w:val="clear"/>
              </w:rPr>
              <w:t>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b/>
                <w:w w:val="95"/>
                <w:sz w:val="18"/>
              </w:rPr>
              <w:t>2,778,438,592.24</w:t>
            </w:r>
            <w:r>
              <w:rPr>
                <w:rFonts w:ascii="宋体"/>
                <w:sz w:val="18"/>
              </w:rPr>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3"/>
              <w:jc w:val="right"/>
              <w:rPr>
                <w:rFonts w:ascii="宋体" w:hAnsi="宋体" w:cs="宋体" w:eastAsia="宋体" w:hint="default"/>
                <w:sz w:val="18"/>
                <w:szCs w:val="18"/>
              </w:rPr>
            </w:pPr>
            <w:r>
              <w:rPr>
                <w:rFonts w:ascii="宋体"/>
                <w:b/>
                <w:w w:val="95"/>
                <w:sz w:val="18"/>
              </w:rPr>
              <w:t>3,731,235,388.16</w:t>
            </w:r>
            <w:r>
              <w:rPr>
                <w:rFonts w:ascii="宋体"/>
                <w:sz w:val="18"/>
              </w:rPr>
            </w:r>
          </w:p>
        </w:tc>
      </w:tr>
    </w:tbl>
    <w:p>
      <w:pPr>
        <w:spacing w:line="240" w:lineRule="auto" w:before="11"/>
        <w:rPr>
          <w:rFonts w:ascii="Times New Roman" w:hAnsi="Times New Roman" w:cs="Times New Roman" w:eastAsia="Times New Roman" w:hint="default"/>
          <w:sz w:val="14"/>
          <w:szCs w:val="14"/>
        </w:rPr>
      </w:pPr>
    </w:p>
    <w:p>
      <w:pPr>
        <w:pStyle w:val="BodyText"/>
        <w:tabs>
          <w:tab w:pos="3096" w:val="left" w:leader="none"/>
          <w:tab w:pos="7399" w:val="left" w:leader="none"/>
        </w:tabs>
        <w:spacing w:line="240" w:lineRule="auto" w:before="36"/>
        <w:ind w:left="364" w:right="1133"/>
        <w:jc w:val="left"/>
      </w:pPr>
      <w:r>
        <w:rPr>
          <w:spacing w:val="-2"/>
        </w:rPr>
        <w:t>法定代表人：吴鹰</w:t>
        <w:tab/>
        <w:t>主管会计工作负责人：李鹏宇</w:t>
        <w:tab/>
        <w:t>会计机构负责人：张雷</w:t>
      </w:r>
    </w:p>
    <w:p>
      <w:pPr>
        <w:spacing w:after="0" w:line="240" w:lineRule="auto"/>
        <w:jc w:val="left"/>
        <w:sectPr>
          <w:pgSz w:w="11910" w:h="16840"/>
          <w:pgMar w:header="921" w:footer="725" w:top="1160" w:bottom="920" w:left="980" w:right="0"/>
        </w:sectPr>
      </w:pPr>
    </w:p>
    <w:p>
      <w:pPr>
        <w:spacing w:line="240" w:lineRule="auto" w:before="12"/>
        <w:rPr>
          <w:rFonts w:ascii="宋体" w:hAnsi="宋体" w:cs="宋体" w:eastAsia="宋体" w:hint="default"/>
          <w:sz w:val="15"/>
          <w:szCs w:val="15"/>
        </w:rPr>
      </w:pPr>
    </w:p>
    <w:p>
      <w:pPr>
        <w:spacing w:after="0" w:line="240" w:lineRule="auto"/>
        <w:rPr>
          <w:rFonts w:ascii="宋体" w:hAnsi="宋体" w:cs="宋体" w:eastAsia="宋体" w:hint="default"/>
          <w:sz w:val="15"/>
          <w:szCs w:val="15"/>
        </w:rPr>
        <w:sectPr>
          <w:pgSz w:w="11910" w:h="16840"/>
          <w:pgMar w:header="921" w:footer="725" w:top="1160" w:bottom="920" w:left="980" w:right="0"/>
        </w:sectPr>
      </w:pPr>
    </w:p>
    <w:p>
      <w:pPr>
        <w:pStyle w:val="Heading3"/>
        <w:spacing w:line="240" w:lineRule="auto"/>
        <w:ind w:right="-17"/>
        <w:jc w:val="left"/>
        <w:rPr>
          <w:b w:val="0"/>
          <w:bCs w:val="0"/>
        </w:rPr>
      </w:pPr>
      <w:r>
        <w:rPr>
          <w:rFonts w:ascii="Times New Roman" w:hAnsi="Times New Roman" w:cs="Times New Roman" w:eastAsia="Times New Roman" w:hint="default"/>
        </w:rPr>
        <w:t>3</w:t>
      </w:r>
      <w:r>
        <w:rPr/>
        <w:t>、合并利润表</w:t>
      </w:r>
      <w:r>
        <w:rPr>
          <w:b w:val="0"/>
          <w:bCs w:val="0"/>
        </w:rPr>
      </w:r>
    </w:p>
    <w:p>
      <w:pPr>
        <w:spacing w:line="240" w:lineRule="auto" w:before="11"/>
        <w:rPr>
          <w:rFonts w:ascii="宋体" w:hAnsi="宋体" w:cs="宋体" w:eastAsia="宋体" w:hint="default"/>
          <w:b/>
          <w:bCs/>
          <w:sz w:val="23"/>
          <w:szCs w:val="23"/>
        </w:rPr>
      </w:pPr>
      <w:r>
        <w:rPr/>
        <w:br w:type="column"/>
      </w:r>
      <w:r>
        <w:rPr>
          <w:rFonts w:ascii="宋体"/>
          <w:b/>
          <w:sz w:val="23"/>
        </w:rPr>
      </w: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1580" w:bottom="700" w:left="980" w:right="0"/>
          <w:cols w:num="2" w:equalWidth="0">
            <w:col w:w="1526" w:space="6854"/>
            <w:col w:w="2550"/>
          </w:cols>
        </w:sectPr>
      </w:pPr>
    </w:p>
    <w:tbl>
      <w:tblPr>
        <w:tblW w:w="0" w:type="auto"/>
        <w:jc w:val="left"/>
        <w:tblInd w:w="148" w:type="dxa"/>
        <w:tblLayout w:type="fixed"/>
        <w:tblCellMar>
          <w:top w:w="0" w:type="dxa"/>
          <w:left w:w="0" w:type="dxa"/>
          <w:bottom w:w="0" w:type="dxa"/>
          <w:right w:w="0" w:type="dxa"/>
        </w:tblCellMar>
        <w:tblLook w:val="01E0"/>
      </w:tblPr>
      <w:tblGrid>
        <w:gridCol w:w="4679"/>
        <w:gridCol w:w="994"/>
        <w:gridCol w:w="1841"/>
        <w:gridCol w:w="1702"/>
      </w:tblGrid>
      <w:tr>
        <w:trPr>
          <w:trHeight w:val="338" w:hRule="exact"/>
        </w:trPr>
        <w:tc>
          <w:tcPr>
            <w:tcW w:w="4679" w:type="dxa"/>
            <w:tcBorders>
              <w:top w:val="single" w:sz="28" w:space="0" w:color="D2D2D2"/>
              <w:left w:val="single" w:sz="4" w:space="0" w:color="000000"/>
              <w:bottom w:val="single" w:sz="24" w:space="0" w:color="D2D2D2"/>
              <w:right w:val="single" w:sz="4" w:space="0" w:color="000000"/>
            </w:tcBorders>
          </w:tcPr>
          <w:p>
            <w:pPr>
              <w:pStyle w:val="TableParagraph"/>
              <w:tabs>
                <w:tab w:pos="2155" w:val="left" w:leader="none"/>
                <w:tab w:pos="4647" w:val="left" w:leader="none"/>
              </w:tabs>
              <w:spacing w:line="235" w:lineRule="exact"/>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项目</w:t>
              <w:tab/>
            </w:r>
            <w:r>
              <w:rPr>
                <w:rFonts w:ascii="宋体" w:hAnsi="宋体" w:cs="宋体" w:eastAsia="宋体" w:hint="default"/>
                <w:sz w:val="18"/>
                <w:szCs w:val="18"/>
              </w:rPr>
            </w:r>
          </w:p>
        </w:tc>
        <w:tc>
          <w:tcPr>
            <w:tcW w:w="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5" w:lineRule="exact"/>
              <w:ind w:right="0"/>
              <w:jc w:val="center"/>
              <w:rPr>
                <w:rFonts w:ascii="宋体" w:hAnsi="宋体" w:cs="宋体" w:eastAsia="宋体" w:hint="default"/>
                <w:sz w:val="18"/>
                <w:szCs w:val="18"/>
              </w:rPr>
            </w:pPr>
            <w:r>
              <w:rPr>
                <w:rFonts w:ascii="宋体" w:hAnsi="宋体" w:cs="宋体" w:eastAsia="宋体" w:hint="default"/>
                <w:sz w:val="18"/>
                <w:szCs w:val="18"/>
              </w:rPr>
              <w:t>附注</w:t>
            </w:r>
          </w:p>
        </w:tc>
        <w:tc>
          <w:tcPr>
            <w:tcW w:w="18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9"/>
              <w:ind w:left="468"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9"/>
              <w:ind w:left="398"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66" w:hRule="exact"/>
        </w:trPr>
        <w:tc>
          <w:tcPr>
            <w:tcW w:w="4679" w:type="dxa"/>
            <w:tcBorders>
              <w:top w:val="single" w:sz="24" w:space="0" w:color="D2D2D2"/>
              <w:left w:val="single" w:sz="4" w:space="0" w:color="000000"/>
              <w:bottom w:val="single" w:sz="11" w:space="0" w:color="000000"/>
              <w:right w:val="single" w:sz="4" w:space="0" w:color="000000"/>
            </w:tcBorders>
          </w:tcPr>
          <w:p>
            <w:pPr>
              <w:pStyle w:val="TableParagraph"/>
              <w:tabs>
                <w:tab w:pos="4647" w:val="left" w:leader="none"/>
              </w:tabs>
              <w:spacing w:line="240" w:lineRule="auto" w:before="21"/>
              <w:ind w:left="24"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z w:val="18"/>
                <w:szCs w:val="18"/>
                <w:shd w:fill="D2D2D2" w:color="auto" w:val="clear"/>
              </w:rPr>
              <w:t> </w:t>
            </w:r>
            <w:r>
              <w:rPr>
                <w:rFonts w:ascii="Times New Roman" w:hAnsi="Times New Roman" w:cs="Times New Roman" w:eastAsia="Times New Roman" w:hint="default"/>
                <w:b/>
                <w:bCs/>
                <w:spacing w:val="1"/>
                <w:sz w:val="18"/>
                <w:szCs w:val="18"/>
                <w:shd w:fill="D2D2D2" w:color="auto" w:val="clear"/>
              </w:rPr>
              <w:t> </w:t>
            </w:r>
            <w:r>
              <w:rPr>
                <w:rFonts w:ascii="宋体" w:hAnsi="宋体" w:cs="宋体" w:eastAsia="宋体" w:hint="default"/>
                <w:b/>
                <w:bCs/>
                <w:sz w:val="18"/>
                <w:szCs w:val="18"/>
                <w:shd w:fill="D2D2D2" w:color="auto" w:val="clear"/>
              </w:rPr>
              <w:t>一、营业总收入</w:t>
            </w:r>
            <w:r>
              <w:rPr>
                <w:rFonts w:ascii="宋体" w:hAnsi="宋体" w:cs="宋体" w:eastAsia="宋体" w:hint="default"/>
                <w:b/>
                <w:bCs/>
                <w:spacing w:val="-2"/>
                <w:sz w:val="18"/>
                <w:szCs w:val="18"/>
                <w:shd w:fill="D2D2D2" w:color="auto" w:val="clear"/>
              </w:rPr>
              <w:t>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7"/>
              <w:jc w:val="right"/>
              <w:rPr>
                <w:rFonts w:ascii="宋体" w:hAnsi="宋体" w:cs="宋体" w:eastAsia="宋体" w:hint="default"/>
                <w:sz w:val="18"/>
                <w:szCs w:val="18"/>
              </w:rPr>
            </w:pPr>
            <w:r>
              <w:rPr>
                <w:rFonts w:ascii="宋体"/>
                <w:b/>
                <w:w w:val="95"/>
                <w:sz w:val="18"/>
              </w:rPr>
              <w:t>3,162,631,426.91</w:t>
            </w:r>
            <w:r>
              <w:rPr>
                <w:rFonts w:ascii="宋体"/>
                <w:sz w:val="18"/>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0"/>
              <w:jc w:val="right"/>
              <w:rPr>
                <w:rFonts w:ascii="宋体" w:hAnsi="宋体" w:cs="宋体" w:eastAsia="宋体" w:hint="default"/>
                <w:sz w:val="18"/>
                <w:szCs w:val="18"/>
              </w:rPr>
            </w:pPr>
            <w:r>
              <w:rPr>
                <w:rFonts w:ascii="宋体"/>
                <w:b/>
                <w:w w:val="95"/>
                <w:sz w:val="18"/>
              </w:rPr>
              <w:t>3,030,758,905.79</w:t>
            </w:r>
            <w:r>
              <w:rPr>
                <w:rFonts w:ascii="宋体"/>
                <w:sz w:val="18"/>
              </w:rPr>
            </w:r>
          </w:p>
        </w:tc>
      </w:tr>
      <w:tr>
        <w:trPr>
          <w:trHeight w:val="341" w:hRule="exact"/>
        </w:trPr>
        <w:tc>
          <w:tcPr>
            <w:tcW w:w="4679" w:type="dxa"/>
            <w:tcBorders>
              <w:top w:val="single" w:sz="11" w:space="0" w:color="000000"/>
              <w:left w:val="single" w:sz="4" w:space="0" w:color="000000"/>
              <w:bottom w:val="single" w:sz="4" w:space="0" w:color="000000"/>
              <w:right w:val="single" w:sz="4" w:space="0" w:color="000000"/>
            </w:tcBorders>
          </w:tcPr>
          <w:p>
            <w:pPr>
              <w:pStyle w:val="TableParagraph"/>
              <w:tabs>
                <w:tab w:pos="298" w:val="left" w:leader="none"/>
                <w:tab w:pos="4647" w:val="left" w:leader="none"/>
              </w:tabs>
              <w:spacing w:line="240" w:lineRule="auto" w:before="1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其中：营业收入</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23" w:right="-17"/>
              <w:jc w:val="center"/>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三</w:t>
            </w:r>
            <w:r>
              <w:rPr>
                <w:rFonts w:ascii="宋体" w:hAnsi="宋体" w:cs="宋体" w:eastAsia="宋体" w:hint="default"/>
                <w:w w:val="100"/>
                <w:sz w:val="15"/>
                <w:szCs w:val="15"/>
              </w:rPr>
              <w:t>十</w:t>
            </w:r>
            <w:r>
              <w:rPr>
                <w:rFonts w:ascii="宋体" w:hAnsi="宋体" w:cs="宋体" w:eastAsia="宋体" w:hint="default"/>
                <w:spacing w:val="-3"/>
                <w:w w:val="100"/>
                <w:sz w:val="15"/>
                <w:szCs w:val="15"/>
              </w:rPr>
              <w:t>三</w:t>
            </w:r>
            <w:r>
              <w:rPr>
                <w:rFonts w:ascii="宋体" w:hAnsi="宋体" w:cs="宋体" w:eastAsia="宋体" w:hint="default"/>
                <w:w w:val="100"/>
                <w:sz w:val="15"/>
                <w:szCs w:val="15"/>
              </w:rPr>
              <w:t>）</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7"/>
              <w:jc w:val="right"/>
              <w:rPr>
                <w:rFonts w:ascii="宋体" w:hAnsi="宋体" w:cs="宋体" w:eastAsia="宋体" w:hint="default"/>
                <w:sz w:val="18"/>
                <w:szCs w:val="18"/>
              </w:rPr>
            </w:pPr>
            <w:r>
              <w:rPr>
                <w:rFonts w:ascii="宋体"/>
                <w:spacing w:val="-1"/>
                <w:sz w:val="18"/>
              </w:rPr>
              <w:t>3,162,631,426.91</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spacing w:val="-1"/>
                <w:sz w:val="18"/>
              </w:rPr>
              <w:t>3,030,758,905.79</w:t>
            </w:r>
          </w:p>
        </w:tc>
      </w:tr>
      <w:tr>
        <w:trPr>
          <w:trHeight w:val="338" w:hRule="exact"/>
        </w:trPr>
        <w:tc>
          <w:tcPr>
            <w:tcW w:w="46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1"/>
              <w:ind w:left="838" w:right="0"/>
              <w:jc w:val="left"/>
              <w:rPr>
                <w:rFonts w:ascii="宋体" w:hAnsi="宋体" w:cs="宋体" w:eastAsia="宋体" w:hint="default"/>
                <w:sz w:val="18"/>
                <w:szCs w:val="18"/>
              </w:rPr>
            </w:pPr>
            <w:r>
              <w:rPr>
                <w:rFonts w:ascii="宋体" w:hAnsi="宋体" w:cs="宋体" w:eastAsia="宋体" w:hint="default"/>
                <w:sz w:val="18"/>
                <w:szCs w:val="18"/>
              </w:rPr>
              <w:t>利息收入</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6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1"/>
              <w:ind w:left="838" w:right="0"/>
              <w:jc w:val="left"/>
              <w:rPr>
                <w:rFonts w:ascii="宋体" w:hAnsi="宋体" w:cs="宋体" w:eastAsia="宋体" w:hint="default"/>
                <w:sz w:val="18"/>
                <w:szCs w:val="18"/>
              </w:rPr>
            </w:pPr>
            <w:r>
              <w:rPr>
                <w:rFonts w:ascii="宋体" w:hAnsi="宋体" w:cs="宋体" w:eastAsia="宋体" w:hint="default"/>
                <w:sz w:val="18"/>
                <w:szCs w:val="18"/>
              </w:rPr>
              <w:t>已赚保费</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6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1"/>
              <w:ind w:left="838" w:right="0"/>
              <w:jc w:val="left"/>
              <w:rPr>
                <w:rFonts w:ascii="宋体" w:hAnsi="宋体" w:cs="宋体" w:eastAsia="宋体" w:hint="default"/>
                <w:sz w:val="18"/>
                <w:szCs w:val="18"/>
              </w:rPr>
            </w:pPr>
            <w:r>
              <w:rPr>
                <w:rFonts w:ascii="宋体" w:hAnsi="宋体" w:cs="宋体" w:eastAsia="宋体" w:hint="default"/>
                <w:sz w:val="18"/>
                <w:szCs w:val="18"/>
              </w:rPr>
              <w:t>手续费及佣金收入</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4679" w:type="dxa"/>
            <w:tcBorders>
              <w:top w:val="single" w:sz="4" w:space="0" w:color="000000"/>
              <w:left w:val="single" w:sz="4" w:space="0" w:color="000000"/>
              <w:bottom w:val="single" w:sz="4" w:space="0" w:color="000000"/>
              <w:right w:val="single" w:sz="4" w:space="0" w:color="000000"/>
            </w:tcBorders>
          </w:tcPr>
          <w:p>
            <w:pPr>
              <w:pStyle w:val="TableParagraph"/>
              <w:tabs>
                <w:tab w:pos="4647" w:val="left" w:leader="none"/>
              </w:tabs>
              <w:spacing w:line="240" w:lineRule="auto" w:before="21"/>
              <w:ind w:left="24"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z w:val="18"/>
                <w:szCs w:val="18"/>
                <w:shd w:fill="D2D2D2" w:color="auto" w:val="clear"/>
              </w:rPr>
              <w:t> </w:t>
            </w:r>
            <w:r>
              <w:rPr>
                <w:rFonts w:ascii="Times New Roman" w:hAnsi="Times New Roman" w:cs="Times New Roman" w:eastAsia="Times New Roman" w:hint="default"/>
                <w:b/>
                <w:bCs/>
                <w:spacing w:val="1"/>
                <w:sz w:val="18"/>
                <w:szCs w:val="18"/>
                <w:shd w:fill="D2D2D2" w:color="auto" w:val="clear"/>
              </w:rPr>
              <w:t> </w:t>
            </w:r>
            <w:r>
              <w:rPr>
                <w:rFonts w:ascii="宋体" w:hAnsi="宋体" w:cs="宋体" w:eastAsia="宋体" w:hint="default"/>
                <w:b/>
                <w:bCs/>
                <w:sz w:val="18"/>
                <w:szCs w:val="18"/>
                <w:shd w:fill="D2D2D2" w:color="auto" w:val="clear"/>
              </w:rPr>
              <w:t>二、营业总成本</w:t>
            </w:r>
            <w:r>
              <w:rPr>
                <w:rFonts w:ascii="宋体" w:hAnsi="宋体" w:cs="宋体" w:eastAsia="宋体" w:hint="default"/>
                <w:b/>
                <w:bCs/>
                <w:spacing w:val="-2"/>
                <w:sz w:val="18"/>
                <w:szCs w:val="18"/>
                <w:shd w:fill="D2D2D2" w:color="auto" w:val="clear"/>
              </w:rPr>
              <w:t>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7"/>
              <w:jc w:val="right"/>
              <w:rPr>
                <w:rFonts w:ascii="宋体" w:hAnsi="宋体" w:cs="宋体" w:eastAsia="宋体" w:hint="default"/>
                <w:sz w:val="18"/>
                <w:szCs w:val="18"/>
              </w:rPr>
            </w:pPr>
            <w:r>
              <w:rPr>
                <w:rFonts w:ascii="宋体"/>
                <w:b/>
                <w:w w:val="95"/>
                <w:sz w:val="18"/>
              </w:rPr>
              <w:t>3,013,655,369.78</w:t>
            </w:r>
            <w:r>
              <w:rPr>
                <w:rFonts w:ascii="宋体"/>
                <w:sz w:val="18"/>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b/>
                <w:w w:val="95"/>
                <w:sz w:val="18"/>
              </w:rPr>
              <w:t>2,726,798,251.29</w:t>
            </w:r>
            <w:r>
              <w:rPr>
                <w:rFonts w:ascii="宋体"/>
                <w:sz w:val="18"/>
              </w:rPr>
            </w:r>
          </w:p>
        </w:tc>
      </w:tr>
      <w:tr>
        <w:trPr>
          <w:trHeight w:val="341" w:hRule="exact"/>
        </w:trPr>
        <w:tc>
          <w:tcPr>
            <w:tcW w:w="4679" w:type="dxa"/>
            <w:tcBorders>
              <w:top w:val="single" w:sz="4" w:space="0" w:color="000000"/>
              <w:left w:val="single" w:sz="4" w:space="0" w:color="000000"/>
              <w:bottom w:val="single" w:sz="11" w:space="0" w:color="000000"/>
              <w:right w:val="single" w:sz="4" w:space="0" w:color="000000"/>
            </w:tcBorders>
          </w:tcPr>
          <w:p>
            <w:pPr>
              <w:pStyle w:val="TableParagraph"/>
              <w:tabs>
                <w:tab w:pos="298" w:val="left" w:leader="none"/>
                <w:tab w:pos="4647" w:val="left" w:leader="none"/>
              </w:tabs>
              <w:spacing w:line="240" w:lineRule="auto" w:before="2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其中：营业成本</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23" w:right="-17"/>
              <w:jc w:val="center"/>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三</w:t>
            </w:r>
            <w:r>
              <w:rPr>
                <w:rFonts w:ascii="宋体" w:hAnsi="宋体" w:cs="宋体" w:eastAsia="宋体" w:hint="default"/>
                <w:w w:val="100"/>
                <w:sz w:val="15"/>
                <w:szCs w:val="15"/>
              </w:rPr>
              <w:t>十</w:t>
            </w:r>
            <w:r>
              <w:rPr>
                <w:rFonts w:ascii="宋体" w:hAnsi="宋体" w:cs="宋体" w:eastAsia="宋体" w:hint="default"/>
                <w:spacing w:val="-3"/>
                <w:w w:val="100"/>
                <w:sz w:val="15"/>
                <w:szCs w:val="15"/>
              </w:rPr>
              <w:t>三</w:t>
            </w:r>
            <w:r>
              <w:rPr>
                <w:rFonts w:ascii="宋体" w:hAnsi="宋体" w:cs="宋体" w:eastAsia="宋体" w:hint="default"/>
                <w:w w:val="100"/>
                <w:sz w:val="15"/>
                <w:szCs w:val="15"/>
              </w:rPr>
              <w:t>）</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7"/>
              <w:jc w:val="right"/>
              <w:rPr>
                <w:rFonts w:ascii="宋体" w:hAnsi="宋体" w:cs="宋体" w:eastAsia="宋体" w:hint="default"/>
                <w:sz w:val="18"/>
                <w:szCs w:val="18"/>
              </w:rPr>
            </w:pPr>
            <w:r>
              <w:rPr>
                <w:rFonts w:ascii="宋体"/>
                <w:spacing w:val="-1"/>
                <w:sz w:val="18"/>
              </w:rPr>
              <w:t>2,702,268,670.36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spacing w:val="-1"/>
                <w:sz w:val="18"/>
              </w:rPr>
              <w:t>2,430,046,759.01</w:t>
            </w:r>
          </w:p>
        </w:tc>
      </w:tr>
      <w:tr>
        <w:trPr>
          <w:trHeight w:val="341" w:hRule="exact"/>
        </w:trPr>
        <w:tc>
          <w:tcPr>
            <w:tcW w:w="46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1"/>
              <w:ind w:left="838" w:right="0"/>
              <w:jc w:val="left"/>
              <w:rPr>
                <w:rFonts w:ascii="宋体" w:hAnsi="宋体" w:cs="宋体" w:eastAsia="宋体" w:hint="default"/>
                <w:sz w:val="18"/>
                <w:szCs w:val="18"/>
              </w:rPr>
            </w:pPr>
            <w:r>
              <w:rPr>
                <w:rFonts w:ascii="宋体" w:hAnsi="宋体" w:cs="宋体" w:eastAsia="宋体" w:hint="default"/>
                <w:sz w:val="18"/>
                <w:szCs w:val="18"/>
              </w:rPr>
              <w:t>利息支出</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46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1"/>
              <w:ind w:left="838" w:right="0"/>
              <w:jc w:val="left"/>
              <w:rPr>
                <w:rFonts w:ascii="宋体" w:hAnsi="宋体" w:cs="宋体" w:eastAsia="宋体" w:hint="default"/>
                <w:sz w:val="18"/>
                <w:szCs w:val="18"/>
              </w:rPr>
            </w:pPr>
            <w:r>
              <w:rPr>
                <w:rFonts w:ascii="宋体" w:hAnsi="宋体" w:cs="宋体" w:eastAsia="宋体" w:hint="default"/>
                <w:sz w:val="18"/>
                <w:szCs w:val="18"/>
              </w:rPr>
              <w:t>手续费及佣金支出</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6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1"/>
              <w:ind w:left="838" w:right="0"/>
              <w:jc w:val="left"/>
              <w:rPr>
                <w:rFonts w:ascii="宋体" w:hAnsi="宋体" w:cs="宋体" w:eastAsia="宋体" w:hint="default"/>
                <w:sz w:val="18"/>
                <w:szCs w:val="18"/>
              </w:rPr>
            </w:pPr>
            <w:r>
              <w:rPr>
                <w:rFonts w:ascii="宋体" w:hAnsi="宋体" w:cs="宋体" w:eastAsia="宋体" w:hint="default"/>
                <w:sz w:val="18"/>
                <w:szCs w:val="18"/>
              </w:rPr>
              <w:t>退保金</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6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1"/>
              <w:ind w:left="838" w:right="0"/>
              <w:jc w:val="left"/>
              <w:rPr>
                <w:rFonts w:ascii="宋体" w:hAnsi="宋体" w:cs="宋体" w:eastAsia="宋体" w:hint="default"/>
                <w:sz w:val="18"/>
                <w:szCs w:val="18"/>
              </w:rPr>
            </w:pPr>
            <w:r>
              <w:rPr>
                <w:rFonts w:ascii="宋体" w:hAnsi="宋体" w:cs="宋体" w:eastAsia="宋体" w:hint="default"/>
                <w:sz w:val="18"/>
                <w:szCs w:val="18"/>
              </w:rPr>
              <w:t>赔付支出净额</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46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1"/>
              <w:ind w:left="838" w:right="0"/>
              <w:jc w:val="left"/>
              <w:rPr>
                <w:rFonts w:ascii="宋体" w:hAnsi="宋体" w:cs="宋体" w:eastAsia="宋体" w:hint="default"/>
                <w:sz w:val="18"/>
                <w:szCs w:val="18"/>
              </w:rPr>
            </w:pPr>
            <w:r>
              <w:rPr>
                <w:rFonts w:ascii="宋体" w:hAnsi="宋体" w:cs="宋体" w:eastAsia="宋体" w:hint="default"/>
                <w:sz w:val="18"/>
                <w:szCs w:val="18"/>
              </w:rPr>
              <w:t>提取保险合同准备金净额</w:t>
            </w:r>
            <w:r>
              <w:rPr>
                <w:rFonts w:ascii="Times New Roman" w:hAnsi="Times New Roman" w:cs="Times New Roman" w:eastAsia="Times New Roman" w:hint="default"/>
                <w:sz w:val="18"/>
                <w:szCs w:val="18"/>
              </w:rPr>
              <w:t>*  </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6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1"/>
              <w:ind w:left="838" w:right="0"/>
              <w:jc w:val="left"/>
              <w:rPr>
                <w:rFonts w:ascii="宋体" w:hAnsi="宋体" w:cs="宋体" w:eastAsia="宋体" w:hint="default"/>
                <w:sz w:val="18"/>
                <w:szCs w:val="18"/>
              </w:rPr>
            </w:pPr>
            <w:r>
              <w:rPr>
                <w:rFonts w:ascii="宋体" w:hAnsi="宋体" w:cs="宋体" w:eastAsia="宋体" w:hint="default"/>
                <w:sz w:val="18"/>
                <w:szCs w:val="18"/>
              </w:rPr>
              <w:t>保单红利支出</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6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1"/>
              <w:ind w:left="838" w:right="0"/>
              <w:jc w:val="left"/>
              <w:rPr>
                <w:rFonts w:ascii="宋体" w:hAnsi="宋体" w:cs="宋体" w:eastAsia="宋体" w:hint="default"/>
                <w:sz w:val="18"/>
                <w:szCs w:val="18"/>
              </w:rPr>
            </w:pPr>
            <w:r>
              <w:rPr>
                <w:rFonts w:ascii="宋体" w:hAnsi="宋体" w:cs="宋体" w:eastAsia="宋体" w:hint="default"/>
                <w:sz w:val="18"/>
                <w:szCs w:val="18"/>
              </w:rPr>
              <w:t>分保费用</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4679" w:type="dxa"/>
            <w:tcBorders>
              <w:top w:val="single" w:sz="11" w:space="0" w:color="000000"/>
              <w:left w:val="single" w:sz="4" w:space="0" w:color="000000"/>
              <w:bottom w:val="single" w:sz="4" w:space="0" w:color="000000"/>
              <w:right w:val="single" w:sz="4" w:space="0" w:color="000000"/>
            </w:tcBorders>
          </w:tcPr>
          <w:p>
            <w:pPr>
              <w:pStyle w:val="TableParagraph"/>
              <w:tabs>
                <w:tab w:pos="838" w:val="left" w:leader="none"/>
                <w:tab w:pos="4647" w:val="left" w:leader="none"/>
              </w:tabs>
              <w:spacing w:line="240" w:lineRule="auto" w:before="1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税金及附加</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23" w:right="-17"/>
              <w:jc w:val="center"/>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三</w:t>
            </w:r>
            <w:r>
              <w:rPr>
                <w:rFonts w:ascii="宋体" w:hAnsi="宋体" w:cs="宋体" w:eastAsia="宋体" w:hint="default"/>
                <w:w w:val="100"/>
                <w:sz w:val="15"/>
                <w:szCs w:val="15"/>
              </w:rPr>
              <w:t>十</w:t>
            </w:r>
            <w:r>
              <w:rPr>
                <w:rFonts w:ascii="宋体" w:hAnsi="宋体" w:cs="宋体" w:eastAsia="宋体" w:hint="default"/>
                <w:spacing w:val="-3"/>
                <w:w w:val="100"/>
                <w:sz w:val="15"/>
                <w:szCs w:val="15"/>
              </w:rPr>
              <w:t>四</w:t>
            </w:r>
            <w:r>
              <w:rPr>
                <w:rFonts w:ascii="宋体" w:hAnsi="宋体" w:cs="宋体" w:eastAsia="宋体" w:hint="default"/>
                <w:w w:val="100"/>
                <w:sz w:val="15"/>
                <w:szCs w:val="15"/>
              </w:rPr>
              <w:t>）</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7"/>
              <w:jc w:val="right"/>
              <w:rPr>
                <w:rFonts w:ascii="宋体" w:hAnsi="宋体" w:cs="宋体" w:eastAsia="宋体" w:hint="default"/>
                <w:sz w:val="18"/>
                <w:szCs w:val="18"/>
              </w:rPr>
            </w:pPr>
            <w:r>
              <w:rPr>
                <w:rFonts w:ascii="宋体"/>
                <w:spacing w:val="-1"/>
                <w:sz w:val="18"/>
              </w:rPr>
              <w:t>9,916,769.26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spacing w:val="-1"/>
                <w:sz w:val="18"/>
              </w:rPr>
              <w:t>12,156,303.00</w:t>
            </w:r>
          </w:p>
        </w:tc>
      </w:tr>
      <w:tr>
        <w:trPr>
          <w:trHeight w:val="341" w:hRule="exact"/>
        </w:trPr>
        <w:tc>
          <w:tcPr>
            <w:tcW w:w="4679" w:type="dxa"/>
            <w:tcBorders>
              <w:top w:val="single" w:sz="4" w:space="0" w:color="000000"/>
              <w:left w:val="single" w:sz="4" w:space="0" w:color="000000"/>
              <w:bottom w:val="single" w:sz="4" w:space="0" w:color="000000"/>
              <w:right w:val="single" w:sz="4" w:space="0" w:color="000000"/>
            </w:tcBorders>
          </w:tcPr>
          <w:p>
            <w:pPr>
              <w:pStyle w:val="TableParagraph"/>
              <w:tabs>
                <w:tab w:pos="838" w:val="left" w:leader="none"/>
                <w:tab w:pos="4647" w:val="left" w:leader="none"/>
              </w:tabs>
              <w:spacing w:line="240" w:lineRule="auto" w:before="2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销售费用</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23" w:right="-17"/>
              <w:jc w:val="center"/>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三</w:t>
            </w:r>
            <w:r>
              <w:rPr>
                <w:rFonts w:ascii="宋体" w:hAnsi="宋体" w:cs="宋体" w:eastAsia="宋体" w:hint="default"/>
                <w:w w:val="100"/>
                <w:sz w:val="15"/>
                <w:szCs w:val="15"/>
              </w:rPr>
              <w:t>十</w:t>
            </w:r>
            <w:r>
              <w:rPr>
                <w:rFonts w:ascii="宋体" w:hAnsi="宋体" w:cs="宋体" w:eastAsia="宋体" w:hint="default"/>
                <w:spacing w:val="-3"/>
                <w:w w:val="100"/>
                <w:sz w:val="15"/>
                <w:szCs w:val="15"/>
              </w:rPr>
              <w:t>五</w:t>
            </w:r>
            <w:r>
              <w:rPr>
                <w:rFonts w:ascii="宋体" w:hAnsi="宋体" w:cs="宋体" w:eastAsia="宋体" w:hint="default"/>
                <w:w w:val="100"/>
                <w:sz w:val="15"/>
                <w:szCs w:val="15"/>
              </w:rPr>
              <w:t>）</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7"/>
              <w:jc w:val="right"/>
              <w:rPr>
                <w:rFonts w:ascii="宋体" w:hAnsi="宋体" w:cs="宋体" w:eastAsia="宋体" w:hint="default"/>
                <w:sz w:val="18"/>
                <w:szCs w:val="18"/>
              </w:rPr>
            </w:pPr>
            <w:r>
              <w:rPr>
                <w:rFonts w:ascii="宋体"/>
                <w:spacing w:val="-1"/>
                <w:sz w:val="18"/>
              </w:rPr>
              <w:t>28,995,362.40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spacing w:val="-1"/>
                <w:sz w:val="18"/>
              </w:rPr>
              <w:t>38,323,812.21</w:t>
            </w:r>
          </w:p>
        </w:tc>
      </w:tr>
      <w:tr>
        <w:trPr>
          <w:trHeight w:val="341" w:hRule="exact"/>
        </w:trPr>
        <w:tc>
          <w:tcPr>
            <w:tcW w:w="4679" w:type="dxa"/>
            <w:tcBorders>
              <w:top w:val="single" w:sz="4" w:space="0" w:color="000000"/>
              <w:left w:val="single" w:sz="4" w:space="0" w:color="000000"/>
              <w:bottom w:val="single" w:sz="11" w:space="0" w:color="000000"/>
              <w:right w:val="single" w:sz="4" w:space="0" w:color="000000"/>
            </w:tcBorders>
          </w:tcPr>
          <w:p>
            <w:pPr>
              <w:pStyle w:val="TableParagraph"/>
              <w:tabs>
                <w:tab w:pos="838" w:val="left" w:leader="none"/>
                <w:tab w:pos="4647" w:val="left" w:leader="none"/>
              </w:tabs>
              <w:spacing w:line="240" w:lineRule="auto" w:before="2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管理费用</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23" w:right="-17"/>
              <w:jc w:val="center"/>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三</w:t>
            </w:r>
            <w:r>
              <w:rPr>
                <w:rFonts w:ascii="宋体" w:hAnsi="宋体" w:cs="宋体" w:eastAsia="宋体" w:hint="default"/>
                <w:w w:val="100"/>
                <w:sz w:val="15"/>
                <w:szCs w:val="15"/>
              </w:rPr>
              <w:t>十</w:t>
            </w:r>
            <w:r>
              <w:rPr>
                <w:rFonts w:ascii="宋体" w:hAnsi="宋体" w:cs="宋体" w:eastAsia="宋体" w:hint="default"/>
                <w:spacing w:val="-3"/>
                <w:w w:val="100"/>
                <w:sz w:val="15"/>
                <w:szCs w:val="15"/>
              </w:rPr>
              <w:t>六</w:t>
            </w:r>
            <w:r>
              <w:rPr>
                <w:rFonts w:ascii="宋体" w:hAnsi="宋体" w:cs="宋体" w:eastAsia="宋体" w:hint="default"/>
                <w:w w:val="100"/>
                <w:sz w:val="15"/>
                <w:szCs w:val="15"/>
              </w:rPr>
              <w:t>）</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7"/>
              <w:jc w:val="right"/>
              <w:rPr>
                <w:rFonts w:ascii="宋体" w:hAnsi="宋体" w:cs="宋体" w:eastAsia="宋体" w:hint="default"/>
                <w:sz w:val="18"/>
                <w:szCs w:val="18"/>
              </w:rPr>
            </w:pPr>
            <w:r>
              <w:rPr>
                <w:rFonts w:ascii="宋体"/>
                <w:spacing w:val="-1"/>
                <w:sz w:val="18"/>
              </w:rPr>
              <w:t>135,040,411.29</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spacing w:val="-1"/>
                <w:sz w:val="18"/>
              </w:rPr>
              <w:t>129,127,412.31</w:t>
            </w:r>
          </w:p>
        </w:tc>
      </w:tr>
      <w:tr>
        <w:trPr>
          <w:trHeight w:val="338" w:hRule="exact"/>
        </w:trPr>
        <w:tc>
          <w:tcPr>
            <w:tcW w:w="4679" w:type="dxa"/>
            <w:tcBorders>
              <w:top w:val="single" w:sz="11" w:space="0" w:color="000000"/>
              <w:left w:val="single" w:sz="4" w:space="0" w:color="000000"/>
              <w:bottom w:val="single" w:sz="4" w:space="0" w:color="000000"/>
              <w:right w:val="single" w:sz="4" w:space="0" w:color="000000"/>
            </w:tcBorders>
          </w:tcPr>
          <w:p>
            <w:pPr>
              <w:pStyle w:val="TableParagraph"/>
              <w:tabs>
                <w:tab w:pos="838" w:val="left" w:leader="none"/>
                <w:tab w:pos="4647" w:val="left" w:leader="none"/>
              </w:tabs>
              <w:spacing w:line="240" w:lineRule="auto" w:before="1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研发费用</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23" w:right="-17"/>
              <w:jc w:val="center"/>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三</w:t>
            </w:r>
            <w:r>
              <w:rPr>
                <w:rFonts w:ascii="宋体" w:hAnsi="宋体" w:cs="宋体" w:eastAsia="宋体" w:hint="default"/>
                <w:w w:val="100"/>
                <w:sz w:val="15"/>
                <w:szCs w:val="15"/>
              </w:rPr>
              <w:t>十</w:t>
            </w:r>
            <w:r>
              <w:rPr>
                <w:rFonts w:ascii="宋体" w:hAnsi="宋体" w:cs="宋体" w:eastAsia="宋体" w:hint="default"/>
                <w:spacing w:val="-3"/>
                <w:w w:val="100"/>
                <w:sz w:val="15"/>
                <w:szCs w:val="15"/>
              </w:rPr>
              <w:t>七</w:t>
            </w:r>
            <w:r>
              <w:rPr>
                <w:rFonts w:ascii="宋体" w:hAnsi="宋体" w:cs="宋体" w:eastAsia="宋体" w:hint="default"/>
                <w:w w:val="100"/>
                <w:sz w:val="15"/>
                <w:szCs w:val="15"/>
              </w:rPr>
              <w:t>）</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7"/>
              <w:jc w:val="right"/>
              <w:rPr>
                <w:rFonts w:ascii="宋体" w:hAnsi="宋体" w:cs="宋体" w:eastAsia="宋体" w:hint="default"/>
                <w:sz w:val="18"/>
                <w:szCs w:val="18"/>
              </w:rPr>
            </w:pPr>
            <w:r>
              <w:rPr>
                <w:rFonts w:ascii="宋体"/>
                <w:spacing w:val="-1"/>
                <w:sz w:val="18"/>
              </w:rPr>
              <w:t>89,034,352.41</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spacing w:val="-1"/>
                <w:sz w:val="18"/>
              </w:rPr>
              <w:t>104,591,100.90</w:t>
            </w:r>
          </w:p>
        </w:tc>
      </w:tr>
      <w:tr>
        <w:trPr>
          <w:trHeight w:val="341" w:hRule="exact"/>
        </w:trPr>
        <w:tc>
          <w:tcPr>
            <w:tcW w:w="4679" w:type="dxa"/>
            <w:tcBorders>
              <w:top w:val="single" w:sz="4" w:space="0" w:color="000000"/>
              <w:left w:val="single" w:sz="4" w:space="0" w:color="000000"/>
              <w:bottom w:val="single" w:sz="4" w:space="0" w:color="000000"/>
              <w:right w:val="single" w:sz="4" w:space="0" w:color="000000"/>
            </w:tcBorders>
          </w:tcPr>
          <w:p>
            <w:pPr>
              <w:pStyle w:val="TableParagraph"/>
              <w:tabs>
                <w:tab w:pos="838" w:val="left" w:leader="none"/>
                <w:tab w:pos="4647" w:val="left" w:leader="none"/>
              </w:tabs>
              <w:spacing w:line="240" w:lineRule="auto" w:before="2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财务费用</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23" w:right="-17"/>
              <w:jc w:val="center"/>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三</w:t>
            </w:r>
            <w:r>
              <w:rPr>
                <w:rFonts w:ascii="宋体" w:hAnsi="宋体" w:cs="宋体" w:eastAsia="宋体" w:hint="default"/>
                <w:w w:val="100"/>
                <w:sz w:val="15"/>
                <w:szCs w:val="15"/>
              </w:rPr>
              <w:t>十</w:t>
            </w:r>
            <w:r>
              <w:rPr>
                <w:rFonts w:ascii="宋体" w:hAnsi="宋体" w:cs="宋体" w:eastAsia="宋体" w:hint="default"/>
                <w:spacing w:val="-3"/>
                <w:w w:val="100"/>
                <w:sz w:val="15"/>
                <w:szCs w:val="15"/>
              </w:rPr>
              <w:t>八</w:t>
            </w:r>
            <w:r>
              <w:rPr>
                <w:rFonts w:ascii="宋体" w:hAnsi="宋体" w:cs="宋体" w:eastAsia="宋体" w:hint="default"/>
                <w:w w:val="100"/>
                <w:sz w:val="15"/>
                <w:szCs w:val="15"/>
              </w:rPr>
              <w:t>）</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7"/>
              <w:jc w:val="right"/>
              <w:rPr>
                <w:rFonts w:ascii="宋体" w:hAnsi="宋体" w:cs="宋体" w:eastAsia="宋体" w:hint="default"/>
                <w:sz w:val="18"/>
                <w:szCs w:val="18"/>
              </w:rPr>
            </w:pPr>
            <w:r>
              <w:rPr>
                <w:rFonts w:ascii="宋体"/>
                <w:spacing w:val="-1"/>
                <w:sz w:val="18"/>
              </w:rPr>
              <w:t>48,399,804.06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spacing w:val="-1"/>
                <w:sz w:val="18"/>
              </w:rPr>
              <w:t>12,552,863.86</w:t>
            </w:r>
          </w:p>
        </w:tc>
      </w:tr>
      <w:tr>
        <w:trPr>
          <w:trHeight w:val="341" w:hRule="exact"/>
        </w:trPr>
        <w:tc>
          <w:tcPr>
            <w:tcW w:w="4679" w:type="dxa"/>
            <w:tcBorders>
              <w:top w:val="single" w:sz="4" w:space="0" w:color="000000"/>
              <w:left w:val="single" w:sz="4" w:space="0" w:color="000000"/>
              <w:bottom w:val="single" w:sz="4" w:space="0" w:color="000000"/>
              <w:right w:val="single" w:sz="4" w:space="0" w:color="000000"/>
            </w:tcBorders>
          </w:tcPr>
          <w:p>
            <w:pPr>
              <w:pStyle w:val="TableParagraph"/>
              <w:tabs>
                <w:tab w:pos="838" w:val="left" w:leader="none"/>
                <w:tab w:pos="4647" w:val="left" w:leader="none"/>
              </w:tabs>
              <w:spacing w:line="240" w:lineRule="auto" w:before="2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其中：利息费用</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7"/>
              <w:jc w:val="right"/>
              <w:rPr>
                <w:rFonts w:ascii="宋体" w:hAnsi="宋体" w:cs="宋体" w:eastAsia="宋体" w:hint="default"/>
                <w:sz w:val="18"/>
                <w:szCs w:val="18"/>
              </w:rPr>
            </w:pPr>
            <w:r>
              <w:rPr>
                <w:rFonts w:ascii="宋体"/>
                <w:spacing w:val="-1"/>
                <w:sz w:val="18"/>
              </w:rPr>
              <w:t>51,657,477.68</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spacing w:val="-1"/>
                <w:sz w:val="18"/>
              </w:rPr>
              <w:t>12,735,839.31</w:t>
            </w:r>
          </w:p>
        </w:tc>
      </w:tr>
      <w:tr>
        <w:trPr>
          <w:trHeight w:val="339" w:hRule="exact"/>
        </w:trPr>
        <w:tc>
          <w:tcPr>
            <w:tcW w:w="4679" w:type="dxa"/>
            <w:tcBorders>
              <w:top w:val="single" w:sz="4" w:space="0" w:color="000000"/>
              <w:left w:val="single" w:sz="4" w:space="0" w:color="000000"/>
              <w:bottom w:val="single" w:sz="11" w:space="0" w:color="000000"/>
              <w:right w:val="single" w:sz="4" w:space="0" w:color="000000"/>
            </w:tcBorders>
          </w:tcPr>
          <w:p>
            <w:pPr>
              <w:pStyle w:val="TableParagraph"/>
              <w:tabs>
                <w:tab w:pos="1377" w:val="left" w:leader="none"/>
                <w:tab w:pos="4647" w:val="left" w:leader="none"/>
              </w:tabs>
              <w:spacing w:line="240" w:lineRule="auto" w:before="2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利息收入</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7"/>
              <w:jc w:val="right"/>
              <w:rPr>
                <w:rFonts w:ascii="宋体" w:hAnsi="宋体" w:cs="宋体" w:eastAsia="宋体" w:hint="default"/>
                <w:sz w:val="18"/>
                <w:szCs w:val="18"/>
              </w:rPr>
            </w:pPr>
            <w:r>
              <w:rPr>
                <w:rFonts w:ascii="宋体"/>
                <w:spacing w:val="-1"/>
                <w:sz w:val="18"/>
              </w:rPr>
              <w:t>3,804,324.98</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spacing w:val="-1"/>
                <w:sz w:val="18"/>
              </w:rPr>
              <w:t>1,849,530.53</w:t>
            </w:r>
          </w:p>
        </w:tc>
      </w:tr>
      <w:tr>
        <w:trPr>
          <w:trHeight w:val="341" w:hRule="exact"/>
        </w:trPr>
        <w:tc>
          <w:tcPr>
            <w:tcW w:w="4679" w:type="dxa"/>
            <w:tcBorders>
              <w:top w:val="single" w:sz="11" w:space="0" w:color="000000"/>
              <w:left w:val="single" w:sz="4" w:space="0" w:color="000000"/>
              <w:bottom w:val="single" w:sz="11" w:space="0" w:color="000000"/>
              <w:right w:val="single" w:sz="4" w:space="0" w:color="000000"/>
            </w:tcBorders>
          </w:tcPr>
          <w:p>
            <w:pPr>
              <w:pStyle w:val="TableParagraph"/>
              <w:tabs>
                <w:tab w:pos="478" w:val="left" w:leader="none"/>
                <w:tab w:pos="4647" w:val="left" w:leader="none"/>
              </w:tabs>
              <w:spacing w:line="240" w:lineRule="auto" w:before="1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加：其他收益</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23" w:right="-17"/>
              <w:jc w:val="center"/>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三</w:t>
            </w:r>
            <w:r>
              <w:rPr>
                <w:rFonts w:ascii="宋体" w:hAnsi="宋体" w:cs="宋体" w:eastAsia="宋体" w:hint="default"/>
                <w:w w:val="100"/>
                <w:sz w:val="15"/>
                <w:szCs w:val="15"/>
              </w:rPr>
              <w:t>十</w:t>
            </w:r>
            <w:r>
              <w:rPr>
                <w:rFonts w:ascii="宋体" w:hAnsi="宋体" w:cs="宋体" w:eastAsia="宋体" w:hint="default"/>
                <w:spacing w:val="-3"/>
                <w:w w:val="100"/>
                <w:sz w:val="15"/>
                <w:szCs w:val="15"/>
              </w:rPr>
              <w:t>九</w:t>
            </w:r>
            <w:r>
              <w:rPr>
                <w:rFonts w:ascii="宋体" w:hAnsi="宋体" w:cs="宋体" w:eastAsia="宋体" w:hint="default"/>
                <w:w w:val="100"/>
                <w:sz w:val="15"/>
                <w:szCs w:val="15"/>
              </w:rPr>
              <w:t>）</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7"/>
              <w:jc w:val="right"/>
              <w:rPr>
                <w:rFonts w:ascii="宋体" w:hAnsi="宋体" w:cs="宋体" w:eastAsia="宋体" w:hint="default"/>
                <w:sz w:val="18"/>
                <w:szCs w:val="18"/>
              </w:rPr>
            </w:pPr>
            <w:r>
              <w:rPr>
                <w:rFonts w:ascii="宋体"/>
                <w:spacing w:val="-1"/>
                <w:sz w:val="18"/>
              </w:rPr>
              <w:t>10,934,642.48</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spacing w:val="-1"/>
                <w:sz w:val="18"/>
              </w:rPr>
              <w:t>3,775,086.19</w:t>
            </w:r>
          </w:p>
        </w:tc>
      </w:tr>
      <w:tr>
        <w:trPr>
          <w:trHeight w:val="340" w:hRule="exact"/>
        </w:trPr>
        <w:tc>
          <w:tcPr>
            <w:tcW w:w="4679" w:type="dxa"/>
            <w:tcBorders>
              <w:top w:val="single" w:sz="11" w:space="0" w:color="000000"/>
              <w:left w:val="single" w:sz="4" w:space="0" w:color="000000"/>
              <w:bottom w:val="single" w:sz="4" w:space="0" w:color="000000"/>
              <w:right w:val="single" w:sz="4" w:space="0" w:color="000000"/>
            </w:tcBorders>
          </w:tcPr>
          <w:p>
            <w:pPr>
              <w:pStyle w:val="TableParagraph"/>
              <w:tabs>
                <w:tab w:pos="838" w:val="left" w:leader="none"/>
                <w:tab w:pos="4647" w:val="left" w:leader="none"/>
              </w:tabs>
              <w:spacing w:line="240" w:lineRule="auto" w:before="1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投资收益（损失以“－”号填列）</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12" w:right="0"/>
              <w:jc w:val="center"/>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四</w:t>
            </w:r>
            <w:r>
              <w:rPr>
                <w:rFonts w:ascii="宋体" w:hAnsi="宋体" w:cs="宋体" w:eastAsia="宋体" w:hint="default"/>
                <w:w w:val="100"/>
                <w:sz w:val="15"/>
                <w:szCs w:val="15"/>
              </w:rPr>
              <w:t>十）</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7"/>
              <w:jc w:val="right"/>
              <w:rPr>
                <w:rFonts w:ascii="宋体" w:hAnsi="宋体" w:cs="宋体" w:eastAsia="宋体" w:hint="default"/>
                <w:sz w:val="18"/>
                <w:szCs w:val="18"/>
              </w:rPr>
            </w:pPr>
            <w:r>
              <w:rPr>
                <w:rFonts w:ascii="宋体"/>
                <w:spacing w:val="-1"/>
                <w:sz w:val="18"/>
              </w:rPr>
              <w:t>-32,918,105.59</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spacing w:val="-1"/>
                <w:sz w:val="18"/>
              </w:rPr>
              <w:t>3,100,032.96</w:t>
            </w:r>
          </w:p>
        </w:tc>
      </w:tr>
      <w:tr>
        <w:trPr>
          <w:trHeight w:val="336" w:hRule="exact"/>
        </w:trPr>
        <w:tc>
          <w:tcPr>
            <w:tcW w:w="4679" w:type="dxa"/>
            <w:tcBorders>
              <w:top w:val="single" w:sz="4" w:space="0" w:color="000000"/>
              <w:left w:val="single" w:sz="4" w:space="0" w:color="000000"/>
              <w:bottom w:val="single" w:sz="10" w:space="0" w:color="000000"/>
              <w:right w:val="single" w:sz="4" w:space="0" w:color="000000"/>
            </w:tcBorders>
          </w:tcPr>
          <w:p>
            <w:pPr>
              <w:pStyle w:val="TableParagraph"/>
              <w:tabs>
                <w:tab w:pos="838" w:val="left" w:leader="none"/>
                <w:tab w:pos="4647" w:val="left" w:leader="none"/>
              </w:tabs>
              <w:spacing w:line="240" w:lineRule="auto" w:before="2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其中：对联营企业和合营企业的投资收益</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6"/>
              <w:jc w:val="right"/>
              <w:rPr>
                <w:rFonts w:ascii="宋体" w:hAnsi="宋体" w:cs="宋体" w:eastAsia="宋体" w:hint="default"/>
                <w:sz w:val="18"/>
                <w:szCs w:val="18"/>
              </w:rPr>
            </w:pPr>
            <w:r>
              <w:rPr>
                <w:rFonts w:ascii="宋体"/>
                <w:spacing w:val="-1"/>
                <w:sz w:val="18"/>
              </w:rPr>
              <w:t>27,077.62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9"/>
              <w:jc w:val="right"/>
              <w:rPr>
                <w:rFonts w:ascii="宋体" w:hAnsi="宋体" w:cs="宋体" w:eastAsia="宋体" w:hint="default"/>
                <w:sz w:val="18"/>
                <w:szCs w:val="18"/>
              </w:rPr>
            </w:pPr>
            <w:r>
              <w:rPr>
                <w:rFonts w:ascii="宋体"/>
                <w:spacing w:val="-1"/>
                <w:sz w:val="18"/>
              </w:rPr>
              <w:t>-867,549.97</w:t>
            </w:r>
          </w:p>
        </w:tc>
      </w:tr>
      <w:tr>
        <w:trPr>
          <w:trHeight w:val="340" w:hRule="exact"/>
        </w:trPr>
        <w:tc>
          <w:tcPr>
            <w:tcW w:w="4679" w:type="dxa"/>
            <w:tcBorders>
              <w:top w:val="single" w:sz="10" w:space="0" w:color="000000"/>
              <w:left w:val="single" w:sz="4" w:space="0" w:color="000000"/>
              <w:bottom w:val="single" w:sz="4" w:space="0" w:color="000000"/>
              <w:right w:val="single" w:sz="4" w:space="0" w:color="000000"/>
            </w:tcBorders>
          </w:tcPr>
          <w:p>
            <w:pPr>
              <w:pStyle w:val="TableParagraph"/>
              <w:tabs>
                <w:tab w:pos="746" w:val="left" w:leader="none"/>
                <w:tab w:pos="4647" w:val="left" w:leader="none"/>
              </w:tabs>
              <w:spacing w:line="240" w:lineRule="auto" w:before="1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以摊余成本计量的金融资产终止确认收益</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7"/>
              <w:jc w:val="right"/>
              <w:rPr>
                <w:rFonts w:ascii="宋体" w:hAnsi="宋体" w:cs="宋体" w:eastAsia="宋体" w:hint="default"/>
                <w:sz w:val="18"/>
                <w:szCs w:val="18"/>
              </w:rPr>
            </w:pPr>
            <w:r>
              <w:rPr>
                <w:rFonts w:ascii="宋体"/>
                <w:spacing w:val="-1"/>
                <w:sz w:val="18"/>
              </w:rPr>
              <w:t>-32,945,187.07</w:t>
            </w: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6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1"/>
              <w:ind w:left="838" w:right="0"/>
              <w:jc w:val="left"/>
              <w:rPr>
                <w:rFonts w:ascii="宋体" w:hAnsi="宋体" w:cs="宋体" w:eastAsia="宋体" w:hint="default"/>
                <w:sz w:val="18"/>
                <w:szCs w:val="18"/>
              </w:rPr>
            </w:pPr>
            <w:r>
              <w:rPr>
                <w:rFonts w:ascii="宋体" w:hAnsi="宋体" w:cs="宋体" w:eastAsia="宋体" w:hint="default"/>
                <w:sz w:val="18"/>
                <w:szCs w:val="18"/>
              </w:rPr>
              <w:t>汇兑收益（损失以“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r>
              <w:rPr>
                <w:rFonts w:ascii="Times New Roman" w:hAnsi="Times New Roman" w:cs="Times New Roman" w:eastAsia="Times New Roman" w:hint="default"/>
                <w:sz w:val="18"/>
                <w:szCs w:val="18"/>
              </w:rPr>
              <w:t>*  </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4679" w:type="dxa"/>
            <w:tcBorders>
              <w:top w:val="single" w:sz="11" w:space="0" w:color="000000"/>
              <w:left w:val="single" w:sz="4" w:space="0" w:color="000000"/>
              <w:bottom w:val="single" w:sz="11" w:space="0" w:color="000000"/>
              <w:right w:val="single" w:sz="4" w:space="0" w:color="000000"/>
            </w:tcBorders>
          </w:tcPr>
          <w:p>
            <w:pPr>
              <w:pStyle w:val="TableParagraph"/>
              <w:tabs>
                <w:tab w:pos="838" w:val="left" w:leader="none"/>
                <w:tab w:pos="4647" w:val="left" w:leader="none"/>
              </w:tabs>
              <w:spacing w:line="240" w:lineRule="auto" w:before="1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净敞口套期收益（损失以“－”号填列）</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67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1"/>
              <w:ind w:left="566" w:right="0"/>
              <w:jc w:val="left"/>
              <w:rPr>
                <w:rFonts w:ascii="宋体" w:hAnsi="宋体" w:cs="宋体" w:eastAsia="宋体" w:hint="default"/>
                <w:sz w:val="18"/>
                <w:szCs w:val="18"/>
              </w:rPr>
            </w:pPr>
            <w:r>
              <w:rPr>
                <w:rFonts w:ascii="宋体" w:hAnsi="宋体" w:cs="宋体" w:eastAsia="宋体" w:hint="default"/>
                <w:sz w:val="18"/>
                <w:szCs w:val="18"/>
              </w:rPr>
              <w:t>公允价值变动收益（损失以“－”号填列）</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679" w:type="dxa"/>
            <w:tcBorders>
              <w:top w:val="single" w:sz="4" w:space="0" w:color="000000"/>
              <w:left w:val="single" w:sz="4" w:space="0" w:color="000000"/>
              <w:bottom w:val="single" w:sz="4" w:space="0" w:color="000000"/>
              <w:right w:val="single" w:sz="4" w:space="0" w:color="000000"/>
            </w:tcBorders>
          </w:tcPr>
          <w:p>
            <w:pPr>
              <w:pStyle w:val="TableParagraph"/>
              <w:tabs>
                <w:tab w:pos="838" w:val="left" w:leader="none"/>
                <w:tab w:pos="4647" w:val="left" w:leader="none"/>
              </w:tabs>
              <w:spacing w:line="240" w:lineRule="auto" w:before="2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信用减值损失（损失以“－”号填列）</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23" w:right="-17"/>
              <w:jc w:val="center"/>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四</w:t>
            </w:r>
            <w:r>
              <w:rPr>
                <w:rFonts w:ascii="宋体" w:hAnsi="宋体" w:cs="宋体" w:eastAsia="宋体" w:hint="default"/>
                <w:w w:val="100"/>
                <w:sz w:val="15"/>
                <w:szCs w:val="15"/>
              </w:rPr>
              <w:t>十</w:t>
            </w:r>
            <w:r>
              <w:rPr>
                <w:rFonts w:ascii="宋体" w:hAnsi="宋体" w:cs="宋体" w:eastAsia="宋体" w:hint="default"/>
                <w:spacing w:val="-3"/>
                <w:w w:val="100"/>
                <w:sz w:val="15"/>
                <w:szCs w:val="15"/>
              </w:rPr>
              <w:t>一</w:t>
            </w:r>
            <w:r>
              <w:rPr>
                <w:rFonts w:ascii="宋体" w:hAnsi="宋体" w:cs="宋体" w:eastAsia="宋体" w:hint="default"/>
                <w:w w:val="100"/>
                <w:sz w:val="15"/>
                <w:szCs w:val="15"/>
              </w:rPr>
              <w:t>）</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7"/>
              <w:jc w:val="right"/>
              <w:rPr>
                <w:rFonts w:ascii="宋体" w:hAnsi="宋体" w:cs="宋体" w:eastAsia="宋体" w:hint="default"/>
                <w:sz w:val="18"/>
                <w:szCs w:val="18"/>
              </w:rPr>
            </w:pPr>
            <w:r>
              <w:rPr>
                <w:rFonts w:ascii="宋体"/>
                <w:spacing w:val="-1"/>
                <w:sz w:val="18"/>
              </w:rPr>
              <w:t>-140,743,019.22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sz w:val="18"/>
              </w:rPr>
              <w:t>-</w:t>
            </w:r>
          </w:p>
        </w:tc>
      </w:tr>
      <w:tr>
        <w:trPr>
          <w:trHeight w:val="338" w:hRule="exact"/>
        </w:trPr>
        <w:tc>
          <w:tcPr>
            <w:tcW w:w="4679" w:type="dxa"/>
            <w:tcBorders>
              <w:top w:val="single" w:sz="4" w:space="0" w:color="000000"/>
              <w:left w:val="single" w:sz="4" w:space="0" w:color="000000"/>
              <w:bottom w:val="single" w:sz="4" w:space="0" w:color="000000"/>
              <w:right w:val="single" w:sz="4" w:space="0" w:color="000000"/>
            </w:tcBorders>
          </w:tcPr>
          <w:p>
            <w:pPr>
              <w:pStyle w:val="TableParagraph"/>
              <w:tabs>
                <w:tab w:pos="838" w:val="left" w:leader="none"/>
                <w:tab w:pos="4647" w:val="left" w:leader="none"/>
              </w:tabs>
              <w:spacing w:line="240" w:lineRule="auto" w:before="2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资产减值损失（损失以“－”号填列）</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23" w:right="-17"/>
              <w:jc w:val="center"/>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四</w:t>
            </w:r>
            <w:r>
              <w:rPr>
                <w:rFonts w:ascii="宋体" w:hAnsi="宋体" w:cs="宋体" w:eastAsia="宋体" w:hint="default"/>
                <w:w w:val="100"/>
                <w:sz w:val="15"/>
                <w:szCs w:val="15"/>
              </w:rPr>
              <w:t>十</w:t>
            </w:r>
            <w:r>
              <w:rPr>
                <w:rFonts w:ascii="宋体" w:hAnsi="宋体" w:cs="宋体" w:eastAsia="宋体" w:hint="default"/>
                <w:spacing w:val="-3"/>
                <w:w w:val="100"/>
                <w:sz w:val="15"/>
                <w:szCs w:val="15"/>
              </w:rPr>
              <w:t>二</w:t>
            </w:r>
            <w:r>
              <w:rPr>
                <w:rFonts w:ascii="宋体" w:hAnsi="宋体" w:cs="宋体" w:eastAsia="宋体" w:hint="default"/>
                <w:w w:val="100"/>
                <w:sz w:val="15"/>
                <w:szCs w:val="15"/>
              </w:rPr>
              <w:t>）</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7"/>
              <w:jc w:val="right"/>
              <w:rPr>
                <w:rFonts w:ascii="宋体" w:hAnsi="宋体" w:cs="宋体" w:eastAsia="宋体" w:hint="default"/>
                <w:sz w:val="18"/>
                <w:szCs w:val="18"/>
              </w:rPr>
            </w:pPr>
            <w:r>
              <w:rPr>
                <w:rFonts w:ascii="宋体"/>
                <w:spacing w:val="-1"/>
                <w:sz w:val="18"/>
              </w:rPr>
              <w:t>-1,202,700,000.00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spacing w:val="-1"/>
                <w:sz w:val="18"/>
              </w:rPr>
              <w:t>-18,250,376.72</w:t>
            </w:r>
          </w:p>
        </w:tc>
      </w:tr>
      <w:tr>
        <w:trPr>
          <w:trHeight w:val="341" w:hRule="exact"/>
        </w:trPr>
        <w:tc>
          <w:tcPr>
            <w:tcW w:w="4679" w:type="dxa"/>
            <w:tcBorders>
              <w:top w:val="single" w:sz="4" w:space="0" w:color="000000"/>
              <w:left w:val="single" w:sz="4" w:space="0" w:color="000000"/>
              <w:bottom w:val="single" w:sz="4" w:space="0" w:color="000000"/>
              <w:right w:val="single" w:sz="4" w:space="0" w:color="000000"/>
            </w:tcBorders>
          </w:tcPr>
          <w:p>
            <w:pPr>
              <w:pStyle w:val="TableParagraph"/>
              <w:tabs>
                <w:tab w:pos="838" w:val="left" w:leader="none"/>
                <w:tab w:pos="4647" w:val="left" w:leader="none"/>
              </w:tabs>
              <w:spacing w:line="240" w:lineRule="auto" w:before="2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资产处置收益（损失以“－”号填列）</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23" w:right="-17"/>
              <w:jc w:val="center"/>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四</w:t>
            </w:r>
            <w:r>
              <w:rPr>
                <w:rFonts w:ascii="宋体" w:hAnsi="宋体" w:cs="宋体" w:eastAsia="宋体" w:hint="default"/>
                <w:w w:val="100"/>
                <w:sz w:val="15"/>
                <w:szCs w:val="15"/>
              </w:rPr>
              <w:t>十</w:t>
            </w:r>
            <w:r>
              <w:rPr>
                <w:rFonts w:ascii="宋体" w:hAnsi="宋体" w:cs="宋体" w:eastAsia="宋体" w:hint="default"/>
                <w:spacing w:val="-3"/>
                <w:w w:val="100"/>
                <w:sz w:val="15"/>
                <w:szCs w:val="15"/>
              </w:rPr>
              <w:t>三</w:t>
            </w:r>
            <w:r>
              <w:rPr>
                <w:rFonts w:ascii="宋体" w:hAnsi="宋体" w:cs="宋体" w:eastAsia="宋体" w:hint="default"/>
                <w:w w:val="100"/>
                <w:sz w:val="15"/>
                <w:szCs w:val="15"/>
              </w:rPr>
              <w:t>）</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6"/>
              <w:jc w:val="right"/>
              <w:rPr>
                <w:rFonts w:ascii="宋体" w:hAnsi="宋体" w:cs="宋体" w:eastAsia="宋体" w:hint="default"/>
                <w:sz w:val="18"/>
                <w:szCs w:val="18"/>
              </w:rPr>
            </w:pPr>
            <w:r>
              <w:rPr>
                <w:rFonts w:ascii="宋体"/>
                <w:spacing w:val="-1"/>
                <w:sz w:val="18"/>
              </w:rPr>
              <w:t>128,762.64</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628,373.53</w:t>
            </w:r>
          </w:p>
        </w:tc>
      </w:tr>
      <w:tr>
        <w:trPr>
          <w:trHeight w:val="341" w:hRule="exact"/>
        </w:trPr>
        <w:tc>
          <w:tcPr>
            <w:tcW w:w="4679" w:type="dxa"/>
            <w:tcBorders>
              <w:top w:val="single" w:sz="4" w:space="0" w:color="000000"/>
              <w:left w:val="single" w:sz="4" w:space="0" w:color="000000"/>
              <w:bottom w:val="single" w:sz="11" w:space="0" w:color="000000"/>
              <w:right w:val="single" w:sz="4" w:space="0" w:color="000000"/>
            </w:tcBorders>
          </w:tcPr>
          <w:p>
            <w:pPr>
              <w:pStyle w:val="TableParagraph"/>
              <w:tabs>
                <w:tab w:pos="4647" w:val="left" w:leader="none"/>
              </w:tabs>
              <w:spacing w:line="240" w:lineRule="auto" w:before="21"/>
              <w:ind w:left="24"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z w:val="18"/>
                <w:szCs w:val="18"/>
                <w:shd w:fill="D2D2D2" w:color="auto" w:val="clear"/>
              </w:rPr>
              <w:t> </w:t>
            </w:r>
            <w:r>
              <w:rPr>
                <w:rFonts w:ascii="Times New Roman" w:hAnsi="Times New Roman" w:cs="Times New Roman" w:eastAsia="Times New Roman" w:hint="default"/>
                <w:b/>
                <w:bCs/>
                <w:spacing w:val="1"/>
                <w:sz w:val="18"/>
                <w:szCs w:val="18"/>
                <w:shd w:fill="D2D2D2" w:color="auto" w:val="clear"/>
              </w:rPr>
              <w:t> </w:t>
            </w:r>
            <w:r>
              <w:rPr>
                <w:rFonts w:ascii="宋体" w:hAnsi="宋体" w:cs="宋体" w:eastAsia="宋体" w:hint="default"/>
                <w:b/>
                <w:bCs/>
                <w:sz w:val="18"/>
                <w:szCs w:val="18"/>
                <w:shd w:fill="D2D2D2" w:color="auto" w:val="clear"/>
              </w:rPr>
              <w:t>三、营业利润（亏损以“－”号填列）</w:t>
            </w:r>
            <w:r>
              <w:rPr>
                <w:rFonts w:ascii="宋体" w:hAnsi="宋体" w:cs="宋体" w:eastAsia="宋体" w:hint="default"/>
                <w:b/>
                <w:bCs/>
                <w:spacing w:val="2"/>
                <w:sz w:val="18"/>
                <w:szCs w:val="18"/>
                <w:shd w:fill="D2D2D2" w:color="auto" w:val="clear"/>
              </w:rPr>
              <w:t>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7"/>
              <w:jc w:val="right"/>
              <w:rPr>
                <w:rFonts w:ascii="宋体" w:hAnsi="宋体" w:cs="宋体" w:eastAsia="宋体" w:hint="default"/>
                <w:sz w:val="18"/>
                <w:szCs w:val="18"/>
              </w:rPr>
            </w:pPr>
            <w:r>
              <w:rPr>
                <w:rFonts w:ascii="宋体"/>
                <w:b/>
                <w:w w:val="95"/>
                <w:sz w:val="18"/>
              </w:rPr>
              <w:t>-1,216,321,662.56</w:t>
            </w:r>
            <w:r>
              <w:rPr>
                <w:rFonts w:ascii="宋体"/>
                <w:sz w:val="18"/>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b/>
                <w:w w:val="95"/>
                <w:sz w:val="18"/>
              </w:rPr>
              <w:t>293,213,770.46</w:t>
            </w:r>
            <w:r>
              <w:rPr>
                <w:rFonts w:ascii="宋体"/>
                <w:sz w:val="18"/>
              </w:rPr>
            </w:r>
          </w:p>
        </w:tc>
      </w:tr>
      <w:tr>
        <w:trPr>
          <w:trHeight w:val="339" w:hRule="exact"/>
        </w:trPr>
        <w:tc>
          <w:tcPr>
            <w:tcW w:w="4679" w:type="dxa"/>
            <w:tcBorders>
              <w:top w:val="single" w:sz="11" w:space="0" w:color="000000"/>
              <w:left w:val="single" w:sz="4" w:space="0" w:color="000000"/>
              <w:bottom w:val="single" w:sz="4" w:space="0" w:color="000000"/>
              <w:right w:val="single" w:sz="4" w:space="0" w:color="000000"/>
            </w:tcBorders>
          </w:tcPr>
          <w:p>
            <w:pPr>
              <w:pStyle w:val="TableParagraph"/>
              <w:tabs>
                <w:tab w:pos="386" w:val="left" w:leader="none"/>
                <w:tab w:pos="4647" w:val="left" w:leader="none"/>
              </w:tabs>
              <w:spacing w:line="240" w:lineRule="auto" w:before="1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加：营业外收入</w:t>
            </w:r>
            <w:r>
              <w:rPr>
                <w:rFonts w:ascii="宋体" w:hAnsi="宋体" w:cs="宋体" w:eastAsia="宋体" w:hint="default"/>
                <w:spacing w:val="-2"/>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23" w:right="-17"/>
              <w:jc w:val="center"/>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四</w:t>
            </w:r>
            <w:r>
              <w:rPr>
                <w:rFonts w:ascii="宋体" w:hAnsi="宋体" w:cs="宋体" w:eastAsia="宋体" w:hint="default"/>
                <w:w w:val="100"/>
                <w:sz w:val="15"/>
                <w:szCs w:val="15"/>
              </w:rPr>
              <w:t>十</w:t>
            </w:r>
            <w:r>
              <w:rPr>
                <w:rFonts w:ascii="宋体" w:hAnsi="宋体" w:cs="宋体" w:eastAsia="宋体" w:hint="default"/>
                <w:spacing w:val="-3"/>
                <w:w w:val="100"/>
                <w:sz w:val="15"/>
                <w:szCs w:val="15"/>
              </w:rPr>
              <w:t>四</w:t>
            </w:r>
            <w:r>
              <w:rPr>
                <w:rFonts w:ascii="宋体" w:hAnsi="宋体" w:cs="宋体" w:eastAsia="宋体" w:hint="default"/>
                <w:w w:val="100"/>
                <w:sz w:val="15"/>
                <w:szCs w:val="15"/>
              </w:rPr>
              <w:t>）</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7"/>
              <w:jc w:val="right"/>
              <w:rPr>
                <w:rFonts w:ascii="宋体" w:hAnsi="宋体" w:cs="宋体" w:eastAsia="宋体" w:hint="default"/>
                <w:sz w:val="18"/>
                <w:szCs w:val="18"/>
              </w:rPr>
            </w:pPr>
            <w:r>
              <w:rPr>
                <w:rFonts w:ascii="宋体"/>
                <w:spacing w:val="-1"/>
                <w:sz w:val="18"/>
              </w:rPr>
              <w:t>3,836,427.30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spacing w:val="-1"/>
                <w:sz w:val="18"/>
              </w:rPr>
              <w:t>4,304,238.22</w:t>
            </w:r>
          </w:p>
        </w:tc>
      </w:tr>
      <w:tr>
        <w:trPr>
          <w:trHeight w:val="341" w:hRule="exact"/>
        </w:trPr>
        <w:tc>
          <w:tcPr>
            <w:tcW w:w="4679" w:type="dxa"/>
            <w:tcBorders>
              <w:top w:val="single" w:sz="4" w:space="0" w:color="000000"/>
              <w:left w:val="single" w:sz="4" w:space="0" w:color="000000"/>
              <w:bottom w:val="single" w:sz="4" w:space="0" w:color="000000"/>
              <w:right w:val="single" w:sz="4" w:space="0" w:color="000000"/>
            </w:tcBorders>
          </w:tcPr>
          <w:p>
            <w:pPr>
              <w:pStyle w:val="TableParagraph"/>
              <w:tabs>
                <w:tab w:pos="386" w:val="left" w:leader="none"/>
                <w:tab w:pos="4647" w:val="left" w:leader="none"/>
              </w:tabs>
              <w:spacing w:line="240" w:lineRule="auto" w:before="2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减：营业外支出</w:t>
            </w:r>
            <w:r>
              <w:rPr>
                <w:rFonts w:ascii="宋体" w:hAnsi="宋体" w:cs="宋体" w:eastAsia="宋体" w:hint="default"/>
                <w:spacing w:val="-2"/>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23" w:right="-17"/>
              <w:jc w:val="center"/>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四</w:t>
            </w:r>
            <w:r>
              <w:rPr>
                <w:rFonts w:ascii="宋体" w:hAnsi="宋体" w:cs="宋体" w:eastAsia="宋体" w:hint="default"/>
                <w:w w:val="100"/>
                <w:sz w:val="15"/>
                <w:szCs w:val="15"/>
              </w:rPr>
              <w:t>十</w:t>
            </w:r>
            <w:r>
              <w:rPr>
                <w:rFonts w:ascii="宋体" w:hAnsi="宋体" w:cs="宋体" w:eastAsia="宋体" w:hint="default"/>
                <w:spacing w:val="-3"/>
                <w:w w:val="100"/>
                <w:sz w:val="15"/>
                <w:szCs w:val="15"/>
              </w:rPr>
              <w:t>五</w:t>
            </w:r>
            <w:r>
              <w:rPr>
                <w:rFonts w:ascii="宋体" w:hAnsi="宋体" w:cs="宋体" w:eastAsia="宋体" w:hint="default"/>
                <w:w w:val="100"/>
                <w:sz w:val="15"/>
                <w:szCs w:val="15"/>
              </w:rPr>
              <w:t>）</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7"/>
              <w:jc w:val="right"/>
              <w:rPr>
                <w:rFonts w:ascii="宋体" w:hAnsi="宋体" w:cs="宋体" w:eastAsia="宋体" w:hint="default"/>
                <w:sz w:val="18"/>
                <w:szCs w:val="18"/>
              </w:rPr>
            </w:pPr>
            <w:r>
              <w:rPr>
                <w:rFonts w:ascii="宋体"/>
                <w:spacing w:val="-1"/>
                <w:sz w:val="18"/>
              </w:rPr>
              <w:t>8,759,953.82</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spacing w:val="-1"/>
                <w:sz w:val="18"/>
              </w:rPr>
              <w:t>2,628,171.42</w:t>
            </w:r>
          </w:p>
        </w:tc>
      </w:tr>
      <w:tr>
        <w:trPr>
          <w:trHeight w:val="341" w:hRule="exact"/>
        </w:trPr>
        <w:tc>
          <w:tcPr>
            <w:tcW w:w="4679" w:type="dxa"/>
            <w:tcBorders>
              <w:top w:val="single" w:sz="4" w:space="0" w:color="000000"/>
              <w:left w:val="single" w:sz="4" w:space="0" w:color="000000"/>
              <w:bottom w:val="single" w:sz="11" w:space="0" w:color="000000"/>
              <w:right w:val="single" w:sz="4" w:space="0" w:color="000000"/>
            </w:tcBorders>
          </w:tcPr>
          <w:p>
            <w:pPr>
              <w:pStyle w:val="TableParagraph"/>
              <w:tabs>
                <w:tab w:pos="4647" w:val="left" w:leader="none"/>
              </w:tabs>
              <w:spacing w:line="240" w:lineRule="auto" w:before="21"/>
              <w:ind w:left="24"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z w:val="18"/>
                <w:szCs w:val="18"/>
                <w:shd w:fill="D2D2D2" w:color="auto" w:val="clear"/>
              </w:rPr>
              <w:t> </w:t>
            </w:r>
            <w:r>
              <w:rPr>
                <w:rFonts w:ascii="Times New Roman" w:hAnsi="Times New Roman" w:cs="Times New Roman" w:eastAsia="Times New Roman" w:hint="default"/>
                <w:b/>
                <w:bCs/>
                <w:spacing w:val="1"/>
                <w:sz w:val="18"/>
                <w:szCs w:val="18"/>
                <w:shd w:fill="D2D2D2" w:color="auto" w:val="clear"/>
              </w:rPr>
              <w:t> </w:t>
            </w:r>
            <w:r>
              <w:rPr>
                <w:rFonts w:ascii="宋体" w:hAnsi="宋体" w:cs="宋体" w:eastAsia="宋体" w:hint="default"/>
                <w:b/>
                <w:bCs/>
                <w:sz w:val="18"/>
                <w:szCs w:val="18"/>
                <w:shd w:fill="D2D2D2" w:color="auto" w:val="clear"/>
              </w:rPr>
              <w:t>四、利润总额（亏损总额以“－”号填列）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7"/>
              <w:jc w:val="right"/>
              <w:rPr>
                <w:rFonts w:ascii="宋体" w:hAnsi="宋体" w:cs="宋体" w:eastAsia="宋体" w:hint="default"/>
                <w:sz w:val="18"/>
                <w:szCs w:val="18"/>
              </w:rPr>
            </w:pPr>
            <w:r>
              <w:rPr>
                <w:rFonts w:ascii="宋体"/>
                <w:b/>
                <w:w w:val="95"/>
                <w:sz w:val="18"/>
              </w:rPr>
              <w:t>-1,221,245,189.08</w:t>
            </w:r>
            <w:r>
              <w:rPr>
                <w:rFonts w:ascii="宋体"/>
                <w:sz w:val="18"/>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b/>
                <w:w w:val="95"/>
                <w:sz w:val="18"/>
              </w:rPr>
              <w:t>294,889,837.26</w:t>
            </w:r>
            <w:r>
              <w:rPr>
                <w:rFonts w:ascii="宋体"/>
                <w:sz w:val="18"/>
              </w:rPr>
            </w:r>
          </w:p>
        </w:tc>
      </w:tr>
      <w:tr>
        <w:trPr>
          <w:trHeight w:val="338" w:hRule="exact"/>
        </w:trPr>
        <w:tc>
          <w:tcPr>
            <w:tcW w:w="4679" w:type="dxa"/>
            <w:tcBorders>
              <w:top w:val="single" w:sz="11" w:space="0" w:color="000000"/>
              <w:left w:val="single" w:sz="4" w:space="0" w:color="000000"/>
              <w:bottom w:val="single" w:sz="11" w:space="0" w:color="000000"/>
              <w:right w:val="single" w:sz="4" w:space="0" w:color="000000"/>
            </w:tcBorders>
          </w:tcPr>
          <w:p>
            <w:pPr>
              <w:pStyle w:val="TableParagraph"/>
              <w:tabs>
                <w:tab w:pos="386" w:val="left" w:leader="none"/>
                <w:tab w:pos="4647" w:val="left" w:leader="none"/>
              </w:tabs>
              <w:spacing w:line="240" w:lineRule="auto" w:before="1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减：所得税费用</w:t>
            </w:r>
            <w:r>
              <w:rPr>
                <w:rFonts w:ascii="宋体" w:hAnsi="宋体" w:cs="宋体" w:eastAsia="宋体" w:hint="default"/>
                <w:spacing w:val="-2"/>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23" w:right="-17"/>
              <w:jc w:val="center"/>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四</w:t>
            </w:r>
            <w:r>
              <w:rPr>
                <w:rFonts w:ascii="宋体" w:hAnsi="宋体" w:cs="宋体" w:eastAsia="宋体" w:hint="default"/>
                <w:w w:val="100"/>
                <w:sz w:val="15"/>
                <w:szCs w:val="15"/>
              </w:rPr>
              <w:t>十</w:t>
            </w:r>
            <w:r>
              <w:rPr>
                <w:rFonts w:ascii="宋体" w:hAnsi="宋体" w:cs="宋体" w:eastAsia="宋体" w:hint="default"/>
                <w:spacing w:val="-3"/>
                <w:w w:val="100"/>
                <w:sz w:val="15"/>
                <w:szCs w:val="15"/>
              </w:rPr>
              <w:t>六</w:t>
            </w:r>
            <w:r>
              <w:rPr>
                <w:rFonts w:ascii="宋体" w:hAnsi="宋体" w:cs="宋体" w:eastAsia="宋体" w:hint="default"/>
                <w:w w:val="100"/>
                <w:sz w:val="15"/>
                <w:szCs w:val="15"/>
              </w:rPr>
              <w:t>）</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7"/>
              <w:jc w:val="right"/>
              <w:rPr>
                <w:rFonts w:ascii="宋体" w:hAnsi="宋体" w:cs="宋体" w:eastAsia="宋体" w:hint="default"/>
                <w:sz w:val="18"/>
                <w:szCs w:val="18"/>
              </w:rPr>
            </w:pPr>
            <w:r>
              <w:rPr>
                <w:rFonts w:ascii="宋体"/>
                <w:spacing w:val="-1"/>
                <w:sz w:val="18"/>
              </w:rPr>
              <w:t>18,923,598.85</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spacing w:val="-1"/>
                <w:sz w:val="18"/>
              </w:rPr>
              <w:t>42,006,310.05</w:t>
            </w:r>
          </w:p>
        </w:tc>
      </w:tr>
      <w:tr>
        <w:trPr>
          <w:trHeight w:val="341" w:hRule="exact"/>
        </w:trPr>
        <w:tc>
          <w:tcPr>
            <w:tcW w:w="4679" w:type="dxa"/>
            <w:tcBorders>
              <w:top w:val="single" w:sz="11" w:space="0" w:color="000000"/>
              <w:left w:val="single" w:sz="4" w:space="0" w:color="000000"/>
              <w:bottom w:val="single" w:sz="4" w:space="0" w:color="000000"/>
              <w:right w:val="single" w:sz="4" w:space="0" w:color="000000"/>
            </w:tcBorders>
          </w:tcPr>
          <w:p>
            <w:pPr>
              <w:pStyle w:val="TableParagraph"/>
              <w:tabs>
                <w:tab w:pos="4647" w:val="left" w:leader="none"/>
              </w:tabs>
              <w:spacing w:line="240" w:lineRule="auto" w:before="13"/>
              <w:ind w:left="24"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z w:val="18"/>
                <w:szCs w:val="18"/>
                <w:shd w:fill="D2D2D2" w:color="auto" w:val="clear"/>
              </w:rPr>
              <w:t> </w:t>
            </w:r>
            <w:r>
              <w:rPr>
                <w:rFonts w:ascii="Times New Roman" w:hAnsi="Times New Roman" w:cs="Times New Roman" w:eastAsia="Times New Roman" w:hint="default"/>
                <w:b/>
                <w:bCs/>
                <w:spacing w:val="1"/>
                <w:sz w:val="18"/>
                <w:szCs w:val="18"/>
                <w:shd w:fill="D2D2D2" w:color="auto" w:val="clear"/>
              </w:rPr>
              <w:t> </w:t>
            </w:r>
            <w:r>
              <w:rPr>
                <w:rFonts w:ascii="宋体" w:hAnsi="宋体" w:cs="宋体" w:eastAsia="宋体" w:hint="default"/>
                <w:b/>
                <w:bCs/>
                <w:sz w:val="18"/>
                <w:szCs w:val="18"/>
                <w:shd w:fill="D2D2D2" w:color="auto" w:val="clear"/>
              </w:rPr>
              <w:t>五、净利润（净亏损以“－”号填列）</w:t>
            </w:r>
            <w:r>
              <w:rPr>
                <w:rFonts w:ascii="宋体" w:hAnsi="宋体" w:cs="宋体" w:eastAsia="宋体" w:hint="default"/>
                <w:b/>
                <w:bCs/>
                <w:spacing w:val="2"/>
                <w:sz w:val="18"/>
                <w:szCs w:val="18"/>
                <w:shd w:fill="D2D2D2" w:color="auto" w:val="clear"/>
              </w:rPr>
              <w:t>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7"/>
              <w:jc w:val="right"/>
              <w:rPr>
                <w:rFonts w:ascii="宋体" w:hAnsi="宋体" w:cs="宋体" w:eastAsia="宋体" w:hint="default"/>
                <w:sz w:val="18"/>
                <w:szCs w:val="18"/>
              </w:rPr>
            </w:pPr>
            <w:r>
              <w:rPr>
                <w:rFonts w:ascii="宋体"/>
                <w:b/>
                <w:w w:val="95"/>
                <w:sz w:val="18"/>
              </w:rPr>
              <w:t>-1,240,168,787.93</w:t>
            </w:r>
            <w:r>
              <w:rPr>
                <w:rFonts w:ascii="宋体"/>
                <w:sz w:val="18"/>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b/>
                <w:w w:val="95"/>
                <w:sz w:val="18"/>
              </w:rPr>
              <w:t>252,883,527.21</w:t>
            </w:r>
            <w:r>
              <w:rPr>
                <w:rFonts w:ascii="宋体"/>
                <w:sz w:val="18"/>
              </w:rPr>
            </w:r>
          </w:p>
        </w:tc>
      </w:tr>
      <w:tr>
        <w:trPr>
          <w:trHeight w:val="336" w:hRule="exact"/>
        </w:trPr>
        <w:tc>
          <w:tcPr>
            <w:tcW w:w="4679" w:type="dxa"/>
            <w:tcBorders>
              <w:top w:val="single" w:sz="4" w:space="0" w:color="000000"/>
              <w:left w:val="single" w:sz="4" w:space="0" w:color="000000"/>
              <w:bottom w:val="single" w:sz="4" w:space="0" w:color="000000"/>
              <w:right w:val="single" w:sz="4" w:space="0" w:color="000000"/>
            </w:tcBorders>
          </w:tcPr>
          <w:p>
            <w:pPr>
              <w:pStyle w:val="TableParagraph"/>
              <w:tabs>
                <w:tab w:pos="4647" w:val="left" w:leader="none"/>
              </w:tabs>
              <w:spacing w:line="240" w:lineRule="auto" w:before="21"/>
              <w:ind w:left="24" w:right="0"/>
              <w:jc w:val="left"/>
              <w:rPr>
                <w:rFonts w:ascii="宋体" w:hAnsi="宋体" w:cs="宋体" w:eastAsia="宋体" w:hint="default"/>
                <w:sz w:val="18"/>
                <w:szCs w:val="18"/>
              </w:rPr>
            </w:pPr>
            <w:r>
              <w:rPr>
                <w:rFonts w:ascii="宋体" w:hAnsi="宋体" w:cs="宋体" w:eastAsia="宋体" w:hint="default"/>
                <w:b/>
                <w:bCs/>
                <w:w w:val="99"/>
                <w:sz w:val="18"/>
                <w:szCs w:val="18"/>
              </w:rPr>
            </w:r>
            <w:r>
              <w:rPr>
                <w:rFonts w:ascii="宋体" w:hAnsi="宋体" w:cs="宋体" w:eastAsia="宋体" w:hint="default"/>
                <w:b/>
                <w:bCs/>
                <w:sz w:val="18"/>
                <w:szCs w:val="18"/>
                <w:shd w:fill="D2D2D2" w:color="auto" w:val="clear"/>
              </w:rPr>
              <w:t>（一）按经营持续性分类</w:t>
            </w:r>
            <w:r>
              <w:rPr>
                <w:rFonts w:ascii="宋体" w:hAnsi="宋体" w:cs="宋体" w:eastAsia="宋体" w:hint="default"/>
                <w:b/>
                <w:bCs/>
                <w:spacing w:val="1"/>
                <w:sz w:val="18"/>
                <w:szCs w:val="18"/>
                <w:shd w:fill="D2D2D2" w:color="auto" w:val="clear"/>
              </w:rPr>
              <w:t>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580" w:bottom="700" w:left="980" w:right="0"/>
        </w:sectPr>
      </w:pPr>
    </w:p>
    <w:p>
      <w:pPr>
        <w:spacing w:line="240" w:lineRule="auto" w:before="8"/>
        <w:rPr>
          <w:rFonts w:ascii="宋体" w:hAnsi="宋体" w:cs="宋体" w:eastAsia="宋体" w:hint="default"/>
          <w:sz w:val="21"/>
          <w:szCs w:val="21"/>
        </w:rPr>
      </w:pPr>
    </w:p>
    <w:tbl>
      <w:tblPr>
        <w:tblW w:w="0" w:type="auto"/>
        <w:jc w:val="left"/>
        <w:tblInd w:w="149" w:type="dxa"/>
        <w:tblLayout w:type="fixed"/>
        <w:tblCellMar>
          <w:top w:w="0" w:type="dxa"/>
          <w:left w:w="0" w:type="dxa"/>
          <w:bottom w:w="0" w:type="dxa"/>
          <w:right w:w="0" w:type="dxa"/>
        </w:tblCellMar>
        <w:tblLook w:val="01E0"/>
      </w:tblPr>
      <w:tblGrid>
        <w:gridCol w:w="4677"/>
        <w:gridCol w:w="994"/>
        <w:gridCol w:w="1841"/>
        <w:gridCol w:w="1702"/>
      </w:tblGrid>
      <w:tr>
        <w:trPr>
          <w:trHeight w:val="336" w:hRule="exact"/>
        </w:trPr>
        <w:tc>
          <w:tcPr>
            <w:tcW w:w="4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7"/>
              <w:ind w:left="38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持续经营净利润（净亏损以“－”号填列）</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7"/>
              <w:jc w:val="right"/>
              <w:rPr>
                <w:rFonts w:ascii="宋体" w:hAnsi="宋体" w:cs="宋体" w:eastAsia="宋体" w:hint="default"/>
                <w:sz w:val="18"/>
                <w:szCs w:val="18"/>
              </w:rPr>
            </w:pPr>
            <w:r>
              <w:rPr>
                <w:rFonts w:ascii="宋体"/>
                <w:spacing w:val="-1"/>
                <w:sz w:val="18"/>
              </w:rPr>
              <w:t>-1,240,168,787.93</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20"/>
              <w:jc w:val="right"/>
              <w:rPr>
                <w:rFonts w:ascii="宋体" w:hAnsi="宋体" w:cs="宋体" w:eastAsia="宋体" w:hint="default"/>
                <w:sz w:val="18"/>
                <w:szCs w:val="18"/>
              </w:rPr>
            </w:pPr>
            <w:r>
              <w:rPr>
                <w:rFonts w:ascii="宋体"/>
                <w:spacing w:val="-1"/>
                <w:sz w:val="18"/>
              </w:rPr>
              <w:t>252,883,527.21</w:t>
            </w:r>
          </w:p>
        </w:tc>
      </w:tr>
      <w:tr>
        <w:trPr>
          <w:trHeight w:val="339" w:hRule="exact"/>
        </w:trPr>
        <w:tc>
          <w:tcPr>
            <w:tcW w:w="4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0"/>
              <w:ind w:left="38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终止经营净利润（净亏损以“－”号填列）</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2" w:right="0"/>
              <w:jc w:val="left"/>
              <w:rPr>
                <w:rFonts w:ascii="宋体" w:hAnsi="宋体" w:cs="宋体" w:eastAsia="宋体" w:hint="default"/>
                <w:sz w:val="18"/>
                <w:szCs w:val="18"/>
              </w:rPr>
            </w:pPr>
            <w:r>
              <w:rPr>
                <w:rFonts w:ascii="宋体" w:hAnsi="宋体" w:cs="宋体" w:eastAsia="宋体" w:hint="default"/>
                <w:b/>
                <w:bCs/>
                <w:sz w:val="18"/>
                <w:szCs w:val="18"/>
              </w:rPr>
              <w:t>（二）按所有权归属分类</w:t>
            </w:r>
            <w:r>
              <w:rPr>
                <w:rFonts w:ascii="宋体" w:hAnsi="宋体" w:cs="宋体" w:eastAsia="宋体" w:hint="default"/>
                <w:b/>
                <w:bCs/>
                <w:spacing w:val="1"/>
                <w:sz w:val="18"/>
                <w:szCs w:val="18"/>
              </w:rPr>
              <w:t> </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593" w:hRule="exact"/>
        </w:trPr>
        <w:tc>
          <w:tcPr>
            <w:tcW w:w="4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47"/>
              <w:ind w:left="29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归属于母公司股东的净利润（净亏损以“－”</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583" w:lineRule="exact"/>
              <w:ind w:left="2" w:right="-51"/>
              <w:jc w:val="left"/>
              <w:rPr>
                <w:rFonts w:ascii="宋体" w:hAnsi="宋体" w:cs="宋体" w:eastAsia="宋体" w:hint="default"/>
                <w:sz w:val="20"/>
                <w:szCs w:val="20"/>
              </w:rPr>
            </w:pPr>
            <w:r>
              <w:rPr>
                <w:rFonts w:ascii="宋体" w:hAnsi="宋体" w:cs="宋体" w:eastAsia="宋体" w:hint="default"/>
                <w:position w:val="-11"/>
                <w:sz w:val="20"/>
                <w:szCs w:val="20"/>
              </w:rPr>
              <w:pict>
                <v:group style="width:49.15pt;height:29.2pt;mso-position-horizontal-relative:char;mso-position-vertical-relative:line" coordorigin="0,0" coordsize="983,584">
                  <v:group style="position:absolute;left:0;top:0;width:983;height:584" coordorigin="0,0" coordsize="983,584">
                    <v:shape style="position:absolute;left:0;top:0;width:983;height:584" coordorigin="0,0" coordsize="983,584" path="m0,583l982,583,982,0,0,0,0,583xe" filled="true" fillcolor="#ffffff" stroked="false">
                      <v:path arrowok="t"/>
                      <v:fill type="solid"/>
                    </v:shape>
                  </v:group>
                  <v:group style="position:absolute;left:22;top:154;width:937;height:276" coordorigin="22,154" coordsize="937,276">
                    <v:shape style="position:absolute;left:22;top:154;width:937;height:276" coordorigin="22,154" coordsize="937,276" path="m22,430l958,430,958,154,22,154,22,430xe" filled="true" fillcolor="#ffffff" stroked="false">
                      <v:path arrowok="t"/>
                      <v:fill type="solid"/>
                    </v:shape>
                  </v:group>
                </v:group>
              </w:pict>
            </w:r>
            <w:r>
              <w:rPr>
                <w:rFonts w:ascii="宋体" w:hAnsi="宋体" w:cs="宋体" w:eastAsia="宋体" w:hint="default"/>
                <w:position w:val="-11"/>
                <w:sz w:val="20"/>
                <w:szCs w:val="20"/>
              </w:rPr>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17"/>
              <w:jc w:val="right"/>
              <w:rPr>
                <w:rFonts w:ascii="宋体" w:hAnsi="宋体" w:cs="宋体" w:eastAsia="宋体" w:hint="default"/>
                <w:sz w:val="18"/>
                <w:szCs w:val="18"/>
              </w:rPr>
            </w:pPr>
            <w:r>
              <w:rPr>
                <w:rFonts w:ascii="宋体"/>
                <w:spacing w:val="-1"/>
                <w:sz w:val="18"/>
              </w:rPr>
              <w:t>-1,240,168,787.93</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7"/>
              <w:ind w:right="20"/>
              <w:jc w:val="right"/>
              <w:rPr>
                <w:rFonts w:ascii="宋体" w:hAnsi="宋体" w:cs="宋体" w:eastAsia="宋体" w:hint="default"/>
                <w:sz w:val="18"/>
                <w:szCs w:val="18"/>
              </w:rPr>
            </w:pPr>
            <w:r>
              <w:rPr>
                <w:rFonts w:ascii="宋体"/>
                <w:spacing w:val="-1"/>
                <w:sz w:val="18"/>
              </w:rPr>
              <w:t>252,883,527.21</w:t>
            </w:r>
          </w:p>
        </w:tc>
      </w:tr>
      <w:tr>
        <w:trPr>
          <w:trHeight w:val="338" w:hRule="exact"/>
        </w:trPr>
        <w:tc>
          <w:tcPr>
            <w:tcW w:w="4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0"/>
              <w:ind w:left="38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少数股东损益（净亏损以“－”号填列）</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353" w:hRule="exact"/>
        </w:trPr>
        <w:tc>
          <w:tcPr>
            <w:tcW w:w="4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114" w:right="0"/>
              <w:jc w:val="left"/>
              <w:rPr>
                <w:rFonts w:ascii="宋体" w:hAnsi="宋体" w:cs="宋体" w:eastAsia="宋体" w:hint="default"/>
                <w:sz w:val="18"/>
                <w:szCs w:val="18"/>
              </w:rPr>
            </w:pPr>
            <w:r>
              <w:rPr>
                <w:rFonts w:ascii="宋体" w:hAnsi="宋体" w:cs="宋体" w:eastAsia="宋体" w:hint="default"/>
                <w:b/>
                <w:bCs/>
                <w:sz w:val="18"/>
                <w:szCs w:val="18"/>
              </w:rPr>
              <w:t>六、其他综合收益的税后净额</w:t>
            </w:r>
            <w:r>
              <w:rPr>
                <w:rFonts w:ascii="宋体" w:hAnsi="宋体" w:cs="宋体" w:eastAsia="宋体" w:hint="default"/>
                <w:b/>
                <w:bCs/>
                <w:spacing w:val="1"/>
                <w:sz w:val="18"/>
                <w:szCs w:val="18"/>
              </w:rPr>
              <w:t> </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350" w:hRule="exact"/>
        </w:trPr>
        <w:tc>
          <w:tcPr>
            <w:tcW w:w="4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5"/>
              <w:ind w:left="22" w:right="0"/>
              <w:jc w:val="left"/>
              <w:rPr>
                <w:rFonts w:ascii="宋体" w:hAnsi="宋体" w:cs="宋体" w:eastAsia="宋体" w:hint="default"/>
                <w:sz w:val="18"/>
                <w:szCs w:val="18"/>
              </w:rPr>
            </w:pPr>
            <w:r>
              <w:rPr>
                <w:rFonts w:ascii="宋体" w:hAnsi="宋体" w:cs="宋体" w:eastAsia="宋体" w:hint="default"/>
                <w:b/>
                <w:bCs/>
                <w:sz w:val="18"/>
                <w:szCs w:val="18"/>
              </w:rPr>
              <w:t>（一）归属母公司所有者的其他综合收益的税后净额</w:t>
            </w:r>
            <w:r>
              <w:rPr>
                <w:rFonts w:ascii="宋体" w:hAnsi="宋体" w:cs="宋体" w:eastAsia="宋体" w:hint="default"/>
                <w:b/>
                <w:bCs/>
                <w:spacing w:val="3"/>
                <w:sz w:val="18"/>
                <w:szCs w:val="18"/>
              </w:rPr>
              <w:t> </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348" w:hRule="exact"/>
        </w:trPr>
        <w:tc>
          <w:tcPr>
            <w:tcW w:w="4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9"/>
              <w:ind w:left="205"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1.</w:t>
            </w:r>
            <w:r>
              <w:rPr>
                <w:rFonts w:ascii="宋体" w:hAnsi="宋体" w:cs="宋体" w:eastAsia="宋体" w:hint="default"/>
                <w:b/>
                <w:bCs/>
                <w:sz w:val="18"/>
                <w:szCs w:val="18"/>
              </w:rPr>
              <w:t>不能重分类进损益的其他综合收益</w:t>
            </w:r>
            <w:r>
              <w:rPr>
                <w:rFonts w:ascii="宋体" w:hAnsi="宋体" w:cs="宋体" w:eastAsia="宋体" w:hint="default"/>
                <w:b/>
                <w:bCs/>
                <w:spacing w:val="1"/>
                <w:sz w:val="18"/>
                <w:szCs w:val="18"/>
              </w:rPr>
              <w:t> </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0"/>
              <w:ind w:left="296"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）重新计量设定受益计划变动额</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430" w:hRule="exact"/>
        </w:trPr>
        <w:tc>
          <w:tcPr>
            <w:tcW w:w="4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5"/>
              <w:ind w:left="296"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）权益法下不能转损益的其他综合收益</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96"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）其他权益工具投资公允价值变动</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339" w:hRule="exact"/>
        </w:trPr>
        <w:tc>
          <w:tcPr>
            <w:tcW w:w="4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0"/>
              <w:ind w:left="296"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）企业自身信用风险公允价值变动</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05"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t>2.</w:t>
            </w:r>
            <w:r>
              <w:rPr>
                <w:rFonts w:ascii="宋体" w:hAnsi="宋体" w:cs="宋体" w:eastAsia="宋体" w:hint="default"/>
                <w:b/>
                <w:bCs/>
                <w:sz w:val="18"/>
                <w:szCs w:val="18"/>
              </w:rPr>
              <w:t>将重分类进损益的其他综合收益</w:t>
            </w:r>
            <w:r>
              <w:rPr>
                <w:rFonts w:ascii="宋体" w:hAnsi="宋体" w:cs="宋体" w:eastAsia="宋体" w:hint="default"/>
                <w:b/>
                <w:bCs/>
                <w:spacing w:val="1"/>
                <w:sz w:val="18"/>
                <w:szCs w:val="18"/>
              </w:rPr>
              <w:t> </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96"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）权益法下可转损益的其他综合收益</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4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0"/>
              <w:ind w:left="296"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）其他债权投资公允价值变动</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96"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）可供出售金融资产公允价值变动损益</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480" w:hRule="exact"/>
        </w:trPr>
        <w:tc>
          <w:tcPr>
            <w:tcW w:w="4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left="296"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）金融资产重分类计入其他综合收益的金额</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571" w:hRule="exact"/>
        </w:trPr>
        <w:tc>
          <w:tcPr>
            <w:tcW w:w="4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7"/>
              <w:ind w:left="296" w:right="-38"/>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z w:val="18"/>
                <w:szCs w:val="18"/>
              </w:rPr>
              <w:t>）持有至到期投资重分类为可供出售金融资产损益</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561" w:lineRule="exact"/>
              <w:ind w:left="2" w:right="-51"/>
              <w:jc w:val="left"/>
              <w:rPr>
                <w:rFonts w:ascii="宋体" w:hAnsi="宋体" w:cs="宋体" w:eastAsia="宋体" w:hint="default"/>
                <w:sz w:val="20"/>
                <w:szCs w:val="20"/>
              </w:rPr>
            </w:pPr>
            <w:r>
              <w:rPr>
                <w:rFonts w:ascii="宋体" w:hAnsi="宋体" w:cs="宋体" w:eastAsia="宋体" w:hint="default"/>
                <w:position w:val="-10"/>
                <w:sz w:val="20"/>
                <w:szCs w:val="20"/>
              </w:rPr>
              <w:pict>
                <v:group style="width:49.15pt;height:28.1pt;mso-position-horizontal-relative:char;mso-position-vertical-relative:line" coordorigin="0,0" coordsize="983,562">
                  <v:group style="position:absolute;left:0;top:0;width:983;height:562" coordorigin="0,0" coordsize="983,562">
                    <v:shape style="position:absolute;left:0;top:0;width:983;height:562" coordorigin="0,0" coordsize="983,562" path="m0,562l982,562,982,0,0,0,0,562xe" filled="true" fillcolor="#ffffff" stroked="false">
                      <v:path arrowok="t"/>
                      <v:fill type="solid"/>
                    </v:shape>
                  </v:group>
                  <v:group style="position:absolute;left:22;top:144;width:937;height:276" coordorigin="22,144" coordsize="937,276">
                    <v:shape style="position:absolute;left:22;top:144;width:937;height:276" coordorigin="22,144" coordsize="937,276" path="m22,420l958,420,958,144,22,144,22,420xe" filled="true" fillcolor="#ffffff" stroked="false">
                      <v:path arrowok="t"/>
                      <v:fill type="solid"/>
                    </v:shape>
                  </v:group>
                </v:group>
              </w:pict>
            </w:r>
            <w:r>
              <w:rPr>
                <w:rFonts w:ascii="宋体" w:hAnsi="宋体" w:cs="宋体" w:eastAsia="宋体" w:hint="default"/>
                <w:position w:val="-10"/>
                <w:sz w:val="20"/>
                <w:szCs w:val="20"/>
              </w:rPr>
            </w:r>
          </w:p>
        </w:tc>
        <w:tc>
          <w:tcPr>
            <w:tcW w:w="184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96"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6</w:t>
            </w:r>
            <w:r>
              <w:rPr>
                <w:rFonts w:ascii="宋体" w:hAnsi="宋体" w:cs="宋体" w:eastAsia="宋体" w:hint="default"/>
                <w:sz w:val="18"/>
                <w:szCs w:val="18"/>
              </w:rPr>
              <w:t>）其他债权投资信用减值准备</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502" w:hRule="exact"/>
        </w:trPr>
        <w:tc>
          <w:tcPr>
            <w:tcW w:w="4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1"/>
              <w:ind w:left="296" w:right="0"/>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1"/>
                <w:sz w:val="18"/>
                <w:szCs w:val="18"/>
              </w:rPr>
              <w:t>7</w:t>
            </w:r>
            <w:r>
              <w:rPr>
                <w:rFonts w:ascii="宋体" w:hAnsi="宋体" w:cs="宋体" w:eastAsia="宋体" w:hint="default"/>
                <w:spacing w:val="-75"/>
                <w:sz w:val="18"/>
                <w:szCs w:val="18"/>
              </w:rPr>
              <w:t>）</w:t>
            </w:r>
            <w:r>
              <w:rPr>
                <w:rFonts w:ascii="宋体" w:hAnsi="宋体" w:cs="宋体" w:eastAsia="宋体" w:hint="default"/>
                <w:sz w:val="18"/>
                <w:szCs w:val="18"/>
              </w:rPr>
              <w:t>现金流量套期储</w:t>
            </w:r>
            <w:r>
              <w:rPr>
                <w:rFonts w:ascii="宋体" w:hAnsi="宋体" w:cs="宋体" w:eastAsia="宋体" w:hint="default"/>
                <w:spacing w:val="-75"/>
                <w:sz w:val="18"/>
                <w:szCs w:val="18"/>
              </w:rPr>
              <w:t>备</w:t>
            </w:r>
            <w:r>
              <w:rPr>
                <w:rFonts w:ascii="宋体" w:hAnsi="宋体" w:cs="宋体" w:eastAsia="宋体" w:hint="default"/>
                <w:sz w:val="18"/>
                <w:szCs w:val="18"/>
              </w:rPr>
              <w:t>（现</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492" w:lineRule="exact"/>
              <w:ind w:left="2" w:right="-51"/>
              <w:jc w:val="left"/>
              <w:rPr>
                <w:rFonts w:ascii="宋体" w:hAnsi="宋体" w:cs="宋体" w:eastAsia="宋体" w:hint="default"/>
                <w:sz w:val="20"/>
                <w:szCs w:val="20"/>
              </w:rPr>
            </w:pPr>
            <w:r>
              <w:rPr>
                <w:rFonts w:ascii="宋体" w:hAnsi="宋体" w:cs="宋体" w:eastAsia="宋体" w:hint="default"/>
                <w:position w:val="-9"/>
                <w:sz w:val="20"/>
                <w:szCs w:val="20"/>
              </w:rPr>
              <w:pict>
                <v:group style="width:49.15pt;height:24.6pt;mso-position-horizontal-relative:char;mso-position-vertical-relative:line" coordorigin="0,0" coordsize="983,492">
                  <v:group style="position:absolute;left:0;top:0;width:983;height:492" coordorigin="0,0" coordsize="983,492">
                    <v:shape style="position:absolute;left:0;top:0;width:983;height:492" coordorigin="0,0" coordsize="983,492" path="m0,492l982,492,982,0,0,0,0,492xe" filled="true" fillcolor="#ffffff" stroked="false">
                      <v:path arrowok="t"/>
                      <v:fill type="solid"/>
                    </v:shape>
                  </v:group>
                  <v:group style="position:absolute;left:22;top:108;width:937;height:276" coordorigin="22,108" coordsize="937,276">
                    <v:shape style="position:absolute;left:22;top:108;width:937;height:276" coordorigin="22,108" coordsize="937,276" path="m22,384l958,384,958,108,22,108,22,384xe" filled="true" fillcolor="#ffffff" stroked="false">
                      <v:path arrowok="t"/>
                      <v:fill type="solid"/>
                    </v:shape>
                  </v:group>
                </v:group>
              </w:pict>
            </w:r>
            <w:r>
              <w:rPr>
                <w:rFonts w:ascii="宋体" w:hAnsi="宋体" w:cs="宋体" w:eastAsia="宋体" w:hint="default"/>
                <w:position w:val="-9"/>
                <w:sz w:val="20"/>
                <w:szCs w:val="20"/>
              </w:rPr>
            </w:r>
          </w:p>
        </w:tc>
        <w:tc>
          <w:tcPr>
            <w:tcW w:w="184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0"/>
              <w:ind w:left="296"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8</w:t>
            </w:r>
            <w:r>
              <w:rPr>
                <w:rFonts w:ascii="宋体" w:hAnsi="宋体" w:cs="宋体" w:eastAsia="宋体" w:hint="default"/>
                <w:sz w:val="18"/>
                <w:szCs w:val="18"/>
              </w:rPr>
              <w:t>）外币财务报表折算差额</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4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0"/>
              <w:ind w:left="296"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9</w:t>
            </w:r>
            <w:r>
              <w:rPr>
                <w:rFonts w:ascii="宋体" w:hAnsi="宋体" w:cs="宋体" w:eastAsia="宋体" w:hint="default"/>
                <w:sz w:val="18"/>
                <w:szCs w:val="18"/>
              </w:rPr>
              <w:t>）其他</w:t>
            </w:r>
            <w:r>
              <w:rPr>
                <w:rFonts w:ascii="宋体" w:hAnsi="宋体" w:cs="宋体" w:eastAsia="宋体" w:hint="default"/>
                <w:spacing w:val="-2"/>
                <w:sz w:val="18"/>
                <w:szCs w:val="18"/>
              </w:rPr>
              <w:t> </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362" w:hRule="exact"/>
        </w:trPr>
        <w:tc>
          <w:tcPr>
            <w:tcW w:w="4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2"/>
              <w:ind w:left="22" w:right="0"/>
              <w:jc w:val="left"/>
              <w:rPr>
                <w:rFonts w:ascii="宋体" w:hAnsi="宋体" w:cs="宋体" w:eastAsia="宋体" w:hint="default"/>
                <w:sz w:val="18"/>
                <w:szCs w:val="18"/>
              </w:rPr>
            </w:pPr>
            <w:r>
              <w:rPr>
                <w:rFonts w:ascii="宋体" w:hAnsi="宋体" w:cs="宋体" w:eastAsia="宋体" w:hint="default"/>
                <w:b/>
                <w:bCs/>
                <w:sz w:val="18"/>
                <w:szCs w:val="18"/>
              </w:rPr>
              <w:t>（二）归属于少数股东的其他综合收益的税后净额 </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4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0"/>
              <w:ind w:left="114" w:right="0"/>
              <w:jc w:val="left"/>
              <w:rPr>
                <w:rFonts w:ascii="宋体" w:hAnsi="宋体" w:cs="宋体" w:eastAsia="宋体" w:hint="default"/>
                <w:sz w:val="18"/>
                <w:szCs w:val="18"/>
              </w:rPr>
            </w:pPr>
            <w:r>
              <w:rPr>
                <w:rFonts w:ascii="宋体" w:hAnsi="宋体" w:cs="宋体" w:eastAsia="宋体" w:hint="default"/>
                <w:b/>
                <w:bCs/>
                <w:sz w:val="18"/>
                <w:szCs w:val="18"/>
              </w:rPr>
              <w:t>七、综合收益总额</w:t>
            </w:r>
            <w:r>
              <w:rPr>
                <w:rFonts w:ascii="宋体" w:hAnsi="宋体" w:cs="宋体" w:eastAsia="宋体" w:hint="default"/>
                <w:b/>
                <w:bCs/>
                <w:spacing w:val="1"/>
                <w:sz w:val="18"/>
                <w:szCs w:val="18"/>
              </w:rPr>
              <w:t> </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7"/>
              <w:jc w:val="right"/>
              <w:rPr>
                <w:rFonts w:ascii="宋体" w:hAnsi="宋体" w:cs="宋体" w:eastAsia="宋体" w:hint="default"/>
                <w:sz w:val="18"/>
                <w:szCs w:val="18"/>
              </w:rPr>
            </w:pPr>
            <w:r>
              <w:rPr>
                <w:rFonts w:ascii="宋体"/>
                <w:b/>
                <w:w w:val="95"/>
                <w:sz w:val="18"/>
              </w:rPr>
              <w:t>-1,240,168,787.93</w:t>
            </w:r>
            <w:r>
              <w:rPr>
                <w:rFonts w:ascii="宋体"/>
                <w:sz w:val="18"/>
              </w:rPr>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20"/>
              <w:jc w:val="right"/>
              <w:rPr>
                <w:rFonts w:ascii="宋体" w:hAnsi="宋体" w:cs="宋体" w:eastAsia="宋体" w:hint="default"/>
                <w:sz w:val="18"/>
                <w:szCs w:val="18"/>
              </w:rPr>
            </w:pPr>
            <w:r>
              <w:rPr>
                <w:rFonts w:ascii="宋体"/>
                <w:b/>
                <w:w w:val="95"/>
                <w:sz w:val="18"/>
              </w:rPr>
              <w:t>252,883,527.21</w:t>
            </w:r>
            <w:r>
              <w:rPr>
                <w:rFonts w:ascii="宋体"/>
                <w:sz w:val="18"/>
              </w:rPr>
            </w:r>
          </w:p>
        </w:tc>
      </w:tr>
      <w:tr>
        <w:trPr>
          <w:trHeight w:val="341" w:hRule="exact"/>
        </w:trPr>
        <w:tc>
          <w:tcPr>
            <w:tcW w:w="4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96" w:right="0"/>
              <w:jc w:val="left"/>
              <w:rPr>
                <w:rFonts w:ascii="宋体" w:hAnsi="宋体" w:cs="宋体" w:eastAsia="宋体" w:hint="default"/>
                <w:sz w:val="18"/>
                <w:szCs w:val="18"/>
              </w:rPr>
            </w:pPr>
            <w:r>
              <w:rPr>
                <w:rFonts w:ascii="宋体" w:hAnsi="宋体" w:cs="宋体" w:eastAsia="宋体" w:hint="default"/>
                <w:sz w:val="18"/>
                <w:szCs w:val="18"/>
              </w:rPr>
              <w:t>（一）归属于母公司所有者的综合收益总额</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7"/>
              <w:jc w:val="right"/>
              <w:rPr>
                <w:rFonts w:ascii="宋体" w:hAnsi="宋体" w:cs="宋体" w:eastAsia="宋体" w:hint="default"/>
                <w:sz w:val="18"/>
                <w:szCs w:val="18"/>
              </w:rPr>
            </w:pPr>
            <w:r>
              <w:rPr>
                <w:rFonts w:ascii="宋体"/>
                <w:spacing w:val="-1"/>
                <w:sz w:val="18"/>
              </w:rPr>
              <w:t>-1,240,168,787.93</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20"/>
              <w:jc w:val="right"/>
              <w:rPr>
                <w:rFonts w:ascii="宋体" w:hAnsi="宋体" w:cs="宋体" w:eastAsia="宋体" w:hint="default"/>
                <w:sz w:val="18"/>
                <w:szCs w:val="18"/>
              </w:rPr>
            </w:pPr>
            <w:r>
              <w:rPr>
                <w:rFonts w:ascii="宋体"/>
                <w:spacing w:val="-1"/>
                <w:sz w:val="18"/>
              </w:rPr>
              <w:t>252,883,527.21</w:t>
            </w:r>
          </w:p>
        </w:tc>
      </w:tr>
      <w:tr>
        <w:trPr>
          <w:trHeight w:val="341" w:hRule="exact"/>
        </w:trPr>
        <w:tc>
          <w:tcPr>
            <w:tcW w:w="4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96" w:right="0"/>
              <w:jc w:val="left"/>
              <w:rPr>
                <w:rFonts w:ascii="宋体" w:hAnsi="宋体" w:cs="宋体" w:eastAsia="宋体" w:hint="default"/>
                <w:sz w:val="18"/>
                <w:szCs w:val="18"/>
              </w:rPr>
            </w:pPr>
            <w:r>
              <w:rPr>
                <w:rFonts w:ascii="宋体" w:hAnsi="宋体" w:cs="宋体" w:eastAsia="宋体" w:hint="default"/>
                <w:sz w:val="18"/>
                <w:szCs w:val="18"/>
              </w:rPr>
              <w:t>（二）归属于少数股东的综合收益总额</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4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0"/>
              <w:ind w:left="114" w:right="0"/>
              <w:jc w:val="left"/>
              <w:rPr>
                <w:rFonts w:ascii="宋体" w:hAnsi="宋体" w:cs="宋体" w:eastAsia="宋体" w:hint="default"/>
                <w:sz w:val="18"/>
                <w:szCs w:val="18"/>
              </w:rPr>
            </w:pPr>
            <w:r>
              <w:rPr>
                <w:rFonts w:ascii="宋体" w:hAnsi="宋体" w:cs="宋体" w:eastAsia="宋体" w:hint="default"/>
                <w:b/>
                <w:bCs/>
                <w:sz w:val="18"/>
                <w:szCs w:val="18"/>
              </w:rPr>
              <w:t>八、每股收益：</w:t>
            </w:r>
            <w:r>
              <w:rPr>
                <w:rFonts w:ascii="宋体" w:hAnsi="宋体" w:cs="宋体" w:eastAsia="宋体" w:hint="default"/>
                <w:b/>
                <w:bCs/>
                <w:spacing w:val="-2"/>
                <w:sz w:val="18"/>
                <w:szCs w:val="18"/>
              </w:rPr>
              <w:t> </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96" w:right="0"/>
              <w:jc w:val="left"/>
              <w:rPr>
                <w:rFonts w:ascii="宋体" w:hAnsi="宋体" w:cs="宋体" w:eastAsia="宋体" w:hint="default"/>
                <w:sz w:val="18"/>
                <w:szCs w:val="18"/>
              </w:rPr>
            </w:pPr>
            <w:r>
              <w:rPr>
                <w:rFonts w:ascii="宋体" w:hAnsi="宋体" w:cs="宋体" w:eastAsia="宋体" w:hint="default"/>
                <w:sz w:val="18"/>
                <w:szCs w:val="18"/>
              </w:rPr>
              <w:t>（一）基本每股收益</w:t>
            </w:r>
            <w:r>
              <w:rPr>
                <w:rFonts w:ascii="Times New Roman" w:hAnsi="Times New Roman" w:cs="Times New Roman" w:eastAsia="Times New Roman" w:hint="default"/>
                <w:sz w:val="18"/>
                <w:szCs w:val="18"/>
              </w:rPr>
              <w:t>(</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6"/>
              <w:jc w:val="right"/>
              <w:rPr>
                <w:rFonts w:ascii="宋体" w:hAnsi="宋体" w:cs="宋体" w:eastAsia="宋体" w:hint="default"/>
                <w:sz w:val="18"/>
                <w:szCs w:val="18"/>
              </w:rPr>
            </w:pPr>
            <w:r>
              <w:rPr>
                <w:rFonts w:ascii="宋体"/>
                <w:sz w:val="18"/>
              </w:rPr>
              <w:t>-1.8558</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8"/>
              <w:jc w:val="right"/>
              <w:rPr>
                <w:rFonts w:ascii="宋体" w:hAnsi="宋体" w:cs="宋体" w:eastAsia="宋体" w:hint="default"/>
                <w:sz w:val="18"/>
                <w:szCs w:val="18"/>
              </w:rPr>
            </w:pPr>
            <w:r>
              <w:rPr>
                <w:rFonts w:ascii="宋体"/>
                <w:spacing w:val="-1"/>
                <w:sz w:val="18"/>
              </w:rPr>
              <w:t>0.3991</w:t>
            </w:r>
          </w:p>
        </w:tc>
      </w:tr>
      <w:tr>
        <w:trPr>
          <w:trHeight w:val="341" w:hRule="exact"/>
        </w:trPr>
        <w:tc>
          <w:tcPr>
            <w:tcW w:w="46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96" w:right="0"/>
              <w:jc w:val="left"/>
              <w:rPr>
                <w:rFonts w:ascii="宋体" w:hAnsi="宋体" w:cs="宋体" w:eastAsia="宋体" w:hint="default"/>
                <w:sz w:val="18"/>
                <w:szCs w:val="18"/>
              </w:rPr>
            </w:pPr>
            <w:r>
              <w:rPr>
                <w:rFonts w:ascii="宋体" w:hAnsi="宋体" w:cs="宋体" w:eastAsia="宋体" w:hint="default"/>
                <w:sz w:val="18"/>
                <w:szCs w:val="18"/>
              </w:rPr>
              <w:t>（二）稀释每股收益</w:t>
            </w:r>
            <w:r>
              <w:rPr>
                <w:rFonts w:ascii="Times New Roman" w:hAnsi="Times New Roman" w:cs="Times New Roman" w:eastAsia="Times New Roman" w:hint="default"/>
                <w:sz w:val="18"/>
                <w:szCs w:val="18"/>
              </w:rPr>
              <w:t>(</w:t>
            </w: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6"/>
              <w:jc w:val="right"/>
              <w:rPr>
                <w:rFonts w:ascii="宋体" w:hAnsi="宋体" w:cs="宋体" w:eastAsia="宋体" w:hint="default"/>
                <w:sz w:val="18"/>
                <w:szCs w:val="18"/>
              </w:rPr>
            </w:pPr>
            <w:r>
              <w:rPr>
                <w:rFonts w:ascii="宋体"/>
                <w:sz w:val="18"/>
              </w:rPr>
              <w:t>-1.8558</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8"/>
              <w:jc w:val="right"/>
              <w:rPr>
                <w:rFonts w:ascii="宋体" w:hAnsi="宋体" w:cs="宋体" w:eastAsia="宋体" w:hint="default"/>
                <w:sz w:val="18"/>
                <w:szCs w:val="18"/>
              </w:rPr>
            </w:pPr>
            <w:r>
              <w:rPr>
                <w:rFonts w:ascii="宋体"/>
                <w:spacing w:val="-1"/>
                <w:sz w:val="18"/>
              </w:rPr>
              <w:t>0.3991</w:t>
            </w:r>
          </w:p>
        </w:tc>
      </w:tr>
    </w:tbl>
    <w:p>
      <w:pPr>
        <w:spacing w:line="240" w:lineRule="auto" w:before="2"/>
        <w:rPr>
          <w:rFonts w:ascii="宋体" w:hAnsi="宋体" w:cs="宋体" w:eastAsia="宋体" w:hint="default"/>
          <w:sz w:val="13"/>
          <w:szCs w:val="13"/>
        </w:rPr>
      </w:pPr>
    </w:p>
    <w:p>
      <w:pPr>
        <w:pStyle w:val="BodyText"/>
        <w:tabs>
          <w:tab w:pos="3096" w:val="left" w:leader="none"/>
          <w:tab w:pos="7085" w:val="left" w:leader="none"/>
        </w:tabs>
        <w:spacing w:line="240" w:lineRule="auto" w:before="36"/>
        <w:ind w:left="364" w:right="1133"/>
        <w:jc w:val="left"/>
      </w:pPr>
      <w:r>
        <w:rPr>
          <w:spacing w:val="-2"/>
        </w:rPr>
        <w:t>法定代表人：吴鹰</w:t>
        <w:tab/>
        <w:t>主管会计工作负责人：李鹏宇</w:t>
        <w:tab/>
        <w:t>会计机构负责人：张雷</w:t>
      </w:r>
    </w:p>
    <w:p>
      <w:pPr>
        <w:spacing w:line="240" w:lineRule="auto" w:before="4"/>
        <w:rPr>
          <w:rFonts w:ascii="宋体" w:hAnsi="宋体" w:cs="宋体" w:eastAsia="宋体" w:hint="default"/>
          <w:sz w:val="15"/>
          <w:szCs w:val="15"/>
        </w:rPr>
      </w:pPr>
    </w:p>
    <w:p>
      <w:pPr>
        <w:spacing w:after="0" w:line="240" w:lineRule="auto"/>
        <w:rPr>
          <w:rFonts w:ascii="宋体" w:hAnsi="宋体" w:cs="宋体" w:eastAsia="宋体" w:hint="default"/>
          <w:sz w:val="15"/>
          <w:szCs w:val="15"/>
        </w:rPr>
        <w:sectPr>
          <w:pgSz w:w="11910" w:h="16840"/>
          <w:pgMar w:header="921" w:footer="725" w:top="1160" w:bottom="920" w:left="980" w:right="0"/>
        </w:sectPr>
      </w:pPr>
    </w:p>
    <w:p>
      <w:pPr>
        <w:pStyle w:val="Heading3"/>
        <w:spacing w:line="240" w:lineRule="auto"/>
        <w:ind w:right="-16"/>
        <w:jc w:val="left"/>
        <w:rPr>
          <w:b w:val="0"/>
          <w:bCs w:val="0"/>
        </w:rPr>
      </w:pPr>
      <w:r>
        <w:rPr>
          <w:rFonts w:ascii="Times New Roman" w:hAnsi="Times New Roman" w:cs="Times New Roman" w:eastAsia="Times New Roman" w:hint="default"/>
        </w:rPr>
        <w:t>4</w:t>
      </w:r>
      <w:r>
        <w:rPr/>
        <w:t>、母公司利润表</w:t>
      </w:r>
      <w:r>
        <w:rPr>
          <w:b w:val="0"/>
          <w:bCs w:val="0"/>
        </w:rPr>
      </w:r>
    </w:p>
    <w:p>
      <w:pPr>
        <w:spacing w:line="240" w:lineRule="auto" w:before="0"/>
        <w:rPr>
          <w:rFonts w:ascii="宋体" w:hAnsi="宋体" w:cs="宋体" w:eastAsia="宋体" w:hint="default"/>
          <w:b/>
          <w:bCs/>
          <w:sz w:val="18"/>
          <w:szCs w:val="18"/>
        </w:rPr>
      </w:pPr>
      <w:r>
        <w:rPr/>
        <w:br w:type="column"/>
      </w:r>
      <w:r>
        <w:rPr>
          <w:rFonts w:ascii="宋体"/>
          <w:b/>
          <w:sz w:val="18"/>
        </w:rPr>
      </w:r>
    </w:p>
    <w:p>
      <w:pPr>
        <w:spacing w:line="240" w:lineRule="auto" w:before="13"/>
        <w:rPr>
          <w:rFonts w:ascii="宋体" w:hAnsi="宋体" w:cs="宋体" w:eastAsia="宋体" w:hint="default"/>
          <w:b/>
          <w:bCs/>
          <w:sz w:val="14"/>
          <w:szCs w:val="14"/>
        </w:rPr>
      </w:pPr>
    </w:p>
    <w:p>
      <w:pPr>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1580" w:bottom="700" w:left="980" w:right="0"/>
          <w:cols w:num="2" w:equalWidth="0">
            <w:col w:w="1737" w:space="6725"/>
            <w:col w:w="2468"/>
          </w:cols>
        </w:sectPr>
      </w:pPr>
    </w:p>
    <w:p>
      <w:pPr>
        <w:spacing w:line="240" w:lineRule="auto" w:before="1"/>
        <w:rPr>
          <w:rFonts w:ascii="宋体" w:hAnsi="宋体" w:cs="宋体" w:eastAsia="宋体" w:hint="default"/>
          <w:sz w:val="2"/>
          <w:szCs w:val="2"/>
        </w:rPr>
      </w:pPr>
      <w:r>
        <w:rPr/>
        <w:pict>
          <v:shape style="position:absolute;margin-left:257.658020pt;margin-top:123.499985pt;width:82.4pt;height:29.2pt;mso-position-horizontal-relative:page;mso-position-vertical-relative:page;z-index:-1012240" type="#_x0000_t202" filled="false" stroked="false">
            <v:textbox inset="0,0,0,0">
              <w:txbxContent>
                <w:p>
                  <w:pPr>
                    <w:spacing w:before="147"/>
                    <w:ind w:left="0" w:right="0" w:firstLine="0"/>
                    <w:jc w:val="left"/>
                    <w:rPr>
                      <w:rFonts w:ascii="宋体" w:hAnsi="宋体" w:cs="宋体" w:eastAsia="宋体" w:hint="default"/>
                      <w:sz w:val="18"/>
                      <w:szCs w:val="18"/>
                    </w:rPr>
                  </w:pPr>
                  <w:r>
                    <w:rPr>
                      <w:rFonts w:ascii="宋体" w:hAnsi="宋体" w:cs="宋体" w:eastAsia="宋体" w:hint="default"/>
                      <w:sz w:val="18"/>
                      <w:szCs w:val="18"/>
                    </w:rPr>
                    <w:t>号填列）</w:t>
                  </w:r>
                </w:p>
              </w:txbxContent>
            </v:textbox>
            <w10:wrap type="none"/>
          </v:shape>
        </w:pict>
      </w:r>
      <w:r>
        <w:rPr/>
        <w:pict>
          <v:shape style="position:absolute;margin-left:176.673004pt;margin-top:432.769989pt;width:163.4pt;height:24.6pt;mso-position-horizontal-relative:page;mso-position-vertical-relative:page;z-index:-1012216" type="#_x0000_t202" filled="false" stroked="false">
            <v:textbox inset="0,0,0,0">
              <w:txbxContent>
                <w:p>
                  <w:pPr>
                    <w:spacing w:before="101"/>
                    <w:ind w:left="0" w:right="0" w:firstLine="0"/>
                    <w:jc w:val="left"/>
                    <w:rPr>
                      <w:rFonts w:ascii="宋体" w:hAnsi="宋体" w:cs="宋体" w:eastAsia="宋体" w:hint="default"/>
                      <w:sz w:val="18"/>
                      <w:szCs w:val="18"/>
                    </w:rPr>
                  </w:pPr>
                  <w:r>
                    <w:rPr>
                      <w:rFonts w:ascii="宋体" w:hAnsi="宋体" w:cs="宋体" w:eastAsia="宋体" w:hint="default"/>
                      <w:sz w:val="18"/>
                      <w:szCs w:val="18"/>
                    </w:rPr>
                    <w:t>金流量套期损益的有效部分）</w:t>
                  </w:r>
                </w:p>
              </w:txbxContent>
            </v:textbox>
            <w10:wrap type="none"/>
          </v:shape>
        </w:pict>
      </w:r>
    </w:p>
    <w:tbl>
      <w:tblPr>
        <w:tblW w:w="0" w:type="auto"/>
        <w:jc w:val="left"/>
        <w:tblInd w:w="148" w:type="dxa"/>
        <w:tblLayout w:type="fixed"/>
        <w:tblCellMar>
          <w:top w:w="0" w:type="dxa"/>
          <w:left w:w="0" w:type="dxa"/>
          <w:bottom w:w="0" w:type="dxa"/>
          <w:right w:w="0" w:type="dxa"/>
        </w:tblCellMar>
        <w:tblLook w:val="01E0"/>
      </w:tblPr>
      <w:tblGrid>
        <w:gridCol w:w="4537"/>
        <w:gridCol w:w="1136"/>
        <w:gridCol w:w="1841"/>
        <w:gridCol w:w="1844"/>
      </w:tblGrid>
      <w:tr>
        <w:trPr>
          <w:trHeight w:val="296" w:hRule="exact"/>
        </w:trPr>
        <w:tc>
          <w:tcPr>
            <w:tcW w:w="4537" w:type="dxa"/>
            <w:tcBorders>
              <w:top w:val="single" w:sz="23" w:space="0" w:color="D2D2D2"/>
              <w:left w:val="single" w:sz="4" w:space="0" w:color="000000"/>
              <w:bottom w:val="single" w:sz="19" w:space="0" w:color="D2D2D2"/>
              <w:right w:val="single" w:sz="4" w:space="0" w:color="000000"/>
            </w:tcBorders>
          </w:tcPr>
          <w:p>
            <w:pPr>
              <w:pStyle w:val="TableParagraph"/>
              <w:tabs>
                <w:tab w:pos="2059" w:val="left" w:leader="none"/>
                <w:tab w:pos="4481" w:val="left" w:leader="none"/>
              </w:tabs>
              <w:spacing w:line="205" w:lineRule="exact"/>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项目</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181" w:lineRule="exact"/>
              <w:ind w:left="381" w:right="0"/>
              <w:jc w:val="left"/>
              <w:rPr>
                <w:rFonts w:ascii="宋体" w:hAnsi="宋体" w:cs="宋体" w:eastAsia="宋体" w:hint="default"/>
                <w:sz w:val="18"/>
                <w:szCs w:val="18"/>
              </w:rPr>
            </w:pPr>
            <w:r>
              <w:rPr>
                <w:rFonts w:ascii="宋体" w:hAnsi="宋体" w:cs="宋体" w:eastAsia="宋体" w:hint="default"/>
                <w:sz w:val="18"/>
                <w:szCs w:val="18"/>
              </w:rPr>
              <w:t>附注</w:t>
            </w:r>
            <w:r>
              <w:rPr>
                <w:rFonts w:ascii="宋体" w:hAnsi="宋体" w:cs="宋体" w:eastAsia="宋体" w:hint="default"/>
                <w:sz w:val="18"/>
                <w:szCs w:val="18"/>
              </w:rPr>
              <w:t> </w:t>
            </w:r>
          </w:p>
        </w:tc>
        <w:tc>
          <w:tcPr>
            <w:tcW w:w="18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29" w:lineRule="exact"/>
              <w:ind w:left="468" w:right="0"/>
              <w:jc w:val="left"/>
              <w:rPr>
                <w:rFonts w:ascii="宋体" w:hAnsi="宋体" w:cs="宋体" w:eastAsia="宋体" w:hint="default"/>
                <w:sz w:val="18"/>
                <w:szCs w:val="18"/>
              </w:rPr>
            </w:pPr>
            <w:r>
              <w:rPr>
                <w:rFonts w:ascii="宋体" w:hAnsi="宋体" w:cs="宋体" w:eastAsia="宋体" w:hint="default"/>
                <w:sz w:val="18"/>
                <w:szCs w:val="18"/>
              </w:rPr>
              <w:t>本期发生额</w:t>
            </w:r>
            <w:r>
              <w:rPr>
                <w:rFonts w:ascii="宋体" w:hAnsi="宋体" w:cs="宋体" w:eastAsia="宋体" w:hint="default"/>
                <w:sz w:val="18"/>
                <w:szCs w:val="18"/>
              </w:rPr>
              <w:t> </w:t>
            </w:r>
          </w:p>
        </w:tc>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29" w:lineRule="exact"/>
              <w:ind w:left="470" w:right="0"/>
              <w:jc w:val="left"/>
              <w:rPr>
                <w:rFonts w:ascii="宋体" w:hAnsi="宋体" w:cs="宋体" w:eastAsia="宋体" w:hint="default"/>
                <w:sz w:val="18"/>
                <w:szCs w:val="18"/>
              </w:rPr>
            </w:pPr>
            <w:r>
              <w:rPr>
                <w:rFonts w:ascii="宋体" w:hAnsi="宋体" w:cs="宋体" w:eastAsia="宋体" w:hint="default"/>
                <w:sz w:val="18"/>
                <w:szCs w:val="18"/>
              </w:rPr>
              <w:t>上期发生额</w:t>
            </w:r>
            <w:r>
              <w:rPr>
                <w:rFonts w:ascii="宋体" w:hAnsi="宋体" w:cs="宋体" w:eastAsia="宋体" w:hint="default"/>
                <w:sz w:val="18"/>
                <w:szCs w:val="18"/>
              </w:rPr>
              <w:t> </w:t>
            </w:r>
          </w:p>
        </w:tc>
      </w:tr>
      <w:tr>
        <w:trPr>
          <w:trHeight w:val="360" w:hRule="exact"/>
        </w:trPr>
        <w:tc>
          <w:tcPr>
            <w:tcW w:w="4537" w:type="dxa"/>
            <w:tcBorders>
              <w:top w:val="single" w:sz="19" w:space="0" w:color="D2D2D2"/>
              <w:left w:val="single" w:sz="4" w:space="0" w:color="000000"/>
              <w:bottom w:val="single" w:sz="11" w:space="0" w:color="000000"/>
              <w:right w:val="single" w:sz="4" w:space="0" w:color="000000"/>
            </w:tcBorders>
          </w:tcPr>
          <w:p>
            <w:pPr>
              <w:pStyle w:val="TableParagraph"/>
              <w:tabs>
                <w:tab w:pos="4481" w:val="left" w:leader="none"/>
              </w:tabs>
              <w:spacing w:line="240" w:lineRule="auto" w:before="21"/>
              <w:ind w:right="19"/>
              <w:jc w:val="right"/>
              <w:rPr>
                <w:rFonts w:ascii="宋体" w:hAnsi="宋体" w:cs="宋体" w:eastAsia="宋体" w:hint="default"/>
                <w:sz w:val="18"/>
                <w:szCs w:val="18"/>
              </w:rPr>
            </w:pPr>
            <w:r>
              <w:rPr>
                <w:rFonts w:ascii="宋体" w:hAnsi="宋体" w:cs="宋体" w:eastAsia="宋体" w:hint="default"/>
                <w:b/>
                <w:bCs/>
                <w:w w:val="99"/>
                <w:sz w:val="18"/>
                <w:szCs w:val="18"/>
              </w:rPr>
            </w:r>
            <w:r>
              <w:rPr>
                <w:rFonts w:ascii="宋体" w:hAnsi="宋体" w:cs="宋体" w:eastAsia="宋体" w:hint="default"/>
                <w:b/>
                <w:bCs/>
                <w:spacing w:val="1"/>
                <w:w w:val="99"/>
                <w:sz w:val="18"/>
                <w:szCs w:val="18"/>
                <w:shd w:fill="D2D2D2" w:color="auto" w:val="clear"/>
              </w:rPr>
              <w:t> </w:t>
            </w:r>
            <w:r>
              <w:rPr>
                <w:rFonts w:ascii="宋体" w:hAnsi="宋体" w:cs="宋体" w:eastAsia="宋体" w:hint="default"/>
                <w:b/>
                <w:bCs/>
                <w:w w:val="95"/>
                <w:sz w:val="18"/>
                <w:szCs w:val="18"/>
                <w:shd w:fill="D2D2D2" w:color="auto" w:val="clear"/>
              </w:rPr>
              <w:t>一、营业收入</w:t>
            </w:r>
            <w:r>
              <w:rPr>
                <w:rFonts w:ascii="宋体" w:hAnsi="宋体" w:cs="宋体" w:eastAsia="宋体" w:hint="default"/>
                <w:b/>
                <w:bCs/>
                <w:spacing w:val="1"/>
                <w:w w:val="99"/>
                <w:sz w:val="18"/>
                <w:szCs w:val="18"/>
                <w:shd w:fill="D2D2D2" w:color="auto" w:val="clear"/>
              </w:rPr>
              <w:t>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1136"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537" w:type="dxa"/>
            <w:tcBorders>
              <w:top w:val="single" w:sz="11" w:space="0" w:color="000000"/>
              <w:left w:val="single" w:sz="4" w:space="0" w:color="000000"/>
              <w:bottom w:val="single" w:sz="11" w:space="0" w:color="000000"/>
              <w:right w:val="single" w:sz="4" w:space="0" w:color="000000"/>
            </w:tcBorders>
          </w:tcPr>
          <w:p>
            <w:pPr>
              <w:pStyle w:val="TableParagraph"/>
              <w:tabs>
                <w:tab w:pos="4481" w:val="left" w:leader="none"/>
              </w:tabs>
              <w:spacing w:line="240" w:lineRule="auto" w:before="13"/>
              <w:ind w:right="19"/>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pacing w:val="1"/>
                <w:sz w:val="18"/>
                <w:szCs w:val="18"/>
                <w:shd w:fill="D2D2D2" w:color="auto" w:val="clear"/>
              </w:rPr>
              <w:t>   </w:t>
            </w:r>
            <w:r>
              <w:rPr>
                <w:rFonts w:ascii="宋体" w:hAnsi="宋体" w:cs="宋体" w:eastAsia="宋体" w:hint="default"/>
                <w:spacing w:val="-1"/>
                <w:sz w:val="18"/>
                <w:szCs w:val="18"/>
                <w:shd w:fill="D2D2D2" w:color="auto" w:val="clear"/>
              </w:rPr>
              <w:t>减：营业成本</w:t>
            </w:r>
            <w:r>
              <w:rPr>
                <w:rFonts w:ascii="宋体" w:hAnsi="宋体" w:cs="宋体" w:eastAsia="宋体" w:hint="default"/>
                <w:spacing w:val="-2"/>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6"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4537" w:type="dxa"/>
            <w:tcBorders>
              <w:top w:val="single" w:sz="11" w:space="0" w:color="000000"/>
              <w:left w:val="single" w:sz="4" w:space="0" w:color="000000"/>
              <w:bottom w:val="single" w:sz="11" w:space="0" w:color="000000"/>
              <w:right w:val="single" w:sz="4" w:space="0" w:color="000000"/>
            </w:tcBorders>
          </w:tcPr>
          <w:p>
            <w:pPr>
              <w:pStyle w:val="TableParagraph"/>
              <w:tabs>
                <w:tab w:pos="4481" w:val="left" w:leader="none"/>
              </w:tabs>
              <w:spacing w:line="240" w:lineRule="auto" w:before="13"/>
              <w:ind w:right="19"/>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税金及附加</w:t>
            </w:r>
            <w:r>
              <w:rPr>
                <w:rFonts w:ascii="宋体" w:hAnsi="宋体" w:cs="宋体" w:eastAsia="宋体" w:hint="default"/>
                <w:spacing w:val="-2"/>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6"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6"/>
              <w:jc w:val="right"/>
              <w:rPr>
                <w:rFonts w:ascii="宋体" w:hAnsi="宋体" w:cs="宋体" w:eastAsia="宋体" w:hint="default"/>
                <w:sz w:val="18"/>
                <w:szCs w:val="18"/>
              </w:rPr>
            </w:pPr>
            <w:r>
              <w:rPr>
                <w:rFonts w:ascii="宋体"/>
                <w:spacing w:val="-1"/>
                <w:sz w:val="18"/>
              </w:rPr>
              <w:t>453.70</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914" w:right="0"/>
              <w:jc w:val="left"/>
              <w:rPr>
                <w:rFonts w:ascii="宋体" w:hAnsi="宋体" w:cs="宋体" w:eastAsia="宋体" w:hint="default"/>
                <w:sz w:val="18"/>
                <w:szCs w:val="18"/>
              </w:rPr>
            </w:pPr>
            <w:r>
              <w:rPr>
                <w:rFonts w:ascii="宋体"/>
                <w:sz w:val="18"/>
              </w:rPr>
              <w:t>931,810.30</w:t>
            </w:r>
          </w:p>
        </w:tc>
      </w:tr>
      <w:tr>
        <w:trPr>
          <w:trHeight w:val="336" w:hRule="exact"/>
        </w:trPr>
        <w:tc>
          <w:tcPr>
            <w:tcW w:w="4537" w:type="dxa"/>
            <w:tcBorders>
              <w:top w:val="single" w:sz="11" w:space="0" w:color="000000"/>
              <w:left w:val="single" w:sz="4" w:space="0" w:color="000000"/>
              <w:bottom w:val="single" w:sz="4" w:space="0" w:color="000000"/>
              <w:right w:val="single" w:sz="4" w:space="0" w:color="000000"/>
            </w:tcBorders>
          </w:tcPr>
          <w:p>
            <w:pPr>
              <w:pStyle w:val="TableParagraph"/>
              <w:tabs>
                <w:tab w:pos="4481" w:val="left" w:leader="none"/>
              </w:tabs>
              <w:spacing w:line="240" w:lineRule="auto" w:before="13"/>
              <w:ind w:right="19"/>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销售费用</w:t>
            </w:r>
            <w:r>
              <w:rPr>
                <w:rFonts w:ascii="宋体" w:hAnsi="宋体" w:cs="宋体" w:eastAsia="宋体" w:hint="default"/>
                <w:spacing w:val="-2"/>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6"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580" w:bottom="700" w:left="980" w:right="0"/>
        </w:sectPr>
      </w:pPr>
    </w:p>
    <w:p>
      <w:pPr>
        <w:spacing w:line="240" w:lineRule="auto" w:before="4"/>
        <w:rPr>
          <w:rFonts w:ascii="宋体" w:hAnsi="宋体" w:cs="宋体" w:eastAsia="宋体" w:hint="default"/>
          <w:sz w:val="21"/>
          <w:szCs w:val="21"/>
        </w:rPr>
      </w:pPr>
    </w:p>
    <w:tbl>
      <w:tblPr>
        <w:tblW w:w="0" w:type="auto"/>
        <w:jc w:val="left"/>
        <w:tblInd w:w="148" w:type="dxa"/>
        <w:tblLayout w:type="fixed"/>
        <w:tblCellMar>
          <w:top w:w="0" w:type="dxa"/>
          <w:left w:w="0" w:type="dxa"/>
          <w:bottom w:w="0" w:type="dxa"/>
          <w:right w:w="0" w:type="dxa"/>
        </w:tblCellMar>
        <w:tblLook w:val="01E0"/>
      </w:tblPr>
      <w:tblGrid>
        <w:gridCol w:w="4537"/>
        <w:gridCol w:w="1136"/>
        <w:gridCol w:w="1841"/>
        <w:gridCol w:w="1844"/>
      </w:tblGrid>
      <w:tr>
        <w:trPr>
          <w:trHeight w:val="335" w:hRule="exact"/>
        </w:trPr>
        <w:tc>
          <w:tcPr>
            <w:tcW w:w="4537" w:type="dxa"/>
            <w:tcBorders>
              <w:top w:val="single" w:sz="8" w:space="0" w:color="000000"/>
              <w:left w:val="single" w:sz="4" w:space="0" w:color="000000"/>
              <w:bottom w:val="single" w:sz="11" w:space="0" w:color="000000"/>
              <w:right w:val="single" w:sz="4" w:space="0" w:color="000000"/>
            </w:tcBorders>
          </w:tcPr>
          <w:p>
            <w:pPr>
              <w:pStyle w:val="TableParagraph"/>
              <w:tabs>
                <w:tab w:pos="4481" w:val="left" w:leader="none"/>
              </w:tabs>
              <w:spacing w:line="240" w:lineRule="auto" w:before="13"/>
              <w:ind w:right="19"/>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管理费用</w:t>
            </w:r>
            <w:r>
              <w:rPr>
                <w:rFonts w:ascii="宋体" w:hAnsi="宋体" w:cs="宋体" w:eastAsia="宋体" w:hint="default"/>
                <w:spacing w:val="-2"/>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6"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7"/>
              <w:jc w:val="right"/>
              <w:rPr>
                <w:rFonts w:ascii="宋体" w:hAnsi="宋体" w:cs="宋体" w:eastAsia="宋体" w:hint="default"/>
                <w:sz w:val="18"/>
                <w:szCs w:val="18"/>
              </w:rPr>
            </w:pPr>
            <w:r>
              <w:rPr>
                <w:rFonts w:ascii="宋体"/>
                <w:spacing w:val="-1"/>
                <w:sz w:val="18"/>
              </w:rPr>
              <w:t>15,880,332.19</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7"/>
              <w:jc w:val="right"/>
              <w:rPr>
                <w:rFonts w:ascii="宋体" w:hAnsi="宋体" w:cs="宋体" w:eastAsia="宋体" w:hint="default"/>
                <w:sz w:val="18"/>
                <w:szCs w:val="18"/>
              </w:rPr>
            </w:pPr>
            <w:r>
              <w:rPr>
                <w:rFonts w:ascii="宋体"/>
                <w:spacing w:val="-1"/>
                <w:sz w:val="18"/>
              </w:rPr>
              <w:t>15,415,908.03</w:t>
            </w:r>
          </w:p>
        </w:tc>
      </w:tr>
      <w:tr>
        <w:trPr>
          <w:trHeight w:val="341" w:hRule="exact"/>
        </w:trPr>
        <w:tc>
          <w:tcPr>
            <w:tcW w:w="4537" w:type="dxa"/>
            <w:tcBorders>
              <w:top w:val="single" w:sz="11" w:space="0" w:color="000000"/>
              <w:left w:val="single" w:sz="4" w:space="0" w:color="000000"/>
              <w:bottom w:val="single" w:sz="4" w:space="0" w:color="000000"/>
              <w:right w:val="single" w:sz="4" w:space="0" w:color="000000"/>
            </w:tcBorders>
          </w:tcPr>
          <w:p>
            <w:pPr>
              <w:pStyle w:val="TableParagraph"/>
              <w:tabs>
                <w:tab w:pos="4481" w:val="left" w:leader="none"/>
              </w:tabs>
              <w:spacing w:line="240" w:lineRule="auto" w:before="13"/>
              <w:ind w:right="19"/>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研发费用</w:t>
            </w:r>
            <w:r>
              <w:rPr>
                <w:rFonts w:ascii="宋体" w:hAnsi="宋体" w:cs="宋体" w:eastAsia="宋体" w:hint="default"/>
                <w:spacing w:val="-2"/>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6"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537" w:type="dxa"/>
            <w:tcBorders>
              <w:top w:val="single" w:sz="4" w:space="0" w:color="000000"/>
              <w:left w:val="single" w:sz="4" w:space="0" w:color="000000"/>
              <w:bottom w:val="single" w:sz="4" w:space="0" w:color="000000"/>
              <w:right w:val="single" w:sz="4" w:space="0" w:color="000000"/>
            </w:tcBorders>
          </w:tcPr>
          <w:p>
            <w:pPr>
              <w:pStyle w:val="TableParagraph"/>
              <w:tabs>
                <w:tab w:pos="4481" w:val="left" w:leader="none"/>
              </w:tabs>
              <w:spacing w:line="240" w:lineRule="auto" w:before="21"/>
              <w:ind w:right="19"/>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财务费用</w:t>
            </w:r>
            <w:r>
              <w:rPr>
                <w:rFonts w:ascii="宋体" w:hAnsi="宋体" w:cs="宋体" w:eastAsia="宋体" w:hint="default"/>
                <w:spacing w:val="-2"/>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6"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1"/>
                <w:sz w:val="18"/>
              </w:rPr>
              <w:t> 41,304,260.00</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7"/>
              <w:jc w:val="right"/>
              <w:rPr>
                <w:rFonts w:ascii="宋体" w:hAnsi="宋体" w:cs="宋体" w:eastAsia="宋体" w:hint="default"/>
                <w:sz w:val="18"/>
                <w:szCs w:val="18"/>
              </w:rPr>
            </w:pPr>
            <w:r>
              <w:rPr>
                <w:rFonts w:ascii="宋体"/>
                <w:spacing w:val="-1"/>
                <w:sz w:val="18"/>
              </w:rPr>
              <w:t>6,081,043.71</w:t>
            </w:r>
          </w:p>
        </w:tc>
      </w:tr>
      <w:tr>
        <w:trPr>
          <w:trHeight w:val="338" w:hRule="exact"/>
        </w:trPr>
        <w:tc>
          <w:tcPr>
            <w:tcW w:w="4537" w:type="dxa"/>
            <w:tcBorders>
              <w:top w:val="single" w:sz="4" w:space="0" w:color="000000"/>
              <w:left w:val="single" w:sz="4" w:space="0" w:color="000000"/>
              <w:bottom w:val="single" w:sz="4" w:space="0" w:color="000000"/>
              <w:right w:val="single" w:sz="4" w:space="0" w:color="000000"/>
            </w:tcBorders>
          </w:tcPr>
          <w:p>
            <w:pPr>
              <w:pStyle w:val="TableParagraph"/>
              <w:tabs>
                <w:tab w:pos="4481" w:val="left" w:leader="none"/>
              </w:tabs>
              <w:spacing w:line="240" w:lineRule="auto" w:before="21"/>
              <w:ind w:right="19"/>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其中：利息费用</w:t>
            </w:r>
            <w:r>
              <w:rPr>
                <w:rFonts w:ascii="宋体" w:hAnsi="宋体" w:cs="宋体" w:eastAsia="宋体" w:hint="default"/>
                <w:spacing w:val="-2"/>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6"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1"/>
                <w:sz w:val="18"/>
              </w:rPr>
              <w:t> 41,398,887.25</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7"/>
              <w:jc w:val="right"/>
              <w:rPr>
                <w:rFonts w:ascii="宋体" w:hAnsi="宋体" w:cs="宋体" w:eastAsia="宋体" w:hint="default"/>
                <w:sz w:val="18"/>
                <w:szCs w:val="18"/>
              </w:rPr>
            </w:pPr>
            <w:r>
              <w:rPr>
                <w:rFonts w:ascii="宋体"/>
                <w:spacing w:val="-1"/>
                <w:sz w:val="18"/>
              </w:rPr>
              <w:t>6,211,585.60</w:t>
            </w:r>
          </w:p>
        </w:tc>
      </w:tr>
      <w:tr>
        <w:trPr>
          <w:trHeight w:val="341" w:hRule="exact"/>
        </w:trPr>
        <w:tc>
          <w:tcPr>
            <w:tcW w:w="4537" w:type="dxa"/>
            <w:tcBorders>
              <w:top w:val="single" w:sz="4" w:space="0" w:color="000000"/>
              <w:left w:val="single" w:sz="4" w:space="0" w:color="000000"/>
              <w:bottom w:val="single" w:sz="4" w:space="0" w:color="000000"/>
              <w:right w:val="single" w:sz="4" w:space="0" w:color="000000"/>
            </w:tcBorders>
          </w:tcPr>
          <w:p>
            <w:pPr>
              <w:pStyle w:val="TableParagraph"/>
              <w:tabs>
                <w:tab w:pos="4481" w:val="left" w:leader="none"/>
              </w:tabs>
              <w:spacing w:line="240" w:lineRule="auto" w:before="21"/>
              <w:ind w:right="19"/>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利息收入</w:t>
            </w:r>
            <w:r>
              <w:rPr>
                <w:rFonts w:ascii="宋体" w:hAnsi="宋体" w:cs="宋体" w:eastAsia="宋体" w:hint="default"/>
                <w:spacing w:val="-2"/>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6"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6"/>
              <w:jc w:val="right"/>
              <w:rPr>
                <w:rFonts w:ascii="宋体" w:hAnsi="宋体" w:cs="宋体" w:eastAsia="宋体" w:hint="default"/>
                <w:sz w:val="18"/>
                <w:szCs w:val="18"/>
              </w:rPr>
            </w:pPr>
            <w:r>
              <w:rPr>
                <w:rFonts w:ascii="宋体"/>
                <w:spacing w:val="-1"/>
                <w:sz w:val="18"/>
              </w:rPr>
              <w:t>100,155.12</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6"/>
              <w:jc w:val="right"/>
              <w:rPr>
                <w:rFonts w:ascii="宋体" w:hAnsi="宋体" w:cs="宋体" w:eastAsia="宋体" w:hint="default"/>
                <w:sz w:val="18"/>
                <w:szCs w:val="18"/>
              </w:rPr>
            </w:pPr>
            <w:r>
              <w:rPr>
                <w:rFonts w:ascii="宋体"/>
                <w:spacing w:val="-1"/>
                <w:sz w:val="18"/>
              </w:rPr>
              <w:t>140,112.79</w:t>
            </w:r>
          </w:p>
        </w:tc>
      </w:tr>
      <w:tr>
        <w:trPr>
          <w:trHeight w:val="341" w:hRule="exact"/>
        </w:trPr>
        <w:tc>
          <w:tcPr>
            <w:tcW w:w="4537" w:type="dxa"/>
            <w:tcBorders>
              <w:top w:val="single" w:sz="4" w:space="0" w:color="000000"/>
              <w:left w:val="single" w:sz="4" w:space="0" w:color="000000"/>
              <w:bottom w:val="single" w:sz="4" w:space="0" w:color="000000"/>
              <w:right w:val="single" w:sz="4" w:space="0" w:color="000000"/>
            </w:tcBorders>
          </w:tcPr>
          <w:p>
            <w:pPr>
              <w:pStyle w:val="TableParagraph"/>
              <w:tabs>
                <w:tab w:pos="4481" w:val="left" w:leader="none"/>
              </w:tabs>
              <w:spacing w:line="240" w:lineRule="auto" w:before="21"/>
              <w:ind w:right="19"/>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pacing w:val="1"/>
                <w:sz w:val="18"/>
                <w:szCs w:val="18"/>
                <w:shd w:fill="D2D2D2" w:color="auto" w:val="clear"/>
              </w:rPr>
              <w:t>   </w:t>
            </w:r>
            <w:r>
              <w:rPr>
                <w:rFonts w:ascii="宋体" w:hAnsi="宋体" w:cs="宋体" w:eastAsia="宋体" w:hint="default"/>
                <w:spacing w:val="-1"/>
                <w:sz w:val="18"/>
                <w:szCs w:val="18"/>
                <w:shd w:fill="D2D2D2" w:color="auto" w:val="clear"/>
              </w:rPr>
              <w:t>加：其他收益</w:t>
            </w:r>
            <w:r>
              <w:rPr>
                <w:rFonts w:ascii="宋体" w:hAnsi="宋体" w:cs="宋体" w:eastAsia="宋体" w:hint="default"/>
                <w:spacing w:val="-2"/>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6"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4537" w:type="dxa"/>
            <w:tcBorders>
              <w:top w:val="single" w:sz="4" w:space="0" w:color="000000"/>
              <w:left w:val="single" w:sz="4" w:space="0" w:color="000000"/>
              <w:bottom w:val="single" w:sz="4" w:space="0" w:color="000000"/>
              <w:right w:val="single" w:sz="4" w:space="0" w:color="000000"/>
            </w:tcBorders>
          </w:tcPr>
          <w:p>
            <w:pPr>
              <w:pStyle w:val="TableParagraph"/>
              <w:tabs>
                <w:tab w:pos="4481" w:val="left" w:leader="none"/>
              </w:tabs>
              <w:spacing w:line="240" w:lineRule="auto" w:before="21"/>
              <w:ind w:right="19"/>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投资收益（损失以“－”号填列）</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6"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7"/>
              <w:jc w:val="right"/>
              <w:rPr>
                <w:rFonts w:ascii="宋体" w:hAnsi="宋体" w:cs="宋体" w:eastAsia="宋体" w:hint="default"/>
                <w:sz w:val="18"/>
                <w:szCs w:val="18"/>
              </w:rPr>
            </w:pPr>
            <w:r>
              <w:rPr>
                <w:rFonts w:ascii="宋体"/>
                <w:spacing w:val="-1"/>
                <w:sz w:val="18"/>
              </w:rPr>
              <w:t>33,933,946.68</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7"/>
              <w:jc w:val="right"/>
              <w:rPr>
                <w:rFonts w:ascii="宋体" w:hAnsi="宋体" w:cs="宋体" w:eastAsia="宋体" w:hint="default"/>
                <w:sz w:val="18"/>
                <w:szCs w:val="18"/>
              </w:rPr>
            </w:pPr>
            <w:r>
              <w:rPr>
                <w:rFonts w:ascii="宋体"/>
                <w:spacing w:val="-1"/>
                <w:sz w:val="18"/>
              </w:rPr>
              <w:t>173,100,676.72</w:t>
            </w:r>
          </w:p>
        </w:tc>
      </w:tr>
      <w:tr>
        <w:trPr>
          <w:trHeight w:val="341" w:hRule="exact"/>
        </w:trPr>
        <w:tc>
          <w:tcPr>
            <w:tcW w:w="4537" w:type="dxa"/>
            <w:tcBorders>
              <w:top w:val="single" w:sz="4" w:space="0" w:color="000000"/>
              <w:left w:val="single" w:sz="4" w:space="0" w:color="000000"/>
              <w:bottom w:val="single" w:sz="4" w:space="0" w:color="000000"/>
              <w:right w:val="single" w:sz="4" w:space="0" w:color="000000"/>
            </w:tcBorders>
          </w:tcPr>
          <w:p>
            <w:pPr>
              <w:pStyle w:val="TableParagraph"/>
              <w:tabs>
                <w:tab w:pos="4481" w:val="left" w:leader="none"/>
              </w:tabs>
              <w:spacing w:line="240" w:lineRule="auto" w:before="21"/>
              <w:ind w:right="19"/>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其中：对联营企业和合营企业的投资收益</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6"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6"/>
              <w:jc w:val="right"/>
              <w:rPr>
                <w:rFonts w:ascii="宋体" w:hAnsi="宋体" w:cs="宋体" w:eastAsia="宋体" w:hint="default"/>
                <w:sz w:val="18"/>
                <w:szCs w:val="18"/>
              </w:rPr>
            </w:pPr>
            <w:r>
              <w:rPr>
                <w:rFonts w:ascii="宋体"/>
                <w:spacing w:val="-1"/>
                <w:sz w:val="18"/>
              </w:rPr>
              <w:t>27,077.62</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6"/>
              <w:jc w:val="right"/>
              <w:rPr>
                <w:rFonts w:ascii="宋体" w:hAnsi="宋体" w:cs="宋体" w:eastAsia="宋体" w:hint="default"/>
                <w:sz w:val="18"/>
                <w:szCs w:val="18"/>
              </w:rPr>
            </w:pPr>
            <w:r>
              <w:rPr>
                <w:rFonts w:ascii="宋体"/>
                <w:spacing w:val="-1"/>
                <w:sz w:val="18"/>
              </w:rPr>
              <w:t>-867,549.97</w:t>
            </w:r>
          </w:p>
        </w:tc>
      </w:tr>
      <w:tr>
        <w:trPr>
          <w:trHeight w:val="341" w:hRule="exact"/>
        </w:trPr>
        <w:tc>
          <w:tcPr>
            <w:tcW w:w="4537" w:type="dxa"/>
            <w:tcBorders>
              <w:top w:val="single" w:sz="4" w:space="0" w:color="000000"/>
              <w:left w:val="single" w:sz="4" w:space="0" w:color="000000"/>
              <w:bottom w:val="single" w:sz="4" w:space="0" w:color="000000"/>
              <w:right w:val="single" w:sz="4" w:space="0" w:color="000000"/>
            </w:tcBorders>
          </w:tcPr>
          <w:p>
            <w:pPr>
              <w:pStyle w:val="TableParagraph"/>
              <w:tabs>
                <w:tab w:pos="4481" w:val="left" w:leader="none"/>
              </w:tabs>
              <w:spacing w:line="240" w:lineRule="auto" w:before="21"/>
              <w:ind w:right="19"/>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以摊余成本计量的金融资产终止确认收益</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6"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4537" w:type="dxa"/>
            <w:tcBorders>
              <w:top w:val="single" w:sz="4" w:space="0" w:color="000000"/>
              <w:left w:val="single" w:sz="4" w:space="0" w:color="000000"/>
              <w:bottom w:val="single" w:sz="4" w:space="0" w:color="000000"/>
              <w:right w:val="single" w:sz="4" w:space="0" w:color="000000"/>
            </w:tcBorders>
          </w:tcPr>
          <w:p>
            <w:pPr>
              <w:pStyle w:val="TableParagraph"/>
              <w:tabs>
                <w:tab w:pos="4481" w:val="left" w:leader="none"/>
              </w:tabs>
              <w:spacing w:line="240" w:lineRule="auto" w:before="21"/>
              <w:ind w:right="19"/>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净敞口套期收益（损失以“－”号填列）</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6"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537" w:type="dxa"/>
            <w:tcBorders>
              <w:top w:val="single" w:sz="4" w:space="0" w:color="000000"/>
              <w:left w:val="single" w:sz="4" w:space="0" w:color="000000"/>
              <w:bottom w:val="single" w:sz="4" w:space="0" w:color="000000"/>
              <w:right w:val="single" w:sz="4" w:space="0" w:color="000000"/>
            </w:tcBorders>
          </w:tcPr>
          <w:p>
            <w:pPr>
              <w:pStyle w:val="TableParagraph"/>
              <w:tabs>
                <w:tab w:pos="4481" w:val="left" w:leader="none"/>
              </w:tabs>
              <w:spacing w:line="240" w:lineRule="auto" w:before="21"/>
              <w:ind w:right="19"/>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公允价值变动收益（损失以“－”号填列）</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6"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537" w:type="dxa"/>
            <w:tcBorders>
              <w:top w:val="single" w:sz="4" w:space="0" w:color="000000"/>
              <w:left w:val="single" w:sz="4" w:space="0" w:color="000000"/>
              <w:bottom w:val="single" w:sz="4" w:space="0" w:color="000000"/>
              <w:right w:val="single" w:sz="4" w:space="0" w:color="000000"/>
            </w:tcBorders>
          </w:tcPr>
          <w:p>
            <w:pPr>
              <w:pStyle w:val="TableParagraph"/>
              <w:tabs>
                <w:tab w:pos="4481" w:val="left" w:leader="none"/>
              </w:tabs>
              <w:spacing w:line="240" w:lineRule="auto" w:before="21"/>
              <w:ind w:right="19"/>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信用减值损失（损失以“－”号填列）</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6"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6"/>
              <w:jc w:val="right"/>
              <w:rPr>
                <w:rFonts w:ascii="宋体" w:hAnsi="宋体" w:cs="宋体" w:eastAsia="宋体" w:hint="default"/>
                <w:sz w:val="18"/>
                <w:szCs w:val="18"/>
              </w:rPr>
            </w:pPr>
            <w:r>
              <w:rPr>
                <w:rFonts w:ascii="宋体"/>
                <w:spacing w:val="-1"/>
                <w:sz w:val="18"/>
              </w:rPr>
              <w:t>-1,625.18</w:t>
            </w:r>
          </w:p>
        </w:tc>
        <w:tc>
          <w:tcPr>
            <w:tcW w:w="1844" w:type="dxa"/>
            <w:tcBorders>
              <w:top w:val="single" w:sz="4" w:space="0" w:color="000000"/>
              <w:left w:val="single" w:sz="4" w:space="0" w:color="000000"/>
              <w:bottom w:val="single" w:sz="4" w:space="0" w:color="000000"/>
              <w:right w:val="single" w:sz="4" w:space="0" w:color="000000"/>
            </w:tcBorders>
          </w:tcPr>
          <w:p>
            <w:pPr/>
          </w:p>
        </w:tc>
      </w:tr>
      <w:tr>
        <w:trPr>
          <w:trHeight w:val="339" w:hRule="exact"/>
        </w:trPr>
        <w:tc>
          <w:tcPr>
            <w:tcW w:w="4537" w:type="dxa"/>
            <w:tcBorders>
              <w:top w:val="single" w:sz="4" w:space="0" w:color="000000"/>
              <w:left w:val="single" w:sz="4" w:space="0" w:color="000000"/>
              <w:bottom w:val="single" w:sz="11" w:space="0" w:color="000000"/>
              <w:right w:val="single" w:sz="4" w:space="0" w:color="000000"/>
            </w:tcBorders>
          </w:tcPr>
          <w:p>
            <w:pPr>
              <w:pStyle w:val="TableParagraph"/>
              <w:tabs>
                <w:tab w:pos="4481" w:val="left" w:leader="none"/>
              </w:tabs>
              <w:spacing w:line="240" w:lineRule="auto" w:before="22"/>
              <w:ind w:right="19"/>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资产减值损失（损失以“－”号填列）</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6"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6"/>
              <w:jc w:val="right"/>
              <w:rPr>
                <w:rFonts w:ascii="宋体" w:hAnsi="宋体" w:cs="宋体" w:eastAsia="宋体" w:hint="default"/>
                <w:sz w:val="18"/>
                <w:szCs w:val="18"/>
              </w:rPr>
            </w:pPr>
            <w:r>
              <w:rPr>
                <w:rFonts w:ascii="宋体"/>
                <w:spacing w:val="-1"/>
                <w:sz w:val="18"/>
              </w:rPr>
              <w:t>-870,660,000.00</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6"/>
              <w:jc w:val="right"/>
              <w:rPr>
                <w:rFonts w:ascii="宋体" w:hAnsi="宋体" w:cs="宋体" w:eastAsia="宋体" w:hint="default"/>
                <w:sz w:val="18"/>
                <w:szCs w:val="18"/>
              </w:rPr>
            </w:pPr>
            <w:r>
              <w:rPr>
                <w:rFonts w:ascii="宋体"/>
                <w:spacing w:val="-1"/>
                <w:sz w:val="18"/>
              </w:rPr>
              <w:t>-2,686.66</w:t>
            </w:r>
          </w:p>
        </w:tc>
      </w:tr>
      <w:tr>
        <w:trPr>
          <w:trHeight w:val="341" w:hRule="exact"/>
        </w:trPr>
        <w:tc>
          <w:tcPr>
            <w:tcW w:w="4537" w:type="dxa"/>
            <w:tcBorders>
              <w:top w:val="single" w:sz="11" w:space="0" w:color="000000"/>
              <w:left w:val="single" w:sz="4" w:space="0" w:color="000000"/>
              <w:bottom w:val="single" w:sz="11" w:space="0" w:color="000000"/>
              <w:right w:val="single" w:sz="4" w:space="0" w:color="000000"/>
            </w:tcBorders>
          </w:tcPr>
          <w:p>
            <w:pPr>
              <w:pStyle w:val="TableParagraph"/>
              <w:tabs>
                <w:tab w:pos="4481" w:val="left" w:leader="none"/>
              </w:tabs>
              <w:spacing w:line="240" w:lineRule="auto" w:before="13"/>
              <w:ind w:right="19"/>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资产处置收益（损失以“－”号填列）</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6"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6"/>
              <w:jc w:val="right"/>
              <w:rPr>
                <w:rFonts w:ascii="宋体" w:hAnsi="宋体" w:cs="宋体" w:eastAsia="宋体" w:hint="default"/>
                <w:sz w:val="18"/>
                <w:szCs w:val="18"/>
              </w:rPr>
            </w:pPr>
            <w:r>
              <w:rPr>
                <w:rFonts w:ascii="宋体"/>
                <w:spacing w:val="-1"/>
                <w:sz w:val="18"/>
              </w:rPr>
              <w:t>-150,612.26</w:t>
            </w:r>
          </w:p>
        </w:tc>
      </w:tr>
      <w:tr>
        <w:trPr>
          <w:trHeight w:val="341" w:hRule="exact"/>
        </w:trPr>
        <w:tc>
          <w:tcPr>
            <w:tcW w:w="4537" w:type="dxa"/>
            <w:tcBorders>
              <w:top w:val="single" w:sz="11" w:space="0" w:color="000000"/>
              <w:left w:val="single" w:sz="4" w:space="0" w:color="000000"/>
              <w:bottom w:val="single" w:sz="11" w:space="0" w:color="000000"/>
              <w:right w:val="single" w:sz="4" w:space="0" w:color="000000"/>
            </w:tcBorders>
          </w:tcPr>
          <w:p>
            <w:pPr>
              <w:pStyle w:val="TableParagraph"/>
              <w:tabs>
                <w:tab w:pos="4481" w:val="left" w:leader="none"/>
              </w:tabs>
              <w:spacing w:line="240" w:lineRule="auto" w:before="13"/>
              <w:ind w:right="19"/>
              <w:jc w:val="right"/>
              <w:rPr>
                <w:rFonts w:ascii="宋体" w:hAnsi="宋体" w:cs="宋体" w:eastAsia="宋体" w:hint="default"/>
                <w:sz w:val="18"/>
                <w:szCs w:val="18"/>
              </w:rPr>
            </w:pPr>
            <w:r>
              <w:rPr>
                <w:rFonts w:ascii="宋体" w:hAnsi="宋体" w:cs="宋体" w:eastAsia="宋体" w:hint="default"/>
                <w:b/>
                <w:bCs/>
                <w:w w:val="99"/>
                <w:sz w:val="18"/>
                <w:szCs w:val="18"/>
              </w:rPr>
            </w:r>
            <w:r>
              <w:rPr>
                <w:rFonts w:ascii="宋体" w:hAnsi="宋体" w:cs="宋体" w:eastAsia="宋体" w:hint="default"/>
                <w:b/>
                <w:bCs/>
                <w:spacing w:val="1"/>
                <w:w w:val="99"/>
                <w:sz w:val="18"/>
                <w:szCs w:val="18"/>
                <w:shd w:fill="D2D2D2" w:color="auto" w:val="clear"/>
              </w:rPr>
              <w:t> </w:t>
            </w:r>
            <w:r>
              <w:rPr>
                <w:rFonts w:ascii="宋体" w:hAnsi="宋体" w:cs="宋体" w:eastAsia="宋体" w:hint="default"/>
                <w:b/>
                <w:bCs/>
                <w:sz w:val="18"/>
                <w:szCs w:val="18"/>
                <w:shd w:fill="D2D2D2" w:color="auto" w:val="clear"/>
              </w:rPr>
              <w:t>二、营业利润（亏损以“－”号填列）</w:t>
            </w:r>
            <w:r>
              <w:rPr>
                <w:rFonts w:ascii="宋体" w:hAnsi="宋体" w:cs="宋体" w:eastAsia="宋体" w:hint="default"/>
                <w:b/>
                <w:bCs/>
                <w:spacing w:val="1"/>
                <w:w w:val="99"/>
                <w:sz w:val="18"/>
                <w:szCs w:val="18"/>
                <w:shd w:fill="D2D2D2" w:color="auto" w:val="clear"/>
              </w:rPr>
              <w:t>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1136"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7"/>
              <w:jc w:val="right"/>
              <w:rPr>
                <w:rFonts w:ascii="宋体" w:hAnsi="宋体" w:cs="宋体" w:eastAsia="宋体" w:hint="default"/>
                <w:sz w:val="18"/>
                <w:szCs w:val="18"/>
              </w:rPr>
            </w:pPr>
            <w:r>
              <w:rPr>
                <w:rFonts w:ascii="宋体"/>
                <w:b/>
                <w:w w:val="95"/>
                <w:sz w:val="18"/>
              </w:rPr>
              <w:t>-893,912,724.39</w:t>
            </w:r>
            <w:r>
              <w:rPr>
                <w:rFonts w:ascii="宋体"/>
                <w:sz w:val="18"/>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8"/>
              <w:jc w:val="right"/>
              <w:rPr>
                <w:rFonts w:ascii="宋体" w:hAnsi="宋体" w:cs="宋体" w:eastAsia="宋体" w:hint="default"/>
                <w:sz w:val="18"/>
                <w:szCs w:val="18"/>
              </w:rPr>
            </w:pPr>
            <w:r>
              <w:rPr>
                <w:rFonts w:ascii="宋体"/>
                <w:b/>
                <w:w w:val="95"/>
                <w:sz w:val="18"/>
              </w:rPr>
              <w:t>150,518,615.76</w:t>
            </w:r>
            <w:r>
              <w:rPr>
                <w:rFonts w:ascii="宋体"/>
                <w:sz w:val="18"/>
              </w:rPr>
            </w:r>
          </w:p>
        </w:tc>
      </w:tr>
      <w:tr>
        <w:trPr>
          <w:trHeight w:val="338" w:hRule="exact"/>
        </w:trPr>
        <w:tc>
          <w:tcPr>
            <w:tcW w:w="4537" w:type="dxa"/>
            <w:tcBorders>
              <w:top w:val="single" w:sz="11" w:space="0" w:color="000000"/>
              <w:left w:val="single" w:sz="4" w:space="0" w:color="000000"/>
              <w:bottom w:val="single" w:sz="4" w:space="0" w:color="000000"/>
              <w:right w:val="single" w:sz="4" w:space="0" w:color="000000"/>
            </w:tcBorders>
          </w:tcPr>
          <w:p>
            <w:pPr>
              <w:pStyle w:val="TableParagraph"/>
              <w:tabs>
                <w:tab w:pos="4481" w:val="left" w:leader="none"/>
              </w:tabs>
              <w:spacing w:line="240" w:lineRule="auto" w:before="13"/>
              <w:ind w:right="19"/>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pacing w:val="1"/>
                <w:sz w:val="18"/>
                <w:szCs w:val="18"/>
                <w:shd w:fill="D2D2D2" w:color="auto" w:val="clear"/>
              </w:rPr>
              <w:t>   </w:t>
            </w:r>
            <w:r>
              <w:rPr>
                <w:rFonts w:ascii="宋体" w:hAnsi="宋体" w:cs="宋体" w:eastAsia="宋体" w:hint="default"/>
                <w:spacing w:val="-1"/>
                <w:sz w:val="18"/>
                <w:szCs w:val="18"/>
                <w:shd w:fill="D2D2D2" w:color="auto" w:val="clear"/>
              </w:rPr>
              <w:t>加：营业外收入</w:t>
            </w:r>
            <w:r>
              <w:rPr>
                <w:rFonts w:ascii="宋体" w:hAnsi="宋体" w:cs="宋体" w:eastAsia="宋体" w:hint="default"/>
                <w:spacing w:val="-2"/>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6"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6"/>
              <w:jc w:val="right"/>
              <w:rPr>
                <w:rFonts w:ascii="宋体" w:hAnsi="宋体" w:cs="宋体" w:eastAsia="宋体" w:hint="default"/>
                <w:sz w:val="18"/>
                <w:szCs w:val="18"/>
              </w:rPr>
            </w:pPr>
            <w:r>
              <w:rPr>
                <w:rFonts w:ascii="宋体"/>
                <w:sz w:val="18"/>
              </w:rPr>
              <w:t>0.01</w:t>
            </w:r>
          </w:p>
        </w:tc>
        <w:tc>
          <w:tcPr>
            <w:tcW w:w="1844" w:type="dxa"/>
            <w:tcBorders>
              <w:top w:val="single" w:sz="4" w:space="0" w:color="000000"/>
              <w:left w:val="single" w:sz="4" w:space="0" w:color="000000"/>
              <w:bottom w:val="single" w:sz="4" w:space="0" w:color="000000"/>
              <w:right w:val="single" w:sz="4" w:space="0" w:color="000000"/>
            </w:tcBorders>
          </w:tcPr>
          <w:p>
            <w:pPr/>
          </w:p>
        </w:tc>
      </w:tr>
      <w:tr>
        <w:trPr>
          <w:trHeight w:val="355" w:hRule="exact"/>
        </w:trPr>
        <w:tc>
          <w:tcPr>
            <w:tcW w:w="4537" w:type="dxa"/>
            <w:tcBorders>
              <w:top w:val="single" w:sz="4" w:space="0" w:color="000000"/>
              <w:left w:val="single" w:sz="4" w:space="0" w:color="000000"/>
              <w:bottom w:val="single" w:sz="22" w:space="0" w:color="D2D2D2"/>
              <w:right w:val="single" w:sz="4" w:space="0" w:color="000000"/>
            </w:tcBorders>
          </w:tcPr>
          <w:p>
            <w:pPr>
              <w:pStyle w:val="TableParagraph"/>
              <w:tabs>
                <w:tab w:pos="4481" w:val="left" w:leader="none"/>
              </w:tabs>
              <w:spacing w:line="240" w:lineRule="auto" w:before="21"/>
              <w:ind w:right="19"/>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pacing w:val="1"/>
                <w:sz w:val="18"/>
                <w:szCs w:val="18"/>
                <w:shd w:fill="D2D2D2" w:color="auto" w:val="clear"/>
              </w:rPr>
              <w:t>   </w:t>
            </w:r>
            <w:r>
              <w:rPr>
                <w:rFonts w:ascii="宋体" w:hAnsi="宋体" w:cs="宋体" w:eastAsia="宋体" w:hint="default"/>
                <w:spacing w:val="-1"/>
                <w:sz w:val="18"/>
                <w:szCs w:val="18"/>
                <w:shd w:fill="D2D2D2" w:color="auto" w:val="clear"/>
              </w:rPr>
              <w:t>减：营业外支出</w:t>
            </w:r>
            <w:r>
              <w:rPr>
                <w:rFonts w:ascii="宋体" w:hAnsi="宋体" w:cs="宋体" w:eastAsia="宋体" w:hint="default"/>
                <w:spacing w:val="-2"/>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6"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6"/>
              <w:jc w:val="right"/>
              <w:rPr>
                <w:rFonts w:ascii="宋体" w:hAnsi="宋体" w:cs="宋体" w:eastAsia="宋体" w:hint="default"/>
                <w:sz w:val="18"/>
                <w:szCs w:val="18"/>
              </w:rPr>
            </w:pPr>
            <w:r>
              <w:rPr>
                <w:rFonts w:ascii="宋体"/>
                <w:spacing w:val="-1"/>
                <w:sz w:val="18"/>
              </w:rPr>
              <w:t>430.99</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6"/>
              <w:jc w:val="right"/>
              <w:rPr>
                <w:rFonts w:ascii="宋体" w:hAnsi="宋体" w:cs="宋体" w:eastAsia="宋体" w:hint="default"/>
                <w:sz w:val="18"/>
                <w:szCs w:val="18"/>
              </w:rPr>
            </w:pPr>
            <w:r>
              <w:rPr>
                <w:rFonts w:ascii="宋体"/>
                <w:spacing w:val="-1"/>
                <w:sz w:val="18"/>
              </w:rPr>
              <w:t>506.82</w:t>
            </w:r>
          </w:p>
        </w:tc>
      </w:tr>
      <w:tr>
        <w:trPr>
          <w:trHeight w:val="374" w:hRule="exact"/>
        </w:trPr>
        <w:tc>
          <w:tcPr>
            <w:tcW w:w="4537" w:type="dxa"/>
            <w:tcBorders>
              <w:top w:val="single" w:sz="22" w:space="0" w:color="D2D2D2"/>
              <w:left w:val="single" w:sz="4" w:space="0" w:color="000000"/>
              <w:bottom w:val="single" w:sz="15" w:space="0" w:color="D2D2D2"/>
              <w:right w:val="single" w:sz="4" w:space="0" w:color="000000"/>
            </w:tcBorders>
          </w:tcPr>
          <w:p>
            <w:pPr>
              <w:pStyle w:val="TableParagraph"/>
              <w:tabs>
                <w:tab w:pos="4481" w:val="left" w:leader="none"/>
              </w:tabs>
              <w:spacing w:line="240" w:lineRule="auto" w:before="13"/>
              <w:ind w:right="19"/>
              <w:jc w:val="right"/>
              <w:rPr>
                <w:rFonts w:ascii="宋体" w:hAnsi="宋体" w:cs="宋体" w:eastAsia="宋体" w:hint="default"/>
                <w:sz w:val="18"/>
                <w:szCs w:val="18"/>
              </w:rPr>
            </w:pPr>
            <w:r>
              <w:rPr>
                <w:rFonts w:ascii="宋体" w:hAnsi="宋体" w:cs="宋体" w:eastAsia="宋体" w:hint="default"/>
                <w:b/>
                <w:bCs/>
                <w:w w:val="99"/>
                <w:sz w:val="18"/>
                <w:szCs w:val="18"/>
              </w:rPr>
            </w:r>
            <w:r>
              <w:rPr>
                <w:rFonts w:ascii="宋体" w:hAnsi="宋体" w:cs="宋体" w:eastAsia="宋体" w:hint="default"/>
                <w:b/>
                <w:bCs/>
                <w:spacing w:val="1"/>
                <w:w w:val="99"/>
                <w:sz w:val="18"/>
                <w:szCs w:val="18"/>
                <w:shd w:fill="D2D2D2" w:color="auto" w:val="clear"/>
              </w:rPr>
              <w:t> </w:t>
            </w:r>
            <w:r>
              <w:rPr>
                <w:rFonts w:ascii="宋体" w:hAnsi="宋体" w:cs="宋体" w:eastAsia="宋体" w:hint="default"/>
                <w:b/>
                <w:bCs/>
                <w:sz w:val="18"/>
                <w:szCs w:val="18"/>
                <w:shd w:fill="D2D2D2" w:color="auto" w:val="clear"/>
              </w:rPr>
              <w:t>三、利润总额（亏损总额以“－”号填列）</w:t>
            </w:r>
            <w:r>
              <w:rPr>
                <w:rFonts w:ascii="宋体" w:hAnsi="宋体" w:cs="宋体" w:eastAsia="宋体" w:hint="default"/>
                <w:b/>
                <w:bCs/>
                <w:spacing w:val="-2"/>
                <w:w w:val="99"/>
                <w:sz w:val="18"/>
                <w:szCs w:val="18"/>
                <w:shd w:fill="D2D2D2" w:color="auto" w:val="clear"/>
              </w:rPr>
              <w:t>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1136"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7"/>
              <w:jc w:val="right"/>
              <w:rPr>
                <w:rFonts w:ascii="宋体" w:hAnsi="宋体" w:cs="宋体" w:eastAsia="宋体" w:hint="default"/>
                <w:sz w:val="18"/>
                <w:szCs w:val="18"/>
              </w:rPr>
            </w:pPr>
            <w:r>
              <w:rPr>
                <w:rFonts w:ascii="宋体"/>
                <w:b/>
                <w:w w:val="95"/>
                <w:sz w:val="18"/>
              </w:rPr>
              <w:t>-893,913,155.37</w:t>
            </w:r>
            <w:r>
              <w:rPr>
                <w:rFonts w:ascii="宋体"/>
                <w:sz w:val="18"/>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8"/>
              <w:jc w:val="right"/>
              <w:rPr>
                <w:rFonts w:ascii="宋体" w:hAnsi="宋体" w:cs="宋体" w:eastAsia="宋体" w:hint="default"/>
                <w:sz w:val="18"/>
                <w:szCs w:val="18"/>
              </w:rPr>
            </w:pPr>
            <w:r>
              <w:rPr>
                <w:rFonts w:ascii="宋体"/>
                <w:b/>
                <w:w w:val="95"/>
                <w:sz w:val="18"/>
              </w:rPr>
              <w:t>150,518,108.94</w:t>
            </w:r>
            <w:r>
              <w:rPr>
                <w:rFonts w:ascii="宋体"/>
                <w:sz w:val="18"/>
              </w:rPr>
            </w:r>
          </w:p>
        </w:tc>
      </w:tr>
      <w:tr>
        <w:trPr>
          <w:trHeight w:val="368" w:hRule="exact"/>
        </w:trPr>
        <w:tc>
          <w:tcPr>
            <w:tcW w:w="4537" w:type="dxa"/>
            <w:tcBorders>
              <w:top w:val="single" w:sz="15" w:space="0" w:color="D2D2D2"/>
              <w:left w:val="single" w:sz="4" w:space="0" w:color="000000"/>
              <w:bottom w:val="single" w:sz="15" w:space="0" w:color="D2D2D2"/>
              <w:right w:val="single" w:sz="4" w:space="0" w:color="000000"/>
            </w:tcBorders>
          </w:tcPr>
          <w:p>
            <w:pPr>
              <w:pStyle w:val="TableParagraph"/>
              <w:tabs>
                <w:tab w:pos="4481" w:val="left" w:leader="none"/>
              </w:tabs>
              <w:spacing w:line="240" w:lineRule="auto" w:before="28"/>
              <w:ind w:right="19"/>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pacing w:val="1"/>
                <w:sz w:val="18"/>
                <w:szCs w:val="18"/>
                <w:shd w:fill="D2D2D2" w:color="auto" w:val="clear"/>
              </w:rPr>
              <w:t>   </w:t>
            </w:r>
            <w:r>
              <w:rPr>
                <w:rFonts w:ascii="宋体" w:hAnsi="宋体" w:cs="宋体" w:eastAsia="宋体" w:hint="default"/>
                <w:spacing w:val="-1"/>
                <w:sz w:val="18"/>
                <w:szCs w:val="18"/>
                <w:shd w:fill="D2D2D2" w:color="auto" w:val="clear"/>
              </w:rPr>
              <w:t>减：所得税费用</w:t>
            </w:r>
            <w:r>
              <w:rPr>
                <w:rFonts w:ascii="宋体" w:hAnsi="宋体" w:cs="宋体" w:eastAsia="宋体" w:hint="default"/>
                <w:spacing w:val="-2"/>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6"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6"/>
              <w:jc w:val="right"/>
              <w:rPr>
                <w:rFonts w:ascii="宋体" w:hAnsi="宋体" w:cs="宋体" w:eastAsia="宋体" w:hint="default"/>
                <w:sz w:val="18"/>
                <w:szCs w:val="18"/>
              </w:rPr>
            </w:pPr>
            <w:r>
              <w:rPr>
                <w:rFonts w:ascii="宋体"/>
                <w:spacing w:val="-1"/>
                <w:sz w:val="18"/>
              </w:rPr>
              <w:t>939.84</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3"/>
              <w:ind w:right="16"/>
              <w:jc w:val="right"/>
              <w:rPr>
                <w:rFonts w:ascii="宋体" w:hAnsi="宋体" w:cs="宋体" w:eastAsia="宋体" w:hint="default"/>
                <w:sz w:val="18"/>
                <w:szCs w:val="18"/>
              </w:rPr>
            </w:pPr>
            <w:r>
              <w:rPr>
                <w:rFonts w:ascii="宋体"/>
                <w:sz w:val="18"/>
              </w:rPr>
              <w:t>-671.66</w:t>
            </w:r>
          </w:p>
        </w:tc>
      </w:tr>
      <w:tr>
        <w:trPr>
          <w:trHeight w:val="347" w:hRule="exact"/>
        </w:trPr>
        <w:tc>
          <w:tcPr>
            <w:tcW w:w="4537" w:type="dxa"/>
            <w:tcBorders>
              <w:top w:val="single" w:sz="15" w:space="0" w:color="D2D2D2"/>
              <w:left w:val="single" w:sz="4" w:space="0" w:color="000000"/>
              <w:bottom w:val="single" w:sz="11" w:space="0" w:color="000000"/>
              <w:right w:val="single" w:sz="4" w:space="0" w:color="000000"/>
            </w:tcBorders>
          </w:tcPr>
          <w:p>
            <w:pPr>
              <w:pStyle w:val="TableParagraph"/>
              <w:tabs>
                <w:tab w:pos="4481" w:val="left" w:leader="none"/>
              </w:tabs>
              <w:spacing w:line="240" w:lineRule="auto" w:before="13"/>
              <w:ind w:right="19"/>
              <w:jc w:val="right"/>
              <w:rPr>
                <w:rFonts w:ascii="宋体" w:hAnsi="宋体" w:cs="宋体" w:eastAsia="宋体" w:hint="default"/>
                <w:sz w:val="18"/>
                <w:szCs w:val="18"/>
              </w:rPr>
            </w:pPr>
            <w:r>
              <w:rPr>
                <w:rFonts w:ascii="宋体" w:hAnsi="宋体" w:cs="宋体" w:eastAsia="宋体" w:hint="default"/>
                <w:b/>
                <w:bCs/>
                <w:w w:val="99"/>
                <w:sz w:val="18"/>
                <w:szCs w:val="18"/>
              </w:rPr>
            </w:r>
            <w:r>
              <w:rPr>
                <w:rFonts w:ascii="宋体" w:hAnsi="宋体" w:cs="宋体" w:eastAsia="宋体" w:hint="default"/>
                <w:b/>
                <w:bCs/>
                <w:spacing w:val="1"/>
                <w:w w:val="99"/>
                <w:sz w:val="18"/>
                <w:szCs w:val="18"/>
                <w:shd w:fill="D2D2D2" w:color="auto" w:val="clear"/>
              </w:rPr>
              <w:t> </w:t>
            </w:r>
            <w:r>
              <w:rPr>
                <w:rFonts w:ascii="宋体" w:hAnsi="宋体" w:cs="宋体" w:eastAsia="宋体" w:hint="default"/>
                <w:b/>
                <w:bCs/>
                <w:sz w:val="18"/>
                <w:szCs w:val="18"/>
                <w:shd w:fill="D2D2D2" w:color="auto" w:val="clear"/>
              </w:rPr>
              <w:t>四、净利润（净亏损以“－”号填列）</w:t>
            </w:r>
            <w:r>
              <w:rPr>
                <w:rFonts w:ascii="宋体" w:hAnsi="宋体" w:cs="宋体" w:eastAsia="宋体" w:hint="default"/>
                <w:b/>
                <w:bCs/>
                <w:spacing w:val="1"/>
                <w:w w:val="99"/>
                <w:sz w:val="18"/>
                <w:szCs w:val="18"/>
                <w:shd w:fill="D2D2D2" w:color="auto" w:val="clear"/>
              </w:rPr>
              <w:t>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1136"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7"/>
              <w:jc w:val="right"/>
              <w:rPr>
                <w:rFonts w:ascii="宋体" w:hAnsi="宋体" w:cs="宋体" w:eastAsia="宋体" w:hint="default"/>
                <w:sz w:val="18"/>
                <w:szCs w:val="18"/>
              </w:rPr>
            </w:pPr>
            <w:r>
              <w:rPr>
                <w:rFonts w:ascii="宋体"/>
                <w:b/>
                <w:w w:val="95"/>
                <w:sz w:val="18"/>
              </w:rPr>
              <w:t>-893,914,095.21</w:t>
            </w:r>
            <w:r>
              <w:rPr>
                <w:rFonts w:ascii="宋体"/>
                <w:sz w:val="18"/>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7"/>
              <w:ind w:right="18"/>
              <w:jc w:val="right"/>
              <w:rPr>
                <w:rFonts w:ascii="宋体" w:hAnsi="宋体" w:cs="宋体" w:eastAsia="宋体" w:hint="default"/>
                <w:sz w:val="18"/>
                <w:szCs w:val="18"/>
              </w:rPr>
            </w:pPr>
            <w:r>
              <w:rPr>
                <w:rFonts w:ascii="宋体"/>
                <w:b/>
                <w:w w:val="95"/>
                <w:sz w:val="18"/>
              </w:rPr>
              <w:t>150,518,780.60</w:t>
            </w:r>
            <w:r>
              <w:rPr>
                <w:rFonts w:ascii="宋体"/>
                <w:sz w:val="18"/>
              </w:rPr>
            </w:r>
          </w:p>
        </w:tc>
      </w:tr>
      <w:tr>
        <w:trPr>
          <w:trHeight w:val="341" w:hRule="exact"/>
        </w:trPr>
        <w:tc>
          <w:tcPr>
            <w:tcW w:w="4537" w:type="dxa"/>
            <w:tcBorders>
              <w:top w:val="single" w:sz="11" w:space="0" w:color="000000"/>
              <w:left w:val="single" w:sz="4" w:space="0" w:color="000000"/>
              <w:bottom w:val="single" w:sz="4" w:space="0" w:color="000000"/>
              <w:right w:val="single" w:sz="4" w:space="0" w:color="000000"/>
            </w:tcBorders>
          </w:tcPr>
          <w:p>
            <w:pPr>
              <w:pStyle w:val="TableParagraph"/>
              <w:tabs>
                <w:tab w:pos="4481" w:val="left" w:leader="none"/>
              </w:tabs>
              <w:spacing w:line="240" w:lineRule="auto" w:before="13"/>
              <w:ind w:right="19"/>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pacing w:val="1"/>
                <w:sz w:val="18"/>
                <w:szCs w:val="18"/>
                <w:shd w:fill="D2D2D2" w:color="auto" w:val="clear"/>
              </w:rPr>
              <w:t>  </w:t>
            </w:r>
            <w:r>
              <w:rPr>
                <w:rFonts w:ascii="宋体" w:hAnsi="宋体" w:cs="宋体" w:eastAsia="宋体" w:hint="default"/>
                <w:spacing w:val="-1"/>
                <w:sz w:val="18"/>
                <w:szCs w:val="18"/>
                <w:shd w:fill="D2D2D2" w:color="auto" w:val="clear"/>
              </w:rPr>
              <w:t>（一）持续经营净利润（净亏损以“－”号填列）</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6"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7"/>
              <w:jc w:val="right"/>
              <w:rPr>
                <w:rFonts w:ascii="宋体" w:hAnsi="宋体" w:cs="宋体" w:eastAsia="宋体" w:hint="default"/>
                <w:sz w:val="18"/>
                <w:szCs w:val="18"/>
              </w:rPr>
            </w:pPr>
            <w:r>
              <w:rPr>
                <w:rFonts w:ascii="宋体"/>
                <w:spacing w:val="-1"/>
                <w:sz w:val="18"/>
              </w:rPr>
              <w:t>-893,914,095.21</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7"/>
              <w:jc w:val="right"/>
              <w:rPr>
                <w:rFonts w:ascii="宋体" w:hAnsi="宋体" w:cs="宋体" w:eastAsia="宋体" w:hint="default"/>
                <w:sz w:val="18"/>
                <w:szCs w:val="18"/>
              </w:rPr>
            </w:pPr>
            <w:r>
              <w:rPr>
                <w:rFonts w:ascii="宋体"/>
                <w:spacing w:val="-1"/>
                <w:sz w:val="18"/>
              </w:rPr>
              <w:t>150,518,780.60</w:t>
            </w:r>
          </w:p>
        </w:tc>
      </w:tr>
      <w:tr>
        <w:trPr>
          <w:trHeight w:val="338" w:hRule="exact"/>
        </w:trPr>
        <w:tc>
          <w:tcPr>
            <w:tcW w:w="4537" w:type="dxa"/>
            <w:tcBorders>
              <w:top w:val="single" w:sz="4" w:space="0" w:color="000000"/>
              <w:left w:val="single" w:sz="4" w:space="0" w:color="000000"/>
              <w:bottom w:val="single" w:sz="11" w:space="0" w:color="000000"/>
              <w:right w:val="single" w:sz="4" w:space="0" w:color="000000"/>
            </w:tcBorders>
          </w:tcPr>
          <w:p>
            <w:pPr>
              <w:pStyle w:val="TableParagraph"/>
              <w:tabs>
                <w:tab w:pos="4481" w:val="left" w:leader="none"/>
              </w:tabs>
              <w:spacing w:line="240" w:lineRule="auto" w:before="21"/>
              <w:ind w:right="19"/>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pacing w:val="1"/>
                <w:sz w:val="18"/>
                <w:szCs w:val="18"/>
                <w:shd w:fill="D2D2D2" w:color="auto" w:val="clear"/>
              </w:rPr>
              <w:t>  </w:t>
            </w:r>
            <w:r>
              <w:rPr>
                <w:rFonts w:ascii="宋体" w:hAnsi="宋体" w:cs="宋体" w:eastAsia="宋体" w:hint="default"/>
                <w:spacing w:val="-1"/>
                <w:sz w:val="18"/>
                <w:szCs w:val="18"/>
                <w:shd w:fill="D2D2D2" w:color="auto" w:val="clear"/>
              </w:rPr>
              <w:t>（二）终止经营净利润（净亏损以“－”号填列）</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6"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537" w:type="dxa"/>
            <w:tcBorders>
              <w:top w:val="single" w:sz="11" w:space="0" w:color="000000"/>
              <w:left w:val="single" w:sz="4" w:space="0" w:color="000000"/>
              <w:bottom w:val="single" w:sz="11" w:space="0" w:color="000000"/>
              <w:right w:val="single" w:sz="4" w:space="0" w:color="000000"/>
            </w:tcBorders>
          </w:tcPr>
          <w:p>
            <w:pPr>
              <w:pStyle w:val="TableParagraph"/>
              <w:tabs>
                <w:tab w:pos="4481" w:val="left" w:leader="none"/>
              </w:tabs>
              <w:spacing w:line="240" w:lineRule="auto" w:before="13"/>
              <w:ind w:right="19"/>
              <w:jc w:val="right"/>
              <w:rPr>
                <w:rFonts w:ascii="宋体" w:hAnsi="宋体" w:cs="宋体" w:eastAsia="宋体" w:hint="default"/>
                <w:sz w:val="18"/>
                <w:szCs w:val="18"/>
              </w:rPr>
            </w:pPr>
            <w:r>
              <w:rPr>
                <w:rFonts w:ascii="宋体" w:hAnsi="宋体" w:cs="宋体" w:eastAsia="宋体" w:hint="default"/>
                <w:b/>
                <w:bCs/>
                <w:w w:val="99"/>
                <w:sz w:val="18"/>
                <w:szCs w:val="18"/>
              </w:rPr>
            </w:r>
            <w:r>
              <w:rPr>
                <w:rFonts w:ascii="宋体" w:hAnsi="宋体" w:cs="宋体" w:eastAsia="宋体" w:hint="default"/>
                <w:b/>
                <w:bCs/>
                <w:spacing w:val="1"/>
                <w:w w:val="99"/>
                <w:sz w:val="18"/>
                <w:szCs w:val="18"/>
                <w:shd w:fill="D2D2D2" w:color="auto" w:val="clear"/>
              </w:rPr>
              <w:t> </w:t>
            </w:r>
            <w:r>
              <w:rPr>
                <w:rFonts w:ascii="宋体" w:hAnsi="宋体" w:cs="宋体" w:eastAsia="宋体" w:hint="default"/>
                <w:b/>
                <w:bCs/>
                <w:w w:val="95"/>
                <w:sz w:val="18"/>
                <w:szCs w:val="18"/>
                <w:shd w:fill="D2D2D2" w:color="auto" w:val="clear"/>
              </w:rPr>
              <w:t>五、其他综合收益的税后净额</w:t>
            </w:r>
            <w:r>
              <w:rPr>
                <w:rFonts w:ascii="宋体" w:hAnsi="宋体" w:cs="宋体" w:eastAsia="宋体" w:hint="default"/>
                <w:b/>
                <w:bCs/>
                <w:spacing w:val="1"/>
                <w:w w:val="99"/>
                <w:sz w:val="18"/>
                <w:szCs w:val="18"/>
                <w:shd w:fill="D2D2D2" w:color="auto" w:val="clear"/>
              </w:rPr>
              <w:t>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1136"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537" w:type="dxa"/>
            <w:tcBorders>
              <w:top w:val="single" w:sz="11" w:space="0" w:color="000000"/>
              <w:left w:val="single" w:sz="4" w:space="0" w:color="000000"/>
              <w:bottom w:val="single" w:sz="11" w:space="0" w:color="000000"/>
              <w:right w:val="single" w:sz="4" w:space="0" w:color="000000"/>
            </w:tcBorders>
          </w:tcPr>
          <w:p>
            <w:pPr>
              <w:pStyle w:val="TableParagraph"/>
              <w:tabs>
                <w:tab w:pos="4481" w:val="left" w:leader="none"/>
              </w:tabs>
              <w:spacing w:line="240" w:lineRule="auto" w:before="13"/>
              <w:ind w:right="19"/>
              <w:jc w:val="right"/>
              <w:rPr>
                <w:rFonts w:ascii="宋体" w:hAnsi="宋体" w:cs="宋体" w:eastAsia="宋体" w:hint="default"/>
                <w:sz w:val="18"/>
                <w:szCs w:val="18"/>
              </w:rPr>
            </w:pPr>
            <w:r>
              <w:rPr>
                <w:rFonts w:ascii="宋体" w:hAnsi="宋体" w:cs="宋体" w:eastAsia="宋体" w:hint="default"/>
                <w:b/>
                <w:bCs/>
                <w:w w:val="99"/>
                <w:sz w:val="18"/>
                <w:szCs w:val="18"/>
              </w:rPr>
            </w:r>
            <w:r>
              <w:rPr>
                <w:rFonts w:ascii="宋体" w:hAnsi="宋体" w:cs="宋体" w:eastAsia="宋体" w:hint="default"/>
                <w:b/>
                <w:bCs/>
                <w:w w:val="95"/>
                <w:sz w:val="18"/>
                <w:szCs w:val="18"/>
                <w:shd w:fill="D2D2D2" w:color="auto" w:val="clear"/>
              </w:rPr>
              <w:t>（一）不能重分类进损益的其他综合收益</w:t>
            </w:r>
            <w:r>
              <w:rPr>
                <w:rFonts w:ascii="宋体" w:hAnsi="宋体" w:cs="宋体" w:eastAsia="宋体" w:hint="default"/>
                <w:b/>
                <w:bCs/>
                <w:spacing w:val="1"/>
                <w:w w:val="99"/>
                <w:sz w:val="18"/>
                <w:szCs w:val="18"/>
                <w:shd w:fill="D2D2D2" w:color="auto" w:val="clear"/>
              </w:rPr>
              <w:t>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1136"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4537" w:type="dxa"/>
            <w:tcBorders>
              <w:top w:val="single" w:sz="11" w:space="0" w:color="000000"/>
              <w:left w:val="single" w:sz="4" w:space="0" w:color="000000"/>
              <w:bottom w:val="single" w:sz="4" w:space="0" w:color="000000"/>
              <w:right w:val="single" w:sz="4" w:space="0" w:color="000000"/>
            </w:tcBorders>
          </w:tcPr>
          <w:p>
            <w:pPr>
              <w:pStyle w:val="TableParagraph"/>
              <w:tabs>
                <w:tab w:pos="4481" w:val="left" w:leader="none"/>
              </w:tabs>
              <w:spacing w:line="240" w:lineRule="auto" w:before="13"/>
              <w:ind w:right="19"/>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 </w:t>
            </w:r>
            <w:r>
              <w:rPr>
                <w:rFonts w:ascii="宋体" w:hAnsi="宋体" w:cs="宋体" w:eastAsia="宋体" w:hint="default"/>
                <w:spacing w:val="-1"/>
                <w:sz w:val="18"/>
                <w:szCs w:val="18"/>
                <w:shd w:fill="D2D2D2" w:color="auto" w:val="clear"/>
              </w:rPr>
              <w:t>1.</w:t>
            </w:r>
            <w:r>
              <w:rPr>
                <w:rFonts w:ascii="宋体" w:hAnsi="宋体" w:cs="宋体" w:eastAsia="宋体" w:hint="default"/>
                <w:spacing w:val="-1"/>
                <w:sz w:val="18"/>
                <w:szCs w:val="18"/>
                <w:shd w:fill="D2D2D2" w:color="auto" w:val="clear"/>
              </w:rPr>
              <w:t>重新计量设定受益计划变动额</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6"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537" w:type="dxa"/>
            <w:tcBorders>
              <w:top w:val="single" w:sz="4" w:space="0" w:color="000000"/>
              <w:left w:val="single" w:sz="4" w:space="0" w:color="000000"/>
              <w:bottom w:val="single" w:sz="4" w:space="0" w:color="000000"/>
              <w:right w:val="single" w:sz="4" w:space="0" w:color="000000"/>
            </w:tcBorders>
          </w:tcPr>
          <w:p>
            <w:pPr>
              <w:pStyle w:val="TableParagraph"/>
              <w:tabs>
                <w:tab w:pos="4481" w:val="left" w:leader="none"/>
              </w:tabs>
              <w:spacing w:line="240" w:lineRule="auto" w:before="21"/>
              <w:ind w:right="19"/>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 </w:t>
            </w:r>
            <w:r>
              <w:rPr>
                <w:rFonts w:ascii="宋体" w:hAnsi="宋体" w:cs="宋体" w:eastAsia="宋体" w:hint="default"/>
                <w:spacing w:val="-1"/>
                <w:sz w:val="18"/>
                <w:szCs w:val="18"/>
                <w:shd w:fill="D2D2D2" w:color="auto" w:val="clear"/>
              </w:rPr>
              <w:t>2.</w:t>
            </w:r>
            <w:r>
              <w:rPr>
                <w:rFonts w:ascii="宋体" w:hAnsi="宋体" w:cs="宋体" w:eastAsia="宋体" w:hint="default"/>
                <w:spacing w:val="-1"/>
                <w:sz w:val="18"/>
                <w:szCs w:val="18"/>
                <w:shd w:fill="D2D2D2" w:color="auto" w:val="clear"/>
              </w:rPr>
              <w:t>权益法下不能转损益的其他综合收益</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6"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r>
      <w:tr>
        <w:trPr>
          <w:trHeight w:val="359" w:hRule="exact"/>
        </w:trPr>
        <w:tc>
          <w:tcPr>
            <w:tcW w:w="4537" w:type="dxa"/>
            <w:tcBorders>
              <w:top w:val="single" w:sz="4" w:space="0" w:color="000000"/>
              <w:left w:val="single" w:sz="4" w:space="0" w:color="000000"/>
              <w:bottom w:val="single" w:sz="18" w:space="0" w:color="D2D2D2"/>
              <w:right w:val="single" w:sz="4" w:space="0" w:color="000000"/>
            </w:tcBorders>
          </w:tcPr>
          <w:p>
            <w:pPr>
              <w:pStyle w:val="TableParagraph"/>
              <w:tabs>
                <w:tab w:pos="4481" w:val="left" w:leader="none"/>
              </w:tabs>
              <w:spacing w:line="240" w:lineRule="auto" w:before="21"/>
              <w:ind w:right="19"/>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 </w:t>
            </w:r>
            <w:r>
              <w:rPr>
                <w:rFonts w:ascii="宋体" w:hAnsi="宋体" w:cs="宋体" w:eastAsia="宋体" w:hint="default"/>
                <w:spacing w:val="-1"/>
                <w:sz w:val="18"/>
                <w:szCs w:val="18"/>
                <w:shd w:fill="D2D2D2" w:color="auto" w:val="clear"/>
              </w:rPr>
              <w:t>3.</w:t>
            </w:r>
            <w:r>
              <w:rPr>
                <w:rFonts w:ascii="宋体" w:hAnsi="宋体" w:cs="宋体" w:eastAsia="宋体" w:hint="default"/>
                <w:spacing w:val="-1"/>
                <w:sz w:val="18"/>
                <w:szCs w:val="18"/>
                <w:shd w:fill="D2D2D2" w:color="auto" w:val="clear"/>
              </w:rPr>
              <w:t>其他权益工具投资公允价值变动</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6"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r>
      <w:tr>
        <w:trPr>
          <w:trHeight w:val="378" w:hRule="exact"/>
        </w:trPr>
        <w:tc>
          <w:tcPr>
            <w:tcW w:w="4537" w:type="dxa"/>
            <w:tcBorders>
              <w:top w:val="single" w:sz="18" w:space="0" w:color="D2D2D2"/>
              <w:left w:val="single" w:sz="4" w:space="0" w:color="000000"/>
              <w:bottom w:val="single" w:sz="26" w:space="0" w:color="D2D2D2"/>
              <w:right w:val="single" w:sz="4" w:space="0" w:color="000000"/>
            </w:tcBorders>
          </w:tcPr>
          <w:p>
            <w:pPr>
              <w:pStyle w:val="TableParagraph"/>
              <w:tabs>
                <w:tab w:pos="4481" w:val="left" w:leader="none"/>
              </w:tabs>
              <w:spacing w:line="240" w:lineRule="auto" w:before="21"/>
              <w:ind w:right="19"/>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 </w:t>
            </w:r>
            <w:r>
              <w:rPr>
                <w:rFonts w:ascii="宋体" w:hAnsi="宋体" w:cs="宋体" w:eastAsia="宋体" w:hint="default"/>
                <w:spacing w:val="-1"/>
                <w:sz w:val="18"/>
                <w:szCs w:val="18"/>
                <w:shd w:fill="D2D2D2" w:color="auto" w:val="clear"/>
              </w:rPr>
              <w:t>4.</w:t>
            </w:r>
            <w:r>
              <w:rPr>
                <w:rFonts w:ascii="宋体" w:hAnsi="宋体" w:cs="宋体" w:eastAsia="宋体" w:hint="default"/>
                <w:spacing w:val="-1"/>
                <w:sz w:val="18"/>
                <w:szCs w:val="18"/>
                <w:shd w:fill="D2D2D2" w:color="auto" w:val="clear"/>
              </w:rPr>
              <w:t>企业自身信用风险公允价值变动</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6"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r>
      <w:tr>
        <w:trPr>
          <w:trHeight w:val="360" w:hRule="exact"/>
        </w:trPr>
        <w:tc>
          <w:tcPr>
            <w:tcW w:w="4537" w:type="dxa"/>
            <w:tcBorders>
              <w:top w:val="single" w:sz="26" w:space="0" w:color="D2D2D2"/>
              <w:left w:val="single" w:sz="4" w:space="0" w:color="000000"/>
              <w:bottom w:val="single" w:sz="4" w:space="0" w:color="000000"/>
              <w:right w:val="single" w:sz="4" w:space="0" w:color="000000"/>
            </w:tcBorders>
          </w:tcPr>
          <w:p>
            <w:pPr>
              <w:pStyle w:val="TableParagraph"/>
              <w:tabs>
                <w:tab w:pos="4481" w:val="left" w:leader="none"/>
              </w:tabs>
              <w:spacing w:line="240" w:lineRule="auto" w:before="13"/>
              <w:ind w:right="19"/>
              <w:jc w:val="right"/>
              <w:rPr>
                <w:rFonts w:ascii="宋体" w:hAnsi="宋体" w:cs="宋体" w:eastAsia="宋体" w:hint="default"/>
                <w:sz w:val="18"/>
                <w:szCs w:val="18"/>
              </w:rPr>
            </w:pPr>
            <w:r>
              <w:rPr>
                <w:rFonts w:ascii="宋体" w:hAnsi="宋体" w:cs="宋体" w:eastAsia="宋体" w:hint="default"/>
                <w:b/>
                <w:bCs/>
                <w:w w:val="99"/>
                <w:sz w:val="18"/>
                <w:szCs w:val="18"/>
              </w:rPr>
            </w:r>
            <w:r>
              <w:rPr>
                <w:rFonts w:ascii="宋体" w:hAnsi="宋体" w:cs="宋体" w:eastAsia="宋体" w:hint="default"/>
                <w:b/>
                <w:bCs/>
                <w:sz w:val="18"/>
                <w:szCs w:val="18"/>
                <w:shd w:fill="D2D2D2" w:color="auto" w:val="clear"/>
              </w:rPr>
              <w:t>（二）将重分类进损益的其他综合收益</w:t>
            </w:r>
            <w:r>
              <w:rPr>
                <w:rFonts w:ascii="宋体" w:hAnsi="宋体" w:cs="宋体" w:eastAsia="宋体" w:hint="default"/>
                <w:b/>
                <w:bCs/>
                <w:spacing w:val="1"/>
                <w:w w:val="99"/>
                <w:sz w:val="18"/>
                <w:szCs w:val="18"/>
                <w:shd w:fill="D2D2D2" w:color="auto" w:val="clear"/>
              </w:rPr>
              <w:t>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1136"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4537" w:type="dxa"/>
            <w:tcBorders>
              <w:top w:val="single" w:sz="4" w:space="0" w:color="000000"/>
              <w:left w:val="single" w:sz="4" w:space="0" w:color="000000"/>
              <w:bottom w:val="single" w:sz="4" w:space="0" w:color="000000"/>
              <w:right w:val="single" w:sz="4" w:space="0" w:color="000000"/>
            </w:tcBorders>
          </w:tcPr>
          <w:p>
            <w:pPr>
              <w:pStyle w:val="TableParagraph"/>
              <w:tabs>
                <w:tab w:pos="4481" w:val="left" w:leader="none"/>
              </w:tabs>
              <w:spacing w:line="240" w:lineRule="auto" w:before="21"/>
              <w:ind w:right="19"/>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 </w:t>
            </w:r>
            <w:r>
              <w:rPr>
                <w:rFonts w:ascii="宋体" w:hAnsi="宋体" w:cs="宋体" w:eastAsia="宋体" w:hint="default"/>
                <w:spacing w:val="-1"/>
                <w:sz w:val="18"/>
                <w:szCs w:val="18"/>
                <w:shd w:fill="D2D2D2" w:color="auto" w:val="clear"/>
              </w:rPr>
              <w:t>1.</w:t>
            </w:r>
            <w:r>
              <w:rPr>
                <w:rFonts w:ascii="宋体" w:hAnsi="宋体" w:cs="宋体" w:eastAsia="宋体" w:hint="default"/>
                <w:spacing w:val="-1"/>
                <w:sz w:val="18"/>
                <w:szCs w:val="18"/>
                <w:shd w:fill="D2D2D2" w:color="auto" w:val="clear"/>
              </w:rPr>
              <w:t>权益法下可转损益的其他综合收益</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6"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537" w:type="dxa"/>
            <w:tcBorders>
              <w:top w:val="single" w:sz="4" w:space="0" w:color="000000"/>
              <w:left w:val="single" w:sz="4" w:space="0" w:color="000000"/>
              <w:bottom w:val="single" w:sz="11" w:space="0" w:color="000000"/>
              <w:right w:val="single" w:sz="4" w:space="0" w:color="000000"/>
            </w:tcBorders>
          </w:tcPr>
          <w:p>
            <w:pPr>
              <w:pStyle w:val="TableParagraph"/>
              <w:tabs>
                <w:tab w:pos="4481" w:val="left" w:leader="none"/>
              </w:tabs>
              <w:spacing w:line="240" w:lineRule="auto" w:before="21"/>
              <w:ind w:right="19"/>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 </w:t>
            </w:r>
            <w:r>
              <w:rPr>
                <w:rFonts w:ascii="宋体" w:hAnsi="宋体" w:cs="宋体" w:eastAsia="宋体" w:hint="default"/>
                <w:spacing w:val="-1"/>
                <w:sz w:val="18"/>
                <w:szCs w:val="18"/>
                <w:shd w:fill="D2D2D2" w:color="auto" w:val="clear"/>
              </w:rPr>
              <w:t>2.</w:t>
            </w:r>
            <w:r>
              <w:rPr>
                <w:rFonts w:ascii="宋体" w:hAnsi="宋体" w:cs="宋体" w:eastAsia="宋体" w:hint="default"/>
                <w:spacing w:val="-1"/>
                <w:sz w:val="18"/>
                <w:szCs w:val="18"/>
                <w:shd w:fill="D2D2D2" w:color="auto" w:val="clear"/>
              </w:rPr>
              <w:t>其他债权投资公允价值变动</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6"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537" w:type="dxa"/>
            <w:tcBorders>
              <w:top w:val="single" w:sz="11" w:space="0" w:color="000000"/>
              <w:left w:val="single" w:sz="4" w:space="0" w:color="000000"/>
              <w:bottom w:val="single" w:sz="4" w:space="0" w:color="000000"/>
              <w:right w:val="single" w:sz="4" w:space="0" w:color="000000"/>
            </w:tcBorders>
          </w:tcPr>
          <w:p>
            <w:pPr>
              <w:pStyle w:val="TableParagraph"/>
              <w:tabs>
                <w:tab w:pos="4481" w:val="left" w:leader="none"/>
              </w:tabs>
              <w:spacing w:line="240" w:lineRule="auto" w:before="13"/>
              <w:ind w:right="19"/>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 </w:t>
            </w:r>
            <w:r>
              <w:rPr>
                <w:rFonts w:ascii="宋体" w:hAnsi="宋体" w:cs="宋体" w:eastAsia="宋体" w:hint="default"/>
                <w:spacing w:val="-1"/>
                <w:sz w:val="18"/>
                <w:szCs w:val="18"/>
                <w:shd w:fill="D2D2D2" w:color="auto" w:val="clear"/>
              </w:rPr>
              <w:t>3.</w:t>
            </w:r>
            <w:r>
              <w:rPr>
                <w:rFonts w:ascii="宋体" w:hAnsi="宋体" w:cs="宋体" w:eastAsia="宋体" w:hint="default"/>
                <w:spacing w:val="-1"/>
                <w:sz w:val="18"/>
                <w:szCs w:val="18"/>
                <w:shd w:fill="D2D2D2" w:color="auto" w:val="clear"/>
              </w:rPr>
              <w:t>可供出售金融资产公允价值变动损益</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6"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r>
      <w:tr>
        <w:trPr>
          <w:trHeight w:val="355" w:hRule="exact"/>
        </w:trPr>
        <w:tc>
          <w:tcPr>
            <w:tcW w:w="4537" w:type="dxa"/>
            <w:tcBorders>
              <w:top w:val="single" w:sz="4" w:space="0" w:color="000000"/>
              <w:left w:val="single" w:sz="4" w:space="0" w:color="000000"/>
              <w:bottom w:val="single" w:sz="16" w:space="0" w:color="D2D2D2"/>
              <w:right w:val="single" w:sz="4" w:space="0" w:color="000000"/>
            </w:tcBorders>
          </w:tcPr>
          <w:p>
            <w:pPr>
              <w:pStyle w:val="TableParagraph"/>
              <w:tabs>
                <w:tab w:pos="4481" w:val="left" w:leader="none"/>
              </w:tabs>
              <w:spacing w:line="240" w:lineRule="auto" w:before="21"/>
              <w:ind w:right="19"/>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 </w:t>
            </w:r>
            <w:r>
              <w:rPr>
                <w:rFonts w:ascii="宋体" w:hAnsi="宋体" w:cs="宋体" w:eastAsia="宋体" w:hint="default"/>
                <w:spacing w:val="-1"/>
                <w:sz w:val="18"/>
                <w:szCs w:val="18"/>
                <w:shd w:fill="D2D2D2" w:color="auto" w:val="clear"/>
              </w:rPr>
              <w:t>4.</w:t>
            </w:r>
            <w:r>
              <w:rPr>
                <w:rFonts w:ascii="宋体" w:hAnsi="宋体" w:cs="宋体" w:eastAsia="宋体" w:hint="default"/>
                <w:spacing w:val="-1"/>
                <w:sz w:val="18"/>
                <w:szCs w:val="18"/>
                <w:shd w:fill="D2D2D2" w:color="auto" w:val="clear"/>
              </w:rPr>
              <w:t>金融资产重分类计入其他综合收益的金额</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6"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r>
      <w:tr>
        <w:trPr>
          <w:trHeight w:val="372" w:hRule="exact"/>
        </w:trPr>
        <w:tc>
          <w:tcPr>
            <w:tcW w:w="4537" w:type="dxa"/>
            <w:tcBorders>
              <w:top w:val="single" w:sz="16" w:space="0" w:color="D2D2D2"/>
              <w:left w:val="single" w:sz="4" w:space="0" w:color="000000"/>
              <w:bottom w:val="single" w:sz="24" w:space="0" w:color="D2D2D2"/>
              <w:right w:val="single" w:sz="4" w:space="0" w:color="000000"/>
            </w:tcBorders>
          </w:tcPr>
          <w:p>
            <w:pPr>
              <w:pStyle w:val="TableParagraph"/>
              <w:spacing w:line="240" w:lineRule="auto" w:before="22"/>
              <w:ind w:right="1"/>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 </w:t>
            </w:r>
            <w:r>
              <w:rPr>
                <w:rFonts w:ascii="宋体" w:hAnsi="宋体" w:cs="宋体" w:eastAsia="宋体" w:hint="default"/>
                <w:spacing w:val="-1"/>
                <w:sz w:val="18"/>
                <w:szCs w:val="18"/>
                <w:shd w:fill="D2D2D2" w:color="auto" w:val="clear"/>
              </w:rPr>
              <w:t>5.</w:t>
            </w:r>
            <w:r>
              <w:rPr>
                <w:rFonts w:ascii="宋体" w:hAnsi="宋体" w:cs="宋体" w:eastAsia="宋体" w:hint="default"/>
                <w:spacing w:val="-1"/>
                <w:sz w:val="18"/>
                <w:szCs w:val="18"/>
                <w:shd w:fill="D2D2D2" w:color="auto" w:val="clear"/>
              </w:rPr>
              <w:t>持有至到期投资重分类为可供出售金融资产损益</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r>
            <w:r>
              <w:rPr>
                <w:rFonts w:ascii="宋体" w:hAnsi="宋体" w:cs="宋体" w:eastAsia="宋体" w:hint="default"/>
                <w:sz w:val="18"/>
                <w:szCs w:val="18"/>
              </w:rPr>
            </w:r>
          </w:p>
        </w:tc>
        <w:tc>
          <w:tcPr>
            <w:tcW w:w="1136"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r>
      <w:tr>
        <w:trPr>
          <w:trHeight w:val="352" w:hRule="exact"/>
        </w:trPr>
        <w:tc>
          <w:tcPr>
            <w:tcW w:w="4537" w:type="dxa"/>
            <w:tcBorders>
              <w:top w:val="single" w:sz="24" w:space="0" w:color="D2D2D2"/>
              <w:left w:val="single" w:sz="4" w:space="0" w:color="000000"/>
              <w:bottom w:val="single" w:sz="39" w:space="0" w:color="D2D2D2"/>
              <w:right w:val="single" w:sz="4" w:space="0" w:color="000000"/>
            </w:tcBorders>
          </w:tcPr>
          <w:p>
            <w:pPr>
              <w:pStyle w:val="TableParagraph"/>
              <w:tabs>
                <w:tab w:pos="4481" w:val="left" w:leader="none"/>
              </w:tabs>
              <w:spacing w:line="240" w:lineRule="auto" w:before="13"/>
              <w:ind w:right="19"/>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 </w:t>
            </w:r>
            <w:r>
              <w:rPr>
                <w:rFonts w:ascii="宋体" w:hAnsi="宋体" w:cs="宋体" w:eastAsia="宋体" w:hint="default"/>
                <w:spacing w:val="-1"/>
                <w:sz w:val="18"/>
                <w:szCs w:val="18"/>
                <w:shd w:fill="D2D2D2" w:color="auto" w:val="clear"/>
              </w:rPr>
              <w:t>6.</w:t>
            </w:r>
            <w:r>
              <w:rPr>
                <w:rFonts w:ascii="宋体" w:hAnsi="宋体" w:cs="宋体" w:eastAsia="宋体" w:hint="default"/>
                <w:spacing w:val="-1"/>
                <w:sz w:val="18"/>
                <w:szCs w:val="18"/>
                <w:shd w:fill="D2D2D2" w:color="auto" w:val="clear"/>
              </w:rPr>
              <w:t>其他债权投资信用减值准备</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6"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r>
      <w:tr>
        <w:trPr>
          <w:trHeight w:val="479" w:hRule="exact"/>
        </w:trPr>
        <w:tc>
          <w:tcPr>
            <w:tcW w:w="4537" w:type="dxa"/>
            <w:tcBorders>
              <w:top w:val="single" w:sz="39" w:space="0" w:color="D2D2D2"/>
              <w:left w:val="single" w:sz="4" w:space="0" w:color="000000"/>
              <w:bottom w:val="single" w:sz="47" w:space="0" w:color="D2D2D2"/>
              <w:right w:val="single" w:sz="4" w:space="0" w:color="000000"/>
            </w:tcBorders>
          </w:tcPr>
          <w:p>
            <w:pPr>
              <w:pStyle w:val="TableParagraph"/>
              <w:tabs>
                <w:tab w:pos="4481" w:val="left" w:leader="none"/>
              </w:tabs>
              <w:spacing w:line="240" w:lineRule="auto" w:before="71"/>
              <w:ind w:right="19"/>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pacing w:val="1"/>
                <w:sz w:val="18"/>
                <w:szCs w:val="18"/>
                <w:shd w:fill="D2D2D2" w:color="auto" w:val="clear"/>
              </w:rPr>
              <w:t>  </w:t>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7.</w:t>
            </w:r>
            <w:r>
              <w:rPr>
                <w:rFonts w:ascii="宋体" w:hAnsi="宋体" w:cs="宋体" w:eastAsia="宋体" w:hint="default"/>
                <w:spacing w:val="-2"/>
                <w:sz w:val="18"/>
                <w:szCs w:val="18"/>
                <w:shd w:fill="D2D2D2" w:color="auto" w:val="clear"/>
              </w:rPr>
              <w:t>现金流量套期储备（现金</w:t>
              <w:tab/>
            </w:r>
            <w:r>
              <w:rPr>
                <w:rFonts w:ascii="宋体" w:hAnsi="宋体" w:cs="宋体" w:eastAsia="宋体" w:hint="default"/>
                <w:spacing w:val="-2"/>
                <w:sz w:val="18"/>
                <w:szCs w:val="18"/>
              </w:rPr>
            </w:r>
          </w:p>
        </w:tc>
        <w:tc>
          <w:tcPr>
            <w:tcW w:w="1136"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r>
      <w:tr>
        <w:trPr>
          <w:trHeight w:val="386" w:hRule="exact"/>
        </w:trPr>
        <w:tc>
          <w:tcPr>
            <w:tcW w:w="4537" w:type="dxa"/>
            <w:tcBorders>
              <w:top w:val="single" w:sz="47" w:space="0" w:color="D2D2D2"/>
              <w:left w:val="single" w:sz="4" w:space="0" w:color="000000"/>
              <w:bottom w:val="single" w:sz="11" w:space="0" w:color="000000"/>
              <w:right w:val="single" w:sz="4" w:space="0" w:color="000000"/>
            </w:tcBorders>
          </w:tcPr>
          <w:p>
            <w:pPr>
              <w:pStyle w:val="TableParagraph"/>
              <w:tabs>
                <w:tab w:pos="4481" w:val="left" w:leader="none"/>
              </w:tabs>
              <w:spacing w:line="240" w:lineRule="auto" w:before="13"/>
              <w:ind w:right="19"/>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 </w:t>
            </w:r>
            <w:r>
              <w:rPr>
                <w:rFonts w:ascii="宋体" w:hAnsi="宋体" w:cs="宋体" w:eastAsia="宋体" w:hint="default"/>
                <w:spacing w:val="-1"/>
                <w:sz w:val="18"/>
                <w:szCs w:val="18"/>
                <w:shd w:fill="D2D2D2" w:color="auto" w:val="clear"/>
              </w:rPr>
              <w:t>8.</w:t>
            </w:r>
            <w:r>
              <w:rPr>
                <w:rFonts w:ascii="宋体" w:hAnsi="宋体" w:cs="宋体" w:eastAsia="宋体" w:hint="default"/>
                <w:spacing w:val="-1"/>
                <w:sz w:val="18"/>
                <w:szCs w:val="18"/>
                <w:shd w:fill="D2D2D2" w:color="auto" w:val="clear"/>
              </w:rPr>
              <w:t>外币财务报表折算差额</w:t>
            </w:r>
            <w:r>
              <w:rPr>
                <w:rFonts w:ascii="宋体" w:hAnsi="宋体" w:cs="宋体" w:eastAsia="宋体" w:hint="default"/>
                <w:spacing w:val="-2"/>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6"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4537" w:type="dxa"/>
            <w:tcBorders>
              <w:top w:val="single" w:sz="11" w:space="0" w:color="000000"/>
              <w:left w:val="single" w:sz="4" w:space="0" w:color="000000"/>
              <w:bottom w:val="single" w:sz="11" w:space="0" w:color="000000"/>
              <w:right w:val="single" w:sz="4" w:space="0" w:color="000000"/>
            </w:tcBorders>
          </w:tcPr>
          <w:p>
            <w:pPr>
              <w:pStyle w:val="TableParagraph"/>
              <w:tabs>
                <w:tab w:pos="4481" w:val="left" w:leader="none"/>
              </w:tabs>
              <w:spacing w:line="240" w:lineRule="auto" w:before="13"/>
              <w:ind w:right="19"/>
              <w:jc w:val="righ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pacing w:val="1"/>
                <w:sz w:val="18"/>
                <w:szCs w:val="18"/>
                <w:shd w:fill="D2D2D2" w:color="auto" w:val="clear"/>
              </w:rPr>
              <w:t>  </w:t>
            </w:r>
            <w:r>
              <w:rPr>
                <w:rFonts w:ascii="宋体" w:hAnsi="宋体" w:cs="宋体" w:eastAsia="宋体" w:hint="default"/>
                <w:spacing w:val="-2"/>
                <w:sz w:val="18"/>
                <w:szCs w:val="18"/>
                <w:shd w:fill="D2D2D2" w:color="auto" w:val="clear"/>
              </w:rPr>
              <w:t> </w:t>
            </w:r>
            <w:r>
              <w:rPr>
                <w:rFonts w:ascii="宋体" w:hAnsi="宋体" w:cs="宋体" w:eastAsia="宋体" w:hint="default"/>
                <w:spacing w:val="1"/>
                <w:sz w:val="18"/>
                <w:szCs w:val="18"/>
                <w:shd w:fill="D2D2D2" w:color="auto" w:val="clear"/>
              </w:rPr>
              <w:t> </w:t>
            </w:r>
            <w:r>
              <w:rPr>
                <w:rFonts w:ascii="宋体" w:hAnsi="宋体" w:cs="宋体" w:eastAsia="宋体" w:hint="default"/>
                <w:spacing w:val="-1"/>
                <w:sz w:val="18"/>
                <w:szCs w:val="18"/>
                <w:shd w:fill="D2D2D2" w:color="auto" w:val="clear"/>
              </w:rPr>
              <w:t>9.</w:t>
            </w:r>
            <w:r>
              <w:rPr>
                <w:rFonts w:ascii="宋体" w:hAnsi="宋体" w:cs="宋体" w:eastAsia="宋体" w:hint="default"/>
                <w:spacing w:val="-1"/>
                <w:sz w:val="18"/>
                <w:szCs w:val="18"/>
                <w:shd w:fill="D2D2D2" w:color="auto" w:val="clear"/>
              </w:rPr>
              <w:t>其他</w:t>
            </w:r>
            <w:r>
              <w:rPr>
                <w:rFonts w:ascii="宋体" w:hAnsi="宋体" w:cs="宋体" w:eastAsia="宋体" w:hint="default"/>
                <w:spacing w:val="-2"/>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6"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r>
      <w:tr>
        <w:trPr>
          <w:trHeight w:val="337" w:hRule="exact"/>
        </w:trPr>
        <w:tc>
          <w:tcPr>
            <w:tcW w:w="4537" w:type="dxa"/>
            <w:tcBorders>
              <w:top w:val="single" w:sz="11" w:space="0" w:color="000000"/>
              <w:left w:val="single" w:sz="4" w:space="0" w:color="000000"/>
              <w:bottom w:val="single" w:sz="8" w:space="0" w:color="000000"/>
              <w:right w:val="single" w:sz="4" w:space="0" w:color="000000"/>
            </w:tcBorders>
          </w:tcPr>
          <w:p>
            <w:pPr>
              <w:pStyle w:val="TableParagraph"/>
              <w:tabs>
                <w:tab w:pos="4481" w:val="left" w:leader="none"/>
              </w:tabs>
              <w:spacing w:line="240" w:lineRule="auto" w:before="13"/>
              <w:ind w:right="19"/>
              <w:jc w:val="right"/>
              <w:rPr>
                <w:rFonts w:ascii="宋体" w:hAnsi="宋体" w:cs="宋体" w:eastAsia="宋体" w:hint="default"/>
                <w:sz w:val="18"/>
                <w:szCs w:val="18"/>
              </w:rPr>
            </w:pPr>
            <w:r>
              <w:rPr>
                <w:rFonts w:ascii="宋体" w:hAnsi="宋体" w:cs="宋体" w:eastAsia="宋体" w:hint="default"/>
                <w:b/>
                <w:bCs/>
                <w:w w:val="99"/>
                <w:sz w:val="18"/>
                <w:szCs w:val="18"/>
              </w:rPr>
            </w:r>
            <w:r>
              <w:rPr>
                <w:rFonts w:ascii="宋体" w:hAnsi="宋体" w:cs="宋体" w:eastAsia="宋体" w:hint="default"/>
                <w:b/>
                <w:bCs/>
                <w:spacing w:val="1"/>
                <w:w w:val="99"/>
                <w:sz w:val="18"/>
                <w:szCs w:val="18"/>
                <w:shd w:fill="D2D2D2" w:color="auto" w:val="clear"/>
              </w:rPr>
              <w:t> </w:t>
            </w:r>
            <w:r>
              <w:rPr>
                <w:rFonts w:ascii="宋体" w:hAnsi="宋体" w:cs="宋体" w:eastAsia="宋体" w:hint="default"/>
                <w:b/>
                <w:bCs/>
                <w:w w:val="95"/>
                <w:sz w:val="18"/>
                <w:szCs w:val="18"/>
                <w:shd w:fill="D2D2D2" w:color="auto" w:val="clear"/>
              </w:rPr>
              <w:t>六、综合收益总额</w:t>
            </w:r>
            <w:r>
              <w:rPr>
                <w:rFonts w:ascii="宋体" w:hAnsi="宋体" w:cs="宋体" w:eastAsia="宋体" w:hint="default"/>
                <w:b/>
                <w:bCs/>
                <w:spacing w:val="1"/>
                <w:w w:val="99"/>
                <w:sz w:val="18"/>
                <w:szCs w:val="18"/>
                <w:shd w:fill="D2D2D2" w:color="auto" w:val="clear"/>
              </w:rPr>
              <w:t> </w:t>
            </w:r>
            <w:r>
              <w:rPr>
                <w:rFonts w:ascii="宋体" w:hAnsi="宋体" w:cs="宋体" w:eastAsia="宋体" w:hint="default"/>
                <w:b/>
                <w:bCs/>
                <w:spacing w:val="-2"/>
                <w:w w:val="99"/>
                <w:sz w:val="18"/>
                <w:szCs w:val="18"/>
                <w:shd w:fill="D2D2D2" w:color="auto" w:val="clear"/>
              </w:rPr>
              <w:t>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1136"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7"/>
              <w:jc w:val="right"/>
              <w:rPr>
                <w:rFonts w:ascii="宋体" w:hAnsi="宋体" w:cs="宋体" w:eastAsia="宋体" w:hint="default"/>
                <w:sz w:val="18"/>
                <w:szCs w:val="18"/>
              </w:rPr>
            </w:pPr>
            <w:r>
              <w:rPr>
                <w:rFonts w:ascii="宋体"/>
                <w:b/>
                <w:w w:val="95"/>
                <w:sz w:val="18"/>
              </w:rPr>
              <w:t>-893,914,095.21</w:t>
            </w:r>
            <w:r>
              <w:rPr>
                <w:rFonts w:ascii="宋体"/>
                <w:sz w:val="18"/>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8"/>
              <w:jc w:val="right"/>
              <w:rPr>
                <w:rFonts w:ascii="宋体" w:hAnsi="宋体" w:cs="宋体" w:eastAsia="宋体" w:hint="default"/>
                <w:sz w:val="18"/>
                <w:szCs w:val="18"/>
              </w:rPr>
            </w:pPr>
            <w:r>
              <w:rPr>
                <w:rFonts w:ascii="宋体"/>
                <w:b/>
                <w:w w:val="95"/>
                <w:sz w:val="18"/>
              </w:rPr>
              <w:t>150,518,780.60</w:t>
            </w:r>
            <w:r>
              <w:rPr>
                <w:rFonts w:ascii="宋体"/>
                <w:sz w:val="18"/>
              </w:rPr>
            </w:r>
          </w:p>
        </w:tc>
      </w:tr>
    </w:tbl>
    <w:p>
      <w:pPr>
        <w:pStyle w:val="BodyText"/>
        <w:tabs>
          <w:tab w:pos="2989" w:val="left" w:leader="none"/>
          <w:tab w:pos="7294" w:val="left" w:leader="none"/>
        </w:tabs>
        <w:spacing w:line="241" w:lineRule="exact"/>
        <w:ind w:right="1133"/>
        <w:jc w:val="left"/>
      </w:pPr>
      <w:r>
        <w:rPr/>
        <w:pict>
          <v:shape style="position:absolute;margin-left:178.587006pt;margin-top:-77.036003pt;width:161.450pt;height:25.45pt;mso-position-horizontal-relative:page;mso-position-vertical-relative:paragraph;z-index:-1012192" type="#_x0000_t202" filled="false" stroked="false">
            <v:textbox inset="0,0,0,0">
              <w:txbxContent>
                <w:p>
                  <w:pPr>
                    <w:spacing w:before="111"/>
                    <w:ind w:left="0" w:right="0" w:firstLine="0"/>
                    <w:jc w:val="left"/>
                    <w:rPr>
                      <w:rFonts w:ascii="宋体" w:hAnsi="宋体" w:cs="宋体" w:eastAsia="宋体" w:hint="default"/>
                      <w:sz w:val="18"/>
                      <w:szCs w:val="18"/>
                    </w:rPr>
                  </w:pPr>
                  <w:r>
                    <w:rPr>
                      <w:rFonts w:ascii="宋体" w:hAnsi="宋体" w:cs="宋体" w:eastAsia="宋体" w:hint="default"/>
                      <w:sz w:val="18"/>
                      <w:szCs w:val="18"/>
                    </w:rPr>
                    <w:t>流量套期损益的有效部分）</w:t>
                  </w:r>
                </w:p>
              </w:txbxContent>
            </v:textbox>
            <w10:wrap type="none"/>
          </v:shape>
        </w:pict>
      </w:r>
      <w:r>
        <w:rPr/>
        <w:pict>
          <v:group style="position:absolute;margin-left:283.850006pt;margin-top:-77.036003pt;width:56.2pt;height:25.45pt;mso-position-horizontal-relative:page;mso-position-vertical-relative:paragraph;z-index:-1012168" coordorigin="5677,-1541" coordsize="1124,509">
            <v:group style="position:absolute;left:5677;top:-1541;width:1124;height:509" coordorigin="5677,-1541" coordsize="1124,509">
              <v:shape style="position:absolute;left:5677;top:-1541;width:1124;height:509" coordorigin="5677,-1541" coordsize="1124,509" path="m5677,-1032l6801,-1032,6801,-1541,5677,-1541,5677,-1032xe" filled="true" fillcolor="#ffffff" stroked="false">
                <v:path arrowok="t"/>
                <v:fill type="solid"/>
              </v:shape>
            </v:group>
            <v:group style="position:absolute;left:5699;top:-1442;width:1079;height:312" coordorigin="5699,-1442" coordsize="1079,312">
              <v:shape style="position:absolute;left:5699;top:-1442;width:1079;height:312" coordorigin="5699,-1442" coordsize="1079,312" path="m5699,-1130l6777,-1130,6777,-1442,5699,-1442,5699,-1130xe" filled="true" fillcolor="#ffffff" stroked="false">
                <v:path arrowok="t"/>
                <v:fill type="solid"/>
              </v:shape>
            </v:group>
            <w10:wrap type="none"/>
          </v:group>
        </w:pict>
      </w:r>
      <w:r>
        <w:rPr>
          <w:spacing w:val="-2"/>
        </w:rPr>
        <w:t>法定代表人：吴鹰</w:t>
        <w:tab/>
        <w:t>主管会计工作负责人：李鹏宇</w:t>
        <w:tab/>
        <w:t>会计机构负责人：张雷</w:t>
      </w:r>
    </w:p>
    <w:p>
      <w:pPr>
        <w:spacing w:after="0" w:line="241" w:lineRule="exact"/>
        <w:jc w:val="left"/>
        <w:sectPr>
          <w:pgSz w:w="11910" w:h="16840"/>
          <w:pgMar w:header="921" w:footer="725" w:top="1160" w:bottom="920" w:left="980" w:right="0"/>
        </w:sectPr>
      </w:pPr>
    </w:p>
    <w:p>
      <w:pPr>
        <w:spacing w:line="240" w:lineRule="auto" w:before="12"/>
        <w:rPr>
          <w:rFonts w:ascii="宋体" w:hAnsi="宋体" w:cs="宋体" w:eastAsia="宋体" w:hint="default"/>
          <w:sz w:val="15"/>
          <w:szCs w:val="15"/>
        </w:rPr>
      </w:pPr>
    </w:p>
    <w:p>
      <w:pPr>
        <w:pStyle w:val="Heading3"/>
        <w:spacing w:line="240" w:lineRule="auto"/>
        <w:ind w:right="1133"/>
        <w:jc w:val="left"/>
        <w:rPr>
          <w:b w:val="0"/>
          <w:bCs w:val="0"/>
        </w:rPr>
      </w:pPr>
      <w:r>
        <w:rPr>
          <w:rFonts w:ascii="Times New Roman" w:hAnsi="Times New Roman" w:cs="Times New Roman" w:eastAsia="Times New Roman" w:hint="default"/>
        </w:rPr>
        <w:t>5</w:t>
      </w:r>
      <w:r>
        <w:rPr/>
        <w:t>、合并现金流量表</w:t>
      </w:r>
      <w:r>
        <w:rPr>
          <w:b w:val="0"/>
          <w:bCs w:val="0"/>
        </w:rPr>
      </w:r>
    </w:p>
    <w:p>
      <w:pPr>
        <w:pStyle w:val="BodyText"/>
        <w:spacing w:line="240" w:lineRule="auto" w:before="101"/>
        <w:ind w:left="0" w:right="1548"/>
        <w:jc w:val="right"/>
      </w:pPr>
      <w:r>
        <w:rPr>
          <w:spacing w:val="-1"/>
        </w:rPr>
        <w:t>单位：元</w:t>
      </w:r>
    </w:p>
    <w:p>
      <w:pPr>
        <w:spacing w:line="240" w:lineRule="auto" w:before="8"/>
        <w:rPr>
          <w:rFonts w:ascii="宋体" w:hAnsi="宋体" w:cs="宋体" w:eastAsia="宋体" w:hint="default"/>
          <w:sz w:val="5"/>
          <w:szCs w:val="5"/>
        </w:rPr>
      </w:pPr>
    </w:p>
    <w:tbl>
      <w:tblPr>
        <w:tblW w:w="0" w:type="auto"/>
        <w:jc w:val="left"/>
        <w:tblInd w:w="148" w:type="dxa"/>
        <w:tblLayout w:type="fixed"/>
        <w:tblCellMar>
          <w:top w:w="0" w:type="dxa"/>
          <w:left w:w="0" w:type="dxa"/>
          <w:bottom w:w="0" w:type="dxa"/>
          <w:right w:w="0" w:type="dxa"/>
        </w:tblCellMar>
        <w:tblLook w:val="01E0"/>
      </w:tblPr>
      <w:tblGrid>
        <w:gridCol w:w="4395"/>
        <w:gridCol w:w="1135"/>
        <w:gridCol w:w="1841"/>
        <w:gridCol w:w="1985"/>
      </w:tblGrid>
      <w:tr>
        <w:trPr>
          <w:trHeight w:val="317" w:hRule="exact"/>
        </w:trPr>
        <w:tc>
          <w:tcPr>
            <w:tcW w:w="4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1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附注</w:t>
            </w:r>
          </w:p>
        </w:tc>
        <w:tc>
          <w:tcPr>
            <w:tcW w:w="18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466"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537"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42" w:hRule="exact"/>
        </w:trPr>
        <w:tc>
          <w:tcPr>
            <w:tcW w:w="4395" w:type="dxa"/>
            <w:tcBorders>
              <w:top w:val="single" w:sz="4" w:space="0" w:color="000000"/>
              <w:left w:val="single" w:sz="4" w:space="0" w:color="000000"/>
              <w:bottom w:val="single" w:sz="14" w:space="0" w:color="D2D2D2"/>
              <w:right w:val="single" w:sz="4" w:space="0" w:color="000000"/>
            </w:tcBorders>
          </w:tcPr>
          <w:p>
            <w:pPr>
              <w:pStyle w:val="TableParagraph"/>
              <w:tabs>
                <w:tab w:pos="4342" w:val="left" w:leader="none"/>
              </w:tabs>
              <w:spacing w:line="240" w:lineRule="auto" w:before="20"/>
              <w:ind w:left="2" w:right="0"/>
              <w:jc w:val="center"/>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shd w:fill="D2D2D2" w:color="auto" w:val="clear"/>
              </w:rPr>
              <w:t>一、经营活动产生的现金流量：</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84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43" w:hRule="exact"/>
        </w:trPr>
        <w:tc>
          <w:tcPr>
            <w:tcW w:w="4395" w:type="dxa"/>
            <w:tcBorders>
              <w:top w:val="single" w:sz="14" w:space="0" w:color="D2D2D2"/>
              <w:left w:val="single" w:sz="4" w:space="0" w:color="000000"/>
              <w:bottom w:val="single" w:sz="4" w:space="0" w:color="000000"/>
              <w:right w:val="single" w:sz="4" w:space="0" w:color="000000"/>
            </w:tcBorders>
          </w:tcPr>
          <w:p>
            <w:pPr>
              <w:pStyle w:val="TableParagraph"/>
              <w:tabs>
                <w:tab w:pos="276" w:val="left" w:leader="none"/>
                <w:tab w:pos="4342" w:val="left" w:leader="none"/>
              </w:tabs>
              <w:spacing w:line="240" w:lineRule="auto" w:before="13"/>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销售商品、提供劳务收到的现金</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19"/>
              <w:jc w:val="right"/>
              <w:rPr>
                <w:rFonts w:ascii="宋体" w:hAnsi="宋体" w:cs="宋体" w:eastAsia="宋体" w:hint="default"/>
                <w:sz w:val="18"/>
                <w:szCs w:val="18"/>
              </w:rPr>
            </w:pPr>
            <w:r>
              <w:rPr>
                <w:rFonts w:ascii="宋体"/>
                <w:spacing w:val="-1"/>
                <w:sz w:val="18"/>
              </w:rPr>
              <w:t>3,455,776,420.55</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20"/>
              <w:jc w:val="right"/>
              <w:rPr>
                <w:rFonts w:ascii="宋体" w:hAnsi="宋体" w:cs="宋体" w:eastAsia="宋体" w:hint="default"/>
                <w:sz w:val="18"/>
                <w:szCs w:val="18"/>
              </w:rPr>
            </w:pPr>
            <w:r>
              <w:rPr>
                <w:rFonts w:ascii="宋体"/>
                <w:spacing w:val="-1"/>
                <w:sz w:val="18"/>
              </w:rPr>
              <w:t>3,115,069,953.56</w:t>
            </w:r>
          </w:p>
        </w:tc>
      </w:tr>
      <w:tr>
        <w:trPr>
          <w:trHeight w:val="341"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tabs>
                <w:tab w:pos="276" w:val="left" w:leader="none"/>
                <w:tab w:pos="4342" w:val="left" w:leader="none"/>
              </w:tabs>
              <w:spacing w:line="240" w:lineRule="auto" w:before="21"/>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客户存款和同业存放款项净增加额</w:t>
            </w:r>
            <w:r>
              <w:rPr>
                <w:rFonts w:ascii="Times New Roman" w:hAnsi="Times New Roman" w:cs="Times New Roman" w:eastAsia="Times New Roman" w:hint="default"/>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395" w:type="dxa"/>
            <w:tcBorders>
              <w:top w:val="single" w:sz="4" w:space="0" w:color="000000"/>
              <w:left w:val="single" w:sz="4" w:space="0" w:color="000000"/>
              <w:bottom w:val="single" w:sz="11" w:space="0" w:color="000000"/>
              <w:right w:val="single" w:sz="4" w:space="0" w:color="000000"/>
            </w:tcBorders>
          </w:tcPr>
          <w:p>
            <w:pPr>
              <w:pStyle w:val="TableParagraph"/>
              <w:tabs>
                <w:tab w:pos="276" w:val="left" w:leader="none"/>
                <w:tab w:pos="4342" w:val="left" w:leader="none"/>
              </w:tabs>
              <w:spacing w:line="240" w:lineRule="auto" w:before="21"/>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向中央银行借款净增加额</w:t>
            </w:r>
            <w:r>
              <w:rPr>
                <w:rFonts w:ascii="Times New Roman" w:hAnsi="Times New Roman" w:cs="Times New Roman" w:eastAsia="Times New Roman" w:hint="default"/>
                <w:sz w:val="18"/>
                <w:szCs w:val="18"/>
                <w:shd w:fill="D2D2D2" w:color="auto" w:val="clear"/>
              </w:rPr>
              <w:t>* </w:t>
            </w:r>
            <w:r>
              <w:rPr>
                <w:rFonts w:ascii="Times New Roman" w:hAnsi="Times New Roman" w:cs="Times New Roman" w:eastAsia="Times New Roman" w:hint="default"/>
                <w:spacing w:val="-3"/>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4395" w:type="dxa"/>
            <w:tcBorders>
              <w:top w:val="single" w:sz="11" w:space="0" w:color="000000"/>
              <w:left w:val="single" w:sz="4" w:space="0" w:color="000000"/>
              <w:bottom w:val="single" w:sz="4" w:space="0" w:color="000000"/>
              <w:right w:val="single" w:sz="4" w:space="0" w:color="000000"/>
            </w:tcBorders>
          </w:tcPr>
          <w:p>
            <w:pPr>
              <w:pStyle w:val="TableParagraph"/>
              <w:tabs>
                <w:tab w:pos="276" w:val="left" w:leader="none"/>
                <w:tab w:pos="4342" w:val="left" w:leader="none"/>
              </w:tabs>
              <w:spacing w:line="240" w:lineRule="auto" w:before="13"/>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向其他金融机构拆入资金净增加额</w:t>
            </w:r>
            <w:r>
              <w:rPr>
                <w:rFonts w:ascii="Times New Roman" w:hAnsi="Times New Roman" w:cs="Times New Roman" w:eastAsia="Times New Roman" w:hint="default"/>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tabs>
                <w:tab w:pos="276" w:val="left" w:leader="none"/>
                <w:tab w:pos="4342" w:val="left" w:leader="none"/>
              </w:tabs>
              <w:spacing w:line="240" w:lineRule="auto" w:before="21"/>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收到原保险合同保费取得的现金</w:t>
            </w:r>
            <w:r>
              <w:rPr>
                <w:rFonts w:ascii="Times New Roman" w:hAnsi="Times New Roman" w:cs="Times New Roman" w:eastAsia="Times New Roman" w:hint="default"/>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395" w:type="dxa"/>
            <w:tcBorders>
              <w:top w:val="single" w:sz="4" w:space="0" w:color="000000"/>
              <w:left w:val="single" w:sz="4" w:space="0" w:color="000000"/>
              <w:bottom w:val="single" w:sz="11" w:space="0" w:color="000000"/>
              <w:right w:val="single" w:sz="4" w:space="0" w:color="000000"/>
            </w:tcBorders>
          </w:tcPr>
          <w:p>
            <w:pPr>
              <w:pStyle w:val="TableParagraph"/>
              <w:tabs>
                <w:tab w:pos="276" w:val="left" w:leader="none"/>
                <w:tab w:pos="4342" w:val="left" w:leader="none"/>
              </w:tabs>
              <w:spacing w:line="240" w:lineRule="auto" w:before="21"/>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收到再保险业务现金净额</w:t>
            </w:r>
            <w:r>
              <w:rPr>
                <w:rFonts w:ascii="Times New Roman" w:hAnsi="Times New Roman" w:cs="Times New Roman" w:eastAsia="Times New Roman" w:hint="default"/>
                <w:sz w:val="18"/>
                <w:szCs w:val="18"/>
                <w:shd w:fill="D2D2D2" w:color="auto" w:val="clear"/>
              </w:rPr>
              <w:t>* </w:t>
            </w:r>
            <w:r>
              <w:rPr>
                <w:rFonts w:ascii="Times New Roman" w:hAnsi="Times New Roman" w:cs="Times New Roman" w:eastAsia="Times New Roman" w:hint="default"/>
                <w:spacing w:val="-3"/>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4395" w:type="dxa"/>
            <w:tcBorders>
              <w:top w:val="single" w:sz="11" w:space="0" w:color="000000"/>
              <w:left w:val="single" w:sz="4" w:space="0" w:color="000000"/>
              <w:bottom w:val="single" w:sz="11" w:space="0" w:color="000000"/>
              <w:right w:val="single" w:sz="4" w:space="0" w:color="000000"/>
            </w:tcBorders>
          </w:tcPr>
          <w:p>
            <w:pPr>
              <w:pStyle w:val="TableParagraph"/>
              <w:tabs>
                <w:tab w:pos="276" w:val="left" w:leader="none"/>
                <w:tab w:pos="4342" w:val="left" w:leader="none"/>
              </w:tabs>
              <w:spacing w:line="240" w:lineRule="auto" w:before="13"/>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保户储金及投资款净增加额</w:t>
            </w:r>
            <w:r>
              <w:rPr>
                <w:rFonts w:ascii="Times New Roman" w:hAnsi="Times New Roman" w:cs="Times New Roman" w:eastAsia="Times New Roman" w:hint="default"/>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395" w:type="dxa"/>
            <w:tcBorders>
              <w:top w:val="single" w:sz="11" w:space="0" w:color="000000"/>
              <w:left w:val="single" w:sz="4" w:space="0" w:color="000000"/>
              <w:bottom w:val="single" w:sz="11" w:space="0" w:color="000000"/>
              <w:right w:val="single" w:sz="4" w:space="0" w:color="000000"/>
            </w:tcBorders>
          </w:tcPr>
          <w:p>
            <w:pPr>
              <w:pStyle w:val="TableParagraph"/>
              <w:tabs>
                <w:tab w:pos="276" w:val="left" w:leader="none"/>
                <w:tab w:pos="4342" w:val="left" w:leader="none"/>
              </w:tabs>
              <w:spacing w:line="240" w:lineRule="auto" w:before="13"/>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收取利息、手续费及佣金的现金</w:t>
            </w:r>
            <w:r>
              <w:rPr>
                <w:rFonts w:ascii="Times New Roman" w:hAnsi="Times New Roman" w:cs="Times New Roman" w:eastAsia="Times New Roman" w:hint="default"/>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395" w:type="dxa"/>
            <w:tcBorders>
              <w:top w:val="single" w:sz="11" w:space="0" w:color="000000"/>
              <w:left w:val="single" w:sz="4" w:space="0" w:color="000000"/>
              <w:bottom w:val="single" w:sz="11" w:space="0" w:color="000000"/>
              <w:right w:val="single" w:sz="4" w:space="0" w:color="000000"/>
            </w:tcBorders>
          </w:tcPr>
          <w:p>
            <w:pPr>
              <w:pStyle w:val="TableParagraph"/>
              <w:tabs>
                <w:tab w:pos="276" w:val="left" w:leader="none"/>
                <w:tab w:pos="4342" w:val="left" w:leader="none"/>
              </w:tabs>
              <w:spacing w:line="240" w:lineRule="auto" w:before="13"/>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拆入资金净增加额</w:t>
            </w:r>
            <w:r>
              <w:rPr>
                <w:rFonts w:ascii="Times New Roman" w:hAnsi="Times New Roman" w:cs="Times New Roman" w:eastAsia="Times New Roman" w:hint="default"/>
                <w:sz w:val="18"/>
                <w:szCs w:val="18"/>
                <w:shd w:fill="D2D2D2" w:color="auto" w:val="clear"/>
              </w:rPr>
              <w:t>* </w:t>
            </w:r>
            <w:r>
              <w:rPr>
                <w:rFonts w:ascii="Times New Roman" w:hAnsi="Times New Roman" w:cs="Times New Roman" w:eastAsia="Times New Roman" w:hint="default"/>
                <w:spacing w:val="-3"/>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4395" w:type="dxa"/>
            <w:tcBorders>
              <w:top w:val="single" w:sz="11" w:space="0" w:color="000000"/>
              <w:left w:val="single" w:sz="4" w:space="0" w:color="000000"/>
              <w:bottom w:val="single" w:sz="11" w:space="0" w:color="000000"/>
              <w:right w:val="single" w:sz="4" w:space="0" w:color="000000"/>
            </w:tcBorders>
          </w:tcPr>
          <w:p>
            <w:pPr>
              <w:pStyle w:val="TableParagraph"/>
              <w:tabs>
                <w:tab w:pos="276" w:val="left" w:leader="none"/>
                <w:tab w:pos="4342" w:val="left" w:leader="none"/>
              </w:tabs>
              <w:spacing w:line="240" w:lineRule="auto" w:before="13"/>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回购业务资金净增加额</w:t>
            </w:r>
            <w:r>
              <w:rPr>
                <w:rFonts w:ascii="Times New Roman" w:hAnsi="Times New Roman" w:cs="Times New Roman" w:eastAsia="Times New Roman" w:hint="default"/>
                <w:sz w:val="18"/>
                <w:szCs w:val="18"/>
                <w:shd w:fill="D2D2D2" w:color="auto" w:val="clear"/>
              </w:rPr>
              <w:t>* </w:t>
            </w:r>
            <w:r>
              <w:rPr>
                <w:rFonts w:ascii="Times New Roman" w:hAnsi="Times New Roman" w:cs="Times New Roman" w:eastAsia="Times New Roman" w:hint="default"/>
                <w:spacing w:val="-3"/>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395" w:type="dxa"/>
            <w:tcBorders>
              <w:top w:val="single" w:sz="11" w:space="0" w:color="000000"/>
              <w:left w:val="single" w:sz="4" w:space="0" w:color="000000"/>
              <w:bottom w:val="single" w:sz="11" w:space="0" w:color="000000"/>
              <w:right w:val="single" w:sz="4" w:space="0" w:color="000000"/>
            </w:tcBorders>
          </w:tcPr>
          <w:p>
            <w:pPr>
              <w:pStyle w:val="TableParagraph"/>
              <w:tabs>
                <w:tab w:pos="276" w:val="left" w:leader="none"/>
                <w:tab w:pos="4342" w:val="left" w:leader="none"/>
              </w:tabs>
              <w:spacing w:line="240" w:lineRule="auto" w:before="13"/>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代理买卖证券收到的现金净额</w:t>
            </w:r>
            <w:r>
              <w:rPr>
                <w:rFonts w:ascii="Times New Roman" w:hAnsi="Times New Roman" w:cs="Times New Roman" w:eastAsia="Times New Roman" w:hint="default"/>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395" w:type="dxa"/>
            <w:tcBorders>
              <w:top w:val="single" w:sz="11" w:space="0" w:color="000000"/>
              <w:left w:val="single" w:sz="4" w:space="0" w:color="000000"/>
              <w:bottom w:val="single" w:sz="11" w:space="0" w:color="000000"/>
              <w:right w:val="single" w:sz="4" w:space="0" w:color="000000"/>
            </w:tcBorders>
          </w:tcPr>
          <w:p>
            <w:pPr>
              <w:pStyle w:val="TableParagraph"/>
              <w:tabs>
                <w:tab w:pos="276" w:val="left" w:leader="none"/>
                <w:tab w:pos="4342" w:val="left" w:leader="none"/>
              </w:tabs>
              <w:spacing w:line="240" w:lineRule="auto" w:before="13"/>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收到的税费返还</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889,501.31</w:t>
            </w:r>
          </w:p>
        </w:tc>
        <w:tc>
          <w:tcPr>
            <w:tcW w:w="1985"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4395" w:type="dxa"/>
            <w:tcBorders>
              <w:top w:val="single" w:sz="11" w:space="0" w:color="000000"/>
              <w:left w:val="single" w:sz="4" w:space="0" w:color="000000"/>
              <w:bottom w:val="single" w:sz="4" w:space="0" w:color="000000"/>
              <w:right w:val="single" w:sz="4" w:space="0" w:color="000000"/>
            </w:tcBorders>
          </w:tcPr>
          <w:p>
            <w:pPr>
              <w:pStyle w:val="TableParagraph"/>
              <w:tabs>
                <w:tab w:pos="276" w:val="left" w:leader="none"/>
                <w:tab w:pos="4342" w:val="left" w:leader="none"/>
              </w:tabs>
              <w:spacing w:line="240" w:lineRule="auto" w:before="13"/>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收到其他与经营活动有关的现金</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05" w:right="0"/>
              <w:jc w:val="center"/>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四</w:t>
            </w:r>
            <w:r>
              <w:rPr>
                <w:rFonts w:ascii="宋体" w:hAnsi="宋体" w:cs="宋体" w:eastAsia="宋体" w:hint="default"/>
                <w:w w:val="100"/>
                <w:sz w:val="15"/>
                <w:szCs w:val="15"/>
              </w:rPr>
              <w:t>十</w:t>
            </w:r>
            <w:r>
              <w:rPr>
                <w:rFonts w:ascii="宋体" w:hAnsi="宋体" w:cs="宋体" w:eastAsia="宋体" w:hint="default"/>
                <w:spacing w:val="-3"/>
                <w:w w:val="100"/>
                <w:sz w:val="15"/>
                <w:szCs w:val="15"/>
              </w:rPr>
              <w:t>七</w:t>
            </w:r>
            <w:r>
              <w:rPr>
                <w:rFonts w:ascii="宋体" w:hAnsi="宋体" w:cs="宋体" w:eastAsia="宋体" w:hint="default"/>
                <w:w w:val="100"/>
                <w:sz w:val="15"/>
                <w:szCs w:val="15"/>
              </w:rPr>
              <w:t>）</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163,280,236.62</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spacing w:val="-1"/>
                <w:sz w:val="18"/>
              </w:rPr>
              <w:t>72,101,427.68</w:t>
            </w:r>
          </w:p>
        </w:tc>
      </w:tr>
      <w:tr>
        <w:trPr>
          <w:trHeight w:val="341" w:hRule="exact"/>
        </w:trPr>
        <w:tc>
          <w:tcPr>
            <w:tcW w:w="4395" w:type="dxa"/>
            <w:tcBorders>
              <w:top w:val="single" w:sz="4" w:space="0" w:color="000000"/>
              <w:left w:val="single" w:sz="4" w:space="0" w:color="000000"/>
              <w:bottom w:val="single" w:sz="11" w:space="0" w:color="000000"/>
              <w:right w:val="single" w:sz="4" w:space="0" w:color="000000"/>
            </w:tcBorders>
          </w:tcPr>
          <w:p>
            <w:pPr>
              <w:pStyle w:val="TableParagraph"/>
              <w:tabs>
                <w:tab w:pos="456" w:val="left" w:leader="none"/>
                <w:tab w:pos="4342" w:val="left" w:leader="none"/>
              </w:tabs>
              <w:spacing w:line="240" w:lineRule="auto" w:before="21"/>
              <w:ind w:left="2" w:right="0"/>
              <w:jc w:val="center"/>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z w:val="18"/>
                <w:szCs w:val="18"/>
                <w:shd w:fill="D2D2D2" w:color="auto" w:val="clear"/>
              </w:rPr>
              <w:t> </w:t>
              <w:tab/>
            </w:r>
            <w:r>
              <w:rPr>
                <w:rFonts w:ascii="宋体" w:hAnsi="宋体" w:cs="宋体" w:eastAsia="宋体" w:hint="default"/>
                <w:b/>
                <w:bCs/>
                <w:sz w:val="18"/>
                <w:szCs w:val="18"/>
                <w:shd w:fill="D2D2D2" w:color="auto" w:val="clear"/>
              </w:rPr>
              <w:t>经营活动现金流入小计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b/>
                <w:w w:val="95"/>
                <w:sz w:val="18"/>
              </w:rPr>
              <w:t>3,619,946,158.48</w:t>
            </w:r>
            <w:r>
              <w:rPr>
                <w:rFonts w:ascii="宋体"/>
                <w:sz w:val="18"/>
              </w:rPr>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b/>
                <w:w w:val="95"/>
                <w:sz w:val="18"/>
              </w:rPr>
              <w:t>3,187,171,381.24</w:t>
            </w:r>
            <w:r>
              <w:rPr>
                <w:rFonts w:ascii="宋体"/>
                <w:sz w:val="18"/>
              </w:rPr>
            </w:r>
          </w:p>
        </w:tc>
      </w:tr>
      <w:tr>
        <w:trPr>
          <w:trHeight w:val="341" w:hRule="exact"/>
        </w:trPr>
        <w:tc>
          <w:tcPr>
            <w:tcW w:w="4395" w:type="dxa"/>
            <w:tcBorders>
              <w:top w:val="single" w:sz="11" w:space="0" w:color="000000"/>
              <w:left w:val="single" w:sz="4" w:space="0" w:color="000000"/>
              <w:bottom w:val="single" w:sz="11" w:space="0" w:color="000000"/>
              <w:right w:val="single" w:sz="4" w:space="0" w:color="000000"/>
            </w:tcBorders>
          </w:tcPr>
          <w:p>
            <w:pPr>
              <w:pStyle w:val="TableParagraph"/>
              <w:tabs>
                <w:tab w:pos="276" w:val="left" w:leader="none"/>
                <w:tab w:pos="4342" w:val="left" w:leader="none"/>
              </w:tabs>
              <w:spacing w:line="240" w:lineRule="auto" w:before="13"/>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购买商品、接受劳务支付的现金</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2,251,931,476.61</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spacing w:val="-1"/>
                <w:sz w:val="18"/>
              </w:rPr>
              <w:t>2,150,010,521.36</w:t>
            </w:r>
          </w:p>
        </w:tc>
      </w:tr>
      <w:tr>
        <w:trPr>
          <w:trHeight w:val="338" w:hRule="exact"/>
        </w:trPr>
        <w:tc>
          <w:tcPr>
            <w:tcW w:w="4395" w:type="dxa"/>
            <w:tcBorders>
              <w:top w:val="single" w:sz="11" w:space="0" w:color="000000"/>
              <w:left w:val="single" w:sz="4" w:space="0" w:color="000000"/>
              <w:bottom w:val="single" w:sz="4" w:space="0" w:color="000000"/>
              <w:right w:val="single" w:sz="4" w:space="0" w:color="000000"/>
            </w:tcBorders>
          </w:tcPr>
          <w:p>
            <w:pPr>
              <w:pStyle w:val="TableParagraph"/>
              <w:tabs>
                <w:tab w:pos="276" w:val="left" w:leader="none"/>
                <w:tab w:pos="4342" w:val="left" w:leader="none"/>
              </w:tabs>
              <w:spacing w:line="240" w:lineRule="auto" w:before="13"/>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客户贷款及垫款净增加额</w:t>
            </w:r>
            <w:r>
              <w:rPr>
                <w:rFonts w:ascii="Times New Roman" w:hAnsi="Times New Roman" w:cs="Times New Roman" w:eastAsia="Times New Roman" w:hint="default"/>
                <w:sz w:val="18"/>
                <w:szCs w:val="18"/>
                <w:shd w:fill="D2D2D2" w:color="auto" w:val="clear"/>
              </w:rPr>
              <w:t>* </w:t>
            </w:r>
            <w:r>
              <w:rPr>
                <w:rFonts w:ascii="Times New Roman" w:hAnsi="Times New Roman" w:cs="Times New Roman" w:eastAsia="Times New Roman" w:hint="default"/>
                <w:spacing w:val="-3"/>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395" w:type="dxa"/>
            <w:tcBorders>
              <w:top w:val="single" w:sz="4" w:space="0" w:color="000000"/>
              <w:left w:val="single" w:sz="4" w:space="0" w:color="000000"/>
              <w:bottom w:val="single" w:sz="11" w:space="0" w:color="000000"/>
              <w:right w:val="single" w:sz="4" w:space="0" w:color="000000"/>
            </w:tcBorders>
          </w:tcPr>
          <w:p>
            <w:pPr>
              <w:pStyle w:val="TableParagraph"/>
              <w:tabs>
                <w:tab w:pos="276" w:val="left" w:leader="none"/>
                <w:tab w:pos="4342" w:val="left" w:leader="none"/>
              </w:tabs>
              <w:spacing w:line="240" w:lineRule="auto" w:before="21"/>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存放中央银行和同业款项净增加额</w:t>
            </w:r>
            <w:r>
              <w:rPr>
                <w:rFonts w:ascii="Times New Roman" w:hAnsi="Times New Roman" w:cs="Times New Roman" w:eastAsia="Times New Roman" w:hint="default"/>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395" w:type="dxa"/>
            <w:tcBorders>
              <w:top w:val="single" w:sz="11" w:space="0" w:color="000000"/>
              <w:left w:val="single" w:sz="4" w:space="0" w:color="000000"/>
              <w:bottom w:val="single" w:sz="11" w:space="0" w:color="000000"/>
              <w:right w:val="single" w:sz="4" w:space="0" w:color="000000"/>
            </w:tcBorders>
          </w:tcPr>
          <w:p>
            <w:pPr>
              <w:pStyle w:val="TableParagraph"/>
              <w:tabs>
                <w:tab w:pos="276" w:val="left" w:leader="none"/>
                <w:tab w:pos="4342" w:val="left" w:leader="none"/>
              </w:tabs>
              <w:spacing w:line="240" w:lineRule="auto" w:before="13"/>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支付原保险合同赔付款项的现金</w:t>
            </w:r>
            <w:r>
              <w:rPr>
                <w:rFonts w:ascii="Times New Roman" w:hAnsi="Times New Roman" w:cs="Times New Roman" w:eastAsia="Times New Roman" w:hint="default"/>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4395" w:type="dxa"/>
            <w:tcBorders>
              <w:top w:val="single" w:sz="11" w:space="0" w:color="000000"/>
              <w:left w:val="single" w:sz="4" w:space="0" w:color="000000"/>
              <w:bottom w:val="single" w:sz="4" w:space="0" w:color="000000"/>
              <w:right w:val="single" w:sz="4" w:space="0" w:color="000000"/>
            </w:tcBorders>
          </w:tcPr>
          <w:p>
            <w:pPr>
              <w:pStyle w:val="TableParagraph"/>
              <w:tabs>
                <w:tab w:pos="276" w:val="left" w:leader="none"/>
                <w:tab w:pos="4342" w:val="left" w:leader="none"/>
              </w:tabs>
              <w:spacing w:line="240" w:lineRule="auto" w:before="13"/>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拆出资金净增加额</w:t>
            </w:r>
            <w:r>
              <w:rPr>
                <w:rFonts w:ascii="Times New Roman" w:hAnsi="Times New Roman" w:cs="Times New Roman" w:eastAsia="Times New Roman" w:hint="default"/>
                <w:sz w:val="18"/>
                <w:szCs w:val="18"/>
                <w:shd w:fill="D2D2D2" w:color="auto" w:val="clear"/>
              </w:rPr>
              <w:t>* </w:t>
            </w:r>
            <w:r>
              <w:rPr>
                <w:rFonts w:ascii="Times New Roman" w:hAnsi="Times New Roman" w:cs="Times New Roman" w:eastAsia="Times New Roman" w:hint="default"/>
                <w:spacing w:val="-3"/>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395" w:type="dxa"/>
            <w:tcBorders>
              <w:top w:val="single" w:sz="4" w:space="0" w:color="000000"/>
              <w:left w:val="single" w:sz="4" w:space="0" w:color="000000"/>
              <w:bottom w:val="single" w:sz="11" w:space="0" w:color="000000"/>
              <w:right w:val="single" w:sz="4" w:space="0" w:color="000000"/>
            </w:tcBorders>
          </w:tcPr>
          <w:p>
            <w:pPr>
              <w:pStyle w:val="TableParagraph"/>
              <w:tabs>
                <w:tab w:pos="276" w:val="left" w:leader="none"/>
                <w:tab w:pos="4342" w:val="left" w:leader="none"/>
              </w:tabs>
              <w:spacing w:line="240" w:lineRule="auto" w:before="22"/>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支付利息、手续费及佣金的现金</w:t>
            </w:r>
            <w:r>
              <w:rPr>
                <w:rFonts w:ascii="Times New Roman" w:hAnsi="Times New Roman" w:cs="Times New Roman" w:eastAsia="Times New Roman" w:hint="default"/>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395" w:type="dxa"/>
            <w:tcBorders>
              <w:top w:val="single" w:sz="11" w:space="0" w:color="000000"/>
              <w:left w:val="single" w:sz="4" w:space="0" w:color="000000"/>
              <w:bottom w:val="single" w:sz="4" w:space="0" w:color="000000"/>
              <w:right w:val="single" w:sz="4" w:space="0" w:color="000000"/>
            </w:tcBorders>
          </w:tcPr>
          <w:p>
            <w:pPr>
              <w:pStyle w:val="TableParagraph"/>
              <w:tabs>
                <w:tab w:pos="276" w:val="left" w:leader="none"/>
                <w:tab w:pos="4342" w:val="left" w:leader="none"/>
              </w:tabs>
              <w:spacing w:line="240" w:lineRule="auto" w:before="13"/>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支付保单红利的现金</w:t>
            </w:r>
            <w:r>
              <w:rPr>
                <w:rFonts w:ascii="Times New Roman" w:hAnsi="Times New Roman" w:cs="Times New Roman" w:eastAsia="Times New Roman" w:hint="default"/>
                <w:sz w:val="18"/>
                <w:szCs w:val="18"/>
                <w:shd w:fill="D2D2D2" w:color="auto" w:val="clear"/>
              </w:rPr>
              <w:t>* </w:t>
            </w:r>
            <w:r>
              <w:rPr>
                <w:rFonts w:ascii="Times New Roman" w:hAnsi="Times New Roman" w:cs="Times New Roman" w:eastAsia="Times New Roman" w:hint="default"/>
                <w:spacing w:val="-3"/>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4395" w:type="dxa"/>
            <w:tcBorders>
              <w:top w:val="single" w:sz="4" w:space="0" w:color="000000"/>
              <w:left w:val="single" w:sz="4" w:space="0" w:color="000000"/>
              <w:bottom w:val="single" w:sz="11" w:space="0" w:color="000000"/>
              <w:right w:val="single" w:sz="4" w:space="0" w:color="000000"/>
            </w:tcBorders>
          </w:tcPr>
          <w:p>
            <w:pPr>
              <w:pStyle w:val="TableParagraph"/>
              <w:tabs>
                <w:tab w:pos="276" w:val="left" w:leader="none"/>
                <w:tab w:pos="4342" w:val="left" w:leader="none"/>
              </w:tabs>
              <w:spacing w:line="240" w:lineRule="auto" w:before="21"/>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支付给职工以及为职工支付的现金</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574,155,308.85</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spacing w:val="-1"/>
                <w:sz w:val="18"/>
              </w:rPr>
              <w:t>707,753,701.16</w:t>
            </w:r>
          </w:p>
        </w:tc>
      </w:tr>
      <w:tr>
        <w:trPr>
          <w:trHeight w:val="341" w:hRule="exact"/>
        </w:trPr>
        <w:tc>
          <w:tcPr>
            <w:tcW w:w="4395" w:type="dxa"/>
            <w:tcBorders>
              <w:top w:val="single" w:sz="11" w:space="0" w:color="000000"/>
              <w:left w:val="single" w:sz="4" w:space="0" w:color="000000"/>
              <w:bottom w:val="single" w:sz="4" w:space="0" w:color="000000"/>
              <w:right w:val="single" w:sz="4" w:space="0" w:color="000000"/>
            </w:tcBorders>
          </w:tcPr>
          <w:p>
            <w:pPr>
              <w:pStyle w:val="TableParagraph"/>
              <w:tabs>
                <w:tab w:pos="276" w:val="left" w:leader="none"/>
                <w:tab w:pos="4342" w:val="left" w:leader="none"/>
              </w:tabs>
              <w:spacing w:line="240" w:lineRule="auto" w:before="13"/>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支付的各项税费</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8"/>
              <w:jc w:val="right"/>
              <w:rPr>
                <w:rFonts w:ascii="宋体" w:hAnsi="宋体" w:cs="宋体" w:eastAsia="宋体" w:hint="default"/>
                <w:sz w:val="18"/>
                <w:szCs w:val="18"/>
              </w:rPr>
            </w:pPr>
            <w:r>
              <w:rPr>
                <w:rFonts w:ascii="宋体"/>
                <w:spacing w:val="-1"/>
                <w:sz w:val="18"/>
              </w:rPr>
              <w:t>162,267,404.77</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spacing w:val="-1"/>
                <w:sz w:val="18"/>
              </w:rPr>
              <w:t>131,791,718.66</w:t>
            </w:r>
          </w:p>
        </w:tc>
      </w:tr>
      <w:tr>
        <w:trPr>
          <w:trHeight w:val="341" w:hRule="exact"/>
        </w:trPr>
        <w:tc>
          <w:tcPr>
            <w:tcW w:w="4395" w:type="dxa"/>
            <w:tcBorders>
              <w:top w:val="single" w:sz="4" w:space="0" w:color="000000"/>
              <w:left w:val="single" w:sz="4" w:space="0" w:color="000000"/>
              <w:bottom w:val="single" w:sz="11" w:space="0" w:color="000000"/>
              <w:right w:val="single" w:sz="4" w:space="0" w:color="000000"/>
            </w:tcBorders>
          </w:tcPr>
          <w:p>
            <w:pPr>
              <w:pStyle w:val="TableParagraph"/>
              <w:tabs>
                <w:tab w:pos="276" w:val="left" w:leader="none"/>
                <w:tab w:pos="4342" w:val="left" w:leader="none"/>
              </w:tabs>
              <w:spacing w:line="240" w:lineRule="auto" w:before="21"/>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支付其他与经营活动有关的现金</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05" w:right="0"/>
              <w:jc w:val="center"/>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四</w:t>
            </w:r>
            <w:r>
              <w:rPr>
                <w:rFonts w:ascii="宋体" w:hAnsi="宋体" w:cs="宋体" w:eastAsia="宋体" w:hint="default"/>
                <w:w w:val="100"/>
                <w:sz w:val="15"/>
                <w:szCs w:val="15"/>
              </w:rPr>
              <w:t>十</w:t>
            </w:r>
            <w:r>
              <w:rPr>
                <w:rFonts w:ascii="宋体" w:hAnsi="宋体" w:cs="宋体" w:eastAsia="宋体" w:hint="default"/>
                <w:spacing w:val="-3"/>
                <w:w w:val="100"/>
                <w:sz w:val="15"/>
                <w:szCs w:val="15"/>
              </w:rPr>
              <w:t>七</w:t>
            </w:r>
            <w:r>
              <w:rPr>
                <w:rFonts w:ascii="宋体" w:hAnsi="宋体" w:cs="宋体" w:eastAsia="宋体" w:hint="default"/>
                <w:w w:val="100"/>
                <w:sz w:val="15"/>
                <w:szCs w:val="15"/>
              </w:rPr>
              <w:t>）</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8"/>
              <w:jc w:val="right"/>
              <w:rPr>
                <w:rFonts w:ascii="宋体" w:hAnsi="宋体" w:cs="宋体" w:eastAsia="宋体" w:hint="default"/>
                <w:sz w:val="18"/>
                <w:szCs w:val="18"/>
              </w:rPr>
            </w:pPr>
            <w:r>
              <w:rPr>
                <w:rFonts w:ascii="宋体"/>
                <w:spacing w:val="-1"/>
                <w:sz w:val="18"/>
              </w:rPr>
              <w:t>216,780,502.15</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spacing w:val="-1"/>
                <w:sz w:val="18"/>
              </w:rPr>
              <w:t>286,930,235.10</w:t>
            </w:r>
          </w:p>
        </w:tc>
      </w:tr>
      <w:tr>
        <w:trPr>
          <w:trHeight w:val="338" w:hRule="exact"/>
        </w:trPr>
        <w:tc>
          <w:tcPr>
            <w:tcW w:w="4395" w:type="dxa"/>
            <w:tcBorders>
              <w:top w:val="single" w:sz="11" w:space="0" w:color="000000"/>
              <w:left w:val="single" w:sz="4" w:space="0" w:color="000000"/>
              <w:bottom w:val="single" w:sz="11" w:space="0" w:color="000000"/>
              <w:right w:val="single" w:sz="4" w:space="0" w:color="000000"/>
            </w:tcBorders>
          </w:tcPr>
          <w:p>
            <w:pPr>
              <w:pStyle w:val="TableParagraph"/>
              <w:tabs>
                <w:tab w:pos="456" w:val="left" w:leader="none"/>
                <w:tab w:pos="4342" w:val="left" w:leader="none"/>
              </w:tabs>
              <w:spacing w:line="240" w:lineRule="auto" w:before="13"/>
              <w:ind w:left="2" w:right="0"/>
              <w:jc w:val="center"/>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z w:val="18"/>
                <w:szCs w:val="18"/>
                <w:shd w:fill="D2D2D2" w:color="auto" w:val="clear"/>
              </w:rPr>
              <w:t> </w:t>
              <w:tab/>
            </w:r>
            <w:r>
              <w:rPr>
                <w:rFonts w:ascii="宋体" w:hAnsi="宋体" w:cs="宋体" w:eastAsia="宋体" w:hint="default"/>
                <w:b/>
                <w:bCs/>
                <w:sz w:val="18"/>
                <w:szCs w:val="18"/>
                <w:shd w:fill="D2D2D2" w:color="auto" w:val="clear"/>
              </w:rPr>
              <w:t>经营活动现金流出小计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b/>
                <w:w w:val="95"/>
                <w:sz w:val="18"/>
              </w:rPr>
              <w:t>3,205,134,692.38</w:t>
            </w:r>
            <w:r>
              <w:rPr>
                <w:rFonts w:ascii="宋体"/>
                <w:sz w:val="18"/>
              </w:rPr>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b/>
                <w:w w:val="95"/>
                <w:sz w:val="18"/>
              </w:rPr>
              <w:t>3,276,486,176.28</w:t>
            </w:r>
            <w:r>
              <w:rPr>
                <w:rFonts w:ascii="宋体"/>
                <w:sz w:val="18"/>
              </w:rPr>
            </w:r>
          </w:p>
        </w:tc>
      </w:tr>
      <w:tr>
        <w:trPr>
          <w:trHeight w:val="341" w:hRule="exact"/>
        </w:trPr>
        <w:tc>
          <w:tcPr>
            <w:tcW w:w="4395" w:type="dxa"/>
            <w:tcBorders>
              <w:top w:val="single" w:sz="11" w:space="0" w:color="000000"/>
              <w:left w:val="single" w:sz="4" w:space="0" w:color="000000"/>
              <w:bottom w:val="single" w:sz="4" w:space="0" w:color="000000"/>
              <w:right w:val="single" w:sz="4" w:space="0" w:color="000000"/>
            </w:tcBorders>
          </w:tcPr>
          <w:p>
            <w:pPr>
              <w:pStyle w:val="TableParagraph"/>
              <w:tabs>
                <w:tab w:pos="456" w:val="left" w:leader="none"/>
                <w:tab w:pos="4342" w:val="left" w:leader="none"/>
              </w:tabs>
              <w:spacing w:line="240" w:lineRule="auto" w:before="13"/>
              <w:ind w:left="2" w:right="0"/>
              <w:jc w:val="center"/>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z w:val="18"/>
                <w:szCs w:val="18"/>
                <w:shd w:fill="D2D2D2" w:color="auto" w:val="clear"/>
              </w:rPr>
              <w:t> </w:t>
              <w:tab/>
            </w:r>
            <w:r>
              <w:rPr>
                <w:rFonts w:ascii="宋体" w:hAnsi="宋体" w:cs="宋体" w:eastAsia="宋体" w:hint="default"/>
                <w:b/>
                <w:bCs/>
                <w:sz w:val="18"/>
                <w:szCs w:val="18"/>
                <w:shd w:fill="D2D2D2" w:color="auto" w:val="clear"/>
              </w:rPr>
              <w:t>经营活动产生的现金流量净额</w:t>
            </w:r>
            <w:r>
              <w:rPr>
                <w:rFonts w:ascii="宋体" w:hAnsi="宋体" w:cs="宋体" w:eastAsia="宋体" w:hint="default"/>
                <w:b/>
                <w:bCs/>
                <w:spacing w:val="-1"/>
                <w:sz w:val="18"/>
                <w:szCs w:val="18"/>
                <w:shd w:fill="D2D2D2" w:color="auto" w:val="clear"/>
              </w:rPr>
              <w:t>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b/>
                <w:w w:val="95"/>
                <w:sz w:val="18"/>
              </w:rPr>
              <w:t>414,811,466.10</w:t>
            </w:r>
            <w:r>
              <w:rPr>
                <w:rFonts w:ascii="宋体"/>
                <w:sz w:val="18"/>
              </w:rPr>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b/>
                <w:w w:val="95"/>
                <w:sz w:val="18"/>
              </w:rPr>
              <w:t>-89,314,795.04</w:t>
            </w:r>
            <w:r>
              <w:rPr>
                <w:rFonts w:ascii="宋体"/>
                <w:sz w:val="18"/>
              </w:rPr>
            </w:r>
          </w:p>
        </w:tc>
      </w:tr>
      <w:tr>
        <w:trPr>
          <w:trHeight w:val="341"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tabs>
                <w:tab w:pos="4342" w:val="left" w:leader="none"/>
              </w:tabs>
              <w:spacing w:line="240" w:lineRule="auto" w:before="21"/>
              <w:ind w:left="2" w:right="0"/>
              <w:jc w:val="center"/>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z w:val="18"/>
                <w:szCs w:val="18"/>
                <w:shd w:fill="D2D2D2" w:color="auto" w:val="clear"/>
              </w:rPr>
              <w:t> </w:t>
            </w:r>
            <w:r>
              <w:rPr>
                <w:rFonts w:ascii="Times New Roman" w:hAnsi="Times New Roman" w:cs="Times New Roman" w:eastAsia="Times New Roman" w:hint="default"/>
                <w:b/>
                <w:bCs/>
                <w:spacing w:val="1"/>
                <w:sz w:val="18"/>
                <w:szCs w:val="18"/>
                <w:shd w:fill="D2D2D2" w:color="auto" w:val="clear"/>
              </w:rPr>
              <w:t> </w:t>
            </w:r>
            <w:r>
              <w:rPr>
                <w:rFonts w:ascii="宋体" w:hAnsi="宋体" w:cs="宋体" w:eastAsia="宋体" w:hint="default"/>
                <w:b/>
                <w:bCs/>
                <w:sz w:val="18"/>
                <w:szCs w:val="18"/>
                <w:shd w:fill="D2D2D2" w:color="auto" w:val="clear"/>
              </w:rPr>
              <w:t>二、投资活动产生的现金流量：</w:t>
            </w:r>
            <w:r>
              <w:rPr>
                <w:rFonts w:ascii="宋体" w:hAnsi="宋体" w:cs="宋体" w:eastAsia="宋体" w:hint="default"/>
                <w:b/>
                <w:bCs/>
                <w:spacing w:val="1"/>
                <w:sz w:val="18"/>
                <w:szCs w:val="18"/>
                <w:shd w:fill="D2D2D2" w:color="auto" w:val="clear"/>
              </w:rPr>
              <w:t>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tabs>
                <w:tab w:pos="276" w:val="left" w:leader="none"/>
                <w:tab w:pos="4342" w:val="left" w:leader="none"/>
              </w:tabs>
              <w:spacing w:line="240" w:lineRule="auto" w:before="21"/>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收回投资收到的现金</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spacing w:val="-1"/>
                <w:sz w:val="18"/>
              </w:rPr>
              <w:t>39,000,000.00</w:t>
            </w:r>
          </w:p>
        </w:tc>
      </w:tr>
      <w:tr>
        <w:trPr>
          <w:trHeight w:val="337" w:hRule="exact"/>
        </w:trPr>
        <w:tc>
          <w:tcPr>
            <w:tcW w:w="4395" w:type="dxa"/>
            <w:tcBorders>
              <w:top w:val="single" w:sz="4" w:space="0" w:color="000000"/>
              <w:left w:val="single" w:sz="4" w:space="0" w:color="000000"/>
              <w:bottom w:val="single" w:sz="7" w:space="0" w:color="000000"/>
              <w:right w:val="single" w:sz="4" w:space="0" w:color="000000"/>
            </w:tcBorders>
          </w:tcPr>
          <w:p>
            <w:pPr>
              <w:pStyle w:val="TableParagraph"/>
              <w:tabs>
                <w:tab w:pos="276" w:val="left" w:leader="none"/>
                <w:tab w:pos="4342" w:val="left" w:leader="none"/>
              </w:tabs>
              <w:spacing w:line="240" w:lineRule="auto" w:before="21"/>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取得投资收益收到的现金</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4,161,211.43</w:t>
            </w:r>
          </w:p>
        </w:tc>
      </w:tr>
      <w:tr>
        <w:trPr>
          <w:trHeight w:val="520" w:hRule="exact"/>
        </w:trPr>
        <w:tc>
          <w:tcPr>
            <w:tcW w:w="43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4" w:right="20" w:firstLine="274"/>
              <w:jc w:val="left"/>
              <w:rPr>
                <w:rFonts w:ascii="宋体" w:hAnsi="宋体" w:cs="宋体" w:eastAsia="宋体" w:hint="default"/>
                <w:sz w:val="18"/>
                <w:szCs w:val="18"/>
              </w:rPr>
            </w:pPr>
            <w:r>
              <w:rPr>
                <w:rFonts w:ascii="宋体" w:hAnsi="宋体" w:cs="宋体" w:eastAsia="宋体" w:hint="default"/>
                <w:spacing w:val="-4"/>
                <w:sz w:val="18"/>
                <w:szCs w:val="18"/>
              </w:rPr>
              <w:t>处置固定资产、无形资产和其他长期资产收回的现金</w:t>
            </w:r>
            <w:r>
              <w:rPr>
                <w:rFonts w:ascii="宋体" w:hAnsi="宋体" w:cs="宋体" w:eastAsia="宋体" w:hint="default"/>
                <w:sz w:val="18"/>
                <w:szCs w:val="18"/>
              </w:rPr>
              <w:t> 净额</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1135" w:type="dxa"/>
            <w:tcBorders>
              <w:top w:val="single" w:sz="4" w:space="0" w:color="000000"/>
              <w:left w:val="single" w:sz="10" w:space="0" w:color="D2D2D2"/>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19"/>
              <w:jc w:val="right"/>
              <w:rPr>
                <w:rFonts w:ascii="宋体" w:hAnsi="宋体" w:cs="宋体" w:eastAsia="宋体" w:hint="default"/>
                <w:sz w:val="18"/>
                <w:szCs w:val="18"/>
              </w:rPr>
            </w:pPr>
            <w:r>
              <w:rPr>
                <w:rFonts w:ascii="宋体"/>
                <w:spacing w:val="-1"/>
                <w:sz w:val="18"/>
              </w:rPr>
              <w:t>433,562.48</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19"/>
              <w:jc w:val="right"/>
              <w:rPr>
                <w:rFonts w:ascii="宋体" w:hAnsi="宋体" w:cs="宋体" w:eastAsia="宋体" w:hint="default"/>
                <w:sz w:val="18"/>
                <w:szCs w:val="18"/>
              </w:rPr>
            </w:pPr>
            <w:r>
              <w:rPr>
                <w:rFonts w:ascii="宋体"/>
                <w:spacing w:val="-1"/>
                <w:sz w:val="18"/>
              </w:rPr>
              <w:t>385,270.66</w:t>
            </w:r>
          </w:p>
        </w:tc>
      </w:tr>
      <w:tr>
        <w:trPr>
          <w:trHeight w:val="337" w:hRule="exact"/>
        </w:trPr>
        <w:tc>
          <w:tcPr>
            <w:tcW w:w="4395" w:type="dxa"/>
            <w:tcBorders>
              <w:top w:val="single" w:sz="7" w:space="0" w:color="000000"/>
              <w:left w:val="single" w:sz="4" w:space="0" w:color="000000"/>
              <w:bottom w:val="single" w:sz="4" w:space="0" w:color="000000"/>
              <w:right w:val="single" w:sz="4" w:space="0" w:color="000000"/>
            </w:tcBorders>
          </w:tcPr>
          <w:p>
            <w:pPr>
              <w:pStyle w:val="TableParagraph"/>
              <w:tabs>
                <w:tab w:pos="276" w:val="left" w:leader="none"/>
                <w:tab w:pos="4342" w:val="left" w:leader="none"/>
              </w:tabs>
              <w:spacing w:line="240" w:lineRule="auto" w:before="13"/>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处置子公司及其他营业单位收到的现金净额</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20"/>
              <w:jc w:val="right"/>
              <w:rPr>
                <w:rFonts w:ascii="宋体" w:hAnsi="宋体" w:cs="宋体" w:eastAsia="宋体" w:hint="default"/>
                <w:sz w:val="18"/>
                <w:szCs w:val="18"/>
              </w:rPr>
            </w:pPr>
            <w:r>
              <w:rPr>
                <w:rFonts w:ascii="宋体"/>
                <w:sz w:val="18"/>
              </w:rPr>
              <w:t>-</w:t>
            </w:r>
          </w:p>
        </w:tc>
        <w:tc>
          <w:tcPr>
            <w:tcW w:w="1985"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tabs>
                <w:tab w:pos="276" w:val="left" w:leader="none"/>
                <w:tab w:pos="4342" w:val="left" w:leader="none"/>
              </w:tabs>
              <w:spacing w:line="240" w:lineRule="auto" w:before="21"/>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收到其他与投资活动有关的现金</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left="105" w:right="0"/>
              <w:jc w:val="center"/>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四</w:t>
            </w:r>
            <w:r>
              <w:rPr>
                <w:rFonts w:ascii="宋体" w:hAnsi="宋体" w:cs="宋体" w:eastAsia="宋体" w:hint="default"/>
                <w:w w:val="100"/>
                <w:sz w:val="15"/>
                <w:szCs w:val="15"/>
              </w:rPr>
              <w:t>十</w:t>
            </w:r>
            <w:r>
              <w:rPr>
                <w:rFonts w:ascii="宋体" w:hAnsi="宋体" w:cs="宋体" w:eastAsia="宋体" w:hint="default"/>
                <w:spacing w:val="-3"/>
                <w:w w:val="100"/>
                <w:sz w:val="15"/>
                <w:szCs w:val="15"/>
              </w:rPr>
              <w:t>七</w:t>
            </w:r>
            <w:r>
              <w:rPr>
                <w:rFonts w:ascii="宋体" w:hAnsi="宋体" w:cs="宋体" w:eastAsia="宋体" w:hint="default"/>
                <w:w w:val="100"/>
                <w:sz w:val="15"/>
                <w:szCs w:val="15"/>
              </w:rPr>
              <w:t>）</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10,000.00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spacing w:val="-1"/>
                <w:sz w:val="18"/>
              </w:rPr>
              <w:t>224,000,000.00</w:t>
            </w:r>
          </w:p>
        </w:tc>
      </w:tr>
      <w:tr>
        <w:trPr>
          <w:trHeight w:val="338" w:hRule="exact"/>
        </w:trPr>
        <w:tc>
          <w:tcPr>
            <w:tcW w:w="4395" w:type="dxa"/>
            <w:tcBorders>
              <w:top w:val="single" w:sz="4" w:space="0" w:color="000000"/>
              <w:left w:val="single" w:sz="4" w:space="0" w:color="000000"/>
              <w:bottom w:val="single" w:sz="11" w:space="0" w:color="000000"/>
              <w:right w:val="single" w:sz="4" w:space="0" w:color="000000"/>
            </w:tcBorders>
          </w:tcPr>
          <w:p>
            <w:pPr>
              <w:pStyle w:val="TableParagraph"/>
              <w:tabs>
                <w:tab w:pos="456" w:val="left" w:leader="none"/>
                <w:tab w:pos="4342" w:val="left" w:leader="none"/>
              </w:tabs>
              <w:spacing w:line="240" w:lineRule="auto" w:before="21"/>
              <w:ind w:left="2" w:right="0"/>
              <w:jc w:val="center"/>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z w:val="18"/>
                <w:szCs w:val="18"/>
                <w:shd w:fill="D2D2D2" w:color="auto" w:val="clear"/>
              </w:rPr>
              <w:t> </w:t>
              <w:tab/>
            </w:r>
            <w:r>
              <w:rPr>
                <w:rFonts w:ascii="宋体" w:hAnsi="宋体" w:cs="宋体" w:eastAsia="宋体" w:hint="default"/>
                <w:b/>
                <w:bCs/>
                <w:sz w:val="18"/>
                <w:szCs w:val="18"/>
                <w:shd w:fill="D2D2D2" w:color="auto" w:val="clear"/>
              </w:rPr>
              <w:t>投资活动现金流入小计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b/>
                <w:w w:val="95"/>
                <w:sz w:val="18"/>
              </w:rPr>
              <w:t>443,562.48</w:t>
            </w:r>
            <w:r>
              <w:rPr>
                <w:rFonts w:ascii="宋体"/>
                <w:sz w:val="18"/>
              </w:rPr>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b/>
                <w:w w:val="95"/>
                <w:sz w:val="18"/>
              </w:rPr>
              <w:t>267,546,482.09</w:t>
            </w:r>
            <w:r>
              <w:rPr>
                <w:rFonts w:ascii="宋体"/>
                <w:sz w:val="18"/>
              </w:rPr>
            </w:r>
          </w:p>
        </w:tc>
      </w:tr>
      <w:tr>
        <w:trPr>
          <w:trHeight w:val="341" w:hRule="exact"/>
        </w:trPr>
        <w:tc>
          <w:tcPr>
            <w:tcW w:w="4395" w:type="dxa"/>
            <w:tcBorders>
              <w:top w:val="single" w:sz="11" w:space="0" w:color="000000"/>
              <w:left w:val="single" w:sz="4" w:space="0" w:color="000000"/>
              <w:bottom w:val="single" w:sz="4" w:space="0" w:color="000000"/>
              <w:right w:val="single" w:sz="4" w:space="0" w:color="000000"/>
            </w:tcBorders>
          </w:tcPr>
          <w:p>
            <w:pPr>
              <w:pStyle w:val="TableParagraph"/>
              <w:tabs>
                <w:tab w:pos="275" w:val="left" w:leader="none"/>
              </w:tabs>
              <w:spacing w:line="240" w:lineRule="auto" w:before="13"/>
              <w:ind w:left="1"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pacing w:val="-4"/>
                <w:sz w:val="18"/>
                <w:szCs w:val="18"/>
                <w:shd w:fill="D2D2D2" w:color="auto" w:val="clear"/>
              </w:rPr>
              <w:t>购建固定资产、无形资产和其他长期资产支付的现金</w:t>
            </w:r>
            <w:r>
              <w:rPr>
                <w:rFonts w:ascii="宋体" w:hAnsi="宋体" w:cs="宋体" w:eastAsia="宋体" w:hint="default"/>
                <w:spacing w:val="-4"/>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36,242,316.59</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spacing w:val="-1"/>
                <w:sz w:val="18"/>
              </w:rPr>
              <w:t>28,458,584.41</w:t>
            </w:r>
          </w:p>
        </w:tc>
      </w:tr>
      <w:tr>
        <w:trPr>
          <w:trHeight w:val="341" w:hRule="exact"/>
        </w:trPr>
        <w:tc>
          <w:tcPr>
            <w:tcW w:w="4395" w:type="dxa"/>
            <w:tcBorders>
              <w:top w:val="single" w:sz="4" w:space="0" w:color="000000"/>
              <w:left w:val="single" w:sz="4" w:space="0" w:color="000000"/>
              <w:bottom w:val="single" w:sz="11" w:space="0" w:color="000000"/>
              <w:right w:val="single" w:sz="4" w:space="0" w:color="000000"/>
            </w:tcBorders>
          </w:tcPr>
          <w:p>
            <w:pPr>
              <w:pStyle w:val="TableParagraph"/>
              <w:tabs>
                <w:tab w:pos="276" w:val="left" w:leader="none"/>
                <w:tab w:pos="4342" w:val="left" w:leader="none"/>
              </w:tabs>
              <w:spacing w:line="240" w:lineRule="auto" w:before="21"/>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投资支付的现金</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r>
      <w:tr>
        <w:trPr>
          <w:trHeight w:val="335" w:hRule="exact"/>
        </w:trPr>
        <w:tc>
          <w:tcPr>
            <w:tcW w:w="4395" w:type="dxa"/>
            <w:tcBorders>
              <w:top w:val="single" w:sz="11" w:space="0" w:color="000000"/>
              <w:left w:val="single" w:sz="4" w:space="0" w:color="000000"/>
              <w:bottom w:val="single" w:sz="4" w:space="0" w:color="000000"/>
              <w:right w:val="single" w:sz="4" w:space="0" w:color="000000"/>
            </w:tcBorders>
          </w:tcPr>
          <w:p>
            <w:pPr>
              <w:pStyle w:val="TableParagraph"/>
              <w:tabs>
                <w:tab w:pos="276" w:val="left" w:leader="none"/>
                <w:tab w:pos="4342" w:val="left" w:leader="none"/>
              </w:tabs>
              <w:spacing w:line="240" w:lineRule="auto" w:before="13"/>
              <w:ind w:left="2"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质押贷款净增加额</w:t>
            </w:r>
            <w:r>
              <w:rPr>
                <w:rFonts w:ascii="Times New Roman" w:hAnsi="Times New Roman" w:cs="Times New Roman" w:eastAsia="Times New Roman" w:hint="default"/>
                <w:sz w:val="18"/>
                <w:szCs w:val="18"/>
                <w:shd w:fill="D2D2D2" w:color="auto" w:val="clear"/>
              </w:rPr>
              <w:t>* </w:t>
            </w:r>
            <w:r>
              <w:rPr>
                <w:rFonts w:ascii="Times New Roman" w:hAnsi="Times New Roman" w:cs="Times New Roman" w:eastAsia="Times New Roman" w:hint="default"/>
                <w:spacing w:val="-3"/>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21" w:footer="725" w:top="1160" w:bottom="920" w:left="980" w:right="0"/>
        </w:sectPr>
      </w:pPr>
    </w:p>
    <w:p>
      <w:pPr>
        <w:spacing w:line="240" w:lineRule="auto" w:before="4"/>
        <w:rPr>
          <w:rFonts w:ascii="宋体" w:hAnsi="宋体" w:cs="宋体" w:eastAsia="宋体" w:hint="default"/>
          <w:sz w:val="21"/>
          <w:szCs w:val="21"/>
        </w:rPr>
      </w:pPr>
    </w:p>
    <w:tbl>
      <w:tblPr>
        <w:tblW w:w="0" w:type="auto"/>
        <w:jc w:val="left"/>
        <w:tblInd w:w="148" w:type="dxa"/>
        <w:tblLayout w:type="fixed"/>
        <w:tblCellMar>
          <w:top w:w="0" w:type="dxa"/>
          <w:left w:w="0" w:type="dxa"/>
          <w:bottom w:w="0" w:type="dxa"/>
          <w:right w:w="0" w:type="dxa"/>
        </w:tblCellMar>
        <w:tblLook w:val="01E0"/>
      </w:tblPr>
      <w:tblGrid>
        <w:gridCol w:w="4395"/>
        <w:gridCol w:w="1135"/>
        <w:gridCol w:w="1841"/>
        <w:gridCol w:w="1985"/>
      </w:tblGrid>
      <w:tr>
        <w:trPr>
          <w:trHeight w:val="335" w:hRule="exact"/>
        </w:trPr>
        <w:tc>
          <w:tcPr>
            <w:tcW w:w="4395" w:type="dxa"/>
            <w:tcBorders>
              <w:top w:val="single" w:sz="8" w:space="0" w:color="000000"/>
              <w:left w:val="single" w:sz="4" w:space="0" w:color="000000"/>
              <w:bottom w:val="single" w:sz="11" w:space="0" w:color="000000"/>
              <w:right w:val="single" w:sz="4" w:space="0" w:color="000000"/>
            </w:tcBorders>
          </w:tcPr>
          <w:p>
            <w:pPr>
              <w:pStyle w:val="TableParagraph"/>
              <w:tabs>
                <w:tab w:pos="274" w:val="left" w:leader="none"/>
                <w:tab w:pos="4340" w:val="left" w:leader="none"/>
              </w:tabs>
              <w:spacing w:line="240" w:lineRule="auto" w:before="13"/>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pacing w:val="-1"/>
                <w:sz w:val="18"/>
                <w:szCs w:val="18"/>
                <w:shd w:fill="D2D2D2" w:color="auto" w:val="clear"/>
              </w:rPr>
              <w:t>取得子公司及其他营业单位支付的现金净额</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9"/>
              <w:jc w:val="right"/>
              <w:rPr>
                <w:rFonts w:ascii="宋体" w:hAnsi="宋体" w:cs="宋体" w:eastAsia="宋体" w:hint="default"/>
                <w:sz w:val="18"/>
                <w:szCs w:val="18"/>
              </w:rPr>
            </w:pPr>
            <w:r>
              <w:rPr>
                <w:rFonts w:ascii="宋体"/>
                <w:spacing w:val="-1"/>
                <w:sz w:val="18"/>
              </w:rPr>
              <w:t>275,000.00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20"/>
              <w:jc w:val="right"/>
              <w:rPr>
                <w:rFonts w:ascii="宋体" w:hAnsi="宋体" w:cs="宋体" w:eastAsia="宋体" w:hint="default"/>
                <w:sz w:val="18"/>
                <w:szCs w:val="18"/>
              </w:rPr>
            </w:pPr>
            <w:r>
              <w:rPr>
                <w:rFonts w:ascii="宋体"/>
                <w:spacing w:val="-1"/>
                <w:sz w:val="18"/>
              </w:rPr>
              <w:t>359,427,610.68</w:t>
            </w:r>
          </w:p>
        </w:tc>
      </w:tr>
      <w:tr>
        <w:trPr>
          <w:trHeight w:val="341" w:hRule="exact"/>
        </w:trPr>
        <w:tc>
          <w:tcPr>
            <w:tcW w:w="4395" w:type="dxa"/>
            <w:tcBorders>
              <w:top w:val="single" w:sz="11" w:space="0" w:color="000000"/>
              <w:left w:val="single" w:sz="4" w:space="0" w:color="000000"/>
              <w:bottom w:val="single" w:sz="4" w:space="0" w:color="000000"/>
              <w:right w:val="single" w:sz="4" w:space="0" w:color="000000"/>
            </w:tcBorders>
          </w:tcPr>
          <w:p>
            <w:pPr>
              <w:pStyle w:val="TableParagraph"/>
              <w:tabs>
                <w:tab w:pos="274" w:val="left" w:leader="none"/>
                <w:tab w:pos="4340" w:val="left" w:leader="none"/>
              </w:tabs>
              <w:spacing w:line="240" w:lineRule="auto" w:before="13"/>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pacing w:val="-1"/>
                <w:sz w:val="18"/>
                <w:szCs w:val="18"/>
                <w:shd w:fill="D2D2D2" w:color="auto" w:val="clear"/>
              </w:rPr>
              <w:t>支付其他与投资活动有关的现金</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9"/>
              <w:jc w:val="right"/>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四</w:t>
            </w:r>
            <w:r>
              <w:rPr>
                <w:rFonts w:ascii="宋体" w:hAnsi="宋体" w:cs="宋体" w:eastAsia="宋体" w:hint="default"/>
                <w:w w:val="100"/>
                <w:sz w:val="15"/>
                <w:szCs w:val="15"/>
              </w:rPr>
              <w:t>十</w:t>
            </w:r>
            <w:r>
              <w:rPr>
                <w:rFonts w:ascii="宋体" w:hAnsi="宋体" w:cs="宋体" w:eastAsia="宋体" w:hint="default"/>
                <w:spacing w:val="-3"/>
                <w:w w:val="100"/>
                <w:sz w:val="15"/>
                <w:szCs w:val="15"/>
              </w:rPr>
              <w:t>七</w:t>
            </w:r>
            <w:r>
              <w:rPr>
                <w:rFonts w:ascii="宋体" w:hAnsi="宋体" w:cs="宋体" w:eastAsia="宋体" w:hint="default"/>
                <w:w w:val="100"/>
                <w:sz w:val="15"/>
                <w:szCs w:val="15"/>
              </w:rPr>
              <w:t>）</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9"/>
              <w:jc w:val="right"/>
              <w:rPr>
                <w:rFonts w:ascii="宋体" w:hAnsi="宋体" w:cs="宋体" w:eastAsia="宋体" w:hint="default"/>
                <w:sz w:val="18"/>
                <w:szCs w:val="18"/>
              </w:rPr>
            </w:pPr>
            <w:r>
              <w:rPr>
                <w:rFonts w:ascii="宋体"/>
                <w:spacing w:val="-1"/>
                <w:sz w:val="18"/>
              </w:rPr>
              <w:t>10,000.00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20"/>
              <w:jc w:val="right"/>
              <w:rPr>
                <w:rFonts w:ascii="宋体" w:hAnsi="宋体" w:cs="宋体" w:eastAsia="宋体" w:hint="default"/>
                <w:sz w:val="18"/>
                <w:szCs w:val="18"/>
              </w:rPr>
            </w:pPr>
            <w:r>
              <w:rPr>
                <w:rFonts w:ascii="宋体"/>
                <w:sz w:val="18"/>
              </w:rPr>
              <w:t>-</w:t>
            </w:r>
          </w:p>
        </w:tc>
      </w:tr>
      <w:tr>
        <w:trPr>
          <w:trHeight w:val="341"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tabs>
                <w:tab w:pos="454" w:val="left" w:leader="none"/>
                <w:tab w:pos="4340" w:val="left" w:leader="none"/>
              </w:tabs>
              <w:spacing w:line="240" w:lineRule="auto" w:before="21"/>
              <w:ind w:right="19"/>
              <w:jc w:val="right"/>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z w:val="18"/>
                <w:szCs w:val="18"/>
                <w:shd w:fill="D2D2D2" w:color="auto" w:val="clear"/>
              </w:rPr>
              <w:t> </w:t>
              <w:tab/>
            </w:r>
            <w:r>
              <w:rPr>
                <w:rFonts w:ascii="宋体" w:hAnsi="宋体" w:cs="宋体" w:eastAsia="宋体" w:hint="default"/>
                <w:b/>
                <w:bCs/>
                <w:w w:val="95"/>
                <w:sz w:val="18"/>
                <w:szCs w:val="18"/>
                <w:shd w:fill="D2D2D2" w:color="auto" w:val="clear"/>
              </w:rPr>
              <w:t>投资活动现金流出小计</w:t>
            </w:r>
            <w:r>
              <w:rPr>
                <w:rFonts w:ascii="宋体" w:hAnsi="宋体" w:cs="宋体" w:eastAsia="宋体" w:hint="default"/>
                <w:b/>
                <w:bCs/>
                <w:sz w:val="18"/>
                <w:szCs w:val="18"/>
                <w:shd w:fill="D2D2D2" w:color="auto" w:val="clear"/>
              </w:rPr>
              <w:t>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b/>
                <w:w w:val="95"/>
                <w:sz w:val="18"/>
              </w:rPr>
              <w:t>36,527,316.59</w:t>
            </w:r>
            <w:r>
              <w:rPr>
                <w:rFonts w:ascii="宋体"/>
                <w:sz w:val="18"/>
              </w:rPr>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b/>
                <w:w w:val="95"/>
                <w:sz w:val="18"/>
              </w:rPr>
              <w:t>387,886,195.09</w:t>
            </w:r>
            <w:r>
              <w:rPr>
                <w:rFonts w:ascii="宋体"/>
                <w:sz w:val="18"/>
              </w:rPr>
            </w:r>
          </w:p>
        </w:tc>
      </w:tr>
      <w:tr>
        <w:trPr>
          <w:trHeight w:val="338"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tabs>
                <w:tab w:pos="454" w:val="left" w:leader="none"/>
                <w:tab w:pos="4340" w:val="left" w:leader="none"/>
              </w:tabs>
              <w:spacing w:line="240" w:lineRule="auto" w:before="21"/>
              <w:ind w:right="19"/>
              <w:jc w:val="right"/>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z w:val="18"/>
                <w:szCs w:val="18"/>
                <w:shd w:fill="D2D2D2" w:color="auto" w:val="clear"/>
              </w:rPr>
              <w:t> </w:t>
              <w:tab/>
            </w:r>
            <w:r>
              <w:rPr>
                <w:rFonts w:ascii="宋体" w:hAnsi="宋体" w:cs="宋体" w:eastAsia="宋体" w:hint="default"/>
                <w:b/>
                <w:bCs/>
                <w:w w:val="95"/>
                <w:sz w:val="18"/>
                <w:szCs w:val="18"/>
                <w:shd w:fill="D2D2D2" w:color="auto" w:val="clear"/>
              </w:rPr>
              <w:t>投资活动产生的现金流量净额</w:t>
            </w:r>
            <w:r>
              <w:rPr>
                <w:rFonts w:ascii="宋体" w:hAnsi="宋体" w:cs="宋体" w:eastAsia="宋体" w:hint="default"/>
                <w:b/>
                <w:bCs/>
                <w:spacing w:val="-1"/>
                <w:sz w:val="18"/>
                <w:szCs w:val="18"/>
                <w:shd w:fill="D2D2D2" w:color="auto" w:val="clear"/>
              </w:rPr>
              <w:t>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b/>
                <w:w w:val="95"/>
                <w:sz w:val="18"/>
              </w:rPr>
              <w:t>-36,083,754.11</w:t>
            </w:r>
            <w:r>
              <w:rPr>
                <w:rFonts w:ascii="宋体"/>
                <w:sz w:val="18"/>
              </w:rPr>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b/>
                <w:w w:val="95"/>
                <w:sz w:val="18"/>
              </w:rPr>
              <w:t>-120,339,713.00</w:t>
            </w:r>
            <w:r>
              <w:rPr>
                <w:rFonts w:ascii="宋体"/>
                <w:sz w:val="18"/>
              </w:rPr>
            </w:r>
          </w:p>
        </w:tc>
      </w:tr>
      <w:tr>
        <w:trPr>
          <w:trHeight w:val="341"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tabs>
                <w:tab w:pos="4340" w:val="left" w:leader="none"/>
              </w:tabs>
              <w:spacing w:line="240" w:lineRule="auto" w:before="21"/>
              <w:ind w:right="19"/>
              <w:jc w:val="right"/>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z w:val="18"/>
                <w:szCs w:val="18"/>
                <w:shd w:fill="D2D2D2" w:color="auto" w:val="clear"/>
              </w:rPr>
              <w:t> </w:t>
            </w:r>
            <w:r>
              <w:rPr>
                <w:rFonts w:ascii="Times New Roman" w:hAnsi="Times New Roman" w:cs="Times New Roman" w:eastAsia="Times New Roman" w:hint="default"/>
                <w:b/>
                <w:bCs/>
                <w:spacing w:val="1"/>
                <w:sz w:val="18"/>
                <w:szCs w:val="18"/>
                <w:shd w:fill="D2D2D2" w:color="auto" w:val="clear"/>
              </w:rPr>
              <w:t> </w:t>
            </w:r>
            <w:r>
              <w:rPr>
                <w:rFonts w:ascii="宋体" w:hAnsi="宋体" w:cs="宋体" w:eastAsia="宋体" w:hint="default"/>
                <w:b/>
                <w:bCs/>
                <w:w w:val="95"/>
                <w:sz w:val="18"/>
                <w:szCs w:val="18"/>
                <w:shd w:fill="D2D2D2" w:color="auto" w:val="clear"/>
              </w:rPr>
              <w:t>三、筹资活动产生的现金流量：</w:t>
            </w:r>
            <w:r>
              <w:rPr>
                <w:rFonts w:ascii="宋体" w:hAnsi="宋体" w:cs="宋体" w:eastAsia="宋体" w:hint="default"/>
                <w:b/>
                <w:bCs/>
                <w:spacing w:val="1"/>
                <w:sz w:val="18"/>
                <w:szCs w:val="18"/>
                <w:shd w:fill="D2D2D2" w:color="auto" w:val="clear"/>
              </w:rPr>
              <w:t>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tabs>
                <w:tab w:pos="274" w:val="left" w:leader="none"/>
                <w:tab w:pos="4340" w:val="left" w:leader="none"/>
              </w:tabs>
              <w:spacing w:line="240" w:lineRule="auto" w:before="21"/>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吸收投资收到的现金</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tabs>
                <w:tab w:pos="274" w:val="left" w:leader="none"/>
                <w:tab w:pos="4340" w:val="left" w:leader="none"/>
              </w:tabs>
              <w:spacing w:line="240" w:lineRule="auto" w:before="21"/>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pacing w:val="-1"/>
                <w:sz w:val="18"/>
                <w:szCs w:val="18"/>
                <w:shd w:fill="D2D2D2" w:color="auto" w:val="clear"/>
              </w:rPr>
              <w:t>其中：子公司吸收少数股东投资收到的现金</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tabs>
                <w:tab w:pos="274" w:val="left" w:leader="none"/>
                <w:tab w:pos="4340" w:val="left" w:leader="none"/>
              </w:tabs>
              <w:spacing w:line="240" w:lineRule="auto" w:before="21"/>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取得借款收到的现金</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364,966,234.50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spacing w:val="-1"/>
                <w:sz w:val="18"/>
              </w:rPr>
              <w:t>636,943,563.70</w:t>
            </w:r>
          </w:p>
        </w:tc>
      </w:tr>
      <w:tr>
        <w:trPr>
          <w:trHeight w:val="341"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tabs>
                <w:tab w:pos="274" w:val="left" w:leader="none"/>
                <w:tab w:pos="4340" w:val="left" w:leader="none"/>
              </w:tabs>
              <w:spacing w:line="240" w:lineRule="auto" w:before="21"/>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pacing w:val="-1"/>
                <w:sz w:val="18"/>
                <w:szCs w:val="18"/>
                <w:shd w:fill="D2D2D2" w:color="auto" w:val="clear"/>
              </w:rPr>
              <w:t>收到其他与筹资活动有关的现金</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tabs>
                <w:tab w:pos="454" w:val="left" w:leader="none"/>
                <w:tab w:pos="4340" w:val="left" w:leader="none"/>
              </w:tabs>
              <w:spacing w:line="240" w:lineRule="auto" w:before="21"/>
              <w:ind w:right="19"/>
              <w:jc w:val="right"/>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z w:val="18"/>
                <w:szCs w:val="18"/>
                <w:shd w:fill="D2D2D2" w:color="auto" w:val="clear"/>
              </w:rPr>
              <w:t> </w:t>
              <w:tab/>
            </w:r>
            <w:r>
              <w:rPr>
                <w:rFonts w:ascii="宋体" w:hAnsi="宋体" w:cs="宋体" w:eastAsia="宋体" w:hint="default"/>
                <w:b/>
                <w:bCs/>
                <w:w w:val="95"/>
                <w:sz w:val="18"/>
                <w:szCs w:val="18"/>
                <w:shd w:fill="D2D2D2" w:color="auto" w:val="clear"/>
              </w:rPr>
              <w:t>筹资活动现金流入小计</w:t>
            </w:r>
            <w:r>
              <w:rPr>
                <w:rFonts w:ascii="宋体" w:hAnsi="宋体" w:cs="宋体" w:eastAsia="宋体" w:hint="default"/>
                <w:b/>
                <w:bCs/>
                <w:sz w:val="18"/>
                <w:szCs w:val="18"/>
                <w:shd w:fill="D2D2D2" w:color="auto" w:val="clear"/>
              </w:rPr>
              <w:t>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b/>
                <w:w w:val="95"/>
                <w:sz w:val="18"/>
              </w:rPr>
              <w:t>364,966,234.50</w:t>
            </w:r>
            <w:r>
              <w:rPr>
                <w:rFonts w:ascii="宋体"/>
                <w:sz w:val="18"/>
              </w:rPr>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b/>
                <w:w w:val="95"/>
                <w:sz w:val="18"/>
              </w:rPr>
              <w:t>636,943,563.70</w:t>
            </w:r>
            <w:r>
              <w:rPr>
                <w:rFonts w:ascii="宋体"/>
                <w:sz w:val="18"/>
              </w:rPr>
            </w:r>
          </w:p>
        </w:tc>
      </w:tr>
      <w:tr>
        <w:trPr>
          <w:trHeight w:val="341"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tabs>
                <w:tab w:pos="274" w:val="left" w:leader="none"/>
                <w:tab w:pos="4340" w:val="left" w:leader="none"/>
              </w:tabs>
              <w:spacing w:line="240" w:lineRule="auto" w:before="21"/>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偿还债务支付的现金</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500,518,237.13</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spacing w:val="-1"/>
                <w:sz w:val="18"/>
              </w:rPr>
              <w:t>50,000,000.00</w:t>
            </w:r>
          </w:p>
        </w:tc>
      </w:tr>
      <w:tr>
        <w:trPr>
          <w:trHeight w:val="341" w:hRule="exact"/>
        </w:trPr>
        <w:tc>
          <w:tcPr>
            <w:tcW w:w="4395" w:type="dxa"/>
            <w:tcBorders>
              <w:top w:val="single" w:sz="4" w:space="0" w:color="000000"/>
              <w:left w:val="single" w:sz="4" w:space="0" w:color="000000"/>
              <w:bottom w:val="single" w:sz="4" w:space="0" w:color="000000"/>
              <w:right w:val="single" w:sz="4" w:space="0" w:color="000000"/>
            </w:tcBorders>
          </w:tcPr>
          <w:p>
            <w:pPr>
              <w:pStyle w:val="TableParagraph"/>
              <w:tabs>
                <w:tab w:pos="274" w:val="left" w:leader="none"/>
                <w:tab w:pos="4340" w:val="left" w:leader="none"/>
              </w:tabs>
              <w:spacing w:line="240" w:lineRule="auto" w:before="21"/>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pacing w:val="-1"/>
                <w:sz w:val="18"/>
                <w:szCs w:val="18"/>
                <w:shd w:fill="D2D2D2" w:color="auto" w:val="clear"/>
              </w:rPr>
              <w:t>分配股利、利润或偿付利息支付的现金</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61,165,108.41</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spacing w:val="-1"/>
                <w:sz w:val="18"/>
              </w:rPr>
              <w:t>34,539,492.69</w:t>
            </w:r>
          </w:p>
        </w:tc>
      </w:tr>
      <w:tr>
        <w:trPr>
          <w:trHeight w:val="339" w:hRule="exact"/>
        </w:trPr>
        <w:tc>
          <w:tcPr>
            <w:tcW w:w="4395" w:type="dxa"/>
            <w:tcBorders>
              <w:top w:val="single" w:sz="4" w:space="0" w:color="000000"/>
              <w:left w:val="single" w:sz="4" w:space="0" w:color="000000"/>
              <w:bottom w:val="single" w:sz="11" w:space="0" w:color="000000"/>
              <w:right w:val="single" w:sz="4" w:space="0" w:color="000000"/>
            </w:tcBorders>
          </w:tcPr>
          <w:p>
            <w:pPr>
              <w:pStyle w:val="TableParagraph"/>
              <w:tabs>
                <w:tab w:pos="274" w:val="left" w:leader="none"/>
                <w:tab w:pos="4340" w:val="left" w:leader="none"/>
              </w:tabs>
              <w:spacing w:line="240" w:lineRule="auto" w:before="22"/>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pacing w:val="-1"/>
                <w:sz w:val="18"/>
                <w:szCs w:val="18"/>
                <w:shd w:fill="D2D2D2" w:color="auto" w:val="clear"/>
              </w:rPr>
              <w:t>其中：子公司支付给少数股东的股利、利润</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395" w:type="dxa"/>
            <w:tcBorders>
              <w:top w:val="single" w:sz="11" w:space="0" w:color="000000"/>
              <w:left w:val="single" w:sz="4" w:space="0" w:color="000000"/>
              <w:bottom w:val="single" w:sz="11" w:space="0" w:color="000000"/>
              <w:right w:val="single" w:sz="4" w:space="0" w:color="000000"/>
            </w:tcBorders>
          </w:tcPr>
          <w:p>
            <w:pPr>
              <w:pStyle w:val="TableParagraph"/>
              <w:tabs>
                <w:tab w:pos="274" w:val="left" w:leader="none"/>
                <w:tab w:pos="4340" w:val="left" w:leader="none"/>
              </w:tabs>
              <w:spacing w:line="240" w:lineRule="auto" w:before="13"/>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pacing w:val="-1"/>
                <w:sz w:val="18"/>
                <w:szCs w:val="18"/>
                <w:shd w:fill="D2D2D2" w:color="auto" w:val="clear"/>
              </w:rPr>
              <w:t>支付其他与筹资活动有关的现金</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4"/>
              <w:ind w:right="19"/>
              <w:jc w:val="right"/>
              <w:rPr>
                <w:rFonts w:ascii="宋体" w:hAnsi="宋体" w:cs="宋体" w:eastAsia="宋体" w:hint="default"/>
                <w:sz w:val="15"/>
                <w:szCs w:val="15"/>
              </w:rPr>
            </w:pPr>
            <w:r>
              <w:rPr>
                <w:rFonts w:ascii="宋体" w:hAnsi="宋体" w:cs="宋体" w:eastAsia="宋体" w:hint="default"/>
                <w:w w:val="100"/>
                <w:sz w:val="15"/>
                <w:szCs w:val="15"/>
              </w:rPr>
              <w:t>六</w:t>
            </w:r>
            <w:r>
              <w:rPr>
                <w:rFonts w:ascii="宋体" w:hAnsi="宋体" w:cs="宋体" w:eastAsia="宋体" w:hint="default"/>
                <w:spacing w:val="-77"/>
                <w:w w:val="100"/>
                <w:sz w:val="15"/>
                <w:szCs w:val="15"/>
              </w:rPr>
              <w:t>、</w:t>
            </w:r>
            <w:r>
              <w:rPr>
                <w:rFonts w:ascii="宋体" w:hAnsi="宋体" w:cs="宋体" w:eastAsia="宋体" w:hint="default"/>
                <w:w w:val="100"/>
                <w:sz w:val="15"/>
                <w:szCs w:val="15"/>
              </w:rPr>
              <w:t>（</w:t>
            </w:r>
            <w:r>
              <w:rPr>
                <w:rFonts w:ascii="宋体" w:hAnsi="宋体" w:cs="宋体" w:eastAsia="宋体" w:hint="default"/>
                <w:spacing w:val="-3"/>
                <w:w w:val="100"/>
                <w:sz w:val="15"/>
                <w:szCs w:val="15"/>
              </w:rPr>
              <w:t>四</w:t>
            </w:r>
            <w:r>
              <w:rPr>
                <w:rFonts w:ascii="宋体" w:hAnsi="宋体" w:cs="宋体" w:eastAsia="宋体" w:hint="default"/>
                <w:w w:val="100"/>
                <w:sz w:val="15"/>
                <w:szCs w:val="15"/>
              </w:rPr>
              <w:t>十</w:t>
            </w:r>
            <w:r>
              <w:rPr>
                <w:rFonts w:ascii="宋体" w:hAnsi="宋体" w:cs="宋体" w:eastAsia="宋体" w:hint="default"/>
                <w:spacing w:val="-3"/>
                <w:w w:val="100"/>
                <w:sz w:val="15"/>
                <w:szCs w:val="15"/>
              </w:rPr>
              <w:t>七</w:t>
            </w:r>
            <w:r>
              <w:rPr>
                <w:rFonts w:ascii="宋体" w:hAnsi="宋体" w:cs="宋体" w:eastAsia="宋体" w:hint="default"/>
                <w:w w:val="100"/>
                <w:sz w:val="15"/>
                <w:szCs w:val="15"/>
              </w:rPr>
              <w:t>）</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54,771,593.00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9,750,000.00</w:t>
            </w:r>
          </w:p>
        </w:tc>
      </w:tr>
      <w:tr>
        <w:trPr>
          <w:trHeight w:val="341" w:hRule="exact"/>
        </w:trPr>
        <w:tc>
          <w:tcPr>
            <w:tcW w:w="4395" w:type="dxa"/>
            <w:tcBorders>
              <w:top w:val="single" w:sz="11" w:space="0" w:color="000000"/>
              <w:left w:val="single" w:sz="4" w:space="0" w:color="000000"/>
              <w:bottom w:val="single" w:sz="11" w:space="0" w:color="000000"/>
              <w:right w:val="single" w:sz="4" w:space="0" w:color="000000"/>
            </w:tcBorders>
          </w:tcPr>
          <w:p>
            <w:pPr>
              <w:pStyle w:val="TableParagraph"/>
              <w:tabs>
                <w:tab w:pos="454" w:val="left" w:leader="none"/>
                <w:tab w:pos="4340" w:val="left" w:leader="none"/>
              </w:tabs>
              <w:spacing w:line="240" w:lineRule="auto" w:before="13"/>
              <w:ind w:right="19"/>
              <w:jc w:val="right"/>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z w:val="18"/>
                <w:szCs w:val="18"/>
                <w:shd w:fill="D2D2D2" w:color="auto" w:val="clear"/>
              </w:rPr>
              <w:t> </w:t>
              <w:tab/>
            </w:r>
            <w:r>
              <w:rPr>
                <w:rFonts w:ascii="宋体" w:hAnsi="宋体" w:cs="宋体" w:eastAsia="宋体" w:hint="default"/>
                <w:b/>
                <w:bCs/>
                <w:w w:val="95"/>
                <w:sz w:val="18"/>
                <w:szCs w:val="18"/>
                <w:shd w:fill="D2D2D2" w:color="auto" w:val="clear"/>
              </w:rPr>
              <w:t>筹资活动现金流出小计</w:t>
            </w:r>
            <w:r>
              <w:rPr>
                <w:rFonts w:ascii="宋体" w:hAnsi="宋体" w:cs="宋体" w:eastAsia="宋体" w:hint="default"/>
                <w:b/>
                <w:bCs/>
                <w:sz w:val="18"/>
                <w:szCs w:val="18"/>
                <w:shd w:fill="D2D2D2" w:color="auto" w:val="clear"/>
              </w:rPr>
              <w:t>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b/>
                <w:w w:val="95"/>
                <w:sz w:val="18"/>
              </w:rPr>
              <w:t>616,454,938.54</w:t>
            </w:r>
            <w:r>
              <w:rPr>
                <w:rFonts w:ascii="宋体"/>
                <w:sz w:val="18"/>
              </w:rPr>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b/>
                <w:w w:val="95"/>
                <w:sz w:val="18"/>
              </w:rPr>
              <w:t>94,289,492.69</w:t>
            </w:r>
            <w:r>
              <w:rPr>
                <w:rFonts w:ascii="宋体"/>
                <w:sz w:val="18"/>
              </w:rPr>
            </w:r>
          </w:p>
        </w:tc>
      </w:tr>
      <w:tr>
        <w:trPr>
          <w:trHeight w:val="338" w:hRule="exact"/>
        </w:trPr>
        <w:tc>
          <w:tcPr>
            <w:tcW w:w="4395" w:type="dxa"/>
            <w:tcBorders>
              <w:top w:val="single" w:sz="11" w:space="0" w:color="000000"/>
              <w:left w:val="single" w:sz="4" w:space="0" w:color="000000"/>
              <w:bottom w:val="single" w:sz="4" w:space="0" w:color="000000"/>
              <w:right w:val="single" w:sz="4" w:space="0" w:color="000000"/>
            </w:tcBorders>
          </w:tcPr>
          <w:p>
            <w:pPr>
              <w:pStyle w:val="TableParagraph"/>
              <w:tabs>
                <w:tab w:pos="454" w:val="left" w:leader="none"/>
                <w:tab w:pos="4340" w:val="left" w:leader="none"/>
              </w:tabs>
              <w:spacing w:line="240" w:lineRule="auto" w:before="13"/>
              <w:ind w:right="19"/>
              <w:jc w:val="right"/>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z w:val="18"/>
                <w:szCs w:val="18"/>
                <w:shd w:fill="D2D2D2" w:color="auto" w:val="clear"/>
              </w:rPr>
              <w:t> </w:t>
              <w:tab/>
            </w:r>
            <w:r>
              <w:rPr>
                <w:rFonts w:ascii="宋体" w:hAnsi="宋体" w:cs="宋体" w:eastAsia="宋体" w:hint="default"/>
                <w:b/>
                <w:bCs/>
                <w:w w:val="95"/>
                <w:sz w:val="18"/>
                <w:szCs w:val="18"/>
                <w:shd w:fill="D2D2D2" w:color="auto" w:val="clear"/>
              </w:rPr>
              <w:t>筹资活动产生的现金流量净额</w:t>
            </w:r>
            <w:r>
              <w:rPr>
                <w:rFonts w:ascii="宋体" w:hAnsi="宋体" w:cs="宋体" w:eastAsia="宋体" w:hint="default"/>
                <w:b/>
                <w:bCs/>
                <w:spacing w:val="-1"/>
                <w:sz w:val="18"/>
                <w:szCs w:val="18"/>
                <w:shd w:fill="D2D2D2" w:color="auto" w:val="clear"/>
              </w:rPr>
              <w:t>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b/>
                <w:w w:val="95"/>
                <w:sz w:val="18"/>
              </w:rPr>
              <w:t>-251,488,704.04</w:t>
            </w:r>
            <w:r>
              <w:rPr>
                <w:rFonts w:ascii="宋体"/>
                <w:sz w:val="18"/>
              </w:rPr>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b/>
                <w:w w:val="95"/>
                <w:sz w:val="18"/>
              </w:rPr>
              <w:t>542,654,071.01</w:t>
            </w:r>
            <w:r>
              <w:rPr>
                <w:rFonts w:ascii="宋体"/>
                <w:sz w:val="18"/>
              </w:rPr>
            </w:r>
          </w:p>
        </w:tc>
      </w:tr>
      <w:tr>
        <w:trPr>
          <w:trHeight w:val="341" w:hRule="exact"/>
        </w:trPr>
        <w:tc>
          <w:tcPr>
            <w:tcW w:w="4395" w:type="dxa"/>
            <w:tcBorders>
              <w:top w:val="single" w:sz="4" w:space="0" w:color="000000"/>
              <w:left w:val="single" w:sz="4" w:space="0" w:color="000000"/>
              <w:bottom w:val="single" w:sz="11" w:space="0" w:color="000000"/>
              <w:right w:val="single" w:sz="4" w:space="0" w:color="000000"/>
            </w:tcBorders>
          </w:tcPr>
          <w:p>
            <w:pPr>
              <w:pStyle w:val="TableParagraph"/>
              <w:tabs>
                <w:tab w:pos="4340" w:val="left" w:leader="none"/>
              </w:tabs>
              <w:spacing w:line="240" w:lineRule="auto" w:before="21"/>
              <w:ind w:right="19"/>
              <w:jc w:val="right"/>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z w:val="18"/>
                <w:szCs w:val="18"/>
                <w:shd w:fill="D2D2D2" w:color="auto" w:val="clear"/>
              </w:rPr>
              <w:t> </w:t>
            </w:r>
            <w:r>
              <w:rPr>
                <w:rFonts w:ascii="Times New Roman" w:hAnsi="Times New Roman" w:cs="Times New Roman" w:eastAsia="Times New Roman" w:hint="default"/>
                <w:b/>
                <w:bCs/>
                <w:spacing w:val="1"/>
                <w:sz w:val="18"/>
                <w:szCs w:val="18"/>
                <w:shd w:fill="D2D2D2" w:color="auto" w:val="clear"/>
              </w:rPr>
              <w:t> </w:t>
            </w:r>
            <w:r>
              <w:rPr>
                <w:rFonts w:ascii="宋体" w:hAnsi="宋体" w:cs="宋体" w:eastAsia="宋体" w:hint="default"/>
                <w:b/>
                <w:bCs/>
                <w:w w:val="95"/>
                <w:sz w:val="18"/>
                <w:szCs w:val="18"/>
                <w:shd w:fill="D2D2D2" w:color="auto" w:val="clear"/>
              </w:rPr>
              <w:t>四、汇率变动对现金及现金等价物的影响</w:t>
            </w:r>
            <w:r>
              <w:rPr>
                <w:rFonts w:ascii="宋体" w:hAnsi="宋体" w:cs="宋体" w:eastAsia="宋体" w:hint="default"/>
                <w:b/>
                <w:bCs/>
                <w:spacing w:val="2"/>
                <w:sz w:val="18"/>
                <w:szCs w:val="18"/>
                <w:shd w:fill="D2D2D2" w:color="auto" w:val="clear"/>
              </w:rPr>
              <w:t>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8"/>
              <w:jc w:val="right"/>
              <w:rPr>
                <w:rFonts w:ascii="宋体" w:hAnsi="宋体" w:cs="宋体" w:eastAsia="宋体" w:hint="default"/>
                <w:sz w:val="18"/>
                <w:szCs w:val="18"/>
              </w:rPr>
            </w:pPr>
            <w:r>
              <w:rPr>
                <w:rFonts w:ascii="宋体"/>
                <w:sz w:val="18"/>
              </w:rPr>
              <w:t>-8.33</w:t>
            </w:r>
          </w:p>
        </w:tc>
        <w:tc>
          <w:tcPr>
            <w:tcW w:w="1985"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395" w:type="dxa"/>
            <w:tcBorders>
              <w:top w:val="single" w:sz="11" w:space="0" w:color="000000"/>
              <w:left w:val="single" w:sz="4" w:space="0" w:color="000000"/>
              <w:bottom w:val="single" w:sz="11" w:space="0" w:color="000000"/>
              <w:right w:val="single" w:sz="4" w:space="0" w:color="000000"/>
            </w:tcBorders>
          </w:tcPr>
          <w:p>
            <w:pPr>
              <w:pStyle w:val="TableParagraph"/>
              <w:tabs>
                <w:tab w:pos="4340" w:val="left" w:leader="none"/>
              </w:tabs>
              <w:spacing w:line="240" w:lineRule="auto" w:before="13"/>
              <w:ind w:right="19"/>
              <w:jc w:val="right"/>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z w:val="18"/>
                <w:szCs w:val="18"/>
                <w:shd w:fill="D2D2D2" w:color="auto" w:val="clear"/>
              </w:rPr>
              <w:t> </w:t>
            </w:r>
            <w:r>
              <w:rPr>
                <w:rFonts w:ascii="Times New Roman" w:hAnsi="Times New Roman" w:cs="Times New Roman" w:eastAsia="Times New Roman" w:hint="default"/>
                <w:b/>
                <w:bCs/>
                <w:spacing w:val="1"/>
                <w:sz w:val="18"/>
                <w:szCs w:val="18"/>
                <w:shd w:fill="D2D2D2" w:color="auto" w:val="clear"/>
              </w:rPr>
              <w:t> </w:t>
            </w:r>
            <w:r>
              <w:rPr>
                <w:rFonts w:ascii="宋体" w:hAnsi="宋体" w:cs="宋体" w:eastAsia="宋体" w:hint="default"/>
                <w:b/>
                <w:bCs/>
                <w:w w:val="95"/>
                <w:sz w:val="18"/>
                <w:szCs w:val="18"/>
                <w:shd w:fill="D2D2D2" w:color="auto" w:val="clear"/>
              </w:rPr>
              <w:t>五、现金及现金等价物净增加额</w:t>
            </w:r>
            <w:r>
              <w:rPr>
                <w:rFonts w:ascii="宋体" w:hAnsi="宋体" w:cs="宋体" w:eastAsia="宋体" w:hint="default"/>
                <w:b/>
                <w:bCs/>
                <w:spacing w:val="1"/>
                <w:sz w:val="18"/>
                <w:szCs w:val="18"/>
                <w:shd w:fill="D2D2D2" w:color="auto" w:val="clear"/>
              </w:rPr>
              <w:t>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b/>
                <w:w w:val="95"/>
                <w:sz w:val="18"/>
              </w:rPr>
              <w:t>127,238,999.62</w:t>
            </w:r>
            <w:r>
              <w:rPr>
                <w:rFonts w:ascii="宋体"/>
                <w:sz w:val="18"/>
              </w:rPr>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b/>
                <w:w w:val="95"/>
                <w:sz w:val="18"/>
              </w:rPr>
              <w:t>332,999,562.97</w:t>
            </w:r>
            <w:r>
              <w:rPr>
                <w:rFonts w:ascii="宋体"/>
                <w:sz w:val="18"/>
              </w:rPr>
            </w:r>
          </w:p>
        </w:tc>
      </w:tr>
      <w:tr>
        <w:trPr>
          <w:trHeight w:val="338" w:hRule="exact"/>
        </w:trPr>
        <w:tc>
          <w:tcPr>
            <w:tcW w:w="4395" w:type="dxa"/>
            <w:tcBorders>
              <w:top w:val="single" w:sz="11" w:space="0" w:color="000000"/>
              <w:left w:val="single" w:sz="4" w:space="0" w:color="000000"/>
              <w:bottom w:val="single" w:sz="4" w:space="0" w:color="000000"/>
              <w:right w:val="single" w:sz="4" w:space="0" w:color="000000"/>
            </w:tcBorders>
          </w:tcPr>
          <w:p>
            <w:pPr>
              <w:pStyle w:val="TableParagraph"/>
              <w:tabs>
                <w:tab w:pos="274" w:val="left" w:leader="none"/>
                <w:tab w:pos="4340" w:val="left" w:leader="none"/>
              </w:tabs>
              <w:spacing w:line="240" w:lineRule="auto" w:before="13"/>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pacing w:val="-1"/>
                <w:sz w:val="18"/>
                <w:szCs w:val="18"/>
                <w:shd w:fill="D2D2D2" w:color="auto" w:val="clear"/>
              </w:rPr>
              <w:t>加：期初现金及现金等价物余额</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678,057,434.70</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spacing w:val="-1"/>
                <w:sz w:val="18"/>
              </w:rPr>
              <w:t>345,057,871.73</w:t>
            </w:r>
          </w:p>
        </w:tc>
      </w:tr>
      <w:tr>
        <w:trPr>
          <w:trHeight w:val="337" w:hRule="exact"/>
        </w:trPr>
        <w:tc>
          <w:tcPr>
            <w:tcW w:w="4395" w:type="dxa"/>
            <w:tcBorders>
              <w:top w:val="single" w:sz="4" w:space="0" w:color="000000"/>
              <w:left w:val="single" w:sz="4" w:space="0" w:color="000000"/>
              <w:bottom w:val="single" w:sz="8" w:space="0" w:color="000000"/>
              <w:right w:val="single" w:sz="4" w:space="0" w:color="000000"/>
            </w:tcBorders>
          </w:tcPr>
          <w:p>
            <w:pPr>
              <w:pStyle w:val="TableParagraph"/>
              <w:tabs>
                <w:tab w:pos="4340" w:val="left" w:leader="none"/>
              </w:tabs>
              <w:spacing w:line="240" w:lineRule="auto" w:before="21"/>
              <w:ind w:right="19"/>
              <w:jc w:val="right"/>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z w:val="18"/>
                <w:szCs w:val="18"/>
                <w:shd w:fill="D2D2D2" w:color="auto" w:val="clear"/>
              </w:rPr>
              <w:t> </w:t>
            </w:r>
            <w:r>
              <w:rPr>
                <w:rFonts w:ascii="Times New Roman" w:hAnsi="Times New Roman" w:cs="Times New Roman" w:eastAsia="Times New Roman" w:hint="default"/>
                <w:b/>
                <w:bCs/>
                <w:spacing w:val="1"/>
                <w:sz w:val="18"/>
                <w:szCs w:val="18"/>
                <w:shd w:fill="D2D2D2" w:color="auto" w:val="clear"/>
              </w:rPr>
              <w:t> </w:t>
            </w:r>
            <w:r>
              <w:rPr>
                <w:rFonts w:ascii="宋体" w:hAnsi="宋体" w:cs="宋体" w:eastAsia="宋体" w:hint="default"/>
                <w:b/>
                <w:bCs/>
                <w:w w:val="95"/>
                <w:sz w:val="18"/>
                <w:szCs w:val="18"/>
                <w:shd w:fill="D2D2D2" w:color="auto" w:val="clear"/>
              </w:rPr>
              <w:t>六、期末现金及现金等价物余额</w:t>
            </w:r>
            <w:r>
              <w:rPr>
                <w:rFonts w:ascii="宋体" w:hAnsi="宋体" w:cs="宋体" w:eastAsia="宋体" w:hint="default"/>
                <w:b/>
                <w:bCs/>
                <w:spacing w:val="1"/>
                <w:sz w:val="18"/>
                <w:szCs w:val="18"/>
                <w:shd w:fill="D2D2D2" w:color="auto" w:val="clear"/>
              </w:rPr>
              <w:t>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1135" w:type="dxa"/>
            <w:tcBorders>
              <w:top w:val="single" w:sz="4" w:space="0" w:color="000000"/>
              <w:left w:val="single" w:sz="4" w:space="0" w:color="000000"/>
              <w:bottom w:val="single" w:sz="4" w:space="0" w:color="000000"/>
              <w:right w:val="single" w:sz="4" w:space="0" w:color="000000"/>
            </w:tcBorders>
          </w:tcPr>
          <w:p>
            <w:pP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b/>
                <w:w w:val="95"/>
                <w:sz w:val="18"/>
              </w:rPr>
              <w:t>805,296,434.32</w:t>
            </w:r>
            <w:r>
              <w:rPr>
                <w:rFonts w:ascii="宋体"/>
                <w:sz w:val="18"/>
              </w:rPr>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b/>
                <w:w w:val="95"/>
                <w:sz w:val="18"/>
              </w:rPr>
              <w:t>678,057,434.70</w:t>
            </w:r>
            <w:r>
              <w:rPr>
                <w:rFonts w:ascii="宋体"/>
                <w:sz w:val="18"/>
              </w:rPr>
            </w:r>
          </w:p>
        </w:tc>
      </w:tr>
    </w:tbl>
    <w:p>
      <w:pPr>
        <w:pStyle w:val="BodyText"/>
        <w:tabs>
          <w:tab w:pos="3410" w:val="left" w:leader="none"/>
          <w:tab w:pos="6982" w:val="left" w:leader="none"/>
        </w:tabs>
        <w:spacing w:line="240" w:lineRule="auto" w:before="86"/>
        <w:ind w:right="1133"/>
        <w:jc w:val="left"/>
      </w:pPr>
      <w:r>
        <w:rPr>
          <w:spacing w:val="-2"/>
        </w:rPr>
        <w:t>法定代表人：吴鹰</w:t>
        <w:tab/>
        <w:t>管会计工作负责人：李鹏宇</w:t>
        <w:tab/>
        <w:t>会计机构负责人：张雷</w:t>
      </w:r>
    </w:p>
    <w:p>
      <w:pPr>
        <w:spacing w:line="240" w:lineRule="auto" w:before="0"/>
        <w:rPr>
          <w:rFonts w:ascii="宋体" w:hAnsi="宋体" w:cs="宋体" w:eastAsia="宋体" w:hint="default"/>
          <w:sz w:val="25"/>
          <w:szCs w:val="25"/>
        </w:rPr>
      </w:pPr>
    </w:p>
    <w:p>
      <w:pPr>
        <w:pStyle w:val="Heading3"/>
        <w:spacing w:line="240" w:lineRule="auto"/>
        <w:ind w:right="1133"/>
        <w:jc w:val="left"/>
        <w:rPr>
          <w:b w:val="0"/>
          <w:bCs w:val="0"/>
        </w:rPr>
      </w:pPr>
      <w:r>
        <w:rPr>
          <w:rFonts w:ascii="Times New Roman" w:hAnsi="Times New Roman" w:cs="Times New Roman" w:eastAsia="Times New Roman" w:hint="default"/>
        </w:rPr>
        <w:t>6</w:t>
      </w:r>
      <w:r>
        <w:rPr/>
        <w:t>、母公司现金流量表</w:t>
      </w:r>
      <w:r>
        <w:rPr>
          <w:b w:val="0"/>
          <w:bCs w:val="0"/>
        </w:rPr>
      </w:r>
    </w:p>
    <w:p>
      <w:pPr>
        <w:pStyle w:val="BodyText"/>
        <w:spacing w:line="240" w:lineRule="auto" w:before="101"/>
        <w:ind w:left="0" w:right="1488"/>
        <w:jc w:val="right"/>
      </w:pPr>
      <w:r>
        <w:rPr>
          <w:spacing w:val="-1"/>
        </w:rPr>
        <w:t>单位：元</w:t>
      </w:r>
    </w:p>
    <w:p>
      <w:pPr>
        <w:spacing w:line="240" w:lineRule="auto" w:before="8"/>
        <w:rPr>
          <w:rFonts w:ascii="宋体" w:hAnsi="宋体" w:cs="宋体" w:eastAsia="宋体" w:hint="default"/>
          <w:sz w:val="5"/>
          <w:szCs w:val="5"/>
        </w:rPr>
      </w:pPr>
    </w:p>
    <w:tbl>
      <w:tblPr>
        <w:tblW w:w="0" w:type="auto"/>
        <w:jc w:val="left"/>
        <w:tblInd w:w="148" w:type="dxa"/>
        <w:tblLayout w:type="fixed"/>
        <w:tblCellMar>
          <w:top w:w="0" w:type="dxa"/>
          <w:left w:w="0" w:type="dxa"/>
          <w:bottom w:w="0" w:type="dxa"/>
          <w:right w:w="0" w:type="dxa"/>
        </w:tblCellMar>
        <w:tblLook w:val="01E0"/>
      </w:tblPr>
      <w:tblGrid>
        <w:gridCol w:w="4820"/>
        <w:gridCol w:w="852"/>
        <w:gridCol w:w="1985"/>
        <w:gridCol w:w="1844"/>
      </w:tblGrid>
      <w:tr>
        <w:trPr>
          <w:trHeight w:val="322" w:hRule="exact"/>
        </w:trPr>
        <w:tc>
          <w:tcPr>
            <w:tcW w:w="48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39" w:right="0"/>
              <w:jc w:val="left"/>
              <w:rPr>
                <w:rFonts w:ascii="宋体" w:hAnsi="宋体" w:cs="宋体" w:eastAsia="宋体" w:hint="default"/>
                <w:sz w:val="18"/>
                <w:szCs w:val="18"/>
              </w:rPr>
            </w:pPr>
            <w:r>
              <w:rPr>
                <w:rFonts w:ascii="宋体" w:hAnsi="宋体" w:cs="宋体" w:eastAsia="宋体" w:hint="default"/>
                <w:sz w:val="18"/>
                <w:szCs w:val="18"/>
              </w:rPr>
              <w:t>附注</w:t>
            </w:r>
          </w:p>
        </w:tc>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537"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467"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319" w:hRule="exact"/>
        </w:trPr>
        <w:tc>
          <w:tcPr>
            <w:tcW w:w="48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4"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85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985"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844"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44" w:hRule="exact"/>
        </w:trPr>
        <w:tc>
          <w:tcPr>
            <w:tcW w:w="4820" w:type="dxa"/>
            <w:tcBorders>
              <w:top w:val="single" w:sz="8" w:space="0" w:color="000000"/>
              <w:left w:val="single" w:sz="4" w:space="0" w:color="000000"/>
              <w:bottom w:val="single" w:sz="11" w:space="0" w:color="000000"/>
              <w:right w:val="single" w:sz="4" w:space="0" w:color="000000"/>
            </w:tcBorders>
          </w:tcPr>
          <w:p>
            <w:pPr>
              <w:pStyle w:val="TableParagraph"/>
              <w:tabs>
                <w:tab w:pos="298" w:val="left" w:leader="none"/>
                <w:tab w:pos="4788" w:val="left" w:leader="none"/>
              </w:tabs>
              <w:spacing w:line="240" w:lineRule="auto" w:before="22"/>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销售商品、提供劳务收到的现金</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820" w:type="dxa"/>
            <w:tcBorders>
              <w:top w:val="single" w:sz="11" w:space="0" w:color="000000"/>
              <w:left w:val="single" w:sz="4" w:space="0" w:color="000000"/>
              <w:bottom w:val="single" w:sz="4" w:space="0" w:color="000000"/>
              <w:right w:val="single" w:sz="4" w:space="0" w:color="000000"/>
            </w:tcBorders>
          </w:tcPr>
          <w:p>
            <w:pPr>
              <w:pStyle w:val="TableParagraph"/>
              <w:tabs>
                <w:tab w:pos="298" w:val="left" w:leader="none"/>
                <w:tab w:pos="4788" w:val="left" w:leader="none"/>
              </w:tabs>
              <w:spacing w:line="240" w:lineRule="auto" w:before="1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收到的税费返还</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820" w:type="dxa"/>
            <w:tcBorders>
              <w:top w:val="single" w:sz="4" w:space="0" w:color="000000"/>
              <w:left w:val="single" w:sz="4" w:space="0" w:color="000000"/>
              <w:bottom w:val="single" w:sz="11" w:space="0" w:color="000000"/>
              <w:right w:val="single" w:sz="4" w:space="0" w:color="000000"/>
            </w:tcBorders>
          </w:tcPr>
          <w:p>
            <w:pPr>
              <w:pStyle w:val="TableParagraph"/>
              <w:tabs>
                <w:tab w:pos="298" w:val="left" w:leader="none"/>
                <w:tab w:pos="4788" w:val="left" w:leader="none"/>
              </w:tabs>
              <w:spacing w:line="240" w:lineRule="auto" w:before="2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收到其他与经营活动有关的现金</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63,643,190.98</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20,877,757.18</w:t>
            </w:r>
          </w:p>
        </w:tc>
      </w:tr>
      <w:tr>
        <w:trPr>
          <w:trHeight w:val="338" w:hRule="exact"/>
        </w:trPr>
        <w:tc>
          <w:tcPr>
            <w:tcW w:w="4820" w:type="dxa"/>
            <w:tcBorders>
              <w:top w:val="single" w:sz="11" w:space="0" w:color="000000"/>
              <w:left w:val="single" w:sz="4" w:space="0" w:color="000000"/>
              <w:bottom w:val="single" w:sz="4" w:space="0" w:color="000000"/>
              <w:right w:val="single" w:sz="4" w:space="0" w:color="000000"/>
            </w:tcBorders>
          </w:tcPr>
          <w:p>
            <w:pPr>
              <w:pStyle w:val="TableParagraph"/>
              <w:tabs>
                <w:tab w:pos="478" w:val="left" w:leader="none"/>
                <w:tab w:pos="4788" w:val="left" w:leader="none"/>
              </w:tabs>
              <w:spacing w:line="240" w:lineRule="auto" w:before="13"/>
              <w:ind w:left="24"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z w:val="18"/>
                <w:szCs w:val="18"/>
                <w:shd w:fill="D2D2D2" w:color="auto" w:val="clear"/>
              </w:rPr>
              <w:t> </w:t>
              <w:tab/>
            </w:r>
            <w:r>
              <w:rPr>
                <w:rFonts w:ascii="宋体" w:hAnsi="宋体" w:cs="宋体" w:eastAsia="宋体" w:hint="default"/>
                <w:b/>
                <w:bCs/>
                <w:sz w:val="18"/>
                <w:szCs w:val="18"/>
                <w:shd w:fill="D2D2D2" w:color="auto" w:val="clear"/>
              </w:rPr>
              <w:t>经营活动现金流入小计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b/>
                <w:w w:val="95"/>
                <w:sz w:val="18"/>
              </w:rPr>
              <w:t>63,643,190.98</w:t>
            </w:r>
            <w:r>
              <w:rPr>
                <w:rFonts w:ascii="宋体"/>
                <w:sz w:val="18"/>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b/>
                <w:w w:val="95"/>
                <w:sz w:val="18"/>
              </w:rPr>
              <w:t>20,877,757.18</w:t>
            </w:r>
            <w:r>
              <w:rPr>
                <w:rFonts w:ascii="宋体"/>
                <w:sz w:val="18"/>
              </w:rPr>
            </w:r>
          </w:p>
        </w:tc>
      </w:tr>
      <w:tr>
        <w:trPr>
          <w:trHeight w:val="341" w:hRule="exact"/>
        </w:trPr>
        <w:tc>
          <w:tcPr>
            <w:tcW w:w="4820" w:type="dxa"/>
            <w:tcBorders>
              <w:top w:val="single" w:sz="4" w:space="0" w:color="000000"/>
              <w:left w:val="single" w:sz="4" w:space="0" w:color="000000"/>
              <w:bottom w:val="single" w:sz="4" w:space="0" w:color="000000"/>
              <w:right w:val="single" w:sz="4" w:space="0" w:color="000000"/>
            </w:tcBorders>
          </w:tcPr>
          <w:p>
            <w:pPr>
              <w:pStyle w:val="TableParagraph"/>
              <w:tabs>
                <w:tab w:pos="298" w:val="left" w:leader="none"/>
                <w:tab w:pos="4788" w:val="left" w:leader="none"/>
              </w:tabs>
              <w:spacing w:line="240" w:lineRule="auto" w:before="2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购买商品、接受劳务支付的现金</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820" w:type="dxa"/>
            <w:tcBorders>
              <w:top w:val="single" w:sz="4" w:space="0" w:color="000000"/>
              <w:left w:val="single" w:sz="4" w:space="0" w:color="000000"/>
              <w:bottom w:val="single" w:sz="4" w:space="0" w:color="000000"/>
              <w:right w:val="single" w:sz="4" w:space="0" w:color="000000"/>
            </w:tcBorders>
          </w:tcPr>
          <w:p>
            <w:pPr>
              <w:pStyle w:val="TableParagraph"/>
              <w:tabs>
                <w:tab w:pos="298" w:val="left" w:leader="none"/>
                <w:tab w:pos="4788" w:val="left" w:leader="none"/>
              </w:tabs>
              <w:spacing w:line="240" w:lineRule="auto" w:before="2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支付给职工以及为职工支付的现金</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4,601,924.20</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4,934,548.79</w:t>
            </w:r>
          </w:p>
        </w:tc>
      </w:tr>
      <w:tr>
        <w:trPr>
          <w:trHeight w:val="338" w:hRule="exact"/>
        </w:trPr>
        <w:tc>
          <w:tcPr>
            <w:tcW w:w="4820" w:type="dxa"/>
            <w:tcBorders>
              <w:top w:val="single" w:sz="4" w:space="0" w:color="000000"/>
              <w:left w:val="single" w:sz="4" w:space="0" w:color="000000"/>
              <w:bottom w:val="single" w:sz="4" w:space="0" w:color="000000"/>
              <w:right w:val="single" w:sz="4" w:space="0" w:color="000000"/>
            </w:tcBorders>
          </w:tcPr>
          <w:p>
            <w:pPr>
              <w:pStyle w:val="TableParagraph"/>
              <w:tabs>
                <w:tab w:pos="298" w:val="left" w:leader="none"/>
                <w:tab w:pos="4788" w:val="left" w:leader="none"/>
              </w:tabs>
              <w:spacing w:line="240" w:lineRule="auto" w:before="2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支付的各项税费</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1,036,979.87</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674,083.10</w:t>
            </w:r>
          </w:p>
        </w:tc>
      </w:tr>
      <w:tr>
        <w:trPr>
          <w:trHeight w:val="341" w:hRule="exact"/>
        </w:trPr>
        <w:tc>
          <w:tcPr>
            <w:tcW w:w="4820" w:type="dxa"/>
            <w:tcBorders>
              <w:top w:val="single" w:sz="4" w:space="0" w:color="000000"/>
              <w:left w:val="single" w:sz="4" w:space="0" w:color="000000"/>
              <w:bottom w:val="single" w:sz="4" w:space="0" w:color="000000"/>
              <w:right w:val="single" w:sz="4" w:space="0" w:color="000000"/>
            </w:tcBorders>
          </w:tcPr>
          <w:p>
            <w:pPr>
              <w:pStyle w:val="TableParagraph"/>
              <w:tabs>
                <w:tab w:pos="298" w:val="left" w:leader="none"/>
                <w:tab w:pos="4788" w:val="left" w:leader="none"/>
              </w:tabs>
              <w:spacing w:line="240" w:lineRule="auto" w:before="2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支付其他与经营活动有关的现金</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53,921,463.66</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20,267,970.64</w:t>
            </w:r>
          </w:p>
        </w:tc>
      </w:tr>
      <w:tr>
        <w:trPr>
          <w:trHeight w:val="341" w:hRule="exact"/>
        </w:trPr>
        <w:tc>
          <w:tcPr>
            <w:tcW w:w="4820" w:type="dxa"/>
            <w:tcBorders>
              <w:top w:val="single" w:sz="4" w:space="0" w:color="000000"/>
              <w:left w:val="single" w:sz="4" w:space="0" w:color="000000"/>
              <w:bottom w:val="single" w:sz="11" w:space="0" w:color="000000"/>
              <w:right w:val="single" w:sz="4" w:space="0" w:color="000000"/>
            </w:tcBorders>
          </w:tcPr>
          <w:p>
            <w:pPr>
              <w:pStyle w:val="TableParagraph"/>
              <w:tabs>
                <w:tab w:pos="478" w:val="left" w:leader="none"/>
                <w:tab w:pos="4788" w:val="left" w:leader="none"/>
              </w:tabs>
              <w:spacing w:line="240" w:lineRule="auto" w:before="22"/>
              <w:ind w:left="24"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z w:val="18"/>
                <w:szCs w:val="18"/>
                <w:shd w:fill="D2D2D2" w:color="auto" w:val="clear"/>
              </w:rPr>
              <w:t> </w:t>
              <w:tab/>
            </w:r>
            <w:r>
              <w:rPr>
                <w:rFonts w:ascii="宋体" w:hAnsi="宋体" w:cs="宋体" w:eastAsia="宋体" w:hint="default"/>
                <w:b/>
                <w:bCs/>
                <w:sz w:val="18"/>
                <w:szCs w:val="18"/>
                <w:shd w:fill="D2D2D2" w:color="auto" w:val="clear"/>
              </w:rPr>
              <w:t>经营活动现金流出小计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9"/>
              <w:jc w:val="right"/>
              <w:rPr>
                <w:rFonts w:ascii="宋体" w:hAnsi="宋体" w:cs="宋体" w:eastAsia="宋体" w:hint="default"/>
                <w:sz w:val="18"/>
                <w:szCs w:val="18"/>
              </w:rPr>
            </w:pPr>
            <w:r>
              <w:rPr>
                <w:rFonts w:ascii="宋体"/>
                <w:b/>
                <w:w w:val="95"/>
                <w:sz w:val="18"/>
              </w:rPr>
              <w:t>59,560,367.73</w:t>
            </w:r>
            <w:r>
              <w:rPr>
                <w:rFonts w:ascii="宋体"/>
                <w:sz w:val="18"/>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9"/>
              <w:jc w:val="right"/>
              <w:rPr>
                <w:rFonts w:ascii="宋体" w:hAnsi="宋体" w:cs="宋体" w:eastAsia="宋体" w:hint="default"/>
                <w:sz w:val="18"/>
                <w:szCs w:val="18"/>
              </w:rPr>
            </w:pPr>
            <w:r>
              <w:rPr>
                <w:rFonts w:ascii="宋体"/>
                <w:b/>
                <w:w w:val="95"/>
                <w:sz w:val="18"/>
              </w:rPr>
              <w:t>25,876,602.53</w:t>
            </w:r>
            <w:r>
              <w:rPr>
                <w:rFonts w:ascii="宋体"/>
                <w:sz w:val="18"/>
              </w:rPr>
            </w:r>
          </w:p>
        </w:tc>
      </w:tr>
      <w:tr>
        <w:trPr>
          <w:trHeight w:val="338" w:hRule="exact"/>
        </w:trPr>
        <w:tc>
          <w:tcPr>
            <w:tcW w:w="4820" w:type="dxa"/>
            <w:tcBorders>
              <w:top w:val="single" w:sz="11" w:space="0" w:color="000000"/>
              <w:left w:val="single" w:sz="4" w:space="0" w:color="000000"/>
              <w:bottom w:val="single" w:sz="4" w:space="0" w:color="000000"/>
              <w:right w:val="single" w:sz="4" w:space="0" w:color="000000"/>
            </w:tcBorders>
          </w:tcPr>
          <w:p>
            <w:pPr>
              <w:pStyle w:val="TableParagraph"/>
              <w:tabs>
                <w:tab w:pos="478" w:val="left" w:leader="none"/>
                <w:tab w:pos="4788" w:val="left" w:leader="none"/>
              </w:tabs>
              <w:spacing w:line="240" w:lineRule="auto" w:before="13"/>
              <w:ind w:left="24"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z w:val="18"/>
                <w:szCs w:val="18"/>
                <w:shd w:fill="D2D2D2" w:color="auto" w:val="clear"/>
              </w:rPr>
              <w:t> </w:t>
              <w:tab/>
            </w:r>
            <w:r>
              <w:rPr>
                <w:rFonts w:ascii="宋体" w:hAnsi="宋体" w:cs="宋体" w:eastAsia="宋体" w:hint="default"/>
                <w:b/>
                <w:bCs/>
                <w:sz w:val="18"/>
                <w:szCs w:val="18"/>
                <w:shd w:fill="D2D2D2" w:color="auto" w:val="clear"/>
              </w:rPr>
              <w:t>经营活动产生的现金流量净额</w:t>
            </w:r>
            <w:r>
              <w:rPr>
                <w:rFonts w:ascii="宋体" w:hAnsi="宋体" w:cs="宋体" w:eastAsia="宋体" w:hint="default"/>
                <w:b/>
                <w:bCs/>
                <w:spacing w:val="-1"/>
                <w:sz w:val="18"/>
                <w:szCs w:val="18"/>
                <w:shd w:fill="D2D2D2" w:color="auto" w:val="clear"/>
              </w:rPr>
              <w:t>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b/>
                <w:w w:val="95"/>
                <w:sz w:val="18"/>
              </w:rPr>
              <w:t>4,082,823.25</w:t>
            </w:r>
            <w:r>
              <w:rPr>
                <w:rFonts w:ascii="宋体"/>
                <w:sz w:val="18"/>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b/>
                <w:w w:val="95"/>
                <w:sz w:val="18"/>
              </w:rPr>
              <w:t>-4,998,845.35</w:t>
            </w:r>
            <w:r>
              <w:rPr>
                <w:rFonts w:ascii="宋体"/>
                <w:sz w:val="18"/>
              </w:rPr>
            </w:r>
          </w:p>
        </w:tc>
      </w:tr>
      <w:tr>
        <w:trPr>
          <w:trHeight w:val="341" w:hRule="exact"/>
        </w:trPr>
        <w:tc>
          <w:tcPr>
            <w:tcW w:w="4820" w:type="dxa"/>
            <w:tcBorders>
              <w:top w:val="single" w:sz="4" w:space="0" w:color="000000"/>
              <w:left w:val="single" w:sz="4" w:space="0" w:color="000000"/>
              <w:bottom w:val="single" w:sz="4" w:space="0" w:color="000000"/>
              <w:right w:val="single" w:sz="4" w:space="0" w:color="000000"/>
            </w:tcBorders>
          </w:tcPr>
          <w:p>
            <w:pPr>
              <w:pStyle w:val="TableParagraph"/>
              <w:tabs>
                <w:tab w:pos="4788" w:val="left" w:leader="none"/>
              </w:tabs>
              <w:spacing w:line="240" w:lineRule="auto" w:before="21"/>
              <w:ind w:left="24" w:right="0"/>
              <w:jc w:val="left"/>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z w:val="18"/>
                <w:szCs w:val="18"/>
                <w:shd w:fill="D2D2D2" w:color="auto" w:val="clear"/>
              </w:rPr>
              <w:t> </w:t>
            </w:r>
            <w:r>
              <w:rPr>
                <w:rFonts w:ascii="Times New Roman" w:hAnsi="Times New Roman" w:cs="Times New Roman" w:eastAsia="Times New Roman" w:hint="default"/>
                <w:b/>
                <w:bCs/>
                <w:spacing w:val="1"/>
                <w:sz w:val="18"/>
                <w:szCs w:val="18"/>
                <w:shd w:fill="D2D2D2" w:color="auto" w:val="clear"/>
              </w:rPr>
              <w:t> </w:t>
            </w:r>
            <w:r>
              <w:rPr>
                <w:rFonts w:ascii="宋体" w:hAnsi="宋体" w:cs="宋体" w:eastAsia="宋体" w:hint="default"/>
                <w:b/>
                <w:bCs/>
                <w:sz w:val="18"/>
                <w:szCs w:val="18"/>
                <w:shd w:fill="D2D2D2" w:color="auto" w:val="clear"/>
              </w:rPr>
              <w:t>二、投资活动产生的现金流量：</w:t>
            </w:r>
            <w:r>
              <w:rPr>
                <w:rFonts w:ascii="宋体" w:hAnsi="宋体" w:cs="宋体" w:eastAsia="宋体" w:hint="default"/>
                <w:b/>
                <w:bCs/>
                <w:spacing w:val="1"/>
                <w:sz w:val="18"/>
                <w:szCs w:val="18"/>
                <w:shd w:fill="D2D2D2" w:color="auto" w:val="clear"/>
              </w:rPr>
              <w:t>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820" w:type="dxa"/>
            <w:tcBorders>
              <w:top w:val="single" w:sz="4" w:space="0" w:color="000000"/>
              <w:left w:val="single" w:sz="4" w:space="0" w:color="000000"/>
              <w:bottom w:val="single" w:sz="11" w:space="0" w:color="000000"/>
              <w:right w:val="single" w:sz="4" w:space="0" w:color="000000"/>
            </w:tcBorders>
          </w:tcPr>
          <w:p>
            <w:pPr>
              <w:pStyle w:val="TableParagraph"/>
              <w:tabs>
                <w:tab w:pos="298" w:val="left" w:leader="none"/>
                <w:tab w:pos="4788" w:val="left" w:leader="none"/>
              </w:tabs>
              <w:spacing w:line="240" w:lineRule="auto" w:before="21"/>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收回投资收到的现金</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r>
      <w:tr>
        <w:trPr>
          <w:trHeight w:val="335" w:hRule="exact"/>
        </w:trPr>
        <w:tc>
          <w:tcPr>
            <w:tcW w:w="4820" w:type="dxa"/>
            <w:tcBorders>
              <w:top w:val="single" w:sz="11" w:space="0" w:color="000000"/>
              <w:left w:val="single" w:sz="4" w:space="0" w:color="000000"/>
              <w:bottom w:val="single" w:sz="57" w:space="0" w:color="D2D2D2"/>
              <w:right w:val="single" w:sz="4" w:space="0" w:color="000000"/>
            </w:tcBorders>
          </w:tcPr>
          <w:p>
            <w:pPr>
              <w:pStyle w:val="TableParagraph"/>
              <w:tabs>
                <w:tab w:pos="298" w:val="left" w:leader="none"/>
                <w:tab w:pos="4788" w:val="left" w:leader="none"/>
              </w:tabs>
              <w:spacing w:line="240" w:lineRule="auto" w:before="1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取得投资收益收到的现金</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120,730,854.65</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25,613,382.45</w:t>
            </w:r>
          </w:p>
        </w:tc>
      </w:tr>
      <w:tr>
        <w:trPr>
          <w:trHeight w:val="574" w:hRule="exact"/>
        </w:trPr>
        <w:tc>
          <w:tcPr>
            <w:tcW w:w="4820" w:type="dxa"/>
            <w:tcBorders>
              <w:top w:val="single" w:sz="57" w:space="0" w:color="D2D2D2"/>
              <w:left w:val="single" w:sz="4" w:space="0" w:color="000000"/>
              <w:bottom w:val="single" w:sz="54" w:space="0" w:color="D2D2D2"/>
              <w:right w:val="single" w:sz="4" w:space="0" w:color="000000"/>
            </w:tcBorders>
          </w:tcPr>
          <w:p>
            <w:pPr>
              <w:pStyle w:val="TableParagraph"/>
              <w:tabs>
                <w:tab w:pos="298" w:val="left" w:leader="none"/>
              </w:tabs>
              <w:spacing w:line="240" w:lineRule="auto" w:before="74"/>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处置固定资产、无形资产和其他长期资产收回的现金净额</w:t>
            </w:r>
            <w:r>
              <w:rPr>
                <w:rFonts w:ascii="宋体" w:hAnsi="宋体" w:cs="宋体" w:eastAsia="宋体" w:hint="default"/>
                <w:sz w:val="18"/>
                <w:szCs w:val="18"/>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21" w:footer="725" w:top="1160" w:bottom="920" w:left="980" w:right="0"/>
        </w:sectPr>
      </w:pPr>
    </w:p>
    <w:p>
      <w:pPr>
        <w:spacing w:line="240" w:lineRule="auto" w:before="4"/>
        <w:rPr>
          <w:rFonts w:ascii="宋体" w:hAnsi="宋体" w:cs="宋体" w:eastAsia="宋体" w:hint="default"/>
          <w:sz w:val="21"/>
          <w:szCs w:val="21"/>
        </w:rPr>
      </w:pPr>
    </w:p>
    <w:tbl>
      <w:tblPr>
        <w:tblW w:w="0" w:type="auto"/>
        <w:jc w:val="left"/>
        <w:tblInd w:w="148" w:type="dxa"/>
        <w:tblLayout w:type="fixed"/>
        <w:tblCellMar>
          <w:top w:w="0" w:type="dxa"/>
          <w:left w:w="0" w:type="dxa"/>
          <w:bottom w:w="0" w:type="dxa"/>
          <w:right w:w="0" w:type="dxa"/>
        </w:tblCellMar>
        <w:tblLook w:val="01E0"/>
      </w:tblPr>
      <w:tblGrid>
        <w:gridCol w:w="4820"/>
        <w:gridCol w:w="852"/>
        <w:gridCol w:w="1985"/>
        <w:gridCol w:w="1844"/>
      </w:tblGrid>
      <w:tr>
        <w:trPr>
          <w:trHeight w:val="335" w:hRule="exact"/>
        </w:trPr>
        <w:tc>
          <w:tcPr>
            <w:tcW w:w="4820" w:type="dxa"/>
            <w:tcBorders>
              <w:top w:val="single" w:sz="8" w:space="0" w:color="000000"/>
              <w:left w:val="single" w:sz="4" w:space="0" w:color="000000"/>
              <w:bottom w:val="single" w:sz="11" w:space="0" w:color="000000"/>
              <w:right w:val="single" w:sz="4" w:space="0" w:color="000000"/>
            </w:tcBorders>
          </w:tcPr>
          <w:p>
            <w:pPr>
              <w:pStyle w:val="TableParagraph"/>
              <w:tabs>
                <w:tab w:pos="274" w:val="left" w:leader="none"/>
                <w:tab w:pos="4764" w:val="left" w:leader="none"/>
              </w:tabs>
              <w:spacing w:line="240" w:lineRule="auto" w:before="13"/>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pacing w:val="-1"/>
                <w:sz w:val="18"/>
                <w:szCs w:val="18"/>
                <w:shd w:fill="D2D2D2" w:color="auto" w:val="clear"/>
              </w:rPr>
              <w:t>处置子公司及其他营业单位收到的现金净额</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820" w:type="dxa"/>
            <w:tcBorders>
              <w:top w:val="single" w:sz="11" w:space="0" w:color="000000"/>
              <w:left w:val="single" w:sz="4" w:space="0" w:color="000000"/>
              <w:bottom w:val="single" w:sz="4" w:space="0" w:color="000000"/>
              <w:right w:val="single" w:sz="4" w:space="0" w:color="000000"/>
            </w:tcBorders>
          </w:tcPr>
          <w:p>
            <w:pPr>
              <w:pStyle w:val="TableParagraph"/>
              <w:tabs>
                <w:tab w:pos="274" w:val="left" w:leader="none"/>
                <w:tab w:pos="4764" w:val="left" w:leader="none"/>
              </w:tabs>
              <w:spacing w:line="240" w:lineRule="auto" w:before="13"/>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pacing w:val="-1"/>
                <w:sz w:val="18"/>
                <w:szCs w:val="18"/>
                <w:shd w:fill="D2D2D2" w:color="auto" w:val="clear"/>
              </w:rPr>
              <w:t>收到其他与投资活动有关的现金</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9"/>
              <w:jc w:val="right"/>
              <w:rPr>
                <w:rFonts w:ascii="宋体" w:hAnsi="宋体" w:cs="宋体" w:eastAsia="宋体" w:hint="default"/>
                <w:sz w:val="18"/>
                <w:szCs w:val="18"/>
              </w:rPr>
            </w:pPr>
            <w:r>
              <w:rPr>
                <w:rFonts w:ascii="宋体"/>
                <w:spacing w:val="-1"/>
                <w:sz w:val="18"/>
              </w:rPr>
              <w:t>53,000,000.00</w:t>
            </w:r>
          </w:p>
        </w:tc>
      </w:tr>
      <w:tr>
        <w:trPr>
          <w:trHeight w:val="341" w:hRule="exact"/>
        </w:trPr>
        <w:tc>
          <w:tcPr>
            <w:tcW w:w="4820" w:type="dxa"/>
            <w:tcBorders>
              <w:top w:val="single" w:sz="4" w:space="0" w:color="000000"/>
              <w:left w:val="single" w:sz="4" w:space="0" w:color="000000"/>
              <w:bottom w:val="single" w:sz="4" w:space="0" w:color="000000"/>
              <w:right w:val="single" w:sz="4" w:space="0" w:color="000000"/>
            </w:tcBorders>
          </w:tcPr>
          <w:p>
            <w:pPr>
              <w:pStyle w:val="TableParagraph"/>
              <w:tabs>
                <w:tab w:pos="454" w:val="left" w:leader="none"/>
                <w:tab w:pos="4764" w:val="left" w:leader="none"/>
              </w:tabs>
              <w:spacing w:line="240" w:lineRule="auto" w:before="21"/>
              <w:ind w:right="19"/>
              <w:jc w:val="right"/>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z w:val="18"/>
                <w:szCs w:val="18"/>
                <w:shd w:fill="D2D2D2" w:color="auto" w:val="clear"/>
              </w:rPr>
              <w:t> </w:t>
              <w:tab/>
            </w:r>
            <w:r>
              <w:rPr>
                <w:rFonts w:ascii="宋体" w:hAnsi="宋体" w:cs="宋体" w:eastAsia="宋体" w:hint="default"/>
                <w:b/>
                <w:bCs/>
                <w:w w:val="95"/>
                <w:sz w:val="18"/>
                <w:szCs w:val="18"/>
                <w:shd w:fill="D2D2D2" w:color="auto" w:val="clear"/>
              </w:rPr>
              <w:t>投资活动现金流入小计</w:t>
            </w:r>
            <w:r>
              <w:rPr>
                <w:rFonts w:ascii="宋体" w:hAnsi="宋体" w:cs="宋体" w:eastAsia="宋体" w:hint="default"/>
                <w:b/>
                <w:bCs/>
                <w:sz w:val="18"/>
                <w:szCs w:val="18"/>
                <w:shd w:fill="D2D2D2" w:color="auto" w:val="clear"/>
              </w:rPr>
              <w:t>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b/>
                <w:w w:val="95"/>
                <w:sz w:val="18"/>
              </w:rPr>
              <w:t>120,730,854.65</w:t>
            </w:r>
            <w:r>
              <w:rPr>
                <w:rFonts w:ascii="宋体"/>
                <w:sz w:val="18"/>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b/>
                <w:w w:val="95"/>
                <w:sz w:val="18"/>
              </w:rPr>
              <w:t>78,613,382.45</w:t>
            </w:r>
            <w:r>
              <w:rPr>
                <w:rFonts w:ascii="宋体"/>
                <w:sz w:val="18"/>
              </w:rPr>
            </w:r>
          </w:p>
        </w:tc>
      </w:tr>
      <w:tr>
        <w:trPr>
          <w:trHeight w:val="338" w:hRule="exact"/>
        </w:trPr>
        <w:tc>
          <w:tcPr>
            <w:tcW w:w="4820" w:type="dxa"/>
            <w:tcBorders>
              <w:top w:val="single" w:sz="4" w:space="0" w:color="000000"/>
              <w:left w:val="single" w:sz="4" w:space="0" w:color="000000"/>
              <w:bottom w:val="single" w:sz="4" w:space="0" w:color="000000"/>
              <w:right w:val="single" w:sz="4" w:space="0" w:color="000000"/>
            </w:tcBorders>
          </w:tcPr>
          <w:p>
            <w:pPr>
              <w:pStyle w:val="TableParagraph"/>
              <w:tabs>
                <w:tab w:pos="274" w:val="left" w:leader="none"/>
                <w:tab w:pos="4764" w:val="left" w:leader="none"/>
              </w:tabs>
              <w:spacing w:line="240" w:lineRule="auto" w:before="21"/>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pacing w:val="-1"/>
                <w:sz w:val="18"/>
                <w:szCs w:val="18"/>
                <w:shd w:fill="D2D2D2" w:color="auto" w:val="clear"/>
              </w:rPr>
              <w:t>购建固定资产、无形资产和其他长期资产支付的现金</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41,171.31</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244,763.04</w:t>
            </w:r>
          </w:p>
        </w:tc>
      </w:tr>
      <w:tr>
        <w:trPr>
          <w:trHeight w:val="341" w:hRule="exact"/>
        </w:trPr>
        <w:tc>
          <w:tcPr>
            <w:tcW w:w="4820" w:type="dxa"/>
            <w:tcBorders>
              <w:top w:val="single" w:sz="4" w:space="0" w:color="000000"/>
              <w:left w:val="single" w:sz="4" w:space="0" w:color="000000"/>
              <w:bottom w:val="single" w:sz="4" w:space="0" w:color="000000"/>
              <w:right w:val="single" w:sz="4" w:space="0" w:color="000000"/>
            </w:tcBorders>
          </w:tcPr>
          <w:p>
            <w:pPr>
              <w:pStyle w:val="TableParagraph"/>
              <w:tabs>
                <w:tab w:pos="274" w:val="left" w:leader="none"/>
                <w:tab w:pos="4764" w:val="left" w:leader="none"/>
              </w:tabs>
              <w:spacing w:line="240" w:lineRule="auto" w:before="21"/>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投资支付的现金</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820" w:type="dxa"/>
            <w:tcBorders>
              <w:top w:val="single" w:sz="4" w:space="0" w:color="000000"/>
              <w:left w:val="single" w:sz="4" w:space="0" w:color="000000"/>
              <w:bottom w:val="single" w:sz="4" w:space="0" w:color="000000"/>
              <w:right w:val="single" w:sz="4" w:space="0" w:color="000000"/>
            </w:tcBorders>
          </w:tcPr>
          <w:p>
            <w:pPr>
              <w:pStyle w:val="TableParagraph"/>
              <w:tabs>
                <w:tab w:pos="274" w:val="left" w:leader="none"/>
                <w:tab w:pos="4764" w:val="left" w:leader="none"/>
              </w:tabs>
              <w:spacing w:line="240" w:lineRule="auto" w:before="21"/>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pacing w:val="-1"/>
                <w:sz w:val="18"/>
                <w:szCs w:val="18"/>
                <w:shd w:fill="D2D2D2" w:color="auto" w:val="clear"/>
              </w:rPr>
              <w:t>取得子公司及其他营业单位支付的现金净额</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spacing w:val="-1"/>
                <w:sz w:val="18"/>
              </w:rPr>
              <w:t>383,988,235.29</w:t>
            </w:r>
          </w:p>
        </w:tc>
      </w:tr>
      <w:tr>
        <w:trPr>
          <w:trHeight w:val="338" w:hRule="exact"/>
        </w:trPr>
        <w:tc>
          <w:tcPr>
            <w:tcW w:w="4820" w:type="dxa"/>
            <w:tcBorders>
              <w:top w:val="single" w:sz="4" w:space="0" w:color="000000"/>
              <w:left w:val="single" w:sz="4" w:space="0" w:color="000000"/>
              <w:bottom w:val="single" w:sz="4" w:space="0" w:color="000000"/>
              <w:right w:val="single" w:sz="4" w:space="0" w:color="000000"/>
            </w:tcBorders>
          </w:tcPr>
          <w:p>
            <w:pPr>
              <w:pStyle w:val="TableParagraph"/>
              <w:tabs>
                <w:tab w:pos="274" w:val="left" w:leader="none"/>
                <w:tab w:pos="4764" w:val="left" w:leader="none"/>
              </w:tabs>
              <w:spacing w:line="240" w:lineRule="auto" w:before="21"/>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pacing w:val="-1"/>
                <w:sz w:val="18"/>
                <w:szCs w:val="18"/>
                <w:shd w:fill="D2D2D2" w:color="auto" w:val="clear"/>
              </w:rPr>
              <w:t>支付其他与投资活动有关的现金</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820" w:type="dxa"/>
            <w:tcBorders>
              <w:top w:val="single" w:sz="4" w:space="0" w:color="000000"/>
              <w:left w:val="single" w:sz="4" w:space="0" w:color="000000"/>
              <w:bottom w:val="single" w:sz="4" w:space="0" w:color="000000"/>
              <w:right w:val="single" w:sz="4" w:space="0" w:color="000000"/>
            </w:tcBorders>
          </w:tcPr>
          <w:p>
            <w:pPr>
              <w:pStyle w:val="TableParagraph"/>
              <w:tabs>
                <w:tab w:pos="454" w:val="left" w:leader="none"/>
                <w:tab w:pos="4764" w:val="left" w:leader="none"/>
              </w:tabs>
              <w:spacing w:line="240" w:lineRule="auto" w:before="21"/>
              <w:ind w:right="19"/>
              <w:jc w:val="right"/>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z w:val="18"/>
                <w:szCs w:val="18"/>
                <w:shd w:fill="D2D2D2" w:color="auto" w:val="clear"/>
              </w:rPr>
              <w:t> </w:t>
              <w:tab/>
            </w:r>
            <w:r>
              <w:rPr>
                <w:rFonts w:ascii="宋体" w:hAnsi="宋体" w:cs="宋体" w:eastAsia="宋体" w:hint="default"/>
                <w:b/>
                <w:bCs/>
                <w:w w:val="95"/>
                <w:sz w:val="18"/>
                <w:szCs w:val="18"/>
                <w:shd w:fill="D2D2D2" w:color="auto" w:val="clear"/>
              </w:rPr>
              <w:t>投资活动现金流出小计</w:t>
            </w:r>
            <w:r>
              <w:rPr>
                <w:rFonts w:ascii="宋体" w:hAnsi="宋体" w:cs="宋体" w:eastAsia="宋体" w:hint="default"/>
                <w:b/>
                <w:bCs/>
                <w:sz w:val="18"/>
                <w:szCs w:val="18"/>
                <w:shd w:fill="D2D2D2" w:color="auto" w:val="clear"/>
              </w:rPr>
              <w:t>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b/>
                <w:w w:val="95"/>
                <w:sz w:val="18"/>
              </w:rPr>
              <w:t>41,171.31</w:t>
            </w:r>
            <w:r>
              <w:rPr>
                <w:rFonts w:ascii="宋体"/>
                <w:sz w:val="18"/>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b/>
                <w:w w:val="95"/>
                <w:sz w:val="18"/>
              </w:rPr>
              <w:t>384,232,998.33</w:t>
            </w:r>
            <w:r>
              <w:rPr>
                <w:rFonts w:ascii="宋体"/>
                <w:sz w:val="18"/>
              </w:rPr>
            </w:r>
          </w:p>
        </w:tc>
      </w:tr>
      <w:tr>
        <w:trPr>
          <w:trHeight w:val="341" w:hRule="exact"/>
        </w:trPr>
        <w:tc>
          <w:tcPr>
            <w:tcW w:w="4820" w:type="dxa"/>
            <w:tcBorders>
              <w:top w:val="single" w:sz="4" w:space="0" w:color="000000"/>
              <w:left w:val="single" w:sz="4" w:space="0" w:color="000000"/>
              <w:bottom w:val="single" w:sz="4" w:space="0" w:color="000000"/>
              <w:right w:val="single" w:sz="4" w:space="0" w:color="000000"/>
            </w:tcBorders>
          </w:tcPr>
          <w:p>
            <w:pPr>
              <w:pStyle w:val="TableParagraph"/>
              <w:tabs>
                <w:tab w:pos="454" w:val="left" w:leader="none"/>
                <w:tab w:pos="4764" w:val="left" w:leader="none"/>
              </w:tabs>
              <w:spacing w:line="240" w:lineRule="auto" w:before="21"/>
              <w:ind w:right="19"/>
              <w:jc w:val="right"/>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z w:val="18"/>
                <w:szCs w:val="18"/>
                <w:shd w:fill="D2D2D2" w:color="auto" w:val="clear"/>
              </w:rPr>
              <w:t> </w:t>
              <w:tab/>
            </w:r>
            <w:r>
              <w:rPr>
                <w:rFonts w:ascii="宋体" w:hAnsi="宋体" w:cs="宋体" w:eastAsia="宋体" w:hint="default"/>
                <w:b/>
                <w:bCs/>
                <w:w w:val="95"/>
                <w:sz w:val="18"/>
                <w:szCs w:val="18"/>
                <w:shd w:fill="D2D2D2" w:color="auto" w:val="clear"/>
              </w:rPr>
              <w:t>投资活动产生的现金流量净额</w:t>
            </w:r>
            <w:r>
              <w:rPr>
                <w:rFonts w:ascii="宋体" w:hAnsi="宋体" w:cs="宋体" w:eastAsia="宋体" w:hint="default"/>
                <w:b/>
                <w:bCs/>
                <w:spacing w:val="-1"/>
                <w:sz w:val="18"/>
                <w:szCs w:val="18"/>
                <w:shd w:fill="D2D2D2" w:color="auto" w:val="clear"/>
              </w:rPr>
              <w:t>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b/>
                <w:w w:val="95"/>
                <w:sz w:val="18"/>
              </w:rPr>
              <w:t>120,689,683.34</w:t>
            </w:r>
            <w:r>
              <w:rPr>
                <w:rFonts w:ascii="宋体"/>
                <w:sz w:val="18"/>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b/>
                <w:w w:val="95"/>
                <w:sz w:val="18"/>
              </w:rPr>
              <w:t>-305,619,615.88</w:t>
            </w:r>
            <w:r>
              <w:rPr>
                <w:rFonts w:ascii="宋体"/>
                <w:sz w:val="18"/>
              </w:rPr>
            </w:r>
          </w:p>
        </w:tc>
      </w:tr>
      <w:tr>
        <w:trPr>
          <w:trHeight w:val="338" w:hRule="exact"/>
        </w:trPr>
        <w:tc>
          <w:tcPr>
            <w:tcW w:w="4820" w:type="dxa"/>
            <w:tcBorders>
              <w:top w:val="single" w:sz="4" w:space="0" w:color="000000"/>
              <w:left w:val="single" w:sz="4" w:space="0" w:color="000000"/>
              <w:bottom w:val="single" w:sz="4" w:space="0" w:color="000000"/>
              <w:right w:val="single" w:sz="4" w:space="0" w:color="000000"/>
            </w:tcBorders>
          </w:tcPr>
          <w:p>
            <w:pPr>
              <w:pStyle w:val="TableParagraph"/>
              <w:tabs>
                <w:tab w:pos="4764" w:val="left" w:leader="none"/>
              </w:tabs>
              <w:spacing w:line="240" w:lineRule="auto" w:before="21"/>
              <w:ind w:right="19"/>
              <w:jc w:val="right"/>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z w:val="18"/>
                <w:szCs w:val="18"/>
                <w:shd w:fill="D2D2D2" w:color="auto" w:val="clear"/>
              </w:rPr>
              <w:t> </w:t>
            </w:r>
            <w:r>
              <w:rPr>
                <w:rFonts w:ascii="Times New Roman" w:hAnsi="Times New Roman" w:cs="Times New Roman" w:eastAsia="Times New Roman" w:hint="default"/>
                <w:b/>
                <w:bCs/>
                <w:spacing w:val="1"/>
                <w:sz w:val="18"/>
                <w:szCs w:val="18"/>
                <w:shd w:fill="D2D2D2" w:color="auto" w:val="clear"/>
              </w:rPr>
              <w:t> </w:t>
            </w:r>
            <w:r>
              <w:rPr>
                <w:rFonts w:ascii="宋体" w:hAnsi="宋体" w:cs="宋体" w:eastAsia="宋体" w:hint="default"/>
                <w:b/>
                <w:bCs/>
                <w:w w:val="95"/>
                <w:sz w:val="18"/>
                <w:szCs w:val="18"/>
                <w:shd w:fill="D2D2D2" w:color="auto" w:val="clear"/>
              </w:rPr>
              <w:t>三、筹资活动产生的现金流量：</w:t>
            </w:r>
            <w:r>
              <w:rPr>
                <w:rFonts w:ascii="宋体" w:hAnsi="宋体" w:cs="宋体" w:eastAsia="宋体" w:hint="default"/>
                <w:b/>
                <w:bCs/>
                <w:spacing w:val="1"/>
                <w:sz w:val="18"/>
                <w:szCs w:val="18"/>
                <w:shd w:fill="D2D2D2" w:color="auto" w:val="clear"/>
              </w:rPr>
              <w:t>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820" w:type="dxa"/>
            <w:tcBorders>
              <w:top w:val="single" w:sz="4" w:space="0" w:color="000000"/>
              <w:left w:val="single" w:sz="4" w:space="0" w:color="000000"/>
              <w:bottom w:val="single" w:sz="4" w:space="0" w:color="000000"/>
              <w:right w:val="single" w:sz="4" w:space="0" w:color="000000"/>
            </w:tcBorders>
          </w:tcPr>
          <w:p>
            <w:pPr>
              <w:pStyle w:val="TableParagraph"/>
              <w:tabs>
                <w:tab w:pos="274" w:val="left" w:leader="none"/>
                <w:tab w:pos="4764" w:val="left" w:leader="none"/>
              </w:tabs>
              <w:spacing w:line="240" w:lineRule="auto" w:before="21"/>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吸收投资收到的现金</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820" w:type="dxa"/>
            <w:tcBorders>
              <w:top w:val="single" w:sz="4" w:space="0" w:color="000000"/>
              <w:left w:val="single" w:sz="4" w:space="0" w:color="000000"/>
              <w:bottom w:val="single" w:sz="4" w:space="0" w:color="000000"/>
              <w:right w:val="single" w:sz="4" w:space="0" w:color="000000"/>
            </w:tcBorders>
          </w:tcPr>
          <w:p>
            <w:pPr>
              <w:pStyle w:val="TableParagraph"/>
              <w:tabs>
                <w:tab w:pos="274" w:val="left" w:leader="none"/>
                <w:tab w:pos="4764" w:val="left" w:leader="none"/>
              </w:tabs>
              <w:spacing w:line="240" w:lineRule="auto" w:before="21"/>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取得借款收到的现金</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spacing w:val="-1"/>
                <w:sz w:val="18"/>
              </w:rPr>
              <w:t>417,400,000.00</w:t>
            </w:r>
          </w:p>
        </w:tc>
      </w:tr>
      <w:tr>
        <w:trPr>
          <w:trHeight w:val="339" w:hRule="exact"/>
        </w:trPr>
        <w:tc>
          <w:tcPr>
            <w:tcW w:w="4820" w:type="dxa"/>
            <w:tcBorders>
              <w:top w:val="single" w:sz="4" w:space="0" w:color="000000"/>
              <w:left w:val="single" w:sz="4" w:space="0" w:color="000000"/>
              <w:bottom w:val="single" w:sz="11" w:space="0" w:color="000000"/>
              <w:right w:val="single" w:sz="4" w:space="0" w:color="000000"/>
            </w:tcBorders>
          </w:tcPr>
          <w:p>
            <w:pPr>
              <w:pStyle w:val="TableParagraph"/>
              <w:tabs>
                <w:tab w:pos="274" w:val="left" w:leader="none"/>
                <w:tab w:pos="4764" w:val="left" w:leader="none"/>
              </w:tabs>
              <w:spacing w:line="240" w:lineRule="auto" w:before="22"/>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pacing w:val="-1"/>
                <w:sz w:val="18"/>
                <w:szCs w:val="18"/>
                <w:shd w:fill="D2D2D2" w:color="auto" w:val="clear"/>
              </w:rPr>
              <w:t>收到其他与筹资活动有关的现金</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right="19"/>
              <w:jc w:val="right"/>
              <w:rPr>
                <w:rFonts w:ascii="宋体" w:hAnsi="宋体" w:cs="宋体" w:eastAsia="宋体" w:hint="default"/>
                <w:sz w:val="18"/>
                <w:szCs w:val="18"/>
              </w:rPr>
            </w:pPr>
            <w:r>
              <w:rPr>
                <w:rFonts w:ascii="宋体"/>
                <w:spacing w:val="-1"/>
                <w:sz w:val="18"/>
              </w:rPr>
              <w:t>19,123,056.14</w:t>
            </w:r>
          </w:p>
        </w:tc>
        <w:tc>
          <w:tcPr>
            <w:tcW w:w="1844"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820" w:type="dxa"/>
            <w:tcBorders>
              <w:top w:val="single" w:sz="11" w:space="0" w:color="000000"/>
              <w:left w:val="single" w:sz="4" w:space="0" w:color="000000"/>
              <w:bottom w:val="single" w:sz="11" w:space="0" w:color="000000"/>
              <w:right w:val="single" w:sz="4" w:space="0" w:color="000000"/>
            </w:tcBorders>
          </w:tcPr>
          <w:p>
            <w:pPr>
              <w:pStyle w:val="TableParagraph"/>
              <w:tabs>
                <w:tab w:pos="454" w:val="left" w:leader="none"/>
                <w:tab w:pos="4764" w:val="left" w:leader="none"/>
              </w:tabs>
              <w:spacing w:line="240" w:lineRule="auto" w:before="13"/>
              <w:ind w:right="19"/>
              <w:jc w:val="right"/>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z w:val="18"/>
                <w:szCs w:val="18"/>
                <w:shd w:fill="D2D2D2" w:color="auto" w:val="clear"/>
              </w:rPr>
              <w:t> </w:t>
              <w:tab/>
            </w:r>
            <w:r>
              <w:rPr>
                <w:rFonts w:ascii="宋体" w:hAnsi="宋体" w:cs="宋体" w:eastAsia="宋体" w:hint="default"/>
                <w:b/>
                <w:bCs/>
                <w:w w:val="95"/>
                <w:sz w:val="18"/>
                <w:szCs w:val="18"/>
                <w:shd w:fill="D2D2D2" w:color="auto" w:val="clear"/>
              </w:rPr>
              <w:t>筹资活动现金流入小计</w:t>
            </w:r>
            <w:r>
              <w:rPr>
                <w:rFonts w:ascii="宋体" w:hAnsi="宋体" w:cs="宋体" w:eastAsia="宋体" w:hint="default"/>
                <w:b/>
                <w:bCs/>
                <w:sz w:val="18"/>
                <w:szCs w:val="18"/>
                <w:shd w:fill="D2D2D2" w:color="auto" w:val="clear"/>
              </w:rPr>
              <w:t>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b/>
                <w:w w:val="95"/>
                <w:sz w:val="18"/>
              </w:rPr>
              <w:t>19,123,056.14</w:t>
            </w:r>
            <w:r>
              <w:rPr>
                <w:rFonts w:ascii="宋体"/>
                <w:sz w:val="18"/>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b/>
                <w:w w:val="95"/>
                <w:sz w:val="18"/>
              </w:rPr>
              <w:t>417,400,000.00</w:t>
            </w:r>
            <w:r>
              <w:rPr>
                <w:rFonts w:ascii="宋体"/>
                <w:sz w:val="18"/>
              </w:rPr>
            </w:r>
          </w:p>
        </w:tc>
      </w:tr>
      <w:tr>
        <w:trPr>
          <w:trHeight w:val="341" w:hRule="exact"/>
        </w:trPr>
        <w:tc>
          <w:tcPr>
            <w:tcW w:w="4820" w:type="dxa"/>
            <w:tcBorders>
              <w:top w:val="single" w:sz="11" w:space="0" w:color="000000"/>
              <w:left w:val="single" w:sz="4" w:space="0" w:color="000000"/>
              <w:bottom w:val="single" w:sz="11" w:space="0" w:color="000000"/>
              <w:right w:val="single" w:sz="4" w:space="0" w:color="000000"/>
            </w:tcBorders>
          </w:tcPr>
          <w:p>
            <w:pPr>
              <w:pStyle w:val="TableParagraph"/>
              <w:tabs>
                <w:tab w:pos="274" w:val="left" w:leader="none"/>
                <w:tab w:pos="4764" w:val="left" w:leader="none"/>
              </w:tabs>
              <w:spacing w:line="240" w:lineRule="auto" w:before="13"/>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偿还债务支付的现金</w:t>
            </w:r>
            <w:r>
              <w:rPr>
                <w:rFonts w:ascii="宋体" w:hAnsi="宋体" w:cs="宋体" w:eastAsia="宋体" w:hint="default"/>
                <w:spacing w:val="-4"/>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40,000,000.00</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75,000,000.00</w:t>
            </w:r>
          </w:p>
        </w:tc>
      </w:tr>
      <w:tr>
        <w:trPr>
          <w:trHeight w:val="338" w:hRule="exact"/>
        </w:trPr>
        <w:tc>
          <w:tcPr>
            <w:tcW w:w="4820" w:type="dxa"/>
            <w:tcBorders>
              <w:top w:val="single" w:sz="11" w:space="0" w:color="000000"/>
              <w:left w:val="single" w:sz="4" w:space="0" w:color="000000"/>
              <w:bottom w:val="single" w:sz="4" w:space="0" w:color="000000"/>
              <w:right w:val="single" w:sz="4" w:space="0" w:color="000000"/>
            </w:tcBorders>
          </w:tcPr>
          <w:p>
            <w:pPr>
              <w:pStyle w:val="TableParagraph"/>
              <w:tabs>
                <w:tab w:pos="274" w:val="left" w:leader="none"/>
                <w:tab w:pos="4764" w:val="left" w:leader="none"/>
              </w:tabs>
              <w:spacing w:line="240" w:lineRule="auto" w:before="13"/>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pacing w:val="-1"/>
                <w:sz w:val="18"/>
                <w:szCs w:val="18"/>
                <w:shd w:fill="D2D2D2" w:color="auto" w:val="clear"/>
              </w:rPr>
              <w:t>分配股利、利润或偿付利息支付的现金</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44,562,807.70</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24,522,380.33</w:t>
            </w:r>
          </w:p>
        </w:tc>
      </w:tr>
      <w:tr>
        <w:trPr>
          <w:trHeight w:val="341" w:hRule="exact"/>
        </w:trPr>
        <w:tc>
          <w:tcPr>
            <w:tcW w:w="4820" w:type="dxa"/>
            <w:tcBorders>
              <w:top w:val="single" w:sz="4" w:space="0" w:color="000000"/>
              <w:left w:val="single" w:sz="4" w:space="0" w:color="000000"/>
              <w:bottom w:val="single" w:sz="11" w:space="0" w:color="000000"/>
              <w:right w:val="single" w:sz="4" w:space="0" w:color="000000"/>
            </w:tcBorders>
          </w:tcPr>
          <w:p>
            <w:pPr>
              <w:pStyle w:val="TableParagraph"/>
              <w:tabs>
                <w:tab w:pos="274" w:val="left" w:leader="none"/>
                <w:tab w:pos="4764" w:val="left" w:leader="none"/>
              </w:tabs>
              <w:spacing w:line="240" w:lineRule="auto" w:before="21"/>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pacing w:val="-1"/>
                <w:sz w:val="18"/>
                <w:szCs w:val="18"/>
                <w:shd w:fill="D2D2D2" w:color="auto" w:val="clear"/>
              </w:rPr>
              <w:t>支付其他与筹资活动有关的现金</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54,771,593.00</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9,750,000.00</w:t>
            </w:r>
          </w:p>
        </w:tc>
      </w:tr>
      <w:tr>
        <w:trPr>
          <w:trHeight w:val="341" w:hRule="exact"/>
        </w:trPr>
        <w:tc>
          <w:tcPr>
            <w:tcW w:w="4820" w:type="dxa"/>
            <w:tcBorders>
              <w:top w:val="single" w:sz="11" w:space="0" w:color="000000"/>
              <w:left w:val="single" w:sz="4" w:space="0" w:color="000000"/>
              <w:bottom w:val="single" w:sz="11" w:space="0" w:color="000000"/>
              <w:right w:val="single" w:sz="4" w:space="0" w:color="000000"/>
            </w:tcBorders>
          </w:tcPr>
          <w:p>
            <w:pPr>
              <w:pStyle w:val="TableParagraph"/>
              <w:tabs>
                <w:tab w:pos="454" w:val="left" w:leader="none"/>
                <w:tab w:pos="4764" w:val="left" w:leader="none"/>
              </w:tabs>
              <w:spacing w:line="240" w:lineRule="auto" w:before="13"/>
              <w:ind w:right="19"/>
              <w:jc w:val="right"/>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z w:val="18"/>
                <w:szCs w:val="18"/>
                <w:shd w:fill="D2D2D2" w:color="auto" w:val="clear"/>
              </w:rPr>
              <w:t> </w:t>
              <w:tab/>
            </w:r>
            <w:r>
              <w:rPr>
                <w:rFonts w:ascii="宋体" w:hAnsi="宋体" w:cs="宋体" w:eastAsia="宋体" w:hint="default"/>
                <w:b/>
                <w:bCs/>
                <w:w w:val="95"/>
                <w:sz w:val="18"/>
                <w:szCs w:val="18"/>
                <w:shd w:fill="D2D2D2" w:color="auto" w:val="clear"/>
              </w:rPr>
              <w:t>筹资活动现金流出小计</w:t>
            </w:r>
            <w:r>
              <w:rPr>
                <w:rFonts w:ascii="宋体" w:hAnsi="宋体" w:cs="宋体" w:eastAsia="宋体" w:hint="default"/>
                <w:b/>
                <w:bCs/>
                <w:sz w:val="18"/>
                <w:szCs w:val="18"/>
                <w:shd w:fill="D2D2D2" w:color="auto" w:val="clear"/>
              </w:rPr>
              <w:t>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b/>
                <w:w w:val="95"/>
                <w:sz w:val="18"/>
              </w:rPr>
              <w:t>139,334,400.70</w:t>
            </w:r>
            <w:r>
              <w:rPr>
                <w:rFonts w:ascii="宋体"/>
                <w:sz w:val="18"/>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b/>
                <w:w w:val="95"/>
                <w:sz w:val="18"/>
              </w:rPr>
              <w:t>109,272,380.33</w:t>
            </w:r>
            <w:r>
              <w:rPr>
                <w:rFonts w:ascii="宋体"/>
                <w:sz w:val="18"/>
              </w:rPr>
            </w:r>
          </w:p>
        </w:tc>
      </w:tr>
      <w:tr>
        <w:trPr>
          <w:trHeight w:val="338" w:hRule="exact"/>
        </w:trPr>
        <w:tc>
          <w:tcPr>
            <w:tcW w:w="4820" w:type="dxa"/>
            <w:tcBorders>
              <w:top w:val="single" w:sz="11" w:space="0" w:color="000000"/>
              <w:left w:val="single" w:sz="4" w:space="0" w:color="000000"/>
              <w:bottom w:val="single" w:sz="4" w:space="0" w:color="000000"/>
              <w:right w:val="single" w:sz="4" w:space="0" w:color="000000"/>
            </w:tcBorders>
          </w:tcPr>
          <w:p>
            <w:pPr>
              <w:pStyle w:val="TableParagraph"/>
              <w:tabs>
                <w:tab w:pos="454" w:val="left" w:leader="none"/>
                <w:tab w:pos="4764" w:val="left" w:leader="none"/>
              </w:tabs>
              <w:spacing w:line="240" w:lineRule="auto" w:before="13"/>
              <w:ind w:right="19"/>
              <w:jc w:val="right"/>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z w:val="18"/>
                <w:szCs w:val="18"/>
                <w:shd w:fill="D2D2D2" w:color="auto" w:val="clear"/>
              </w:rPr>
              <w:t> </w:t>
              <w:tab/>
            </w:r>
            <w:r>
              <w:rPr>
                <w:rFonts w:ascii="宋体" w:hAnsi="宋体" w:cs="宋体" w:eastAsia="宋体" w:hint="default"/>
                <w:b/>
                <w:bCs/>
                <w:w w:val="95"/>
                <w:sz w:val="18"/>
                <w:szCs w:val="18"/>
                <w:shd w:fill="D2D2D2" w:color="auto" w:val="clear"/>
              </w:rPr>
              <w:t>筹资活动产生的现金流量净额</w:t>
            </w:r>
            <w:r>
              <w:rPr>
                <w:rFonts w:ascii="宋体" w:hAnsi="宋体" w:cs="宋体" w:eastAsia="宋体" w:hint="default"/>
                <w:b/>
                <w:bCs/>
                <w:spacing w:val="-1"/>
                <w:sz w:val="18"/>
                <w:szCs w:val="18"/>
                <w:shd w:fill="D2D2D2" w:color="auto" w:val="clear"/>
              </w:rPr>
              <w:t>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b/>
                <w:w w:val="95"/>
                <w:sz w:val="18"/>
              </w:rPr>
              <w:t>-120,211,344.56</w:t>
            </w:r>
            <w:r>
              <w:rPr>
                <w:rFonts w:ascii="宋体"/>
                <w:sz w:val="18"/>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20"/>
              <w:jc w:val="right"/>
              <w:rPr>
                <w:rFonts w:ascii="宋体" w:hAnsi="宋体" w:cs="宋体" w:eastAsia="宋体" w:hint="default"/>
                <w:sz w:val="18"/>
                <w:szCs w:val="18"/>
              </w:rPr>
            </w:pPr>
            <w:r>
              <w:rPr>
                <w:rFonts w:ascii="宋体"/>
                <w:b/>
                <w:w w:val="95"/>
                <w:sz w:val="18"/>
              </w:rPr>
              <w:t>308,127,619.67</w:t>
            </w:r>
            <w:r>
              <w:rPr>
                <w:rFonts w:ascii="宋体"/>
                <w:sz w:val="18"/>
              </w:rPr>
            </w:r>
          </w:p>
        </w:tc>
      </w:tr>
      <w:tr>
        <w:trPr>
          <w:trHeight w:val="341" w:hRule="exact"/>
        </w:trPr>
        <w:tc>
          <w:tcPr>
            <w:tcW w:w="4820" w:type="dxa"/>
            <w:tcBorders>
              <w:top w:val="single" w:sz="4" w:space="0" w:color="000000"/>
              <w:left w:val="single" w:sz="4" w:space="0" w:color="000000"/>
              <w:bottom w:val="single" w:sz="11" w:space="0" w:color="000000"/>
              <w:right w:val="single" w:sz="4" w:space="0" w:color="000000"/>
            </w:tcBorders>
          </w:tcPr>
          <w:p>
            <w:pPr>
              <w:pStyle w:val="TableParagraph"/>
              <w:tabs>
                <w:tab w:pos="4764" w:val="left" w:leader="none"/>
              </w:tabs>
              <w:spacing w:line="240" w:lineRule="auto" w:before="21"/>
              <w:ind w:right="19"/>
              <w:jc w:val="right"/>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z w:val="18"/>
                <w:szCs w:val="18"/>
                <w:shd w:fill="D2D2D2" w:color="auto" w:val="clear"/>
              </w:rPr>
              <w:t> </w:t>
            </w:r>
            <w:r>
              <w:rPr>
                <w:rFonts w:ascii="Times New Roman" w:hAnsi="Times New Roman" w:cs="Times New Roman" w:eastAsia="Times New Roman" w:hint="default"/>
                <w:b/>
                <w:bCs/>
                <w:spacing w:val="1"/>
                <w:sz w:val="18"/>
                <w:szCs w:val="18"/>
                <w:shd w:fill="D2D2D2" w:color="auto" w:val="clear"/>
              </w:rPr>
              <w:t> </w:t>
            </w:r>
            <w:r>
              <w:rPr>
                <w:rFonts w:ascii="宋体" w:hAnsi="宋体" w:cs="宋体" w:eastAsia="宋体" w:hint="default"/>
                <w:b/>
                <w:bCs/>
                <w:w w:val="95"/>
                <w:sz w:val="18"/>
                <w:szCs w:val="18"/>
                <w:shd w:fill="D2D2D2" w:color="auto" w:val="clear"/>
              </w:rPr>
              <w:t>四、汇率变动对现金及现金等价物的影响</w:t>
            </w:r>
            <w:r>
              <w:rPr>
                <w:rFonts w:ascii="宋体" w:hAnsi="宋体" w:cs="宋体" w:eastAsia="宋体" w:hint="default"/>
                <w:b/>
                <w:bCs/>
                <w:spacing w:val="2"/>
                <w:sz w:val="18"/>
                <w:szCs w:val="18"/>
                <w:shd w:fill="D2D2D2" w:color="auto" w:val="clear"/>
              </w:rPr>
              <w:t>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
        </w:tc>
        <w:tc>
          <w:tcPr>
            <w:tcW w:w="1844"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4820" w:type="dxa"/>
            <w:tcBorders>
              <w:top w:val="single" w:sz="11" w:space="0" w:color="000000"/>
              <w:left w:val="single" w:sz="4" w:space="0" w:color="000000"/>
              <w:bottom w:val="single" w:sz="11" w:space="0" w:color="000000"/>
              <w:right w:val="single" w:sz="4" w:space="0" w:color="000000"/>
            </w:tcBorders>
          </w:tcPr>
          <w:p>
            <w:pPr>
              <w:pStyle w:val="TableParagraph"/>
              <w:tabs>
                <w:tab w:pos="4764" w:val="left" w:leader="none"/>
              </w:tabs>
              <w:spacing w:line="240" w:lineRule="auto" w:before="13"/>
              <w:ind w:right="19"/>
              <w:jc w:val="right"/>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z w:val="18"/>
                <w:szCs w:val="18"/>
                <w:shd w:fill="D2D2D2" w:color="auto" w:val="clear"/>
              </w:rPr>
              <w:t> </w:t>
            </w:r>
            <w:r>
              <w:rPr>
                <w:rFonts w:ascii="Times New Roman" w:hAnsi="Times New Roman" w:cs="Times New Roman" w:eastAsia="Times New Roman" w:hint="default"/>
                <w:b/>
                <w:bCs/>
                <w:spacing w:val="1"/>
                <w:sz w:val="18"/>
                <w:szCs w:val="18"/>
                <w:shd w:fill="D2D2D2" w:color="auto" w:val="clear"/>
              </w:rPr>
              <w:t> </w:t>
            </w:r>
            <w:r>
              <w:rPr>
                <w:rFonts w:ascii="宋体" w:hAnsi="宋体" w:cs="宋体" w:eastAsia="宋体" w:hint="default"/>
                <w:b/>
                <w:bCs/>
                <w:w w:val="95"/>
                <w:sz w:val="18"/>
                <w:szCs w:val="18"/>
                <w:shd w:fill="D2D2D2" w:color="auto" w:val="clear"/>
              </w:rPr>
              <w:t>五、现金及现金等价物净增加额</w:t>
            </w:r>
            <w:r>
              <w:rPr>
                <w:rFonts w:ascii="宋体" w:hAnsi="宋体" w:cs="宋体" w:eastAsia="宋体" w:hint="default"/>
                <w:b/>
                <w:bCs/>
                <w:spacing w:val="1"/>
                <w:sz w:val="18"/>
                <w:szCs w:val="18"/>
                <w:shd w:fill="D2D2D2" w:color="auto" w:val="clear"/>
              </w:rPr>
              <w:t>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b/>
                <w:w w:val="95"/>
                <w:sz w:val="18"/>
              </w:rPr>
              <w:t>4,561,162.03</w:t>
            </w:r>
            <w:r>
              <w:rPr>
                <w:rFonts w:ascii="宋体"/>
                <w:sz w:val="18"/>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b/>
                <w:w w:val="95"/>
                <w:sz w:val="18"/>
              </w:rPr>
              <w:t>-2,490,841.56</w:t>
            </w:r>
            <w:r>
              <w:rPr>
                <w:rFonts w:ascii="宋体"/>
                <w:sz w:val="18"/>
              </w:rPr>
            </w:r>
          </w:p>
        </w:tc>
      </w:tr>
      <w:tr>
        <w:trPr>
          <w:trHeight w:val="338" w:hRule="exact"/>
        </w:trPr>
        <w:tc>
          <w:tcPr>
            <w:tcW w:w="4820" w:type="dxa"/>
            <w:tcBorders>
              <w:top w:val="single" w:sz="11" w:space="0" w:color="000000"/>
              <w:left w:val="single" w:sz="4" w:space="0" w:color="000000"/>
              <w:bottom w:val="single" w:sz="4" w:space="0" w:color="000000"/>
              <w:right w:val="single" w:sz="4" w:space="0" w:color="000000"/>
            </w:tcBorders>
          </w:tcPr>
          <w:p>
            <w:pPr>
              <w:pStyle w:val="TableParagraph"/>
              <w:tabs>
                <w:tab w:pos="274" w:val="left" w:leader="none"/>
                <w:tab w:pos="4764" w:val="left" w:leader="none"/>
              </w:tabs>
              <w:spacing w:line="240" w:lineRule="auto" w:before="13"/>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pacing w:val="-1"/>
                <w:sz w:val="18"/>
                <w:szCs w:val="18"/>
                <w:shd w:fill="D2D2D2" w:color="auto" w:val="clear"/>
              </w:rPr>
              <w:t>加：期初现金及现金等价物余额</w:t>
            </w:r>
            <w:r>
              <w:rPr>
                <w:rFonts w:ascii="宋体" w:hAnsi="宋体" w:cs="宋体" w:eastAsia="宋体" w:hint="default"/>
                <w:spacing w:val="1"/>
                <w:sz w:val="18"/>
                <w:szCs w:val="18"/>
                <w:shd w:fill="D2D2D2" w:color="auto" w:val="clear"/>
              </w:rPr>
              <w:t> </w:t>
            </w:r>
            <w:r>
              <w:rPr>
                <w:rFonts w:ascii="宋体" w:hAnsi="宋体" w:cs="宋体" w:eastAsia="宋体" w:hint="default"/>
                <w:sz w:val="18"/>
                <w:szCs w:val="18"/>
                <w:shd w:fill="D2D2D2" w:color="auto" w:val="clear"/>
              </w:rPr>
              <w:t> </w:t>
              <w:tab/>
            </w:r>
            <w:r>
              <w:rPr>
                <w:rFonts w:ascii="宋体" w:hAnsi="宋体" w:cs="宋体" w:eastAsia="宋体" w:hint="default"/>
                <w:sz w:val="18"/>
                <w:szCs w:val="18"/>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1,904,953.18</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spacing w:val="-1"/>
                <w:sz w:val="18"/>
              </w:rPr>
              <w:t>4,395,794.74</w:t>
            </w:r>
          </w:p>
        </w:tc>
      </w:tr>
      <w:tr>
        <w:trPr>
          <w:trHeight w:val="337" w:hRule="exact"/>
        </w:trPr>
        <w:tc>
          <w:tcPr>
            <w:tcW w:w="4820" w:type="dxa"/>
            <w:tcBorders>
              <w:top w:val="single" w:sz="4" w:space="0" w:color="000000"/>
              <w:left w:val="single" w:sz="4" w:space="0" w:color="000000"/>
              <w:bottom w:val="single" w:sz="8" w:space="0" w:color="000000"/>
              <w:right w:val="single" w:sz="4" w:space="0" w:color="000000"/>
            </w:tcBorders>
          </w:tcPr>
          <w:p>
            <w:pPr>
              <w:pStyle w:val="TableParagraph"/>
              <w:tabs>
                <w:tab w:pos="4764" w:val="left" w:leader="none"/>
              </w:tabs>
              <w:spacing w:line="240" w:lineRule="auto" w:before="21"/>
              <w:ind w:right="19"/>
              <w:jc w:val="right"/>
              <w:rPr>
                <w:rFonts w:ascii="宋体" w:hAnsi="宋体" w:cs="宋体" w:eastAsia="宋体" w:hint="default"/>
                <w:sz w:val="18"/>
                <w:szCs w:val="18"/>
              </w:rPr>
            </w:pPr>
            <w:r>
              <w:rPr>
                <w:rFonts w:ascii="Times New Roman" w:hAnsi="Times New Roman" w:cs="Times New Roman" w:eastAsia="Times New Roman" w:hint="default"/>
                <w:b/>
                <w:bCs/>
                <w:sz w:val="18"/>
                <w:szCs w:val="18"/>
              </w:rPr>
            </w:r>
            <w:r>
              <w:rPr>
                <w:rFonts w:ascii="Times New Roman" w:hAnsi="Times New Roman" w:cs="Times New Roman" w:eastAsia="Times New Roman" w:hint="default"/>
                <w:b/>
                <w:bCs/>
                <w:sz w:val="18"/>
                <w:szCs w:val="18"/>
                <w:shd w:fill="D2D2D2" w:color="auto" w:val="clear"/>
              </w:rPr>
              <w:t> </w:t>
            </w:r>
            <w:r>
              <w:rPr>
                <w:rFonts w:ascii="Times New Roman" w:hAnsi="Times New Roman" w:cs="Times New Roman" w:eastAsia="Times New Roman" w:hint="default"/>
                <w:b/>
                <w:bCs/>
                <w:spacing w:val="1"/>
                <w:sz w:val="18"/>
                <w:szCs w:val="18"/>
                <w:shd w:fill="D2D2D2" w:color="auto" w:val="clear"/>
              </w:rPr>
              <w:t> </w:t>
            </w:r>
            <w:r>
              <w:rPr>
                <w:rFonts w:ascii="宋体" w:hAnsi="宋体" w:cs="宋体" w:eastAsia="宋体" w:hint="default"/>
                <w:b/>
                <w:bCs/>
                <w:w w:val="95"/>
                <w:sz w:val="18"/>
                <w:szCs w:val="18"/>
                <w:shd w:fill="D2D2D2" w:color="auto" w:val="clear"/>
              </w:rPr>
              <w:t>六、期末现金及现金等价物余额</w:t>
            </w:r>
            <w:r>
              <w:rPr>
                <w:rFonts w:ascii="宋体" w:hAnsi="宋体" w:cs="宋体" w:eastAsia="宋体" w:hint="default"/>
                <w:b/>
                <w:bCs/>
                <w:spacing w:val="1"/>
                <w:sz w:val="18"/>
                <w:szCs w:val="18"/>
                <w:shd w:fill="D2D2D2" w:color="auto" w:val="clear"/>
              </w:rPr>
              <w:t> </w:t>
            </w:r>
            <w:r>
              <w:rPr>
                <w:rFonts w:ascii="宋体" w:hAnsi="宋体" w:cs="宋体" w:eastAsia="宋体" w:hint="default"/>
                <w:b/>
                <w:bCs/>
                <w:w w:val="99"/>
                <w:sz w:val="18"/>
                <w:szCs w:val="18"/>
                <w:shd w:fill="D2D2D2" w:color="auto" w:val="clear"/>
              </w:rPr>
              <w:t> </w:t>
            </w:r>
            <w:r>
              <w:rPr>
                <w:rFonts w:ascii="宋体" w:hAnsi="宋体" w:cs="宋体" w:eastAsia="宋体" w:hint="default"/>
                <w:b/>
                <w:bCs/>
                <w:sz w:val="18"/>
                <w:szCs w:val="18"/>
                <w:shd w:fill="D2D2D2" w:color="auto" w:val="clear"/>
              </w:rPr>
              <w:tab/>
            </w:r>
            <w:r>
              <w:rPr>
                <w:rFonts w:ascii="宋体" w:hAnsi="宋体" w:cs="宋体" w:eastAsia="宋体" w:hint="default"/>
                <w:b/>
                <w:bCs/>
                <w:sz w:val="18"/>
                <w:szCs w:val="18"/>
              </w:rPr>
            </w:r>
            <w:r>
              <w:rPr>
                <w:rFonts w:ascii="宋体" w:hAnsi="宋体" w:cs="宋体" w:eastAsia="宋体" w:hint="default"/>
                <w:sz w:val="18"/>
                <w:szCs w:val="18"/>
              </w:rPr>
            </w:r>
          </w:p>
        </w:tc>
        <w:tc>
          <w:tcPr>
            <w:tcW w:w="852" w:type="dxa"/>
            <w:tcBorders>
              <w:top w:val="single" w:sz="4" w:space="0" w:color="000000"/>
              <w:left w:val="single" w:sz="4" w:space="0" w:color="000000"/>
              <w:bottom w:val="single" w:sz="4" w:space="0" w:color="000000"/>
              <w:right w:val="single" w:sz="4" w:space="0" w:color="000000"/>
            </w:tcBorders>
          </w:tcPr>
          <w:p>
            <w:pP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b/>
                <w:w w:val="95"/>
                <w:sz w:val="18"/>
              </w:rPr>
              <w:t>6,466,115.21</w:t>
            </w:r>
            <w:r>
              <w:rPr>
                <w:rFonts w:ascii="宋体"/>
                <w:sz w:val="18"/>
              </w:rPr>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19"/>
              <w:jc w:val="right"/>
              <w:rPr>
                <w:rFonts w:ascii="宋体" w:hAnsi="宋体" w:cs="宋体" w:eastAsia="宋体" w:hint="default"/>
                <w:sz w:val="18"/>
                <w:szCs w:val="18"/>
              </w:rPr>
            </w:pPr>
            <w:r>
              <w:rPr>
                <w:rFonts w:ascii="宋体"/>
                <w:b/>
                <w:w w:val="95"/>
                <w:sz w:val="18"/>
              </w:rPr>
              <w:t>1,904,953.18</w:t>
            </w:r>
            <w:r>
              <w:rPr>
                <w:rFonts w:ascii="宋体"/>
                <w:sz w:val="18"/>
              </w:rPr>
            </w:r>
          </w:p>
        </w:tc>
      </w:tr>
    </w:tbl>
    <w:p>
      <w:pPr>
        <w:pStyle w:val="BodyText"/>
        <w:tabs>
          <w:tab w:pos="3304" w:val="left" w:leader="none"/>
          <w:tab w:pos="7397" w:val="left" w:leader="none"/>
        </w:tabs>
        <w:spacing w:line="240" w:lineRule="auto" w:before="48"/>
        <w:ind w:right="1133"/>
        <w:jc w:val="left"/>
      </w:pPr>
      <w:r>
        <w:rPr>
          <w:spacing w:val="-2"/>
        </w:rPr>
        <w:t>法定代表人：吴鹰</w:t>
        <w:tab/>
        <w:t>主管会计工作负责人：李鹏宇</w:t>
        <w:tab/>
        <w:t>会计机构负责人：张雷</w:t>
      </w:r>
    </w:p>
    <w:p>
      <w:pPr>
        <w:spacing w:line="240" w:lineRule="auto" w:before="1"/>
        <w:rPr>
          <w:rFonts w:ascii="宋体" w:hAnsi="宋体" w:cs="宋体" w:eastAsia="宋体" w:hint="default"/>
          <w:sz w:val="15"/>
          <w:szCs w:val="15"/>
        </w:rPr>
      </w:pPr>
    </w:p>
    <w:p>
      <w:pPr>
        <w:pStyle w:val="Heading3"/>
        <w:spacing w:line="240" w:lineRule="auto"/>
        <w:ind w:right="1133"/>
        <w:jc w:val="left"/>
        <w:rPr>
          <w:b w:val="0"/>
          <w:bCs w:val="0"/>
        </w:rPr>
      </w:pPr>
      <w:r>
        <w:rPr>
          <w:rFonts w:ascii="Times New Roman" w:hAnsi="Times New Roman" w:cs="Times New Roman" w:eastAsia="Times New Roman" w:hint="default"/>
        </w:rPr>
        <w:t>7</w:t>
      </w:r>
      <w:r>
        <w:rPr/>
        <w:t>、合并所有者权益变动表</w:t>
      </w:r>
      <w:r>
        <w:rPr>
          <w:b w:val="0"/>
          <w:bCs w:val="0"/>
        </w:rPr>
      </w:r>
    </w:p>
    <w:p>
      <w:pPr>
        <w:pStyle w:val="BodyText"/>
        <w:spacing w:line="240" w:lineRule="auto" w:before="103"/>
        <w:ind w:left="0" w:right="1128"/>
        <w:jc w:val="right"/>
      </w:pPr>
      <w:r>
        <w:rPr/>
        <w:pict>
          <v:group style="position:absolute;margin-left:345.190002pt;margin-top:102.25367pt;width:7.95pt;height:11.8pt;mso-position-horizontal-relative:page;mso-position-vertical-relative:paragraph;z-index:-1012144" coordorigin="6904,2045" coordsize="159,236">
            <v:shape style="position:absolute;left:6904;top:2045;width:159;height:236" coordorigin="6904,2045" coordsize="159,236" path="m6904,2280l7062,2280,7062,2045,6904,2045,6904,2280xe" filled="true" fillcolor="#d2d2d2" stroked="false">
              <v:path arrowok="t"/>
              <v:fill type="solid"/>
            </v:shape>
            <w10:wrap type="none"/>
          </v:group>
        </w:pict>
      </w:r>
      <w:r>
        <w:rPr/>
        <w:pict>
          <v:group style="position:absolute;margin-left:405.429993pt;margin-top:102.25367pt;width:11.4pt;height:23.4pt;mso-position-horizontal-relative:page;mso-position-vertical-relative:paragraph;z-index:-1012120" coordorigin="8109,2045" coordsize="228,468">
            <v:group style="position:absolute;left:8109;top:2045;width:228;height:236" coordorigin="8109,2045" coordsize="228,236">
              <v:shape style="position:absolute;left:8109;top:2045;width:228;height:236" coordorigin="8109,2045" coordsize="228,236" path="m8109,2280l8337,2280,8337,2045,8109,2045,8109,2280xe" filled="true" fillcolor="#d2d2d2" stroked="false">
                <v:path arrowok="t"/>
                <v:fill type="solid"/>
              </v:shape>
            </v:group>
            <v:group style="position:absolute;left:8109;top:2280;width:228;height:233" coordorigin="8109,2280" coordsize="228,233">
              <v:shape style="position:absolute;left:8109;top:2280;width:228;height:233" coordorigin="8109,2280" coordsize="228,233" path="m8109,2513l8337,2513,8337,2280,8109,2280,8109,2513xe" filled="true" fillcolor="#d2d2d2" stroked="false">
                <v:path arrowok="t"/>
                <v:fill type="solid"/>
              </v:shape>
            </v:group>
            <w10:wrap type="none"/>
          </v:group>
        </w:pict>
      </w:r>
      <w:r>
        <w:rPr>
          <w:spacing w:val="-1"/>
        </w:rPr>
        <w:t>单位：元</w:t>
      </w:r>
    </w:p>
    <w:p>
      <w:pPr>
        <w:spacing w:line="240" w:lineRule="auto" w:before="7"/>
        <w:rPr>
          <w:rFonts w:ascii="宋体" w:hAnsi="宋体" w:cs="宋体" w:eastAsia="宋体" w:hint="default"/>
          <w:sz w:val="11"/>
          <w:szCs w:val="11"/>
        </w:rPr>
      </w:pPr>
    </w:p>
    <w:tbl>
      <w:tblPr>
        <w:tblW w:w="0" w:type="auto"/>
        <w:jc w:val="left"/>
        <w:tblInd w:w="148" w:type="dxa"/>
        <w:tblLayout w:type="fixed"/>
        <w:tblCellMar>
          <w:top w:w="0" w:type="dxa"/>
          <w:left w:w="0" w:type="dxa"/>
          <w:bottom w:w="0" w:type="dxa"/>
          <w:right w:w="0" w:type="dxa"/>
        </w:tblCellMar>
        <w:tblLook w:val="01E0"/>
      </w:tblPr>
      <w:tblGrid>
        <w:gridCol w:w="1560"/>
        <w:gridCol w:w="991"/>
        <w:gridCol w:w="283"/>
        <w:gridCol w:w="286"/>
        <w:gridCol w:w="283"/>
        <w:gridCol w:w="1133"/>
        <w:gridCol w:w="994"/>
        <w:gridCol w:w="212"/>
        <w:gridCol w:w="214"/>
        <w:gridCol w:w="991"/>
        <w:gridCol w:w="286"/>
        <w:gridCol w:w="1133"/>
        <w:gridCol w:w="283"/>
        <w:gridCol w:w="1133"/>
      </w:tblGrid>
      <w:tr>
        <w:trPr>
          <w:trHeight w:val="444" w:hRule="exact"/>
        </w:trPr>
        <w:tc>
          <w:tcPr>
            <w:tcW w:w="156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8222" w:type="dxa"/>
            <w:gridSpan w:val="1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本年发生额</w:t>
            </w:r>
          </w:p>
        </w:tc>
      </w:tr>
      <w:tr>
        <w:trPr>
          <w:trHeight w:val="324" w:hRule="exact"/>
        </w:trPr>
        <w:tc>
          <w:tcPr>
            <w:tcW w:w="1560" w:type="dxa"/>
            <w:vMerge/>
            <w:tcBorders>
              <w:left w:val="single" w:sz="4" w:space="0" w:color="000000"/>
              <w:right w:val="single" w:sz="4" w:space="0" w:color="000000"/>
            </w:tcBorders>
            <w:shd w:val="clear" w:color="auto" w:fill="D2D2D2"/>
          </w:tcPr>
          <w:p>
            <w:pPr/>
          </w:p>
        </w:tc>
        <w:tc>
          <w:tcPr>
            <w:tcW w:w="6806"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28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3"/>
                <w:szCs w:val="13"/>
              </w:rPr>
            </w:pPr>
          </w:p>
          <w:p>
            <w:pPr>
              <w:pStyle w:val="TableParagraph"/>
              <w:spacing w:line="237" w:lineRule="auto"/>
              <w:ind w:left="48" w:right="43"/>
              <w:jc w:val="both"/>
              <w:rPr>
                <w:rFonts w:ascii="宋体" w:hAnsi="宋体" w:cs="宋体" w:eastAsia="宋体" w:hint="default"/>
                <w:sz w:val="18"/>
                <w:szCs w:val="18"/>
              </w:rPr>
            </w:pPr>
            <w:r>
              <w:rPr>
                <w:rFonts w:ascii="宋体" w:hAnsi="宋体" w:cs="宋体" w:eastAsia="宋体" w:hint="default"/>
                <w:sz w:val="18"/>
                <w:szCs w:val="18"/>
              </w:rPr>
              <w:t>少 数 股 东 权 益</w:t>
            </w:r>
          </w:p>
        </w:tc>
        <w:tc>
          <w:tcPr>
            <w:tcW w:w="113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76" w:lineRule="auto" w:before="151"/>
              <w:ind w:left="381" w:right="108" w:hanging="269"/>
              <w:jc w:val="left"/>
              <w:rPr>
                <w:rFonts w:ascii="宋体" w:hAnsi="宋体" w:cs="宋体" w:eastAsia="宋体" w:hint="default"/>
                <w:sz w:val="18"/>
                <w:szCs w:val="18"/>
              </w:rPr>
            </w:pPr>
            <w:r>
              <w:rPr>
                <w:rFonts w:ascii="宋体" w:hAnsi="宋体" w:cs="宋体" w:eastAsia="宋体" w:hint="default"/>
                <w:sz w:val="18"/>
                <w:szCs w:val="18"/>
              </w:rPr>
              <w:t>所有者权益 合计</w:t>
            </w:r>
          </w:p>
        </w:tc>
      </w:tr>
      <w:tr>
        <w:trPr>
          <w:trHeight w:val="557" w:hRule="exact"/>
        </w:trPr>
        <w:tc>
          <w:tcPr>
            <w:tcW w:w="1560" w:type="dxa"/>
            <w:vMerge/>
            <w:tcBorders>
              <w:left w:val="single" w:sz="4" w:space="0" w:color="000000"/>
              <w:right w:val="single" w:sz="4" w:space="0" w:color="000000"/>
            </w:tcBorders>
            <w:shd w:val="clear" w:color="auto" w:fill="D2D2D2"/>
          </w:tcPr>
          <w:p>
            <w:pPr/>
          </w:p>
        </w:tc>
        <w:tc>
          <w:tcPr>
            <w:tcW w:w="9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311"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853"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0" w:right="62" w:hanging="180"/>
              <w:jc w:val="left"/>
              <w:rPr>
                <w:rFonts w:ascii="宋体" w:hAnsi="宋体" w:cs="宋体" w:eastAsia="宋体" w:hint="default"/>
                <w:sz w:val="18"/>
                <w:szCs w:val="18"/>
              </w:rPr>
            </w:pPr>
            <w:r>
              <w:rPr>
                <w:rFonts w:ascii="宋体" w:hAnsi="宋体" w:cs="宋体" w:eastAsia="宋体" w:hint="default"/>
                <w:sz w:val="18"/>
                <w:szCs w:val="18"/>
              </w:rPr>
              <w:t>其他权益 工具</w:t>
            </w:r>
          </w:p>
        </w:tc>
        <w:tc>
          <w:tcPr>
            <w:tcW w:w="113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201"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9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40"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212" w:type="dxa"/>
            <w:vMerge w:val="restart"/>
            <w:tcBorders>
              <w:top w:val="single" w:sz="4" w:space="0" w:color="000000"/>
              <w:left w:val="single" w:sz="4" w:space="0" w:color="000000"/>
              <w:right w:val="single" w:sz="4" w:space="0" w:color="000000"/>
            </w:tcBorders>
            <w:shd w:val="clear" w:color="auto" w:fill="D2D2D2"/>
          </w:tcPr>
          <w:p>
            <w:pPr>
              <w:pStyle w:val="TableParagraph"/>
              <w:spacing w:line="237" w:lineRule="auto" w:before="12"/>
              <w:ind w:left="24" w:right="-3"/>
              <w:jc w:val="both"/>
              <w:rPr>
                <w:rFonts w:ascii="宋体" w:hAnsi="宋体" w:cs="宋体" w:eastAsia="宋体" w:hint="default"/>
                <w:sz w:val="18"/>
                <w:szCs w:val="18"/>
              </w:rPr>
            </w:pPr>
            <w:r>
              <w:rPr>
                <w:rFonts w:ascii="宋体" w:hAnsi="宋体" w:cs="宋体" w:eastAsia="宋体" w:hint="default"/>
                <w:sz w:val="18"/>
                <w:szCs w:val="18"/>
              </w:rPr>
              <w:t>其 他 综 合 收 益</w:t>
            </w:r>
          </w:p>
        </w:tc>
        <w:tc>
          <w:tcPr>
            <w:tcW w:w="21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left="23" w:right="-1"/>
              <w:jc w:val="both"/>
              <w:rPr>
                <w:rFonts w:ascii="宋体" w:hAnsi="宋体" w:cs="宋体" w:eastAsia="宋体" w:hint="default"/>
                <w:sz w:val="18"/>
                <w:szCs w:val="18"/>
              </w:rPr>
            </w:pPr>
            <w:r>
              <w:rPr>
                <w:rFonts w:ascii="宋体" w:hAnsi="宋体" w:cs="宋体" w:eastAsia="宋体" w:hint="default"/>
                <w:sz w:val="18"/>
                <w:szCs w:val="18"/>
              </w:rPr>
              <w:t>专 项 储 备</w:t>
            </w:r>
          </w:p>
        </w:tc>
        <w:tc>
          <w:tcPr>
            <w:tcW w:w="9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32"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286" w:type="dxa"/>
            <w:vMerge w:val="restart"/>
            <w:tcBorders>
              <w:top w:val="single" w:sz="4" w:space="0" w:color="000000"/>
              <w:left w:val="single" w:sz="4" w:space="0" w:color="000000"/>
              <w:right w:val="single" w:sz="4" w:space="0" w:color="000000"/>
            </w:tcBorders>
            <w:shd w:val="clear" w:color="auto" w:fill="D2D2D2"/>
          </w:tcPr>
          <w:p>
            <w:pPr>
              <w:pStyle w:val="TableParagraph"/>
              <w:spacing w:line="237" w:lineRule="auto" w:before="12"/>
              <w:ind w:left="48" w:right="47"/>
              <w:jc w:val="both"/>
              <w:rPr>
                <w:rFonts w:ascii="宋体" w:hAnsi="宋体" w:cs="宋体" w:eastAsia="宋体" w:hint="default"/>
                <w:sz w:val="18"/>
                <w:szCs w:val="18"/>
              </w:rPr>
            </w:pPr>
            <w:r>
              <w:rPr>
                <w:rFonts w:ascii="宋体" w:hAnsi="宋体" w:cs="宋体" w:eastAsia="宋体" w:hint="default"/>
                <w:sz w:val="18"/>
                <w:szCs w:val="18"/>
              </w:rPr>
              <w:t>一 般 风 险 准 备</w:t>
            </w:r>
          </w:p>
        </w:tc>
        <w:tc>
          <w:tcPr>
            <w:tcW w:w="113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5"/>
              <w:ind w:left="11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283" w:type="dxa"/>
            <w:vMerge/>
            <w:tcBorders>
              <w:left w:val="single" w:sz="4" w:space="0" w:color="000000"/>
              <w:right w:val="single" w:sz="4" w:space="0" w:color="000000"/>
            </w:tcBorders>
            <w:shd w:val="clear" w:color="auto" w:fill="D2D2D2"/>
          </w:tcPr>
          <w:p>
            <w:pPr/>
          </w:p>
        </w:tc>
        <w:tc>
          <w:tcPr>
            <w:tcW w:w="1133" w:type="dxa"/>
            <w:vMerge/>
            <w:tcBorders>
              <w:left w:val="single" w:sz="4" w:space="0" w:color="000000"/>
              <w:right w:val="single" w:sz="4" w:space="0" w:color="000000"/>
            </w:tcBorders>
            <w:shd w:val="clear" w:color="auto" w:fill="D2D2D2"/>
          </w:tcPr>
          <w:p>
            <w:pPr/>
          </w:p>
        </w:tc>
      </w:tr>
      <w:tr>
        <w:trPr>
          <w:trHeight w:val="934" w:hRule="exact"/>
        </w:trPr>
        <w:tc>
          <w:tcPr>
            <w:tcW w:w="1560" w:type="dxa"/>
            <w:vMerge/>
            <w:tcBorders>
              <w:left w:val="single" w:sz="4" w:space="0" w:color="000000"/>
              <w:bottom w:val="single" w:sz="4" w:space="0" w:color="000000"/>
              <w:right w:val="single" w:sz="4" w:space="0" w:color="000000"/>
            </w:tcBorders>
            <w:shd w:val="clear" w:color="auto" w:fill="D2D2D2"/>
          </w:tcPr>
          <w:p>
            <w:pPr/>
          </w:p>
        </w:tc>
        <w:tc>
          <w:tcPr>
            <w:tcW w:w="991" w:type="dxa"/>
            <w:vMerge/>
            <w:tcBorders>
              <w:left w:val="single" w:sz="4" w:space="0" w:color="000000"/>
              <w:bottom w:val="single" w:sz="4" w:space="0" w:color="000000"/>
              <w:right w:val="single" w:sz="4" w:space="0" w:color="000000"/>
            </w:tcBorders>
            <w:shd w:val="clear" w:color="auto" w:fill="D2D2D2"/>
          </w:tcPr>
          <w:p>
            <w:pPr/>
          </w:p>
        </w:tc>
        <w:tc>
          <w:tcPr>
            <w:tcW w:w="2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7" w:lineRule="auto" w:before="84"/>
              <w:ind w:left="48" w:right="43"/>
              <w:jc w:val="both"/>
              <w:rPr>
                <w:rFonts w:ascii="宋体" w:hAnsi="宋体" w:cs="宋体" w:eastAsia="宋体" w:hint="default"/>
                <w:sz w:val="18"/>
                <w:szCs w:val="18"/>
              </w:rPr>
            </w:pPr>
            <w:r>
              <w:rPr>
                <w:rFonts w:ascii="宋体" w:hAnsi="宋体" w:cs="宋体" w:eastAsia="宋体" w:hint="default"/>
                <w:sz w:val="18"/>
                <w:szCs w:val="18"/>
              </w:rPr>
              <w:t>优 先 股</w:t>
            </w:r>
          </w:p>
        </w:tc>
        <w:tc>
          <w:tcPr>
            <w:tcW w:w="2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7" w:lineRule="auto" w:before="84"/>
              <w:ind w:left="48" w:right="47"/>
              <w:jc w:val="both"/>
              <w:rPr>
                <w:rFonts w:ascii="宋体" w:hAnsi="宋体" w:cs="宋体" w:eastAsia="宋体" w:hint="default"/>
                <w:sz w:val="18"/>
                <w:szCs w:val="18"/>
              </w:rPr>
            </w:pPr>
            <w:r>
              <w:rPr>
                <w:rFonts w:ascii="宋体" w:hAnsi="宋体" w:cs="宋体" w:eastAsia="宋体" w:hint="default"/>
                <w:sz w:val="18"/>
                <w:szCs w:val="18"/>
              </w:rPr>
              <w:t>永 续 债</w:t>
            </w:r>
          </w:p>
        </w:tc>
        <w:tc>
          <w:tcPr>
            <w:tcW w:w="2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47" w:right="43"/>
              <w:jc w:val="left"/>
              <w:rPr>
                <w:rFonts w:ascii="宋体" w:hAnsi="宋体" w:cs="宋体" w:eastAsia="宋体" w:hint="default"/>
                <w:sz w:val="18"/>
                <w:szCs w:val="18"/>
              </w:rPr>
            </w:pPr>
            <w:r>
              <w:rPr>
                <w:rFonts w:ascii="宋体" w:hAnsi="宋体" w:cs="宋体" w:eastAsia="宋体" w:hint="default"/>
                <w:sz w:val="18"/>
                <w:szCs w:val="18"/>
              </w:rPr>
              <w:t>其 他</w:t>
            </w:r>
          </w:p>
        </w:tc>
        <w:tc>
          <w:tcPr>
            <w:tcW w:w="1133" w:type="dxa"/>
            <w:vMerge/>
            <w:tcBorders>
              <w:left w:val="single" w:sz="4" w:space="0" w:color="000000"/>
              <w:bottom w:val="single" w:sz="4" w:space="0" w:color="000000"/>
              <w:right w:val="single" w:sz="4" w:space="0" w:color="000000"/>
            </w:tcBorders>
            <w:shd w:val="clear" w:color="auto" w:fill="D2D2D2"/>
          </w:tcPr>
          <w:p>
            <w:pPr/>
          </w:p>
        </w:tc>
        <w:tc>
          <w:tcPr>
            <w:tcW w:w="994" w:type="dxa"/>
            <w:vMerge/>
            <w:tcBorders>
              <w:left w:val="single" w:sz="4" w:space="0" w:color="000000"/>
              <w:bottom w:val="single" w:sz="4" w:space="0" w:color="000000"/>
              <w:right w:val="single" w:sz="4" w:space="0" w:color="000000"/>
            </w:tcBorders>
            <w:shd w:val="clear" w:color="auto" w:fill="D2D2D2"/>
          </w:tcPr>
          <w:p>
            <w:pPr/>
          </w:p>
        </w:tc>
        <w:tc>
          <w:tcPr>
            <w:tcW w:w="212" w:type="dxa"/>
            <w:vMerge/>
            <w:tcBorders>
              <w:left w:val="single" w:sz="4" w:space="0" w:color="000000"/>
              <w:bottom w:val="single" w:sz="4" w:space="0" w:color="000000"/>
              <w:right w:val="single" w:sz="4" w:space="0" w:color="000000"/>
            </w:tcBorders>
            <w:shd w:val="clear" w:color="auto" w:fill="D2D2D2"/>
          </w:tcPr>
          <w:p>
            <w:pPr/>
          </w:p>
        </w:tc>
        <w:tc>
          <w:tcPr>
            <w:tcW w:w="214" w:type="dxa"/>
            <w:vMerge/>
            <w:tcBorders>
              <w:left w:val="single" w:sz="4" w:space="0" w:color="000000"/>
              <w:bottom w:val="single" w:sz="4" w:space="0" w:color="000000"/>
              <w:right w:val="single" w:sz="4" w:space="0" w:color="000000"/>
            </w:tcBorders>
            <w:shd w:val="clear" w:color="auto" w:fill="D2D2D2"/>
          </w:tcPr>
          <w:p>
            <w:pPr/>
          </w:p>
        </w:tc>
        <w:tc>
          <w:tcPr>
            <w:tcW w:w="991" w:type="dxa"/>
            <w:vMerge/>
            <w:tcBorders>
              <w:left w:val="single" w:sz="4" w:space="0" w:color="000000"/>
              <w:bottom w:val="single" w:sz="4" w:space="0" w:color="000000"/>
              <w:right w:val="single" w:sz="4" w:space="0" w:color="000000"/>
            </w:tcBorders>
            <w:shd w:val="clear" w:color="auto" w:fill="D2D2D2"/>
          </w:tcPr>
          <w:p>
            <w:pPr/>
          </w:p>
        </w:tc>
        <w:tc>
          <w:tcPr>
            <w:tcW w:w="286" w:type="dxa"/>
            <w:vMerge/>
            <w:tcBorders>
              <w:left w:val="single" w:sz="4" w:space="0" w:color="000000"/>
              <w:bottom w:val="single" w:sz="4" w:space="0" w:color="000000"/>
              <w:right w:val="single" w:sz="4" w:space="0" w:color="000000"/>
            </w:tcBorders>
            <w:shd w:val="clear" w:color="auto" w:fill="D2D2D2"/>
          </w:tcPr>
          <w:p>
            <w:pPr/>
          </w:p>
        </w:tc>
        <w:tc>
          <w:tcPr>
            <w:tcW w:w="1133" w:type="dxa"/>
            <w:vMerge/>
            <w:tcBorders>
              <w:left w:val="single" w:sz="4" w:space="0" w:color="000000"/>
              <w:bottom w:val="single" w:sz="4" w:space="0" w:color="000000"/>
              <w:right w:val="single" w:sz="4" w:space="0" w:color="000000"/>
            </w:tcBorders>
            <w:shd w:val="clear" w:color="auto" w:fill="D2D2D2"/>
          </w:tcPr>
          <w:p>
            <w:pPr/>
          </w:p>
        </w:tc>
        <w:tc>
          <w:tcPr>
            <w:tcW w:w="283" w:type="dxa"/>
            <w:vMerge/>
            <w:tcBorders>
              <w:left w:val="single" w:sz="4" w:space="0" w:color="000000"/>
              <w:bottom w:val="single" w:sz="4" w:space="0" w:color="000000"/>
              <w:right w:val="single" w:sz="4" w:space="0" w:color="000000"/>
            </w:tcBorders>
            <w:shd w:val="clear" w:color="auto" w:fill="D2D2D2"/>
          </w:tcPr>
          <w:p>
            <w:pPr/>
          </w:p>
        </w:tc>
        <w:tc>
          <w:tcPr>
            <w:tcW w:w="1133" w:type="dxa"/>
            <w:vMerge/>
            <w:tcBorders>
              <w:left w:val="single" w:sz="4" w:space="0" w:color="000000"/>
              <w:bottom w:val="single" w:sz="4" w:space="0" w:color="000000"/>
              <w:right w:val="single" w:sz="4" w:space="0" w:color="000000"/>
            </w:tcBorders>
            <w:shd w:val="clear" w:color="auto" w:fill="D2D2D2"/>
          </w:tcPr>
          <w:p>
            <w:pPr/>
          </w:p>
        </w:tc>
      </w:tr>
      <w:tr>
        <w:trPr>
          <w:trHeight w:val="341" w:hRule="exact"/>
        </w:trPr>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4" w:right="0"/>
              <w:jc w:val="left"/>
              <w:rPr>
                <w:rFonts w:ascii="宋体" w:hAnsi="宋体" w:cs="宋体" w:eastAsia="宋体" w:hint="default"/>
                <w:sz w:val="18"/>
                <w:szCs w:val="18"/>
              </w:rPr>
            </w:pPr>
            <w:r>
              <w:rPr>
                <w:rFonts w:ascii="宋体" w:hAnsi="宋体" w:cs="宋体" w:eastAsia="宋体" w:hint="default"/>
                <w:sz w:val="18"/>
                <w:szCs w:val="18"/>
              </w:rPr>
              <w:t>一、上年期末余额</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9"/>
              <w:jc w:val="right"/>
              <w:rPr>
                <w:rFonts w:ascii="Arial" w:hAnsi="Arial" w:cs="Arial" w:eastAsia="Arial" w:hint="default"/>
                <w:sz w:val="15"/>
                <w:szCs w:val="15"/>
              </w:rPr>
            </w:pPr>
            <w:r>
              <w:rPr>
                <w:rFonts w:ascii="Arial"/>
                <w:spacing w:val="-2"/>
                <w:w w:val="80"/>
                <w:sz w:val="15"/>
              </w:rPr>
              <w:t>669,101,883.00</w:t>
            </w:r>
            <w:r>
              <w:rPr>
                <w:rFonts w:ascii="Arial"/>
                <w:spacing w:val="-2"/>
                <w:sz w:val="15"/>
              </w:rPr>
            </w: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22"/>
              <w:jc w:val="right"/>
              <w:rPr>
                <w:rFonts w:ascii="Arial" w:hAnsi="Arial" w:cs="Arial" w:eastAsia="Arial" w:hint="default"/>
                <w:sz w:val="15"/>
                <w:szCs w:val="15"/>
              </w:rPr>
            </w:pPr>
            <w:r>
              <w:rPr>
                <w:rFonts w:ascii="Arial"/>
                <w:spacing w:val="-1"/>
                <w:w w:val="80"/>
                <w:sz w:val="15"/>
              </w:rPr>
              <w:t>1,769,042,910.62</w:t>
            </w:r>
            <w:r>
              <w:rPr>
                <w:rFonts w:ascii="Arial"/>
                <w:spacing w:val="-1"/>
                <w:sz w:val="15"/>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212" w:type="dxa"/>
            <w:tcBorders>
              <w:top w:val="single" w:sz="4" w:space="0" w:color="000000"/>
              <w:left w:val="single" w:sz="4" w:space="0" w:color="000000"/>
              <w:bottom w:val="single" w:sz="4" w:space="0" w:color="000000"/>
              <w:right w:val="single" w:sz="4" w:space="0" w:color="000000"/>
            </w:tcBorders>
          </w:tcPr>
          <w:p>
            <w:pPr/>
          </w:p>
        </w:tc>
        <w:tc>
          <w:tcPr>
            <w:tcW w:w="21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9"/>
              <w:jc w:val="right"/>
              <w:rPr>
                <w:rFonts w:ascii="Arial" w:hAnsi="Arial" w:cs="Arial" w:eastAsia="Arial" w:hint="default"/>
                <w:sz w:val="15"/>
                <w:szCs w:val="15"/>
              </w:rPr>
            </w:pPr>
            <w:r>
              <w:rPr>
                <w:rFonts w:ascii="Arial"/>
                <w:spacing w:val="-2"/>
                <w:w w:val="80"/>
                <w:sz w:val="15"/>
              </w:rPr>
              <w:t>104,445,528.28</w:t>
            </w:r>
            <w:r>
              <w:rPr>
                <w:rFonts w:ascii="Arial"/>
                <w:spacing w:val="-2"/>
                <w:sz w:val="15"/>
              </w:rPr>
            </w: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121" w:right="0"/>
              <w:jc w:val="center"/>
              <w:rPr>
                <w:rFonts w:ascii="Arial" w:hAnsi="Arial" w:cs="Arial" w:eastAsia="Arial" w:hint="default"/>
                <w:sz w:val="15"/>
                <w:szCs w:val="15"/>
              </w:rPr>
            </w:pPr>
            <w:r>
              <w:rPr>
                <w:rFonts w:ascii="Arial"/>
                <w:w w:val="80"/>
                <w:sz w:val="15"/>
              </w:rPr>
              <w:t>1,060,014,181.10</w:t>
            </w:r>
            <w:r>
              <w:rPr>
                <w:rFonts w:ascii="Arial"/>
                <w:sz w:val="15"/>
              </w:rPr>
            </w: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9"/>
              <w:jc w:val="right"/>
              <w:rPr>
                <w:rFonts w:ascii="Arial" w:hAnsi="Arial" w:cs="Arial" w:eastAsia="Arial" w:hint="default"/>
                <w:sz w:val="15"/>
                <w:szCs w:val="15"/>
              </w:rPr>
            </w:pPr>
            <w:r>
              <w:rPr>
                <w:rFonts w:ascii="Arial"/>
                <w:spacing w:val="-1"/>
                <w:w w:val="80"/>
                <w:sz w:val="15"/>
              </w:rPr>
              <w:t>3,602,604,503.00</w:t>
            </w:r>
            <w:r>
              <w:rPr>
                <w:rFonts w:ascii="Arial"/>
                <w:spacing w:val="-1"/>
                <w:sz w:val="15"/>
              </w:rPr>
            </w:r>
          </w:p>
        </w:tc>
      </w:tr>
      <w:tr>
        <w:trPr>
          <w:trHeight w:val="338" w:hRule="exact"/>
        </w:trPr>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4"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99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12" w:type="dxa"/>
            <w:tcBorders>
              <w:top w:val="single" w:sz="4" w:space="0" w:color="000000"/>
              <w:left w:val="single" w:sz="4" w:space="0" w:color="000000"/>
              <w:bottom w:val="single" w:sz="4" w:space="0" w:color="000000"/>
              <w:right w:val="single" w:sz="4" w:space="0" w:color="000000"/>
            </w:tcBorders>
          </w:tcPr>
          <w:p>
            <w:pPr/>
          </w:p>
        </w:tc>
        <w:tc>
          <w:tcPr>
            <w:tcW w:w="21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4"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99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12" w:type="dxa"/>
            <w:tcBorders>
              <w:top w:val="single" w:sz="4" w:space="0" w:color="000000"/>
              <w:left w:val="single" w:sz="4" w:space="0" w:color="000000"/>
              <w:bottom w:val="single" w:sz="4" w:space="0" w:color="000000"/>
              <w:right w:val="single" w:sz="4" w:space="0" w:color="000000"/>
            </w:tcBorders>
          </w:tcPr>
          <w:p>
            <w:pPr/>
          </w:p>
        </w:tc>
        <w:tc>
          <w:tcPr>
            <w:tcW w:w="21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9"/>
              <w:jc w:val="left"/>
              <w:rPr>
                <w:rFonts w:ascii="宋体" w:hAnsi="宋体" w:cs="宋体" w:eastAsia="宋体" w:hint="default"/>
                <w:sz w:val="18"/>
                <w:szCs w:val="18"/>
              </w:rPr>
            </w:pPr>
            <w:r>
              <w:rPr>
                <w:rFonts w:ascii="宋体" w:hAnsi="宋体" w:cs="宋体" w:eastAsia="宋体" w:hint="default"/>
                <w:spacing w:val="9"/>
                <w:sz w:val="18"/>
                <w:szCs w:val="18"/>
              </w:rPr>
              <w:t>同一控制下企业合 </w:t>
            </w:r>
            <w:r>
              <w:rPr>
                <w:rFonts w:ascii="宋体" w:hAnsi="宋体" w:cs="宋体" w:eastAsia="宋体" w:hint="default"/>
                <w:sz w:val="18"/>
                <w:szCs w:val="18"/>
              </w:rPr>
              <w:t>并</w:t>
            </w:r>
          </w:p>
        </w:tc>
        <w:tc>
          <w:tcPr>
            <w:tcW w:w="99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12" w:type="dxa"/>
            <w:tcBorders>
              <w:top w:val="single" w:sz="4" w:space="0" w:color="000000"/>
              <w:left w:val="single" w:sz="4" w:space="0" w:color="000000"/>
              <w:bottom w:val="single" w:sz="4" w:space="0" w:color="000000"/>
              <w:right w:val="single" w:sz="4" w:space="0" w:color="000000"/>
            </w:tcBorders>
          </w:tcPr>
          <w:p>
            <w:pPr/>
          </w:p>
        </w:tc>
        <w:tc>
          <w:tcPr>
            <w:tcW w:w="21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99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12" w:type="dxa"/>
            <w:tcBorders>
              <w:top w:val="single" w:sz="4" w:space="0" w:color="000000"/>
              <w:left w:val="single" w:sz="4" w:space="0" w:color="000000"/>
              <w:bottom w:val="single" w:sz="4" w:space="0" w:color="000000"/>
              <w:right w:val="single" w:sz="4" w:space="0" w:color="000000"/>
            </w:tcBorders>
          </w:tcPr>
          <w:p>
            <w:pPr/>
          </w:p>
        </w:tc>
        <w:tc>
          <w:tcPr>
            <w:tcW w:w="21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15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4" w:right="0"/>
              <w:jc w:val="left"/>
              <w:rPr>
                <w:rFonts w:ascii="宋体" w:hAnsi="宋体" w:cs="宋体" w:eastAsia="宋体" w:hint="default"/>
                <w:sz w:val="18"/>
                <w:szCs w:val="18"/>
              </w:rPr>
            </w:pPr>
            <w:r>
              <w:rPr>
                <w:rFonts w:ascii="宋体" w:hAnsi="宋体" w:cs="宋体" w:eastAsia="宋体" w:hint="default"/>
                <w:sz w:val="18"/>
                <w:szCs w:val="18"/>
              </w:rPr>
              <w:t>二、本年期初余额</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9"/>
              <w:jc w:val="right"/>
              <w:rPr>
                <w:rFonts w:ascii="Arial" w:hAnsi="Arial" w:cs="Arial" w:eastAsia="Arial" w:hint="default"/>
                <w:sz w:val="15"/>
                <w:szCs w:val="15"/>
              </w:rPr>
            </w:pPr>
            <w:r>
              <w:rPr>
                <w:rFonts w:ascii="Arial"/>
                <w:spacing w:val="-2"/>
                <w:w w:val="80"/>
                <w:sz w:val="15"/>
              </w:rPr>
              <w:t>669,101,883.00</w:t>
            </w:r>
            <w:r>
              <w:rPr>
                <w:rFonts w:ascii="Arial"/>
                <w:spacing w:val="-2"/>
                <w:sz w:val="15"/>
              </w:rPr>
            </w: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22"/>
              <w:jc w:val="right"/>
              <w:rPr>
                <w:rFonts w:ascii="Arial" w:hAnsi="Arial" w:cs="Arial" w:eastAsia="Arial" w:hint="default"/>
                <w:sz w:val="15"/>
                <w:szCs w:val="15"/>
              </w:rPr>
            </w:pPr>
            <w:r>
              <w:rPr>
                <w:rFonts w:ascii="Arial"/>
                <w:spacing w:val="-1"/>
                <w:w w:val="80"/>
                <w:sz w:val="15"/>
              </w:rPr>
              <w:t>1,769,042,910.62</w:t>
            </w:r>
            <w:r>
              <w:rPr>
                <w:rFonts w:ascii="Arial"/>
                <w:spacing w:val="-1"/>
                <w:sz w:val="15"/>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212" w:type="dxa"/>
            <w:tcBorders>
              <w:top w:val="single" w:sz="4" w:space="0" w:color="000000"/>
              <w:left w:val="single" w:sz="4" w:space="0" w:color="000000"/>
              <w:bottom w:val="single" w:sz="4" w:space="0" w:color="000000"/>
              <w:right w:val="single" w:sz="4" w:space="0" w:color="000000"/>
            </w:tcBorders>
          </w:tcPr>
          <w:p>
            <w:pPr/>
          </w:p>
        </w:tc>
        <w:tc>
          <w:tcPr>
            <w:tcW w:w="21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9"/>
              <w:jc w:val="right"/>
              <w:rPr>
                <w:rFonts w:ascii="Arial" w:hAnsi="Arial" w:cs="Arial" w:eastAsia="Arial" w:hint="default"/>
                <w:sz w:val="15"/>
                <w:szCs w:val="15"/>
              </w:rPr>
            </w:pPr>
            <w:r>
              <w:rPr>
                <w:rFonts w:ascii="Arial"/>
                <w:spacing w:val="-2"/>
                <w:w w:val="80"/>
                <w:sz w:val="15"/>
              </w:rPr>
              <w:t>104,445,528.28</w:t>
            </w:r>
            <w:r>
              <w:rPr>
                <w:rFonts w:ascii="Arial"/>
                <w:spacing w:val="-2"/>
                <w:sz w:val="15"/>
              </w:rPr>
            </w: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121" w:right="0"/>
              <w:jc w:val="center"/>
              <w:rPr>
                <w:rFonts w:ascii="Arial" w:hAnsi="Arial" w:cs="Arial" w:eastAsia="Arial" w:hint="default"/>
                <w:sz w:val="15"/>
                <w:szCs w:val="15"/>
              </w:rPr>
            </w:pPr>
            <w:r>
              <w:rPr>
                <w:rFonts w:ascii="Arial"/>
                <w:w w:val="80"/>
                <w:sz w:val="15"/>
              </w:rPr>
              <w:t>1,060,014,181.10</w:t>
            </w:r>
            <w:r>
              <w:rPr>
                <w:rFonts w:ascii="Arial"/>
                <w:sz w:val="15"/>
              </w:rPr>
            </w: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9"/>
              <w:jc w:val="right"/>
              <w:rPr>
                <w:rFonts w:ascii="Arial" w:hAnsi="Arial" w:cs="Arial" w:eastAsia="Arial" w:hint="default"/>
                <w:sz w:val="15"/>
                <w:szCs w:val="15"/>
              </w:rPr>
            </w:pPr>
            <w:r>
              <w:rPr>
                <w:rFonts w:ascii="Arial"/>
                <w:spacing w:val="-1"/>
                <w:w w:val="80"/>
                <w:sz w:val="15"/>
              </w:rPr>
              <w:t>3,602,604,503.00</w:t>
            </w:r>
            <w:r>
              <w:rPr>
                <w:rFonts w:ascii="Arial"/>
                <w:spacing w:val="-1"/>
                <w:sz w:val="15"/>
              </w:rPr>
            </w:r>
          </w:p>
        </w:tc>
      </w:tr>
    </w:tbl>
    <w:p>
      <w:pPr>
        <w:spacing w:after="0" w:line="240" w:lineRule="auto"/>
        <w:jc w:val="right"/>
        <w:rPr>
          <w:rFonts w:ascii="Arial" w:hAnsi="Arial" w:cs="Arial" w:eastAsia="Arial" w:hint="default"/>
          <w:sz w:val="15"/>
          <w:szCs w:val="15"/>
        </w:rPr>
        <w:sectPr>
          <w:pgSz w:w="11910" w:h="16840"/>
          <w:pgMar w:header="921" w:footer="725" w:top="1160" w:bottom="920" w:left="980" w:right="0"/>
        </w:sectPr>
      </w:pPr>
    </w:p>
    <w:p>
      <w:pPr>
        <w:spacing w:line="240" w:lineRule="auto" w:before="4"/>
        <w:rPr>
          <w:rFonts w:ascii="宋体" w:hAnsi="宋体" w:cs="宋体" w:eastAsia="宋体" w:hint="default"/>
          <w:sz w:val="21"/>
          <w:szCs w:val="21"/>
        </w:rPr>
      </w:pPr>
      <w:r>
        <w:rPr/>
        <w:pict>
          <v:shape style="position:absolute;margin-left:110.874001pt;margin-top:72.475983pt;width:73.25pt;height:39.050pt;mso-position-horizontal-relative:page;mso-position-vertical-relative:page;z-index:-1012072" type="#_x0000_t202" filled="false" stroked="false">
            <v:textbox inset="0,0,0,0">
              <w:txbxContent>
                <w:p>
                  <w:pPr>
                    <w:spacing w:line="240" w:lineRule="auto" w:before="8"/>
                    <w:rPr>
                      <w:rFonts w:ascii="宋体" w:hAnsi="宋体" w:cs="宋体" w:eastAsia="宋体" w:hint="default"/>
                      <w:sz w:val="18"/>
                      <w:szCs w:val="18"/>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p>
              </w:txbxContent>
            </v:textbox>
            <w10:wrap type="none"/>
          </v:shape>
        </w:pict>
      </w:r>
    </w:p>
    <w:tbl>
      <w:tblPr>
        <w:tblW w:w="0" w:type="auto"/>
        <w:jc w:val="left"/>
        <w:tblInd w:w="149" w:type="dxa"/>
        <w:tblLayout w:type="fixed"/>
        <w:tblCellMar>
          <w:top w:w="0" w:type="dxa"/>
          <w:left w:w="0" w:type="dxa"/>
          <w:bottom w:w="0" w:type="dxa"/>
          <w:right w:w="0" w:type="dxa"/>
        </w:tblCellMar>
        <w:tblLook w:val="01E0"/>
      </w:tblPr>
      <w:tblGrid>
        <w:gridCol w:w="1559"/>
        <w:gridCol w:w="991"/>
        <w:gridCol w:w="283"/>
        <w:gridCol w:w="286"/>
        <w:gridCol w:w="283"/>
        <w:gridCol w:w="1133"/>
        <w:gridCol w:w="994"/>
        <w:gridCol w:w="212"/>
        <w:gridCol w:w="214"/>
        <w:gridCol w:w="991"/>
        <w:gridCol w:w="286"/>
        <w:gridCol w:w="1133"/>
        <w:gridCol w:w="283"/>
        <w:gridCol w:w="1133"/>
      </w:tblGrid>
      <w:tr>
        <w:trPr>
          <w:trHeight w:val="790" w:hRule="exact"/>
        </w:trPr>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7" w:lineRule="auto" w:before="12"/>
              <w:ind w:left="22" w:right="9"/>
              <w:jc w:val="left"/>
              <w:rPr>
                <w:rFonts w:ascii="宋体" w:hAnsi="宋体" w:cs="宋体" w:eastAsia="宋体" w:hint="default"/>
                <w:sz w:val="18"/>
                <w:szCs w:val="18"/>
              </w:rPr>
            </w:pPr>
            <w:r>
              <w:rPr>
                <w:rFonts w:ascii="宋体" w:hAnsi="宋体" w:cs="宋体" w:eastAsia="宋体" w:hint="default"/>
                <w:spacing w:val="9"/>
                <w:sz w:val="18"/>
                <w:szCs w:val="18"/>
              </w:rPr>
              <w:t>三、本期增减变动 </w:t>
            </w:r>
            <w:r>
              <w:rPr>
                <w:rFonts w:ascii="宋体" w:hAnsi="宋体" w:cs="宋体" w:eastAsia="宋体" w:hint="default"/>
                <w:spacing w:val="-3"/>
                <w:sz w:val="18"/>
                <w:szCs w:val="18"/>
              </w:rPr>
              <w:t>金额（减少以</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号填列）</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780" w:lineRule="exact"/>
              <w:ind w:left="2" w:right="-53"/>
              <w:jc w:val="left"/>
              <w:rPr>
                <w:rFonts w:ascii="宋体" w:hAnsi="宋体" w:cs="宋体" w:eastAsia="宋体" w:hint="default"/>
                <w:sz w:val="20"/>
                <w:szCs w:val="20"/>
              </w:rPr>
            </w:pPr>
            <w:r>
              <w:rPr>
                <w:rFonts w:ascii="宋体" w:hAnsi="宋体" w:cs="宋体" w:eastAsia="宋体" w:hint="default"/>
                <w:position w:val="-15"/>
                <w:sz w:val="20"/>
                <w:szCs w:val="20"/>
              </w:rPr>
              <w:pict>
                <v:group style="width:49.1pt;height:39.050pt;mso-position-horizontal-relative:char;mso-position-vertical-relative:line" coordorigin="0,0" coordsize="982,781">
                  <v:group style="position:absolute;left:0;top:0;width:982;height:781" coordorigin="0,0" coordsize="982,781">
                    <v:shape style="position:absolute;left:0;top:0;width:982;height:781" coordorigin="0,0" coordsize="982,781" path="m0,780l982,780,982,0,0,0,0,780xe" filled="true" fillcolor="#ffffff" stroked="false">
                      <v:path arrowok="t"/>
                      <v:fill type="solid"/>
                    </v:shape>
                  </v:group>
                  <v:group style="position:absolute;left:22;top:262;width:936;height:258" coordorigin="22,262" coordsize="936,258">
                    <v:shape style="position:absolute;left:22;top:262;width:936;height:258" coordorigin="22,262" coordsize="936,258" path="m22,519l958,519,958,262,22,262,22,519xe" filled="true" fillcolor="#ffffff" stroked="false">
                      <v:path arrowok="t"/>
                      <v:fill type="solid"/>
                    </v:shape>
                  </v:group>
                </v:group>
              </w:pict>
            </w:r>
            <w:r>
              <w:rPr>
                <w:rFonts w:ascii="宋体" w:hAnsi="宋体" w:cs="宋体" w:eastAsia="宋体" w:hint="default"/>
                <w:position w:val="-15"/>
                <w:sz w:val="20"/>
                <w:szCs w:val="20"/>
              </w:rPr>
            </w: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4"/>
              <w:jc w:val="right"/>
              <w:rPr>
                <w:rFonts w:ascii="Arial" w:hAnsi="Arial" w:cs="Arial" w:eastAsia="Arial" w:hint="default"/>
                <w:sz w:val="15"/>
                <w:szCs w:val="15"/>
              </w:rPr>
            </w:pPr>
            <w:r>
              <w:rPr>
                <w:rFonts w:ascii="Arial"/>
                <w:spacing w:val="-1"/>
                <w:w w:val="80"/>
                <w:sz w:val="15"/>
              </w:rPr>
              <w:t>14,436,163.60</w:t>
            </w:r>
            <w:r>
              <w:rPr>
                <w:rFonts w:ascii="Arial"/>
                <w:spacing w:val="-1"/>
                <w:sz w:val="15"/>
              </w:rPr>
            </w:r>
          </w:p>
        </w:tc>
        <w:tc>
          <w:tcPr>
            <w:tcW w:w="212" w:type="dxa"/>
            <w:tcBorders>
              <w:top w:val="single" w:sz="4" w:space="0" w:color="000000"/>
              <w:left w:val="single" w:sz="4" w:space="0" w:color="000000"/>
              <w:bottom w:val="single" w:sz="4" w:space="0" w:color="000000"/>
              <w:right w:val="single" w:sz="4" w:space="0" w:color="000000"/>
            </w:tcBorders>
          </w:tcPr>
          <w:p>
            <w:pPr/>
          </w:p>
        </w:tc>
        <w:tc>
          <w:tcPr>
            <w:tcW w:w="21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3"/>
              <w:ind w:right="20"/>
              <w:jc w:val="right"/>
              <w:rPr>
                <w:rFonts w:ascii="Arial" w:hAnsi="Arial" w:cs="Arial" w:eastAsia="Arial" w:hint="default"/>
                <w:sz w:val="15"/>
                <w:szCs w:val="15"/>
              </w:rPr>
            </w:pPr>
            <w:r>
              <w:rPr>
                <w:rFonts w:ascii="Arial"/>
                <w:spacing w:val="-1"/>
                <w:w w:val="80"/>
                <w:sz w:val="15"/>
              </w:rPr>
              <w:t>-1,265,540,691.92</w:t>
            </w:r>
            <w:r>
              <w:rPr>
                <w:rFonts w:ascii="Arial"/>
                <w:spacing w:val="-1"/>
                <w:sz w:val="15"/>
              </w:rPr>
            </w: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3"/>
              <w:ind w:right="19"/>
              <w:jc w:val="right"/>
              <w:rPr>
                <w:rFonts w:ascii="Arial" w:hAnsi="Arial" w:cs="Arial" w:eastAsia="Arial" w:hint="default"/>
                <w:sz w:val="15"/>
                <w:szCs w:val="15"/>
              </w:rPr>
            </w:pPr>
            <w:r>
              <w:rPr>
                <w:rFonts w:ascii="Arial"/>
                <w:spacing w:val="-1"/>
                <w:w w:val="80"/>
                <w:sz w:val="15"/>
              </w:rPr>
              <w:t>-1,279,976,855.52</w:t>
            </w:r>
            <w:r>
              <w:rPr>
                <w:rFonts w:ascii="Arial"/>
                <w:spacing w:val="-1"/>
                <w:sz w:val="15"/>
              </w:rPr>
            </w:r>
          </w:p>
        </w:tc>
      </w:tr>
      <w:tr>
        <w:trPr>
          <w:trHeight w:val="557" w:hRule="exact"/>
        </w:trPr>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2" w:right="9"/>
              <w:jc w:val="left"/>
              <w:rPr>
                <w:rFonts w:ascii="宋体" w:hAnsi="宋体" w:cs="宋体" w:eastAsia="宋体" w:hint="default"/>
                <w:sz w:val="18"/>
                <w:szCs w:val="18"/>
              </w:rPr>
            </w:pPr>
            <w:r>
              <w:rPr>
                <w:rFonts w:ascii="宋体" w:hAnsi="宋体" w:cs="宋体" w:eastAsia="宋体" w:hint="default"/>
                <w:spacing w:val="9"/>
                <w:sz w:val="18"/>
                <w:szCs w:val="18"/>
              </w:rPr>
              <w:t>（一）综合收益总 </w:t>
            </w:r>
            <w:r>
              <w:rPr>
                <w:rFonts w:ascii="宋体" w:hAnsi="宋体" w:cs="宋体" w:eastAsia="宋体" w:hint="default"/>
                <w:sz w:val="18"/>
                <w:szCs w:val="18"/>
              </w:rPr>
              <w:t>额</w:t>
            </w:r>
          </w:p>
        </w:tc>
        <w:tc>
          <w:tcPr>
            <w:tcW w:w="99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12" w:type="dxa"/>
            <w:tcBorders>
              <w:top w:val="single" w:sz="4" w:space="0" w:color="000000"/>
              <w:left w:val="single" w:sz="4" w:space="0" w:color="000000"/>
              <w:bottom w:val="single" w:sz="4" w:space="0" w:color="000000"/>
              <w:right w:val="single" w:sz="4" w:space="0" w:color="000000"/>
            </w:tcBorders>
          </w:tcPr>
          <w:p>
            <w:pPr/>
          </w:p>
        </w:tc>
        <w:tc>
          <w:tcPr>
            <w:tcW w:w="21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20"/>
              <w:jc w:val="right"/>
              <w:rPr>
                <w:rFonts w:ascii="Arial" w:hAnsi="Arial" w:cs="Arial" w:eastAsia="Arial" w:hint="default"/>
                <w:sz w:val="15"/>
                <w:szCs w:val="15"/>
              </w:rPr>
            </w:pPr>
            <w:r>
              <w:rPr>
                <w:rFonts w:ascii="Arial"/>
                <w:spacing w:val="-1"/>
                <w:w w:val="80"/>
                <w:sz w:val="15"/>
              </w:rPr>
              <w:t>-1,240,168,787.93</w:t>
            </w:r>
            <w:r>
              <w:rPr>
                <w:rFonts w:ascii="Arial"/>
                <w:spacing w:val="-1"/>
                <w:sz w:val="15"/>
              </w:rPr>
            </w: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9"/>
              <w:jc w:val="right"/>
              <w:rPr>
                <w:rFonts w:ascii="Arial" w:hAnsi="Arial" w:cs="Arial" w:eastAsia="Arial" w:hint="default"/>
                <w:sz w:val="15"/>
                <w:szCs w:val="15"/>
              </w:rPr>
            </w:pPr>
            <w:r>
              <w:rPr>
                <w:rFonts w:ascii="Arial"/>
                <w:spacing w:val="-1"/>
                <w:w w:val="80"/>
                <w:sz w:val="15"/>
              </w:rPr>
              <w:t>-1,240,168,787.93</w:t>
            </w:r>
            <w:r>
              <w:rPr>
                <w:rFonts w:ascii="Arial"/>
                <w:spacing w:val="-1"/>
                <w:sz w:val="15"/>
              </w:rPr>
            </w:r>
          </w:p>
        </w:tc>
      </w:tr>
      <w:tr>
        <w:trPr>
          <w:trHeight w:val="557" w:hRule="exact"/>
        </w:trPr>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2" w:right="9"/>
              <w:jc w:val="left"/>
              <w:rPr>
                <w:rFonts w:ascii="宋体" w:hAnsi="宋体" w:cs="宋体" w:eastAsia="宋体" w:hint="default"/>
                <w:sz w:val="18"/>
                <w:szCs w:val="18"/>
              </w:rPr>
            </w:pPr>
            <w:r>
              <w:rPr>
                <w:rFonts w:ascii="宋体" w:hAnsi="宋体" w:cs="宋体" w:eastAsia="宋体" w:hint="default"/>
                <w:spacing w:val="9"/>
                <w:sz w:val="18"/>
                <w:szCs w:val="18"/>
              </w:rPr>
              <w:t>（二）所有者投入 </w:t>
            </w:r>
            <w:r>
              <w:rPr>
                <w:rFonts w:ascii="宋体" w:hAnsi="宋体" w:cs="宋体" w:eastAsia="宋体" w:hint="default"/>
                <w:sz w:val="18"/>
                <w:szCs w:val="18"/>
              </w:rPr>
              <w:t>和减少资本</w:t>
            </w:r>
          </w:p>
        </w:tc>
        <w:tc>
          <w:tcPr>
            <w:tcW w:w="99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0"/>
                <w:szCs w:val="20"/>
              </w:rPr>
            </w:pPr>
          </w:p>
          <w:p>
            <w:pPr>
              <w:pStyle w:val="TableParagraph"/>
              <w:spacing w:line="240" w:lineRule="auto"/>
              <w:ind w:right="24"/>
              <w:jc w:val="right"/>
              <w:rPr>
                <w:rFonts w:ascii="Arial" w:hAnsi="Arial" w:cs="Arial" w:eastAsia="Arial" w:hint="default"/>
                <w:sz w:val="15"/>
                <w:szCs w:val="15"/>
              </w:rPr>
            </w:pPr>
            <w:r>
              <w:rPr>
                <w:rFonts w:ascii="Arial"/>
                <w:spacing w:val="-1"/>
                <w:w w:val="80"/>
                <w:sz w:val="15"/>
              </w:rPr>
              <w:t>14,436,163.60</w:t>
            </w:r>
            <w:r>
              <w:rPr>
                <w:rFonts w:ascii="Arial"/>
                <w:spacing w:val="-1"/>
                <w:sz w:val="15"/>
              </w:rPr>
            </w:r>
          </w:p>
        </w:tc>
        <w:tc>
          <w:tcPr>
            <w:tcW w:w="212" w:type="dxa"/>
            <w:tcBorders>
              <w:top w:val="single" w:sz="4" w:space="0" w:color="000000"/>
              <w:left w:val="single" w:sz="4" w:space="0" w:color="000000"/>
              <w:bottom w:val="single" w:sz="4" w:space="0" w:color="000000"/>
              <w:right w:val="single" w:sz="4" w:space="0" w:color="000000"/>
            </w:tcBorders>
          </w:tcPr>
          <w:p>
            <w:pPr/>
          </w:p>
        </w:tc>
        <w:tc>
          <w:tcPr>
            <w:tcW w:w="21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22"/>
              <w:jc w:val="right"/>
              <w:rPr>
                <w:rFonts w:ascii="Arial" w:hAnsi="Arial" w:cs="Arial" w:eastAsia="Arial" w:hint="default"/>
                <w:sz w:val="15"/>
                <w:szCs w:val="15"/>
              </w:rPr>
            </w:pPr>
            <w:r>
              <w:rPr>
                <w:rFonts w:ascii="Arial"/>
                <w:spacing w:val="-1"/>
                <w:w w:val="80"/>
                <w:sz w:val="15"/>
              </w:rPr>
              <w:t>14,436,163.60</w:t>
            </w:r>
            <w:r>
              <w:rPr>
                <w:rFonts w:ascii="Arial"/>
                <w:spacing w:val="-1"/>
                <w:sz w:val="15"/>
              </w:rPr>
            </w:r>
          </w:p>
        </w:tc>
      </w:tr>
      <w:tr>
        <w:trPr>
          <w:trHeight w:val="430" w:hRule="exact"/>
        </w:trPr>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股东投入普通股</w:t>
            </w:r>
          </w:p>
        </w:tc>
        <w:tc>
          <w:tcPr>
            <w:tcW w:w="99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24"/>
              <w:jc w:val="right"/>
              <w:rPr>
                <w:rFonts w:ascii="Arial" w:hAnsi="Arial" w:cs="Arial" w:eastAsia="Arial" w:hint="default"/>
                <w:sz w:val="15"/>
                <w:szCs w:val="15"/>
              </w:rPr>
            </w:pPr>
            <w:r>
              <w:rPr>
                <w:rFonts w:ascii="Arial"/>
                <w:spacing w:val="-1"/>
                <w:w w:val="80"/>
                <w:sz w:val="15"/>
              </w:rPr>
              <w:t>14,436,163.60</w:t>
            </w:r>
            <w:r>
              <w:rPr>
                <w:rFonts w:ascii="Arial"/>
                <w:spacing w:val="-1"/>
                <w:sz w:val="15"/>
              </w:rPr>
            </w:r>
          </w:p>
        </w:tc>
        <w:tc>
          <w:tcPr>
            <w:tcW w:w="212" w:type="dxa"/>
            <w:tcBorders>
              <w:top w:val="single" w:sz="4" w:space="0" w:color="000000"/>
              <w:left w:val="single" w:sz="4" w:space="0" w:color="000000"/>
              <w:bottom w:val="single" w:sz="4" w:space="0" w:color="000000"/>
              <w:right w:val="single" w:sz="4" w:space="0" w:color="000000"/>
            </w:tcBorders>
          </w:tcPr>
          <w:p>
            <w:pPr/>
          </w:p>
        </w:tc>
        <w:tc>
          <w:tcPr>
            <w:tcW w:w="21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22"/>
              <w:jc w:val="right"/>
              <w:rPr>
                <w:rFonts w:ascii="Arial" w:hAnsi="Arial" w:cs="Arial" w:eastAsia="Arial" w:hint="default"/>
                <w:sz w:val="15"/>
                <w:szCs w:val="15"/>
              </w:rPr>
            </w:pPr>
            <w:r>
              <w:rPr>
                <w:rFonts w:ascii="Arial"/>
                <w:spacing w:val="-1"/>
                <w:w w:val="80"/>
                <w:sz w:val="15"/>
              </w:rPr>
              <w:t>14,436,163.60</w:t>
            </w:r>
            <w:r>
              <w:rPr>
                <w:rFonts w:ascii="Arial"/>
                <w:spacing w:val="-1"/>
                <w:sz w:val="15"/>
              </w:rPr>
            </w:r>
          </w:p>
        </w:tc>
      </w:tr>
      <w:tr>
        <w:trPr>
          <w:trHeight w:val="557" w:hRule="exact"/>
        </w:trPr>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32"/>
              <w:ind w:left="22" w:right="23"/>
              <w:jc w:val="left"/>
              <w:rPr>
                <w:rFonts w:ascii="宋体" w:hAnsi="宋体" w:cs="宋体" w:eastAsia="宋体" w:hint="default"/>
                <w:sz w:val="18"/>
                <w:szCs w:val="18"/>
              </w:rPr>
            </w:pPr>
            <w:r>
              <w:rPr>
                <w:rFonts w:ascii="Times New Roman" w:hAnsi="Times New Roman" w:cs="Times New Roman" w:eastAsia="Times New Roman" w:hint="default"/>
                <w:spacing w:val="11"/>
                <w:sz w:val="18"/>
                <w:szCs w:val="18"/>
              </w:rPr>
              <w:t>2.</w:t>
            </w:r>
            <w:r>
              <w:rPr>
                <w:rFonts w:ascii="宋体" w:hAnsi="宋体" w:cs="宋体" w:eastAsia="宋体" w:hint="default"/>
                <w:spacing w:val="11"/>
                <w:sz w:val="18"/>
                <w:szCs w:val="18"/>
              </w:rPr>
              <w:t>其他权益工具持</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有者投入资本</w:t>
            </w:r>
          </w:p>
        </w:tc>
        <w:tc>
          <w:tcPr>
            <w:tcW w:w="99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12" w:type="dxa"/>
            <w:tcBorders>
              <w:top w:val="single" w:sz="4" w:space="0" w:color="000000"/>
              <w:left w:val="single" w:sz="4" w:space="0" w:color="000000"/>
              <w:bottom w:val="single" w:sz="4" w:space="0" w:color="000000"/>
              <w:right w:val="single" w:sz="4" w:space="0" w:color="000000"/>
            </w:tcBorders>
          </w:tcPr>
          <w:p>
            <w:pPr/>
          </w:p>
        </w:tc>
        <w:tc>
          <w:tcPr>
            <w:tcW w:w="21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34"/>
              <w:ind w:left="22" w:right="23"/>
              <w:jc w:val="left"/>
              <w:rPr>
                <w:rFonts w:ascii="宋体" w:hAnsi="宋体" w:cs="宋体" w:eastAsia="宋体" w:hint="default"/>
                <w:sz w:val="18"/>
                <w:szCs w:val="18"/>
              </w:rPr>
            </w:pPr>
            <w:r>
              <w:rPr>
                <w:rFonts w:ascii="Times New Roman" w:hAnsi="Times New Roman" w:cs="Times New Roman" w:eastAsia="Times New Roman" w:hint="default"/>
                <w:spacing w:val="11"/>
                <w:sz w:val="18"/>
                <w:szCs w:val="18"/>
              </w:rPr>
              <w:t>3.</w:t>
            </w:r>
            <w:r>
              <w:rPr>
                <w:rFonts w:ascii="宋体" w:hAnsi="宋体" w:cs="宋体" w:eastAsia="宋体" w:hint="default"/>
                <w:spacing w:val="11"/>
                <w:sz w:val="18"/>
                <w:szCs w:val="18"/>
              </w:rPr>
              <w:t>股份支付计入所</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有者权益的金额</w:t>
            </w:r>
          </w:p>
        </w:tc>
        <w:tc>
          <w:tcPr>
            <w:tcW w:w="99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12" w:type="dxa"/>
            <w:tcBorders>
              <w:top w:val="single" w:sz="4" w:space="0" w:color="000000"/>
              <w:left w:val="single" w:sz="4" w:space="0" w:color="000000"/>
              <w:bottom w:val="single" w:sz="4" w:space="0" w:color="000000"/>
              <w:right w:val="single" w:sz="4" w:space="0" w:color="000000"/>
            </w:tcBorders>
          </w:tcPr>
          <w:p>
            <w:pPr/>
          </w:p>
        </w:tc>
        <w:tc>
          <w:tcPr>
            <w:tcW w:w="21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99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12" w:type="dxa"/>
            <w:tcBorders>
              <w:top w:val="single" w:sz="4" w:space="0" w:color="000000"/>
              <w:left w:val="single" w:sz="4" w:space="0" w:color="000000"/>
              <w:bottom w:val="single" w:sz="4" w:space="0" w:color="000000"/>
              <w:right w:val="single" w:sz="4" w:space="0" w:color="000000"/>
            </w:tcBorders>
          </w:tcPr>
          <w:p>
            <w:pPr/>
          </w:p>
        </w:tc>
        <w:tc>
          <w:tcPr>
            <w:tcW w:w="21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2"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99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12" w:type="dxa"/>
            <w:tcBorders>
              <w:top w:val="single" w:sz="4" w:space="0" w:color="000000"/>
              <w:left w:val="single" w:sz="4" w:space="0" w:color="000000"/>
              <w:bottom w:val="single" w:sz="4" w:space="0" w:color="000000"/>
              <w:right w:val="single" w:sz="4" w:space="0" w:color="000000"/>
            </w:tcBorders>
          </w:tcPr>
          <w:p>
            <w:pPr/>
          </w:p>
        </w:tc>
        <w:tc>
          <w:tcPr>
            <w:tcW w:w="21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20"/>
              <w:jc w:val="right"/>
              <w:rPr>
                <w:rFonts w:ascii="Arial" w:hAnsi="Arial" w:cs="Arial" w:eastAsia="Arial" w:hint="default"/>
                <w:sz w:val="15"/>
                <w:szCs w:val="15"/>
              </w:rPr>
            </w:pPr>
            <w:r>
              <w:rPr>
                <w:rFonts w:ascii="Arial"/>
                <w:spacing w:val="-1"/>
                <w:w w:val="80"/>
                <w:sz w:val="15"/>
              </w:rPr>
              <w:t>-25,371,903.99</w:t>
            </w:r>
            <w:r>
              <w:rPr>
                <w:rFonts w:ascii="Arial"/>
                <w:spacing w:val="-1"/>
                <w:sz w:val="15"/>
              </w:rPr>
            </w:r>
          </w:p>
        </w:tc>
        <w:tc>
          <w:tcPr>
            <w:tcW w:w="2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9"/>
              <w:jc w:val="right"/>
              <w:rPr>
                <w:rFonts w:ascii="Arial" w:hAnsi="Arial" w:cs="Arial" w:eastAsia="Arial" w:hint="default"/>
                <w:sz w:val="15"/>
                <w:szCs w:val="15"/>
              </w:rPr>
            </w:pPr>
            <w:r>
              <w:rPr>
                <w:rFonts w:ascii="Arial"/>
                <w:w w:val="82"/>
                <w:sz w:val="15"/>
              </w:rPr>
              <w:t>-</w:t>
            </w:r>
            <w:r>
              <w:rPr>
                <w:rFonts w:ascii="Arial"/>
                <w:sz w:val="15"/>
              </w:rPr>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9"/>
              <w:jc w:val="right"/>
              <w:rPr>
                <w:rFonts w:ascii="Arial" w:hAnsi="Arial" w:cs="Arial" w:eastAsia="Arial" w:hint="default"/>
                <w:sz w:val="15"/>
                <w:szCs w:val="15"/>
              </w:rPr>
            </w:pPr>
            <w:r>
              <w:rPr>
                <w:rFonts w:ascii="Arial"/>
                <w:spacing w:val="-1"/>
                <w:w w:val="80"/>
                <w:sz w:val="15"/>
              </w:rPr>
              <w:t>-25,371,903.99</w:t>
            </w:r>
            <w:r>
              <w:rPr>
                <w:rFonts w:ascii="Arial"/>
                <w:spacing w:val="-1"/>
                <w:sz w:val="15"/>
              </w:rPr>
            </w:r>
          </w:p>
        </w:tc>
      </w:tr>
      <w:tr>
        <w:trPr>
          <w:trHeight w:val="339" w:hRule="exact"/>
        </w:trPr>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99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12" w:type="dxa"/>
            <w:tcBorders>
              <w:top w:val="single" w:sz="4" w:space="0" w:color="000000"/>
              <w:left w:val="single" w:sz="4" w:space="0" w:color="000000"/>
              <w:bottom w:val="single" w:sz="4" w:space="0" w:color="000000"/>
              <w:right w:val="single" w:sz="4" w:space="0" w:color="000000"/>
            </w:tcBorders>
          </w:tcPr>
          <w:p>
            <w:pPr/>
          </w:p>
        </w:tc>
        <w:tc>
          <w:tcPr>
            <w:tcW w:w="21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34"/>
              <w:ind w:left="22" w:right="23"/>
              <w:jc w:val="left"/>
              <w:rPr>
                <w:rFonts w:ascii="宋体" w:hAnsi="宋体" w:cs="宋体" w:eastAsia="宋体" w:hint="default"/>
                <w:sz w:val="18"/>
                <w:szCs w:val="18"/>
              </w:rPr>
            </w:pPr>
            <w:r>
              <w:rPr>
                <w:rFonts w:ascii="Times New Roman" w:hAnsi="Times New Roman" w:cs="Times New Roman" w:eastAsia="Times New Roman" w:hint="default"/>
                <w:spacing w:val="11"/>
                <w:sz w:val="18"/>
                <w:szCs w:val="18"/>
              </w:rPr>
              <w:t>2.</w:t>
            </w:r>
            <w:r>
              <w:rPr>
                <w:rFonts w:ascii="宋体" w:hAnsi="宋体" w:cs="宋体" w:eastAsia="宋体" w:hint="default"/>
                <w:spacing w:val="11"/>
                <w:sz w:val="18"/>
                <w:szCs w:val="18"/>
              </w:rPr>
              <w:t>提取一般风险准</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备</w:t>
            </w:r>
          </w:p>
        </w:tc>
        <w:tc>
          <w:tcPr>
            <w:tcW w:w="99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12" w:type="dxa"/>
            <w:tcBorders>
              <w:top w:val="single" w:sz="4" w:space="0" w:color="000000"/>
              <w:left w:val="single" w:sz="4" w:space="0" w:color="000000"/>
              <w:bottom w:val="single" w:sz="4" w:space="0" w:color="000000"/>
              <w:right w:val="single" w:sz="4" w:space="0" w:color="000000"/>
            </w:tcBorders>
          </w:tcPr>
          <w:p>
            <w:pPr/>
          </w:p>
        </w:tc>
        <w:tc>
          <w:tcPr>
            <w:tcW w:w="21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r>
      <w:tr>
        <w:trPr>
          <w:trHeight w:val="559" w:hRule="exact"/>
        </w:trPr>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34"/>
              <w:ind w:left="22" w:right="23"/>
              <w:jc w:val="left"/>
              <w:rPr>
                <w:rFonts w:ascii="宋体" w:hAnsi="宋体" w:cs="宋体" w:eastAsia="宋体" w:hint="default"/>
                <w:sz w:val="18"/>
                <w:szCs w:val="18"/>
              </w:rPr>
            </w:pPr>
            <w:r>
              <w:rPr>
                <w:rFonts w:ascii="Times New Roman" w:hAnsi="Times New Roman" w:cs="Times New Roman" w:eastAsia="Times New Roman" w:hint="default"/>
                <w:spacing w:val="10"/>
                <w:sz w:val="18"/>
                <w:szCs w:val="18"/>
              </w:rPr>
              <w:t>3.</w:t>
            </w:r>
            <w:r>
              <w:rPr>
                <w:rFonts w:ascii="宋体" w:hAnsi="宋体" w:cs="宋体" w:eastAsia="宋体" w:hint="default"/>
                <w:spacing w:val="10"/>
                <w:sz w:val="18"/>
                <w:szCs w:val="18"/>
              </w:rPr>
              <w:t>对所有者（</w:t>
            </w:r>
            <w:r>
              <w:rPr>
                <w:rFonts w:ascii="宋体" w:hAnsi="宋体" w:cs="宋体" w:eastAsia="宋体" w:hint="default"/>
                <w:spacing w:val="-72"/>
                <w:sz w:val="18"/>
                <w:szCs w:val="18"/>
              </w:rPr>
              <w:t> </w:t>
            </w:r>
            <w:r>
              <w:rPr>
                <w:rFonts w:ascii="宋体" w:hAnsi="宋体" w:cs="宋体" w:eastAsia="宋体" w:hint="default"/>
                <w:spacing w:val="7"/>
                <w:sz w:val="18"/>
                <w:szCs w:val="18"/>
              </w:rPr>
              <w:t>或股</w:t>
            </w:r>
            <w:r>
              <w:rPr>
                <w:rFonts w:ascii="宋体" w:hAnsi="宋体" w:cs="宋体" w:eastAsia="宋体" w:hint="default"/>
                <w:sz w:val="18"/>
                <w:szCs w:val="18"/>
              </w:rPr>
              <w:t> 东）的分配</w:t>
            </w:r>
          </w:p>
        </w:tc>
        <w:tc>
          <w:tcPr>
            <w:tcW w:w="99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12" w:type="dxa"/>
            <w:tcBorders>
              <w:top w:val="single" w:sz="4" w:space="0" w:color="000000"/>
              <w:left w:val="single" w:sz="4" w:space="0" w:color="000000"/>
              <w:bottom w:val="single" w:sz="4" w:space="0" w:color="000000"/>
              <w:right w:val="single" w:sz="4" w:space="0" w:color="000000"/>
            </w:tcBorders>
          </w:tcPr>
          <w:p>
            <w:pPr/>
          </w:p>
        </w:tc>
        <w:tc>
          <w:tcPr>
            <w:tcW w:w="21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20"/>
              <w:jc w:val="right"/>
              <w:rPr>
                <w:rFonts w:ascii="Arial" w:hAnsi="Arial" w:cs="Arial" w:eastAsia="Arial" w:hint="default"/>
                <w:sz w:val="15"/>
                <w:szCs w:val="15"/>
              </w:rPr>
            </w:pPr>
            <w:r>
              <w:rPr>
                <w:rFonts w:ascii="Arial"/>
                <w:spacing w:val="-1"/>
                <w:w w:val="80"/>
                <w:sz w:val="15"/>
              </w:rPr>
              <w:t>-25,371,903.99</w:t>
            </w:r>
            <w:r>
              <w:rPr>
                <w:rFonts w:ascii="Arial"/>
                <w:spacing w:val="-1"/>
                <w:sz w:val="15"/>
              </w:rPr>
            </w: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4"/>
                <w:szCs w:val="14"/>
              </w:rPr>
            </w:pPr>
          </w:p>
          <w:p>
            <w:pPr>
              <w:pStyle w:val="TableParagraph"/>
              <w:spacing w:line="240" w:lineRule="auto"/>
              <w:ind w:right="19"/>
              <w:jc w:val="right"/>
              <w:rPr>
                <w:rFonts w:ascii="Arial" w:hAnsi="Arial" w:cs="Arial" w:eastAsia="Arial" w:hint="default"/>
                <w:sz w:val="15"/>
                <w:szCs w:val="15"/>
              </w:rPr>
            </w:pPr>
            <w:r>
              <w:rPr>
                <w:rFonts w:ascii="Arial"/>
                <w:spacing w:val="-1"/>
                <w:w w:val="80"/>
                <w:sz w:val="15"/>
              </w:rPr>
              <w:t>-25,371,903.99</w:t>
            </w:r>
            <w:r>
              <w:rPr>
                <w:rFonts w:ascii="Arial"/>
                <w:spacing w:val="-1"/>
                <w:sz w:val="15"/>
              </w:rPr>
            </w:r>
          </w:p>
        </w:tc>
      </w:tr>
      <w:tr>
        <w:trPr>
          <w:trHeight w:val="322" w:hRule="exact"/>
        </w:trPr>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1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99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12" w:type="dxa"/>
            <w:tcBorders>
              <w:top w:val="single" w:sz="4" w:space="0" w:color="000000"/>
              <w:left w:val="single" w:sz="4" w:space="0" w:color="000000"/>
              <w:bottom w:val="single" w:sz="4" w:space="0" w:color="000000"/>
              <w:right w:val="single" w:sz="4" w:space="0" w:color="000000"/>
            </w:tcBorders>
          </w:tcPr>
          <w:p>
            <w:pPr/>
          </w:p>
        </w:tc>
        <w:tc>
          <w:tcPr>
            <w:tcW w:w="21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2" w:right="9"/>
              <w:jc w:val="left"/>
              <w:rPr>
                <w:rFonts w:ascii="宋体" w:hAnsi="宋体" w:cs="宋体" w:eastAsia="宋体" w:hint="default"/>
                <w:sz w:val="18"/>
                <w:szCs w:val="18"/>
              </w:rPr>
            </w:pPr>
            <w:r>
              <w:rPr>
                <w:rFonts w:ascii="宋体" w:hAnsi="宋体" w:cs="宋体" w:eastAsia="宋体" w:hint="default"/>
                <w:spacing w:val="9"/>
                <w:sz w:val="18"/>
                <w:szCs w:val="18"/>
              </w:rPr>
              <w:t>（四）所有者权益 </w:t>
            </w:r>
            <w:r>
              <w:rPr>
                <w:rFonts w:ascii="宋体" w:hAnsi="宋体" w:cs="宋体" w:eastAsia="宋体" w:hint="default"/>
                <w:sz w:val="18"/>
                <w:szCs w:val="18"/>
              </w:rPr>
              <w:t>内部结转</w:t>
            </w:r>
          </w:p>
        </w:tc>
        <w:tc>
          <w:tcPr>
            <w:tcW w:w="99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12" w:type="dxa"/>
            <w:tcBorders>
              <w:top w:val="single" w:sz="4" w:space="0" w:color="000000"/>
              <w:left w:val="single" w:sz="4" w:space="0" w:color="000000"/>
              <w:bottom w:val="single" w:sz="4" w:space="0" w:color="000000"/>
              <w:right w:val="single" w:sz="4" w:space="0" w:color="000000"/>
            </w:tcBorders>
          </w:tcPr>
          <w:p>
            <w:pPr/>
          </w:p>
        </w:tc>
        <w:tc>
          <w:tcPr>
            <w:tcW w:w="21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32"/>
              <w:ind w:left="22" w:right="23"/>
              <w:jc w:val="left"/>
              <w:rPr>
                <w:rFonts w:ascii="宋体" w:hAnsi="宋体" w:cs="宋体" w:eastAsia="宋体" w:hint="default"/>
                <w:sz w:val="18"/>
                <w:szCs w:val="18"/>
              </w:rPr>
            </w:pPr>
            <w:r>
              <w:rPr>
                <w:rFonts w:ascii="Times New Roman" w:hAnsi="Times New Roman" w:cs="Times New Roman" w:eastAsia="Times New Roman" w:hint="default"/>
                <w:spacing w:val="11"/>
                <w:sz w:val="18"/>
                <w:szCs w:val="18"/>
              </w:rPr>
              <w:t>1.</w:t>
            </w:r>
            <w:r>
              <w:rPr>
                <w:rFonts w:ascii="宋体" w:hAnsi="宋体" w:cs="宋体" w:eastAsia="宋体" w:hint="default"/>
                <w:spacing w:val="11"/>
                <w:sz w:val="18"/>
                <w:szCs w:val="18"/>
              </w:rPr>
              <w:t>资本公积转增资</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本（或股本）</w:t>
            </w:r>
            <w:r>
              <w:rPr>
                <w:rFonts w:ascii="宋体" w:hAnsi="宋体" w:cs="宋体" w:eastAsia="宋体" w:hint="default"/>
                <w:sz w:val="18"/>
                <w:szCs w:val="18"/>
              </w:rPr>
              <w:t> </w:t>
            </w:r>
          </w:p>
        </w:tc>
        <w:tc>
          <w:tcPr>
            <w:tcW w:w="99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12" w:type="dxa"/>
            <w:tcBorders>
              <w:top w:val="single" w:sz="4" w:space="0" w:color="000000"/>
              <w:left w:val="single" w:sz="4" w:space="0" w:color="000000"/>
              <w:bottom w:val="single" w:sz="4" w:space="0" w:color="000000"/>
              <w:right w:val="single" w:sz="4" w:space="0" w:color="000000"/>
            </w:tcBorders>
          </w:tcPr>
          <w:p>
            <w:pPr/>
          </w:p>
        </w:tc>
        <w:tc>
          <w:tcPr>
            <w:tcW w:w="21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32"/>
              <w:ind w:left="22" w:right="23"/>
              <w:jc w:val="left"/>
              <w:rPr>
                <w:rFonts w:ascii="宋体" w:hAnsi="宋体" w:cs="宋体" w:eastAsia="宋体" w:hint="default"/>
                <w:sz w:val="18"/>
                <w:szCs w:val="18"/>
              </w:rPr>
            </w:pPr>
            <w:r>
              <w:rPr>
                <w:rFonts w:ascii="Times New Roman" w:hAnsi="Times New Roman" w:cs="Times New Roman" w:eastAsia="Times New Roman" w:hint="default"/>
                <w:spacing w:val="11"/>
                <w:sz w:val="18"/>
                <w:szCs w:val="18"/>
              </w:rPr>
              <w:t>2.</w:t>
            </w:r>
            <w:r>
              <w:rPr>
                <w:rFonts w:ascii="宋体" w:hAnsi="宋体" w:cs="宋体" w:eastAsia="宋体" w:hint="default"/>
                <w:spacing w:val="11"/>
                <w:sz w:val="18"/>
                <w:szCs w:val="18"/>
              </w:rPr>
              <w:t>盈余公积转增资</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本（或股本）</w:t>
            </w:r>
          </w:p>
        </w:tc>
        <w:tc>
          <w:tcPr>
            <w:tcW w:w="99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12" w:type="dxa"/>
            <w:tcBorders>
              <w:top w:val="single" w:sz="4" w:space="0" w:color="000000"/>
              <w:left w:val="single" w:sz="4" w:space="0" w:color="000000"/>
              <w:bottom w:val="single" w:sz="4" w:space="0" w:color="000000"/>
              <w:right w:val="single" w:sz="4" w:space="0" w:color="000000"/>
            </w:tcBorders>
          </w:tcPr>
          <w:p>
            <w:pPr/>
          </w:p>
        </w:tc>
        <w:tc>
          <w:tcPr>
            <w:tcW w:w="21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32"/>
              <w:ind w:left="22" w:right="23"/>
              <w:jc w:val="left"/>
              <w:rPr>
                <w:rFonts w:ascii="宋体" w:hAnsi="宋体" w:cs="宋体" w:eastAsia="宋体" w:hint="default"/>
                <w:sz w:val="18"/>
                <w:szCs w:val="18"/>
              </w:rPr>
            </w:pPr>
            <w:r>
              <w:rPr>
                <w:rFonts w:ascii="Times New Roman" w:hAnsi="Times New Roman" w:cs="Times New Roman" w:eastAsia="Times New Roman" w:hint="default"/>
                <w:spacing w:val="11"/>
                <w:sz w:val="18"/>
                <w:szCs w:val="18"/>
              </w:rPr>
              <w:t>3.</w:t>
            </w:r>
            <w:r>
              <w:rPr>
                <w:rFonts w:ascii="宋体" w:hAnsi="宋体" w:cs="宋体" w:eastAsia="宋体" w:hint="default"/>
                <w:spacing w:val="11"/>
                <w:sz w:val="18"/>
                <w:szCs w:val="18"/>
              </w:rPr>
              <w:t>盈余公积弥补亏</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损</w:t>
            </w:r>
          </w:p>
        </w:tc>
        <w:tc>
          <w:tcPr>
            <w:tcW w:w="99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12" w:type="dxa"/>
            <w:tcBorders>
              <w:top w:val="single" w:sz="4" w:space="0" w:color="000000"/>
              <w:left w:val="single" w:sz="4" w:space="0" w:color="000000"/>
              <w:bottom w:val="single" w:sz="4" w:space="0" w:color="000000"/>
              <w:right w:val="single" w:sz="4" w:space="0" w:color="000000"/>
            </w:tcBorders>
          </w:tcPr>
          <w:p>
            <w:pPr/>
          </w:p>
        </w:tc>
        <w:tc>
          <w:tcPr>
            <w:tcW w:w="21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34"/>
              <w:ind w:left="22" w:right="23"/>
              <w:jc w:val="left"/>
              <w:rPr>
                <w:rFonts w:ascii="宋体" w:hAnsi="宋体" w:cs="宋体" w:eastAsia="宋体" w:hint="default"/>
                <w:sz w:val="18"/>
                <w:szCs w:val="18"/>
              </w:rPr>
            </w:pPr>
            <w:r>
              <w:rPr>
                <w:rFonts w:ascii="Times New Roman" w:hAnsi="Times New Roman" w:cs="Times New Roman" w:eastAsia="Times New Roman" w:hint="default"/>
                <w:spacing w:val="11"/>
                <w:sz w:val="18"/>
                <w:szCs w:val="18"/>
              </w:rPr>
              <w:t>4.</w:t>
            </w:r>
            <w:r>
              <w:rPr>
                <w:rFonts w:ascii="宋体" w:hAnsi="宋体" w:cs="宋体" w:eastAsia="宋体" w:hint="default"/>
                <w:spacing w:val="11"/>
                <w:sz w:val="18"/>
                <w:szCs w:val="18"/>
              </w:rPr>
              <w:t>设定受益计划变</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动额结转留存收益</w:t>
            </w:r>
          </w:p>
        </w:tc>
        <w:tc>
          <w:tcPr>
            <w:tcW w:w="99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12" w:type="dxa"/>
            <w:tcBorders>
              <w:top w:val="single" w:sz="4" w:space="0" w:color="000000"/>
              <w:left w:val="single" w:sz="4" w:space="0" w:color="000000"/>
              <w:bottom w:val="single" w:sz="4" w:space="0" w:color="000000"/>
              <w:right w:val="single" w:sz="4" w:space="0" w:color="000000"/>
            </w:tcBorders>
          </w:tcPr>
          <w:p>
            <w:pPr/>
          </w:p>
        </w:tc>
        <w:tc>
          <w:tcPr>
            <w:tcW w:w="21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34"/>
              <w:ind w:left="22" w:right="23"/>
              <w:jc w:val="left"/>
              <w:rPr>
                <w:rFonts w:ascii="宋体" w:hAnsi="宋体" w:cs="宋体" w:eastAsia="宋体" w:hint="default"/>
                <w:sz w:val="18"/>
                <w:szCs w:val="18"/>
              </w:rPr>
            </w:pPr>
            <w:r>
              <w:rPr>
                <w:rFonts w:ascii="Times New Roman" w:hAnsi="Times New Roman" w:cs="Times New Roman" w:eastAsia="Times New Roman" w:hint="default"/>
                <w:spacing w:val="11"/>
                <w:sz w:val="18"/>
                <w:szCs w:val="18"/>
              </w:rPr>
              <w:t>5.</w:t>
            </w:r>
            <w:r>
              <w:rPr>
                <w:rFonts w:ascii="宋体" w:hAnsi="宋体" w:cs="宋体" w:eastAsia="宋体" w:hint="default"/>
                <w:spacing w:val="11"/>
                <w:sz w:val="18"/>
                <w:szCs w:val="18"/>
              </w:rPr>
              <w:t>其他综合收益结</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转留存收益</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99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12" w:type="dxa"/>
            <w:tcBorders>
              <w:top w:val="single" w:sz="4" w:space="0" w:color="000000"/>
              <w:left w:val="single" w:sz="4" w:space="0" w:color="000000"/>
              <w:bottom w:val="single" w:sz="4" w:space="0" w:color="000000"/>
              <w:right w:val="single" w:sz="4" w:space="0" w:color="000000"/>
            </w:tcBorders>
          </w:tcPr>
          <w:p>
            <w:pPr/>
          </w:p>
        </w:tc>
        <w:tc>
          <w:tcPr>
            <w:tcW w:w="21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99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12" w:type="dxa"/>
            <w:tcBorders>
              <w:top w:val="single" w:sz="4" w:space="0" w:color="000000"/>
              <w:left w:val="single" w:sz="4" w:space="0" w:color="000000"/>
              <w:bottom w:val="single" w:sz="4" w:space="0" w:color="000000"/>
              <w:right w:val="single" w:sz="4" w:space="0" w:color="000000"/>
            </w:tcBorders>
          </w:tcPr>
          <w:p>
            <w:pPr/>
          </w:p>
        </w:tc>
        <w:tc>
          <w:tcPr>
            <w:tcW w:w="21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99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12" w:type="dxa"/>
            <w:tcBorders>
              <w:top w:val="single" w:sz="4" w:space="0" w:color="000000"/>
              <w:left w:val="single" w:sz="4" w:space="0" w:color="000000"/>
              <w:bottom w:val="single" w:sz="4" w:space="0" w:color="000000"/>
              <w:right w:val="single" w:sz="4" w:space="0" w:color="000000"/>
            </w:tcBorders>
          </w:tcPr>
          <w:p>
            <w:pPr/>
          </w:p>
        </w:tc>
        <w:tc>
          <w:tcPr>
            <w:tcW w:w="21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1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99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12" w:type="dxa"/>
            <w:tcBorders>
              <w:top w:val="single" w:sz="4" w:space="0" w:color="000000"/>
              <w:left w:val="single" w:sz="4" w:space="0" w:color="000000"/>
              <w:bottom w:val="single" w:sz="4" w:space="0" w:color="000000"/>
              <w:right w:val="single" w:sz="4" w:space="0" w:color="000000"/>
            </w:tcBorders>
          </w:tcPr>
          <w:p>
            <w:pPr/>
          </w:p>
        </w:tc>
        <w:tc>
          <w:tcPr>
            <w:tcW w:w="21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1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99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12" w:type="dxa"/>
            <w:tcBorders>
              <w:top w:val="single" w:sz="4" w:space="0" w:color="000000"/>
              <w:left w:val="single" w:sz="4" w:space="0" w:color="000000"/>
              <w:bottom w:val="single" w:sz="4" w:space="0" w:color="000000"/>
              <w:right w:val="single" w:sz="4" w:space="0" w:color="000000"/>
            </w:tcBorders>
          </w:tcPr>
          <w:p>
            <w:pPr/>
          </w:p>
        </w:tc>
        <w:tc>
          <w:tcPr>
            <w:tcW w:w="21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991"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12" w:type="dxa"/>
            <w:tcBorders>
              <w:top w:val="single" w:sz="4" w:space="0" w:color="000000"/>
              <w:left w:val="single" w:sz="4" w:space="0" w:color="000000"/>
              <w:bottom w:val="single" w:sz="4" w:space="0" w:color="000000"/>
              <w:right w:val="single" w:sz="4" w:space="0" w:color="000000"/>
            </w:tcBorders>
          </w:tcPr>
          <w:p>
            <w:pPr/>
          </w:p>
        </w:tc>
        <w:tc>
          <w:tcPr>
            <w:tcW w:w="21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15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2"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105" w:right="0"/>
              <w:jc w:val="left"/>
              <w:rPr>
                <w:rFonts w:ascii="Arial" w:hAnsi="Arial" w:cs="Arial" w:eastAsia="Arial" w:hint="default"/>
                <w:sz w:val="15"/>
                <w:szCs w:val="15"/>
              </w:rPr>
            </w:pPr>
            <w:r>
              <w:rPr>
                <w:rFonts w:ascii="Arial"/>
                <w:w w:val="80"/>
                <w:sz w:val="15"/>
              </w:rPr>
              <w:t>669,101,883.00</w:t>
            </w:r>
            <w:r>
              <w:rPr>
                <w:rFonts w:ascii="Arial"/>
                <w:sz w:val="15"/>
              </w:rPr>
            </w: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141" w:right="0"/>
              <w:jc w:val="left"/>
              <w:rPr>
                <w:rFonts w:ascii="Arial" w:hAnsi="Arial" w:cs="Arial" w:eastAsia="Arial" w:hint="default"/>
                <w:sz w:val="15"/>
                <w:szCs w:val="15"/>
              </w:rPr>
            </w:pPr>
            <w:r>
              <w:rPr>
                <w:rFonts w:ascii="Arial"/>
                <w:w w:val="80"/>
                <w:sz w:val="15"/>
              </w:rPr>
              <w:t>1,769,042,910.62</w:t>
            </w:r>
            <w:r>
              <w:rPr>
                <w:rFonts w:ascii="Arial"/>
                <w:sz w:val="15"/>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21"/>
              <w:jc w:val="right"/>
              <w:rPr>
                <w:rFonts w:ascii="Arial" w:hAnsi="Arial" w:cs="Arial" w:eastAsia="Arial" w:hint="default"/>
                <w:sz w:val="15"/>
                <w:szCs w:val="15"/>
              </w:rPr>
            </w:pPr>
            <w:r>
              <w:rPr>
                <w:rFonts w:ascii="Arial"/>
                <w:spacing w:val="-1"/>
                <w:w w:val="80"/>
                <w:sz w:val="15"/>
              </w:rPr>
              <w:t>14,436,163.60</w:t>
            </w:r>
            <w:r>
              <w:rPr>
                <w:rFonts w:ascii="Arial"/>
                <w:spacing w:val="-1"/>
                <w:sz w:val="15"/>
              </w:rPr>
            </w:r>
          </w:p>
        </w:tc>
        <w:tc>
          <w:tcPr>
            <w:tcW w:w="212" w:type="dxa"/>
            <w:tcBorders>
              <w:top w:val="single" w:sz="4" w:space="0" w:color="000000"/>
              <w:left w:val="single" w:sz="4" w:space="0" w:color="000000"/>
              <w:bottom w:val="single" w:sz="4" w:space="0" w:color="000000"/>
              <w:right w:val="single" w:sz="4" w:space="0" w:color="000000"/>
            </w:tcBorders>
          </w:tcPr>
          <w:p>
            <w:pPr/>
          </w:p>
        </w:tc>
        <w:tc>
          <w:tcPr>
            <w:tcW w:w="214"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105" w:right="0"/>
              <w:jc w:val="left"/>
              <w:rPr>
                <w:rFonts w:ascii="Arial" w:hAnsi="Arial" w:cs="Arial" w:eastAsia="Arial" w:hint="default"/>
                <w:sz w:val="15"/>
                <w:szCs w:val="15"/>
              </w:rPr>
            </w:pPr>
            <w:r>
              <w:rPr>
                <w:rFonts w:ascii="Arial"/>
                <w:w w:val="80"/>
                <w:sz w:val="15"/>
              </w:rPr>
              <w:t>104,445,528.28</w:t>
            </w:r>
            <w:r>
              <w:rPr>
                <w:rFonts w:ascii="Arial"/>
                <w:sz w:val="15"/>
              </w:rPr>
            </w: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20"/>
              <w:jc w:val="right"/>
              <w:rPr>
                <w:rFonts w:ascii="Arial" w:hAnsi="Arial" w:cs="Arial" w:eastAsia="Arial" w:hint="default"/>
                <w:sz w:val="15"/>
                <w:szCs w:val="15"/>
              </w:rPr>
            </w:pPr>
            <w:r>
              <w:rPr>
                <w:rFonts w:ascii="Arial"/>
                <w:spacing w:val="-2"/>
                <w:w w:val="80"/>
                <w:sz w:val="15"/>
              </w:rPr>
              <w:t>-205,526,510.82</w:t>
            </w:r>
            <w:r>
              <w:rPr>
                <w:rFonts w:ascii="Arial"/>
                <w:spacing w:val="-2"/>
                <w:sz w:val="15"/>
              </w:rPr>
            </w: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9"/>
              <w:jc w:val="right"/>
              <w:rPr>
                <w:rFonts w:ascii="Arial" w:hAnsi="Arial" w:cs="Arial" w:eastAsia="Arial" w:hint="default"/>
                <w:sz w:val="15"/>
                <w:szCs w:val="15"/>
              </w:rPr>
            </w:pPr>
            <w:r>
              <w:rPr>
                <w:rFonts w:ascii="Arial"/>
                <w:spacing w:val="-1"/>
                <w:w w:val="80"/>
                <w:sz w:val="15"/>
              </w:rPr>
              <w:t>2,322,627,647.48</w:t>
            </w:r>
            <w:r>
              <w:rPr>
                <w:rFonts w:ascii="Arial"/>
                <w:spacing w:val="-1"/>
                <w:sz w:val="15"/>
              </w:rPr>
            </w:r>
          </w:p>
        </w:tc>
      </w:tr>
    </w:tbl>
    <w:p>
      <w:pPr>
        <w:spacing w:line="240" w:lineRule="auto" w:before="8"/>
        <w:rPr>
          <w:rFonts w:ascii="宋体" w:hAnsi="宋体" w:cs="宋体" w:eastAsia="宋体" w:hint="default"/>
          <w:sz w:val="17"/>
          <w:szCs w:val="17"/>
        </w:rPr>
      </w:pPr>
    </w:p>
    <w:p>
      <w:pPr>
        <w:pStyle w:val="BodyText"/>
        <w:tabs>
          <w:tab w:pos="3360" w:val="left" w:leader="none"/>
          <w:tab w:pos="7455" w:val="left" w:leader="none"/>
        </w:tabs>
        <w:spacing w:line="240" w:lineRule="auto" w:before="36"/>
        <w:ind w:left="0" w:right="1213"/>
        <w:jc w:val="right"/>
      </w:pPr>
      <w:r>
        <w:rPr>
          <w:spacing w:val="-2"/>
        </w:rPr>
        <w:t>法定代表人：吴鹰</w:t>
        <w:tab/>
        <w:t>主管会计工作负责人：李鹏宇</w:t>
        <w:tab/>
        <w:t>会计机构负责人：张雷</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1"/>
          <w:szCs w:val="21"/>
        </w:rPr>
      </w:pPr>
    </w:p>
    <w:p>
      <w:pPr>
        <w:pStyle w:val="BodyText"/>
        <w:spacing w:line="240" w:lineRule="auto"/>
        <w:ind w:left="0" w:right="1128"/>
        <w:jc w:val="right"/>
      </w:pPr>
      <w:r>
        <w:rPr>
          <w:spacing w:val="-1"/>
        </w:rPr>
        <w:t>单位：元</w:t>
      </w:r>
    </w:p>
    <w:p>
      <w:pPr>
        <w:spacing w:line="240" w:lineRule="auto" w:before="6"/>
        <w:rPr>
          <w:rFonts w:ascii="宋体" w:hAnsi="宋体" w:cs="宋体" w:eastAsia="宋体" w:hint="default"/>
          <w:sz w:val="5"/>
          <w:szCs w:val="5"/>
        </w:rPr>
      </w:pPr>
    </w:p>
    <w:tbl>
      <w:tblPr>
        <w:tblW w:w="0" w:type="auto"/>
        <w:jc w:val="left"/>
        <w:tblInd w:w="149" w:type="dxa"/>
        <w:tblLayout w:type="fixed"/>
        <w:tblCellMar>
          <w:top w:w="0" w:type="dxa"/>
          <w:left w:w="0" w:type="dxa"/>
          <w:bottom w:w="0" w:type="dxa"/>
          <w:right w:w="0" w:type="dxa"/>
        </w:tblCellMar>
        <w:tblLook w:val="01E0"/>
      </w:tblPr>
      <w:tblGrid>
        <w:gridCol w:w="1437"/>
        <w:gridCol w:w="1114"/>
        <w:gridCol w:w="853"/>
        <w:gridCol w:w="1274"/>
        <w:gridCol w:w="245"/>
        <w:gridCol w:w="322"/>
        <w:gridCol w:w="286"/>
        <w:gridCol w:w="1133"/>
        <w:gridCol w:w="283"/>
        <w:gridCol w:w="1135"/>
        <w:gridCol w:w="284"/>
        <w:gridCol w:w="1416"/>
      </w:tblGrid>
      <w:tr>
        <w:trPr>
          <w:trHeight w:val="324" w:hRule="exact"/>
        </w:trPr>
        <w:tc>
          <w:tcPr>
            <w:tcW w:w="143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8344"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 w:right="0"/>
              <w:jc w:val="center"/>
              <w:rPr>
                <w:rFonts w:ascii="宋体" w:hAnsi="宋体" w:cs="宋体" w:eastAsia="宋体" w:hint="default"/>
                <w:sz w:val="18"/>
                <w:szCs w:val="18"/>
              </w:rPr>
            </w:pPr>
            <w:r>
              <w:rPr>
                <w:rFonts w:ascii="宋体" w:hAnsi="宋体" w:cs="宋体" w:eastAsia="宋体" w:hint="default"/>
                <w:sz w:val="18"/>
                <w:szCs w:val="18"/>
              </w:rPr>
              <w:t>上年发生额</w:t>
            </w:r>
          </w:p>
        </w:tc>
      </w:tr>
      <w:tr>
        <w:trPr>
          <w:trHeight w:val="324" w:hRule="exact"/>
        </w:trPr>
        <w:tc>
          <w:tcPr>
            <w:tcW w:w="1437" w:type="dxa"/>
            <w:vMerge/>
            <w:tcBorders>
              <w:left w:val="single" w:sz="4" w:space="0" w:color="000000"/>
              <w:right w:val="single" w:sz="4" w:space="0" w:color="000000"/>
            </w:tcBorders>
            <w:shd w:val="clear" w:color="auto" w:fill="D2D2D2"/>
          </w:tcPr>
          <w:p>
            <w:pPr/>
          </w:p>
        </w:tc>
        <w:tc>
          <w:tcPr>
            <w:tcW w:w="6644"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284" w:type="dxa"/>
            <w:vMerge w:val="restart"/>
            <w:tcBorders>
              <w:top w:val="single" w:sz="4" w:space="0" w:color="000000"/>
              <w:left w:val="single" w:sz="4" w:space="0" w:color="000000"/>
              <w:right w:val="single" w:sz="4" w:space="0" w:color="000000"/>
            </w:tcBorders>
            <w:shd w:val="clear" w:color="auto" w:fill="D2D2D2"/>
          </w:tcPr>
          <w:p>
            <w:pPr>
              <w:pStyle w:val="TableParagraph"/>
              <w:spacing w:line="232" w:lineRule="exact" w:before="100"/>
              <w:ind w:left="47" w:right="44"/>
              <w:jc w:val="both"/>
              <w:rPr>
                <w:rFonts w:ascii="宋体" w:hAnsi="宋体" w:cs="宋体" w:eastAsia="宋体" w:hint="default"/>
                <w:sz w:val="18"/>
                <w:szCs w:val="18"/>
              </w:rPr>
            </w:pPr>
            <w:r>
              <w:rPr>
                <w:rFonts w:ascii="宋体" w:hAnsi="宋体" w:cs="宋体" w:eastAsia="宋体" w:hint="default"/>
                <w:sz w:val="18"/>
                <w:szCs w:val="18"/>
              </w:rPr>
              <w:t>少 数 股</w:t>
            </w:r>
          </w:p>
        </w:tc>
        <w:tc>
          <w:tcPr>
            <w:tcW w:w="141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left="74"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r>
      <w:tr>
        <w:trPr>
          <w:trHeight w:val="557" w:hRule="exact"/>
        </w:trPr>
        <w:tc>
          <w:tcPr>
            <w:tcW w:w="1437" w:type="dxa"/>
            <w:vMerge/>
            <w:tcBorders>
              <w:left w:val="single" w:sz="4" w:space="0" w:color="000000"/>
              <w:bottom w:val="single" w:sz="4" w:space="0" w:color="000000"/>
              <w:right w:val="single" w:sz="4" w:space="0" w:color="000000"/>
            </w:tcBorders>
            <w:shd w:val="clear" w:color="auto" w:fill="D2D2D2"/>
          </w:tcPr>
          <w:p>
            <w:pPr/>
          </w:p>
        </w:tc>
        <w:tc>
          <w:tcPr>
            <w:tcW w:w="11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0"/>
              <w:ind w:right="0"/>
              <w:jc w:val="center"/>
              <w:rPr>
                <w:rFonts w:ascii="宋体" w:hAnsi="宋体" w:cs="宋体" w:eastAsia="宋体" w:hint="default"/>
                <w:sz w:val="18"/>
                <w:szCs w:val="18"/>
              </w:rPr>
            </w:pPr>
            <w:r>
              <w:rPr>
                <w:rFonts w:ascii="宋体" w:hAnsi="宋体" w:cs="宋体" w:eastAsia="宋体" w:hint="default"/>
                <w:sz w:val="18"/>
                <w:szCs w:val="18"/>
              </w:rPr>
              <w:t>股本</w:t>
            </w:r>
          </w:p>
        </w:tc>
        <w:tc>
          <w:tcPr>
            <w:tcW w:w="8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0" w:right="62" w:hanging="180"/>
              <w:jc w:val="left"/>
              <w:rPr>
                <w:rFonts w:ascii="宋体" w:hAnsi="宋体" w:cs="宋体" w:eastAsia="宋体" w:hint="default"/>
                <w:sz w:val="18"/>
                <w:szCs w:val="18"/>
              </w:rPr>
            </w:pPr>
            <w:r>
              <w:rPr>
                <w:rFonts w:ascii="宋体" w:hAnsi="宋体" w:cs="宋体" w:eastAsia="宋体" w:hint="default"/>
                <w:sz w:val="18"/>
                <w:szCs w:val="18"/>
              </w:rPr>
              <w:t>其他权益 工具</w:t>
            </w:r>
          </w:p>
        </w:tc>
        <w:tc>
          <w:tcPr>
            <w:tcW w:w="127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0"/>
              <w:ind w:left="27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2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4" w:lineRule="exact" w:before="29"/>
              <w:ind w:left="26" w:right="0"/>
              <w:jc w:val="left"/>
              <w:rPr>
                <w:rFonts w:ascii="宋体" w:hAnsi="宋体" w:cs="宋体" w:eastAsia="宋体" w:hint="default"/>
                <w:sz w:val="18"/>
                <w:szCs w:val="18"/>
              </w:rPr>
            </w:pPr>
            <w:r>
              <w:rPr>
                <w:rFonts w:ascii="宋体" w:hAnsi="宋体" w:cs="宋体" w:eastAsia="宋体" w:hint="default"/>
                <w:sz w:val="18"/>
                <w:szCs w:val="18"/>
              </w:rPr>
              <w:t>减</w:t>
            </w:r>
          </w:p>
          <w:p>
            <w:pPr>
              <w:pStyle w:val="TableParagraph"/>
              <w:spacing w:line="234" w:lineRule="exact"/>
              <w:ind w:left="26" w:right="0"/>
              <w:jc w:val="left"/>
              <w:rPr>
                <w:rFonts w:ascii="宋体" w:hAnsi="宋体" w:cs="宋体" w:eastAsia="宋体" w:hint="default"/>
                <w:sz w:val="18"/>
                <w:szCs w:val="18"/>
              </w:rPr>
            </w:pPr>
            <w:r>
              <w:rPr>
                <w:rFonts w:ascii="宋体" w:hAnsi="宋体" w:cs="宋体" w:eastAsia="宋体" w:hint="default"/>
                <w:sz w:val="18"/>
                <w:szCs w:val="18"/>
              </w:rPr>
              <w:t>：</w:t>
            </w:r>
          </w:p>
        </w:tc>
        <w:tc>
          <w:tcPr>
            <w:tcW w:w="3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54"/>
              <w:ind w:left="67" w:right="62"/>
              <w:jc w:val="left"/>
              <w:rPr>
                <w:rFonts w:ascii="宋体" w:hAnsi="宋体" w:cs="宋体" w:eastAsia="宋体" w:hint="default"/>
                <w:sz w:val="18"/>
                <w:szCs w:val="18"/>
              </w:rPr>
            </w:pPr>
            <w:r>
              <w:rPr>
                <w:rFonts w:ascii="宋体" w:hAnsi="宋体" w:cs="宋体" w:eastAsia="宋体" w:hint="default"/>
                <w:sz w:val="18"/>
                <w:szCs w:val="18"/>
              </w:rPr>
              <w:t>其 他</w:t>
            </w:r>
          </w:p>
        </w:tc>
        <w:tc>
          <w:tcPr>
            <w:tcW w:w="2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54"/>
              <w:ind w:left="50" w:right="43"/>
              <w:jc w:val="left"/>
              <w:rPr>
                <w:rFonts w:ascii="宋体" w:hAnsi="宋体" w:cs="宋体" w:eastAsia="宋体" w:hint="default"/>
                <w:sz w:val="18"/>
                <w:szCs w:val="18"/>
              </w:rPr>
            </w:pPr>
            <w:r>
              <w:rPr>
                <w:rFonts w:ascii="宋体" w:hAnsi="宋体" w:cs="宋体" w:eastAsia="宋体" w:hint="default"/>
                <w:sz w:val="18"/>
                <w:szCs w:val="18"/>
              </w:rPr>
              <w:t>专 项</w:t>
            </w:r>
          </w:p>
        </w:tc>
        <w:tc>
          <w:tcPr>
            <w:tcW w:w="113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0"/>
              <w:ind w:left="202"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2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exact" w:before="54"/>
              <w:ind w:left="48" w:right="43"/>
              <w:jc w:val="left"/>
              <w:rPr>
                <w:rFonts w:ascii="宋体" w:hAnsi="宋体" w:cs="宋体" w:eastAsia="宋体" w:hint="default"/>
                <w:sz w:val="18"/>
                <w:szCs w:val="18"/>
              </w:rPr>
            </w:pPr>
            <w:r>
              <w:rPr>
                <w:rFonts w:ascii="宋体" w:hAnsi="宋体" w:cs="宋体" w:eastAsia="宋体" w:hint="default"/>
                <w:sz w:val="18"/>
                <w:szCs w:val="18"/>
              </w:rPr>
              <w:t>一 般</w:t>
            </w:r>
          </w:p>
        </w:tc>
        <w:tc>
          <w:tcPr>
            <w:tcW w:w="11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0"/>
              <w:ind w:left="11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284" w:type="dxa"/>
            <w:vMerge/>
            <w:tcBorders>
              <w:left w:val="single" w:sz="4" w:space="0" w:color="000000"/>
              <w:bottom w:val="single" w:sz="4" w:space="0" w:color="000000"/>
              <w:right w:val="single" w:sz="4" w:space="0" w:color="000000"/>
            </w:tcBorders>
            <w:shd w:val="clear" w:color="auto" w:fill="D2D2D2"/>
          </w:tcPr>
          <w:p>
            <w:pPr/>
          </w:p>
        </w:tc>
        <w:tc>
          <w:tcPr>
            <w:tcW w:w="1416" w:type="dxa"/>
            <w:vMerge/>
            <w:tcBorders>
              <w:left w:val="single" w:sz="4" w:space="0" w:color="000000"/>
              <w:bottom w:val="single" w:sz="4" w:space="0" w:color="000000"/>
              <w:right w:val="single" w:sz="4" w:space="0" w:color="000000"/>
            </w:tcBorders>
            <w:shd w:val="clear" w:color="auto" w:fill="D2D2D2"/>
          </w:tcPr>
          <w:p>
            <w:pPr/>
          </w:p>
        </w:tc>
      </w:tr>
    </w:tbl>
    <w:p>
      <w:pPr>
        <w:spacing w:after="0"/>
        <w:sectPr>
          <w:pgSz w:w="11910" w:h="16840"/>
          <w:pgMar w:header="921" w:footer="725" w:top="1160" w:bottom="920" w:left="980" w:right="0"/>
        </w:sectPr>
      </w:pPr>
    </w:p>
    <w:p>
      <w:pPr>
        <w:spacing w:line="240" w:lineRule="auto" w:before="2"/>
        <w:rPr>
          <w:rFonts w:ascii="Times New Roman" w:hAnsi="Times New Roman" w:cs="Times New Roman" w:eastAsia="Times New Roman" w:hint="default"/>
          <w:sz w:val="24"/>
          <w:szCs w:val="24"/>
        </w:rPr>
      </w:pPr>
      <w:r>
        <w:rPr/>
        <w:pict>
          <v:shape style="position:absolute;margin-left:104.646004pt;margin-top:234.499985pt;width:79.5pt;height:39.15pt;mso-position-horizontal-relative:page;mso-position-vertical-relative:page;z-index:-1012048" type="#_x0000_t202" filled="false" stroked="false">
            <v:textbox inset="0,0,0,0">
              <w:txbxContent>
                <w:p>
                  <w:pPr>
                    <w:spacing w:line="240" w:lineRule="auto" w:before="2"/>
                    <w:rPr>
                      <w:rFonts w:ascii="Times New Roman" w:hAnsi="Times New Roman" w:cs="Times New Roman" w:eastAsia="Times New Roman" w:hint="default"/>
                      <w:sz w:val="21"/>
                      <w:szCs w:val="21"/>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w:t>
                  </w:r>
                </w:p>
              </w:txbxContent>
            </v:textbox>
            <w10:wrap type="none"/>
          </v:shape>
        </w:pict>
      </w:r>
      <w:r>
        <w:rPr/>
        <w:pict>
          <v:group style="position:absolute;margin-left:128.899994pt;margin-top:234.499985pt;width:55.2pt;height:39.15pt;mso-position-horizontal-relative:page;mso-position-vertical-relative:page;z-index:-1012024" coordorigin="2578,4690" coordsize="1104,783">
            <v:group style="position:absolute;left:2578;top:4690;width:1104;height:783" coordorigin="2578,4690" coordsize="1104,783">
              <v:shape style="position:absolute;left:2578;top:4690;width:1104;height:783" coordorigin="2578,4690" coordsize="1104,783" path="m2578,5472l3682,5472,3682,4690,2578,4690,2578,5472xe" filled="true" fillcolor="#ffffff" stroked="false">
                <v:path arrowok="t"/>
                <v:fill type="solid"/>
              </v:shape>
            </v:group>
            <v:group style="position:absolute;left:2600;top:4872;width:1059;height:209" coordorigin="2600,4872" coordsize="1059,209">
              <v:shape style="position:absolute;left:2600;top:4872;width:1059;height:209" coordorigin="2600,4872" coordsize="1059,209" path="m2600,5081l3658,5081,3658,4872,2600,4872,2600,5081xe" filled="true" fillcolor="#ffffff" stroked="false">
                <v:path arrowok="t"/>
                <v:fill type="solid"/>
              </v:shape>
            </v:group>
            <v:group style="position:absolute;left:2600;top:5081;width:1059;height:209" coordorigin="2600,5081" coordsize="1059,209">
              <v:shape style="position:absolute;left:2600;top:5081;width:1059;height:209" coordorigin="2600,5081" coordsize="1059,209" path="m2600,5290l3658,5290,3658,5081,2600,5081,2600,5290xe" filled="true" fillcolor="#ffffff" stroked="false">
                <v:path arrowok="t"/>
                <v:fill type="solid"/>
              </v:shape>
            </v:group>
            <w10:wrap type="none"/>
          </v:group>
        </w:pict>
      </w:r>
    </w:p>
    <w:tbl>
      <w:tblPr>
        <w:tblW w:w="0" w:type="auto"/>
        <w:jc w:val="left"/>
        <w:tblInd w:w="148" w:type="dxa"/>
        <w:tblLayout w:type="fixed"/>
        <w:tblCellMar>
          <w:top w:w="0" w:type="dxa"/>
          <w:left w:w="0" w:type="dxa"/>
          <w:bottom w:w="0" w:type="dxa"/>
          <w:right w:w="0" w:type="dxa"/>
        </w:tblCellMar>
        <w:tblLook w:val="01E0"/>
      </w:tblPr>
      <w:tblGrid>
        <w:gridCol w:w="1438"/>
        <w:gridCol w:w="1114"/>
        <w:gridCol w:w="283"/>
        <w:gridCol w:w="286"/>
        <w:gridCol w:w="283"/>
        <w:gridCol w:w="1274"/>
        <w:gridCol w:w="245"/>
        <w:gridCol w:w="322"/>
        <w:gridCol w:w="286"/>
        <w:gridCol w:w="1133"/>
        <w:gridCol w:w="283"/>
        <w:gridCol w:w="1135"/>
        <w:gridCol w:w="284"/>
        <w:gridCol w:w="1416"/>
      </w:tblGrid>
      <w:tr>
        <w:trPr>
          <w:trHeight w:val="98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1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6"/>
              <w:ind w:left="48" w:right="43"/>
              <w:jc w:val="both"/>
              <w:rPr>
                <w:rFonts w:ascii="宋体" w:hAnsi="宋体" w:cs="宋体" w:eastAsia="宋体" w:hint="default"/>
                <w:sz w:val="18"/>
                <w:szCs w:val="18"/>
              </w:rPr>
            </w:pPr>
            <w:r>
              <w:rPr>
                <w:rFonts w:ascii="宋体" w:hAnsi="宋体" w:cs="宋体" w:eastAsia="宋体" w:hint="default"/>
                <w:sz w:val="18"/>
                <w:szCs w:val="18"/>
              </w:rPr>
              <w:t>优 先 股</w:t>
            </w:r>
          </w:p>
        </w:tc>
        <w:tc>
          <w:tcPr>
            <w:tcW w:w="2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6"/>
              <w:ind w:left="48" w:right="47"/>
              <w:jc w:val="both"/>
              <w:rPr>
                <w:rFonts w:ascii="宋体" w:hAnsi="宋体" w:cs="宋体" w:eastAsia="宋体" w:hint="default"/>
                <w:sz w:val="18"/>
                <w:szCs w:val="18"/>
              </w:rPr>
            </w:pPr>
            <w:r>
              <w:rPr>
                <w:rFonts w:ascii="宋体" w:hAnsi="宋体" w:cs="宋体" w:eastAsia="宋体" w:hint="default"/>
                <w:sz w:val="18"/>
                <w:szCs w:val="18"/>
              </w:rPr>
              <w:t>永 续 债</w:t>
            </w:r>
          </w:p>
        </w:tc>
        <w:tc>
          <w:tcPr>
            <w:tcW w:w="2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Times New Roman" w:hAnsi="Times New Roman" w:cs="Times New Roman" w:eastAsia="Times New Roman" w:hint="default"/>
                <w:sz w:val="19"/>
                <w:szCs w:val="19"/>
              </w:rPr>
            </w:pPr>
          </w:p>
          <w:p>
            <w:pPr>
              <w:pStyle w:val="TableParagraph"/>
              <w:spacing w:line="240" w:lineRule="auto"/>
              <w:ind w:left="47" w:right="43"/>
              <w:jc w:val="left"/>
              <w:rPr>
                <w:rFonts w:ascii="宋体" w:hAnsi="宋体" w:cs="宋体" w:eastAsia="宋体" w:hint="default"/>
                <w:sz w:val="18"/>
                <w:szCs w:val="18"/>
              </w:rPr>
            </w:pPr>
            <w:r>
              <w:rPr>
                <w:rFonts w:ascii="宋体" w:hAnsi="宋体" w:cs="宋体" w:eastAsia="宋体" w:hint="default"/>
                <w:sz w:val="18"/>
                <w:szCs w:val="18"/>
              </w:rPr>
              <w:t>其 他</w:t>
            </w:r>
          </w:p>
        </w:tc>
        <w:tc>
          <w:tcPr>
            <w:tcW w:w="127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4" w:lineRule="exact"/>
              <w:ind w:left="26" w:right="0"/>
              <w:jc w:val="left"/>
              <w:rPr>
                <w:rFonts w:ascii="宋体" w:hAnsi="宋体" w:cs="宋体" w:eastAsia="宋体" w:hint="default"/>
                <w:sz w:val="18"/>
                <w:szCs w:val="18"/>
              </w:rPr>
            </w:pPr>
            <w:r>
              <w:rPr>
                <w:rFonts w:ascii="宋体" w:hAnsi="宋体" w:cs="宋体" w:eastAsia="宋体" w:hint="default"/>
                <w:sz w:val="18"/>
                <w:szCs w:val="18"/>
              </w:rPr>
              <w:t>库</w:t>
            </w:r>
          </w:p>
          <w:p>
            <w:pPr>
              <w:pStyle w:val="TableParagraph"/>
              <w:spacing w:line="242" w:lineRule="auto"/>
              <w:ind w:left="26" w:right="26"/>
              <w:jc w:val="left"/>
              <w:rPr>
                <w:rFonts w:ascii="宋体" w:hAnsi="宋体" w:cs="宋体" w:eastAsia="宋体" w:hint="default"/>
                <w:sz w:val="18"/>
                <w:szCs w:val="18"/>
              </w:rPr>
            </w:pPr>
            <w:r>
              <w:rPr>
                <w:rFonts w:ascii="宋体" w:hAnsi="宋体" w:cs="宋体" w:eastAsia="宋体" w:hint="default"/>
                <w:sz w:val="18"/>
                <w:szCs w:val="18"/>
              </w:rPr>
              <w:t>存 股</w:t>
            </w:r>
          </w:p>
        </w:tc>
        <w:tc>
          <w:tcPr>
            <w:tcW w:w="3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4" w:lineRule="exact"/>
              <w:ind w:left="67" w:right="0"/>
              <w:jc w:val="both"/>
              <w:rPr>
                <w:rFonts w:ascii="宋体" w:hAnsi="宋体" w:cs="宋体" w:eastAsia="宋体" w:hint="default"/>
                <w:sz w:val="18"/>
                <w:szCs w:val="18"/>
              </w:rPr>
            </w:pPr>
            <w:r>
              <w:rPr>
                <w:rFonts w:ascii="宋体" w:hAnsi="宋体" w:cs="宋体" w:eastAsia="宋体" w:hint="default"/>
                <w:sz w:val="18"/>
                <w:szCs w:val="18"/>
              </w:rPr>
              <w:t>综</w:t>
            </w:r>
          </w:p>
          <w:p>
            <w:pPr>
              <w:pStyle w:val="TableParagraph"/>
              <w:spacing w:line="240" w:lineRule="auto"/>
              <w:ind w:left="67" w:right="62"/>
              <w:jc w:val="both"/>
              <w:rPr>
                <w:rFonts w:ascii="宋体" w:hAnsi="宋体" w:cs="宋体" w:eastAsia="宋体" w:hint="default"/>
                <w:sz w:val="18"/>
                <w:szCs w:val="18"/>
              </w:rPr>
            </w:pPr>
            <w:r>
              <w:rPr>
                <w:rFonts w:ascii="宋体" w:hAnsi="宋体" w:cs="宋体" w:eastAsia="宋体" w:hint="default"/>
                <w:sz w:val="18"/>
                <w:szCs w:val="18"/>
              </w:rPr>
              <w:t>合 收 益</w:t>
            </w:r>
          </w:p>
        </w:tc>
        <w:tc>
          <w:tcPr>
            <w:tcW w:w="2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5" w:lineRule="exact"/>
              <w:ind w:left="50" w:right="0"/>
              <w:jc w:val="left"/>
              <w:rPr>
                <w:rFonts w:ascii="宋体" w:hAnsi="宋体" w:cs="宋体" w:eastAsia="宋体" w:hint="default"/>
                <w:sz w:val="18"/>
                <w:szCs w:val="18"/>
              </w:rPr>
            </w:pPr>
            <w:r>
              <w:rPr>
                <w:rFonts w:ascii="宋体" w:hAnsi="宋体" w:cs="宋体" w:eastAsia="宋体" w:hint="default"/>
                <w:sz w:val="18"/>
                <w:szCs w:val="18"/>
              </w:rPr>
              <w:t>储</w:t>
            </w:r>
          </w:p>
          <w:p>
            <w:pPr>
              <w:pStyle w:val="TableParagraph"/>
              <w:spacing w:line="240" w:lineRule="auto"/>
              <w:ind w:left="50" w:right="0"/>
              <w:jc w:val="left"/>
              <w:rPr>
                <w:rFonts w:ascii="宋体" w:hAnsi="宋体" w:cs="宋体" w:eastAsia="宋体" w:hint="default"/>
                <w:sz w:val="18"/>
                <w:szCs w:val="18"/>
              </w:rPr>
            </w:pPr>
            <w:r>
              <w:rPr>
                <w:rFonts w:ascii="宋体" w:hAnsi="宋体" w:cs="宋体" w:eastAsia="宋体" w:hint="default"/>
                <w:sz w:val="18"/>
                <w:szCs w:val="18"/>
              </w:rPr>
              <w:t>备</w:t>
            </w:r>
          </w:p>
        </w:tc>
        <w:tc>
          <w:tcPr>
            <w:tcW w:w="1133"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4" w:lineRule="exact"/>
              <w:ind w:left="48" w:right="0"/>
              <w:jc w:val="both"/>
              <w:rPr>
                <w:rFonts w:ascii="宋体" w:hAnsi="宋体" w:cs="宋体" w:eastAsia="宋体" w:hint="default"/>
                <w:sz w:val="18"/>
                <w:szCs w:val="18"/>
              </w:rPr>
            </w:pPr>
            <w:r>
              <w:rPr>
                <w:rFonts w:ascii="宋体" w:hAnsi="宋体" w:cs="宋体" w:eastAsia="宋体" w:hint="default"/>
                <w:sz w:val="18"/>
                <w:szCs w:val="18"/>
              </w:rPr>
              <w:t>风</w:t>
            </w:r>
          </w:p>
          <w:p>
            <w:pPr>
              <w:pStyle w:val="TableParagraph"/>
              <w:spacing w:line="240" w:lineRule="auto"/>
              <w:ind w:left="48" w:right="43"/>
              <w:jc w:val="both"/>
              <w:rPr>
                <w:rFonts w:ascii="宋体" w:hAnsi="宋体" w:cs="宋体" w:eastAsia="宋体" w:hint="default"/>
                <w:sz w:val="18"/>
                <w:szCs w:val="18"/>
              </w:rPr>
            </w:pPr>
            <w:r>
              <w:rPr>
                <w:rFonts w:ascii="宋体" w:hAnsi="宋体" w:cs="宋体" w:eastAsia="宋体" w:hint="default"/>
                <w:sz w:val="18"/>
                <w:szCs w:val="18"/>
              </w:rPr>
              <w:t>险 准 备</w:t>
            </w:r>
          </w:p>
        </w:tc>
        <w:tc>
          <w:tcPr>
            <w:tcW w:w="1135"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4" w:lineRule="exact"/>
              <w:ind w:left="47" w:right="0"/>
              <w:jc w:val="left"/>
              <w:rPr>
                <w:rFonts w:ascii="宋体" w:hAnsi="宋体" w:cs="宋体" w:eastAsia="宋体" w:hint="default"/>
                <w:sz w:val="18"/>
                <w:szCs w:val="18"/>
              </w:rPr>
            </w:pPr>
            <w:r>
              <w:rPr>
                <w:rFonts w:ascii="宋体" w:hAnsi="宋体" w:cs="宋体" w:eastAsia="宋体" w:hint="default"/>
                <w:sz w:val="18"/>
                <w:szCs w:val="18"/>
              </w:rPr>
              <w:t>东</w:t>
            </w:r>
          </w:p>
          <w:p>
            <w:pPr>
              <w:pStyle w:val="TableParagraph"/>
              <w:spacing w:line="242" w:lineRule="auto"/>
              <w:ind w:left="47" w:right="44"/>
              <w:jc w:val="left"/>
              <w:rPr>
                <w:rFonts w:ascii="宋体" w:hAnsi="宋体" w:cs="宋体" w:eastAsia="宋体" w:hint="default"/>
                <w:sz w:val="18"/>
                <w:szCs w:val="18"/>
              </w:rPr>
            </w:pPr>
            <w:r>
              <w:rPr>
                <w:rFonts w:ascii="宋体" w:hAnsi="宋体" w:cs="宋体" w:eastAsia="宋体" w:hint="default"/>
                <w:sz w:val="18"/>
                <w:szCs w:val="18"/>
              </w:rPr>
              <w:t>权 益</w:t>
            </w:r>
          </w:p>
        </w:tc>
        <w:tc>
          <w:tcPr>
            <w:tcW w:w="1416"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341"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4" w:right="0"/>
              <w:jc w:val="left"/>
              <w:rPr>
                <w:rFonts w:ascii="宋体" w:hAnsi="宋体" w:cs="宋体" w:eastAsia="宋体" w:hint="default"/>
                <w:sz w:val="18"/>
                <w:szCs w:val="18"/>
              </w:rPr>
            </w:pPr>
            <w:r>
              <w:rPr>
                <w:rFonts w:ascii="宋体" w:hAnsi="宋体" w:cs="宋体" w:eastAsia="宋体" w:hint="default"/>
                <w:spacing w:val="-8"/>
                <w:sz w:val="18"/>
                <w:szCs w:val="18"/>
              </w:rPr>
              <w:t>一、上年期末余额</w:t>
            </w:r>
          </w:p>
        </w:tc>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9"/>
              <w:jc w:val="right"/>
              <w:rPr>
                <w:rFonts w:ascii="Arial" w:hAnsi="Arial" w:cs="Arial" w:eastAsia="Arial" w:hint="default"/>
                <w:sz w:val="15"/>
                <w:szCs w:val="15"/>
              </w:rPr>
            </w:pPr>
            <w:r>
              <w:rPr>
                <w:rFonts w:ascii="Arial"/>
                <w:spacing w:val="-2"/>
                <w:w w:val="80"/>
                <w:sz w:val="15"/>
              </w:rPr>
              <w:t>621,826,786.00</w:t>
            </w:r>
            <w:r>
              <w:rPr>
                <w:rFonts w:ascii="Arial"/>
                <w:spacing w:val="-2"/>
                <w:sz w:val="15"/>
              </w:rPr>
            </w: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9"/>
              <w:jc w:val="right"/>
              <w:rPr>
                <w:rFonts w:ascii="Arial" w:hAnsi="Arial" w:cs="Arial" w:eastAsia="Arial" w:hint="default"/>
                <w:sz w:val="15"/>
                <w:szCs w:val="15"/>
              </w:rPr>
            </w:pPr>
            <w:r>
              <w:rPr>
                <w:rFonts w:ascii="Arial"/>
                <w:spacing w:val="-1"/>
                <w:w w:val="80"/>
                <w:sz w:val="15"/>
              </w:rPr>
              <w:t>1,104,618,007.62</w:t>
            </w:r>
            <w:r>
              <w:rPr>
                <w:rFonts w:ascii="Arial"/>
                <w:spacing w:val="-1"/>
                <w:sz w:val="15"/>
              </w:rPr>
            </w: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9"/>
              <w:jc w:val="right"/>
              <w:rPr>
                <w:rFonts w:ascii="Arial" w:hAnsi="Arial" w:cs="Arial" w:eastAsia="Arial" w:hint="default"/>
                <w:sz w:val="15"/>
                <w:szCs w:val="15"/>
              </w:rPr>
            </w:pPr>
            <w:r>
              <w:rPr>
                <w:rFonts w:ascii="Arial"/>
                <w:spacing w:val="-1"/>
                <w:w w:val="80"/>
                <w:sz w:val="15"/>
              </w:rPr>
              <w:t>89,393,650.22</w:t>
            </w:r>
            <w:r>
              <w:rPr>
                <w:rFonts w:ascii="Arial"/>
                <w:spacing w:val="-1"/>
                <w:sz w:val="15"/>
              </w:rPr>
            </w:r>
          </w:p>
        </w:tc>
        <w:tc>
          <w:tcPr>
            <w:tcW w:w="283"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21"/>
              <w:jc w:val="right"/>
              <w:rPr>
                <w:rFonts w:ascii="Arial" w:hAnsi="Arial" w:cs="Arial" w:eastAsia="Arial" w:hint="default"/>
                <w:sz w:val="15"/>
                <w:szCs w:val="15"/>
              </w:rPr>
            </w:pPr>
            <w:r>
              <w:rPr>
                <w:rFonts w:ascii="Arial"/>
                <w:spacing w:val="-2"/>
                <w:w w:val="80"/>
                <w:sz w:val="15"/>
              </w:rPr>
              <w:t>845,190,123.03</w:t>
            </w:r>
            <w:r>
              <w:rPr>
                <w:rFonts w:ascii="Arial"/>
                <w:spacing w:val="-2"/>
                <w:sz w:val="15"/>
              </w:rPr>
            </w:r>
          </w:p>
        </w:tc>
        <w:tc>
          <w:tcPr>
            <w:tcW w:w="284"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9"/>
              <w:jc w:val="right"/>
              <w:rPr>
                <w:rFonts w:ascii="Arial" w:hAnsi="Arial" w:cs="Arial" w:eastAsia="Arial" w:hint="default"/>
                <w:sz w:val="15"/>
                <w:szCs w:val="15"/>
              </w:rPr>
            </w:pPr>
            <w:r>
              <w:rPr>
                <w:rFonts w:ascii="Arial"/>
                <w:spacing w:val="-1"/>
                <w:w w:val="80"/>
                <w:sz w:val="15"/>
              </w:rPr>
              <w:t>2,661,028,566.87</w:t>
            </w:r>
            <w:r>
              <w:rPr>
                <w:rFonts w:ascii="Arial"/>
                <w:spacing w:val="-1"/>
                <w:sz w:val="15"/>
              </w:rPr>
            </w:r>
          </w:p>
        </w:tc>
      </w:tr>
      <w:tr>
        <w:trPr>
          <w:trHeight w:val="338"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4" w:right="0"/>
              <w:jc w:val="left"/>
              <w:rPr>
                <w:rFonts w:ascii="宋体" w:hAnsi="宋体" w:cs="宋体" w:eastAsia="宋体" w:hint="default"/>
                <w:sz w:val="18"/>
                <w:szCs w:val="18"/>
              </w:rPr>
            </w:pPr>
            <w:r>
              <w:rPr>
                <w:rFonts w:ascii="宋体" w:hAnsi="宋体" w:cs="宋体" w:eastAsia="宋体" w:hint="default"/>
                <w:spacing w:val="-8"/>
                <w:sz w:val="18"/>
                <w:szCs w:val="18"/>
              </w:rPr>
              <w:t>加：会计政策变更</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4"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23"/>
              <w:jc w:val="left"/>
              <w:rPr>
                <w:rFonts w:ascii="宋体" w:hAnsi="宋体" w:cs="宋体" w:eastAsia="宋体" w:hint="default"/>
                <w:sz w:val="18"/>
                <w:szCs w:val="18"/>
              </w:rPr>
            </w:pPr>
            <w:r>
              <w:rPr>
                <w:rFonts w:ascii="宋体" w:hAnsi="宋体" w:cs="宋体" w:eastAsia="宋体" w:hint="default"/>
                <w:spacing w:val="16"/>
                <w:sz w:val="18"/>
                <w:szCs w:val="18"/>
              </w:rPr>
              <w:t>同一控制下企业</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合并</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4" w:right="0"/>
              <w:jc w:val="left"/>
              <w:rPr>
                <w:rFonts w:ascii="宋体" w:hAnsi="宋体" w:cs="宋体" w:eastAsia="宋体" w:hint="default"/>
                <w:sz w:val="18"/>
                <w:szCs w:val="18"/>
              </w:rPr>
            </w:pPr>
            <w:r>
              <w:rPr>
                <w:rFonts w:ascii="宋体" w:hAnsi="宋体" w:cs="宋体" w:eastAsia="宋体" w:hint="default"/>
                <w:spacing w:val="-8"/>
                <w:sz w:val="18"/>
                <w:szCs w:val="18"/>
              </w:rPr>
              <w:t>二、本年期初余额</w:t>
            </w:r>
          </w:p>
        </w:tc>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9"/>
              <w:jc w:val="right"/>
              <w:rPr>
                <w:rFonts w:ascii="Arial" w:hAnsi="Arial" w:cs="Arial" w:eastAsia="Arial" w:hint="default"/>
                <w:sz w:val="15"/>
                <w:szCs w:val="15"/>
              </w:rPr>
            </w:pPr>
            <w:r>
              <w:rPr>
                <w:rFonts w:ascii="Arial"/>
                <w:spacing w:val="-2"/>
                <w:w w:val="80"/>
                <w:sz w:val="15"/>
              </w:rPr>
              <w:t>621,826,786.00</w:t>
            </w:r>
            <w:r>
              <w:rPr>
                <w:rFonts w:ascii="Arial"/>
                <w:spacing w:val="-2"/>
                <w:sz w:val="15"/>
              </w:rPr>
            </w: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9"/>
              <w:jc w:val="right"/>
              <w:rPr>
                <w:rFonts w:ascii="Arial" w:hAnsi="Arial" w:cs="Arial" w:eastAsia="Arial" w:hint="default"/>
                <w:sz w:val="15"/>
                <w:szCs w:val="15"/>
              </w:rPr>
            </w:pPr>
            <w:r>
              <w:rPr>
                <w:rFonts w:ascii="Arial"/>
                <w:spacing w:val="-1"/>
                <w:w w:val="80"/>
                <w:sz w:val="15"/>
              </w:rPr>
              <w:t>1,104,618,007.62</w:t>
            </w:r>
            <w:r>
              <w:rPr>
                <w:rFonts w:ascii="Arial"/>
                <w:spacing w:val="-1"/>
                <w:sz w:val="15"/>
              </w:rPr>
            </w: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9"/>
              <w:jc w:val="right"/>
              <w:rPr>
                <w:rFonts w:ascii="Arial" w:hAnsi="Arial" w:cs="Arial" w:eastAsia="Arial" w:hint="default"/>
                <w:sz w:val="15"/>
                <w:szCs w:val="15"/>
              </w:rPr>
            </w:pPr>
            <w:r>
              <w:rPr>
                <w:rFonts w:ascii="Arial"/>
                <w:spacing w:val="-1"/>
                <w:w w:val="80"/>
                <w:sz w:val="15"/>
              </w:rPr>
              <w:t>89,393,650.22</w:t>
            </w:r>
            <w:r>
              <w:rPr>
                <w:rFonts w:ascii="Arial"/>
                <w:spacing w:val="-1"/>
                <w:sz w:val="15"/>
              </w:rPr>
            </w:r>
          </w:p>
        </w:tc>
        <w:tc>
          <w:tcPr>
            <w:tcW w:w="283"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21"/>
              <w:jc w:val="right"/>
              <w:rPr>
                <w:rFonts w:ascii="Arial" w:hAnsi="Arial" w:cs="Arial" w:eastAsia="Arial" w:hint="default"/>
                <w:sz w:val="15"/>
                <w:szCs w:val="15"/>
              </w:rPr>
            </w:pPr>
            <w:r>
              <w:rPr>
                <w:rFonts w:ascii="Arial"/>
                <w:spacing w:val="-2"/>
                <w:w w:val="80"/>
                <w:sz w:val="15"/>
              </w:rPr>
              <w:t>845,190,123.03</w:t>
            </w:r>
            <w:r>
              <w:rPr>
                <w:rFonts w:ascii="Arial"/>
                <w:spacing w:val="-2"/>
                <w:sz w:val="15"/>
              </w:rPr>
            </w:r>
          </w:p>
        </w:tc>
        <w:tc>
          <w:tcPr>
            <w:tcW w:w="284"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9"/>
              <w:jc w:val="right"/>
              <w:rPr>
                <w:rFonts w:ascii="Arial" w:hAnsi="Arial" w:cs="Arial" w:eastAsia="Arial" w:hint="default"/>
                <w:sz w:val="15"/>
                <w:szCs w:val="15"/>
              </w:rPr>
            </w:pPr>
            <w:r>
              <w:rPr>
                <w:rFonts w:ascii="Arial"/>
                <w:spacing w:val="-1"/>
                <w:w w:val="80"/>
                <w:sz w:val="15"/>
              </w:rPr>
              <w:t>2,661,028,566.87</w:t>
            </w:r>
            <w:r>
              <w:rPr>
                <w:rFonts w:ascii="Arial"/>
                <w:spacing w:val="-1"/>
                <w:sz w:val="15"/>
              </w:rPr>
            </w:r>
          </w:p>
        </w:tc>
      </w:tr>
      <w:tr>
        <w:trPr>
          <w:trHeight w:val="79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21"/>
              <w:jc w:val="left"/>
              <w:rPr>
                <w:rFonts w:ascii="宋体" w:hAnsi="宋体" w:cs="宋体" w:eastAsia="宋体" w:hint="default"/>
                <w:sz w:val="18"/>
                <w:szCs w:val="18"/>
              </w:rPr>
            </w:pPr>
            <w:r>
              <w:rPr>
                <w:rFonts w:ascii="宋体" w:hAnsi="宋体" w:cs="宋体" w:eastAsia="宋体" w:hint="default"/>
                <w:spacing w:val="-8"/>
                <w:sz w:val="18"/>
                <w:szCs w:val="18"/>
              </w:rPr>
              <w:t>三、本期增减变动</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pacing w:val="-13"/>
                <w:sz w:val="18"/>
                <w:szCs w:val="18"/>
              </w:rPr>
              <w:t>金额（减少以</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号填列）</w:t>
            </w:r>
          </w:p>
        </w:tc>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10"/>
              <w:ind w:right="0"/>
              <w:jc w:val="left"/>
              <w:rPr>
                <w:rFonts w:ascii="Times New Roman" w:hAnsi="Times New Roman" w:cs="Times New Roman" w:eastAsia="Times New Roman" w:hint="default"/>
                <w:sz w:val="19"/>
                <w:szCs w:val="19"/>
              </w:rPr>
            </w:pPr>
          </w:p>
          <w:p>
            <w:pPr>
              <w:pStyle w:val="TableParagraph"/>
              <w:spacing w:line="240" w:lineRule="auto"/>
              <w:ind w:right="21"/>
              <w:jc w:val="right"/>
              <w:rPr>
                <w:rFonts w:ascii="Arial" w:hAnsi="Arial" w:cs="Arial" w:eastAsia="Arial" w:hint="default"/>
                <w:sz w:val="15"/>
                <w:szCs w:val="15"/>
              </w:rPr>
            </w:pPr>
            <w:r>
              <w:rPr>
                <w:rFonts w:ascii="Arial"/>
                <w:spacing w:val="-1"/>
                <w:w w:val="80"/>
                <w:sz w:val="15"/>
              </w:rPr>
              <w:t>47,275,097.00</w:t>
            </w:r>
            <w:r>
              <w:rPr>
                <w:rFonts w:ascii="Arial"/>
                <w:spacing w:val="-1"/>
                <w:sz w:val="15"/>
              </w:rPr>
            </w: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7"/>
              <w:ind w:right="0"/>
              <w:jc w:val="left"/>
              <w:rPr>
                <w:rFonts w:ascii="Times New Roman" w:hAnsi="Times New Roman" w:cs="Times New Roman" w:eastAsia="Times New Roman" w:hint="default"/>
                <w:sz w:val="12"/>
                <w:szCs w:val="12"/>
              </w:rPr>
            </w:pPr>
          </w:p>
          <w:p>
            <w:pPr>
              <w:pStyle w:val="TableParagraph"/>
              <w:spacing w:line="240" w:lineRule="auto"/>
              <w:ind w:right="19"/>
              <w:jc w:val="right"/>
              <w:rPr>
                <w:rFonts w:ascii="Arial" w:hAnsi="Arial" w:cs="Arial" w:eastAsia="Arial" w:hint="default"/>
                <w:sz w:val="15"/>
                <w:szCs w:val="15"/>
              </w:rPr>
            </w:pPr>
            <w:r>
              <w:rPr>
                <w:rFonts w:ascii="Arial"/>
                <w:spacing w:val="-2"/>
                <w:w w:val="80"/>
                <w:sz w:val="15"/>
              </w:rPr>
              <w:t>664,424,903.00</w:t>
            </w:r>
            <w:r>
              <w:rPr>
                <w:rFonts w:ascii="Arial"/>
                <w:spacing w:val="-2"/>
                <w:sz w:val="15"/>
              </w:rPr>
            </w: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7"/>
              <w:ind w:right="0"/>
              <w:jc w:val="left"/>
              <w:rPr>
                <w:rFonts w:ascii="Times New Roman" w:hAnsi="Times New Roman" w:cs="Times New Roman" w:eastAsia="Times New Roman" w:hint="default"/>
                <w:sz w:val="12"/>
                <w:szCs w:val="12"/>
              </w:rPr>
            </w:pPr>
          </w:p>
          <w:p>
            <w:pPr>
              <w:pStyle w:val="TableParagraph"/>
              <w:spacing w:line="240" w:lineRule="auto"/>
              <w:ind w:right="19"/>
              <w:jc w:val="right"/>
              <w:rPr>
                <w:rFonts w:ascii="Arial" w:hAnsi="Arial" w:cs="Arial" w:eastAsia="Arial" w:hint="default"/>
                <w:sz w:val="15"/>
                <w:szCs w:val="15"/>
              </w:rPr>
            </w:pPr>
            <w:r>
              <w:rPr>
                <w:rFonts w:ascii="Arial"/>
                <w:spacing w:val="-1"/>
                <w:w w:val="80"/>
                <w:sz w:val="15"/>
              </w:rPr>
              <w:t>15,051,878.06</w:t>
            </w:r>
            <w:r>
              <w:rPr>
                <w:rFonts w:ascii="Arial"/>
                <w:spacing w:val="-1"/>
                <w:sz w:val="15"/>
              </w:rPr>
            </w:r>
          </w:p>
        </w:tc>
        <w:tc>
          <w:tcPr>
            <w:tcW w:w="283"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7"/>
              <w:ind w:right="0"/>
              <w:jc w:val="left"/>
              <w:rPr>
                <w:rFonts w:ascii="Times New Roman" w:hAnsi="Times New Roman" w:cs="Times New Roman" w:eastAsia="Times New Roman" w:hint="default"/>
                <w:sz w:val="12"/>
                <w:szCs w:val="12"/>
              </w:rPr>
            </w:pPr>
          </w:p>
          <w:p>
            <w:pPr>
              <w:pStyle w:val="TableParagraph"/>
              <w:spacing w:line="240" w:lineRule="auto"/>
              <w:ind w:right="21"/>
              <w:jc w:val="right"/>
              <w:rPr>
                <w:rFonts w:ascii="Arial" w:hAnsi="Arial" w:cs="Arial" w:eastAsia="Arial" w:hint="default"/>
                <w:sz w:val="15"/>
                <w:szCs w:val="15"/>
              </w:rPr>
            </w:pPr>
            <w:r>
              <w:rPr>
                <w:rFonts w:ascii="Arial"/>
                <w:spacing w:val="-2"/>
                <w:w w:val="80"/>
                <w:sz w:val="15"/>
              </w:rPr>
              <w:t>214,824,058.07</w:t>
            </w:r>
            <w:r>
              <w:rPr>
                <w:rFonts w:ascii="Arial"/>
                <w:spacing w:val="-2"/>
                <w:sz w:val="15"/>
              </w:rPr>
            </w:r>
          </w:p>
        </w:tc>
        <w:tc>
          <w:tcPr>
            <w:tcW w:w="284"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7"/>
              <w:ind w:right="0"/>
              <w:jc w:val="left"/>
              <w:rPr>
                <w:rFonts w:ascii="Times New Roman" w:hAnsi="Times New Roman" w:cs="Times New Roman" w:eastAsia="Times New Roman" w:hint="default"/>
                <w:sz w:val="12"/>
                <w:szCs w:val="12"/>
              </w:rPr>
            </w:pPr>
          </w:p>
          <w:p>
            <w:pPr>
              <w:pStyle w:val="TableParagraph"/>
              <w:spacing w:line="240" w:lineRule="auto"/>
              <w:ind w:right="19"/>
              <w:jc w:val="right"/>
              <w:rPr>
                <w:rFonts w:ascii="Arial" w:hAnsi="Arial" w:cs="Arial" w:eastAsia="Arial" w:hint="default"/>
                <w:sz w:val="15"/>
                <w:szCs w:val="15"/>
              </w:rPr>
            </w:pPr>
            <w:r>
              <w:rPr>
                <w:rFonts w:ascii="Arial"/>
                <w:spacing w:val="-2"/>
                <w:w w:val="80"/>
                <w:sz w:val="15"/>
              </w:rPr>
              <w:t>941,575,936.13</w:t>
            </w:r>
            <w:r>
              <w:rPr>
                <w:rFonts w:ascii="Arial"/>
                <w:spacing w:val="-2"/>
                <w:sz w:val="15"/>
              </w:rPr>
            </w:r>
          </w:p>
        </w:tc>
      </w:tr>
      <w:tr>
        <w:trPr>
          <w:trHeight w:val="557"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4" w:right="21"/>
              <w:jc w:val="left"/>
              <w:rPr>
                <w:rFonts w:ascii="宋体" w:hAnsi="宋体" w:cs="宋体" w:eastAsia="宋体" w:hint="default"/>
                <w:sz w:val="18"/>
                <w:szCs w:val="18"/>
              </w:rPr>
            </w:pPr>
            <w:r>
              <w:rPr>
                <w:rFonts w:ascii="宋体" w:hAnsi="宋体" w:cs="宋体" w:eastAsia="宋体" w:hint="default"/>
                <w:spacing w:val="-8"/>
                <w:sz w:val="18"/>
                <w:szCs w:val="18"/>
              </w:rPr>
              <w:t>（一）综合收益总</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额</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6"/>
                <w:szCs w:val="16"/>
              </w:rPr>
            </w:pPr>
          </w:p>
          <w:p>
            <w:pPr>
              <w:pStyle w:val="TableParagraph"/>
              <w:spacing w:line="240" w:lineRule="auto"/>
              <w:ind w:right="21"/>
              <w:jc w:val="right"/>
              <w:rPr>
                <w:rFonts w:ascii="Arial" w:hAnsi="Arial" w:cs="Arial" w:eastAsia="Arial" w:hint="default"/>
                <w:sz w:val="15"/>
                <w:szCs w:val="15"/>
              </w:rPr>
            </w:pPr>
            <w:r>
              <w:rPr>
                <w:rFonts w:ascii="Arial"/>
                <w:spacing w:val="-2"/>
                <w:w w:val="80"/>
                <w:sz w:val="15"/>
              </w:rPr>
              <w:t>252,883,527.21</w:t>
            </w:r>
            <w:r>
              <w:rPr>
                <w:rFonts w:ascii="Arial"/>
                <w:spacing w:val="-2"/>
                <w:sz w:val="15"/>
              </w:rPr>
            </w:r>
          </w:p>
        </w:tc>
        <w:tc>
          <w:tcPr>
            <w:tcW w:w="284"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6"/>
                <w:szCs w:val="16"/>
              </w:rPr>
            </w:pPr>
          </w:p>
          <w:p>
            <w:pPr>
              <w:pStyle w:val="TableParagraph"/>
              <w:spacing w:line="240" w:lineRule="auto"/>
              <w:ind w:right="19"/>
              <w:jc w:val="right"/>
              <w:rPr>
                <w:rFonts w:ascii="Arial" w:hAnsi="Arial" w:cs="Arial" w:eastAsia="Arial" w:hint="default"/>
                <w:sz w:val="15"/>
                <w:szCs w:val="15"/>
              </w:rPr>
            </w:pPr>
            <w:r>
              <w:rPr>
                <w:rFonts w:ascii="Arial"/>
                <w:spacing w:val="-2"/>
                <w:w w:val="80"/>
                <w:sz w:val="15"/>
              </w:rPr>
              <w:t>252,883,527.21</w:t>
            </w:r>
            <w:r>
              <w:rPr>
                <w:rFonts w:ascii="Arial"/>
                <w:spacing w:val="-2"/>
                <w:sz w:val="15"/>
              </w:rPr>
            </w:r>
          </w:p>
        </w:tc>
      </w:tr>
      <w:tr>
        <w:trPr>
          <w:trHeight w:val="557"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21"/>
              <w:jc w:val="left"/>
              <w:rPr>
                <w:rFonts w:ascii="宋体" w:hAnsi="宋体" w:cs="宋体" w:eastAsia="宋体" w:hint="default"/>
                <w:sz w:val="18"/>
                <w:szCs w:val="18"/>
              </w:rPr>
            </w:pPr>
            <w:r>
              <w:rPr>
                <w:rFonts w:ascii="宋体" w:hAnsi="宋体" w:cs="宋体" w:eastAsia="宋体" w:hint="default"/>
                <w:spacing w:val="-8"/>
                <w:sz w:val="18"/>
                <w:szCs w:val="18"/>
              </w:rPr>
              <w:t>（二）所有者投入</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和减少资本</w:t>
            </w:r>
          </w:p>
        </w:tc>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6"/>
                <w:szCs w:val="16"/>
              </w:rPr>
            </w:pPr>
          </w:p>
          <w:p>
            <w:pPr>
              <w:pStyle w:val="TableParagraph"/>
              <w:spacing w:line="240" w:lineRule="auto"/>
              <w:ind w:right="21"/>
              <w:jc w:val="right"/>
              <w:rPr>
                <w:rFonts w:ascii="Arial" w:hAnsi="Arial" w:cs="Arial" w:eastAsia="Arial" w:hint="default"/>
                <w:sz w:val="15"/>
                <w:szCs w:val="15"/>
              </w:rPr>
            </w:pPr>
            <w:r>
              <w:rPr>
                <w:rFonts w:ascii="Arial"/>
                <w:spacing w:val="-1"/>
                <w:w w:val="80"/>
                <w:sz w:val="15"/>
              </w:rPr>
              <w:t>47,275,097.00</w:t>
            </w:r>
            <w:r>
              <w:rPr>
                <w:rFonts w:ascii="Arial"/>
                <w:spacing w:val="-1"/>
                <w:sz w:val="15"/>
              </w:rPr>
            </w: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6"/>
                <w:szCs w:val="16"/>
              </w:rPr>
            </w:pPr>
          </w:p>
          <w:p>
            <w:pPr>
              <w:pStyle w:val="TableParagraph"/>
              <w:spacing w:line="240" w:lineRule="auto"/>
              <w:ind w:right="19"/>
              <w:jc w:val="right"/>
              <w:rPr>
                <w:rFonts w:ascii="Arial" w:hAnsi="Arial" w:cs="Arial" w:eastAsia="Arial" w:hint="default"/>
                <w:sz w:val="15"/>
                <w:szCs w:val="15"/>
              </w:rPr>
            </w:pPr>
            <w:r>
              <w:rPr>
                <w:rFonts w:ascii="Arial"/>
                <w:spacing w:val="-2"/>
                <w:w w:val="80"/>
                <w:sz w:val="15"/>
              </w:rPr>
              <w:t>664,424,903.00</w:t>
            </w:r>
            <w:r>
              <w:rPr>
                <w:rFonts w:ascii="Arial"/>
                <w:spacing w:val="-2"/>
                <w:sz w:val="15"/>
              </w:rPr>
            </w: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6"/>
                <w:szCs w:val="16"/>
              </w:rPr>
            </w:pPr>
          </w:p>
          <w:p>
            <w:pPr>
              <w:pStyle w:val="TableParagraph"/>
              <w:spacing w:line="240" w:lineRule="auto"/>
              <w:ind w:right="19"/>
              <w:jc w:val="right"/>
              <w:rPr>
                <w:rFonts w:ascii="Arial" w:hAnsi="Arial" w:cs="Arial" w:eastAsia="Arial" w:hint="default"/>
                <w:sz w:val="15"/>
                <w:szCs w:val="15"/>
              </w:rPr>
            </w:pPr>
            <w:r>
              <w:rPr>
                <w:rFonts w:ascii="Arial"/>
                <w:spacing w:val="-2"/>
                <w:w w:val="80"/>
                <w:sz w:val="15"/>
              </w:rPr>
              <w:t>711,700,000.00</w:t>
            </w:r>
            <w:r>
              <w:rPr>
                <w:rFonts w:ascii="Arial"/>
                <w:spacing w:val="-2"/>
                <w:sz w:val="15"/>
              </w:rPr>
            </w:r>
          </w:p>
        </w:tc>
      </w:tr>
      <w:tr>
        <w:trPr>
          <w:trHeight w:val="557"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32"/>
              <w:ind w:left="24" w:right="18"/>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股</w:t>
            </w:r>
            <w:r>
              <w:rPr>
                <w:rFonts w:ascii="宋体" w:hAnsi="宋体" w:cs="宋体" w:eastAsia="宋体" w:hint="default"/>
                <w:spacing w:val="-62"/>
                <w:sz w:val="18"/>
                <w:szCs w:val="18"/>
              </w:rPr>
              <w:t> </w:t>
            </w:r>
            <w:r>
              <w:rPr>
                <w:rFonts w:ascii="宋体" w:hAnsi="宋体" w:cs="宋体" w:eastAsia="宋体" w:hint="default"/>
                <w:sz w:val="18"/>
                <w:szCs w:val="18"/>
              </w:rPr>
              <w:t>东</w:t>
            </w:r>
            <w:r>
              <w:rPr>
                <w:rFonts w:ascii="宋体" w:hAnsi="宋体" w:cs="宋体" w:eastAsia="宋体" w:hint="default"/>
                <w:spacing w:val="-62"/>
                <w:sz w:val="18"/>
                <w:szCs w:val="18"/>
              </w:rPr>
              <w:t> </w:t>
            </w:r>
            <w:r>
              <w:rPr>
                <w:rFonts w:ascii="宋体" w:hAnsi="宋体" w:cs="宋体" w:eastAsia="宋体" w:hint="default"/>
                <w:sz w:val="18"/>
                <w:szCs w:val="18"/>
              </w:rPr>
              <w:t>投</w:t>
            </w:r>
            <w:r>
              <w:rPr>
                <w:rFonts w:ascii="宋体" w:hAnsi="宋体" w:cs="宋体" w:eastAsia="宋体" w:hint="default"/>
                <w:spacing w:val="-64"/>
                <w:sz w:val="18"/>
                <w:szCs w:val="18"/>
              </w:rPr>
              <w:t> </w:t>
            </w:r>
            <w:r>
              <w:rPr>
                <w:rFonts w:ascii="宋体" w:hAnsi="宋体" w:cs="宋体" w:eastAsia="宋体" w:hint="default"/>
                <w:sz w:val="18"/>
                <w:szCs w:val="18"/>
              </w:rPr>
              <w:t>入</w:t>
            </w:r>
            <w:r>
              <w:rPr>
                <w:rFonts w:ascii="宋体" w:hAnsi="宋体" w:cs="宋体" w:eastAsia="宋体" w:hint="default"/>
                <w:spacing w:val="-62"/>
                <w:sz w:val="18"/>
                <w:szCs w:val="18"/>
              </w:rPr>
              <w:t> </w:t>
            </w:r>
            <w:r>
              <w:rPr>
                <w:rFonts w:ascii="宋体" w:hAnsi="宋体" w:cs="宋体" w:eastAsia="宋体" w:hint="default"/>
                <w:sz w:val="18"/>
                <w:szCs w:val="18"/>
              </w:rPr>
              <w:t>普</w:t>
            </w:r>
            <w:r>
              <w:rPr>
                <w:rFonts w:ascii="宋体" w:hAnsi="宋体" w:cs="宋体" w:eastAsia="宋体" w:hint="default"/>
                <w:spacing w:val="-62"/>
                <w:sz w:val="18"/>
                <w:szCs w:val="18"/>
              </w:rPr>
              <w:t> </w:t>
            </w:r>
            <w:r>
              <w:rPr>
                <w:rFonts w:ascii="宋体" w:hAnsi="宋体" w:cs="宋体" w:eastAsia="宋体" w:hint="default"/>
                <w:sz w:val="18"/>
                <w:szCs w:val="18"/>
              </w:rPr>
              <w:t>通</w:t>
            </w:r>
            <w:r>
              <w:rPr>
                <w:rFonts w:ascii="宋体" w:hAnsi="宋体" w:cs="宋体" w:eastAsia="宋体" w:hint="default"/>
                <w:sz w:val="18"/>
                <w:szCs w:val="18"/>
              </w:rPr>
              <w:t> 股</w:t>
            </w:r>
          </w:p>
        </w:tc>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6"/>
                <w:szCs w:val="16"/>
              </w:rPr>
            </w:pPr>
          </w:p>
          <w:p>
            <w:pPr>
              <w:pStyle w:val="TableParagraph"/>
              <w:spacing w:line="240" w:lineRule="auto"/>
              <w:ind w:right="21"/>
              <w:jc w:val="right"/>
              <w:rPr>
                <w:rFonts w:ascii="Arial" w:hAnsi="Arial" w:cs="Arial" w:eastAsia="Arial" w:hint="default"/>
                <w:sz w:val="15"/>
                <w:szCs w:val="15"/>
              </w:rPr>
            </w:pPr>
            <w:r>
              <w:rPr>
                <w:rFonts w:ascii="Arial"/>
                <w:spacing w:val="-1"/>
                <w:w w:val="80"/>
                <w:sz w:val="15"/>
              </w:rPr>
              <w:t>47,275,097.00</w:t>
            </w:r>
            <w:r>
              <w:rPr>
                <w:rFonts w:ascii="Arial"/>
                <w:spacing w:val="-1"/>
                <w:sz w:val="15"/>
              </w:rPr>
            </w: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6"/>
                <w:szCs w:val="16"/>
              </w:rPr>
            </w:pPr>
          </w:p>
          <w:p>
            <w:pPr>
              <w:pStyle w:val="TableParagraph"/>
              <w:spacing w:line="240" w:lineRule="auto"/>
              <w:ind w:right="19"/>
              <w:jc w:val="right"/>
              <w:rPr>
                <w:rFonts w:ascii="Arial" w:hAnsi="Arial" w:cs="Arial" w:eastAsia="Arial" w:hint="default"/>
                <w:sz w:val="15"/>
                <w:szCs w:val="15"/>
              </w:rPr>
            </w:pPr>
            <w:r>
              <w:rPr>
                <w:rFonts w:ascii="Arial"/>
                <w:spacing w:val="-2"/>
                <w:w w:val="80"/>
                <w:sz w:val="15"/>
              </w:rPr>
              <w:t>664,424,903.00</w:t>
            </w:r>
            <w:r>
              <w:rPr>
                <w:rFonts w:ascii="Arial"/>
                <w:spacing w:val="-2"/>
                <w:sz w:val="15"/>
              </w:rPr>
            </w: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6"/>
                <w:szCs w:val="16"/>
              </w:rPr>
            </w:pPr>
          </w:p>
          <w:p>
            <w:pPr>
              <w:pStyle w:val="TableParagraph"/>
              <w:spacing w:line="240" w:lineRule="auto"/>
              <w:ind w:right="19"/>
              <w:jc w:val="right"/>
              <w:rPr>
                <w:rFonts w:ascii="Arial" w:hAnsi="Arial" w:cs="Arial" w:eastAsia="Arial" w:hint="default"/>
                <w:sz w:val="15"/>
                <w:szCs w:val="15"/>
              </w:rPr>
            </w:pPr>
            <w:r>
              <w:rPr>
                <w:rFonts w:ascii="Arial"/>
                <w:spacing w:val="-2"/>
                <w:w w:val="80"/>
                <w:sz w:val="15"/>
              </w:rPr>
              <w:t>711,700,000.00</w:t>
            </w:r>
            <w:r>
              <w:rPr>
                <w:rFonts w:ascii="Arial"/>
                <w:spacing w:val="-2"/>
                <w:sz w:val="15"/>
              </w:rPr>
            </w:r>
          </w:p>
        </w:tc>
      </w:tr>
      <w:tr>
        <w:trPr>
          <w:trHeight w:val="557"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32"/>
              <w:ind w:left="24" w:right="18"/>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其</w:t>
            </w:r>
            <w:r>
              <w:rPr>
                <w:rFonts w:ascii="宋体" w:hAnsi="宋体" w:cs="宋体" w:eastAsia="宋体" w:hint="default"/>
                <w:spacing w:val="-62"/>
                <w:sz w:val="18"/>
                <w:szCs w:val="18"/>
              </w:rPr>
              <w:t> </w:t>
            </w:r>
            <w:r>
              <w:rPr>
                <w:rFonts w:ascii="宋体" w:hAnsi="宋体" w:cs="宋体" w:eastAsia="宋体" w:hint="default"/>
                <w:sz w:val="18"/>
                <w:szCs w:val="18"/>
              </w:rPr>
              <w:t>他</w:t>
            </w:r>
            <w:r>
              <w:rPr>
                <w:rFonts w:ascii="宋体" w:hAnsi="宋体" w:cs="宋体" w:eastAsia="宋体" w:hint="default"/>
                <w:spacing w:val="-62"/>
                <w:sz w:val="18"/>
                <w:szCs w:val="18"/>
              </w:rPr>
              <w:t> </w:t>
            </w:r>
            <w:r>
              <w:rPr>
                <w:rFonts w:ascii="宋体" w:hAnsi="宋体" w:cs="宋体" w:eastAsia="宋体" w:hint="default"/>
                <w:sz w:val="18"/>
                <w:szCs w:val="18"/>
              </w:rPr>
              <w:t>权</w:t>
            </w:r>
            <w:r>
              <w:rPr>
                <w:rFonts w:ascii="宋体" w:hAnsi="宋体" w:cs="宋体" w:eastAsia="宋体" w:hint="default"/>
                <w:spacing w:val="-64"/>
                <w:sz w:val="18"/>
                <w:szCs w:val="18"/>
              </w:rPr>
              <w:t> </w:t>
            </w:r>
            <w:r>
              <w:rPr>
                <w:rFonts w:ascii="宋体" w:hAnsi="宋体" w:cs="宋体" w:eastAsia="宋体" w:hint="default"/>
                <w:sz w:val="18"/>
                <w:szCs w:val="18"/>
              </w:rPr>
              <w:t>益</w:t>
            </w:r>
            <w:r>
              <w:rPr>
                <w:rFonts w:ascii="宋体" w:hAnsi="宋体" w:cs="宋体" w:eastAsia="宋体" w:hint="default"/>
                <w:spacing w:val="-62"/>
                <w:sz w:val="18"/>
                <w:szCs w:val="18"/>
              </w:rPr>
              <w:t> </w:t>
            </w:r>
            <w:r>
              <w:rPr>
                <w:rFonts w:ascii="宋体" w:hAnsi="宋体" w:cs="宋体" w:eastAsia="宋体" w:hint="default"/>
                <w:sz w:val="18"/>
                <w:szCs w:val="18"/>
              </w:rPr>
              <w:t>工</w:t>
            </w:r>
            <w:r>
              <w:rPr>
                <w:rFonts w:ascii="宋体" w:hAnsi="宋体" w:cs="宋体" w:eastAsia="宋体" w:hint="default"/>
                <w:spacing w:val="-62"/>
                <w:sz w:val="18"/>
                <w:szCs w:val="18"/>
              </w:rPr>
              <w:t> </w:t>
            </w:r>
            <w:r>
              <w:rPr>
                <w:rFonts w:ascii="宋体" w:hAnsi="宋体" w:cs="宋体" w:eastAsia="宋体" w:hint="default"/>
                <w:sz w:val="18"/>
                <w:szCs w:val="18"/>
              </w:rPr>
              <w:t>具</w:t>
            </w:r>
            <w:r>
              <w:rPr>
                <w:rFonts w:ascii="宋体" w:hAnsi="宋体" w:cs="宋体" w:eastAsia="宋体" w:hint="default"/>
                <w:sz w:val="18"/>
                <w:szCs w:val="18"/>
              </w:rPr>
              <w:t> 持有者投入资本</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790"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auto" w:before="17"/>
              <w:ind w:left="24" w:right="18"/>
              <w:jc w:val="both"/>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股</w:t>
            </w:r>
            <w:r>
              <w:rPr>
                <w:rFonts w:ascii="宋体" w:hAnsi="宋体" w:cs="宋体" w:eastAsia="宋体" w:hint="default"/>
                <w:spacing w:val="-62"/>
                <w:sz w:val="18"/>
                <w:szCs w:val="18"/>
              </w:rPr>
              <w:t> </w:t>
            </w:r>
            <w:r>
              <w:rPr>
                <w:rFonts w:ascii="宋体" w:hAnsi="宋体" w:cs="宋体" w:eastAsia="宋体" w:hint="default"/>
                <w:sz w:val="18"/>
                <w:szCs w:val="18"/>
              </w:rPr>
              <w:t>份</w:t>
            </w:r>
            <w:r>
              <w:rPr>
                <w:rFonts w:ascii="宋体" w:hAnsi="宋体" w:cs="宋体" w:eastAsia="宋体" w:hint="default"/>
                <w:spacing w:val="-62"/>
                <w:sz w:val="18"/>
                <w:szCs w:val="18"/>
              </w:rPr>
              <w:t> </w:t>
            </w:r>
            <w:r>
              <w:rPr>
                <w:rFonts w:ascii="宋体" w:hAnsi="宋体" w:cs="宋体" w:eastAsia="宋体" w:hint="default"/>
                <w:sz w:val="18"/>
                <w:szCs w:val="18"/>
              </w:rPr>
              <w:t>支</w:t>
            </w:r>
            <w:r>
              <w:rPr>
                <w:rFonts w:ascii="宋体" w:hAnsi="宋体" w:cs="宋体" w:eastAsia="宋体" w:hint="default"/>
                <w:spacing w:val="-64"/>
                <w:sz w:val="18"/>
                <w:szCs w:val="18"/>
              </w:rPr>
              <w:t> </w:t>
            </w:r>
            <w:r>
              <w:rPr>
                <w:rFonts w:ascii="宋体" w:hAnsi="宋体" w:cs="宋体" w:eastAsia="宋体" w:hint="default"/>
                <w:sz w:val="18"/>
                <w:szCs w:val="18"/>
              </w:rPr>
              <w:t>付</w:t>
            </w:r>
            <w:r>
              <w:rPr>
                <w:rFonts w:ascii="宋体" w:hAnsi="宋体" w:cs="宋体" w:eastAsia="宋体" w:hint="default"/>
                <w:spacing w:val="-62"/>
                <w:sz w:val="18"/>
                <w:szCs w:val="18"/>
              </w:rPr>
              <w:t> </w:t>
            </w:r>
            <w:r>
              <w:rPr>
                <w:rFonts w:ascii="宋体" w:hAnsi="宋体" w:cs="宋体" w:eastAsia="宋体" w:hint="default"/>
                <w:sz w:val="18"/>
                <w:szCs w:val="18"/>
              </w:rPr>
              <w:t>计</w:t>
            </w:r>
            <w:r>
              <w:rPr>
                <w:rFonts w:ascii="宋体" w:hAnsi="宋体" w:cs="宋体" w:eastAsia="宋体" w:hint="default"/>
                <w:spacing w:val="-62"/>
                <w:sz w:val="18"/>
                <w:szCs w:val="18"/>
              </w:rPr>
              <w:t> </w:t>
            </w:r>
            <w:r>
              <w:rPr>
                <w:rFonts w:ascii="宋体" w:hAnsi="宋体" w:cs="宋体" w:eastAsia="宋体" w:hint="default"/>
                <w:sz w:val="18"/>
                <w:szCs w:val="18"/>
              </w:rPr>
              <w:t>入</w:t>
            </w:r>
            <w:r>
              <w:rPr>
                <w:rFonts w:ascii="宋体" w:hAnsi="宋体" w:cs="宋体" w:eastAsia="宋体" w:hint="default"/>
                <w:sz w:val="18"/>
                <w:szCs w:val="18"/>
              </w:rPr>
              <w:t> </w:t>
            </w:r>
            <w:r>
              <w:rPr>
                <w:rFonts w:ascii="宋体" w:hAnsi="宋体" w:cs="宋体" w:eastAsia="宋体" w:hint="default"/>
                <w:spacing w:val="16"/>
                <w:sz w:val="18"/>
                <w:szCs w:val="18"/>
              </w:rPr>
              <w:t>所有者权益的金</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额</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4"/>
                <w:szCs w:val="14"/>
              </w:rPr>
            </w:pPr>
          </w:p>
          <w:p>
            <w:pPr>
              <w:pStyle w:val="TableParagraph"/>
              <w:spacing w:line="240" w:lineRule="auto" w:before="4"/>
              <w:ind w:right="0"/>
              <w:jc w:val="left"/>
              <w:rPr>
                <w:rFonts w:ascii="Times New Roman" w:hAnsi="Times New Roman" w:cs="Times New Roman" w:eastAsia="Times New Roman" w:hint="default"/>
                <w:sz w:val="12"/>
                <w:szCs w:val="12"/>
              </w:rPr>
            </w:pPr>
          </w:p>
          <w:p>
            <w:pPr>
              <w:pStyle w:val="TableParagraph"/>
              <w:spacing w:line="240" w:lineRule="auto"/>
              <w:ind w:right="19"/>
              <w:jc w:val="right"/>
              <w:rPr>
                <w:rFonts w:ascii="Arial" w:hAnsi="Arial" w:cs="Arial" w:eastAsia="Arial" w:hint="default"/>
                <w:sz w:val="15"/>
                <w:szCs w:val="15"/>
              </w:rPr>
            </w:pPr>
            <w:r>
              <w:rPr>
                <w:rFonts w:ascii="Arial"/>
                <w:spacing w:val="-1"/>
                <w:w w:val="80"/>
                <w:sz w:val="15"/>
              </w:rPr>
              <w:t>47,275,097.00</w:t>
            </w:r>
            <w:r>
              <w:rPr>
                <w:rFonts w:ascii="Arial"/>
                <w:spacing w:val="-1"/>
                <w:sz w:val="15"/>
              </w:rPr>
            </w:r>
          </w:p>
        </w:tc>
      </w:tr>
      <w:tr>
        <w:trPr>
          <w:trHeight w:val="341"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4"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9"/>
              <w:jc w:val="right"/>
              <w:rPr>
                <w:rFonts w:ascii="Arial" w:hAnsi="Arial" w:cs="Arial" w:eastAsia="Arial" w:hint="default"/>
                <w:sz w:val="15"/>
                <w:szCs w:val="15"/>
              </w:rPr>
            </w:pPr>
            <w:r>
              <w:rPr>
                <w:rFonts w:ascii="Arial"/>
                <w:spacing w:val="-1"/>
                <w:w w:val="80"/>
                <w:sz w:val="15"/>
              </w:rPr>
              <w:t>15,051,878.06</w:t>
            </w:r>
            <w:r>
              <w:rPr>
                <w:rFonts w:ascii="Arial"/>
                <w:spacing w:val="-1"/>
                <w:sz w:val="15"/>
              </w:rPr>
            </w:r>
          </w:p>
        </w:tc>
        <w:tc>
          <w:tcPr>
            <w:tcW w:w="283"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21"/>
              <w:jc w:val="right"/>
              <w:rPr>
                <w:rFonts w:ascii="Arial" w:hAnsi="Arial" w:cs="Arial" w:eastAsia="Arial" w:hint="default"/>
                <w:sz w:val="15"/>
                <w:szCs w:val="15"/>
              </w:rPr>
            </w:pPr>
            <w:r>
              <w:rPr>
                <w:rFonts w:ascii="Arial"/>
                <w:spacing w:val="-1"/>
                <w:w w:val="80"/>
                <w:sz w:val="15"/>
              </w:rPr>
              <w:t>-38,059,469.14</w:t>
            </w:r>
            <w:r>
              <w:rPr>
                <w:rFonts w:ascii="Arial"/>
                <w:spacing w:val="-1"/>
                <w:sz w:val="15"/>
              </w:rPr>
            </w:r>
          </w:p>
        </w:tc>
        <w:tc>
          <w:tcPr>
            <w:tcW w:w="284"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9"/>
              <w:jc w:val="right"/>
              <w:rPr>
                <w:rFonts w:ascii="Arial" w:hAnsi="Arial" w:cs="Arial" w:eastAsia="Arial" w:hint="default"/>
                <w:sz w:val="15"/>
                <w:szCs w:val="15"/>
              </w:rPr>
            </w:pPr>
            <w:r>
              <w:rPr>
                <w:rFonts w:ascii="Arial"/>
                <w:spacing w:val="-1"/>
                <w:w w:val="80"/>
                <w:sz w:val="15"/>
              </w:rPr>
              <w:t>-23,007,591.08</w:t>
            </w:r>
            <w:r>
              <w:rPr>
                <w:rFonts w:ascii="Arial"/>
                <w:spacing w:val="-1"/>
                <w:sz w:val="15"/>
              </w:rPr>
            </w:r>
          </w:p>
        </w:tc>
      </w:tr>
      <w:tr>
        <w:trPr>
          <w:trHeight w:val="341"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9"/>
              <w:jc w:val="right"/>
              <w:rPr>
                <w:rFonts w:ascii="Arial" w:hAnsi="Arial" w:cs="Arial" w:eastAsia="Arial" w:hint="default"/>
                <w:sz w:val="15"/>
                <w:szCs w:val="15"/>
              </w:rPr>
            </w:pPr>
            <w:r>
              <w:rPr>
                <w:rFonts w:ascii="Arial"/>
                <w:spacing w:val="-1"/>
                <w:w w:val="80"/>
                <w:sz w:val="15"/>
              </w:rPr>
              <w:t>15,051,878.06</w:t>
            </w:r>
            <w:r>
              <w:rPr>
                <w:rFonts w:ascii="Arial"/>
                <w:spacing w:val="-1"/>
                <w:sz w:val="15"/>
              </w:rPr>
            </w:r>
          </w:p>
        </w:tc>
        <w:tc>
          <w:tcPr>
            <w:tcW w:w="283"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21"/>
              <w:jc w:val="right"/>
              <w:rPr>
                <w:rFonts w:ascii="Arial" w:hAnsi="Arial" w:cs="Arial" w:eastAsia="Arial" w:hint="default"/>
                <w:sz w:val="15"/>
                <w:szCs w:val="15"/>
              </w:rPr>
            </w:pPr>
            <w:r>
              <w:rPr>
                <w:rFonts w:ascii="Arial"/>
                <w:spacing w:val="-1"/>
                <w:w w:val="80"/>
                <w:sz w:val="15"/>
              </w:rPr>
              <w:t>-15,051,878.06</w:t>
            </w:r>
            <w:r>
              <w:rPr>
                <w:rFonts w:ascii="Arial"/>
                <w:spacing w:val="-1"/>
                <w:sz w:val="15"/>
              </w:rPr>
            </w:r>
          </w:p>
        </w:tc>
        <w:tc>
          <w:tcPr>
            <w:tcW w:w="284"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32"/>
              <w:ind w:left="24" w:right="18"/>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提</w:t>
            </w:r>
            <w:r>
              <w:rPr>
                <w:rFonts w:ascii="宋体" w:hAnsi="宋体" w:cs="宋体" w:eastAsia="宋体" w:hint="default"/>
                <w:spacing w:val="-62"/>
                <w:sz w:val="18"/>
                <w:szCs w:val="18"/>
              </w:rPr>
              <w:t> </w:t>
            </w:r>
            <w:r>
              <w:rPr>
                <w:rFonts w:ascii="宋体" w:hAnsi="宋体" w:cs="宋体" w:eastAsia="宋体" w:hint="default"/>
                <w:sz w:val="18"/>
                <w:szCs w:val="18"/>
              </w:rPr>
              <w:t>取</w:t>
            </w:r>
            <w:r>
              <w:rPr>
                <w:rFonts w:ascii="宋体" w:hAnsi="宋体" w:cs="宋体" w:eastAsia="宋体" w:hint="default"/>
                <w:spacing w:val="-62"/>
                <w:sz w:val="18"/>
                <w:szCs w:val="18"/>
              </w:rPr>
              <w:t> </w:t>
            </w:r>
            <w:r>
              <w:rPr>
                <w:rFonts w:ascii="宋体" w:hAnsi="宋体" w:cs="宋体" w:eastAsia="宋体" w:hint="default"/>
                <w:sz w:val="18"/>
                <w:szCs w:val="18"/>
              </w:rPr>
              <w:t>一</w:t>
            </w:r>
            <w:r>
              <w:rPr>
                <w:rFonts w:ascii="宋体" w:hAnsi="宋体" w:cs="宋体" w:eastAsia="宋体" w:hint="default"/>
                <w:spacing w:val="-64"/>
                <w:sz w:val="18"/>
                <w:szCs w:val="18"/>
              </w:rPr>
              <w:t> </w:t>
            </w:r>
            <w:r>
              <w:rPr>
                <w:rFonts w:ascii="宋体" w:hAnsi="宋体" w:cs="宋体" w:eastAsia="宋体" w:hint="default"/>
                <w:sz w:val="18"/>
                <w:szCs w:val="18"/>
              </w:rPr>
              <w:t>般</w:t>
            </w:r>
            <w:r>
              <w:rPr>
                <w:rFonts w:ascii="宋体" w:hAnsi="宋体" w:cs="宋体" w:eastAsia="宋体" w:hint="default"/>
                <w:spacing w:val="-62"/>
                <w:sz w:val="18"/>
                <w:szCs w:val="18"/>
              </w:rPr>
              <w:t> </w:t>
            </w:r>
            <w:r>
              <w:rPr>
                <w:rFonts w:ascii="宋体" w:hAnsi="宋体" w:cs="宋体" w:eastAsia="宋体" w:hint="default"/>
                <w:sz w:val="18"/>
                <w:szCs w:val="18"/>
              </w:rPr>
              <w:t>风</w:t>
            </w:r>
            <w:r>
              <w:rPr>
                <w:rFonts w:ascii="宋体" w:hAnsi="宋体" w:cs="宋体" w:eastAsia="宋体" w:hint="default"/>
                <w:spacing w:val="-62"/>
                <w:sz w:val="18"/>
                <w:szCs w:val="18"/>
              </w:rPr>
              <w:t> </w:t>
            </w:r>
            <w:r>
              <w:rPr>
                <w:rFonts w:ascii="宋体" w:hAnsi="宋体" w:cs="宋体" w:eastAsia="宋体" w:hint="default"/>
                <w:sz w:val="18"/>
                <w:szCs w:val="18"/>
              </w:rPr>
              <w:t>险</w:t>
            </w:r>
            <w:r>
              <w:rPr>
                <w:rFonts w:ascii="宋体" w:hAnsi="宋体" w:cs="宋体" w:eastAsia="宋体" w:hint="default"/>
                <w:sz w:val="18"/>
                <w:szCs w:val="18"/>
              </w:rPr>
              <w:t> 准备</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32"/>
              <w:ind w:left="24" w:right="17"/>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3.</w:t>
            </w:r>
            <w:r>
              <w:rPr>
                <w:rFonts w:ascii="宋体" w:hAnsi="宋体" w:cs="宋体" w:eastAsia="宋体" w:hint="default"/>
                <w:spacing w:val="-2"/>
                <w:sz w:val="18"/>
                <w:szCs w:val="18"/>
              </w:rPr>
              <w:t>对所有者（或股</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东）的分配</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6"/>
                <w:szCs w:val="16"/>
              </w:rPr>
            </w:pPr>
          </w:p>
          <w:p>
            <w:pPr>
              <w:pStyle w:val="TableParagraph"/>
              <w:spacing w:line="240" w:lineRule="auto"/>
              <w:ind w:right="21"/>
              <w:jc w:val="right"/>
              <w:rPr>
                <w:rFonts w:ascii="Arial" w:hAnsi="Arial" w:cs="Arial" w:eastAsia="Arial" w:hint="default"/>
                <w:sz w:val="15"/>
                <w:szCs w:val="15"/>
              </w:rPr>
            </w:pPr>
            <w:r>
              <w:rPr>
                <w:rFonts w:ascii="Arial"/>
                <w:spacing w:val="-1"/>
                <w:w w:val="80"/>
                <w:sz w:val="15"/>
              </w:rPr>
              <w:t>-23,007,591.08</w:t>
            </w:r>
            <w:r>
              <w:rPr>
                <w:rFonts w:ascii="Arial"/>
                <w:spacing w:val="-1"/>
                <w:sz w:val="15"/>
              </w:rPr>
            </w:r>
          </w:p>
        </w:tc>
        <w:tc>
          <w:tcPr>
            <w:tcW w:w="284"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6"/>
                <w:szCs w:val="16"/>
              </w:rPr>
            </w:pPr>
          </w:p>
          <w:p>
            <w:pPr>
              <w:pStyle w:val="TableParagraph"/>
              <w:spacing w:line="240" w:lineRule="auto"/>
              <w:ind w:right="19"/>
              <w:jc w:val="right"/>
              <w:rPr>
                <w:rFonts w:ascii="Arial" w:hAnsi="Arial" w:cs="Arial" w:eastAsia="Arial" w:hint="default"/>
                <w:sz w:val="15"/>
                <w:szCs w:val="15"/>
              </w:rPr>
            </w:pPr>
            <w:r>
              <w:rPr>
                <w:rFonts w:ascii="Arial"/>
                <w:spacing w:val="-1"/>
                <w:w w:val="80"/>
                <w:sz w:val="15"/>
              </w:rPr>
              <w:t>-23,007,591.08</w:t>
            </w:r>
            <w:r>
              <w:rPr>
                <w:rFonts w:ascii="Arial"/>
                <w:spacing w:val="-1"/>
                <w:sz w:val="15"/>
              </w:rPr>
            </w:r>
          </w:p>
        </w:tc>
      </w:tr>
      <w:tr>
        <w:trPr>
          <w:trHeight w:val="32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11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21"/>
              <w:jc w:val="left"/>
              <w:rPr>
                <w:rFonts w:ascii="宋体" w:hAnsi="宋体" w:cs="宋体" w:eastAsia="宋体" w:hint="default"/>
                <w:sz w:val="18"/>
                <w:szCs w:val="18"/>
              </w:rPr>
            </w:pPr>
            <w:r>
              <w:rPr>
                <w:rFonts w:ascii="宋体" w:hAnsi="宋体" w:cs="宋体" w:eastAsia="宋体" w:hint="default"/>
                <w:spacing w:val="-8"/>
                <w:sz w:val="18"/>
                <w:szCs w:val="18"/>
              </w:rPr>
              <w:t>（四）所有者权益</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内部结转</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32"/>
              <w:ind w:left="24" w:right="18"/>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资</w:t>
            </w:r>
            <w:r>
              <w:rPr>
                <w:rFonts w:ascii="宋体" w:hAnsi="宋体" w:cs="宋体" w:eastAsia="宋体" w:hint="default"/>
                <w:spacing w:val="-62"/>
                <w:sz w:val="18"/>
                <w:szCs w:val="18"/>
              </w:rPr>
              <w:t> </w:t>
            </w:r>
            <w:r>
              <w:rPr>
                <w:rFonts w:ascii="宋体" w:hAnsi="宋体" w:cs="宋体" w:eastAsia="宋体" w:hint="default"/>
                <w:sz w:val="18"/>
                <w:szCs w:val="18"/>
              </w:rPr>
              <w:t>本</w:t>
            </w:r>
            <w:r>
              <w:rPr>
                <w:rFonts w:ascii="宋体" w:hAnsi="宋体" w:cs="宋体" w:eastAsia="宋体" w:hint="default"/>
                <w:spacing w:val="-62"/>
                <w:sz w:val="18"/>
                <w:szCs w:val="18"/>
              </w:rPr>
              <w:t> </w:t>
            </w:r>
            <w:r>
              <w:rPr>
                <w:rFonts w:ascii="宋体" w:hAnsi="宋体" w:cs="宋体" w:eastAsia="宋体" w:hint="default"/>
                <w:sz w:val="18"/>
                <w:szCs w:val="18"/>
              </w:rPr>
              <w:t>公</w:t>
            </w:r>
            <w:r>
              <w:rPr>
                <w:rFonts w:ascii="宋体" w:hAnsi="宋体" w:cs="宋体" w:eastAsia="宋体" w:hint="default"/>
                <w:spacing w:val="-64"/>
                <w:sz w:val="18"/>
                <w:szCs w:val="18"/>
              </w:rPr>
              <w:t> </w:t>
            </w:r>
            <w:r>
              <w:rPr>
                <w:rFonts w:ascii="宋体" w:hAnsi="宋体" w:cs="宋体" w:eastAsia="宋体" w:hint="default"/>
                <w:sz w:val="18"/>
                <w:szCs w:val="18"/>
              </w:rPr>
              <w:t>积</w:t>
            </w:r>
            <w:r>
              <w:rPr>
                <w:rFonts w:ascii="宋体" w:hAnsi="宋体" w:cs="宋体" w:eastAsia="宋体" w:hint="default"/>
                <w:spacing w:val="-62"/>
                <w:sz w:val="18"/>
                <w:szCs w:val="18"/>
              </w:rPr>
              <w:t> </w:t>
            </w:r>
            <w:r>
              <w:rPr>
                <w:rFonts w:ascii="宋体" w:hAnsi="宋体" w:cs="宋体" w:eastAsia="宋体" w:hint="default"/>
                <w:sz w:val="18"/>
                <w:szCs w:val="18"/>
              </w:rPr>
              <w:t>转</w:t>
            </w:r>
            <w:r>
              <w:rPr>
                <w:rFonts w:ascii="宋体" w:hAnsi="宋体" w:cs="宋体" w:eastAsia="宋体" w:hint="default"/>
                <w:spacing w:val="-62"/>
                <w:sz w:val="18"/>
                <w:szCs w:val="18"/>
              </w:rPr>
              <w:t> </w:t>
            </w:r>
            <w:r>
              <w:rPr>
                <w:rFonts w:ascii="宋体" w:hAnsi="宋体" w:cs="宋体" w:eastAsia="宋体" w:hint="default"/>
                <w:sz w:val="18"/>
                <w:szCs w:val="18"/>
              </w:rPr>
              <w:t>增</w:t>
            </w:r>
            <w:r>
              <w:rPr>
                <w:rFonts w:ascii="宋体" w:hAnsi="宋体" w:cs="宋体" w:eastAsia="宋体" w:hint="default"/>
                <w:sz w:val="18"/>
                <w:szCs w:val="18"/>
              </w:rPr>
              <w:t> 资本（或股本）</w:t>
            </w:r>
            <w:r>
              <w:rPr>
                <w:rFonts w:ascii="宋体" w:hAnsi="宋体" w:cs="宋体" w:eastAsia="宋体" w:hint="default"/>
                <w:sz w:val="18"/>
                <w:szCs w:val="18"/>
              </w:rPr>
              <w:t> </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32"/>
              <w:ind w:left="24" w:right="18"/>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盈</w:t>
            </w:r>
            <w:r>
              <w:rPr>
                <w:rFonts w:ascii="宋体" w:hAnsi="宋体" w:cs="宋体" w:eastAsia="宋体" w:hint="default"/>
                <w:spacing w:val="-62"/>
                <w:sz w:val="18"/>
                <w:szCs w:val="18"/>
              </w:rPr>
              <w:t> </w:t>
            </w:r>
            <w:r>
              <w:rPr>
                <w:rFonts w:ascii="宋体" w:hAnsi="宋体" w:cs="宋体" w:eastAsia="宋体" w:hint="default"/>
                <w:sz w:val="18"/>
                <w:szCs w:val="18"/>
              </w:rPr>
              <w:t>余</w:t>
            </w:r>
            <w:r>
              <w:rPr>
                <w:rFonts w:ascii="宋体" w:hAnsi="宋体" w:cs="宋体" w:eastAsia="宋体" w:hint="default"/>
                <w:spacing w:val="-62"/>
                <w:sz w:val="18"/>
                <w:szCs w:val="18"/>
              </w:rPr>
              <w:t> </w:t>
            </w:r>
            <w:r>
              <w:rPr>
                <w:rFonts w:ascii="宋体" w:hAnsi="宋体" w:cs="宋体" w:eastAsia="宋体" w:hint="default"/>
                <w:sz w:val="18"/>
                <w:szCs w:val="18"/>
              </w:rPr>
              <w:t>公</w:t>
            </w:r>
            <w:r>
              <w:rPr>
                <w:rFonts w:ascii="宋体" w:hAnsi="宋体" w:cs="宋体" w:eastAsia="宋体" w:hint="default"/>
                <w:spacing w:val="-64"/>
                <w:sz w:val="18"/>
                <w:szCs w:val="18"/>
              </w:rPr>
              <w:t> </w:t>
            </w:r>
            <w:r>
              <w:rPr>
                <w:rFonts w:ascii="宋体" w:hAnsi="宋体" w:cs="宋体" w:eastAsia="宋体" w:hint="default"/>
                <w:sz w:val="18"/>
                <w:szCs w:val="18"/>
              </w:rPr>
              <w:t>积</w:t>
            </w:r>
            <w:r>
              <w:rPr>
                <w:rFonts w:ascii="宋体" w:hAnsi="宋体" w:cs="宋体" w:eastAsia="宋体" w:hint="default"/>
                <w:spacing w:val="-62"/>
                <w:sz w:val="18"/>
                <w:szCs w:val="18"/>
              </w:rPr>
              <w:t> </w:t>
            </w:r>
            <w:r>
              <w:rPr>
                <w:rFonts w:ascii="宋体" w:hAnsi="宋体" w:cs="宋体" w:eastAsia="宋体" w:hint="default"/>
                <w:sz w:val="18"/>
                <w:szCs w:val="18"/>
              </w:rPr>
              <w:t>转</w:t>
            </w:r>
            <w:r>
              <w:rPr>
                <w:rFonts w:ascii="宋体" w:hAnsi="宋体" w:cs="宋体" w:eastAsia="宋体" w:hint="default"/>
                <w:spacing w:val="-62"/>
                <w:sz w:val="18"/>
                <w:szCs w:val="18"/>
              </w:rPr>
              <w:t> </w:t>
            </w:r>
            <w:r>
              <w:rPr>
                <w:rFonts w:ascii="宋体" w:hAnsi="宋体" w:cs="宋体" w:eastAsia="宋体" w:hint="default"/>
                <w:sz w:val="18"/>
                <w:szCs w:val="18"/>
              </w:rPr>
              <w:t>增</w:t>
            </w:r>
            <w:r>
              <w:rPr>
                <w:rFonts w:ascii="宋体" w:hAnsi="宋体" w:cs="宋体" w:eastAsia="宋体" w:hint="default"/>
                <w:sz w:val="18"/>
                <w:szCs w:val="18"/>
              </w:rPr>
              <w:t> 资本（或股本）</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32"/>
              <w:ind w:left="24" w:right="18"/>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盈</w:t>
            </w:r>
            <w:r>
              <w:rPr>
                <w:rFonts w:ascii="宋体" w:hAnsi="宋体" w:cs="宋体" w:eastAsia="宋体" w:hint="default"/>
                <w:spacing w:val="-62"/>
                <w:sz w:val="18"/>
                <w:szCs w:val="18"/>
              </w:rPr>
              <w:t> </w:t>
            </w:r>
            <w:r>
              <w:rPr>
                <w:rFonts w:ascii="宋体" w:hAnsi="宋体" w:cs="宋体" w:eastAsia="宋体" w:hint="default"/>
                <w:sz w:val="18"/>
                <w:szCs w:val="18"/>
              </w:rPr>
              <w:t>余</w:t>
            </w:r>
            <w:r>
              <w:rPr>
                <w:rFonts w:ascii="宋体" w:hAnsi="宋体" w:cs="宋体" w:eastAsia="宋体" w:hint="default"/>
                <w:spacing w:val="-62"/>
                <w:sz w:val="18"/>
                <w:szCs w:val="18"/>
              </w:rPr>
              <w:t> </w:t>
            </w:r>
            <w:r>
              <w:rPr>
                <w:rFonts w:ascii="宋体" w:hAnsi="宋体" w:cs="宋体" w:eastAsia="宋体" w:hint="default"/>
                <w:sz w:val="18"/>
                <w:szCs w:val="18"/>
              </w:rPr>
              <w:t>公</w:t>
            </w:r>
            <w:r>
              <w:rPr>
                <w:rFonts w:ascii="宋体" w:hAnsi="宋体" w:cs="宋体" w:eastAsia="宋体" w:hint="default"/>
                <w:spacing w:val="-64"/>
                <w:sz w:val="18"/>
                <w:szCs w:val="18"/>
              </w:rPr>
              <w:t> </w:t>
            </w:r>
            <w:r>
              <w:rPr>
                <w:rFonts w:ascii="宋体" w:hAnsi="宋体" w:cs="宋体" w:eastAsia="宋体" w:hint="default"/>
                <w:sz w:val="18"/>
                <w:szCs w:val="18"/>
              </w:rPr>
              <w:t>积</w:t>
            </w:r>
            <w:r>
              <w:rPr>
                <w:rFonts w:ascii="宋体" w:hAnsi="宋体" w:cs="宋体" w:eastAsia="宋体" w:hint="default"/>
                <w:spacing w:val="-62"/>
                <w:sz w:val="18"/>
                <w:szCs w:val="18"/>
              </w:rPr>
              <w:t> </w:t>
            </w:r>
            <w:r>
              <w:rPr>
                <w:rFonts w:ascii="宋体" w:hAnsi="宋体" w:cs="宋体" w:eastAsia="宋体" w:hint="default"/>
                <w:sz w:val="18"/>
                <w:szCs w:val="18"/>
              </w:rPr>
              <w:t>弥</w:t>
            </w:r>
            <w:r>
              <w:rPr>
                <w:rFonts w:ascii="宋体" w:hAnsi="宋体" w:cs="宋体" w:eastAsia="宋体" w:hint="default"/>
                <w:spacing w:val="-62"/>
                <w:sz w:val="18"/>
                <w:szCs w:val="18"/>
              </w:rPr>
              <w:t> </w:t>
            </w:r>
            <w:r>
              <w:rPr>
                <w:rFonts w:ascii="宋体" w:hAnsi="宋体" w:cs="宋体" w:eastAsia="宋体" w:hint="default"/>
                <w:sz w:val="18"/>
                <w:szCs w:val="18"/>
              </w:rPr>
              <w:t>补</w:t>
            </w:r>
            <w:r>
              <w:rPr>
                <w:rFonts w:ascii="宋体" w:hAnsi="宋体" w:cs="宋体" w:eastAsia="宋体" w:hint="default"/>
                <w:sz w:val="18"/>
                <w:szCs w:val="18"/>
              </w:rPr>
              <w:t> 亏损</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790"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2" w:lineRule="auto" w:before="17"/>
              <w:ind w:left="24" w:right="18"/>
              <w:jc w:val="both"/>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设</w:t>
            </w:r>
            <w:r>
              <w:rPr>
                <w:rFonts w:ascii="宋体" w:hAnsi="宋体" w:cs="宋体" w:eastAsia="宋体" w:hint="default"/>
                <w:spacing w:val="-62"/>
                <w:sz w:val="18"/>
                <w:szCs w:val="18"/>
              </w:rPr>
              <w:t> </w:t>
            </w:r>
            <w:r>
              <w:rPr>
                <w:rFonts w:ascii="宋体" w:hAnsi="宋体" w:cs="宋体" w:eastAsia="宋体" w:hint="default"/>
                <w:sz w:val="18"/>
                <w:szCs w:val="18"/>
              </w:rPr>
              <w:t>定</w:t>
            </w:r>
            <w:r>
              <w:rPr>
                <w:rFonts w:ascii="宋体" w:hAnsi="宋体" w:cs="宋体" w:eastAsia="宋体" w:hint="default"/>
                <w:spacing w:val="-62"/>
                <w:sz w:val="18"/>
                <w:szCs w:val="18"/>
              </w:rPr>
              <w:t> </w:t>
            </w:r>
            <w:r>
              <w:rPr>
                <w:rFonts w:ascii="宋体" w:hAnsi="宋体" w:cs="宋体" w:eastAsia="宋体" w:hint="default"/>
                <w:sz w:val="18"/>
                <w:szCs w:val="18"/>
              </w:rPr>
              <w:t>受</w:t>
            </w:r>
            <w:r>
              <w:rPr>
                <w:rFonts w:ascii="宋体" w:hAnsi="宋体" w:cs="宋体" w:eastAsia="宋体" w:hint="default"/>
                <w:spacing w:val="-64"/>
                <w:sz w:val="18"/>
                <w:szCs w:val="18"/>
              </w:rPr>
              <w:t> </w:t>
            </w:r>
            <w:r>
              <w:rPr>
                <w:rFonts w:ascii="宋体" w:hAnsi="宋体" w:cs="宋体" w:eastAsia="宋体" w:hint="default"/>
                <w:sz w:val="18"/>
                <w:szCs w:val="18"/>
              </w:rPr>
              <w:t>益</w:t>
            </w:r>
            <w:r>
              <w:rPr>
                <w:rFonts w:ascii="宋体" w:hAnsi="宋体" w:cs="宋体" w:eastAsia="宋体" w:hint="default"/>
                <w:spacing w:val="-62"/>
                <w:sz w:val="18"/>
                <w:szCs w:val="18"/>
              </w:rPr>
              <w:t> </w:t>
            </w:r>
            <w:r>
              <w:rPr>
                <w:rFonts w:ascii="宋体" w:hAnsi="宋体" w:cs="宋体" w:eastAsia="宋体" w:hint="default"/>
                <w:sz w:val="18"/>
                <w:szCs w:val="18"/>
              </w:rPr>
              <w:t>计</w:t>
            </w:r>
            <w:r>
              <w:rPr>
                <w:rFonts w:ascii="宋体" w:hAnsi="宋体" w:cs="宋体" w:eastAsia="宋体" w:hint="default"/>
                <w:spacing w:val="-62"/>
                <w:sz w:val="18"/>
                <w:szCs w:val="18"/>
              </w:rPr>
              <w:t> </w:t>
            </w:r>
            <w:r>
              <w:rPr>
                <w:rFonts w:ascii="宋体" w:hAnsi="宋体" w:cs="宋体" w:eastAsia="宋体" w:hint="default"/>
                <w:sz w:val="18"/>
                <w:szCs w:val="18"/>
              </w:rPr>
              <w:t>划</w:t>
            </w:r>
            <w:r>
              <w:rPr>
                <w:rFonts w:ascii="宋体" w:hAnsi="宋体" w:cs="宋体" w:eastAsia="宋体" w:hint="default"/>
                <w:sz w:val="18"/>
                <w:szCs w:val="18"/>
              </w:rPr>
              <w:t> </w:t>
            </w:r>
            <w:r>
              <w:rPr>
                <w:rFonts w:ascii="宋体" w:hAnsi="宋体" w:cs="宋体" w:eastAsia="宋体" w:hint="default"/>
                <w:spacing w:val="16"/>
                <w:sz w:val="18"/>
                <w:szCs w:val="18"/>
              </w:rPr>
              <w:t>变动额结转留存</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收益</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32"/>
              <w:ind w:left="24" w:right="18"/>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8"/>
                <w:sz w:val="18"/>
                <w:szCs w:val="18"/>
              </w:rPr>
              <w:t> </w:t>
            </w:r>
            <w:r>
              <w:rPr>
                <w:rFonts w:ascii="宋体" w:hAnsi="宋体" w:cs="宋体" w:eastAsia="宋体" w:hint="default"/>
                <w:sz w:val="18"/>
                <w:szCs w:val="18"/>
              </w:rPr>
              <w:t>其</w:t>
            </w:r>
            <w:r>
              <w:rPr>
                <w:rFonts w:ascii="宋体" w:hAnsi="宋体" w:cs="宋体" w:eastAsia="宋体" w:hint="default"/>
                <w:spacing w:val="-62"/>
                <w:sz w:val="18"/>
                <w:szCs w:val="18"/>
              </w:rPr>
              <w:t> </w:t>
            </w:r>
            <w:r>
              <w:rPr>
                <w:rFonts w:ascii="宋体" w:hAnsi="宋体" w:cs="宋体" w:eastAsia="宋体" w:hint="default"/>
                <w:sz w:val="18"/>
                <w:szCs w:val="18"/>
              </w:rPr>
              <w:t>他</w:t>
            </w:r>
            <w:r>
              <w:rPr>
                <w:rFonts w:ascii="宋体" w:hAnsi="宋体" w:cs="宋体" w:eastAsia="宋体" w:hint="default"/>
                <w:spacing w:val="-62"/>
                <w:sz w:val="18"/>
                <w:szCs w:val="18"/>
              </w:rPr>
              <w:t> </w:t>
            </w:r>
            <w:r>
              <w:rPr>
                <w:rFonts w:ascii="宋体" w:hAnsi="宋体" w:cs="宋体" w:eastAsia="宋体" w:hint="default"/>
                <w:sz w:val="18"/>
                <w:szCs w:val="18"/>
              </w:rPr>
              <w:t>综</w:t>
            </w:r>
            <w:r>
              <w:rPr>
                <w:rFonts w:ascii="宋体" w:hAnsi="宋体" w:cs="宋体" w:eastAsia="宋体" w:hint="default"/>
                <w:spacing w:val="-64"/>
                <w:sz w:val="18"/>
                <w:szCs w:val="18"/>
              </w:rPr>
              <w:t> </w:t>
            </w:r>
            <w:r>
              <w:rPr>
                <w:rFonts w:ascii="宋体" w:hAnsi="宋体" w:cs="宋体" w:eastAsia="宋体" w:hint="default"/>
                <w:sz w:val="18"/>
                <w:szCs w:val="18"/>
              </w:rPr>
              <w:t>合</w:t>
            </w:r>
            <w:r>
              <w:rPr>
                <w:rFonts w:ascii="宋体" w:hAnsi="宋体" w:cs="宋体" w:eastAsia="宋体" w:hint="default"/>
                <w:spacing w:val="-62"/>
                <w:sz w:val="18"/>
                <w:szCs w:val="18"/>
              </w:rPr>
              <w:t> </w:t>
            </w:r>
            <w:r>
              <w:rPr>
                <w:rFonts w:ascii="宋体" w:hAnsi="宋体" w:cs="宋体" w:eastAsia="宋体" w:hint="default"/>
                <w:sz w:val="18"/>
                <w:szCs w:val="18"/>
              </w:rPr>
              <w:t>收</w:t>
            </w:r>
            <w:r>
              <w:rPr>
                <w:rFonts w:ascii="宋体" w:hAnsi="宋体" w:cs="宋体" w:eastAsia="宋体" w:hint="default"/>
                <w:spacing w:val="-62"/>
                <w:sz w:val="18"/>
                <w:szCs w:val="18"/>
              </w:rPr>
              <w:t> </w:t>
            </w:r>
            <w:r>
              <w:rPr>
                <w:rFonts w:ascii="宋体" w:hAnsi="宋体" w:cs="宋体" w:eastAsia="宋体" w:hint="default"/>
                <w:sz w:val="18"/>
                <w:szCs w:val="18"/>
              </w:rPr>
              <w:t>益</w:t>
            </w:r>
            <w:r>
              <w:rPr>
                <w:rFonts w:ascii="宋体" w:hAnsi="宋体" w:cs="宋体" w:eastAsia="宋体" w:hint="default"/>
                <w:sz w:val="18"/>
                <w:szCs w:val="18"/>
              </w:rPr>
              <w:t> 结转留存收益</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4"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bl>
    <w:p>
      <w:pPr>
        <w:spacing w:after="0"/>
        <w:sectPr>
          <w:footerReference w:type="default" r:id="rId43"/>
          <w:pgSz w:w="11910" w:h="16840"/>
          <w:pgMar w:footer="725" w:header="921" w:top="1160" w:bottom="920" w:left="980" w:right="0"/>
        </w:sectPr>
      </w:pPr>
    </w:p>
    <w:p>
      <w:pPr>
        <w:spacing w:line="240" w:lineRule="auto" w:before="2"/>
        <w:rPr>
          <w:rFonts w:ascii="Times New Roman" w:hAnsi="Times New Roman" w:cs="Times New Roman" w:eastAsia="Times New Roman" w:hint="default"/>
          <w:sz w:val="24"/>
          <w:szCs w:val="24"/>
        </w:rPr>
      </w:pPr>
      <w:r>
        <w:rPr/>
        <w:pict>
          <v:shape style="position:absolute;margin-left:99.957001pt;margin-top:610.51001pt;width:98.35pt;height:27.4pt;mso-position-horizontal-relative:page;mso-position-vertical-relative:page;z-index:-1011976" type="#_x0000_t202" filled="false" stroked="false">
            <v:textbox inset="0,0,0,0">
              <w:txbxContent>
                <w:p>
                  <w:pPr>
                    <w:spacing w:before="10"/>
                    <w:ind w:left="0" w:right="0" w:firstLine="0"/>
                    <w:jc w:val="left"/>
                    <w:rPr>
                      <w:rFonts w:ascii="宋体" w:hAnsi="宋体" w:cs="宋体" w:eastAsia="宋体" w:hint="default"/>
                      <w:sz w:val="18"/>
                      <w:szCs w:val="18"/>
                    </w:rPr>
                  </w:pPr>
                  <w:r>
                    <w:rPr>
                      <w:rFonts w:ascii="宋体" w:hAnsi="宋体" w:cs="宋体" w:eastAsia="宋体" w:hint="default"/>
                      <w:sz w:val="18"/>
                      <w:szCs w:val="18"/>
                    </w:rPr>
                    <w:t>（或股东）</w:t>
                  </w:r>
                </w:p>
              </w:txbxContent>
            </v:textbox>
            <w10:wrap type="none"/>
          </v:shape>
        </w:pict>
      </w:r>
    </w:p>
    <w:tbl>
      <w:tblPr>
        <w:tblW w:w="0" w:type="auto"/>
        <w:jc w:val="left"/>
        <w:tblInd w:w="149" w:type="dxa"/>
        <w:tblLayout w:type="fixed"/>
        <w:tblCellMar>
          <w:top w:w="0" w:type="dxa"/>
          <w:left w:w="0" w:type="dxa"/>
          <w:bottom w:w="0" w:type="dxa"/>
          <w:right w:w="0" w:type="dxa"/>
        </w:tblCellMar>
        <w:tblLook w:val="01E0"/>
      </w:tblPr>
      <w:tblGrid>
        <w:gridCol w:w="1437"/>
        <w:gridCol w:w="1114"/>
        <w:gridCol w:w="283"/>
        <w:gridCol w:w="286"/>
        <w:gridCol w:w="283"/>
        <w:gridCol w:w="1274"/>
        <w:gridCol w:w="245"/>
        <w:gridCol w:w="322"/>
        <w:gridCol w:w="286"/>
        <w:gridCol w:w="1133"/>
        <w:gridCol w:w="283"/>
        <w:gridCol w:w="1135"/>
        <w:gridCol w:w="284"/>
        <w:gridCol w:w="1416"/>
      </w:tblGrid>
      <w:tr>
        <w:trPr>
          <w:trHeight w:val="341"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1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339"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1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5"/>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111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284"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2" w:right="0"/>
              <w:jc w:val="left"/>
              <w:rPr>
                <w:rFonts w:ascii="宋体" w:hAnsi="宋体" w:cs="宋体" w:eastAsia="宋体" w:hint="default"/>
                <w:sz w:val="18"/>
                <w:szCs w:val="18"/>
              </w:rPr>
            </w:pPr>
            <w:r>
              <w:rPr>
                <w:rFonts w:ascii="宋体" w:hAnsi="宋体" w:cs="宋体" w:eastAsia="宋体" w:hint="default"/>
                <w:spacing w:val="-8"/>
                <w:sz w:val="18"/>
                <w:szCs w:val="18"/>
              </w:rPr>
              <w:t>四、本期期末余额</w:t>
            </w:r>
          </w:p>
        </w:tc>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124" w:right="0"/>
              <w:jc w:val="left"/>
              <w:rPr>
                <w:rFonts w:ascii="Arial" w:hAnsi="Arial" w:cs="Arial" w:eastAsia="Arial" w:hint="default"/>
                <w:sz w:val="15"/>
                <w:szCs w:val="15"/>
              </w:rPr>
            </w:pPr>
            <w:r>
              <w:rPr>
                <w:rFonts w:ascii="Arial"/>
                <w:w w:val="90"/>
                <w:sz w:val="15"/>
              </w:rPr>
              <w:t>669,101,883.00</w:t>
            </w:r>
            <w:r>
              <w:rPr>
                <w:rFonts w:ascii="Arial"/>
                <w:sz w:val="15"/>
              </w:rPr>
            </w:r>
          </w:p>
        </w:tc>
        <w:tc>
          <w:tcPr>
            <w:tcW w:w="28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285" w:right="0"/>
              <w:jc w:val="left"/>
              <w:rPr>
                <w:rFonts w:ascii="Arial" w:hAnsi="Arial" w:cs="Arial" w:eastAsia="Arial" w:hint="default"/>
                <w:sz w:val="15"/>
                <w:szCs w:val="15"/>
              </w:rPr>
            </w:pPr>
            <w:r>
              <w:rPr>
                <w:rFonts w:ascii="Arial"/>
                <w:w w:val="80"/>
                <w:sz w:val="15"/>
              </w:rPr>
              <w:t>1,769,042,910.62</w:t>
            </w:r>
            <w:r>
              <w:rPr>
                <w:rFonts w:ascii="Arial"/>
                <w:sz w:val="15"/>
              </w:rPr>
            </w:r>
          </w:p>
        </w:tc>
        <w:tc>
          <w:tcPr>
            <w:tcW w:w="245" w:type="dxa"/>
            <w:tcBorders>
              <w:top w:val="single" w:sz="4" w:space="0" w:color="000000"/>
              <w:left w:val="single" w:sz="4" w:space="0" w:color="000000"/>
              <w:bottom w:val="single" w:sz="4" w:space="0" w:color="000000"/>
              <w:right w:val="single" w:sz="4" w:space="0" w:color="000000"/>
            </w:tcBorders>
          </w:tcPr>
          <w:p>
            <w:pPr/>
          </w:p>
        </w:tc>
        <w:tc>
          <w:tcPr>
            <w:tcW w:w="322"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247" w:right="0"/>
              <w:jc w:val="left"/>
              <w:rPr>
                <w:rFonts w:ascii="Arial" w:hAnsi="Arial" w:cs="Arial" w:eastAsia="Arial" w:hint="default"/>
                <w:sz w:val="15"/>
                <w:szCs w:val="15"/>
              </w:rPr>
            </w:pPr>
            <w:r>
              <w:rPr>
                <w:rFonts w:ascii="Arial"/>
                <w:w w:val="80"/>
                <w:sz w:val="15"/>
              </w:rPr>
              <w:t>104,445,528.28</w:t>
            </w:r>
            <w:r>
              <w:rPr>
                <w:rFonts w:ascii="Arial"/>
                <w:sz w:val="15"/>
              </w:rPr>
            </w:r>
          </w:p>
        </w:tc>
        <w:tc>
          <w:tcPr>
            <w:tcW w:w="283"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144" w:right="0"/>
              <w:jc w:val="left"/>
              <w:rPr>
                <w:rFonts w:ascii="Arial" w:hAnsi="Arial" w:cs="Arial" w:eastAsia="Arial" w:hint="default"/>
                <w:sz w:val="15"/>
                <w:szCs w:val="15"/>
              </w:rPr>
            </w:pPr>
            <w:r>
              <w:rPr>
                <w:rFonts w:ascii="Arial"/>
                <w:w w:val="80"/>
                <w:sz w:val="15"/>
              </w:rPr>
              <w:t>1,060,014,181.10</w:t>
            </w:r>
            <w:r>
              <w:rPr>
                <w:rFonts w:ascii="Arial"/>
                <w:sz w:val="15"/>
              </w:rPr>
            </w:r>
          </w:p>
        </w:tc>
        <w:tc>
          <w:tcPr>
            <w:tcW w:w="284" w:type="dxa"/>
            <w:tcBorders>
              <w:top w:val="single" w:sz="4" w:space="0" w:color="000000"/>
              <w:left w:val="single" w:sz="4" w:space="0" w:color="000000"/>
              <w:bottom w:val="single" w:sz="4" w:space="0" w:color="000000"/>
              <w:right w:val="single" w:sz="4" w:space="0" w:color="000000"/>
            </w:tcBorders>
          </w:tcPr>
          <w:p>
            <w:pP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427" w:right="0"/>
              <w:jc w:val="left"/>
              <w:rPr>
                <w:rFonts w:ascii="Arial" w:hAnsi="Arial" w:cs="Arial" w:eastAsia="Arial" w:hint="default"/>
                <w:sz w:val="15"/>
                <w:szCs w:val="15"/>
              </w:rPr>
            </w:pPr>
            <w:r>
              <w:rPr>
                <w:rFonts w:ascii="Arial"/>
                <w:w w:val="80"/>
                <w:sz w:val="15"/>
              </w:rPr>
              <w:t>3,602,604,503.00</w:t>
            </w:r>
            <w:r>
              <w:rPr>
                <w:rFonts w:ascii="Arial"/>
                <w:sz w:val="15"/>
              </w:rPr>
            </w:r>
          </w:p>
        </w:tc>
      </w:tr>
    </w:tbl>
    <w:p>
      <w:pPr>
        <w:tabs>
          <w:tab w:pos="3218" w:val="left" w:leader="none"/>
          <w:tab w:pos="7178" w:val="left" w:leader="none"/>
        </w:tabs>
        <w:spacing w:before="51"/>
        <w:ind w:left="152" w:right="1133" w:firstLine="0"/>
        <w:jc w:val="left"/>
        <w:rPr>
          <w:rFonts w:ascii="宋体" w:hAnsi="宋体" w:cs="宋体" w:eastAsia="宋体" w:hint="default"/>
          <w:sz w:val="18"/>
          <w:szCs w:val="18"/>
        </w:rPr>
      </w:pPr>
      <w:r>
        <w:rPr>
          <w:rFonts w:ascii="宋体" w:hAnsi="宋体" w:cs="宋体" w:eastAsia="宋体" w:hint="default"/>
          <w:sz w:val="18"/>
          <w:szCs w:val="18"/>
        </w:rPr>
        <w:t>法定代表人：吴鹰</w:t>
        <w:tab/>
      </w:r>
      <w:r>
        <w:rPr>
          <w:rFonts w:ascii="宋体" w:hAnsi="宋体" w:cs="宋体" w:eastAsia="宋体" w:hint="default"/>
          <w:spacing w:val="-1"/>
          <w:sz w:val="18"/>
          <w:szCs w:val="18"/>
        </w:rPr>
        <w:t>主管会计工作负责人：李鹏宇</w:t>
        <w:tab/>
        <w:t>会计机构负责人：张雷</w:t>
      </w:r>
    </w:p>
    <w:p>
      <w:pPr>
        <w:spacing w:line="240" w:lineRule="auto" w:before="12"/>
        <w:rPr>
          <w:rFonts w:ascii="宋体" w:hAnsi="宋体" w:cs="宋体" w:eastAsia="宋体" w:hint="default"/>
          <w:sz w:val="27"/>
          <w:szCs w:val="27"/>
        </w:rPr>
      </w:pPr>
    </w:p>
    <w:p>
      <w:pPr>
        <w:pStyle w:val="Heading3"/>
        <w:spacing w:line="240" w:lineRule="auto"/>
        <w:ind w:right="1133"/>
        <w:jc w:val="left"/>
        <w:rPr>
          <w:b w:val="0"/>
          <w:bCs w:val="0"/>
        </w:rPr>
      </w:pPr>
      <w:r>
        <w:rPr>
          <w:rFonts w:ascii="Times New Roman" w:hAnsi="Times New Roman" w:cs="Times New Roman" w:eastAsia="Times New Roman" w:hint="default"/>
        </w:rPr>
        <w:t>8</w:t>
      </w:r>
      <w:r>
        <w:rPr/>
        <w:t>、母公司所有者权益变动表</w:t>
      </w:r>
      <w:r>
        <w:rPr>
          <w:b w:val="0"/>
          <w:bCs w:val="0"/>
        </w:rPr>
      </w:r>
    </w:p>
    <w:p>
      <w:pPr>
        <w:pStyle w:val="BodyText"/>
        <w:spacing w:line="240" w:lineRule="auto" w:before="100"/>
        <w:ind w:left="0" w:right="1128"/>
        <w:jc w:val="right"/>
      </w:pPr>
      <w:r>
        <w:rPr/>
        <w:pict>
          <v:group style="position:absolute;margin-left:355.869995pt;margin-top:87.949684pt;width:11.4pt;height:11.8pt;mso-position-horizontal-relative:page;mso-position-vertical-relative:paragraph;z-index:-1011952" coordorigin="7117,1759" coordsize="228,236">
            <v:shape style="position:absolute;left:7117;top:1759;width:228;height:236" coordorigin="7117,1759" coordsize="228,236" path="m7117,1995l7345,1995,7345,1759,7117,1759,7117,1995xe" filled="true" fillcolor="#d2d2d2" stroked="false">
              <v:path arrowok="t"/>
              <v:fill type="solid"/>
            </v:shape>
            <w10:wrap type="none"/>
          </v:group>
        </w:pict>
      </w:r>
      <w:r>
        <w:rPr>
          <w:spacing w:val="-1"/>
        </w:rPr>
        <w:t>单位：元</w:t>
      </w:r>
    </w:p>
    <w:p>
      <w:pPr>
        <w:spacing w:line="240" w:lineRule="auto" w:before="8"/>
        <w:rPr>
          <w:rFonts w:ascii="宋体" w:hAnsi="宋体" w:cs="宋体" w:eastAsia="宋体" w:hint="default"/>
          <w:sz w:val="11"/>
          <w:szCs w:val="11"/>
        </w:rPr>
      </w:pPr>
    </w:p>
    <w:tbl>
      <w:tblPr>
        <w:tblW w:w="0" w:type="auto"/>
        <w:jc w:val="left"/>
        <w:tblInd w:w="148" w:type="dxa"/>
        <w:tblLayout w:type="fixed"/>
        <w:tblCellMar>
          <w:top w:w="0" w:type="dxa"/>
          <w:left w:w="0" w:type="dxa"/>
          <w:bottom w:w="0" w:type="dxa"/>
          <w:right w:w="0" w:type="dxa"/>
        </w:tblCellMar>
        <w:tblLook w:val="01E0"/>
      </w:tblPr>
      <w:tblGrid>
        <w:gridCol w:w="1702"/>
        <w:gridCol w:w="1133"/>
        <w:gridCol w:w="238"/>
        <w:gridCol w:w="235"/>
        <w:gridCol w:w="238"/>
        <w:gridCol w:w="1133"/>
        <w:gridCol w:w="994"/>
        <w:gridCol w:w="283"/>
        <w:gridCol w:w="283"/>
        <w:gridCol w:w="1133"/>
        <w:gridCol w:w="1136"/>
        <w:gridCol w:w="1274"/>
      </w:tblGrid>
      <w:tr>
        <w:trPr>
          <w:trHeight w:val="443" w:hRule="exact"/>
        </w:trPr>
        <w:tc>
          <w:tcPr>
            <w:tcW w:w="170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0"/>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8080"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 w:right="0"/>
              <w:jc w:val="center"/>
              <w:rPr>
                <w:rFonts w:ascii="宋体" w:hAnsi="宋体" w:cs="宋体" w:eastAsia="宋体" w:hint="default"/>
                <w:sz w:val="18"/>
                <w:szCs w:val="18"/>
              </w:rPr>
            </w:pPr>
            <w:r>
              <w:rPr>
                <w:rFonts w:ascii="宋体" w:hAnsi="宋体" w:cs="宋体" w:eastAsia="宋体" w:hint="default"/>
                <w:sz w:val="18"/>
                <w:szCs w:val="18"/>
              </w:rPr>
              <w:t>本年发生额</w:t>
            </w:r>
          </w:p>
        </w:tc>
      </w:tr>
      <w:tr>
        <w:trPr>
          <w:trHeight w:val="677" w:hRule="exact"/>
        </w:trPr>
        <w:tc>
          <w:tcPr>
            <w:tcW w:w="1702" w:type="dxa"/>
            <w:vMerge/>
            <w:tcBorders>
              <w:left w:val="single" w:sz="4" w:space="0" w:color="000000"/>
              <w:right w:val="single" w:sz="4" w:space="0" w:color="000000"/>
            </w:tcBorders>
            <w:shd w:val="clear" w:color="auto" w:fill="D2D2D2"/>
          </w:tcPr>
          <w:p>
            <w:pPr/>
          </w:p>
        </w:tc>
        <w:tc>
          <w:tcPr>
            <w:tcW w:w="113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股本</w:t>
            </w:r>
          </w:p>
        </w:tc>
        <w:tc>
          <w:tcPr>
            <w:tcW w:w="711"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9" w:right="79"/>
              <w:jc w:val="left"/>
              <w:rPr>
                <w:rFonts w:ascii="宋体" w:hAnsi="宋体" w:cs="宋体" w:eastAsia="宋体" w:hint="default"/>
                <w:sz w:val="18"/>
                <w:szCs w:val="18"/>
              </w:rPr>
            </w:pPr>
            <w:r>
              <w:rPr>
                <w:rFonts w:ascii="宋体" w:hAnsi="宋体" w:cs="宋体" w:eastAsia="宋体" w:hint="default"/>
                <w:sz w:val="18"/>
                <w:szCs w:val="18"/>
              </w:rPr>
              <w:t>其他权 益工具</w:t>
            </w:r>
          </w:p>
        </w:tc>
        <w:tc>
          <w:tcPr>
            <w:tcW w:w="113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201"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9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40"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283" w:type="dxa"/>
            <w:vMerge w:val="restart"/>
            <w:tcBorders>
              <w:top w:val="single" w:sz="4" w:space="0" w:color="000000"/>
              <w:left w:val="single" w:sz="4" w:space="0" w:color="000000"/>
              <w:right w:val="single" w:sz="4" w:space="0" w:color="000000"/>
            </w:tcBorders>
            <w:shd w:val="clear" w:color="auto" w:fill="D2D2D2"/>
          </w:tcPr>
          <w:p>
            <w:pPr>
              <w:pStyle w:val="TableParagraph"/>
              <w:spacing w:line="237" w:lineRule="auto" w:before="53"/>
              <w:ind w:left="48" w:right="43"/>
              <w:jc w:val="both"/>
              <w:rPr>
                <w:rFonts w:ascii="宋体" w:hAnsi="宋体" w:cs="宋体" w:eastAsia="宋体" w:hint="default"/>
                <w:sz w:val="18"/>
                <w:szCs w:val="18"/>
              </w:rPr>
            </w:pPr>
            <w:r>
              <w:rPr>
                <w:rFonts w:ascii="宋体" w:hAnsi="宋体" w:cs="宋体" w:eastAsia="宋体" w:hint="default"/>
                <w:sz w:val="18"/>
                <w:szCs w:val="18"/>
              </w:rPr>
              <w:t>其 他 综 合 收 益</w:t>
            </w:r>
          </w:p>
        </w:tc>
        <w:tc>
          <w:tcPr>
            <w:tcW w:w="28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48" w:right="43"/>
              <w:jc w:val="both"/>
              <w:rPr>
                <w:rFonts w:ascii="宋体" w:hAnsi="宋体" w:cs="宋体" w:eastAsia="宋体" w:hint="default"/>
                <w:sz w:val="18"/>
                <w:szCs w:val="18"/>
              </w:rPr>
            </w:pPr>
            <w:r>
              <w:rPr>
                <w:rFonts w:ascii="宋体" w:hAnsi="宋体" w:cs="宋体" w:eastAsia="宋体" w:hint="default"/>
                <w:sz w:val="18"/>
                <w:szCs w:val="18"/>
              </w:rPr>
              <w:t>专 项 储 备</w:t>
            </w:r>
          </w:p>
        </w:tc>
        <w:tc>
          <w:tcPr>
            <w:tcW w:w="113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201"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13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1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27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21"/>
                <w:szCs w:val="21"/>
              </w:rPr>
            </w:pPr>
          </w:p>
          <w:p>
            <w:pPr>
              <w:pStyle w:val="TableParagraph"/>
              <w:spacing w:line="240" w:lineRule="auto"/>
              <w:ind w:left="542" w:right="89" w:hanging="449"/>
              <w:jc w:val="left"/>
              <w:rPr>
                <w:rFonts w:ascii="宋体" w:hAnsi="宋体" w:cs="宋体" w:eastAsia="宋体" w:hint="default"/>
                <w:sz w:val="18"/>
                <w:szCs w:val="18"/>
              </w:rPr>
            </w:pPr>
            <w:r>
              <w:rPr>
                <w:rFonts w:ascii="宋体" w:hAnsi="宋体" w:cs="宋体" w:eastAsia="宋体" w:hint="default"/>
                <w:sz w:val="18"/>
                <w:szCs w:val="18"/>
              </w:rPr>
              <w:t>所有者权益合 计</w:t>
            </w:r>
          </w:p>
        </w:tc>
      </w:tr>
      <w:tr>
        <w:trPr>
          <w:trHeight w:val="934" w:hRule="exact"/>
        </w:trPr>
        <w:tc>
          <w:tcPr>
            <w:tcW w:w="1702" w:type="dxa"/>
            <w:vMerge/>
            <w:tcBorders>
              <w:left w:val="single" w:sz="4" w:space="0" w:color="000000"/>
              <w:bottom w:val="single" w:sz="4" w:space="0" w:color="000000"/>
              <w:right w:val="single" w:sz="4" w:space="0" w:color="000000"/>
            </w:tcBorders>
            <w:shd w:val="clear" w:color="auto" w:fill="D2D2D2"/>
          </w:tcPr>
          <w:p>
            <w:pPr/>
          </w:p>
        </w:tc>
        <w:tc>
          <w:tcPr>
            <w:tcW w:w="1133" w:type="dxa"/>
            <w:vMerge/>
            <w:tcBorders>
              <w:left w:val="single" w:sz="4" w:space="0" w:color="000000"/>
              <w:bottom w:val="single" w:sz="4" w:space="0" w:color="000000"/>
              <w:right w:val="single" w:sz="4" w:space="0" w:color="000000"/>
            </w:tcBorders>
            <w:shd w:val="clear" w:color="auto" w:fill="D2D2D2"/>
          </w:tcPr>
          <w:p>
            <w:pPr/>
          </w:p>
        </w:tc>
        <w:tc>
          <w:tcPr>
            <w:tcW w:w="2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7" w:lineRule="auto" w:before="85"/>
              <w:ind w:left="23" w:right="22"/>
              <w:jc w:val="both"/>
              <w:rPr>
                <w:rFonts w:ascii="宋体" w:hAnsi="宋体" w:cs="宋体" w:eastAsia="宋体" w:hint="default"/>
                <w:sz w:val="18"/>
                <w:szCs w:val="18"/>
              </w:rPr>
            </w:pPr>
            <w:r>
              <w:rPr>
                <w:rFonts w:ascii="宋体" w:hAnsi="宋体" w:cs="宋体" w:eastAsia="宋体" w:hint="default"/>
                <w:sz w:val="18"/>
                <w:szCs w:val="18"/>
              </w:rPr>
              <w:t>优 先 股</w:t>
            </w:r>
          </w:p>
        </w:tc>
        <w:tc>
          <w:tcPr>
            <w:tcW w:w="2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7" w:lineRule="auto" w:before="85"/>
              <w:ind w:left="23" w:right="19"/>
              <w:jc w:val="both"/>
              <w:rPr>
                <w:rFonts w:ascii="宋体" w:hAnsi="宋体" w:cs="宋体" w:eastAsia="宋体" w:hint="default"/>
                <w:sz w:val="18"/>
                <w:szCs w:val="18"/>
              </w:rPr>
            </w:pPr>
            <w:r>
              <w:rPr>
                <w:rFonts w:ascii="宋体" w:hAnsi="宋体" w:cs="宋体" w:eastAsia="宋体" w:hint="default"/>
                <w:sz w:val="18"/>
                <w:szCs w:val="18"/>
              </w:rPr>
              <w:t>永 续 债</w:t>
            </w:r>
          </w:p>
        </w:tc>
        <w:tc>
          <w:tcPr>
            <w:tcW w:w="2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23" w:right="23"/>
              <w:jc w:val="left"/>
              <w:rPr>
                <w:rFonts w:ascii="宋体" w:hAnsi="宋体" w:cs="宋体" w:eastAsia="宋体" w:hint="default"/>
                <w:sz w:val="18"/>
                <w:szCs w:val="18"/>
              </w:rPr>
            </w:pPr>
            <w:r>
              <w:rPr>
                <w:rFonts w:ascii="宋体" w:hAnsi="宋体" w:cs="宋体" w:eastAsia="宋体" w:hint="default"/>
                <w:sz w:val="18"/>
                <w:szCs w:val="18"/>
              </w:rPr>
              <w:t>其 他</w:t>
            </w:r>
          </w:p>
        </w:tc>
        <w:tc>
          <w:tcPr>
            <w:tcW w:w="1133" w:type="dxa"/>
            <w:vMerge/>
            <w:tcBorders>
              <w:left w:val="single" w:sz="4" w:space="0" w:color="000000"/>
              <w:bottom w:val="single" w:sz="4" w:space="0" w:color="000000"/>
              <w:right w:val="single" w:sz="4" w:space="0" w:color="000000"/>
            </w:tcBorders>
            <w:shd w:val="clear" w:color="auto" w:fill="D2D2D2"/>
          </w:tcPr>
          <w:p>
            <w:pPr/>
          </w:p>
        </w:tc>
        <w:tc>
          <w:tcPr>
            <w:tcW w:w="994" w:type="dxa"/>
            <w:vMerge/>
            <w:tcBorders>
              <w:left w:val="single" w:sz="4" w:space="0" w:color="000000"/>
              <w:bottom w:val="single" w:sz="4" w:space="0" w:color="000000"/>
              <w:right w:val="single" w:sz="4" w:space="0" w:color="000000"/>
            </w:tcBorders>
            <w:shd w:val="clear" w:color="auto" w:fill="D2D2D2"/>
          </w:tcPr>
          <w:p>
            <w:pPr/>
          </w:p>
        </w:tc>
        <w:tc>
          <w:tcPr>
            <w:tcW w:w="283" w:type="dxa"/>
            <w:vMerge/>
            <w:tcBorders>
              <w:left w:val="single" w:sz="4" w:space="0" w:color="000000"/>
              <w:bottom w:val="single" w:sz="4" w:space="0" w:color="000000"/>
              <w:right w:val="single" w:sz="4" w:space="0" w:color="000000"/>
            </w:tcBorders>
            <w:shd w:val="clear" w:color="auto" w:fill="D2D2D2"/>
          </w:tcPr>
          <w:p>
            <w:pPr/>
          </w:p>
        </w:tc>
        <w:tc>
          <w:tcPr>
            <w:tcW w:w="283" w:type="dxa"/>
            <w:vMerge/>
            <w:tcBorders>
              <w:left w:val="single" w:sz="4" w:space="0" w:color="000000"/>
              <w:bottom w:val="single" w:sz="4" w:space="0" w:color="000000"/>
              <w:right w:val="single" w:sz="4" w:space="0" w:color="000000"/>
            </w:tcBorders>
            <w:shd w:val="clear" w:color="auto" w:fill="D2D2D2"/>
          </w:tcPr>
          <w:p>
            <w:pPr/>
          </w:p>
        </w:tc>
        <w:tc>
          <w:tcPr>
            <w:tcW w:w="1133" w:type="dxa"/>
            <w:vMerge/>
            <w:tcBorders>
              <w:left w:val="single" w:sz="4" w:space="0" w:color="000000"/>
              <w:bottom w:val="single" w:sz="4" w:space="0" w:color="000000"/>
              <w:right w:val="single" w:sz="4" w:space="0" w:color="000000"/>
            </w:tcBorders>
            <w:shd w:val="clear" w:color="auto" w:fill="D2D2D2"/>
          </w:tcPr>
          <w:p>
            <w:pPr/>
          </w:p>
        </w:tc>
        <w:tc>
          <w:tcPr>
            <w:tcW w:w="1136" w:type="dxa"/>
            <w:vMerge/>
            <w:tcBorders>
              <w:left w:val="single" w:sz="4" w:space="0" w:color="000000"/>
              <w:bottom w:val="single" w:sz="4" w:space="0" w:color="000000"/>
              <w:right w:val="single" w:sz="4" w:space="0" w:color="000000"/>
            </w:tcBorders>
            <w:shd w:val="clear" w:color="auto" w:fill="D2D2D2"/>
          </w:tcPr>
          <w:p>
            <w:pPr/>
          </w:p>
        </w:tc>
        <w:tc>
          <w:tcPr>
            <w:tcW w:w="1274" w:type="dxa"/>
            <w:vMerge/>
            <w:tcBorders>
              <w:left w:val="single" w:sz="4" w:space="0" w:color="000000"/>
              <w:bottom w:val="single" w:sz="4" w:space="0" w:color="000000"/>
              <w:right w:val="single" w:sz="4" w:space="0" w:color="000000"/>
            </w:tcBorders>
            <w:shd w:val="clear" w:color="auto" w:fill="D2D2D2"/>
          </w:tcPr>
          <w:p>
            <w:pPr/>
          </w:p>
        </w:tc>
      </w:tr>
      <w:tr>
        <w:trPr>
          <w:trHeight w:val="341"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4" w:right="0"/>
              <w:jc w:val="left"/>
              <w:rPr>
                <w:rFonts w:ascii="宋体" w:hAnsi="宋体" w:cs="宋体" w:eastAsia="宋体" w:hint="default"/>
                <w:sz w:val="18"/>
                <w:szCs w:val="18"/>
              </w:rPr>
            </w:pPr>
            <w:r>
              <w:rPr>
                <w:rFonts w:ascii="宋体" w:hAnsi="宋体" w:cs="宋体" w:eastAsia="宋体" w:hint="default"/>
                <w:sz w:val="18"/>
                <w:szCs w:val="18"/>
              </w:rPr>
              <w:t>一、上年期末余额</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9"/>
              <w:jc w:val="right"/>
              <w:rPr>
                <w:rFonts w:ascii="Arial" w:hAnsi="Arial" w:cs="Arial" w:eastAsia="Arial" w:hint="default"/>
                <w:sz w:val="15"/>
                <w:szCs w:val="15"/>
              </w:rPr>
            </w:pPr>
            <w:r>
              <w:rPr>
                <w:rFonts w:ascii="Arial"/>
                <w:spacing w:val="-2"/>
                <w:w w:val="80"/>
                <w:sz w:val="15"/>
              </w:rPr>
              <w:t>669,101,883.00</w:t>
            </w:r>
            <w:r>
              <w:rPr>
                <w:rFonts w:ascii="Arial"/>
                <w:spacing w:val="-2"/>
                <w:sz w:val="15"/>
              </w:rPr>
            </w:r>
          </w:p>
        </w:tc>
        <w:tc>
          <w:tcPr>
            <w:tcW w:w="23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9"/>
              <w:jc w:val="right"/>
              <w:rPr>
                <w:rFonts w:ascii="Arial" w:hAnsi="Arial" w:cs="Arial" w:eastAsia="Arial" w:hint="default"/>
                <w:sz w:val="15"/>
                <w:szCs w:val="15"/>
              </w:rPr>
            </w:pPr>
            <w:r>
              <w:rPr>
                <w:rFonts w:ascii="Arial"/>
                <w:spacing w:val="-1"/>
                <w:w w:val="80"/>
                <w:sz w:val="15"/>
              </w:rPr>
              <w:t>1,807,161,154.72</w:t>
            </w:r>
            <w:r>
              <w:rPr>
                <w:rFonts w:ascii="Arial"/>
                <w:spacing w:val="-1"/>
                <w:sz w:val="15"/>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9"/>
              <w:jc w:val="right"/>
              <w:rPr>
                <w:rFonts w:ascii="Arial" w:hAnsi="Arial" w:cs="Arial" w:eastAsia="Arial" w:hint="default"/>
                <w:sz w:val="15"/>
                <w:szCs w:val="15"/>
              </w:rPr>
            </w:pPr>
            <w:r>
              <w:rPr>
                <w:rFonts w:ascii="Arial"/>
                <w:spacing w:val="-1"/>
                <w:w w:val="80"/>
                <w:sz w:val="15"/>
              </w:rPr>
              <w:t>56,093,581.76</w:t>
            </w:r>
            <w:r>
              <w:rPr>
                <w:rFonts w:ascii="Arial"/>
                <w:spacing w:val="-1"/>
                <w:sz w:val="15"/>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22"/>
              <w:jc w:val="right"/>
              <w:rPr>
                <w:rFonts w:ascii="Arial" w:hAnsi="Arial" w:cs="Arial" w:eastAsia="Arial" w:hint="default"/>
                <w:sz w:val="15"/>
                <w:szCs w:val="15"/>
              </w:rPr>
            </w:pPr>
            <w:r>
              <w:rPr>
                <w:rFonts w:ascii="Arial"/>
                <w:spacing w:val="-2"/>
                <w:w w:val="80"/>
                <w:sz w:val="15"/>
              </w:rPr>
              <w:t>460,480,249.94</w:t>
            </w:r>
            <w:r>
              <w:rPr>
                <w:rFonts w:ascii="Arial"/>
                <w:spacing w:val="-2"/>
                <w:sz w:val="15"/>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9"/>
              <w:jc w:val="right"/>
              <w:rPr>
                <w:rFonts w:ascii="Arial" w:hAnsi="Arial" w:cs="Arial" w:eastAsia="Arial" w:hint="default"/>
                <w:sz w:val="15"/>
                <w:szCs w:val="15"/>
              </w:rPr>
            </w:pPr>
            <w:r>
              <w:rPr>
                <w:rFonts w:ascii="Arial"/>
                <w:spacing w:val="-1"/>
                <w:w w:val="80"/>
                <w:sz w:val="15"/>
              </w:rPr>
              <w:t>2,992,836,869.42</w:t>
            </w:r>
            <w:r>
              <w:rPr>
                <w:rFonts w:ascii="Arial"/>
                <w:spacing w:val="-1"/>
                <w:sz w:val="15"/>
              </w:rPr>
            </w:r>
          </w:p>
        </w:tc>
      </w:tr>
      <w:tr>
        <w:trPr>
          <w:trHeight w:val="341"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4"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133"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0"/>
              <w:ind w:left="24"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133"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133"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4" w:right="0"/>
              <w:jc w:val="left"/>
              <w:rPr>
                <w:rFonts w:ascii="宋体" w:hAnsi="宋体" w:cs="宋体" w:eastAsia="宋体" w:hint="default"/>
                <w:sz w:val="18"/>
                <w:szCs w:val="18"/>
              </w:rPr>
            </w:pPr>
            <w:r>
              <w:rPr>
                <w:rFonts w:ascii="宋体" w:hAnsi="宋体" w:cs="宋体" w:eastAsia="宋体" w:hint="default"/>
                <w:sz w:val="18"/>
                <w:szCs w:val="18"/>
              </w:rPr>
              <w:t>二、本年期初余额</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Arial" w:hAnsi="Arial" w:cs="Arial" w:eastAsia="Arial" w:hint="default"/>
                <w:sz w:val="15"/>
                <w:szCs w:val="15"/>
              </w:rPr>
            </w:pPr>
            <w:r>
              <w:rPr>
                <w:rFonts w:ascii="Arial"/>
                <w:spacing w:val="-2"/>
                <w:w w:val="80"/>
                <w:sz w:val="15"/>
              </w:rPr>
              <w:t>669,101,883.00</w:t>
            </w:r>
            <w:r>
              <w:rPr>
                <w:rFonts w:ascii="Arial"/>
                <w:spacing w:val="-2"/>
                <w:sz w:val="15"/>
              </w:rPr>
            </w:r>
          </w:p>
        </w:tc>
        <w:tc>
          <w:tcPr>
            <w:tcW w:w="23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Arial" w:hAnsi="Arial" w:cs="Arial" w:eastAsia="Arial" w:hint="default"/>
                <w:sz w:val="15"/>
                <w:szCs w:val="15"/>
              </w:rPr>
            </w:pPr>
            <w:r>
              <w:rPr>
                <w:rFonts w:ascii="Arial"/>
                <w:spacing w:val="-1"/>
                <w:w w:val="80"/>
                <w:sz w:val="15"/>
              </w:rPr>
              <w:t>1,807,161,154.72</w:t>
            </w:r>
            <w:r>
              <w:rPr>
                <w:rFonts w:ascii="Arial"/>
                <w:spacing w:val="-1"/>
                <w:sz w:val="15"/>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Arial" w:hAnsi="Arial" w:cs="Arial" w:eastAsia="Arial" w:hint="default"/>
                <w:sz w:val="15"/>
                <w:szCs w:val="15"/>
              </w:rPr>
            </w:pPr>
            <w:r>
              <w:rPr>
                <w:rFonts w:ascii="Arial"/>
                <w:spacing w:val="-1"/>
                <w:w w:val="80"/>
                <w:sz w:val="15"/>
              </w:rPr>
              <w:t>56,093,581.76</w:t>
            </w:r>
            <w:r>
              <w:rPr>
                <w:rFonts w:ascii="Arial"/>
                <w:spacing w:val="-1"/>
                <w:sz w:val="15"/>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2"/>
              <w:jc w:val="right"/>
              <w:rPr>
                <w:rFonts w:ascii="Arial" w:hAnsi="Arial" w:cs="Arial" w:eastAsia="Arial" w:hint="default"/>
                <w:sz w:val="15"/>
                <w:szCs w:val="15"/>
              </w:rPr>
            </w:pPr>
            <w:r>
              <w:rPr>
                <w:rFonts w:ascii="Arial"/>
                <w:spacing w:val="-2"/>
                <w:w w:val="80"/>
                <w:sz w:val="15"/>
              </w:rPr>
              <w:t>460,480,249.94</w:t>
            </w:r>
            <w:r>
              <w:rPr>
                <w:rFonts w:ascii="Arial"/>
                <w:spacing w:val="-2"/>
                <w:sz w:val="15"/>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Arial" w:hAnsi="Arial" w:cs="Arial" w:eastAsia="Arial" w:hint="default"/>
                <w:sz w:val="15"/>
                <w:szCs w:val="15"/>
              </w:rPr>
            </w:pPr>
            <w:r>
              <w:rPr>
                <w:rFonts w:ascii="Arial"/>
                <w:spacing w:val="-1"/>
                <w:w w:val="80"/>
                <w:sz w:val="15"/>
              </w:rPr>
              <w:t>2,992,836,869.42</w:t>
            </w:r>
            <w:r>
              <w:rPr>
                <w:rFonts w:ascii="Arial"/>
                <w:spacing w:val="-1"/>
                <w:sz w:val="15"/>
              </w:rPr>
            </w:r>
          </w:p>
        </w:tc>
      </w:tr>
      <w:tr>
        <w:trPr>
          <w:trHeight w:val="790"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7" w:lineRule="auto" w:before="12"/>
              <w:ind w:left="24" w:right="26"/>
              <w:jc w:val="both"/>
              <w:rPr>
                <w:rFonts w:ascii="宋体" w:hAnsi="宋体" w:cs="宋体" w:eastAsia="宋体" w:hint="default"/>
                <w:sz w:val="18"/>
                <w:szCs w:val="18"/>
              </w:rPr>
            </w:pPr>
            <w:r>
              <w:rPr>
                <w:rFonts w:ascii="宋体" w:hAnsi="宋体" w:cs="宋体" w:eastAsia="宋体" w:hint="default"/>
                <w:sz w:val="18"/>
                <w:szCs w:val="18"/>
              </w:rPr>
              <w:t>三、本期增减变动金</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额（减少以“－”号</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填列）</w:t>
            </w:r>
          </w:p>
        </w:tc>
        <w:tc>
          <w:tcPr>
            <w:tcW w:w="1133"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0"/>
              <w:ind w:right="22"/>
              <w:jc w:val="right"/>
              <w:rPr>
                <w:rFonts w:ascii="Arial" w:hAnsi="Arial" w:cs="Arial" w:eastAsia="Arial" w:hint="default"/>
                <w:sz w:val="15"/>
                <w:szCs w:val="15"/>
              </w:rPr>
            </w:pPr>
            <w:r>
              <w:rPr>
                <w:rFonts w:ascii="Arial"/>
                <w:spacing w:val="-1"/>
                <w:w w:val="80"/>
                <w:sz w:val="15"/>
              </w:rPr>
              <w:t>14,436,163.60</w:t>
            </w:r>
            <w:r>
              <w:rPr>
                <w:rFonts w:ascii="Arial"/>
                <w:spacing w:val="-1"/>
                <w:sz w:val="15"/>
              </w:rPr>
            </w: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0"/>
              <w:ind w:right="22"/>
              <w:jc w:val="right"/>
              <w:rPr>
                <w:rFonts w:ascii="Arial" w:hAnsi="Arial" w:cs="Arial" w:eastAsia="Arial" w:hint="default"/>
                <w:sz w:val="15"/>
                <w:szCs w:val="15"/>
              </w:rPr>
            </w:pPr>
            <w:r>
              <w:rPr>
                <w:rFonts w:ascii="Arial"/>
                <w:spacing w:val="-2"/>
                <w:w w:val="80"/>
                <w:sz w:val="15"/>
              </w:rPr>
              <w:t>-919,285,999.20</w:t>
            </w:r>
            <w:r>
              <w:rPr>
                <w:rFonts w:ascii="Arial"/>
                <w:spacing w:val="-2"/>
                <w:sz w:val="15"/>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20"/>
              <w:ind w:right="19"/>
              <w:jc w:val="right"/>
              <w:rPr>
                <w:rFonts w:ascii="Arial" w:hAnsi="Arial" w:cs="Arial" w:eastAsia="Arial" w:hint="default"/>
                <w:sz w:val="15"/>
                <w:szCs w:val="15"/>
              </w:rPr>
            </w:pPr>
            <w:r>
              <w:rPr>
                <w:rFonts w:ascii="Arial"/>
                <w:spacing w:val="-2"/>
                <w:w w:val="80"/>
                <w:sz w:val="15"/>
              </w:rPr>
              <w:t>-933,722,162.80</w:t>
            </w:r>
            <w:r>
              <w:rPr>
                <w:rFonts w:ascii="Arial"/>
                <w:spacing w:val="-2"/>
                <w:sz w:val="15"/>
              </w:rPr>
            </w:r>
          </w:p>
        </w:tc>
      </w:tr>
      <w:tr>
        <w:trPr>
          <w:trHeight w:val="341"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4" w:right="0"/>
              <w:jc w:val="left"/>
              <w:rPr>
                <w:rFonts w:ascii="宋体" w:hAnsi="宋体" w:cs="宋体" w:eastAsia="宋体" w:hint="default"/>
                <w:sz w:val="18"/>
                <w:szCs w:val="18"/>
              </w:rPr>
            </w:pPr>
            <w:r>
              <w:rPr>
                <w:rFonts w:ascii="宋体" w:hAnsi="宋体" w:cs="宋体" w:eastAsia="宋体" w:hint="default"/>
                <w:sz w:val="18"/>
                <w:szCs w:val="18"/>
              </w:rPr>
              <w:t>（一）综合收益总额</w:t>
            </w:r>
          </w:p>
        </w:tc>
        <w:tc>
          <w:tcPr>
            <w:tcW w:w="1133"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22"/>
              <w:jc w:val="right"/>
              <w:rPr>
                <w:rFonts w:ascii="Arial" w:hAnsi="Arial" w:cs="Arial" w:eastAsia="Arial" w:hint="default"/>
                <w:sz w:val="15"/>
                <w:szCs w:val="15"/>
              </w:rPr>
            </w:pPr>
            <w:r>
              <w:rPr>
                <w:rFonts w:ascii="Arial"/>
                <w:spacing w:val="-2"/>
                <w:w w:val="80"/>
                <w:sz w:val="15"/>
              </w:rPr>
              <w:t>-893,914,095.21</w:t>
            </w:r>
            <w:r>
              <w:rPr>
                <w:rFonts w:ascii="Arial"/>
                <w:spacing w:val="-2"/>
                <w:sz w:val="15"/>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9"/>
              <w:jc w:val="right"/>
              <w:rPr>
                <w:rFonts w:ascii="Arial" w:hAnsi="Arial" w:cs="Arial" w:eastAsia="Arial" w:hint="default"/>
                <w:sz w:val="15"/>
                <w:szCs w:val="15"/>
              </w:rPr>
            </w:pPr>
            <w:r>
              <w:rPr>
                <w:rFonts w:ascii="Arial"/>
                <w:spacing w:val="-2"/>
                <w:w w:val="80"/>
                <w:sz w:val="15"/>
              </w:rPr>
              <w:t>-893,914,095.21</w:t>
            </w:r>
            <w:r>
              <w:rPr>
                <w:rFonts w:ascii="Arial"/>
                <w:spacing w:val="-2"/>
                <w:sz w:val="15"/>
              </w:rPr>
            </w:r>
          </w:p>
        </w:tc>
      </w:tr>
      <w:tr>
        <w:trPr>
          <w:trHeight w:val="557"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26"/>
              <w:jc w:val="left"/>
              <w:rPr>
                <w:rFonts w:ascii="宋体" w:hAnsi="宋体" w:cs="宋体" w:eastAsia="宋体" w:hint="default"/>
                <w:sz w:val="18"/>
                <w:szCs w:val="18"/>
              </w:rPr>
            </w:pPr>
            <w:r>
              <w:rPr>
                <w:rFonts w:ascii="宋体" w:hAnsi="宋体" w:cs="宋体" w:eastAsia="宋体" w:hint="default"/>
                <w:sz w:val="18"/>
                <w:szCs w:val="18"/>
              </w:rPr>
              <w:t>（二）所有者投入和</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减少资本</w:t>
            </w:r>
          </w:p>
        </w:tc>
        <w:tc>
          <w:tcPr>
            <w:tcW w:w="1133"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22"/>
              <w:jc w:val="right"/>
              <w:rPr>
                <w:rFonts w:ascii="Arial" w:hAnsi="Arial" w:cs="Arial" w:eastAsia="Arial" w:hint="default"/>
                <w:sz w:val="15"/>
                <w:szCs w:val="15"/>
              </w:rPr>
            </w:pPr>
            <w:r>
              <w:rPr>
                <w:rFonts w:ascii="Arial"/>
                <w:spacing w:val="-1"/>
                <w:w w:val="80"/>
                <w:sz w:val="15"/>
              </w:rPr>
              <w:t>14,436,163.60</w:t>
            </w:r>
            <w:r>
              <w:rPr>
                <w:rFonts w:ascii="Arial"/>
                <w:spacing w:val="-1"/>
                <w:sz w:val="15"/>
              </w:rPr>
            </w: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9"/>
              <w:jc w:val="right"/>
              <w:rPr>
                <w:rFonts w:ascii="Arial" w:hAnsi="Arial" w:cs="Arial" w:eastAsia="Arial" w:hint="default"/>
                <w:sz w:val="15"/>
                <w:szCs w:val="15"/>
              </w:rPr>
            </w:pPr>
            <w:r>
              <w:rPr>
                <w:rFonts w:ascii="Arial"/>
                <w:spacing w:val="-1"/>
                <w:w w:val="80"/>
                <w:sz w:val="15"/>
              </w:rPr>
              <w:t>14,436,163.60</w:t>
            </w:r>
            <w:r>
              <w:rPr>
                <w:rFonts w:ascii="Arial"/>
                <w:spacing w:val="-1"/>
                <w:sz w:val="15"/>
              </w:rPr>
            </w:r>
          </w:p>
        </w:tc>
      </w:tr>
      <w:tr>
        <w:trPr>
          <w:trHeight w:val="322"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股东投入普通股</w:t>
            </w:r>
          </w:p>
        </w:tc>
        <w:tc>
          <w:tcPr>
            <w:tcW w:w="1133"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22"/>
              <w:jc w:val="right"/>
              <w:rPr>
                <w:rFonts w:ascii="Arial" w:hAnsi="Arial" w:cs="Arial" w:eastAsia="Arial" w:hint="default"/>
                <w:sz w:val="15"/>
                <w:szCs w:val="15"/>
              </w:rPr>
            </w:pPr>
            <w:r>
              <w:rPr>
                <w:rFonts w:ascii="Arial"/>
                <w:spacing w:val="-1"/>
                <w:w w:val="80"/>
                <w:sz w:val="15"/>
              </w:rPr>
              <w:t>14,436,163.60</w:t>
            </w:r>
            <w:r>
              <w:rPr>
                <w:rFonts w:ascii="Arial"/>
                <w:spacing w:val="-1"/>
                <w:sz w:val="15"/>
              </w:rPr>
            </w: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0"/>
              <w:ind w:right="19"/>
              <w:jc w:val="right"/>
              <w:rPr>
                <w:rFonts w:ascii="Arial" w:hAnsi="Arial" w:cs="Arial" w:eastAsia="Arial" w:hint="default"/>
                <w:sz w:val="15"/>
                <w:szCs w:val="15"/>
              </w:rPr>
            </w:pPr>
            <w:r>
              <w:rPr>
                <w:rFonts w:ascii="Arial"/>
                <w:spacing w:val="-1"/>
                <w:w w:val="80"/>
                <w:sz w:val="15"/>
              </w:rPr>
              <w:t>14,436,163.60</w:t>
            </w:r>
            <w:r>
              <w:rPr>
                <w:rFonts w:ascii="Arial"/>
                <w:spacing w:val="-1"/>
                <w:sz w:val="15"/>
              </w:rPr>
            </w:r>
          </w:p>
        </w:tc>
      </w:tr>
      <w:tr>
        <w:trPr>
          <w:trHeight w:val="559"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34"/>
              <w:ind w:left="24" w:right="21"/>
              <w:jc w:val="left"/>
              <w:rPr>
                <w:rFonts w:ascii="宋体" w:hAnsi="宋体" w:cs="宋体" w:eastAsia="宋体" w:hint="default"/>
                <w:sz w:val="18"/>
                <w:szCs w:val="18"/>
              </w:rPr>
            </w:pPr>
            <w:r>
              <w:rPr>
                <w:rFonts w:ascii="Times New Roman" w:hAnsi="Times New Roman" w:cs="Times New Roman" w:eastAsia="Times New Roman" w:hint="default"/>
                <w:spacing w:val="6"/>
                <w:sz w:val="18"/>
                <w:szCs w:val="18"/>
              </w:rPr>
              <w:t>2.</w:t>
            </w:r>
            <w:r>
              <w:rPr>
                <w:rFonts w:ascii="宋体" w:hAnsi="宋体" w:cs="宋体" w:eastAsia="宋体" w:hint="default"/>
                <w:spacing w:val="6"/>
                <w:sz w:val="18"/>
                <w:szCs w:val="18"/>
              </w:rPr>
              <w:t>其他权益工具持有</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者投入资本</w:t>
            </w:r>
          </w:p>
        </w:tc>
        <w:tc>
          <w:tcPr>
            <w:tcW w:w="1133"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32"/>
              <w:ind w:left="24" w:right="21"/>
              <w:jc w:val="left"/>
              <w:rPr>
                <w:rFonts w:ascii="宋体" w:hAnsi="宋体" w:cs="宋体" w:eastAsia="宋体" w:hint="default"/>
                <w:sz w:val="18"/>
                <w:szCs w:val="18"/>
              </w:rPr>
            </w:pPr>
            <w:r>
              <w:rPr>
                <w:rFonts w:ascii="Times New Roman" w:hAnsi="Times New Roman" w:cs="Times New Roman" w:eastAsia="Times New Roman" w:hint="default"/>
                <w:spacing w:val="6"/>
                <w:sz w:val="18"/>
                <w:szCs w:val="18"/>
              </w:rPr>
              <w:t>3.</w:t>
            </w:r>
            <w:r>
              <w:rPr>
                <w:rFonts w:ascii="宋体" w:hAnsi="宋体" w:cs="宋体" w:eastAsia="宋体" w:hint="default"/>
                <w:spacing w:val="6"/>
                <w:sz w:val="18"/>
                <w:szCs w:val="18"/>
              </w:rPr>
              <w:t>股份支付计入所有</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者权益的金额</w:t>
            </w:r>
          </w:p>
        </w:tc>
        <w:tc>
          <w:tcPr>
            <w:tcW w:w="1133"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133"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4"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1133"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22"/>
              <w:jc w:val="right"/>
              <w:rPr>
                <w:rFonts w:ascii="Arial" w:hAnsi="Arial" w:cs="Arial" w:eastAsia="Arial" w:hint="default"/>
                <w:sz w:val="15"/>
                <w:szCs w:val="15"/>
              </w:rPr>
            </w:pPr>
            <w:r>
              <w:rPr>
                <w:rFonts w:ascii="Arial"/>
                <w:spacing w:val="-1"/>
                <w:w w:val="80"/>
                <w:sz w:val="15"/>
              </w:rPr>
              <w:t>-25,371,903.99</w:t>
            </w:r>
            <w:r>
              <w:rPr>
                <w:rFonts w:ascii="Arial"/>
                <w:spacing w:val="-1"/>
                <w:sz w:val="15"/>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9"/>
              <w:jc w:val="right"/>
              <w:rPr>
                <w:rFonts w:ascii="Arial" w:hAnsi="Arial" w:cs="Arial" w:eastAsia="Arial" w:hint="default"/>
                <w:sz w:val="15"/>
                <w:szCs w:val="15"/>
              </w:rPr>
            </w:pPr>
            <w:r>
              <w:rPr>
                <w:rFonts w:ascii="Arial"/>
                <w:spacing w:val="-1"/>
                <w:w w:val="80"/>
                <w:sz w:val="15"/>
              </w:rPr>
              <w:t>-25,371,903.99</w:t>
            </w:r>
            <w:r>
              <w:rPr>
                <w:rFonts w:ascii="Arial"/>
                <w:spacing w:val="-1"/>
                <w:sz w:val="15"/>
              </w:rPr>
            </w:r>
          </w:p>
        </w:tc>
      </w:tr>
      <w:tr>
        <w:trPr>
          <w:trHeight w:val="341"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1133"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9"/>
              <w:jc w:val="right"/>
              <w:rPr>
                <w:rFonts w:ascii="Arial" w:hAnsi="Arial" w:cs="Arial" w:eastAsia="Arial" w:hint="default"/>
                <w:sz w:val="15"/>
                <w:szCs w:val="15"/>
              </w:rPr>
            </w:pPr>
            <w:r>
              <w:rPr>
                <w:rFonts w:ascii="Arial"/>
                <w:w w:val="82"/>
                <w:sz w:val="15"/>
              </w:rPr>
              <w:t>-</w:t>
            </w:r>
            <w:r>
              <w:rPr>
                <w:rFonts w:ascii="Arial"/>
                <w:sz w:val="15"/>
              </w:rPr>
            </w:r>
          </w:p>
        </w:tc>
      </w:tr>
      <w:tr>
        <w:trPr>
          <w:trHeight w:val="557"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32"/>
              <w:ind w:left="24" w:right="809"/>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对所有者 的分配</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547" w:lineRule="exact"/>
              <w:ind w:right="-53"/>
              <w:jc w:val="left"/>
              <w:rPr>
                <w:rFonts w:ascii="宋体" w:hAnsi="宋体" w:cs="宋体" w:eastAsia="宋体" w:hint="default"/>
                <w:sz w:val="20"/>
                <w:szCs w:val="20"/>
              </w:rPr>
            </w:pPr>
            <w:r>
              <w:rPr>
                <w:rFonts w:ascii="宋体" w:hAnsi="宋体" w:cs="宋体" w:eastAsia="宋体" w:hint="default"/>
                <w:position w:val="-10"/>
                <w:sz w:val="20"/>
                <w:szCs w:val="20"/>
              </w:rPr>
              <w:pict>
                <v:group style="width:56.3pt;height:27.4pt;mso-position-horizontal-relative:char;mso-position-vertical-relative:line" coordorigin="0,0" coordsize="1126,548">
                  <v:group style="position:absolute;left:0;top:0;width:1126;height:548" coordorigin="0,0" coordsize="1126,548">
                    <v:shape style="position:absolute;left:0;top:0;width:1126;height:548" coordorigin="0,0" coordsize="1126,548" path="m0,547l1126,547,1126,0,0,0,0,547xe" filled="true" fillcolor="#ffffff" stroked="false">
                      <v:path arrowok="t"/>
                      <v:fill type="solid"/>
                    </v:shape>
                  </v:group>
                  <v:group style="position:absolute;left:24;top:149;width:1078;height:250" coordorigin="24,149" coordsize="1078,250">
                    <v:shape style="position:absolute;left:24;top:149;width:1078;height:250" coordorigin="24,149" coordsize="1078,250" path="m24,398l1102,398,1102,149,24,149,24,398xe" filled="true" fillcolor="#ffffff" stroked="false">
                      <v:path arrowok="t"/>
                      <v:fill type="solid"/>
                    </v:shape>
                  </v:group>
                </v:group>
              </w:pict>
            </w:r>
            <w:r>
              <w:rPr>
                <w:rFonts w:ascii="宋体" w:hAnsi="宋体" w:cs="宋体" w:eastAsia="宋体" w:hint="default"/>
                <w:position w:val="-10"/>
                <w:sz w:val="20"/>
                <w:szCs w:val="20"/>
              </w:rPr>
            </w:r>
          </w:p>
        </w:tc>
        <w:tc>
          <w:tcPr>
            <w:tcW w:w="23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22"/>
              <w:jc w:val="right"/>
              <w:rPr>
                <w:rFonts w:ascii="Arial" w:hAnsi="Arial" w:cs="Arial" w:eastAsia="Arial" w:hint="default"/>
                <w:sz w:val="15"/>
                <w:szCs w:val="15"/>
              </w:rPr>
            </w:pPr>
            <w:r>
              <w:rPr>
                <w:rFonts w:ascii="Arial"/>
                <w:spacing w:val="-1"/>
                <w:w w:val="80"/>
                <w:sz w:val="15"/>
              </w:rPr>
              <w:t>-25,371,903.99</w:t>
            </w:r>
            <w:r>
              <w:rPr>
                <w:rFonts w:ascii="Arial"/>
                <w:spacing w:val="-1"/>
                <w:sz w:val="15"/>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19"/>
              <w:jc w:val="right"/>
              <w:rPr>
                <w:rFonts w:ascii="Arial" w:hAnsi="Arial" w:cs="Arial" w:eastAsia="Arial" w:hint="default"/>
                <w:sz w:val="15"/>
                <w:szCs w:val="15"/>
              </w:rPr>
            </w:pPr>
            <w:r>
              <w:rPr>
                <w:rFonts w:ascii="Arial"/>
                <w:spacing w:val="-1"/>
                <w:w w:val="80"/>
                <w:sz w:val="15"/>
              </w:rPr>
              <w:t>-25,371,903.99</w:t>
            </w:r>
            <w:r>
              <w:rPr>
                <w:rFonts w:ascii="Arial"/>
                <w:spacing w:val="-1"/>
                <w:sz w:val="15"/>
              </w:rPr>
            </w:r>
          </w:p>
        </w:tc>
      </w:tr>
      <w:tr>
        <w:trPr>
          <w:trHeight w:val="338"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1133"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4" w:right="26"/>
              <w:jc w:val="left"/>
              <w:rPr>
                <w:rFonts w:ascii="宋体" w:hAnsi="宋体" w:cs="宋体" w:eastAsia="宋体" w:hint="default"/>
                <w:sz w:val="18"/>
                <w:szCs w:val="18"/>
              </w:rPr>
            </w:pPr>
            <w:r>
              <w:rPr>
                <w:rFonts w:ascii="宋体" w:hAnsi="宋体" w:cs="宋体" w:eastAsia="宋体" w:hint="default"/>
                <w:sz w:val="18"/>
                <w:szCs w:val="18"/>
              </w:rPr>
              <w:t>（四）所有者权益内</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部结转</w:t>
            </w:r>
          </w:p>
        </w:tc>
        <w:tc>
          <w:tcPr>
            <w:tcW w:w="1133"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2" w:lineRule="exact" w:before="10"/>
              <w:ind w:left="24" w:right="0"/>
              <w:jc w:val="left"/>
              <w:rPr>
                <w:rFonts w:ascii="宋体" w:hAnsi="宋体" w:cs="宋体" w:eastAsia="宋体" w:hint="default"/>
                <w:sz w:val="18"/>
                <w:szCs w:val="18"/>
              </w:rPr>
            </w:pPr>
            <w:r>
              <w:rPr>
                <w:rFonts w:ascii="Times New Roman" w:hAnsi="Times New Roman" w:cs="Times New Roman" w:eastAsia="Times New Roman" w:hint="default"/>
                <w:spacing w:val="6"/>
                <w:sz w:val="18"/>
                <w:szCs w:val="18"/>
              </w:rPr>
              <w:t>1.</w:t>
            </w:r>
            <w:r>
              <w:rPr>
                <w:rFonts w:ascii="宋体" w:hAnsi="宋体" w:cs="宋体" w:eastAsia="宋体" w:hint="default"/>
                <w:spacing w:val="6"/>
                <w:sz w:val="18"/>
                <w:szCs w:val="18"/>
              </w:rPr>
              <w:t>资本公积转增资本</w:t>
            </w:r>
          </w:p>
          <w:p>
            <w:pPr>
              <w:pStyle w:val="TableParagraph"/>
              <w:spacing w:line="229" w:lineRule="exact"/>
              <w:ind w:left="24" w:right="0"/>
              <w:jc w:val="left"/>
              <w:rPr>
                <w:rFonts w:ascii="宋体" w:hAnsi="宋体" w:cs="宋体" w:eastAsia="宋体" w:hint="default"/>
                <w:sz w:val="18"/>
                <w:szCs w:val="18"/>
              </w:rPr>
            </w:pPr>
            <w:r>
              <w:rPr>
                <w:rFonts w:ascii="宋体" w:hAnsi="宋体" w:cs="宋体" w:eastAsia="宋体" w:hint="default"/>
                <w:sz w:val="18"/>
                <w:szCs w:val="18"/>
              </w:rPr>
              <w:t>（或股本）</w:t>
            </w:r>
            <w:r>
              <w:rPr>
                <w:rFonts w:ascii="宋体" w:hAnsi="宋体" w:cs="宋体" w:eastAsia="宋体" w:hint="default"/>
                <w:sz w:val="18"/>
                <w:szCs w:val="18"/>
              </w:rPr>
              <w:t> </w:t>
            </w:r>
          </w:p>
        </w:tc>
        <w:tc>
          <w:tcPr>
            <w:tcW w:w="1133"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2" w:lineRule="exact" w:before="10"/>
              <w:ind w:left="24" w:right="0"/>
              <w:jc w:val="left"/>
              <w:rPr>
                <w:rFonts w:ascii="宋体" w:hAnsi="宋体" w:cs="宋体" w:eastAsia="宋体" w:hint="default"/>
                <w:sz w:val="18"/>
                <w:szCs w:val="18"/>
              </w:rPr>
            </w:pPr>
            <w:r>
              <w:rPr>
                <w:rFonts w:ascii="Times New Roman" w:hAnsi="Times New Roman" w:cs="Times New Roman" w:eastAsia="Times New Roman" w:hint="default"/>
                <w:spacing w:val="6"/>
                <w:sz w:val="18"/>
                <w:szCs w:val="18"/>
              </w:rPr>
              <w:t>2.</w:t>
            </w:r>
            <w:r>
              <w:rPr>
                <w:rFonts w:ascii="宋体" w:hAnsi="宋体" w:cs="宋体" w:eastAsia="宋体" w:hint="default"/>
                <w:spacing w:val="6"/>
                <w:sz w:val="18"/>
                <w:szCs w:val="18"/>
              </w:rPr>
              <w:t>盈余公积转增资本</w:t>
            </w:r>
          </w:p>
          <w:p>
            <w:pPr>
              <w:pStyle w:val="TableParagraph"/>
              <w:spacing w:line="229" w:lineRule="exact"/>
              <w:ind w:left="24" w:right="0"/>
              <w:jc w:val="left"/>
              <w:rPr>
                <w:rFonts w:ascii="宋体" w:hAnsi="宋体" w:cs="宋体" w:eastAsia="宋体" w:hint="default"/>
                <w:sz w:val="18"/>
                <w:szCs w:val="18"/>
              </w:rPr>
            </w:pPr>
            <w:r>
              <w:rPr>
                <w:rFonts w:ascii="宋体" w:hAnsi="宋体" w:cs="宋体" w:eastAsia="宋体" w:hint="default"/>
                <w:sz w:val="18"/>
                <w:szCs w:val="18"/>
              </w:rPr>
              <w:t>（或股本）</w:t>
            </w:r>
          </w:p>
        </w:tc>
        <w:tc>
          <w:tcPr>
            <w:tcW w:w="1133"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盈余公积弥补亏损</w:t>
            </w:r>
          </w:p>
        </w:tc>
        <w:tc>
          <w:tcPr>
            <w:tcW w:w="1133"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bl>
    <w:p>
      <w:pPr>
        <w:spacing w:after="0"/>
        <w:sectPr>
          <w:footerReference w:type="default" r:id="rId44"/>
          <w:pgSz w:w="11910" w:h="16840"/>
          <w:pgMar w:footer="725" w:header="921" w:top="1160" w:bottom="920" w:left="980" w:right="0"/>
          <w:pgNumType w:start="101"/>
        </w:sectPr>
      </w:pPr>
    </w:p>
    <w:p>
      <w:pPr>
        <w:spacing w:line="240" w:lineRule="auto" w:before="4"/>
        <w:rPr>
          <w:rFonts w:ascii="宋体" w:hAnsi="宋体" w:cs="宋体" w:eastAsia="宋体" w:hint="default"/>
          <w:sz w:val="21"/>
          <w:szCs w:val="21"/>
        </w:rPr>
      </w:pPr>
      <w:r>
        <w:rPr/>
        <w:pict>
          <v:shape style="position:absolute;margin-left:99.957001pt;margin-top:653.115967pt;width:98.35pt;height:27.4pt;mso-position-horizontal-relative:page;mso-position-vertical-relative:page;z-index:-1011904" type="#_x0000_t202" filled="false" stroked="false">
            <v:textbox inset="0,0,0,0">
              <w:txbxContent>
                <w:p>
                  <w:pPr>
                    <w:spacing w:before="11"/>
                    <w:ind w:left="0" w:right="0" w:firstLine="0"/>
                    <w:jc w:val="left"/>
                    <w:rPr>
                      <w:rFonts w:ascii="宋体" w:hAnsi="宋体" w:cs="宋体" w:eastAsia="宋体" w:hint="default"/>
                      <w:sz w:val="18"/>
                      <w:szCs w:val="18"/>
                    </w:rPr>
                  </w:pPr>
                  <w:r>
                    <w:rPr>
                      <w:rFonts w:ascii="宋体" w:hAnsi="宋体" w:cs="宋体" w:eastAsia="宋体" w:hint="default"/>
                      <w:sz w:val="18"/>
                      <w:szCs w:val="18"/>
                    </w:rPr>
                    <w:t>（或股东）</w:t>
                  </w:r>
                </w:p>
              </w:txbxContent>
            </v:textbox>
            <w10:wrap type="none"/>
          </v:shape>
        </w:pict>
      </w:r>
    </w:p>
    <w:tbl>
      <w:tblPr>
        <w:tblW w:w="0" w:type="auto"/>
        <w:jc w:val="left"/>
        <w:tblInd w:w="149" w:type="dxa"/>
        <w:tblLayout w:type="fixed"/>
        <w:tblCellMar>
          <w:top w:w="0" w:type="dxa"/>
          <w:left w:w="0" w:type="dxa"/>
          <w:bottom w:w="0" w:type="dxa"/>
          <w:right w:w="0" w:type="dxa"/>
        </w:tblCellMar>
        <w:tblLook w:val="01E0"/>
      </w:tblPr>
      <w:tblGrid>
        <w:gridCol w:w="1701"/>
        <w:gridCol w:w="1133"/>
        <w:gridCol w:w="238"/>
        <w:gridCol w:w="235"/>
        <w:gridCol w:w="238"/>
        <w:gridCol w:w="1133"/>
        <w:gridCol w:w="994"/>
        <w:gridCol w:w="283"/>
        <w:gridCol w:w="283"/>
        <w:gridCol w:w="1133"/>
        <w:gridCol w:w="1136"/>
        <w:gridCol w:w="1274"/>
      </w:tblGrid>
      <w:tr>
        <w:trPr>
          <w:trHeight w:val="567" w:hRule="exact"/>
        </w:trPr>
        <w:tc>
          <w:tcPr>
            <w:tcW w:w="17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2" w:lineRule="exact" w:before="76"/>
              <w:ind w:left="22" w:right="21"/>
              <w:jc w:val="left"/>
              <w:rPr>
                <w:rFonts w:ascii="宋体" w:hAnsi="宋体" w:cs="宋体" w:eastAsia="宋体" w:hint="default"/>
                <w:sz w:val="18"/>
                <w:szCs w:val="18"/>
              </w:rPr>
            </w:pPr>
            <w:r>
              <w:rPr>
                <w:rFonts w:ascii="Times New Roman" w:hAnsi="Times New Roman" w:cs="Times New Roman" w:eastAsia="Times New Roman" w:hint="default"/>
                <w:spacing w:val="6"/>
                <w:sz w:val="18"/>
                <w:szCs w:val="18"/>
              </w:rPr>
              <w:t>4.</w:t>
            </w:r>
            <w:r>
              <w:rPr>
                <w:rFonts w:ascii="宋体" w:hAnsi="宋体" w:cs="宋体" w:eastAsia="宋体" w:hint="default"/>
                <w:spacing w:val="6"/>
                <w:sz w:val="18"/>
                <w:szCs w:val="18"/>
              </w:rPr>
              <w:t>设定受益计划变动</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额结转留存收益</w:t>
            </w:r>
          </w:p>
        </w:tc>
        <w:tc>
          <w:tcPr>
            <w:tcW w:w="1133"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569" w:hRule="exact"/>
        </w:trPr>
        <w:tc>
          <w:tcPr>
            <w:tcW w:w="17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2" w:lineRule="exact" w:before="76"/>
              <w:ind w:left="22" w:right="21"/>
              <w:jc w:val="left"/>
              <w:rPr>
                <w:rFonts w:ascii="宋体" w:hAnsi="宋体" w:cs="宋体" w:eastAsia="宋体" w:hint="default"/>
                <w:sz w:val="18"/>
                <w:szCs w:val="18"/>
              </w:rPr>
            </w:pPr>
            <w:r>
              <w:rPr>
                <w:rFonts w:ascii="Times New Roman" w:hAnsi="Times New Roman" w:cs="Times New Roman" w:eastAsia="Times New Roman" w:hint="default"/>
                <w:spacing w:val="6"/>
                <w:sz w:val="18"/>
                <w:szCs w:val="18"/>
              </w:rPr>
              <w:t>5.</w:t>
            </w:r>
            <w:r>
              <w:rPr>
                <w:rFonts w:ascii="宋体" w:hAnsi="宋体" w:cs="宋体" w:eastAsia="宋体" w:hint="default"/>
                <w:spacing w:val="6"/>
                <w:sz w:val="18"/>
                <w:szCs w:val="18"/>
              </w:rPr>
              <w:t>其他综合收益结转</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留存收益</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1133"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17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1133"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17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1133"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17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1133"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17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0"/>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1133"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17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1133"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17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0"/>
              <w:ind w:left="22"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247" w:right="0"/>
              <w:jc w:val="left"/>
              <w:rPr>
                <w:rFonts w:ascii="Arial" w:hAnsi="Arial" w:cs="Arial" w:eastAsia="Arial" w:hint="default"/>
                <w:sz w:val="15"/>
                <w:szCs w:val="15"/>
              </w:rPr>
            </w:pPr>
            <w:r>
              <w:rPr>
                <w:rFonts w:ascii="Arial"/>
                <w:w w:val="80"/>
                <w:sz w:val="15"/>
              </w:rPr>
              <w:t>669,101,883.00</w:t>
            </w:r>
            <w:r>
              <w:rPr>
                <w:rFonts w:ascii="Arial"/>
                <w:sz w:val="15"/>
              </w:rPr>
            </w:r>
          </w:p>
        </w:tc>
        <w:tc>
          <w:tcPr>
            <w:tcW w:w="238" w:type="dxa"/>
            <w:tcBorders>
              <w:top w:val="single" w:sz="4" w:space="0" w:color="000000"/>
              <w:left w:val="single" w:sz="4" w:space="0" w:color="000000"/>
              <w:bottom w:val="single" w:sz="4" w:space="0" w:color="000000"/>
              <w:right w:val="single" w:sz="4" w:space="0" w:color="000000"/>
            </w:tcBorders>
          </w:tcPr>
          <w:p>
            <w:pPr/>
          </w:p>
        </w:tc>
        <w:tc>
          <w:tcPr>
            <w:tcW w:w="235" w:type="dxa"/>
            <w:tcBorders>
              <w:top w:val="single" w:sz="4" w:space="0" w:color="000000"/>
              <w:left w:val="single" w:sz="4" w:space="0" w:color="000000"/>
              <w:bottom w:val="single" w:sz="4" w:space="0" w:color="000000"/>
              <w:right w:val="single" w:sz="4" w:space="0" w:color="000000"/>
            </w:tcBorders>
          </w:tcPr>
          <w:p>
            <w:pPr/>
          </w:p>
        </w:tc>
        <w:tc>
          <w:tcPr>
            <w:tcW w:w="238"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143" w:right="0"/>
              <w:jc w:val="left"/>
              <w:rPr>
                <w:rFonts w:ascii="Arial" w:hAnsi="Arial" w:cs="Arial" w:eastAsia="Arial" w:hint="default"/>
                <w:sz w:val="15"/>
                <w:szCs w:val="15"/>
              </w:rPr>
            </w:pPr>
            <w:r>
              <w:rPr>
                <w:rFonts w:ascii="Arial"/>
                <w:w w:val="80"/>
                <w:sz w:val="15"/>
              </w:rPr>
              <w:t>1,807,161,154.72</w:t>
            </w:r>
            <w:r>
              <w:rPr>
                <w:rFonts w:ascii="Arial"/>
                <w:sz w:val="15"/>
              </w:rPr>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172" w:right="0"/>
              <w:jc w:val="left"/>
              <w:rPr>
                <w:rFonts w:ascii="Arial" w:hAnsi="Arial" w:cs="Arial" w:eastAsia="Arial" w:hint="default"/>
                <w:sz w:val="15"/>
                <w:szCs w:val="15"/>
              </w:rPr>
            </w:pPr>
            <w:r>
              <w:rPr>
                <w:rFonts w:ascii="Arial"/>
                <w:w w:val="80"/>
                <w:sz w:val="15"/>
              </w:rPr>
              <w:t>14,436,163.60</w:t>
            </w:r>
            <w:r>
              <w:rPr>
                <w:rFonts w:ascii="Arial"/>
                <w:sz w:val="15"/>
              </w:rPr>
            </w: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314" w:right="0"/>
              <w:jc w:val="left"/>
              <w:rPr>
                <w:rFonts w:ascii="Arial" w:hAnsi="Arial" w:cs="Arial" w:eastAsia="Arial" w:hint="default"/>
                <w:sz w:val="15"/>
                <w:szCs w:val="15"/>
              </w:rPr>
            </w:pPr>
            <w:r>
              <w:rPr>
                <w:rFonts w:ascii="Arial"/>
                <w:w w:val="80"/>
                <w:sz w:val="15"/>
              </w:rPr>
              <w:t>56,093,581.76</w:t>
            </w:r>
            <w:r>
              <w:rPr>
                <w:rFonts w:ascii="Arial"/>
                <w:sz w:val="15"/>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206" w:right="0"/>
              <w:jc w:val="left"/>
              <w:rPr>
                <w:rFonts w:ascii="Arial" w:hAnsi="Arial" w:cs="Arial" w:eastAsia="Arial" w:hint="default"/>
                <w:sz w:val="15"/>
                <w:szCs w:val="15"/>
              </w:rPr>
            </w:pPr>
            <w:r>
              <w:rPr>
                <w:rFonts w:ascii="Arial"/>
                <w:w w:val="80"/>
                <w:sz w:val="15"/>
              </w:rPr>
              <w:t>-458,805,749.26</w:t>
            </w:r>
            <w:r>
              <w:rPr>
                <w:rFonts w:ascii="Arial"/>
                <w:sz w:val="15"/>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295" w:right="0"/>
              <w:jc w:val="left"/>
              <w:rPr>
                <w:rFonts w:ascii="Arial" w:hAnsi="Arial" w:cs="Arial" w:eastAsia="Arial" w:hint="default"/>
                <w:sz w:val="15"/>
                <w:szCs w:val="15"/>
              </w:rPr>
            </w:pPr>
            <w:r>
              <w:rPr>
                <w:rFonts w:ascii="Arial"/>
                <w:spacing w:val="-2"/>
                <w:w w:val="85"/>
                <w:sz w:val="15"/>
              </w:rPr>
              <w:t>2,059,114,706.62</w:t>
            </w:r>
            <w:r>
              <w:rPr>
                <w:rFonts w:ascii="Arial"/>
                <w:spacing w:val="-2"/>
                <w:sz w:val="15"/>
              </w:rPr>
            </w:r>
          </w:p>
        </w:tc>
      </w:tr>
    </w:tbl>
    <w:p>
      <w:pPr>
        <w:pStyle w:val="BodyText"/>
        <w:tabs>
          <w:tab w:pos="3513" w:val="left" w:leader="none"/>
          <w:tab w:pos="7502" w:val="left" w:leader="none"/>
        </w:tabs>
        <w:spacing w:line="240" w:lineRule="auto" w:before="47"/>
        <w:ind w:right="1133"/>
        <w:jc w:val="left"/>
      </w:pPr>
      <w:r>
        <w:rPr>
          <w:spacing w:val="-2"/>
        </w:rPr>
        <w:t>法定代表人：吴鹰</w:t>
        <w:tab/>
        <w:t>主管会计工作负责人：李鹏宇</w:t>
        <w:tab/>
        <w:t>会计机构负责人：张雷</w:t>
      </w:r>
    </w:p>
    <w:p>
      <w:pPr>
        <w:pStyle w:val="BodyText"/>
        <w:spacing w:line="240" w:lineRule="auto" w:before="114"/>
        <w:ind w:left="0" w:right="1128"/>
        <w:jc w:val="right"/>
      </w:pPr>
      <w:r>
        <w:rPr/>
        <w:pict>
          <v:group style="position:absolute;margin-left:362.950012pt;margin-top:76.793686pt;width:11.4pt;height:11.65pt;mso-position-horizontal-relative:page;mso-position-vertical-relative:paragraph;z-index:-1011880" coordorigin="7259,1536" coordsize="228,233">
            <v:shape style="position:absolute;left:7259;top:1536;width:228;height:233" coordorigin="7259,1536" coordsize="228,233" path="m7259,1769l7487,1769,7487,1536,7259,1536,7259,1769xe" filled="true" fillcolor="#d2d2d2" stroked="false">
              <v:path arrowok="t"/>
              <v:fill type="solid"/>
            </v:shape>
            <w10:wrap type="none"/>
          </v:group>
        </w:pict>
      </w:r>
      <w:r>
        <w:rPr>
          <w:spacing w:val="-1"/>
        </w:rPr>
        <w:t>单位：元</w:t>
      </w:r>
    </w:p>
    <w:p>
      <w:pPr>
        <w:spacing w:line="240" w:lineRule="auto" w:before="8"/>
        <w:rPr>
          <w:rFonts w:ascii="宋体" w:hAnsi="宋体" w:cs="宋体" w:eastAsia="宋体" w:hint="default"/>
          <w:sz w:val="5"/>
          <w:szCs w:val="5"/>
        </w:rPr>
      </w:pPr>
    </w:p>
    <w:tbl>
      <w:tblPr>
        <w:tblW w:w="0" w:type="auto"/>
        <w:jc w:val="left"/>
        <w:tblInd w:w="148" w:type="dxa"/>
        <w:tblLayout w:type="fixed"/>
        <w:tblCellMar>
          <w:top w:w="0" w:type="dxa"/>
          <w:left w:w="0" w:type="dxa"/>
          <w:bottom w:w="0" w:type="dxa"/>
          <w:right w:w="0" w:type="dxa"/>
        </w:tblCellMar>
        <w:tblLook w:val="01E0"/>
      </w:tblPr>
      <w:tblGrid>
        <w:gridCol w:w="1702"/>
        <w:gridCol w:w="1133"/>
        <w:gridCol w:w="286"/>
        <w:gridCol w:w="283"/>
        <w:gridCol w:w="283"/>
        <w:gridCol w:w="1133"/>
        <w:gridCol w:w="994"/>
        <w:gridCol w:w="283"/>
        <w:gridCol w:w="283"/>
        <w:gridCol w:w="991"/>
        <w:gridCol w:w="1136"/>
        <w:gridCol w:w="1274"/>
      </w:tblGrid>
      <w:tr>
        <w:trPr>
          <w:trHeight w:val="323" w:hRule="exact"/>
        </w:trPr>
        <w:tc>
          <w:tcPr>
            <w:tcW w:w="170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1"/>
                <w:szCs w:val="21"/>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8080"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1" w:right="0"/>
              <w:jc w:val="center"/>
              <w:rPr>
                <w:rFonts w:ascii="宋体" w:hAnsi="宋体" w:cs="宋体" w:eastAsia="宋体" w:hint="default"/>
                <w:sz w:val="18"/>
                <w:szCs w:val="18"/>
              </w:rPr>
            </w:pPr>
            <w:r>
              <w:rPr>
                <w:rFonts w:ascii="宋体" w:hAnsi="宋体" w:cs="宋体" w:eastAsia="宋体" w:hint="default"/>
                <w:sz w:val="18"/>
                <w:szCs w:val="18"/>
              </w:rPr>
              <w:t>上年发生额</w:t>
            </w:r>
          </w:p>
        </w:tc>
      </w:tr>
      <w:tr>
        <w:trPr>
          <w:trHeight w:val="557" w:hRule="exact"/>
        </w:trPr>
        <w:tc>
          <w:tcPr>
            <w:tcW w:w="1702" w:type="dxa"/>
            <w:vMerge/>
            <w:tcBorders>
              <w:left w:val="single" w:sz="4" w:space="0" w:color="000000"/>
              <w:right w:val="single" w:sz="4" w:space="0" w:color="000000"/>
            </w:tcBorders>
            <w:shd w:val="clear" w:color="auto" w:fill="D2D2D2"/>
          </w:tcPr>
          <w:p>
            <w:pPr/>
          </w:p>
        </w:tc>
        <w:tc>
          <w:tcPr>
            <w:tcW w:w="113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right="0"/>
              <w:jc w:val="center"/>
              <w:rPr>
                <w:rFonts w:ascii="宋体" w:hAnsi="宋体" w:cs="宋体" w:eastAsia="宋体" w:hint="default"/>
                <w:sz w:val="18"/>
                <w:szCs w:val="18"/>
              </w:rPr>
            </w:pPr>
            <w:r>
              <w:rPr>
                <w:rFonts w:ascii="宋体" w:hAnsi="宋体" w:cs="宋体" w:eastAsia="宋体" w:hint="default"/>
                <w:sz w:val="18"/>
                <w:szCs w:val="18"/>
              </w:rPr>
              <w:t>股本</w:t>
            </w:r>
          </w:p>
        </w:tc>
        <w:tc>
          <w:tcPr>
            <w:tcW w:w="853"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
              <w:ind w:left="240" w:right="60" w:hanging="180"/>
              <w:jc w:val="left"/>
              <w:rPr>
                <w:rFonts w:ascii="宋体" w:hAnsi="宋体" w:cs="宋体" w:eastAsia="宋体" w:hint="default"/>
                <w:sz w:val="18"/>
                <w:szCs w:val="18"/>
              </w:rPr>
            </w:pPr>
            <w:r>
              <w:rPr>
                <w:rFonts w:ascii="宋体" w:hAnsi="宋体" w:cs="宋体" w:eastAsia="宋体" w:hint="default"/>
                <w:sz w:val="18"/>
                <w:szCs w:val="18"/>
              </w:rPr>
              <w:t>其他权益 工具</w:t>
            </w:r>
          </w:p>
        </w:tc>
        <w:tc>
          <w:tcPr>
            <w:tcW w:w="113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201"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9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40"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283" w:type="dxa"/>
            <w:vMerge w:val="restart"/>
            <w:tcBorders>
              <w:top w:val="single" w:sz="4" w:space="0" w:color="000000"/>
              <w:left w:val="single" w:sz="4" w:space="0" w:color="000000"/>
              <w:right w:val="single" w:sz="4" w:space="0" w:color="000000"/>
            </w:tcBorders>
            <w:shd w:val="clear" w:color="auto" w:fill="D2D2D2"/>
          </w:tcPr>
          <w:p>
            <w:pPr>
              <w:pStyle w:val="TableParagraph"/>
              <w:spacing w:line="237" w:lineRule="auto" w:before="11"/>
              <w:ind w:left="47" w:right="43"/>
              <w:jc w:val="both"/>
              <w:rPr>
                <w:rFonts w:ascii="宋体" w:hAnsi="宋体" w:cs="宋体" w:eastAsia="宋体" w:hint="default"/>
                <w:sz w:val="18"/>
                <w:szCs w:val="18"/>
              </w:rPr>
            </w:pPr>
            <w:r>
              <w:rPr>
                <w:rFonts w:ascii="宋体" w:hAnsi="宋体" w:cs="宋体" w:eastAsia="宋体" w:hint="default"/>
                <w:sz w:val="18"/>
                <w:szCs w:val="18"/>
              </w:rPr>
              <w:t>其 他 综 合 收 益</w:t>
            </w:r>
          </w:p>
        </w:tc>
        <w:tc>
          <w:tcPr>
            <w:tcW w:w="28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8"/>
                <w:szCs w:val="18"/>
              </w:rPr>
            </w:pPr>
          </w:p>
          <w:p>
            <w:pPr>
              <w:pStyle w:val="TableParagraph"/>
              <w:spacing w:line="237" w:lineRule="auto"/>
              <w:ind w:left="47" w:right="43"/>
              <w:jc w:val="both"/>
              <w:rPr>
                <w:rFonts w:ascii="宋体" w:hAnsi="宋体" w:cs="宋体" w:eastAsia="宋体" w:hint="default"/>
                <w:sz w:val="18"/>
                <w:szCs w:val="18"/>
              </w:rPr>
            </w:pPr>
            <w:r>
              <w:rPr>
                <w:rFonts w:ascii="宋体" w:hAnsi="宋体" w:cs="宋体" w:eastAsia="宋体" w:hint="default"/>
                <w:sz w:val="18"/>
                <w:szCs w:val="18"/>
              </w:rPr>
              <w:t>专 项 储 备</w:t>
            </w:r>
          </w:p>
        </w:tc>
        <w:tc>
          <w:tcPr>
            <w:tcW w:w="9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131"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13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6"/>
              <w:ind w:left="11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27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8"/>
                <w:szCs w:val="18"/>
              </w:rPr>
            </w:pPr>
          </w:p>
          <w:p>
            <w:pPr>
              <w:pStyle w:val="TableParagraph"/>
              <w:spacing w:line="240" w:lineRule="auto"/>
              <w:ind w:left="542" w:right="89" w:hanging="449"/>
              <w:jc w:val="left"/>
              <w:rPr>
                <w:rFonts w:ascii="宋体" w:hAnsi="宋体" w:cs="宋体" w:eastAsia="宋体" w:hint="default"/>
                <w:sz w:val="18"/>
                <w:szCs w:val="18"/>
              </w:rPr>
            </w:pPr>
            <w:r>
              <w:rPr>
                <w:rFonts w:ascii="宋体" w:hAnsi="宋体" w:cs="宋体" w:eastAsia="宋体" w:hint="default"/>
                <w:sz w:val="18"/>
                <w:szCs w:val="18"/>
              </w:rPr>
              <w:t>所有者权益合 计</w:t>
            </w:r>
          </w:p>
        </w:tc>
      </w:tr>
      <w:tr>
        <w:trPr>
          <w:trHeight w:val="932" w:hRule="exact"/>
        </w:trPr>
        <w:tc>
          <w:tcPr>
            <w:tcW w:w="1702" w:type="dxa"/>
            <w:vMerge/>
            <w:tcBorders>
              <w:left w:val="single" w:sz="4" w:space="0" w:color="000000"/>
              <w:bottom w:val="single" w:sz="4" w:space="0" w:color="000000"/>
              <w:right w:val="single" w:sz="4" w:space="0" w:color="000000"/>
            </w:tcBorders>
            <w:shd w:val="clear" w:color="auto" w:fill="D2D2D2"/>
          </w:tcPr>
          <w:p>
            <w:pPr/>
          </w:p>
        </w:tc>
        <w:tc>
          <w:tcPr>
            <w:tcW w:w="1133" w:type="dxa"/>
            <w:vMerge/>
            <w:tcBorders>
              <w:left w:val="single" w:sz="4" w:space="0" w:color="000000"/>
              <w:bottom w:val="single" w:sz="4" w:space="0" w:color="000000"/>
              <w:right w:val="single" w:sz="4" w:space="0" w:color="000000"/>
            </w:tcBorders>
            <w:shd w:val="clear" w:color="auto" w:fill="D2D2D2"/>
          </w:tcPr>
          <w:p>
            <w:pPr/>
          </w:p>
        </w:tc>
        <w:tc>
          <w:tcPr>
            <w:tcW w:w="2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1"/>
              <w:ind w:left="48" w:right="47"/>
              <w:jc w:val="both"/>
              <w:rPr>
                <w:rFonts w:ascii="宋体" w:hAnsi="宋体" w:cs="宋体" w:eastAsia="宋体" w:hint="default"/>
                <w:sz w:val="18"/>
                <w:szCs w:val="18"/>
              </w:rPr>
            </w:pPr>
            <w:r>
              <w:rPr>
                <w:rFonts w:ascii="宋体" w:hAnsi="宋体" w:cs="宋体" w:eastAsia="宋体" w:hint="default"/>
                <w:sz w:val="18"/>
                <w:szCs w:val="18"/>
              </w:rPr>
              <w:t>优 先 股</w:t>
            </w:r>
          </w:p>
        </w:tc>
        <w:tc>
          <w:tcPr>
            <w:tcW w:w="2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81"/>
              <w:ind w:left="47" w:right="43"/>
              <w:jc w:val="both"/>
              <w:rPr>
                <w:rFonts w:ascii="宋体" w:hAnsi="宋体" w:cs="宋体" w:eastAsia="宋体" w:hint="default"/>
                <w:sz w:val="18"/>
                <w:szCs w:val="18"/>
              </w:rPr>
            </w:pPr>
            <w:r>
              <w:rPr>
                <w:rFonts w:ascii="宋体" w:hAnsi="宋体" w:cs="宋体" w:eastAsia="宋体" w:hint="default"/>
                <w:sz w:val="18"/>
                <w:szCs w:val="18"/>
              </w:rPr>
              <w:t>永 续 债</w:t>
            </w:r>
          </w:p>
        </w:tc>
        <w:tc>
          <w:tcPr>
            <w:tcW w:w="2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47" w:right="43"/>
              <w:jc w:val="left"/>
              <w:rPr>
                <w:rFonts w:ascii="宋体" w:hAnsi="宋体" w:cs="宋体" w:eastAsia="宋体" w:hint="default"/>
                <w:sz w:val="18"/>
                <w:szCs w:val="18"/>
              </w:rPr>
            </w:pPr>
            <w:r>
              <w:rPr>
                <w:rFonts w:ascii="宋体" w:hAnsi="宋体" w:cs="宋体" w:eastAsia="宋体" w:hint="default"/>
                <w:sz w:val="18"/>
                <w:szCs w:val="18"/>
              </w:rPr>
              <w:t>其 他</w:t>
            </w:r>
          </w:p>
        </w:tc>
        <w:tc>
          <w:tcPr>
            <w:tcW w:w="1133" w:type="dxa"/>
            <w:vMerge/>
            <w:tcBorders>
              <w:left w:val="single" w:sz="4" w:space="0" w:color="000000"/>
              <w:bottom w:val="single" w:sz="4" w:space="0" w:color="000000"/>
              <w:right w:val="single" w:sz="4" w:space="0" w:color="000000"/>
            </w:tcBorders>
            <w:shd w:val="clear" w:color="auto" w:fill="D2D2D2"/>
          </w:tcPr>
          <w:p>
            <w:pPr/>
          </w:p>
        </w:tc>
        <w:tc>
          <w:tcPr>
            <w:tcW w:w="994" w:type="dxa"/>
            <w:vMerge/>
            <w:tcBorders>
              <w:left w:val="single" w:sz="4" w:space="0" w:color="000000"/>
              <w:bottom w:val="single" w:sz="4" w:space="0" w:color="000000"/>
              <w:right w:val="single" w:sz="4" w:space="0" w:color="000000"/>
            </w:tcBorders>
            <w:shd w:val="clear" w:color="auto" w:fill="D2D2D2"/>
          </w:tcPr>
          <w:p>
            <w:pPr/>
          </w:p>
        </w:tc>
        <w:tc>
          <w:tcPr>
            <w:tcW w:w="283" w:type="dxa"/>
            <w:vMerge/>
            <w:tcBorders>
              <w:left w:val="single" w:sz="4" w:space="0" w:color="000000"/>
              <w:bottom w:val="single" w:sz="4" w:space="0" w:color="000000"/>
              <w:right w:val="single" w:sz="4" w:space="0" w:color="000000"/>
            </w:tcBorders>
            <w:shd w:val="clear" w:color="auto" w:fill="D2D2D2"/>
          </w:tcPr>
          <w:p>
            <w:pPr/>
          </w:p>
        </w:tc>
        <w:tc>
          <w:tcPr>
            <w:tcW w:w="283" w:type="dxa"/>
            <w:vMerge/>
            <w:tcBorders>
              <w:left w:val="single" w:sz="4" w:space="0" w:color="000000"/>
              <w:bottom w:val="single" w:sz="4" w:space="0" w:color="000000"/>
              <w:right w:val="single" w:sz="4" w:space="0" w:color="000000"/>
            </w:tcBorders>
            <w:shd w:val="clear" w:color="auto" w:fill="D2D2D2"/>
          </w:tcPr>
          <w:p>
            <w:pPr/>
          </w:p>
        </w:tc>
        <w:tc>
          <w:tcPr>
            <w:tcW w:w="991" w:type="dxa"/>
            <w:vMerge/>
            <w:tcBorders>
              <w:left w:val="single" w:sz="4" w:space="0" w:color="000000"/>
              <w:bottom w:val="single" w:sz="4" w:space="0" w:color="000000"/>
              <w:right w:val="single" w:sz="4" w:space="0" w:color="000000"/>
            </w:tcBorders>
            <w:shd w:val="clear" w:color="auto" w:fill="D2D2D2"/>
          </w:tcPr>
          <w:p>
            <w:pPr/>
          </w:p>
        </w:tc>
        <w:tc>
          <w:tcPr>
            <w:tcW w:w="1136" w:type="dxa"/>
            <w:vMerge/>
            <w:tcBorders>
              <w:left w:val="single" w:sz="4" w:space="0" w:color="000000"/>
              <w:bottom w:val="single" w:sz="4" w:space="0" w:color="000000"/>
              <w:right w:val="single" w:sz="4" w:space="0" w:color="000000"/>
            </w:tcBorders>
            <w:shd w:val="clear" w:color="auto" w:fill="D2D2D2"/>
          </w:tcPr>
          <w:p>
            <w:pPr/>
          </w:p>
        </w:tc>
        <w:tc>
          <w:tcPr>
            <w:tcW w:w="1274" w:type="dxa"/>
            <w:vMerge/>
            <w:tcBorders>
              <w:left w:val="single" w:sz="4" w:space="0" w:color="000000"/>
              <w:bottom w:val="single" w:sz="4" w:space="0" w:color="000000"/>
              <w:right w:val="single" w:sz="4" w:space="0" w:color="000000"/>
            </w:tcBorders>
            <w:shd w:val="clear" w:color="auto" w:fill="D2D2D2"/>
          </w:tcPr>
          <w:p>
            <w:pPr/>
          </w:p>
        </w:tc>
      </w:tr>
      <w:tr>
        <w:trPr>
          <w:trHeight w:val="341"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4" w:right="0"/>
              <w:jc w:val="left"/>
              <w:rPr>
                <w:rFonts w:ascii="宋体" w:hAnsi="宋体" w:cs="宋体" w:eastAsia="宋体" w:hint="default"/>
                <w:sz w:val="18"/>
                <w:szCs w:val="18"/>
              </w:rPr>
            </w:pPr>
            <w:r>
              <w:rPr>
                <w:rFonts w:ascii="宋体" w:hAnsi="宋体" w:cs="宋体" w:eastAsia="宋体" w:hint="default"/>
                <w:sz w:val="18"/>
                <w:szCs w:val="18"/>
              </w:rPr>
              <w:t>一、上年期末余额</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Arial" w:hAnsi="Arial" w:cs="Arial" w:eastAsia="Arial" w:hint="default"/>
                <w:sz w:val="13"/>
                <w:szCs w:val="13"/>
              </w:rPr>
            </w:pPr>
            <w:r>
              <w:rPr>
                <w:rFonts w:ascii="Arial"/>
                <w:spacing w:val="-1"/>
                <w:w w:val="80"/>
                <w:sz w:val="13"/>
              </w:rPr>
              <w:t>621,826,786.00</w:t>
            </w:r>
            <w:r>
              <w:rPr>
                <w:rFonts w:ascii="Arial"/>
                <w:spacing w:val="-1"/>
                <w:sz w:val="13"/>
              </w:rPr>
            </w: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Arial" w:hAnsi="Arial" w:cs="Arial" w:eastAsia="Arial" w:hint="default"/>
                <w:sz w:val="13"/>
                <w:szCs w:val="13"/>
              </w:rPr>
            </w:pPr>
            <w:r>
              <w:rPr>
                <w:rFonts w:ascii="Arial"/>
                <w:spacing w:val="-1"/>
                <w:w w:val="80"/>
                <w:sz w:val="13"/>
              </w:rPr>
              <w:t>1,142,736,251.72</w:t>
            </w:r>
            <w:r>
              <w:rPr>
                <w:rFonts w:ascii="Arial"/>
                <w:spacing w:val="-1"/>
                <w:sz w:val="13"/>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Arial" w:hAnsi="Arial" w:cs="Arial" w:eastAsia="Arial" w:hint="default"/>
                <w:sz w:val="13"/>
                <w:szCs w:val="13"/>
              </w:rPr>
            </w:pPr>
            <w:r>
              <w:rPr>
                <w:rFonts w:ascii="Arial"/>
                <w:spacing w:val="-1"/>
                <w:w w:val="80"/>
                <w:sz w:val="13"/>
              </w:rPr>
              <w:t>41,041,703.70</w:t>
            </w:r>
            <w:r>
              <w:rPr>
                <w:rFonts w:ascii="Arial"/>
                <w:spacing w:val="-1"/>
                <w:sz w:val="13"/>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Arial" w:hAnsi="Arial" w:cs="Arial" w:eastAsia="Arial" w:hint="default"/>
                <w:sz w:val="13"/>
                <w:szCs w:val="13"/>
              </w:rPr>
            </w:pPr>
            <w:r>
              <w:rPr>
                <w:rFonts w:ascii="Arial"/>
                <w:spacing w:val="-1"/>
                <w:w w:val="80"/>
                <w:sz w:val="13"/>
              </w:rPr>
              <w:t>348,020,938.48</w:t>
            </w:r>
            <w:r>
              <w:rPr>
                <w:rFonts w:ascii="Arial"/>
                <w:spacing w:val="-1"/>
                <w:sz w:val="13"/>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Arial" w:hAnsi="Arial" w:cs="Arial" w:eastAsia="Arial" w:hint="default"/>
                <w:sz w:val="13"/>
                <w:szCs w:val="13"/>
              </w:rPr>
            </w:pPr>
            <w:r>
              <w:rPr>
                <w:rFonts w:ascii="Arial"/>
                <w:spacing w:val="-1"/>
                <w:w w:val="80"/>
                <w:sz w:val="13"/>
              </w:rPr>
              <w:t>2,153,625,679.90</w:t>
            </w:r>
            <w:r>
              <w:rPr>
                <w:rFonts w:ascii="Arial"/>
                <w:spacing w:val="-1"/>
                <w:sz w:val="13"/>
              </w:rPr>
            </w:r>
          </w:p>
        </w:tc>
      </w:tr>
      <w:tr>
        <w:trPr>
          <w:trHeight w:val="341"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4"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0"/>
              <w:ind w:left="24"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4" w:right="0"/>
              <w:jc w:val="left"/>
              <w:rPr>
                <w:rFonts w:ascii="宋体" w:hAnsi="宋体" w:cs="宋体" w:eastAsia="宋体" w:hint="default"/>
                <w:sz w:val="18"/>
                <w:szCs w:val="18"/>
              </w:rPr>
            </w:pPr>
            <w:r>
              <w:rPr>
                <w:rFonts w:ascii="宋体" w:hAnsi="宋体" w:cs="宋体" w:eastAsia="宋体" w:hint="default"/>
                <w:sz w:val="18"/>
                <w:szCs w:val="18"/>
              </w:rPr>
              <w:t>二、本年期初余额</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Arial" w:hAnsi="Arial" w:cs="Arial" w:eastAsia="Arial" w:hint="default"/>
                <w:sz w:val="13"/>
                <w:szCs w:val="13"/>
              </w:rPr>
            </w:pPr>
            <w:r>
              <w:rPr>
                <w:rFonts w:ascii="Arial"/>
                <w:spacing w:val="-1"/>
                <w:w w:val="80"/>
                <w:sz w:val="13"/>
              </w:rPr>
              <w:t>621,826,786.00</w:t>
            </w:r>
            <w:r>
              <w:rPr>
                <w:rFonts w:ascii="Arial"/>
                <w:spacing w:val="-1"/>
                <w:sz w:val="13"/>
              </w:rPr>
            </w: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Arial" w:hAnsi="Arial" w:cs="Arial" w:eastAsia="Arial" w:hint="default"/>
                <w:sz w:val="13"/>
                <w:szCs w:val="13"/>
              </w:rPr>
            </w:pPr>
            <w:r>
              <w:rPr>
                <w:rFonts w:ascii="Arial"/>
                <w:spacing w:val="-1"/>
                <w:w w:val="80"/>
                <w:sz w:val="13"/>
              </w:rPr>
              <w:t>1,142,736,251.72</w:t>
            </w:r>
            <w:r>
              <w:rPr>
                <w:rFonts w:ascii="Arial"/>
                <w:spacing w:val="-1"/>
                <w:sz w:val="13"/>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Arial" w:hAnsi="Arial" w:cs="Arial" w:eastAsia="Arial" w:hint="default"/>
                <w:sz w:val="13"/>
                <w:szCs w:val="13"/>
              </w:rPr>
            </w:pPr>
            <w:r>
              <w:rPr>
                <w:rFonts w:ascii="Arial"/>
                <w:spacing w:val="-1"/>
                <w:w w:val="80"/>
                <w:sz w:val="13"/>
              </w:rPr>
              <w:t>41,041,703.70</w:t>
            </w:r>
            <w:r>
              <w:rPr>
                <w:rFonts w:ascii="Arial"/>
                <w:spacing w:val="-1"/>
                <w:sz w:val="13"/>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Arial" w:hAnsi="Arial" w:cs="Arial" w:eastAsia="Arial" w:hint="default"/>
                <w:sz w:val="13"/>
                <w:szCs w:val="13"/>
              </w:rPr>
            </w:pPr>
            <w:r>
              <w:rPr>
                <w:rFonts w:ascii="Arial"/>
                <w:spacing w:val="-1"/>
                <w:w w:val="80"/>
                <w:sz w:val="13"/>
              </w:rPr>
              <w:t>348,020,938.48</w:t>
            </w:r>
            <w:r>
              <w:rPr>
                <w:rFonts w:ascii="Arial"/>
                <w:spacing w:val="-1"/>
                <w:sz w:val="13"/>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Arial" w:hAnsi="Arial" w:cs="Arial" w:eastAsia="Arial" w:hint="default"/>
                <w:sz w:val="13"/>
                <w:szCs w:val="13"/>
              </w:rPr>
            </w:pPr>
            <w:r>
              <w:rPr>
                <w:rFonts w:ascii="Arial"/>
                <w:spacing w:val="-1"/>
                <w:w w:val="80"/>
                <w:sz w:val="13"/>
              </w:rPr>
              <w:t>2,153,625,679.90</w:t>
            </w:r>
            <w:r>
              <w:rPr>
                <w:rFonts w:ascii="Arial"/>
                <w:spacing w:val="-1"/>
                <w:sz w:val="13"/>
              </w:rPr>
            </w:r>
          </w:p>
        </w:tc>
      </w:tr>
      <w:tr>
        <w:trPr>
          <w:trHeight w:val="790"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7" w:lineRule="auto" w:before="12"/>
              <w:ind w:left="24" w:right="26"/>
              <w:jc w:val="both"/>
              <w:rPr>
                <w:rFonts w:ascii="宋体" w:hAnsi="宋体" w:cs="宋体" w:eastAsia="宋体" w:hint="default"/>
                <w:sz w:val="18"/>
                <w:szCs w:val="18"/>
              </w:rPr>
            </w:pPr>
            <w:r>
              <w:rPr>
                <w:rFonts w:ascii="宋体" w:hAnsi="宋体" w:cs="宋体" w:eastAsia="宋体" w:hint="default"/>
                <w:sz w:val="18"/>
                <w:szCs w:val="18"/>
              </w:rPr>
              <w:t>三、本期增减变动金</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额（减少以“－”号</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填列）</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12"/>
                <w:szCs w:val="12"/>
              </w:rPr>
            </w:pPr>
          </w:p>
          <w:p>
            <w:pPr>
              <w:pStyle w:val="TableParagraph"/>
              <w:spacing w:line="240" w:lineRule="auto"/>
              <w:ind w:right="19"/>
              <w:jc w:val="right"/>
              <w:rPr>
                <w:rFonts w:ascii="Arial" w:hAnsi="Arial" w:cs="Arial" w:eastAsia="Arial" w:hint="default"/>
                <w:sz w:val="13"/>
                <w:szCs w:val="13"/>
              </w:rPr>
            </w:pPr>
            <w:r>
              <w:rPr>
                <w:rFonts w:ascii="Arial"/>
                <w:spacing w:val="-1"/>
                <w:w w:val="80"/>
                <w:sz w:val="13"/>
              </w:rPr>
              <w:t>47,275,097.00</w:t>
            </w:r>
            <w:r>
              <w:rPr>
                <w:rFonts w:ascii="Arial"/>
                <w:spacing w:val="-1"/>
                <w:sz w:val="13"/>
              </w:rPr>
            </w: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12"/>
                <w:szCs w:val="12"/>
              </w:rPr>
            </w:pPr>
          </w:p>
          <w:p>
            <w:pPr>
              <w:pStyle w:val="TableParagraph"/>
              <w:spacing w:line="240" w:lineRule="auto"/>
              <w:ind w:right="19"/>
              <w:jc w:val="right"/>
              <w:rPr>
                <w:rFonts w:ascii="Arial" w:hAnsi="Arial" w:cs="Arial" w:eastAsia="Arial" w:hint="default"/>
                <w:sz w:val="13"/>
                <w:szCs w:val="13"/>
              </w:rPr>
            </w:pPr>
            <w:r>
              <w:rPr>
                <w:rFonts w:ascii="Arial"/>
                <w:spacing w:val="-1"/>
                <w:w w:val="80"/>
                <w:sz w:val="13"/>
              </w:rPr>
              <w:t>664,424,903.00</w:t>
            </w:r>
            <w:r>
              <w:rPr>
                <w:rFonts w:ascii="Arial"/>
                <w:spacing w:val="-1"/>
                <w:sz w:val="13"/>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12"/>
                <w:szCs w:val="12"/>
              </w:rPr>
            </w:pPr>
          </w:p>
          <w:p>
            <w:pPr>
              <w:pStyle w:val="TableParagraph"/>
              <w:spacing w:line="240" w:lineRule="auto"/>
              <w:ind w:right="19"/>
              <w:jc w:val="right"/>
              <w:rPr>
                <w:rFonts w:ascii="Arial" w:hAnsi="Arial" w:cs="Arial" w:eastAsia="Arial" w:hint="default"/>
                <w:sz w:val="13"/>
                <w:szCs w:val="13"/>
              </w:rPr>
            </w:pPr>
            <w:r>
              <w:rPr>
                <w:rFonts w:ascii="Arial"/>
                <w:spacing w:val="-1"/>
                <w:w w:val="80"/>
                <w:sz w:val="13"/>
              </w:rPr>
              <w:t>15,051,878.06</w:t>
            </w:r>
            <w:r>
              <w:rPr>
                <w:rFonts w:ascii="Arial"/>
                <w:spacing w:val="-1"/>
                <w:sz w:val="13"/>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12"/>
                <w:szCs w:val="12"/>
              </w:rPr>
            </w:pPr>
          </w:p>
          <w:p>
            <w:pPr>
              <w:pStyle w:val="TableParagraph"/>
              <w:spacing w:line="240" w:lineRule="auto"/>
              <w:ind w:right="22"/>
              <w:jc w:val="right"/>
              <w:rPr>
                <w:rFonts w:ascii="Arial" w:hAnsi="Arial" w:cs="Arial" w:eastAsia="Arial" w:hint="default"/>
                <w:sz w:val="13"/>
                <w:szCs w:val="13"/>
              </w:rPr>
            </w:pPr>
            <w:r>
              <w:rPr>
                <w:rFonts w:ascii="Arial"/>
                <w:spacing w:val="-3"/>
                <w:w w:val="80"/>
                <w:sz w:val="13"/>
              </w:rPr>
              <w:t>112,459,311.46</w:t>
            </w:r>
            <w:r>
              <w:rPr>
                <w:rFonts w:ascii="Arial"/>
                <w:spacing w:val="-3"/>
                <w:sz w:val="13"/>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
              <w:ind w:right="0"/>
              <w:jc w:val="left"/>
              <w:rPr>
                <w:rFonts w:ascii="宋体" w:hAnsi="宋体" w:cs="宋体" w:eastAsia="宋体" w:hint="default"/>
                <w:sz w:val="12"/>
                <w:szCs w:val="12"/>
              </w:rPr>
            </w:pPr>
          </w:p>
          <w:p>
            <w:pPr>
              <w:pStyle w:val="TableParagraph"/>
              <w:spacing w:line="240" w:lineRule="auto"/>
              <w:ind w:right="19"/>
              <w:jc w:val="right"/>
              <w:rPr>
                <w:rFonts w:ascii="Arial" w:hAnsi="Arial" w:cs="Arial" w:eastAsia="Arial" w:hint="default"/>
                <w:sz w:val="13"/>
                <w:szCs w:val="13"/>
              </w:rPr>
            </w:pPr>
            <w:r>
              <w:rPr>
                <w:rFonts w:ascii="Arial"/>
                <w:spacing w:val="-2"/>
                <w:w w:val="80"/>
                <w:sz w:val="13"/>
              </w:rPr>
              <w:t>839,211,189.52</w:t>
            </w:r>
            <w:r>
              <w:rPr>
                <w:rFonts w:ascii="Arial"/>
                <w:spacing w:val="-2"/>
                <w:sz w:val="13"/>
              </w:rPr>
            </w:r>
          </w:p>
        </w:tc>
      </w:tr>
      <w:tr>
        <w:trPr>
          <w:trHeight w:val="324"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4" w:right="0"/>
              <w:jc w:val="left"/>
              <w:rPr>
                <w:rFonts w:ascii="宋体" w:hAnsi="宋体" w:cs="宋体" w:eastAsia="宋体" w:hint="default"/>
                <w:sz w:val="18"/>
                <w:szCs w:val="18"/>
              </w:rPr>
            </w:pPr>
            <w:r>
              <w:rPr>
                <w:rFonts w:ascii="宋体" w:hAnsi="宋体" w:cs="宋体" w:eastAsia="宋体" w:hint="default"/>
                <w:sz w:val="18"/>
                <w:szCs w:val="18"/>
              </w:rPr>
              <w:t>（一）综合收益总额</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22"/>
              <w:jc w:val="right"/>
              <w:rPr>
                <w:rFonts w:ascii="Arial" w:hAnsi="Arial" w:cs="Arial" w:eastAsia="Arial" w:hint="default"/>
                <w:sz w:val="13"/>
                <w:szCs w:val="13"/>
              </w:rPr>
            </w:pPr>
            <w:r>
              <w:rPr>
                <w:rFonts w:ascii="Arial"/>
                <w:spacing w:val="-1"/>
                <w:w w:val="80"/>
                <w:sz w:val="13"/>
              </w:rPr>
              <w:t>150,518,780.60</w:t>
            </w:r>
            <w:r>
              <w:rPr>
                <w:rFonts w:ascii="Arial"/>
                <w:spacing w:val="-1"/>
                <w:sz w:val="13"/>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9"/>
              <w:jc w:val="right"/>
              <w:rPr>
                <w:rFonts w:ascii="Arial" w:hAnsi="Arial" w:cs="Arial" w:eastAsia="Arial" w:hint="default"/>
                <w:sz w:val="13"/>
                <w:szCs w:val="13"/>
              </w:rPr>
            </w:pPr>
            <w:r>
              <w:rPr>
                <w:rFonts w:ascii="Arial"/>
                <w:spacing w:val="-1"/>
                <w:w w:val="80"/>
                <w:sz w:val="13"/>
              </w:rPr>
              <w:t>150,518,780.60</w:t>
            </w:r>
            <w:r>
              <w:rPr>
                <w:rFonts w:ascii="Arial"/>
                <w:spacing w:val="-1"/>
                <w:sz w:val="13"/>
              </w:rPr>
            </w:r>
          </w:p>
        </w:tc>
      </w:tr>
      <w:tr>
        <w:trPr>
          <w:trHeight w:val="557"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26"/>
              <w:jc w:val="left"/>
              <w:rPr>
                <w:rFonts w:ascii="宋体" w:hAnsi="宋体" w:cs="宋体" w:eastAsia="宋体" w:hint="default"/>
                <w:sz w:val="18"/>
                <w:szCs w:val="18"/>
              </w:rPr>
            </w:pPr>
            <w:r>
              <w:rPr>
                <w:rFonts w:ascii="宋体" w:hAnsi="宋体" w:cs="宋体" w:eastAsia="宋体" w:hint="default"/>
                <w:sz w:val="18"/>
                <w:szCs w:val="18"/>
              </w:rPr>
              <w:t>（二）所有者投入和</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减少资本</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19"/>
              <w:jc w:val="right"/>
              <w:rPr>
                <w:rFonts w:ascii="Arial" w:hAnsi="Arial" w:cs="Arial" w:eastAsia="Arial" w:hint="default"/>
                <w:sz w:val="13"/>
                <w:szCs w:val="13"/>
              </w:rPr>
            </w:pPr>
            <w:r>
              <w:rPr>
                <w:rFonts w:ascii="Arial"/>
                <w:spacing w:val="-1"/>
                <w:w w:val="80"/>
                <w:sz w:val="13"/>
              </w:rPr>
              <w:t>47,275,097.00</w:t>
            </w:r>
            <w:r>
              <w:rPr>
                <w:rFonts w:ascii="Arial"/>
                <w:spacing w:val="-1"/>
                <w:sz w:val="13"/>
              </w:rPr>
            </w: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19"/>
              <w:jc w:val="right"/>
              <w:rPr>
                <w:rFonts w:ascii="Arial" w:hAnsi="Arial" w:cs="Arial" w:eastAsia="Arial" w:hint="default"/>
                <w:sz w:val="13"/>
                <w:szCs w:val="13"/>
              </w:rPr>
            </w:pPr>
            <w:r>
              <w:rPr>
                <w:rFonts w:ascii="Arial"/>
                <w:spacing w:val="-1"/>
                <w:w w:val="80"/>
                <w:sz w:val="13"/>
              </w:rPr>
              <w:t>664,424,903.00</w:t>
            </w:r>
            <w:r>
              <w:rPr>
                <w:rFonts w:ascii="Arial"/>
                <w:spacing w:val="-1"/>
                <w:sz w:val="13"/>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right="19"/>
              <w:jc w:val="right"/>
              <w:rPr>
                <w:rFonts w:ascii="Arial" w:hAnsi="Arial" w:cs="Arial" w:eastAsia="Arial" w:hint="default"/>
                <w:sz w:val="13"/>
                <w:szCs w:val="13"/>
              </w:rPr>
            </w:pPr>
            <w:r>
              <w:rPr>
                <w:rFonts w:ascii="Arial"/>
                <w:spacing w:val="-2"/>
                <w:w w:val="80"/>
                <w:sz w:val="13"/>
              </w:rPr>
              <w:t>711,700,000.00</w:t>
            </w:r>
            <w:r>
              <w:rPr>
                <w:rFonts w:ascii="Arial"/>
                <w:spacing w:val="-2"/>
                <w:sz w:val="13"/>
              </w:rPr>
            </w:r>
          </w:p>
        </w:tc>
      </w:tr>
      <w:tr>
        <w:trPr>
          <w:trHeight w:val="324"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股东投入普通股</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9"/>
              <w:jc w:val="right"/>
              <w:rPr>
                <w:rFonts w:ascii="Arial" w:hAnsi="Arial" w:cs="Arial" w:eastAsia="Arial" w:hint="default"/>
                <w:sz w:val="13"/>
                <w:szCs w:val="13"/>
              </w:rPr>
            </w:pPr>
            <w:r>
              <w:rPr>
                <w:rFonts w:ascii="Arial"/>
                <w:spacing w:val="-1"/>
                <w:w w:val="80"/>
                <w:sz w:val="13"/>
              </w:rPr>
              <w:t>47,275,097.00</w:t>
            </w:r>
            <w:r>
              <w:rPr>
                <w:rFonts w:ascii="Arial"/>
                <w:spacing w:val="-1"/>
                <w:sz w:val="13"/>
              </w:rPr>
            </w: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9"/>
              <w:jc w:val="right"/>
              <w:rPr>
                <w:rFonts w:ascii="Arial" w:hAnsi="Arial" w:cs="Arial" w:eastAsia="Arial" w:hint="default"/>
                <w:sz w:val="13"/>
                <w:szCs w:val="13"/>
              </w:rPr>
            </w:pPr>
            <w:r>
              <w:rPr>
                <w:rFonts w:ascii="Arial"/>
                <w:spacing w:val="-1"/>
                <w:w w:val="80"/>
                <w:sz w:val="13"/>
              </w:rPr>
              <w:t>664,424,903.00</w:t>
            </w:r>
            <w:r>
              <w:rPr>
                <w:rFonts w:ascii="Arial"/>
                <w:spacing w:val="-1"/>
                <w:sz w:val="13"/>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2"/>
              <w:ind w:right="19"/>
              <w:jc w:val="right"/>
              <w:rPr>
                <w:rFonts w:ascii="Arial" w:hAnsi="Arial" w:cs="Arial" w:eastAsia="Arial" w:hint="default"/>
                <w:sz w:val="13"/>
                <w:szCs w:val="13"/>
              </w:rPr>
            </w:pPr>
            <w:r>
              <w:rPr>
                <w:rFonts w:ascii="Arial"/>
                <w:spacing w:val="-2"/>
                <w:w w:val="80"/>
                <w:sz w:val="13"/>
              </w:rPr>
              <w:t>711,700,000.00</w:t>
            </w:r>
            <w:r>
              <w:rPr>
                <w:rFonts w:ascii="Arial"/>
                <w:spacing w:val="-2"/>
                <w:sz w:val="13"/>
              </w:rPr>
            </w:r>
          </w:p>
        </w:tc>
      </w:tr>
      <w:tr>
        <w:trPr>
          <w:trHeight w:val="557"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32"/>
              <w:ind w:left="24" w:right="21"/>
              <w:jc w:val="left"/>
              <w:rPr>
                <w:rFonts w:ascii="宋体" w:hAnsi="宋体" w:cs="宋体" w:eastAsia="宋体" w:hint="default"/>
                <w:sz w:val="18"/>
                <w:szCs w:val="18"/>
              </w:rPr>
            </w:pPr>
            <w:r>
              <w:rPr>
                <w:rFonts w:ascii="Times New Roman" w:hAnsi="Times New Roman" w:cs="Times New Roman" w:eastAsia="Times New Roman" w:hint="default"/>
                <w:spacing w:val="6"/>
                <w:sz w:val="18"/>
                <w:szCs w:val="18"/>
              </w:rPr>
              <w:t>2.</w:t>
            </w:r>
            <w:r>
              <w:rPr>
                <w:rFonts w:ascii="宋体" w:hAnsi="宋体" w:cs="宋体" w:eastAsia="宋体" w:hint="default"/>
                <w:spacing w:val="6"/>
                <w:sz w:val="18"/>
                <w:szCs w:val="18"/>
              </w:rPr>
              <w:t>其他权益工具持有</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者投入资本</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32"/>
              <w:ind w:left="24" w:right="21"/>
              <w:jc w:val="left"/>
              <w:rPr>
                <w:rFonts w:ascii="宋体" w:hAnsi="宋体" w:cs="宋体" w:eastAsia="宋体" w:hint="default"/>
                <w:sz w:val="18"/>
                <w:szCs w:val="18"/>
              </w:rPr>
            </w:pPr>
            <w:r>
              <w:rPr>
                <w:rFonts w:ascii="Times New Roman" w:hAnsi="Times New Roman" w:cs="Times New Roman" w:eastAsia="Times New Roman" w:hint="default"/>
                <w:spacing w:val="6"/>
                <w:sz w:val="18"/>
                <w:szCs w:val="18"/>
              </w:rPr>
              <w:t>3.</w:t>
            </w:r>
            <w:r>
              <w:rPr>
                <w:rFonts w:ascii="宋体" w:hAnsi="宋体" w:cs="宋体" w:eastAsia="宋体" w:hint="default"/>
                <w:spacing w:val="6"/>
                <w:sz w:val="18"/>
                <w:szCs w:val="18"/>
              </w:rPr>
              <w:t>股份支付计入所有</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者权益的金额</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0"/>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4" w:right="0"/>
              <w:jc w:val="left"/>
              <w:rPr>
                <w:rFonts w:ascii="宋体" w:hAnsi="宋体" w:cs="宋体" w:eastAsia="宋体" w:hint="default"/>
                <w:sz w:val="18"/>
                <w:szCs w:val="18"/>
              </w:rPr>
            </w:pPr>
            <w:r>
              <w:rPr>
                <w:rFonts w:ascii="宋体" w:hAnsi="宋体" w:cs="宋体" w:eastAsia="宋体" w:hint="default"/>
                <w:sz w:val="18"/>
                <w:szCs w:val="18"/>
              </w:rPr>
              <w:t>（三）利润分配</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Arial" w:hAnsi="Arial" w:cs="Arial" w:eastAsia="Arial" w:hint="default"/>
                <w:sz w:val="13"/>
                <w:szCs w:val="13"/>
              </w:rPr>
            </w:pPr>
            <w:r>
              <w:rPr>
                <w:rFonts w:ascii="Arial"/>
                <w:spacing w:val="-1"/>
                <w:w w:val="80"/>
                <w:sz w:val="13"/>
              </w:rPr>
              <w:t>15,051,878.06</w:t>
            </w:r>
            <w:r>
              <w:rPr>
                <w:rFonts w:ascii="Arial"/>
                <w:spacing w:val="-1"/>
                <w:sz w:val="13"/>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Arial" w:hAnsi="Arial" w:cs="Arial" w:eastAsia="Arial" w:hint="default"/>
                <w:sz w:val="13"/>
                <w:szCs w:val="13"/>
              </w:rPr>
            </w:pPr>
            <w:r>
              <w:rPr>
                <w:rFonts w:ascii="Arial"/>
                <w:spacing w:val="-1"/>
                <w:w w:val="80"/>
                <w:sz w:val="13"/>
              </w:rPr>
              <w:t>-38,059,469.14</w:t>
            </w:r>
            <w:r>
              <w:rPr>
                <w:rFonts w:ascii="Arial"/>
                <w:spacing w:val="-1"/>
                <w:sz w:val="13"/>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Arial" w:hAnsi="Arial" w:cs="Arial" w:eastAsia="Arial" w:hint="default"/>
                <w:sz w:val="13"/>
                <w:szCs w:val="13"/>
              </w:rPr>
            </w:pPr>
            <w:r>
              <w:rPr>
                <w:rFonts w:ascii="Arial"/>
                <w:spacing w:val="-1"/>
                <w:w w:val="80"/>
                <w:sz w:val="13"/>
              </w:rPr>
              <w:t>-23,007,591.08</w:t>
            </w:r>
            <w:r>
              <w:rPr>
                <w:rFonts w:ascii="Arial"/>
                <w:spacing w:val="-1"/>
                <w:sz w:val="13"/>
              </w:rPr>
            </w:r>
          </w:p>
        </w:tc>
      </w:tr>
      <w:tr>
        <w:trPr>
          <w:trHeight w:val="341"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9"/>
              <w:jc w:val="right"/>
              <w:rPr>
                <w:rFonts w:ascii="Arial" w:hAnsi="Arial" w:cs="Arial" w:eastAsia="Arial" w:hint="default"/>
                <w:sz w:val="13"/>
                <w:szCs w:val="13"/>
              </w:rPr>
            </w:pPr>
            <w:r>
              <w:rPr>
                <w:rFonts w:ascii="Arial"/>
                <w:spacing w:val="-1"/>
                <w:w w:val="80"/>
                <w:sz w:val="13"/>
              </w:rPr>
              <w:t>15,051,878.06</w:t>
            </w:r>
            <w:r>
              <w:rPr>
                <w:rFonts w:ascii="Arial"/>
                <w:spacing w:val="-1"/>
                <w:sz w:val="13"/>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22"/>
              <w:jc w:val="right"/>
              <w:rPr>
                <w:rFonts w:ascii="Arial" w:hAnsi="Arial" w:cs="Arial" w:eastAsia="Arial" w:hint="default"/>
                <w:sz w:val="13"/>
                <w:szCs w:val="13"/>
              </w:rPr>
            </w:pPr>
            <w:r>
              <w:rPr>
                <w:rFonts w:ascii="Arial"/>
                <w:spacing w:val="-1"/>
                <w:w w:val="80"/>
                <w:sz w:val="13"/>
              </w:rPr>
              <w:t>-15,051,878.06</w:t>
            </w:r>
            <w:r>
              <w:rPr>
                <w:rFonts w:ascii="Arial"/>
                <w:spacing w:val="-1"/>
                <w:sz w:val="13"/>
              </w:rPr>
            </w: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32"/>
              <w:ind w:left="24" w:right="809"/>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对所有者 的分配</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547" w:lineRule="exact"/>
              <w:ind w:right="-53"/>
              <w:jc w:val="left"/>
              <w:rPr>
                <w:rFonts w:ascii="宋体" w:hAnsi="宋体" w:cs="宋体" w:eastAsia="宋体" w:hint="default"/>
                <w:sz w:val="20"/>
                <w:szCs w:val="20"/>
              </w:rPr>
            </w:pPr>
            <w:r>
              <w:rPr>
                <w:rFonts w:ascii="宋体" w:hAnsi="宋体" w:cs="宋体" w:eastAsia="宋体" w:hint="default"/>
                <w:position w:val="-10"/>
                <w:sz w:val="20"/>
                <w:szCs w:val="20"/>
              </w:rPr>
              <w:pict>
                <v:group style="width:56.3pt;height:27.4pt;mso-position-horizontal-relative:char;mso-position-vertical-relative:line" coordorigin="0,0" coordsize="1126,548">
                  <v:group style="position:absolute;left:0;top:0;width:1126;height:548" coordorigin="0,0" coordsize="1126,548">
                    <v:shape style="position:absolute;left:0;top:0;width:1126;height:548" coordorigin="0,0" coordsize="1126,548" path="m0,548l1126,548,1126,0,0,0,0,548xe" filled="true" fillcolor="#ffffff" stroked="false">
                      <v:path arrowok="t"/>
                      <v:fill type="solid"/>
                    </v:shape>
                  </v:group>
                  <v:group style="position:absolute;left:24;top:161;width:1078;height:226" coordorigin="24,161" coordsize="1078,226">
                    <v:shape style="position:absolute;left:24;top:161;width:1078;height:226" coordorigin="24,161" coordsize="1078,226" path="m24,387l1102,387,1102,161,24,161,24,387xe" filled="true" fillcolor="#ffffff" stroked="false">
                      <v:path arrowok="t"/>
                      <v:fill type="solid"/>
                    </v:shape>
                  </v:group>
                </v:group>
              </w:pict>
            </w:r>
            <w:r>
              <w:rPr>
                <w:rFonts w:ascii="宋体" w:hAnsi="宋体" w:cs="宋体" w:eastAsia="宋体" w:hint="default"/>
                <w:position w:val="-10"/>
                <w:sz w:val="20"/>
                <w:szCs w:val="20"/>
              </w:rPr>
            </w: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22"/>
              <w:jc w:val="right"/>
              <w:rPr>
                <w:rFonts w:ascii="Arial" w:hAnsi="Arial" w:cs="Arial" w:eastAsia="Arial" w:hint="default"/>
                <w:sz w:val="13"/>
                <w:szCs w:val="13"/>
              </w:rPr>
            </w:pPr>
            <w:r>
              <w:rPr>
                <w:rFonts w:ascii="Arial"/>
                <w:spacing w:val="-1"/>
                <w:w w:val="80"/>
                <w:sz w:val="13"/>
              </w:rPr>
              <w:t>-23,007,591.08</w:t>
            </w:r>
            <w:r>
              <w:rPr>
                <w:rFonts w:ascii="Arial"/>
                <w:spacing w:val="-1"/>
                <w:sz w:val="13"/>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19"/>
              <w:jc w:val="right"/>
              <w:rPr>
                <w:rFonts w:ascii="Arial" w:hAnsi="Arial" w:cs="Arial" w:eastAsia="Arial" w:hint="default"/>
                <w:sz w:val="13"/>
                <w:szCs w:val="13"/>
              </w:rPr>
            </w:pPr>
            <w:r>
              <w:rPr>
                <w:rFonts w:ascii="Arial"/>
                <w:spacing w:val="-1"/>
                <w:w w:val="80"/>
                <w:sz w:val="13"/>
              </w:rPr>
              <w:t>-23,007,591.08</w:t>
            </w:r>
            <w:r>
              <w:rPr>
                <w:rFonts w:ascii="Arial"/>
                <w:spacing w:val="-1"/>
                <w:sz w:val="13"/>
              </w:rPr>
            </w:r>
          </w:p>
        </w:tc>
      </w:tr>
      <w:tr>
        <w:trPr>
          <w:trHeight w:val="324"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26"/>
              <w:jc w:val="left"/>
              <w:rPr>
                <w:rFonts w:ascii="宋体" w:hAnsi="宋体" w:cs="宋体" w:eastAsia="宋体" w:hint="default"/>
                <w:sz w:val="18"/>
                <w:szCs w:val="18"/>
              </w:rPr>
            </w:pPr>
            <w:r>
              <w:rPr>
                <w:rFonts w:ascii="宋体" w:hAnsi="宋体" w:cs="宋体" w:eastAsia="宋体" w:hint="default"/>
                <w:sz w:val="18"/>
                <w:szCs w:val="18"/>
              </w:rPr>
              <w:t>（四）所有者权益内</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部结转</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2" w:lineRule="exact" w:before="10"/>
              <w:ind w:left="24" w:right="0"/>
              <w:jc w:val="left"/>
              <w:rPr>
                <w:rFonts w:ascii="宋体" w:hAnsi="宋体" w:cs="宋体" w:eastAsia="宋体" w:hint="default"/>
                <w:sz w:val="18"/>
                <w:szCs w:val="18"/>
              </w:rPr>
            </w:pPr>
            <w:r>
              <w:rPr>
                <w:rFonts w:ascii="Times New Roman" w:hAnsi="Times New Roman" w:cs="Times New Roman" w:eastAsia="Times New Roman" w:hint="default"/>
                <w:spacing w:val="6"/>
                <w:sz w:val="18"/>
                <w:szCs w:val="18"/>
              </w:rPr>
              <w:t>1.</w:t>
            </w:r>
            <w:r>
              <w:rPr>
                <w:rFonts w:ascii="宋体" w:hAnsi="宋体" w:cs="宋体" w:eastAsia="宋体" w:hint="default"/>
                <w:spacing w:val="6"/>
                <w:sz w:val="18"/>
                <w:szCs w:val="18"/>
              </w:rPr>
              <w:t>资本公积转增资本</w:t>
            </w:r>
          </w:p>
          <w:p>
            <w:pPr>
              <w:pStyle w:val="TableParagraph"/>
              <w:spacing w:line="229" w:lineRule="exact"/>
              <w:ind w:left="24" w:right="0"/>
              <w:jc w:val="left"/>
              <w:rPr>
                <w:rFonts w:ascii="宋体" w:hAnsi="宋体" w:cs="宋体" w:eastAsia="宋体" w:hint="default"/>
                <w:sz w:val="18"/>
                <w:szCs w:val="18"/>
              </w:rPr>
            </w:pPr>
            <w:r>
              <w:rPr>
                <w:rFonts w:ascii="宋体" w:hAnsi="宋体" w:cs="宋体" w:eastAsia="宋体" w:hint="default"/>
                <w:sz w:val="18"/>
                <w:szCs w:val="18"/>
              </w:rPr>
              <w:t>（或股本）</w:t>
            </w:r>
            <w:r>
              <w:rPr>
                <w:rFonts w:ascii="宋体" w:hAnsi="宋体" w:cs="宋体" w:eastAsia="宋体" w:hint="default"/>
                <w:sz w:val="18"/>
                <w:szCs w:val="18"/>
              </w:rPr>
              <w:t> </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283" w:hRule="exact"/>
        </w:trPr>
        <w:tc>
          <w:tcPr>
            <w:tcW w:w="17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left="24" w:right="0"/>
              <w:jc w:val="left"/>
              <w:rPr>
                <w:rFonts w:ascii="宋体" w:hAnsi="宋体" w:cs="宋体" w:eastAsia="宋体" w:hint="default"/>
                <w:sz w:val="18"/>
                <w:szCs w:val="18"/>
              </w:rPr>
            </w:pPr>
            <w:r>
              <w:rPr>
                <w:rFonts w:ascii="Times New Roman" w:hAnsi="Times New Roman" w:cs="Times New Roman" w:eastAsia="Times New Roman" w:hint="default"/>
                <w:spacing w:val="6"/>
                <w:sz w:val="18"/>
                <w:szCs w:val="18"/>
              </w:rPr>
              <w:t>2.</w:t>
            </w:r>
            <w:r>
              <w:rPr>
                <w:rFonts w:ascii="宋体" w:hAnsi="宋体" w:cs="宋体" w:eastAsia="宋体" w:hint="default"/>
                <w:spacing w:val="6"/>
                <w:sz w:val="18"/>
                <w:szCs w:val="18"/>
              </w:rPr>
              <w:t>盈余公积转增资本</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21" w:footer="725" w:top="1160" w:bottom="920" w:left="980" w:right="0"/>
        </w:sectPr>
      </w:pPr>
    </w:p>
    <w:p>
      <w:pPr>
        <w:spacing w:line="240" w:lineRule="auto" w:before="4"/>
        <w:rPr>
          <w:rFonts w:ascii="宋体" w:hAnsi="宋体" w:cs="宋体" w:eastAsia="宋体" w:hint="default"/>
          <w:sz w:val="21"/>
          <w:szCs w:val="21"/>
        </w:rPr>
      </w:pPr>
    </w:p>
    <w:tbl>
      <w:tblPr>
        <w:tblW w:w="0" w:type="auto"/>
        <w:jc w:val="left"/>
        <w:tblInd w:w="149" w:type="dxa"/>
        <w:tblLayout w:type="fixed"/>
        <w:tblCellMar>
          <w:top w:w="0" w:type="dxa"/>
          <w:left w:w="0" w:type="dxa"/>
          <w:bottom w:w="0" w:type="dxa"/>
          <w:right w:w="0" w:type="dxa"/>
        </w:tblCellMar>
        <w:tblLook w:val="01E0"/>
      </w:tblPr>
      <w:tblGrid>
        <w:gridCol w:w="1701"/>
        <w:gridCol w:w="1133"/>
        <w:gridCol w:w="286"/>
        <w:gridCol w:w="283"/>
        <w:gridCol w:w="283"/>
        <w:gridCol w:w="1133"/>
        <w:gridCol w:w="994"/>
        <w:gridCol w:w="283"/>
        <w:gridCol w:w="283"/>
        <w:gridCol w:w="991"/>
        <w:gridCol w:w="1136"/>
        <w:gridCol w:w="1274"/>
      </w:tblGrid>
      <w:tr>
        <w:trPr>
          <w:trHeight w:val="283" w:hRule="exact"/>
        </w:trPr>
        <w:tc>
          <w:tcPr>
            <w:tcW w:w="17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8" w:lineRule="exact"/>
              <w:ind w:left="22" w:right="0"/>
              <w:jc w:val="left"/>
              <w:rPr>
                <w:rFonts w:ascii="宋体" w:hAnsi="宋体" w:cs="宋体" w:eastAsia="宋体" w:hint="default"/>
                <w:sz w:val="18"/>
                <w:szCs w:val="18"/>
              </w:rPr>
            </w:pPr>
            <w:r>
              <w:rPr>
                <w:rFonts w:ascii="宋体" w:hAnsi="宋体" w:cs="宋体" w:eastAsia="宋体" w:hint="default"/>
                <w:sz w:val="18"/>
                <w:szCs w:val="18"/>
              </w:rPr>
              <w:t>（或股本）</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17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盈余公积弥补亏损</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17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36" w:lineRule="exact" w:before="32"/>
              <w:ind w:left="22" w:right="21"/>
              <w:jc w:val="left"/>
              <w:rPr>
                <w:rFonts w:ascii="宋体" w:hAnsi="宋体" w:cs="宋体" w:eastAsia="宋体" w:hint="default"/>
                <w:sz w:val="18"/>
                <w:szCs w:val="18"/>
              </w:rPr>
            </w:pPr>
            <w:r>
              <w:rPr>
                <w:rFonts w:ascii="Times New Roman" w:hAnsi="Times New Roman" w:cs="Times New Roman" w:eastAsia="Times New Roman" w:hint="default"/>
                <w:spacing w:val="6"/>
                <w:sz w:val="18"/>
                <w:szCs w:val="18"/>
              </w:rPr>
              <w:t>4.</w:t>
            </w:r>
            <w:r>
              <w:rPr>
                <w:rFonts w:ascii="宋体" w:hAnsi="宋体" w:cs="宋体" w:eastAsia="宋体" w:hint="default"/>
                <w:spacing w:val="6"/>
                <w:sz w:val="18"/>
                <w:szCs w:val="18"/>
              </w:rPr>
              <w:t>设定受益计划变动</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额结转留存收益</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490" w:hRule="exact"/>
        </w:trPr>
        <w:tc>
          <w:tcPr>
            <w:tcW w:w="17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02" w:lineRule="exact" w:before="37"/>
              <w:ind w:left="22" w:right="21"/>
              <w:jc w:val="left"/>
              <w:rPr>
                <w:rFonts w:ascii="宋体" w:hAnsi="宋体" w:cs="宋体" w:eastAsia="宋体" w:hint="default"/>
                <w:sz w:val="18"/>
                <w:szCs w:val="18"/>
              </w:rPr>
            </w:pPr>
            <w:r>
              <w:rPr>
                <w:rFonts w:ascii="Times New Roman" w:hAnsi="Times New Roman" w:cs="Times New Roman" w:eastAsia="Times New Roman" w:hint="default"/>
                <w:spacing w:val="6"/>
                <w:sz w:val="18"/>
                <w:szCs w:val="18"/>
              </w:rPr>
              <w:t>5.</w:t>
            </w:r>
            <w:r>
              <w:rPr>
                <w:rFonts w:ascii="宋体" w:hAnsi="宋体" w:cs="宋体" w:eastAsia="宋体" w:hint="default"/>
                <w:spacing w:val="6"/>
                <w:sz w:val="18"/>
                <w:szCs w:val="18"/>
              </w:rPr>
              <w:t>其他综合收益结转</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z w:val="18"/>
                <w:szCs w:val="18"/>
              </w:rPr>
              <w:t>留存收益</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17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17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0"/>
              <w:ind w:left="22" w:right="0"/>
              <w:jc w:val="left"/>
              <w:rPr>
                <w:rFonts w:ascii="宋体" w:hAnsi="宋体" w:cs="宋体" w:eastAsia="宋体" w:hint="default"/>
                <w:sz w:val="18"/>
                <w:szCs w:val="18"/>
              </w:rPr>
            </w:pPr>
            <w:r>
              <w:rPr>
                <w:rFonts w:ascii="宋体" w:hAnsi="宋体" w:cs="宋体" w:eastAsia="宋体" w:hint="default"/>
                <w:sz w:val="18"/>
                <w:szCs w:val="18"/>
              </w:rPr>
              <w:t>（五）专项储备</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17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17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2"/>
              <w:ind w:left="2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338" w:hRule="exact"/>
        </w:trPr>
        <w:tc>
          <w:tcPr>
            <w:tcW w:w="17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20"/>
              <w:ind w:left="22"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1133" w:type="dxa"/>
            <w:tcBorders>
              <w:top w:val="single" w:sz="4" w:space="0" w:color="000000"/>
              <w:left w:val="single" w:sz="4" w:space="0" w:color="000000"/>
              <w:bottom w:val="single" w:sz="4" w:space="0" w:color="000000"/>
              <w:right w:val="single" w:sz="4" w:space="0" w:color="000000"/>
            </w:tcBorders>
          </w:tcPr>
          <w:p>
            <w:pP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
        </w:tc>
        <w:tc>
          <w:tcPr>
            <w:tcW w:w="1136" w:type="dxa"/>
            <w:tcBorders>
              <w:top w:val="single" w:sz="4" w:space="0" w:color="000000"/>
              <w:left w:val="single" w:sz="4" w:space="0" w:color="000000"/>
              <w:bottom w:val="single" w:sz="4" w:space="0" w:color="000000"/>
              <w:right w:val="single" w:sz="4" w:space="0" w:color="000000"/>
            </w:tcBorders>
          </w:tcPr>
          <w:p>
            <w:pPr/>
          </w:p>
        </w:tc>
        <w:tc>
          <w:tcPr>
            <w:tcW w:w="1274" w:type="dxa"/>
            <w:tcBorders>
              <w:top w:val="single" w:sz="4" w:space="0" w:color="000000"/>
              <w:left w:val="single" w:sz="4" w:space="0" w:color="000000"/>
              <w:bottom w:val="single" w:sz="4" w:space="0" w:color="000000"/>
              <w:right w:val="single" w:sz="4" w:space="0" w:color="000000"/>
            </w:tcBorders>
          </w:tcPr>
          <w:p>
            <w:pPr/>
          </w:p>
        </w:tc>
      </w:tr>
      <w:tr>
        <w:trPr>
          <w:trHeight w:val="341" w:hRule="exact"/>
        </w:trPr>
        <w:tc>
          <w:tcPr>
            <w:tcW w:w="17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22"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9" w:right="0"/>
              <w:jc w:val="left"/>
              <w:rPr>
                <w:rFonts w:ascii="Arial" w:hAnsi="Arial" w:cs="Arial" w:eastAsia="Arial" w:hint="default"/>
                <w:sz w:val="13"/>
                <w:szCs w:val="13"/>
              </w:rPr>
            </w:pPr>
            <w:r>
              <w:rPr>
                <w:rFonts w:ascii="Arial"/>
                <w:w w:val="80"/>
                <w:sz w:val="13"/>
              </w:rPr>
              <w:t>669,101,883.00</w:t>
            </w:r>
            <w:r>
              <w:rPr>
                <w:rFonts w:ascii="Arial"/>
                <w:sz w:val="13"/>
              </w:rPr>
            </w:r>
          </w:p>
        </w:tc>
        <w:tc>
          <w:tcPr>
            <w:tcW w:w="286"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1" w:right="0"/>
              <w:jc w:val="left"/>
              <w:rPr>
                <w:rFonts w:ascii="Arial" w:hAnsi="Arial" w:cs="Arial" w:eastAsia="Arial" w:hint="default"/>
                <w:sz w:val="13"/>
                <w:szCs w:val="13"/>
              </w:rPr>
            </w:pPr>
            <w:r>
              <w:rPr>
                <w:rFonts w:ascii="Arial"/>
                <w:w w:val="80"/>
                <w:sz w:val="13"/>
              </w:rPr>
              <w:t>1,807,161,154.72</w:t>
            </w:r>
            <w:r>
              <w:rPr>
                <w:rFonts w:ascii="Arial"/>
                <w:sz w:val="13"/>
              </w:rPr>
            </w:r>
          </w:p>
        </w:tc>
        <w:tc>
          <w:tcPr>
            <w:tcW w:w="994"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283" w:type="dxa"/>
            <w:tcBorders>
              <w:top w:val="single" w:sz="4" w:space="0" w:color="000000"/>
              <w:left w:val="single" w:sz="4" w:space="0" w:color="000000"/>
              <w:bottom w:val="single" w:sz="4" w:space="0" w:color="000000"/>
              <w:right w:val="single" w:sz="4" w:space="0" w:color="000000"/>
            </w:tcBorders>
          </w:tcPr>
          <w:p>
            <w:pP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78" w:right="0"/>
              <w:jc w:val="left"/>
              <w:rPr>
                <w:rFonts w:ascii="Arial" w:hAnsi="Arial" w:cs="Arial" w:eastAsia="Arial" w:hint="default"/>
                <w:sz w:val="13"/>
                <w:szCs w:val="13"/>
              </w:rPr>
            </w:pPr>
            <w:r>
              <w:rPr>
                <w:rFonts w:ascii="Arial"/>
                <w:w w:val="80"/>
                <w:sz w:val="13"/>
              </w:rPr>
              <w:t>56,093,581.76</w:t>
            </w:r>
            <w:r>
              <w:rPr>
                <w:rFonts w:ascii="Arial"/>
                <w:sz w:val="13"/>
              </w:rPr>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9" w:right="0"/>
              <w:jc w:val="left"/>
              <w:rPr>
                <w:rFonts w:ascii="Arial" w:hAnsi="Arial" w:cs="Arial" w:eastAsia="Arial" w:hint="default"/>
                <w:sz w:val="13"/>
                <w:szCs w:val="13"/>
              </w:rPr>
            </w:pPr>
            <w:r>
              <w:rPr>
                <w:rFonts w:ascii="Arial"/>
                <w:w w:val="80"/>
                <w:sz w:val="13"/>
              </w:rPr>
              <w:t>460,480,249.94</w:t>
            </w:r>
            <w:r>
              <w:rPr>
                <w:rFonts w:ascii="Arial"/>
                <w:sz w:val="13"/>
              </w:rPr>
            </w:r>
          </w:p>
        </w:tc>
        <w:tc>
          <w:tcPr>
            <w:tcW w:w="12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12" w:right="0"/>
              <w:jc w:val="left"/>
              <w:rPr>
                <w:rFonts w:ascii="Arial" w:hAnsi="Arial" w:cs="Arial" w:eastAsia="Arial" w:hint="default"/>
                <w:sz w:val="13"/>
                <w:szCs w:val="13"/>
              </w:rPr>
            </w:pPr>
            <w:r>
              <w:rPr>
                <w:rFonts w:ascii="Arial"/>
                <w:w w:val="80"/>
                <w:sz w:val="13"/>
              </w:rPr>
              <w:t>2,992,836,869.42</w:t>
            </w:r>
            <w:r>
              <w:rPr>
                <w:rFonts w:ascii="Arial"/>
                <w:sz w:val="13"/>
              </w:rPr>
            </w:r>
          </w:p>
        </w:tc>
      </w:tr>
    </w:tbl>
    <w:p>
      <w:pPr>
        <w:pStyle w:val="BodyText"/>
        <w:tabs>
          <w:tab w:pos="3410" w:val="left" w:leader="none"/>
          <w:tab w:pos="7190" w:val="left" w:leader="none"/>
        </w:tabs>
        <w:spacing w:line="240" w:lineRule="auto" w:before="47"/>
        <w:ind w:right="1133"/>
        <w:jc w:val="left"/>
        <w:rPr>
          <w:rFonts w:ascii="宋体" w:hAnsi="宋体" w:cs="宋体" w:eastAsia="宋体" w:hint="default"/>
        </w:rPr>
      </w:pPr>
      <w:r>
        <w:rPr>
          <w:spacing w:val="-2"/>
        </w:rPr>
        <w:t>法定代表人：吴鹰</w:t>
        <w:tab/>
        <w:t>主管会计工作负责人：李鹏宇</w:t>
        <w:tab/>
        <w:t>会计机构负责人：张雷</w:t>
      </w:r>
      <w:r>
        <w:rPr>
          <w:rFonts w:ascii="宋体" w:hAnsi="宋体" w:cs="宋体" w:eastAsia="宋体" w:hint="default"/>
          <w:b/>
          <w:bCs/>
          <w:w w:val="99"/>
        </w:rPr>
        <w:t> </w:t>
      </w:r>
      <w:r>
        <w:rPr>
          <w:rFonts w:ascii="宋体" w:hAnsi="宋体" w:cs="宋体" w:eastAsia="宋体" w:hint="default"/>
        </w:rPr>
      </w:r>
    </w:p>
    <w:p>
      <w:pPr>
        <w:pStyle w:val="BodyText"/>
        <w:spacing w:line="240" w:lineRule="auto" w:before="117"/>
        <w:ind w:left="0" w:right="455"/>
        <w:jc w:val="center"/>
        <w:rPr>
          <w:rFonts w:ascii="宋体" w:hAnsi="宋体" w:cs="宋体" w:eastAsia="宋体" w:hint="default"/>
        </w:rPr>
      </w:pPr>
      <w:r>
        <w:rPr>
          <w:rFonts w:ascii="宋体"/>
          <w:w w:val="100"/>
        </w:rPr>
        <w:t> </w:t>
      </w:r>
    </w:p>
    <w:p>
      <w:pPr>
        <w:pStyle w:val="Heading2"/>
        <w:spacing w:line="240" w:lineRule="auto" w:before="115"/>
        <w:ind w:right="0"/>
        <w:jc w:val="both"/>
        <w:rPr>
          <w:rFonts w:ascii="宋体" w:hAnsi="宋体" w:cs="宋体" w:eastAsia="宋体" w:hint="default"/>
          <w:b w:val="0"/>
          <w:bCs w:val="0"/>
        </w:rPr>
      </w:pPr>
      <w:r>
        <w:rPr/>
        <w:t>三、财务报表附注</w:t>
      </w:r>
      <w:r>
        <w:rPr>
          <w:rFonts w:ascii="宋体" w:hAnsi="宋体" w:cs="宋体" w:eastAsia="宋体" w:hint="default"/>
          <w:w w:val="99"/>
        </w:rPr>
        <w:t> </w:t>
      </w:r>
      <w:r>
        <w:rPr>
          <w:rFonts w:ascii="宋体" w:hAnsi="宋体" w:cs="宋体" w:eastAsia="宋体" w:hint="default"/>
          <w:b w:val="0"/>
          <w:bCs w:val="0"/>
        </w:rPr>
      </w:r>
    </w:p>
    <w:p>
      <w:pPr>
        <w:pStyle w:val="Heading3"/>
        <w:spacing w:line="240" w:lineRule="auto" w:before="119"/>
        <w:ind w:right="0"/>
        <w:jc w:val="both"/>
        <w:rPr>
          <w:rFonts w:ascii="宋体" w:hAnsi="宋体" w:cs="宋体" w:eastAsia="宋体" w:hint="default"/>
          <w:b w:val="0"/>
          <w:bCs w:val="0"/>
        </w:rPr>
      </w:pPr>
      <w:r>
        <w:rPr/>
        <w:t>一、公司基本情况</w:t>
      </w:r>
      <w:r>
        <w:rPr>
          <w:rFonts w:ascii="宋体" w:hAnsi="宋体" w:cs="宋体" w:eastAsia="宋体" w:hint="default"/>
          <w:w w:val="99"/>
        </w:rPr>
        <w:t> </w:t>
      </w:r>
      <w:r>
        <w:rPr>
          <w:rFonts w:ascii="宋体" w:hAnsi="宋体" w:cs="宋体" w:eastAsia="宋体" w:hint="default"/>
          <w:b w:val="0"/>
          <w:bCs w:val="0"/>
        </w:rPr>
      </w:r>
    </w:p>
    <w:p>
      <w:pPr>
        <w:pStyle w:val="BodyText"/>
        <w:spacing w:line="340" w:lineRule="auto" w:before="118"/>
        <w:ind w:left="573" w:right="5955" w:hanging="209"/>
        <w:jc w:val="left"/>
        <w:rPr>
          <w:rFonts w:ascii="宋体" w:hAnsi="宋体" w:cs="宋体" w:eastAsia="宋体" w:hint="default"/>
        </w:rPr>
      </w:pPr>
      <w:r>
        <w:rPr/>
        <w:t>（一）公</w:t>
      </w:r>
      <w:r>
        <w:rPr>
          <w:rFonts w:ascii="宋体" w:hAnsi="宋体" w:cs="宋体" w:eastAsia="宋体" w:hint="default"/>
          <w:b/>
          <w:bCs/>
        </w:rPr>
        <w:t>司概况</w:t>
      </w:r>
      <w:r>
        <w:rPr>
          <w:rFonts w:ascii="宋体" w:hAnsi="宋体" w:cs="宋体" w:eastAsia="宋体" w:hint="default"/>
          <w:b/>
          <w:bCs/>
          <w:w w:val="99"/>
        </w:rPr>
        <w:t> </w:t>
      </w:r>
      <w:r>
        <w:rPr>
          <w:rFonts w:ascii="宋体" w:hAnsi="宋体" w:cs="宋体" w:eastAsia="宋体" w:hint="default"/>
        </w:rPr>
        <w:t>1</w:t>
      </w:r>
      <w:r>
        <w:rPr/>
        <w:t>、企业注册地、组织形式和总部地址</w:t>
      </w:r>
      <w:r>
        <w:rPr>
          <w:rFonts w:ascii="宋体" w:hAnsi="宋体" w:cs="宋体" w:eastAsia="宋体" w:hint="default"/>
        </w:rPr>
        <w:t> </w:t>
      </w:r>
    </w:p>
    <w:p>
      <w:pPr>
        <w:pStyle w:val="BodyText"/>
        <w:spacing w:line="237" w:lineRule="auto" w:before="33"/>
        <w:ind w:right="1128" w:firstLine="420"/>
        <w:jc w:val="both"/>
        <w:rPr>
          <w:rFonts w:ascii="宋体" w:hAnsi="宋体" w:cs="宋体" w:eastAsia="宋体" w:hint="default"/>
        </w:rPr>
      </w:pPr>
      <w:r>
        <w:rPr/>
        <w:t>中嘉博创信息技术股份有限公司</w:t>
      </w:r>
      <w:r>
        <w:rPr>
          <w:rFonts w:ascii="宋体" w:hAnsi="宋体" w:cs="宋体" w:eastAsia="宋体" w:hint="default"/>
        </w:rPr>
        <w:t>(</w:t>
      </w:r>
      <w:r>
        <w:rPr/>
        <w:t>原名为茂业物流股份有限公司、茂业通信网络股份有限公司，后更</w:t>
      </w:r>
      <w:r>
        <w:rPr>
          <w:w w:val="100"/>
        </w:rPr>
        <w:t> </w:t>
      </w:r>
      <w:r>
        <w:rPr>
          <w:spacing w:val="-12"/>
          <w:w w:val="100"/>
        </w:rPr>
        <w:t>名为中嘉博创信息技术股份有限公司，以下简称“本公司”或“公司”，</w:t>
      </w:r>
      <w:r>
        <w:rPr>
          <w:rFonts w:ascii="宋体" w:hAnsi="宋体" w:cs="宋体" w:eastAsia="宋体" w:hint="default"/>
          <w:spacing w:val="-12"/>
          <w:w w:val="100"/>
        </w:rPr>
        <w:t>)</w:t>
      </w:r>
      <w:r>
        <w:rPr>
          <w:spacing w:val="-12"/>
          <w:w w:val="100"/>
        </w:rPr>
        <w:t>系经河北省人民政府冀股办（</w:t>
      </w:r>
      <w:r>
        <w:rPr>
          <w:rFonts w:ascii="宋体" w:hAnsi="宋体" w:cs="宋体" w:eastAsia="宋体" w:hint="default"/>
          <w:spacing w:val="-12"/>
          <w:w w:val="100"/>
        </w:rPr>
        <w:t>1997</w:t>
      </w:r>
      <w:r>
        <w:rPr>
          <w:spacing w:val="-12"/>
          <w:w w:val="100"/>
        </w:rPr>
        <w:t>）</w:t>
      </w:r>
      <w:r>
        <w:rPr>
          <w:w w:val="100"/>
        </w:rPr>
        <w:t> </w:t>
      </w:r>
      <w:r>
        <w:rPr>
          <w:rFonts w:ascii="宋体" w:hAnsi="宋体" w:cs="宋体" w:eastAsia="宋体" w:hint="default"/>
        </w:rPr>
        <w:t>18</w:t>
      </w:r>
      <w:r>
        <w:rPr>
          <w:rFonts w:ascii="宋体" w:hAnsi="宋体" w:cs="宋体" w:eastAsia="宋体" w:hint="default"/>
          <w:spacing w:val="14"/>
        </w:rPr>
        <w:t> </w:t>
      </w:r>
      <w:r>
        <w:rPr>
          <w:spacing w:val="-2"/>
        </w:rPr>
        <w:t>号文批复批准，由秦皇岛华联商厦股份有限公司和秦皇岛商城股份有限公司合并设立。</w:t>
      </w:r>
      <w:r>
        <w:rPr>
          <w:rFonts w:ascii="宋体" w:hAnsi="宋体" w:cs="宋体" w:eastAsia="宋体" w:hint="default"/>
        </w:rPr>
        <w:t> </w:t>
      </w:r>
    </w:p>
    <w:p>
      <w:pPr>
        <w:pStyle w:val="BodyText"/>
        <w:spacing w:line="274" w:lineRule="exact" w:before="116"/>
        <w:ind w:left="573" w:right="819"/>
        <w:jc w:val="left"/>
      </w:pPr>
      <w:r>
        <w:rPr>
          <w:spacing w:val="-4"/>
        </w:rPr>
        <w:t>经中国证券监督管理委员会证监发字（</w:t>
      </w:r>
      <w:r>
        <w:rPr>
          <w:rFonts w:ascii="宋体" w:hAnsi="宋体" w:cs="宋体" w:eastAsia="宋体" w:hint="default"/>
          <w:spacing w:val="-4"/>
        </w:rPr>
        <w:t>1997</w:t>
      </w:r>
      <w:r>
        <w:rPr>
          <w:spacing w:val="-4"/>
        </w:rPr>
        <w:t>）</w:t>
      </w:r>
      <w:r>
        <w:rPr>
          <w:rFonts w:ascii="宋体" w:hAnsi="宋体" w:cs="宋体" w:eastAsia="宋体" w:hint="default"/>
          <w:spacing w:val="-4"/>
        </w:rPr>
        <w:t>477</w:t>
      </w:r>
      <w:r>
        <w:rPr>
          <w:rFonts w:ascii="宋体" w:hAnsi="宋体" w:cs="宋体" w:eastAsia="宋体" w:hint="default"/>
          <w:spacing w:val="-44"/>
        </w:rPr>
        <w:t> </w:t>
      </w:r>
      <w:r>
        <w:rPr>
          <w:spacing w:val="-4"/>
        </w:rPr>
        <w:t>号批复批准，本公司于</w:t>
      </w:r>
      <w:r>
        <w:rPr>
          <w:spacing w:val="-44"/>
        </w:rPr>
        <w:t> </w:t>
      </w:r>
      <w:r>
        <w:rPr>
          <w:rFonts w:ascii="宋体" w:hAnsi="宋体" w:cs="宋体" w:eastAsia="宋体" w:hint="default"/>
        </w:rPr>
        <w:t>1997</w:t>
      </w:r>
      <w:r>
        <w:rPr>
          <w:rFonts w:ascii="宋体" w:hAnsi="宋体" w:cs="宋体" w:eastAsia="宋体" w:hint="default"/>
          <w:spacing w:val="-47"/>
        </w:rPr>
        <w:t> </w:t>
      </w:r>
      <w:r>
        <w:rPr/>
        <w:t>年</w:t>
      </w:r>
      <w:r>
        <w:rPr>
          <w:spacing w:val="-44"/>
        </w:rPr>
        <w:t> </w:t>
      </w:r>
      <w:r>
        <w:rPr>
          <w:rFonts w:ascii="宋体" w:hAnsi="宋体" w:cs="宋体" w:eastAsia="宋体" w:hint="default"/>
        </w:rPr>
        <w:t>10</w:t>
      </w:r>
      <w:r>
        <w:rPr>
          <w:rFonts w:ascii="宋体" w:hAnsi="宋体" w:cs="宋体" w:eastAsia="宋体" w:hint="default"/>
          <w:spacing w:val="-47"/>
        </w:rPr>
        <w:t> </w:t>
      </w:r>
      <w:r>
        <w:rPr/>
        <w:t>月</w:t>
      </w:r>
      <w:r>
        <w:rPr>
          <w:spacing w:val="-43"/>
        </w:rPr>
        <w:t> </w:t>
      </w:r>
      <w:r>
        <w:rPr>
          <w:rFonts w:ascii="宋体" w:hAnsi="宋体" w:cs="宋体" w:eastAsia="宋体" w:hint="default"/>
        </w:rPr>
        <w:t>30</w:t>
      </w:r>
      <w:r>
        <w:rPr>
          <w:rFonts w:ascii="宋体" w:hAnsi="宋体" w:cs="宋体" w:eastAsia="宋体" w:hint="default"/>
          <w:spacing w:val="-47"/>
        </w:rPr>
        <w:t> </w:t>
      </w:r>
      <w:r>
        <w:rPr/>
        <w:t>日在深圳证</w:t>
      </w:r>
    </w:p>
    <w:p>
      <w:pPr>
        <w:pStyle w:val="BodyText"/>
        <w:spacing w:line="272" w:lineRule="exact"/>
        <w:ind w:right="0"/>
        <w:jc w:val="both"/>
      </w:pPr>
      <w:r>
        <w:rPr/>
        <w:t>券交易所上网发行人民币普通股</w:t>
      </w:r>
      <w:r>
        <w:rPr>
          <w:spacing w:val="-35"/>
        </w:rPr>
        <w:t> </w:t>
      </w:r>
      <w:r>
        <w:rPr>
          <w:rFonts w:ascii="宋体" w:hAnsi="宋体" w:cs="宋体" w:eastAsia="宋体" w:hint="default"/>
        </w:rPr>
        <w:t>3,000</w:t>
      </w:r>
      <w:r>
        <w:rPr>
          <w:rFonts w:ascii="宋体" w:hAnsi="宋体" w:cs="宋体" w:eastAsia="宋体" w:hint="default"/>
          <w:spacing w:val="-35"/>
        </w:rPr>
        <w:t> </w:t>
      </w:r>
      <w:r>
        <w:rPr/>
        <w:t>万股，发行后股本</w:t>
      </w:r>
      <w:r>
        <w:rPr>
          <w:spacing w:val="-35"/>
        </w:rPr>
        <w:t> </w:t>
      </w:r>
      <w:r>
        <w:rPr>
          <w:rFonts w:ascii="宋体" w:hAnsi="宋体" w:cs="宋体" w:eastAsia="宋体" w:hint="default"/>
        </w:rPr>
        <w:t>11,005</w:t>
      </w:r>
      <w:r>
        <w:rPr>
          <w:rFonts w:ascii="宋体" w:hAnsi="宋体" w:cs="宋体" w:eastAsia="宋体" w:hint="default"/>
          <w:spacing w:val="-35"/>
        </w:rPr>
        <w:t> </w:t>
      </w:r>
      <w:r>
        <w:rPr/>
        <w:t>万股。后经送股、转增和配股，本公司</w:t>
      </w:r>
    </w:p>
    <w:p>
      <w:pPr>
        <w:pStyle w:val="BodyText"/>
        <w:spacing w:line="237" w:lineRule="auto"/>
        <w:ind w:right="1128"/>
        <w:jc w:val="both"/>
        <w:rPr>
          <w:rFonts w:ascii="宋体" w:hAnsi="宋体" w:cs="宋体" w:eastAsia="宋体" w:hint="default"/>
        </w:rPr>
      </w:pPr>
      <w:r>
        <w:rPr/>
        <w:t>总股本增至</w:t>
      </w:r>
      <w:r>
        <w:rPr>
          <w:spacing w:val="-44"/>
        </w:rPr>
        <w:t> </w:t>
      </w:r>
      <w:r>
        <w:rPr>
          <w:rFonts w:ascii="宋体" w:hAnsi="宋体" w:cs="宋体" w:eastAsia="宋体" w:hint="default"/>
        </w:rPr>
        <w:t>338,707,568.00</w:t>
      </w:r>
      <w:r>
        <w:rPr>
          <w:rFonts w:ascii="宋体" w:hAnsi="宋体" w:cs="宋体" w:eastAsia="宋体" w:hint="default"/>
          <w:spacing w:val="-44"/>
        </w:rPr>
        <w:t> </w:t>
      </w:r>
      <w:r>
        <w:rPr>
          <w:spacing w:val="-4"/>
        </w:rPr>
        <w:t>元。</w:t>
      </w:r>
      <w:r>
        <w:rPr>
          <w:rFonts w:ascii="宋体" w:hAnsi="宋体" w:cs="宋体" w:eastAsia="宋体" w:hint="default"/>
          <w:spacing w:val="-4"/>
        </w:rPr>
        <w:t>2012</w:t>
      </w:r>
      <w:r>
        <w:rPr>
          <w:rFonts w:ascii="宋体" w:hAnsi="宋体" w:cs="宋体" w:eastAsia="宋体" w:hint="default"/>
          <w:spacing w:val="-47"/>
        </w:rPr>
        <w:t> </w:t>
      </w:r>
      <w:r>
        <w:rPr/>
        <w:t>年</w:t>
      </w:r>
      <w:r>
        <w:rPr>
          <w:spacing w:val="-44"/>
        </w:rPr>
        <w:t> </w:t>
      </w:r>
      <w:r>
        <w:rPr>
          <w:rFonts w:ascii="宋体" w:hAnsi="宋体" w:cs="宋体" w:eastAsia="宋体" w:hint="default"/>
        </w:rPr>
        <w:t>10</w:t>
      </w:r>
      <w:r>
        <w:rPr>
          <w:rFonts w:ascii="宋体" w:hAnsi="宋体" w:cs="宋体" w:eastAsia="宋体" w:hint="default"/>
          <w:spacing w:val="-44"/>
        </w:rPr>
        <w:t> </w:t>
      </w:r>
      <w:r>
        <w:rPr>
          <w:spacing w:val="-4"/>
        </w:rPr>
        <w:t>月，根据与原控股股东中兆投资管理有限公司（以下简称“中</w:t>
      </w:r>
      <w:r>
        <w:rPr>
          <w:spacing w:val="-101"/>
        </w:rPr>
        <w:t> </w:t>
      </w:r>
      <w:r>
        <w:rPr>
          <w:spacing w:val="-101"/>
        </w:rPr>
      </w:r>
      <w:r>
        <w:rPr>
          <w:spacing w:val="-7"/>
          <w:w w:val="100"/>
        </w:rPr>
        <w:t>兆投资”）签订的《非公开发行股份购买资产协议》以及《非公开发行股份购买资产之补偿协议》，公司向</w:t>
      </w:r>
      <w:r>
        <w:rPr>
          <w:spacing w:val="-76"/>
          <w:w w:val="100"/>
        </w:rPr>
        <w:t> </w:t>
      </w:r>
      <w:r>
        <w:rPr>
          <w:spacing w:val="-76"/>
          <w:w w:val="100"/>
        </w:rPr>
      </w:r>
      <w:r>
        <w:rPr/>
        <w:t>中兆投资增发</w:t>
      </w:r>
      <w:r>
        <w:rPr>
          <w:spacing w:val="-54"/>
        </w:rPr>
        <w:t> </w:t>
      </w:r>
      <w:r>
        <w:rPr>
          <w:rFonts w:ascii="宋体" w:hAnsi="宋体" w:cs="宋体" w:eastAsia="宋体" w:hint="default"/>
        </w:rPr>
        <w:t>106,813,996</w:t>
      </w:r>
      <w:r>
        <w:rPr>
          <w:rFonts w:ascii="宋体" w:hAnsi="宋体" w:cs="宋体" w:eastAsia="宋体" w:hint="default"/>
          <w:spacing w:val="-55"/>
        </w:rPr>
        <w:t> </w:t>
      </w:r>
      <w:r>
        <w:rPr/>
        <w:t>股，本公司总股本增加至</w:t>
      </w:r>
      <w:r>
        <w:rPr>
          <w:spacing w:val="-54"/>
        </w:rPr>
        <w:t> </w:t>
      </w:r>
      <w:r>
        <w:rPr>
          <w:rFonts w:ascii="宋体" w:hAnsi="宋体" w:cs="宋体" w:eastAsia="宋体" w:hint="default"/>
        </w:rPr>
        <w:t>445,521,564.00</w:t>
      </w:r>
      <w:r>
        <w:rPr>
          <w:rFonts w:ascii="宋体" w:hAnsi="宋体" w:cs="宋体" w:eastAsia="宋体" w:hint="default"/>
          <w:spacing w:val="-57"/>
        </w:rPr>
        <w:t> </w:t>
      </w:r>
      <w:r>
        <w:rPr/>
        <w:t>元。</w:t>
      </w:r>
      <w:r>
        <w:rPr>
          <w:rFonts w:ascii="宋体" w:hAnsi="宋体" w:cs="宋体" w:eastAsia="宋体" w:hint="default"/>
        </w:rPr>
        <w:t> </w:t>
      </w:r>
    </w:p>
    <w:p>
      <w:pPr>
        <w:pStyle w:val="BodyText"/>
        <w:spacing w:line="237" w:lineRule="auto" w:before="119"/>
        <w:ind w:right="819" w:firstLine="420"/>
        <w:jc w:val="left"/>
      </w:pPr>
      <w:r>
        <w:rPr>
          <w:rFonts w:ascii="宋体" w:hAnsi="宋体" w:cs="宋体" w:eastAsia="宋体" w:hint="default"/>
        </w:rPr>
        <w:t>2014</w:t>
      </w:r>
      <w:r>
        <w:rPr>
          <w:rFonts w:ascii="宋体" w:hAnsi="宋体" w:cs="宋体" w:eastAsia="宋体" w:hint="default"/>
          <w:spacing w:val="-60"/>
        </w:rPr>
        <w:t> </w:t>
      </w:r>
      <w:r>
        <w:rPr/>
        <w:t>年</w:t>
      </w:r>
      <w:r>
        <w:rPr>
          <w:spacing w:val="-58"/>
        </w:rPr>
        <w:t> </w:t>
      </w:r>
      <w:r>
        <w:rPr>
          <w:rFonts w:ascii="宋体" w:hAnsi="宋体" w:cs="宋体" w:eastAsia="宋体" w:hint="default"/>
        </w:rPr>
        <w:t>12</w:t>
      </w:r>
      <w:r>
        <w:rPr>
          <w:rFonts w:ascii="宋体" w:hAnsi="宋体" w:cs="宋体" w:eastAsia="宋体" w:hint="default"/>
          <w:spacing w:val="-60"/>
        </w:rPr>
        <w:t> </w:t>
      </w:r>
      <w:r>
        <w:rPr/>
        <w:t>月，根据本公司股东大会决议及中国证监会证监许可【</w:t>
      </w:r>
      <w:r>
        <w:rPr>
          <w:rFonts w:ascii="宋体" w:hAnsi="宋体" w:cs="宋体" w:eastAsia="宋体" w:hint="default"/>
        </w:rPr>
        <w:t>2014</w:t>
      </w:r>
      <w:r>
        <w:rPr/>
        <w:t>】</w:t>
      </w:r>
      <w:r>
        <w:rPr>
          <w:rFonts w:ascii="宋体" w:hAnsi="宋体" w:cs="宋体" w:eastAsia="宋体" w:hint="default"/>
        </w:rPr>
        <w:t>1225</w:t>
      </w:r>
      <w:r>
        <w:rPr>
          <w:rFonts w:ascii="宋体" w:hAnsi="宋体" w:cs="宋体" w:eastAsia="宋体" w:hint="default"/>
          <w:spacing w:val="-58"/>
        </w:rPr>
        <w:t> </w:t>
      </w:r>
      <w:r>
        <w:rPr/>
        <w:t>号文《关于核准茂业物</w:t>
      </w:r>
      <w:r>
        <w:rPr>
          <w:w w:val="100"/>
        </w:rPr>
        <w:t> </w:t>
      </w:r>
      <w:r>
        <w:rPr/>
        <w:t>流股份有限公司向孝昌鹰溪谷投资中心（有限合伙）等发行股份购买资产并募集配套资金的批复》核准，</w:t>
      </w:r>
      <w:r>
        <w:rPr>
          <w:spacing w:val="-24"/>
        </w:rPr>
        <w:t> </w:t>
      </w:r>
      <w:r>
        <w:rPr>
          <w:spacing w:val="-24"/>
        </w:rPr>
      </w:r>
      <w:r>
        <w:rPr>
          <w:spacing w:val="-2"/>
        </w:rPr>
        <w:t>本公司向孝昌鹰溪谷投资中心（有限合伙）发行</w:t>
      </w:r>
      <w:r>
        <w:rPr/>
        <w:t> </w:t>
      </w:r>
      <w:r>
        <w:rPr>
          <w:rFonts w:ascii="宋体" w:hAnsi="宋体" w:cs="宋体" w:eastAsia="宋体" w:hint="default"/>
          <w:spacing w:val="-1"/>
        </w:rPr>
        <w:t>148,360,844</w:t>
      </w:r>
      <w:r>
        <w:rPr>
          <w:rFonts w:ascii="宋体" w:hAnsi="宋体" w:cs="宋体" w:eastAsia="宋体" w:hint="default"/>
          <w:spacing w:val="-46"/>
        </w:rPr>
        <w:t> </w:t>
      </w:r>
      <w:r>
        <w:rPr>
          <w:spacing w:val="-2"/>
        </w:rPr>
        <w:t>股股份、向北京博升优势科技发展有限公司</w:t>
      </w:r>
    </w:p>
    <w:p>
      <w:pPr>
        <w:pStyle w:val="BodyText"/>
        <w:spacing w:line="272" w:lineRule="exact"/>
        <w:ind w:right="0"/>
        <w:jc w:val="both"/>
        <w:rPr>
          <w:rFonts w:ascii="宋体" w:hAnsi="宋体" w:cs="宋体" w:eastAsia="宋体" w:hint="default"/>
        </w:rPr>
      </w:pPr>
      <w:r>
        <w:rPr/>
        <w:t>发行</w:t>
      </w:r>
      <w:r>
        <w:rPr>
          <w:spacing w:val="-33"/>
        </w:rPr>
        <w:t> </w:t>
      </w:r>
      <w:r>
        <w:rPr>
          <w:rFonts w:ascii="宋体" w:hAnsi="宋体" w:cs="宋体" w:eastAsia="宋体" w:hint="default"/>
        </w:rPr>
        <w:t>1,498,595</w:t>
      </w:r>
      <w:r>
        <w:rPr>
          <w:rFonts w:ascii="宋体" w:hAnsi="宋体" w:cs="宋体" w:eastAsia="宋体" w:hint="default"/>
          <w:spacing w:val="-38"/>
        </w:rPr>
        <w:t> </w:t>
      </w:r>
      <w:r>
        <w:rPr>
          <w:spacing w:val="-4"/>
        </w:rPr>
        <w:t>股股份购买资产，向特定对象上海峰幽投资管理中心（普通合伙）非公开发行</w:t>
      </w:r>
      <w:r>
        <w:rPr>
          <w:spacing w:val="-38"/>
        </w:rPr>
        <w:t> </w:t>
      </w:r>
      <w:r>
        <w:rPr>
          <w:rFonts w:ascii="宋体" w:hAnsi="宋体" w:cs="宋体" w:eastAsia="宋体" w:hint="default"/>
        </w:rPr>
        <w:t>26,445,783</w:t>
      </w:r>
    </w:p>
    <w:p>
      <w:pPr>
        <w:pStyle w:val="BodyText"/>
        <w:spacing w:line="272" w:lineRule="exact"/>
        <w:ind w:right="0"/>
        <w:jc w:val="both"/>
        <w:rPr>
          <w:rFonts w:ascii="宋体" w:hAnsi="宋体" w:cs="宋体" w:eastAsia="宋体" w:hint="default"/>
        </w:rPr>
      </w:pPr>
      <w:r>
        <w:rPr/>
        <w:t>股新股募集发行股份购买资产的配套资金。本次股份发行完成后，本公司总股本变更为</w:t>
      </w:r>
      <w:r>
        <w:rPr>
          <w:spacing w:val="81"/>
        </w:rPr>
        <w:t> </w:t>
      </w:r>
      <w:r>
        <w:rPr>
          <w:rFonts w:ascii="宋体" w:hAnsi="宋体" w:cs="宋体" w:eastAsia="宋体" w:hint="default"/>
        </w:rPr>
        <w:t>621,826,786.00</w:t>
      </w:r>
    </w:p>
    <w:p>
      <w:pPr>
        <w:pStyle w:val="BodyText"/>
        <w:spacing w:line="274" w:lineRule="exact"/>
        <w:ind w:right="0"/>
        <w:jc w:val="both"/>
        <w:rPr>
          <w:rFonts w:ascii="宋体" w:hAnsi="宋体" w:cs="宋体" w:eastAsia="宋体" w:hint="default"/>
        </w:rPr>
      </w:pPr>
      <w:r>
        <w:rPr/>
        <w:t>元。</w:t>
      </w:r>
      <w:r>
        <w:rPr>
          <w:rFonts w:ascii="宋体" w:hAnsi="宋体" w:cs="宋体" w:eastAsia="宋体" w:hint="default"/>
        </w:rPr>
        <w:t> </w:t>
      </w:r>
    </w:p>
    <w:p>
      <w:pPr>
        <w:pStyle w:val="BodyText"/>
        <w:spacing w:line="240" w:lineRule="auto" w:before="116"/>
        <w:ind w:right="819" w:firstLine="420"/>
        <w:jc w:val="left"/>
        <w:rPr>
          <w:rFonts w:ascii="宋体" w:hAnsi="宋体" w:cs="宋体" w:eastAsia="宋体" w:hint="default"/>
        </w:rPr>
      </w:pPr>
      <w:r>
        <w:rPr/>
        <w:t>本公司在</w:t>
      </w:r>
      <w:r>
        <w:rPr>
          <w:spacing w:val="-43"/>
        </w:rPr>
        <w:t> </w:t>
      </w:r>
      <w:r>
        <w:rPr>
          <w:rFonts w:ascii="宋体" w:hAnsi="宋体" w:cs="宋体" w:eastAsia="宋体" w:hint="default"/>
        </w:rPr>
        <w:t>2015</w:t>
      </w:r>
      <w:r>
        <w:rPr>
          <w:rFonts w:ascii="宋体" w:hAnsi="宋体" w:cs="宋体" w:eastAsia="宋体" w:hint="default"/>
          <w:spacing w:val="-46"/>
        </w:rPr>
        <w:t> </w:t>
      </w:r>
      <w:r>
        <w:rPr>
          <w:spacing w:val="-3"/>
        </w:rPr>
        <w:t>年度已彻底完成转型，</w:t>
      </w:r>
      <w:r>
        <w:rPr>
          <w:rFonts w:ascii="宋体" w:hAnsi="宋体" w:cs="宋体" w:eastAsia="宋体" w:hint="default"/>
          <w:spacing w:val="-3"/>
        </w:rPr>
        <w:t>2015</w:t>
      </w:r>
      <w:r>
        <w:rPr>
          <w:rFonts w:ascii="宋体" w:hAnsi="宋体" w:cs="宋体" w:eastAsia="宋体" w:hint="default"/>
          <w:spacing w:val="-46"/>
        </w:rPr>
        <w:t> </w:t>
      </w:r>
      <w:r>
        <w:rPr/>
        <w:t>年</w:t>
      </w:r>
      <w:r>
        <w:rPr>
          <w:spacing w:val="-43"/>
        </w:rPr>
        <w:t> </w:t>
      </w:r>
      <w:r>
        <w:rPr>
          <w:rFonts w:ascii="宋体" w:hAnsi="宋体" w:cs="宋体" w:eastAsia="宋体" w:hint="default"/>
        </w:rPr>
        <w:t>11</w:t>
      </w:r>
      <w:r>
        <w:rPr>
          <w:rFonts w:ascii="宋体" w:hAnsi="宋体" w:cs="宋体" w:eastAsia="宋体" w:hint="default"/>
          <w:spacing w:val="-43"/>
        </w:rPr>
        <w:t> </w:t>
      </w:r>
      <w:r>
        <w:rPr>
          <w:spacing w:val="-4"/>
        </w:rPr>
        <w:t>月，经股东大会同意，公司将原名“茂业物流股份有</w:t>
      </w:r>
      <w:r>
        <w:rPr>
          <w:w w:val="100"/>
        </w:rPr>
        <w:t> </w:t>
      </w:r>
      <w:r>
        <w:rPr>
          <w:spacing w:val="-7"/>
          <w:w w:val="100"/>
        </w:rPr>
        <w:t>限公司”更名为“茂业通信网络股份有限公司”。</w:t>
      </w:r>
      <w:r>
        <w:rPr>
          <w:rFonts w:ascii="宋体" w:hAnsi="宋体" w:cs="宋体" w:eastAsia="宋体" w:hint="default"/>
          <w:w w:val="100"/>
        </w:rPr>
        <w:t> </w:t>
      </w:r>
    </w:p>
    <w:p>
      <w:pPr>
        <w:pStyle w:val="BodyText"/>
        <w:spacing w:line="274" w:lineRule="exact" w:before="116"/>
        <w:ind w:left="573" w:right="819"/>
        <w:jc w:val="left"/>
      </w:pPr>
      <w:r>
        <w:rPr>
          <w:rFonts w:ascii="宋体" w:hAnsi="宋体" w:cs="宋体" w:eastAsia="宋体" w:hint="default"/>
        </w:rPr>
        <w:t>2018</w:t>
      </w:r>
      <w:r>
        <w:rPr>
          <w:rFonts w:ascii="宋体" w:hAnsi="宋体" w:cs="宋体" w:eastAsia="宋体" w:hint="default"/>
          <w:spacing w:val="-35"/>
        </w:rPr>
        <w:t> </w:t>
      </w:r>
      <w:r>
        <w:rPr/>
        <w:t>年</w:t>
      </w:r>
      <w:r>
        <w:rPr>
          <w:spacing w:val="-34"/>
        </w:rPr>
        <w:t> </w:t>
      </w:r>
      <w:r>
        <w:rPr>
          <w:rFonts w:ascii="宋体" w:hAnsi="宋体" w:cs="宋体" w:eastAsia="宋体" w:hint="default"/>
        </w:rPr>
        <w:t>8</w:t>
      </w:r>
      <w:r>
        <w:rPr>
          <w:rFonts w:ascii="宋体" w:hAnsi="宋体" w:cs="宋体" w:eastAsia="宋体" w:hint="default"/>
          <w:spacing w:val="-34"/>
        </w:rPr>
        <w:t> </w:t>
      </w:r>
      <w:r>
        <w:rPr/>
        <w:t>月，根据本公司股东大会决议及中国证监会证监许可</w:t>
      </w:r>
      <w:r>
        <w:rPr>
          <w:rFonts w:ascii="宋体" w:hAnsi="宋体" w:cs="宋体" w:eastAsia="宋体" w:hint="default"/>
        </w:rPr>
        <w:t>[2018]1257</w:t>
      </w:r>
      <w:r>
        <w:rPr>
          <w:rFonts w:ascii="宋体" w:hAnsi="宋体" w:cs="宋体" w:eastAsia="宋体" w:hint="default"/>
          <w:spacing w:val="-35"/>
        </w:rPr>
        <w:t> </w:t>
      </w:r>
      <w:r>
        <w:rPr/>
        <w:t>号文《关于核准茂业通信</w:t>
      </w:r>
    </w:p>
    <w:p>
      <w:pPr>
        <w:pStyle w:val="BodyText"/>
        <w:spacing w:line="273" w:lineRule="exact"/>
        <w:ind w:right="0"/>
        <w:jc w:val="both"/>
      </w:pPr>
      <w:r>
        <w:rPr/>
        <w:t>网络股份有限公司向刘英魁发行股份购买资产的批复》核准，本公司向刘英魁发行 </w:t>
      </w:r>
      <w:r>
        <w:rPr>
          <w:rFonts w:ascii="宋体" w:hAnsi="宋体" w:cs="宋体" w:eastAsia="宋体" w:hint="default"/>
        </w:rPr>
        <w:t>47,275,097</w:t>
      </w:r>
      <w:r>
        <w:rPr>
          <w:rFonts w:ascii="宋体" w:hAnsi="宋体" w:cs="宋体" w:eastAsia="宋体" w:hint="default"/>
          <w:spacing w:val="-28"/>
        </w:rPr>
        <w:t> </w:t>
      </w:r>
      <w:r>
        <w:rPr/>
        <w:t>股股份购</w:t>
      </w:r>
    </w:p>
    <w:p>
      <w:pPr>
        <w:pStyle w:val="BodyText"/>
        <w:spacing w:line="273" w:lineRule="exact"/>
        <w:ind w:right="0"/>
        <w:jc w:val="both"/>
      </w:pPr>
      <w:r>
        <w:rPr>
          <w:spacing w:val="-9"/>
        </w:rPr>
        <w:t>买相关资产。</w:t>
      </w:r>
      <w:r>
        <w:rPr>
          <w:rFonts w:ascii="宋体" w:hAnsi="宋体" w:cs="宋体" w:eastAsia="宋体" w:hint="default"/>
          <w:spacing w:val="-9"/>
        </w:rPr>
        <w:t>2018</w:t>
      </w:r>
      <w:r>
        <w:rPr>
          <w:rFonts w:ascii="宋体" w:hAnsi="宋体" w:cs="宋体" w:eastAsia="宋体" w:hint="default"/>
          <w:spacing w:val="-37"/>
        </w:rPr>
        <w:t> </w:t>
      </w:r>
      <w:r>
        <w:rPr/>
        <w:t>年</w:t>
      </w:r>
      <w:r>
        <w:rPr>
          <w:spacing w:val="-40"/>
        </w:rPr>
        <w:t> </w:t>
      </w:r>
      <w:r>
        <w:rPr>
          <w:rFonts w:ascii="宋体" w:hAnsi="宋体" w:cs="宋体" w:eastAsia="宋体" w:hint="default"/>
        </w:rPr>
        <w:t>9</w:t>
      </w:r>
      <w:r>
        <w:rPr>
          <w:rFonts w:ascii="宋体" w:hAnsi="宋体" w:cs="宋体" w:eastAsia="宋体" w:hint="default"/>
          <w:spacing w:val="-37"/>
        </w:rPr>
        <w:t> </w:t>
      </w:r>
      <w:r>
        <w:rPr/>
        <w:t>月</w:t>
      </w:r>
      <w:r>
        <w:rPr>
          <w:spacing w:val="-40"/>
        </w:rPr>
        <w:t> </w:t>
      </w:r>
      <w:r>
        <w:rPr>
          <w:rFonts w:ascii="宋体" w:hAnsi="宋体" w:cs="宋体" w:eastAsia="宋体" w:hint="default"/>
        </w:rPr>
        <w:t>7</w:t>
      </w:r>
      <w:r>
        <w:rPr>
          <w:rFonts w:ascii="宋体" w:hAnsi="宋体" w:cs="宋体" w:eastAsia="宋体" w:hint="default"/>
          <w:spacing w:val="-37"/>
        </w:rPr>
        <w:t> </w:t>
      </w:r>
      <w:r>
        <w:rPr>
          <w:spacing w:val="-8"/>
        </w:rPr>
        <w:t>日，本公司已完成本次股份发行，并由华普天健会计师事务所（特殊普通合伙）</w:t>
      </w:r>
    </w:p>
    <w:p>
      <w:pPr>
        <w:pStyle w:val="BodyText"/>
        <w:spacing w:line="274" w:lineRule="exact"/>
        <w:ind w:right="0"/>
        <w:jc w:val="both"/>
        <w:rPr>
          <w:rFonts w:ascii="宋体" w:hAnsi="宋体" w:cs="宋体" w:eastAsia="宋体" w:hint="default"/>
        </w:rPr>
      </w:pPr>
      <w:r>
        <w:rPr/>
        <w:t>于</w:t>
      </w:r>
      <w:r>
        <w:rPr>
          <w:spacing w:val="-53"/>
        </w:rPr>
        <w:t> </w:t>
      </w:r>
      <w:r>
        <w:rPr>
          <w:rFonts w:ascii="宋体" w:hAnsi="宋体" w:cs="宋体" w:eastAsia="宋体" w:hint="default"/>
        </w:rPr>
        <w:t>2018</w:t>
      </w:r>
      <w:r>
        <w:rPr>
          <w:rFonts w:ascii="宋体" w:hAnsi="宋体" w:cs="宋体" w:eastAsia="宋体" w:hint="default"/>
          <w:spacing w:val="-54"/>
        </w:rPr>
        <w:t> </w:t>
      </w:r>
      <w:r>
        <w:rPr/>
        <w:t>年</w:t>
      </w:r>
      <w:r>
        <w:rPr>
          <w:spacing w:val="-56"/>
        </w:rPr>
        <w:t> </w:t>
      </w:r>
      <w:r>
        <w:rPr>
          <w:rFonts w:ascii="宋体" w:hAnsi="宋体" w:cs="宋体" w:eastAsia="宋体" w:hint="default"/>
        </w:rPr>
        <w:t>9</w:t>
      </w:r>
      <w:r>
        <w:rPr>
          <w:rFonts w:ascii="宋体" w:hAnsi="宋体" w:cs="宋体" w:eastAsia="宋体" w:hint="default"/>
          <w:spacing w:val="-54"/>
        </w:rPr>
        <w:t> </w:t>
      </w:r>
      <w:r>
        <w:rPr/>
        <w:t>月</w:t>
      </w:r>
      <w:r>
        <w:rPr>
          <w:spacing w:val="-56"/>
        </w:rPr>
        <w:t> </w:t>
      </w:r>
      <w:r>
        <w:rPr>
          <w:rFonts w:ascii="宋体" w:hAnsi="宋体" w:cs="宋体" w:eastAsia="宋体" w:hint="default"/>
        </w:rPr>
        <w:t>11</w:t>
      </w:r>
      <w:r>
        <w:rPr>
          <w:rFonts w:ascii="宋体" w:hAnsi="宋体" w:cs="宋体" w:eastAsia="宋体" w:hint="default"/>
          <w:spacing w:val="-54"/>
        </w:rPr>
        <w:t> </w:t>
      </w:r>
      <w:r>
        <w:rPr/>
        <w:t>日出具会验字【</w:t>
      </w:r>
      <w:r>
        <w:rPr>
          <w:rFonts w:ascii="宋体" w:hAnsi="宋体" w:cs="宋体" w:eastAsia="宋体" w:hint="default"/>
        </w:rPr>
        <w:t>2018</w:t>
      </w:r>
      <w:r>
        <w:rPr/>
        <w:t>】</w:t>
      </w:r>
      <w:r>
        <w:rPr>
          <w:rFonts w:ascii="宋体" w:hAnsi="宋体" w:cs="宋体" w:eastAsia="宋体" w:hint="default"/>
        </w:rPr>
        <w:t>5773</w:t>
      </w:r>
      <w:r>
        <w:rPr>
          <w:rFonts w:ascii="宋体" w:hAnsi="宋体" w:cs="宋体" w:eastAsia="宋体" w:hint="default"/>
          <w:spacing w:val="-54"/>
        </w:rPr>
        <w:t> </w:t>
      </w:r>
      <w:r>
        <w:rPr/>
        <w:t>号验资报告予以验证。</w:t>
      </w:r>
      <w:r>
        <w:rPr>
          <w:rFonts w:ascii="宋体" w:hAnsi="宋体" w:cs="宋体" w:eastAsia="宋体" w:hint="default"/>
        </w:rPr>
        <w:t> </w:t>
      </w:r>
    </w:p>
    <w:p>
      <w:pPr>
        <w:pStyle w:val="BodyText"/>
        <w:spacing w:line="240" w:lineRule="auto" w:before="116"/>
        <w:ind w:left="573" w:right="1133"/>
        <w:jc w:val="left"/>
        <w:rPr>
          <w:rFonts w:ascii="宋体" w:hAnsi="宋体" w:cs="宋体" w:eastAsia="宋体" w:hint="default"/>
        </w:rPr>
      </w:pPr>
      <w:r>
        <w:rPr>
          <w:rFonts w:ascii="宋体" w:hAnsi="宋体" w:cs="宋体" w:eastAsia="宋体" w:hint="default"/>
          <w:w w:val="100"/>
        </w:rPr>
        <w:t>2018</w:t>
      </w:r>
      <w:r>
        <w:rPr>
          <w:rFonts w:ascii="宋体" w:hAnsi="宋体" w:cs="宋体" w:eastAsia="宋体" w:hint="default"/>
          <w:spacing w:val="-55"/>
        </w:rPr>
        <w:t> </w:t>
      </w:r>
      <w:r>
        <w:rPr>
          <w:w w:val="100"/>
        </w:rPr>
        <w:t>年</w:t>
      </w:r>
      <w:r>
        <w:rPr>
          <w:spacing w:val="-53"/>
        </w:rPr>
        <w:t> </w:t>
      </w:r>
      <w:r>
        <w:rPr>
          <w:rFonts w:ascii="宋体" w:hAnsi="宋体" w:cs="宋体" w:eastAsia="宋体" w:hint="default"/>
          <w:w w:val="100"/>
        </w:rPr>
        <w:t>12</w:t>
      </w:r>
      <w:r>
        <w:rPr>
          <w:rFonts w:ascii="宋体" w:hAnsi="宋体" w:cs="宋体" w:eastAsia="宋体" w:hint="default"/>
          <w:spacing w:val="-55"/>
        </w:rPr>
        <w:t> </w:t>
      </w:r>
      <w:r>
        <w:rPr>
          <w:w w:val="100"/>
        </w:rPr>
        <w:t>月</w:t>
      </w:r>
      <w:r>
        <w:rPr>
          <w:spacing w:val="-3"/>
          <w:w w:val="100"/>
        </w:rPr>
        <w:t>，</w:t>
      </w:r>
      <w:r>
        <w:rPr>
          <w:w w:val="100"/>
        </w:rPr>
        <w:t>公</w:t>
      </w:r>
      <w:r>
        <w:rPr>
          <w:spacing w:val="-3"/>
          <w:w w:val="100"/>
        </w:rPr>
        <w:t>司</w:t>
      </w:r>
      <w:r>
        <w:rPr>
          <w:w w:val="100"/>
        </w:rPr>
        <w:t>由</w:t>
      </w:r>
      <w:r>
        <w:rPr>
          <w:spacing w:val="-3"/>
          <w:w w:val="100"/>
        </w:rPr>
        <w:t>“</w:t>
      </w:r>
      <w:r>
        <w:rPr>
          <w:w w:val="100"/>
        </w:rPr>
        <w:t>茂业</w:t>
      </w:r>
      <w:r>
        <w:rPr>
          <w:spacing w:val="-3"/>
          <w:w w:val="100"/>
        </w:rPr>
        <w:t>通</w:t>
      </w:r>
      <w:r>
        <w:rPr>
          <w:w w:val="100"/>
        </w:rPr>
        <w:t>信</w:t>
      </w:r>
      <w:r>
        <w:rPr>
          <w:spacing w:val="-3"/>
          <w:w w:val="100"/>
        </w:rPr>
        <w:t>网</w:t>
      </w:r>
      <w:r>
        <w:rPr>
          <w:w w:val="100"/>
        </w:rPr>
        <w:t>络</w:t>
      </w:r>
      <w:r>
        <w:rPr>
          <w:spacing w:val="-3"/>
          <w:w w:val="100"/>
        </w:rPr>
        <w:t>股</w:t>
      </w:r>
      <w:r>
        <w:rPr>
          <w:w w:val="100"/>
        </w:rPr>
        <w:t>份</w:t>
      </w:r>
      <w:r>
        <w:rPr>
          <w:spacing w:val="-3"/>
          <w:w w:val="100"/>
        </w:rPr>
        <w:t>有</w:t>
      </w:r>
      <w:r>
        <w:rPr>
          <w:w w:val="100"/>
        </w:rPr>
        <w:t>限</w:t>
      </w:r>
      <w:r>
        <w:rPr>
          <w:spacing w:val="-3"/>
          <w:w w:val="100"/>
        </w:rPr>
        <w:t>公</w:t>
      </w:r>
      <w:r>
        <w:rPr>
          <w:w w:val="100"/>
        </w:rPr>
        <w:t>司”</w:t>
      </w:r>
      <w:r>
        <w:rPr>
          <w:spacing w:val="-3"/>
          <w:w w:val="100"/>
        </w:rPr>
        <w:t>更</w:t>
      </w:r>
      <w:r>
        <w:rPr>
          <w:w w:val="100"/>
        </w:rPr>
        <w:t>名</w:t>
      </w:r>
      <w:r>
        <w:rPr>
          <w:spacing w:val="-3"/>
          <w:w w:val="100"/>
        </w:rPr>
        <w:t>为</w:t>
      </w:r>
      <w:r>
        <w:rPr>
          <w:w w:val="100"/>
        </w:rPr>
        <w:t>“</w:t>
      </w:r>
      <w:r>
        <w:rPr>
          <w:spacing w:val="-3"/>
          <w:w w:val="100"/>
        </w:rPr>
        <w:t>中</w:t>
      </w:r>
      <w:r>
        <w:rPr>
          <w:w w:val="100"/>
        </w:rPr>
        <w:t>嘉</w:t>
      </w:r>
      <w:r>
        <w:rPr>
          <w:spacing w:val="-3"/>
          <w:w w:val="100"/>
        </w:rPr>
        <w:t>博</w:t>
      </w:r>
      <w:r>
        <w:rPr>
          <w:w w:val="100"/>
        </w:rPr>
        <w:t>创</w:t>
      </w:r>
      <w:r>
        <w:rPr>
          <w:spacing w:val="-3"/>
          <w:w w:val="100"/>
        </w:rPr>
        <w:t>信</w:t>
      </w:r>
      <w:r>
        <w:rPr>
          <w:w w:val="100"/>
        </w:rPr>
        <w:t>息技</w:t>
      </w:r>
      <w:r>
        <w:rPr>
          <w:spacing w:val="-3"/>
          <w:w w:val="100"/>
        </w:rPr>
        <w:t>术</w:t>
      </w:r>
      <w:r>
        <w:rPr>
          <w:w w:val="100"/>
        </w:rPr>
        <w:t>股</w:t>
      </w:r>
      <w:r>
        <w:rPr>
          <w:spacing w:val="-3"/>
          <w:w w:val="100"/>
        </w:rPr>
        <w:t>份</w:t>
      </w:r>
      <w:r>
        <w:rPr>
          <w:w w:val="100"/>
        </w:rPr>
        <w:t>有</w:t>
      </w:r>
      <w:r>
        <w:rPr>
          <w:spacing w:val="-3"/>
          <w:w w:val="100"/>
        </w:rPr>
        <w:t>限</w:t>
      </w:r>
      <w:r>
        <w:rPr>
          <w:w w:val="100"/>
        </w:rPr>
        <w:t>公</w:t>
      </w:r>
      <w:r>
        <w:rPr>
          <w:spacing w:val="-3"/>
          <w:w w:val="100"/>
        </w:rPr>
        <w:t>司</w:t>
      </w:r>
      <w:r>
        <w:rPr>
          <w:spacing w:val="-106"/>
          <w:w w:val="100"/>
        </w:rPr>
        <w:t>”</w:t>
      </w:r>
      <w:r>
        <w:rPr>
          <w:spacing w:val="-3"/>
          <w:w w:val="100"/>
        </w:rPr>
        <w:t>。</w:t>
      </w:r>
      <w:r>
        <w:rPr>
          <w:rFonts w:ascii="宋体" w:hAnsi="宋体" w:cs="宋体" w:eastAsia="宋体" w:hint="default"/>
          <w:w w:val="100"/>
        </w:rPr>
        <w:t> </w:t>
      </w:r>
    </w:p>
    <w:p>
      <w:pPr>
        <w:pStyle w:val="BodyText"/>
        <w:spacing w:line="272" w:lineRule="exact" w:before="146"/>
        <w:ind w:right="819" w:firstLine="420"/>
        <w:jc w:val="left"/>
        <w:rPr>
          <w:rFonts w:ascii="宋体" w:hAnsi="宋体" w:cs="宋体" w:eastAsia="宋体" w:hint="default"/>
        </w:rPr>
      </w:pPr>
      <w:r>
        <w:rPr/>
        <w:t>截止</w:t>
      </w:r>
      <w:r>
        <w:rPr>
          <w:spacing w:val="-46"/>
        </w:rPr>
        <w:t> </w:t>
      </w:r>
      <w:r>
        <w:rPr>
          <w:rFonts w:ascii="宋体" w:hAnsi="宋体" w:cs="宋体" w:eastAsia="宋体" w:hint="default"/>
        </w:rPr>
        <w:t>2019</w:t>
      </w:r>
      <w:r>
        <w:rPr>
          <w:rFonts w:ascii="宋体" w:hAnsi="宋体" w:cs="宋体" w:eastAsia="宋体" w:hint="default"/>
          <w:spacing w:val="-45"/>
        </w:rPr>
        <w:t> </w:t>
      </w:r>
      <w:r>
        <w:rPr/>
        <w:t>年</w:t>
      </w:r>
      <w:r>
        <w:rPr>
          <w:spacing w:val="-48"/>
        </w:rPr>
        <w:t> </w:t>
      </w:r>
      <w:r>
        <w:rPr>
          <w:rFonts w:ascii="宋体" w:hAnsi="宋体" w:cs="宋体" w:eastAsia="宋体" w:hint="default"/>
        </w:rPr>
        <w:t>12</w:t>
      </w:r>
      <w:r>
        <w:rPr>
          <w:rFonts w:ascii="宋体" w:hAnsi="宋体" w:cs="宋体" w:eastAsia="宋体" w:hint="default"/>
          <w:spacing w:val="-45"/>
        </w:rPr>
        <w:t> </w:t>
      </w:r>
      <w:r>
        <w:rPr/>
        <w:t>月</w:t>
      </w:r>
      <w:r>
        <w:rPr>
          <w:spacing w:val="-45"/>
        </w:rPr>
        <w:t> </w:t>
      </w:r>
      <w:r>
        <w:rPr>
          <w:rFonts w:ascii="宋体" w:hAnsi="宋体" w:cs="宋体" w:eastAsia="宋体" w:hint="default"/>
        </w:rPr>
        <w:t>31</w:t>
      </w:r>
      <w:r>
        <w:rPr>
          <w:rFonts w:ascii="宋体" w:hAnsi="宋体" w:cs="宋体" w:eastAsia="宋体" w:hint="default"/>
          <w:spacing w:val="-45"/>
        </w:rPr>
        <w:t> </w:t>
      </w:r>
      <w:r>
        <w:rPr/>
        <w:t>日，本公司累计发行股本总数</w:t>
      </w:r>
      <w:r>
        <w:rPr>
          <w:spacing w:val="-45"/>
        </w:rPr>
        <w:t> </w:t>
      </w:r>
      <w:r>
        <w:rPr>
          <w:rFonts w:ascii="宋体" w:hAnsi="宋体" w:cs="宋体" w:eastAsia="宋体" w:hint="default"/>
        </w:rPr>
        <w:t>66,910.1883</w:t>
      </w:r>
      <w:r>
        <w:rPr>
          <w:rFonts w:ascii="宋体" w:hAnsi="宋体" w:cs="宋体" w:eastAsia="宋体" w:hint="default"/>
          <w:spacing w:val="-45"/>
        </w:rPr>
        <w:t> </w:t>
      </w:r>
      <w:r>
        <w:rPr/>
        <w:t>万股，注册资本为</w:t>
      </w:r>
      <w:r>
        <w:rPr>
          <w:spacing w:val="-46"/>
        </w:rPr>
        <w:t> </w:t>
      </w:r>
      <w:r>
        <w:rPr>
          <w:rFonts w:ascii="宋体" w:hAnsi="宋体" w:cs="宋体" w:eastAsia="宋体" w:hint="default"/>
        </w:rPr>
        <w:t>66,910.1883</w:t>
      </w:r>
      <w:r>
        <w:rPr>
          <w:rFonts w:ascii="宋体" w:hAnsi="宋体" w:cs="宋体" w:eastAsia="宋体" w:hint="default"/>
          <w:spacing w:val="-47"/>
        </w:rPr>
        <w:t> </w:t>
      </w:r>
      <w:r>
        <w:rPr/>
        <w:t>万</w:t>
      </w:r>
      <w:r>
        <w:rPr>
          <w:w w:val="100"/>
        </w:rPr>
        <w:t> </w:t>
      </w:r>
      <w:r>
        <w:rPr/>
        <w:t>元。</w:t>
      </w:r>
      <w:r>
        <w:rPr>
          <w:rFonts w:ascii="宋体" w:hAnsi="宋体" w:cs="宋体" w:eastAsia="宋体" w:hint="default"/>
        </w:rPr>
        <w:t> </w:t>
      </w:r>
    </w:p>
    <w:p>
      <w:pPr>
        <w:pStyle w:val="BodyText"/>
        <w:spacing w:line="340" w:lineRule="auto" w:before="94"/>
        <w:ind w:left="573" w:right="7341"/>
        <w:jc w:val="left"/>
        <w:rPr>
          <w:rFonts w:ascii="宋体" w:hAnsi="宋体" w:cs="宋体" w:eastAsia="宋体" w:hint="default"/>
        </w:rPr>
      </w:pPr>
      <w:r>
        <w:rPr/>
        <w:t>本公司股票代码：</w:t>
      </w:r>
      <w:r>
        <w:rPr>
          <w:rFonts w:ascii="宋体" w:hAnsi="宋体" w:cs="宋体" w:eastAsia="宋体" w:hint="default"/>
        </w:rPr>
        <w:t>000889</w:t>
      </w:r>
      <w:r>
        <w:rPr/>
        <w:t>。</w:t>
      </w:r>
      <w:r>
        <w:rPr>
          <w:rFonts w:ascii="宋体" w:hAnsi="宋体" w:cs="宋体" w:eastAsia="宋体" w:hint="default"/>
          <w:w w:val="100"/>
        </w:rPr>
        <w:t> </w:t>
      </w:r>
      <w:r>
        <w:rPr/>
        <w:t>法定代表人：吴鹰。</w:t>
      </w:r>
      <w:r>
        <w:rPr>
          <w:rFonts w:ascii="宋体" w:hAnsi="宋体" w:cs="宋体" w:eastAsia="宋体" w:hint="default"/>
        </w:rPr>
        <w:t> </w:t>
      </w:r>
    </w:p>
    <w:p>
      <w:pPr>
        <w:spacing w:after="0" w:line="340" w:lineRule="auto"/>
        <w:jc w:val="left"/>
        <w:rPr>
          <w:rFonts w:ascii="宋体" w:hAnsi="宋体" w:cs="宋体" w:eastAsia="宋体" w:hint="default"/>
        </w:rPr>
        <w:sectPr>
          <w:pgSz w:w="11910" w:h="16840"/>
          <w:pgMar w:header="921" w:footer="725" w:top="1160" w:bottom="920" w:left="980" w:right="0"/>
        </w:sectPr>
      </w:pPr>
    </w:p>
    <w:p>
      <w:pPr>
        <w:spacing w:line="240" w:lineRule="auto" w:before="12"/>
        <w:rPr>
          <w:rFonts w:ascii="宋体" w:hAnsi="宋体" w:cs="宋体" w:eastAsia="宋体" w:hint="default"/>
          <w:sz w:val="15"/>
          <w:szCs w:val="15"/>
        </w:rPr>
      </w:pPr>
    </w:p>
    <w:p>
      <w:pPr>
        <w:pStyle w:val="BodyText"/>
        <w:spacing w:line="240" w:lineRule="auto" w:before="36"/>
        <w:ind w:left="573" w:right="1133"/>
        <w:jc w:val="left"/>
        <w:rPr>
          <w:rFonts w:ascii="宋体" w:hAnsi="宋体" w:cs="宋体" w:eastAsia="宋体" w:hint="default"/>
        </w:rPr>
      </w:pPr>
      <w:r>
        <w:rPr/>
        <w:t>公司总部注册地址：秦皇岛市海港区河北大街中段</w:t>
      </w:r>
      <w:r>
        <w:rPr>
          <w:spacing w:val="-55"/>
        </w:rPr>
        <w:t> </w:t>
      </w:r>
      <w:r>
        <w:rPr>
          <w:rFonts w:ascii="宋体" w:hAnsi="宋体" w:cs="宋体" w:eastAsia="宋体" w:hint="default"/>
        </w:rPr>
        <w:t>146</w:t>
      </w:r>
      <w:r>
        <w:rPr>
          <w:rFonts w:ascii="宋体" w:hAnsi="宋体" w:cs="宋体" w:eastAsia="宋体" w:hint="default"/>
          <w:spacing w:val="-53"/>
        </w:rPr>
        <w:t> </w:t>
      </w:r>
      <w:r>
        <w:rPr/>
        <w:t>号</w:t>
      </w:r>
      <w:r>
        <w:rPr>
          <w:spacing w:val="-55"/>
        </w:rPr>
        <w:t> </w:t>
      </w:r>
      <w:r>
        <w:rPr>
          <w:rFonts w:ascii="宋体" w:hAnsi="宋体" w:cs="宋体" w:eastAsia="宋体" w:hint="default"/>
        </w:rPr>
        <w:t>26</w:t>
      </w:r>
      <w:r>
        <w:rPr>
          <w:rFonts w:ascii="宋体" w:hAnsi="宋体" w:cs="宋体" w:eastAsia="宋体" w:hint="default"/>
          <w:spacing w:val="-55"/>
        </w:rPr>
        <w:t> </w:t>
      </w:r>
      <w:r>
        <w:rPr/>
        <w:t>层。</w:t>
      </w:r>
      <w:r>
        <w:rPr>
          <w:rFonts w:ascii="宋体" w:hAnsi="宋体" w:cs="宋体" w:eastAsia="宋体" w:hint="default"/>
        </w:rPr>
        <w:t> </w:t>
      </w:r>
    </w:p>
    <w:p>
      <w:pPr>
        <w:pStyle w:val="BodyText"/>
        <w:spacing w:line="237" w:lineRule="auto" w:before="119"/>
        <w:ind w:right="1126" w:firstLine="420"/>
        <w:jc w:val="both"/>
        <w:rPr>
          <w:rFonts w:ascii="宋体" w:hAnsi="宋体" w:cs="宋体" w:eastAsia="宋体" w:hint="default"/>
        </w:rPr>
      </w:pPr>
      <w:r>
        <w:rPr/>
        <w:t>本公司下设中嘉博创信息技术股份有限公司北京分公司，全资控股子公司</w:t>
      </w:r>
      <w:r>
        <w:rPr>
          <w:spacing w:val="-51"/>
        </w:rPr>
        <w:t> </w:t>
      </w:r>
      <w:r>
        <w:rPr>
          <w:rFonts w:ascii="宋体" w:hAnsi="宋体" w:cs="宋体" w:eastAsia="宋体" w:hint="default"/>
        </w:rPr>
        <w:t>3</w:t>
      </w:r>
      <w:r>
        <w:rPr>
          <w:rFonts w:ascii="宋体" w:hAnsi="宋体" w:cs="宋体" w:eastAsia="宋体" w:hint="default"/>
          <w:spacing w:val="-53"/>
        </w:rPr>
        <w:t> </w:t>
      </w:r>
      <w:r>
        <w:rPr>
          <w:spacing w:val="-3"/>
        </w:rPr>
        <w:t>户，分别是北京创世漫道</w:t>
      </w:r>
      <w:r>
        <w:rPr>
          <w:w w:val="100"/>
        </w:rPr>
        <w:t> </w:t>
      </w:r>
      <w:r>
        <w:rPr>
          <w:spacing w:val="-11"/>
          <w:w w:val="100"/>
        </w:rPr>
        <w:t>科技有限公司（以下简称“创世漫道”）、广东长实通信科技有限公司（以下简称“长实通信”）、北京中天</w:t>
      </w:r>
      <w:r>
        <w:rPr>
          <w:spacing w:val="-85"/>
          <w:w w:val="100"/>
        </w:rPr>
        <w:t> </w:t>
      </w:r>
      <w:r>
        <w:rPr>
          <w:spacing w:val="-85"/>
          <w:w w:val="100"/>
        </w:rPr>
      </w:r>
      <w:r>
        <w:rPr>
          <w:spacing w:val="-11"/>
          <w:w w:val="100"/>
        </w:rPr>
        <w:t>嘉华信息技术有限公司（以下简称“嘉华信息”）。</w:t>
      </w:r>
      <w:r>
        <w:rPr>
          <w:rFonts w:ascii="宋体" w:hAnsi="宋体" w:cs="宋体" w:eastAsia="宋体" w:hint="default"/>
          <w:w w:val="100"/>
        </w:rPr>
        <w:t> </w:t>
      </w:r>
    </w:p>
    <w:p>
      <w:pPr>
        <w:pStyle w:val="BodyText"/>
        <w:spacing w:line="240" w:lineRule="auto" w:before="119"/>
        <w:ind w:left="573" w:right="1133"/>
        <w:jc w:val="left"/>
        <w:rPr>
          <w:rFonts w:ascii="宋体" w:hAnsi="宋体" w:cs="宋体" w:eastAsia="宋体" w:hint="default"/>
        </w:rPr>
      </w:pPr>
      <w:r>
        <w:rPr>
          <w:rFonts w:ascii="宋体" w:hAnsi="宋体" w:cs="宋体" w:eastAsia="宋体" w:hint="default"/>
        </w:rPr>
        <w:t>2</w:t>
      </w:r>
      <w:r>
        <w:rPr/>
        <w:t>、企业的业务性质和主要经营活动。</w:t>
      </w:r>
      <w:r>
        <w:rPr>
          <w:rFonts w:ascii="宋体" w:hAnsi="宋体" w:cs="宋体" w:eastAsia="宋体" w:hint="default"/>
        </w:rPr>
        <w:t> </w:t>
      </w:r>
    </w:p>
    <w:p>
      <w:pPr>
        <w:pStyle w:val="BodyText"/>
        <w:spacing w:line="237" w:lineRule="auto" w:before="119"/>
        <w:ind w:right="1126" w:firstLine="420"/>
        <w:jc w:val="both"/>
        <w:rPr>
          <w:rFonts w:ascii="宋体" w:hAnsi="宋体" w:cs="宋体" w:eastAsia="宋体" w:hint="default"/>
        </w:rPr>
      </w:pPr>
      <w:r>
        <w:rPr>
          <w:spacing w:val="-2"/>
        </w:rPr>
        <w:t>经营范围：信息系统集成服务；集成电路设计；信息技术咨询服务；通信工程、计算机网络工程的设</w:t>
      </w:r>
      <w:r>
        <w:rPr>
          <w:w w:val="100"/>
        </w:rPr>
        <w:t> </w:t>
      </w:r>
      <w:r>
        <w:rPr>
          <w:spacing w:val="-7"/>
        </w:rPr>
        <w:t>计；通信网络信息咨询服务；电子产品、计算机软件、计算机网络的技术开发、技术咨询、技术推广</w:t>
      </w:r>
      <w:r>
        <w:rPr>
          <w:rFonts w:ascii="宋体" w:hAnsi="宋体" w:cs="宋体" w:eastAsia="宋体" w:hint="default"/>
          <w:spacing w:val="-7"/>
        </w:rPr>
        <w:t>**</w:t>
      </w:r>
      <w:r>
        <w:rPr>
          <w:spacing w:val="-7"/>
        </w:rPr>
        <w:t>（依</w:t>
      </w:r>
      <w:r>
        <w:rPr>
          <w:spacing w:val="-17"/>
        </w:rPr>
        <w:t> </w:t>
      </w:r>
      <w:r>
        <w:rPr/>
        <w:t>法须经批准的项目，经相关部门批准后方可开展经营活动）</w:t>
      </w:r>
      <w:r>
        <w:rPr>
          <w:rFonts w:ascii="宋体" w:hAnsi="宋体" w:cs="宋体" w:eastAsia="宋体" w:hint="default"/>
        </w:rPr>
        <w:t> </w:t>
      </w:r>
    </w:p>
    <w:p>
      <w:pPr>
        <w:pStyle w:val="BodyText"/>
        <w:spacing w:line="343" w:lineRule="auto" w:before="119"/>
        <w:ind w:left="573" w:right="1133"/>
        <w:jc w:val="left"/>
        <w:rPr>
          <w:rFonts w:ascii="宋体" w:hAnsi="宋体" w:cs="宋体" w:eastAsia="宋体" w:hint="default"/>
        </w:rPr>
      </w:pPr>
      <w:r>
        <w:rPr/>
        <w:t>子公司创世漫道主要从事电信增值业务中的信息服务业务。</w:t>
      </w:r>
      <w:r>
        <w:rPr>
          <w:rFonts w:ascii="宋体" w:hAnsi="宋体" w:cs="宋体" w:eastAsia="宋体" w:hint="default"/>
          <w:w w:val="100"/>
        </w:rPr>
        <w:t> </w:t>
      </w:r>
      <w:r>
        <w:rPr/>
        <w:t>子公司长实通信主要从事通信网络维护，通信铁塔维护服务，通信网络优化工程业务。</w:t>
      </w:r>
      <w:r>
        <w:rPr>
          <w:rFonts w:ascii="宋体" w:hAnsi="宋体" w:cs="宋体" w:eastAsia="宋体" w:hint="default"/>
          <w:w w:val="100"/>
        </w:rPr>
        <w:t> </w:t>
      </w:r>
      <w:r>
        <w:rPr/>
        <w:t>子公司嘉华信息主要从事电信增值业务中的信息服务业务、金融服务外包。</w:t>
      </w:r>
      <w:r>
        <w:rPr>
          <w:rFonts w:ascii="宋体" w:hAnsi="宋体" w:cs="宋体" w:eastAsia="宋体" w:hint="default"/>
          <w:w w:val="100"/>
        </w:rPr>
        <w:t> </w:t>
      </w:r>
      <w:r>
        <w:rPr>
          <w:rFonts w:ascii="宋体" w:hAnsi="宋体" w:cs="宋体" w:eastAsia="宋体" w:hint="default"/>
        </w:rPr>
        <w:t>3</w:t>
      </w:r>
      <w:r>
        <w:rPr/>
        <w:t>、财务报告的批准报出者和财务报告批准报出日。</w:t>
      </w:r>
      <w:r>
        <w:rPr>
          <w:rFonts w:ascii="宋体" w:hAnsi="宋体" w:cs="宋体" w:eastAsia="宋体" w:hint="default"/>
        </w:rPr>
        <w:t> </w:t>
      </w:r>
    </w:p>
    <w:p>
      <w:pPr>
        <w:pStyle w:val="BodyText"/>
        <w:spacing w:line="240" w:lineRule="auto" w:before="29"/>
        <w:ind w:left="573" w:right="1133"/>
        <w:jc w:val="left"/>
        <w:rPr>
          <w:rFonts w:ascii="宋体" w:hAnsi="宋体" w:cs="宋体" w:eastAsia="宋体" w:hint="default"/>
        </w:rPr>
      </w:pPr>
      <w:r>
        <w:rPr/>
        <w:t>本财务报表经本公司全体董事于</w:t>
      </w:r>
      <w:r>
        <w:rPr>
          <w:spacing w:val="-53"/>
        </w:rPr>
        <w:t> </w:t>
      </w:r>
      <w:r>
        <w:rPr>
          <w:rFonts w:ascii="宋体" w:hAnsi="宋体" w:cs="宋体" w:eastAsia="宋体" w:hint="default"/>
        </w:rPr>
        <w:t>2020</w:t>
      </w:r>
      <w:r>
        <w:rPr>
          <w:rFonts w:ascii="宋体" w:hAnsi="宋体" w:cs="宋体" w:eastAsia="宋体" w:hint="default"/>
          <w:spacing w:val="-53"/>
        </w:rPr>
        <w:t> </w:t>
      </w:r>
      <w:r>
        <w:rPr/>
        <w:t>年</w:t>
      </w:r>
      <w:r>
        <w:rPr>
          <w:spacing w:val="-55"/>
        </w:rPr>
        <w:t> </w:t>
      </w:r>
      <w:r>
        <w:rPr>
          <w:rFonts w:ascii="宋体" w:hAnsi="宋体" w:cs="宋体" w:eastAsia="宋体" w:hint="default"/>
        </w:rPr>
        <w:t>4</w:t>
      </w:r>
      <w:r>
        <w:rPr>
          <w:rFonts w:ascii="宋体" w:hAnsi="宋体" w:cs="宋体" w:eastAsia="宋体" w:hint="default"/>
          <w:spacing w:val="-53"/>
        </w:rPr>
        <w:t> </w:t>
      </w:r>
      <w:r>
        <w:rPr/>
        <w:t>月</w:t>
      </w:r>
      <w:r>
        <w:rPr>
          <w:spacing w:val="-55"/>
        </w:rPr>
        <w:t> </w:t>
      </w:r>
      <w:r>
        <w:rPr>
          <w:rFonts w:ascii="宋体" w:hAnsi="宋体" w:cs="宋体" w:eastAsia="宋体" w:hint="default"/>
        </w:rPr>
        <w:t>26</w:t>
      </w:r>
      <w:r>
        <w:rPr>
          <w:rFonts w:ascii="宋体" w:hAnsi="宋体" w:cs="宋体" w:eastAsia="宋体" w:hint="default"/>
          <w:spacing w:val="-53"/>
        </w:rPr>
        <w:t> </w:t>
      </w:r>
      <w:r>
        <w:rPr/>
        <w:t>日批准对外报出。</w:t>
      </w:r>
      <w:r>
        <w:rPr>
          <w:rFonts w:ascii="宋体" w:hAnsi="宋体" w:cs="宋体" w:eastAsia="宋体" w:hint="default"/>
        </w:rPr>
        <w:t> </w:t>
      </w:r>
    </w:p>
    <w:p>
      <w:pPr>
        <w:pStyle w:val="BodyText"/>
        <w:spacing w:line="240" w:lineRule="auto" w:before="116"/>
        <w:ind w:left="364" w:right="1133"/>
        <w:jc w:val="left"/>
        <w:rPr>
          <w:rFonts w:ascii="宋体" w:hAnsi="宋体" w:cs="宋体" w:eastAsia="宋体" w:hint="default"/>
        </w:rPr>
      </w:pPr>
      <w:r>
        <w:rPr/>
        <w:t>（二）合并财务报表范围</w:t>
      </w:r>
      <w:r>
        <w:rPr>
          <w:rFonts w:ascii="宋体" w:hAnsi="宋体" w:cs="宋体" w:eastAsia="宋体" w:hint="default"/>
        </w:rPr>
        <w:t> </w:t>
      </w:r>
    </w:p>
    <w:p>
      <w:pPr>
        <w:pStyle w:val="BodyText"/>
        <w:spacing w:line="272" w:lineRule="exact" w:before="146"/>
        <w:ind w:right="1126" w:firstLine="420"/>
        <w:jc w:val="both"/>
        <w:rPr>
          <w:rFonts w:ascii="宋体" w:hAnsi="宋体" w:cs="宋体" w:eastAsia="宋体" w:hint="default"/>
        </w:rPr>
      </w:pPr>
      <w:r>
        <w:rPr>
          <w:w w:val="100"/>
        </w:rPr>
        <w:t>本年</w:t>
      </w:r>
      <w:r>
        <w:rPr>
          <w:spacing w:val="-3"/>
          <w:w w:val="100"/>
        </w:rPr>
        <w:t>纳</w:t>
      </w:r>
      <w:r>
        <w:rPr>
          <w:w w:val="100"/>
        </w:rPr>
        <w:t>入</w:t>
      </w:r>
      <w:r>
        <w:rPr>
          <w:spacing w:val="-3"/>
          <w:w w:val="100"/>
        </w:rPr>
        <w:t>合</w:t>
      </w:r>
      <w:r>
        <w:rPr>
          <w:w w:val="100"/>
        </w:rPr>
        <w:t>并</w:t>
      </w:r>
      <w:r>
        <w:rPr>
          <w:spacing w:val="-3"/>
          <w:w w:val="100"/>
        </w:rPr>
        <w:t>财</w:t>
      </w:r>
      <w:r>
        <w:rPr>
          <w:w w:val="100"/>
        </w:rPr>
        <w:t>务</w:t>
      </w:r>
      <w:r>
        <w:rPr>
          <w:spacing w:val="-3"/>
          <w:w w:val="100"/>
        </w:rPr>
        <w:t>报</w:t>
      </w:r>
      <w:r>
        <w:rPr>
          <w:w w:val="100"/>
        </w:rPr>
        <w:t>表</w:t>
      </w:r>
      <w:r>
        <w:rPr>
          <w:spacing w:val="-3"/>
          <w:w w:val="100"/>
        </w:rPr>
        <w:t>范</w:t>
      </w:r>
      <w:r>
        <w:rPr>
          <w:w w:val="100"/>
        </w:rPr>
        <w:t>围的</w:t>
      </w:r>
      <w:r>
        <w:rPr>
          <w:spacing w:val="-3"/>
          <w:w w:val="100"/>
        </w:rPr>
        <w:t>主</w:t>
      </w:r>
      <w:r>
        <w:rPr>
          <w:w w:val="100"/>
        </w:rPr>
        <w:t>体</w:t>
      </w:r>
      <w:r>
        <w:rPr>
          <w:spacing w:val="-43"/>
        </w:rPr>
        <w:t> </w:t>
      </w:r>
      <w:r>
        <w:rPr>
          <w:rFonts w:ascii="宋体" w:hAnsi="宋体" w:cs="宋体" w:eastAsia="宋体" w:hint="default"/>
          <w:w w:val="100"/>
        </w:rPr>
        <w:t>17</w:t>
      </w:r>
      <w:r>
        <w:rPr>
          <w:rFonts w:ascii="宋体" w:hAnsi="宋体" w:cs="宋体" w:eastAsia="宋体" w:hint="default"/>
          <w:spacing w:val="-45"/>
        </w:rPr>
        <w:t> </w:t>
      </w:r>
      <w:r>
        <w:rPr>
          <w:w w:val="100"/>
        </w:rPr>
        <w:t>家</w:t>
      </w:r>
      <w:r>
        <w:rPr>
          <w:spacing w:val="-3"/>
          <w:w w:val="100"/>
        </w:rPr>
        <w:t>，</w:t>
      </w:r>
      <w:r>
        <w:rPr>
          <w:w w:val="100"/>
        </w:rPr>
        <w:t>具</w:t>
      </w:r>
      <w:r>
        <w:rPr>
          <w:spacing w:val="-3"/>
          <w:w w:val="100"/>
        </w:rPr>
        <w:t>体</w:t>
      </w:r>
      <w:r>
        <w:rPr>
          <w:w w:val="100"/>
        </w:rPr>
        <w:t>见</w:t>
      </w:r>
      <w:r>
        <w:rPr>
          <w:spacing w:val="-3"/>
          <w:w w:val="100"/>
        </w:rPr>
        <w:t>本</w:t>
      </w:r>
      <w:r>
        <w:rPr>
          <w:w w:val="100"/>
        </w:rPr>
        <w:t>附注</w:t>
      </w:r>
      <w:r>
        <w:rPr>
          <w:spacing w:val="-3"/>
          <w:w w:val="100"/>
        </w:rPr>
        <w:t>“</w:t>
      </w:r>
      <w:r>
        <w:rPr>
          <w:w w:val="100"/>
        </w:rPr>
        <w:t>八</w:t>
      </w:r>
      <w:r>
        <w:rPr>
          <w:spacing w:val="-3"/>
          <w:w w:val="100"/>
        </w:rPr>
        <w:t>、</w:t>
      </w:r>
      <w:r>
        <w:rPr>
          <w:w w:val="100"/>
        </w:rPr>
        <w:t>在</w:t>
      </w:r>
      <w:r>
        <w:rPr>
          <w:spacing w:val="-3"/>
          <w:w w:val="100"/>
        </w:rPr>
        <w:t>其</w:t>
      </w:r>
      <w:r>
        <w:rPr>
          <w:w w:val="100"/>
        </w:rPr>
        <w:t>他</w:t>
      </w:r>
      <w:r>
        <w:rPr>
          <w:spacing w:val="-3"/>
          <w:w w:val="100"/>
        </w:rPr>
        <w:t>主</w:t>
      </w:r>
      <w:r>
        <w:rPr>
          <w:w w:val="100"/>
        </w:rPr>
        <w:t>体</w:t>
      </w:r>
      <w:r>
        <w:rPr>
          <w:spacing w:val="-3"/>
          <w:w w:val="100"/>
        </w:rPr>
        <w:t>中</w:t>
      </w:r>
      <w:r>
        <w:rPr>
          <w:w w:val="100"/>
        </w:rPr>
        <w:t>的权</w:t>
      </w:r>
      <w:r>
        <w:rPr>
          <w:spacing w:val="-3"/>
          <w:w w:val="100"/>
        </w:rPr>
        <w:t>益</w:t>
      </w:r>
      <w:r>
        <w:rPr>
          <w:spacing w:val="-106"/>
          <w:w w:val="100"/>
        </w:rPr>
        <w:t>”</w:t>
      </w:r>
      <w:r>
        <w:rPr>
          <w:w w:val="100"/>
        </w:rPr>
        <w:t>。</w:t>
      </w:r>
      <w:r>
        <w:rPr>
          <w:rFonts w:ascii="宋体" w:hAnsi="宋体" w:cs="宋体" w:eastAsia="宋体" w:hint="default"/>
          <w:spacing w:val="-3"/>
          <w:w w:val="100"/>
        </w:rPr>
        <w:t> </w:t>
      </w:r>
      <w:r>
        <w:rPr>
          <w:rFonts w:ascii="宋体" w:hAnsi="宋体" w:cs="宋体" w:eastAsia="宋体" w:hint="default"/>
          <w:w w:val="100"/>
        </w:rPr>
        <w:t>2019</w:t>
      </w:r>
      <w:r>
        <w:rPr>
          <w:rFonts w:ascii="宋体" w:hAnsi="宋体" w:cs="宋体" w:eastAsia="宋体" w:hint="default"/>
          <w:spacing w:val="-45"/>
        </w:rPr>
        <w:t> </w:t>
      </w:r>
      <w:r>
        <w:rPr>
          <w:w w:val="100"/>
        </w:rPr>
        <w:t>年</w:t>
      </w:r>
      <w:r>
        <w:rPr>
          <w:spacing w:val="-3"/>
          <w:w w:val="100"/>
        </w:rPr>
        <w:t>合</w:t>
      </w:r>
      <w:r>
        <w:rPr>
          <w:w w:val="100"/>
        </w:rPr>
        <w:t>并</w:t>
      </w:r>
      <w:r>
        <w:rPr>
          <w:w w:val="100"/>
        </w:rPr>
        <w:t> 范围</w:t>
      </w:r>
      <w:r>
        <w:rPr>
          <w:spacing w:val="-3"/>
          <w:w w:val="100"/>
        </w:rPr>
        <w:t>新</w:t>
      </w:r>
      <w:r>
        <w:rPr>
          <w:w w:val="100"/>
        </w:rPr>
        <w:t>增</w:t>
      </w:r>
      <w:r>
        <w:rPr>
          <w:spacing w:val="-52"/>
        </w:rPr>
        <w:t> </w:t>
      </w:r>
      <w:r>
        <w:rPr>
          <w:rFonts w:ascii="宋体" w:hAnsi="宋体" w:cs="宋体" w:eastAsia="宋体" w:hint="default"/>
          <w:w w:val="100"/>
        </w:rPr>
        <w:t>2</w:t>
      </w:r>
      <w:r>
        <w:rPr>
          <w:rFonts w:ascii="宋体" w:hAnsi="宋体" w:cs="宋体" w:eastAsia="宋体" w:hint="default"/>
          <w:spacing w:val="-55"/>
        </w:rPr>
        <w:t> </w:t>
      </w:r>
      <w:r>
        <w:rPr>
          <w:w w:val="100"/>
        </w:rPr>
        <w:t>家</w:t>
      </w:r>
      <w:r>
        <w:rPr>
          <w:spacing w:val="-3"/>
          <w:w w:val="100"/>
        </w:rPr>
        <w:t>，减</w:t>
      </w:r>
      <w:r>
        <w:rPr>
          <w:w w:val="100"/>
        </w:rPr>
        <w:t>少</w:t>
      </w:r>
      <w:r>
        <w:rPr>
          <w:spacing w:val="-53"/>
        </w:rPr>
        <w:t> </w:t>
      </w:r>
      <w:r>
        <w:rPr>
          <w:rFonts w:ascii="宋体" w:hAnsi="宋体" w:cs="宋体" w:eastAsia="宋体" w:hint="default"/>
          <w:w w:val="100"/>
        </w:rPr>
        <w:t>2</w:t>
      </w:r>
      <w:r>
        <w:rPr>
          <w:rFonts w:ascii="宋体" w:hAnsi="宋体" w:cs="宋体" w:eastAsia="宋体" w:hint="default"/>
          <w:spacing w:val="-53"/>
        </w:rPr>
        <w:t> </w:t>
      </w:r>
      <w:r>
        <w:rPr>
          <w:spacing w:val="-3"/>
          <w:w w:val="100"/>
        </w:rPr>
        <w:t>家</w:t>
      </w:r>
      <w:r>
        <w:rPr>
          <w:w w:val="100"/>
        </w:rPr>
        <w:t>，详</w:t>
      </w:r>
      <w:r>
        <w:rPr>
          <w:spacing w:val="-3"/>
          <w:w w:val="100"/>
        </w:rPr>
        <w:t>见</w:t>
      </w:r>
      <w:r>
        <w:rPr>
          <w:w w:val="100"/>
        </w:rPr>
        <w:t>本</w:t>
      </w:r>
      <w:r>
        <w:rPr>
          <w:spacing w:val="-3"/>
          <w:w w:val="100"/>
        </w:rPr>
        <w:t>附</w:t>
      </w:r>
      <w:r>
        <w:rPr>
          <w:w w:val="100"/>
        </w:rPr>
        <w:t>注</w:t>
      </w:r>
      <w:r>
        <w:rPr>
          <w:spacing w:val="-3"/>
          <w:w w:val="100"/>
        </w:rPr>
        <w:t>“</w:t>
      </w:r>
      <w:r>
        <w:rPr>
          <w:w w:val="100"/>
        </w:rPr>
        <w:t>七</w:t>
      </w:r>
      <w:r>
        <w:rPr>
          <w:spacing w:val="-3"/>
          <w:w w:val="100"/>
        </w:rPr>
        <w:t>、</w:t>
      </w:r>
      <w:r>
        <w:rPr>
          <w:w w:val="100"/>
        </w:rPr>
        <w:t>合</w:t>
      </w:r>
      <w:r>
        <w:rPr>
          <w:spacing w:val="-3"/>
          <w:w w:val="100"/>
        </w:rPr>
        <w:t>并</w:t>
      </w:r>
      <w:r>
        <w:rPr>
          <w:w w:val="100"/>
        </w:rPr>
        <w:t>范围</w:t>
      </w:r>
      <w:r>
        <w:rPr>
          <w:spacing w:val="-3"/>
          <w:w w:val="100"/>
        </w:rPr>
        <w:t>的</w:t>
      </w:r>
      <w:r>
        <w:rPr>
          <w:w w:val="100"/>
        </w:rPr>
        <w:t>变</w:t>
      </w:r>
      <w:r>
        <w:rPr>
          <w:spacing w:val="-3"/>
          <w:w w:val="100"/>
        </w:rPr>
        <w:t>更</w:t>
      </w:r>
      <w:r>
        <w:rPr>
          <w:spacing w:val="-106"/>
          <w:w w:val="100"/>
        </w:rPr>
        <w:t>”</w:t>
      </w:r>
      <w:r>
        <w:rPr>
          <w:spacing w:val="-2"/>
          <w:w w:val="100"/>
        </w:rPr>
        <w:t>。</w:t>
      </w:r>
      <w:r>
        <w:rPr>
          <w:rFonts w:ascii="宋体" w:hAnsi="宋体" w:cs="宋体" w:eastAsia="宋体" w:hint="default"/>
          <w:w w:val="100"/>
        </w:rPr>
        <w:t> </w:t>
      </w:r>
    </w:p>
    <w:p>
      <w:pPr>
        <w:pStyle w:val="Heading3"/>
        <w:spacing w:line="240" w:lineRule="auto" w:before="94"/>
        <w:ind w:right="1133"/>
        <w:jc w:val="left"/>
        <w:rPr>
          <w:rFonts w:ascii="宋体" w:hAnsi="宋体" w:cs="宋体" w:eastAsia="宋体" w:hint="default"/>
          <w:b w:val="0"/>
          <w:bCs w:val="0"/>
        </w:rPr>
      </w:pPr>
      <w:r>
        <w:rPr/>
        <w:t>二、财务报表编制基础</w:t>
      </w:r>
      <w:r>
        <w:rPr>
          <w:rFonts w:ascii="宋体" w:hAnsi="宋体" w:cs="宋体" w:eastAsia="宋体" w:hint="default"/>
          <w:w w:val="99"/>
        </w:rPr>
        <w:t> </w:t>
      </w:r>
      <w:r>
        <w:rPr>
          <w:rFonts w:ascii="宋体" w:hAnsi="宋体" w:cs="宋体" w:eastAsia="宋体" w:hint="default"/>
          <w:b w:val="0"/>
          <w:bCs w:val="0"/>
        </w:rPr>
      </w:r>
    </w:p>
    <w:p>
      <w:pPr>
        <w:pStyle w:val="BodyText"/>
        <w:spacing w:line="394" w:lineRule="exact" w:before="46"/>
        <w:ind w:left="573" w:right="1133" w:hanging="209"/>
        <w:jc w:val="left"/>
      </w:pPr>
      <w:r>
        <w:rPr>
          <w:rFonts w:ascii="宋体" w:hAnsi="宋体" w:cs="宋体" w:eastAsia="宋体" w:hint="default"/>
          <w:b/>
          <w:bCs/>
        </w:rPr>
        <w:t>（一）编制基础</w:t>
      </w:r>
      <w:r>
        <w:rPr>
          <w:rFonts w:ascii="宋体" w:hAnsi="宋体" w:cs="宋体" w:eastAsia="宋体" w:hint="default"/>
          <w:b/>
          <w:bCs/>
          <w:w w:val="99"/>
        </w:rPr>
        <w:t> </w:t>
      </w:r>
      <w:r>
        <w:rPr>
          <w:spacing w:val="-2"/>
        </w:rPr>
        <w:t>公司根据实际发生的交易和事项，按照财政部发布的《企业会计准则—基本准则》以及其后颁布及修</w:t>
      </w:r>
    </w:p>
    <w:p>
      <w:pPr>
        <w:pStyle w:val="BodyText"/>
        <w:spacing w:line="221" w:lineRule="exact"/>
        <w:ind w:right="819"/>
        <w:jc w:val="left"/>
      </w:pPr>
      <w:r>
        <w:rPr>
          <w:w w:val="100"/>
        </w:rPr>
        <w:t>订的</w:t>
      </w:r>
      <w:r>
        <w:rPr>
          <w:spacing w:val="-3"/>
          <w:w w:val="100"/>
        </w:rPr>
        <w:t>具</w:t>
      </w:r>
      <w:r>
        <w:rPr>
          <w:w w:val="100"/>
        </w:rPr>
        <w:t>体</w:t>
      </w:r>
      <w:r>
        <w:rPr>
          <w:spacing w:val="-3"/>
          <w:w w:val="100"/>
        </w:rPr>
        <w:t>会</w:t>
      </w:r>
      <w:r>
        <w:rPr>
          <w:w w:val="100"/>
        </w:rPr>
        <w:t>计</w:t>
      </w:r>
      <w:r>
        <w:rPr>
          <w:spacing w:val="-3"/>
          <w:w w:val="100"/>
        </w:rPr>
        <w:t>准则</w:t>
      </w:r>
      <w:r>
        <w:rPr>
          <w:spacing w:val="-58"/>
          <w:w w:val="100"/>
        </w:rPr>
        <w:t>、</w:t>
      </w:r>
      <w:r>
        <w:rPr>
          <w:spacing w:val="-3"/>
          <w:w w:val="100"/>
        </w:rPr>
        <w:t>企业</w:t>
      </w:r>
      <w:r>
        <w:rPr>
          <w:w w:val="100"/>
        </w:rPr>
        <w:t>会计</w:t>
      </w:r>
      <w:r>
        <w:rPr>
          <w:spacing w:val="-3"/>
          <w:w w:val="100"/>
        </w:rPr>
        <w:t>准</w:t>
      </w:r>
      <w:r>
        <w:rPr>
          <w:w w:val="100"/>
        </w:rPr>
        <w:t>则</w:t>
      </w:r>
      <w:r>
        <w:rPr>
          <w:spacing w:val="-3"/>
          <w:w w:val="100"/>
        </w:rPr>
        <w:t>应</w:t>
      </w:r>
      <w:r>
        <w:rPr>
          <w:w w:val="100"/>
        </w:rPr>
        <w:t>用</w:t>
      </w:r>
      <w:r>
        <w:rPr>
          <w:spacing w:val="-3"/>
          <w:w w:val="100"/>
        </w:rPr>
        <w:t>指南</w:t>
      </w:r>
      <w:r>
        <w:rPr>
          <w:spacing w:val="-58"/>
          <w:w w:val="100"/>
        </w:rPr>
        <w:t>、</w:t>
      </w:r>
      <w:r>
        <w:rPr>
          <w:spacing w:val="-3"/>
          <w:w w:val="100"/>
        </w:rPr>
        <w:t>企业</w:t>
      </w:r>
      <w:r>
        <w:rPr>
          <w:w w:val="100"/>
        </w:rPr>
        <w:t>会计</w:t>
      </w:r>
      <w:r>
        <w:rPr>
          <w:spacing w:val="-3"/>
          <w:w w:val="100"/>
        </w:rPr>
        <w:t>准</w:t>
      </w:r>
      <w:r>
        <w:rPr>
          <w:w w:val="100"/>
        </w:rPr>
        <w:t>则</w:t>
      </w:r>
      <w:r>
        <w:rPr>
          <w:spacing w:val="-3"/>
          <w:w w:val="100"/>
        </w:rPr>
        <w:t>解</w:t>
      </w:r>
      <w:r>
        <w:rPr>
          <w:w w:val="100"/>
        </w:rPr>
        <w:t>释</w:t>
      </w:r>
      <w:r>
        <w:rPr>
          <w:spacing w:val="-3"/>
          <w:w w:val="100"/>
        </w:rPr>
        <w:t>及</w:t>
      </w:r>
      <w:r>
        <w:rPr>
          <w:w w:val="100"/>
        </w:rPr>
        <w:t>其</w:t>
      </w:r>
      <w:r>
        <w:rPr>
          <w:spacing w:val="-3"/>
          <w:w w:val="100"/>
        </w:rPr>
        <w:t>他</w:t>
      </w:r>
      <w:r>
        <w:rPr>
          <w:w w:val="100"/>
        </w:rPr>
        <w:t>相</w:t>
      </w:r>
      <w:r>
        <w:rPr>
          <w:spacing w:val="-3"/>
          <w:w w:val="100"/>
        </w:rPr>
        <w:t>关</w:t>
      </w:r>
      <w:r>
        <w:rPr>
          <w:w w:val="100"/>
        </w:rPr>
        <w:t>规</w:t>
      </w:r>
      <w:r>
        <w:rPr>
          <w:spacing w:val="-60"/>
          <w:w w:val="100"/>
        </w:rPr>
        <w:t>定</w:t>
      </w:r>
      <w:r>
        <w:rPr>
          <w:w w:val="100"/>
        </w:rPr>
        <w:t>（</w:t>
      </w:r>
      <w:r>
        <w:rPr>
          <w:spacing w:val="-3"/>
          <w:w w:val="100"/>
        </w:rPr>
        <w:t>统</w:t>
      </w:r>
      <w:r>
        <w:rPr>
          <w:spacing w:val="-58"/>
          <w:w w:val="100"/>
        </w:rPr>
        <w:t>称</w:t>
      </w:r>
      <w:r>
        <w:rPr>
          <w:spacing w:val="-3"/>
          <w:w w:val="100"/>
        </w:rPr>
        <w:t>“</w:t>
      </w:r>
      <w:r>
        <w:rPr>
          <w:w w:val="100"/>
        </w:rPr>
        <w:t>企</w:t>
      </w:r>
      <w:r>
        <w:rPr>
          <w:spacing w:val="-3"/>
          <w:w w:val="100"/>
        </w:rPr>
        <w:t>业</w:t>
      </w:r>
      <w:r>
        <w:rPr>
          <w:w w:val="100"/>
        </w:rPr>
        <w:t>会</w:t>
      </w:r>
      <w:r>
        <w:rPr>
          <w:spacing w:val="-3"/>
          <w:w w:val="100"/>
        </w:rPr>
        <w:t>计</w:t>
      </w:r>
      <w:r>
        <w:rPr>
          <w:w w:val="100"/>
        </w:rPr>
        <w:t>准</w:t>
      </w:r>
      <w:r>
        <w:rPr>
          <w:spacing w:val="-3"/>
          <w:w w:val="100"/>
        </w:rPr>
        <w:t>则</w:t>
      </w:r>
      <w:r>
        <w:rPr>
          <w:spacing w:val="-106"/>
          <w:w w:val="100"/>
        </w:rPr>
        <w:t>”）</w:t>
      </w:r>
      <w:r>
        <w:rPr>
          <w:w w:val="100"/>
        </w:rPr>
        <w:t>，</w:t>
      </w:r>
    </w:p>
    <w:p>
      <w:pPr>
        <w:pStyle w:val="BodyText"/>
        <w:spacing w:line="272" w:lineRule="exact" w:before="27"/>
        <w:ind w:right="819"/>
        <w:jc w:val="left"/>
        <w:rPr>
          <w:rFonts w:ascii="宋体" w:hAnsi="宋体" w:cs="宋体" w:eastAsia="宋体" w:hint="default"/>
        </w:rPr>
      </w:pPr>
      <w:r>
        <w:rPr>
          <w:spacing w:val="-4"/>
        </w:rPr>
        <w:t>以及中国证券监督管理委员会《公开发行证券的公司信息披露编报规则第</w:t>
      </w:r>
      <w:r>
        <w:rPr>
          <w:spacing w:val="-38"/>
        </w:rPr>
        <w:t> </w:t>
      </w:r>
      <w:r>
        <w:rPr>
          <w:rFonts w:ascii="宋体" w:hAnsi="宋体" w:cs="宋体" w:eastAsia="宋体" w:hint="default"/>
        </w:rPr>
        <w:t>15</w:t>
      </w:r>
      <w:r>
        <w:rPr>
          <w:rFonts w:ascii="宋体" w:hAnsi="宋体" w:cs="宋体" w:eastAsia="宋体" w:hint="default"/>
          <w:spacing w:val="26"/>
        </w:rPr>
        <w:t> </w:t>
      </w:r>
      <w:r>
        <w:rPr/>
        <w:t>号——财务报告的一般规定》</w:t>
      </w:r>
      <w:r>
        <w:rPr>
          <w:spacing w:val="-100"/>
        </w:rPr>
        <w:t> </w:t>
      </w:r>
      <w:r>
        <w:rPr>
          <w:spacing w:val="-100"/>
        </w:rPr>
      </w:r>
      <w:r>
        <w:rPr>
          <w:rFonts w:ascii="宋体" w:hAnsi="宋体" w:cs="宋体" w:eastAsia="宋体" w:hint="default"/>
        </w:rPr>
        <w:t>(2014</w:t>
      </w:r>
      <w:r>
        <w:rPr>
          <w:rFonts w:ascii="宋体" w:hAnsi="宋体" w:cs="宋体" w:eastAsia="宋体" w:hint="default"/>
          <w:spacing w:val="-59"/>
        </w:rPr>
        <w:t> </w:t>
      </w:r>
      <w:r>
        <w:rPr/>
        <w:t>年修订</w:t>
      </w:r>
      <w:r>
        <w:rPr>
          <w:rFonts w:ascii="宋体" w:hAnsi="宋体" w:cs="宋体" w:eastAsia="宋体" w:hint="default"/>
        </w:rPr>
        <w:t>)</w:t>
      </w:r>
      <w:r>
        <w:rPr/>
        <w:t>的披露规定编制财务报表。</w:t>
      </w:r>
      <w:r>
        <w:rPr>
          <w:rFonts w:ascii="宋体" w:hAnsi="宋体" w:cs="宋体" w:eastAsia="宋体" w:hint="default"/>
        </w:rPr>
        <w:t> </w:t>
      </w:r>
    </w:p>
    <w:p>
      <w:pPr>
        <w:pStyle w:val="Heading3"/>
        <w:spacing w:line="240" w:lineRule="auto" w:before="91"/>
        <w:ind w:left="364" w:right="1133"/>
        <w:jc w:val="left"/>
        <w:rPr>
          <w:rFonts w:ascii="宋体" w:hAnsi="宋体" w:cs="宋体" w:eastAsia="宋体" w:hint="default"/>
          <w:b w:val="0"/>
          <w:bCs w:val="0"/>
        </w:rPr>
      </w:pPr>
      <w:r>
        <w:rPr/>
        <w:t>（二）持续经营</w:t>
      </w:r>
      <w:r>
        <w:rPr>
          <w:rFonts w:ascii="宋体" w:hAnsi="宋体" w:cs="宋体" w:eastAsia="宋体" w:hint="default"/>
          <w:w w:val="99"/>
        </w:rPr>
        <w:t> </w:t>
      </w:r>
      <w:r>
        <w:rPr>
          <w:rFonts w:ascii="宋体" w:hAnsi="宋体" w:cs="宋体" w:eastAsia="宋体" w:hint="default"/>
          <w:b w:val="0"/>
          <w:bCs w:val="0"/>
        </w:rPr>
      </w:r>
    </w:p>
    <w:p>
      <w:pPr>
        <w:pStyle w:val="BodyText"/>
        <w:spacing w:line="272" w:lineRule="exact" w:before="147"/>
        <w:ind w:right="1126" w:firstLine="420"/>
        <w:jc w:val="both"/>
        <w:rPr>
          <w:rFonts w:ascii="宋体" w:hAnsi="宋体" w:cs="宋体" w:eastAsia="宋体" w:hint="default"/>
        </w:rPr>
      </w:pPr>
      <w:r>
        <w:rPr/>
        <w:t>公司对报告期末起 </w:t>
      </w:r>
      <w:r>
        <w:rPr>
          <w:rFonts w:ascii="宋体" w:hAnsi="宋体" w:cs="宋体" w:eastAsia="宋体" w:hint="default"/>
        </w:rPr>
        <w:t>12</w:t>
      </w:r>
      <w:r>
        <w:rPr>
          <w:rFonts w:ascii="宋体" w:hAnsi="宋体" w:cs="宋体" w:eastAsia="宋体" w:hint="default"/>
          <w:spacing w:val="-28"/>
        </w:rPr>
        <w:t> </w:t>
      </w:r>
      <w:r>
        <w:rPr/>
        <w:t>个月的持续经营能力进行了评价，未发现对持续经营能力产生重大怀疑的事项</w:t>
      </w:r>
      <w:r>
        <w:rPr>
          <w:w w:val="100"/>
        </w:rPr>
        <w:t> </w:t>
      </w:r>
      <w:r>
        <w:rPr/>
        <w:t>或情况。因此，本财务报表系在持续经营假设的基础上编制。</w:t>
      </w:r>
      <w:r>
        <w:rPr>
          <w:rFonts w:ascii="宋体" w:hAnsi="宋体" w:cs="宋体" w:eastAsia="宋体" w:hint="default"/>
        </w:rPr>
        <w:t> </w:t>
      </w:r>
    </w:p>
    <w:p>
      <w:pPr>
        <w:pStyle w:val="Heading3"/>
        <w:spacing w:line="240" w:lineRule="auto" w:before="94"/>
        <w:ind w:right="1133"/>
        <w:jc w:val="left"/>
        <w:rPr>
          <w:rFonts w:ascii="宋体" w:hAnsi="宋体" w:cs="宋体" w:eastAsia="宋体" w:hint="default"/>
          <w:b w:val="0"/>
          <w:bCs w:val="0"/>
        </w:rPr>
      </w:pPr>
      <w:r>
        <w:rPr/>
        <w:t>三、重要会计政策及会计估计</w:t>
      </w:r>
      <w:r>
        <w:rPr>
          <w:rFonts w:ascii="宋体" w:hAnsi="宋体" w:cs="宋体" w:eastAsia="宋体" w:hint="default"/>
          <w:w w:val="99"/>
        </w:rPr>
        <w:t> </w:t>
      </w:r>
      <w:r>
        <w:rPr>
          <w:rFonts w:ascii="宋体" w:hAnsi="宋体" w:cs="宋体" w:eastAsia="宋体" w:hint="default"/>
          <w:b w:val="0"/>
          <w:bCs w:val="0"/>
        </w:rPr>
      </w:r>
    </w:p>
    <w:p>
      <w:pPr>
        <w:spacing w:line="394" w:lineRule="exact" w:before="46"/>
        <w:ind w:left="573" w:right="1133" w:hanging="209"/>
        <w:jc w:val="left"/>
        <w:rPr>
          <w:rFonts w:ascii="宋体" w:hAnsi="宋体" w:cs="宋体" w:eastAsia="宋体" w:hint="default"/>
          <w:sz w:val="21"/>
          <w:szCs w:val="21"/>
        </w:rPr>
      </w:pPr>
      <w:r>
        <w:rPr>
          <w:rFonts w:ascii="宋体" w:hAnsi="宋体" w:cs="宋体" w:eastAsia="宋体" w:hint="default"/>
          <w:b/>
          <w:bCs/>
          <w:sz w:val="21"/>
          <w:szCs w:val="21"/>
        </w:rPr>
        <w:t>（一）遵循企业会计准则的声明</w:t>
      </w:r>
      <w:r>
        <w:rPr>
          <w:rFonts w:ascii="宋体" w:hAnsi="宋体" w:cs="宋体" w:eastAsia="宋体" w:hint="default"/>
          <w:b/>
          <w:bCs/>
          <w:w w:val="99"/>
          <w:sz w:val="21"/>
          <w:szCs w:val="21"/>
        </w:rPr>
        <w:t> </w:t>
      </w:r>
      <w:r>
        <w:rPr>
          <w:rFonts w:ascii="宋体" w:hAnsi="宋体" w:cs="宋体" w:eastAsia="宋体" w:hint="default"/>
          <w:spacing w:val="-2"/>
          <w:sz w:val="21"/>
          <w:szCs w:val="21"/>
        </w:rPr>
        <w:t>本公司所编制的财务报表符合企业会计准则的要求，真实、完整地反映了报告期公司的财务状况、经</w:t>
      </w:r>
    </w:p>
    <w:p>
      <w:pPr>
        <w:pStyle w:val="BodyText"/>
        <w:spacing w:line="222" w:lineRule="exact"/>
        <w:ind w:right="1133"/>
        <w:jc w:val="left"/>
        <w:rPr>
          <w:rFonts w:ascii="宋体" w:hAnsi="宋体" w:cs="宋体" w:eastAsia="宋体" w:hint="default"/>
        </w:rPr>
      </w:pPr>
      <w:r>
        <w:rPr/>
        <w:t>营成果、现金流量等有关信息。</w:t>
      </w:r>
      <w:r>
        <w:rPr>
          <w:rFonts w:ascii="宋体" w:hAnsi="宋体" w:cs="宋体" w:eastAsia="宋体" w:hint="default"/>
        </w:rPr>
        <w:t> </w:t>
      </w:r>
    </w:p>
    <w:p>
      <w:pPr>
        <w:pStyle w:val="Heading3"/>
        <w:spacing w:line="240" w:lineRule="auto" w:before="118"/>
        <w:ind w:left="364" w:right="1133"/>
        <w:jc w:val="left"/>
        <w:rPr>
          <w:rFonts w:ascii="宋体" w:hAnsi="宋体" w:cs="宋体" w:eastAsia="宋体" w:hint="default"/>
          <w:b w:val="0"/>
          <w:bCs w:val="0"/>
        </w:rPr>
      </w:pPr>
      <w:r>
        <w:rPr/>
        <w:t>（二）会计期间</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16"/>
        <w:ind w:left="573" w:right="1133"/>
        <w:jc w:val="left"/>
        <w:rPr>
          <w:rFonts w:ascii="宋体" w:hAnsi="宋体" w:cs="宋体" w:eastAsia="宋体" w:hint="default"/>
        </w:rPr>
      </w:pPr>
      <w:r>
        <w:rPr/>
        <w:t>本公司自公历</w:t>
      </w:r>
      <w:r>
        <w:rPr>
          <w:spacing w:val="-53"/>
        </w:rPr>
        <w:t> </w:t>
      </w:r>
      <w:r>
        <w:rPr>
          <w:rFonts w:ascii="宋体" w:hAnsi="宋体" w:cs="宋体" w:eastAsia="宋体" w:hint="default"/>
        </w:rPr>
        <w:t>1</w:t>
      </w:r>
      <w:r>
        <w:rPr>
          <w:rFonts w:ascii="宋体" w:hAnsi="宋体" w:cs="宋体" w:eastAsia="宋体" w:hint="default"/>
          <w:spacing w:val="-55"/>
        </w:rPr>
        <w:t> </w:t>
      </w:r>
      <w:r>
        <w:rPr/>
        <w:t>月</w:t>
      </w:r>
      <w:r>
        <w:rPr>
          <w:spacing w:val="-53"/>
        </w:rPr>
        <w:t> </w:t>
      </w:r>
      <w:r>
        <w:rPr>
          <w:rFonts w:ascii="宋体" w:hAnsi="宋体" w:cs="宋体" w:eastAsia="宋体" w:hint="default"/>
        </w:rPr>
        <w:t>1</w:t>
      </w:r>
      <w:r>
        <w:rPr>
          <w:rFonts w:ascii="宋体" w:hAnsi="宋体" w:cs="宋体" w:eastAsia="宋体" w:hint="default"/>
          <w:spacing w:val="-55"/>
        </w:rPr>
        <w:t> </w:t>
      </w:r>
      <w:r>
        <w:rPr/>
        <w:t>日起至</w:t>
      </w:r>
      <w:r>
        <w:rPr>
          <w:spacing w:val="-52"/>
        </w:rPr>
        <w:t> </w:t>
      </w:r>
      <w:r>
        <w:rPr>
          <w:rFonts w:ascii="宋体" w:hAnsi="宋体" w:cs="宋体" w:eastAsia="宋体" w:hint="default"/>
        </w:rPr>
        <w:t>12</w:t>
      </w:r>
      <w:r>
        <w:rPr>
          <w:rFonts w:ascii="宋体" w:hAnsi="宋体" w:cs="宋体" w:eastAsia="宋体" w:hint="default"/>
          <w:spacing w:val="-55"/>
        </w:rPr>
        <w:t> </w:t>
      </w:r>
      <w:r>
        <w:rPr/>
        <w:t>月</w:t>
      </w:r>
      <w:r>
        <w:rPr>
          <w:spacing w:val="-53"/>
        </w:rPr>
        <w:t> </w:t>
      </w:r>
      <w:r>
        <w:rPr>
          <w:rFonts w:ascii="宋体" w:hAnsi="宋体" w:cs="宋体" w:eastAsia="宋体" w:hint="default"/>
        </w:rPr>
        <w:t>31</w:t>
      </w:r>
      <w:r>
        <w:rPr>
          <w:rFonts w:ascii="宋体" w:hAnsi="宋体" w:cs="宋体" w:eastAsia="宋体" w:hint="default"/>
          <w:spacing w:val="-55"/>
        </w:rPr>
        <w:t> </w:t>
      </w:r>
      <w:r>
        <w:rPr/>
        <w:t>日止为一个会计年度。</w:t>
      </w:r>
      <w:r>
        <w:rPr>
          <w:rFonts w:ascii="宋体" w:hAnsi="宋体" w:cs="宋体" w:eastAsia="宋体" w:hint="default"/>
        </w:rPr>
        <w:t> </w:t>
      </w:r>
    </w:p>
    <w:p>
      <w:pPr>
        <w:pStyle w:val="Heading3"/>
        <w:spacing w:line="240" w:lineRule="auto" w:before="118"/>
        <w:ind w:left="364" w:right="1133"/>
        <w:jc w:val="left"/>
        <w:rPr>
          <w:rFonts w:ascii="宋体" w:hAnsi="宋体" w:cs="宋体" w:eastAsia="宋体" w:hint="default"/>
          <w:b w:val="0"/>
          <w:bCs w:val="0"/>
        </w:rPr>
      </w:pPr>
      <w:r>
        <w:rPr/>
        <w:t>（三）营业周期</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16"/>
        <w:ind w:left="573" w:right="1133"/>
        <w:jc w:val="left"/>
        <w:rPr>
          <w:rFonts w:ascii="宋体" w:hAnsi="宋体" w:cs="宋体" w:eastAsia="宋体" w:hint="default"/>
        </w:rPr>
      </w:pPr>
      <w:r>
        <w:rPr/>
        <w:t>本公司以</w:t>
      </w:r>
      <w:r>
        <w:rPr>
          <w:spacing w:val="-58"/>
        </w:rPr>
        <w:t> </w:t>
      </w:r>
      <w:r>
        <w:rPr>
          <w:rFonts w:ascii="宋体" w:hAnsi="宋体" w:cs="宋体" w:eastAsia="宋体" w:hint="default"/>
        </w:rPr>
        <w:t>12</w:t>
      </w:r>
      <w:r>
        <w:rPr>
          <w:rFonts w:ascii="宋体" w:hAnsi="宋体" w:cs="宋体" w:eastAsia="宋体" w:hint="default"/>
          <w:spacing w:val="-58"/>
        </w:rPr>
        <w:t> </w:t>
      </w:r>
      <w:r>
        <w:rPr/>
        <w:t>个月作为一个营业周期，并以其作为资产和负债的流动性划分标准。</w:t>
      </w:r>
      <w:r>
        <w:rPr>
          <w:rFonts w:ascii="宋体" w:hAnsi="宋体" w:cs="宋体" w:eastAsia="宋体" w:hint="default"/>
        </w:rPr>
        <w:t> </w:t>
      </w:r>
    </w:p>
    <w:p>
      <w:pPr>
        <w:pStyle w:val="BodyText"/>
        <w:spacing w:line="390" w:lineRule="atLeast" w:before="4"/>
        <w:ind w:left="573" w:right="1133" w:hanging="209"/>
        <w:jc w:val="left"/>
      </w:pPr>
      <w:r>
        <w:rPr>
          <w:rFonts w:ascii="宋体" w:hAnsi="宋体" w:cs="宋体" w:eastAsia="宋体" w:hint="default"/>
          <w:b/>
          <w:bCs/>
        </w:rPr>
        <w:t>（四）记账本位币</w:t>
      </w:r>
      <w:r>
        <w:rPr>
          <w:rFonts w:ascii="宋体" w:hAnsi="宋体" w:cs="宋体" w:eastAsia="宋体" w:hint="default"/>
          <w:b/>
          <w:bCs/>
          <w:w w:val="99"/>
        </w:rPr>
        <w:t> </w:t>
      </w:r>
      <w:r>
        <w:rPr>
          <w:spacing w:val="-2"/>
        </w:rPr>
        <w:t>本公司的记账本位币为人民币，编制财务报表采用的货币为人民币。本公司及子公司选定记账本位币</w:t>
      </w:r>
    </w:p>
    <w:p>
      <w:pPr>
        <w:pStyle w:val="BodyText"/>
        <w:spacing w:line="274" w:lineRule="exact"/>
        <w:ind w:right="1133"/>
        <w:jc w:val="left"/>
        <w:rPr>
          <w:rFonts w:ascii="宋体" w:hAnsi="宋体" w:cs="宋体" w:eastAsia="宋体" w:hint="default"/>
        </w:rPr>
      </w:pPr>
      <w:r>
        <w:rPr/>
        <w:t>的依据是主要业务收支的计价和结算币种。</w:t>
      </w:r>
      <w:r>
        <w:rPr>
          <w:rFonts w:ascii="宋体" w:hAnsi="宋体" w:cs="宋体" w:eastAsia="宋体" w:hint="default"/>
        </w:rPr>
        <w:t> </w:t>
      </w:r>
    </w:p>
    <w:p>
      <w:pPr>
        <w:spacing w:line="343" w:lineRule="auto" w:before="116"/>
        <w:ind w:left="573" w:right="2896" w:hanging="209"/>
        <w:jc w:val="left"/>
        <w:rPr>
          <w:rFonts w:ascii="宋体" w:hAnsi="宋体" w:cs="宋体" w:eastAsia="宋体" w:hint="default"/>
          <w:sz w:val="21"/>
          <w:szCs w:val="21"/>
        </w:rPr>
      </w:pPr>
      <w:r>
        <w:rPr>
          <w:rFonts w:ascii="宋体" w:hAnsi="宋体" w:cs="宋体" w:eastAsia="宋体" w:hint="default"/>
          <w:b/>
          <w:bCs/>
          <w:sz w:val="21"/>
          <w:szCs w:val="21"/>
        </w:rPr>
        <w:t>（五）同一控制下和非同一控制下企业合并的会计处理方法</w:t>
      </w:r>
      <w:r>
        <w:rPr>
          <w:rFonts w:ascii="宋体" w:hAnsi="宋体" w:cs="宋体" w:eastAsia="宋体" w:hint="default"/>
          <w:b/>
          <w:bCs/>
          <w:w w:val="99"/>
          <w:sz w:val="21"/>
          <w:szCs w:val="21"/>
        </w:rPr>
        <w:t> </w:t>
      </w:r>
      <w:r>
        <w:rPr>
          <w:rFonts w:ascii="宋体" w:hAnsi="宋体" w:cs="宋体" w:eastAsia="宋体" w:hint="default"/>
          <w:sz w:val="21"/>
          <w:szCs w:val="21"/>
        </w:rPr>
        <w:t>1</w:t>
      </w:r>
      <w:r>
        <w:rPr>
          <w:rFonts w:ascii="宋体" w:hAnsi="宋体" w:cs="宋体" w:eastAsia="宋体" w:hint="default"/>
          <w:sz w:val="21"/>
          <w:szCs w:val="21"/>
        </w:rPr>
        <w:t>、同一控制下企业合并</w:t>
      </w:r>
      <w:r>
        <w:rPr>
          <w:rFonts w:ascii="宋体" w:hAnsi="宋体" w:cs="宋体" w:eastAsia="宋体" w:hint="default"/>
          <w:sz w:val="21"/>
          <w:szCs w:val="21"/>
        </w:rPr>
        <w:t> </w:t>
      </w:r>
    </w:p>
    <w:p>
      <w:pPr>
        <w:pStyle w:val="BodyText"/>
        <w:spacing w:line="240" w:lineRule="auto" w:before="26"/>
        <w:ind w:left="573" w:right="819"/>
        <w:jc w:val="left"/>
      </w:pPr>
      <w:r>
        <w:rPr/>
        <w:t>参与合并的企业在合并前后均受同一方或相同的多方最终控制且该控制并非暂时性的，为同一控制下</w:t>
      </w:r>
    </w:p>
    <w:p>
      <w:pPr>
        <w:spacing w:after="0" w:line="240" w:lineRule="auto"/>
        <w:jc w:val="left"/>
        <w:sectPr>
          <w:pgSz w:w="11910" w:h="16840"/>
          <w:pgMar w:header="921" w:footer="725" w:top="1160" w:bottom="920" w:left="980" w:right="0"/>
        </w:sectPr>
      </w:pPr>
    </w:p>
    <w:p>
      <w:pPr>
        <w:spacing w:line="240" w:lineRule="auto" w:before="12"/>
        <w:rPr>
          <w:rFonts w:ascii="宋体" w:hAnsi="宋体" w:cs="宋体" w:eastAsia="宋体" w:hint="default"/>
          <w:sz w:val="15"/>
          <w:szCs w:val="15"/>
        </w:rPr>
      </w:pPr>
    </w:p>
    <w:p>
      <w:pPr>
        <w:pStyle w:val="BodyText"/>
        <w:spacing w:line="240" w:lineRule="auto" w:before="36"/>
        <w:ind w:right="1133"/>
        <w:jc w:val="left"/>
        <w:rPr>
          <w:rFonts w:ascii="宋体" w:hAnsi="宋体" w:cs="宋体" w:eastAsia="宋体" w:hint="default"/>
        </w:rPr>
      </w:pPr>
      <w:r>
        <w:rPr/>
        <w:t>的企业合并。合并日为合并方实际取得对被合并方控制权的日期。</w:t>
      </w:r>
      <w:r>
        <w:rPr>
          <w:rFonts w:ascii="宋体" w:hAnsi="宋体" w:cs="宋体" w:eastAsia="宋体" w:hint="default"/>
        </w:rPr>
        <w:t> </w:t>
      </w:r>
    </w:p>
    <w:p>
      <w:pPr>
        <w:pStyle w:val="BodyText"/>
        <w:spacing w:line="237" w:lineRule="auto" w:before="119"/>
        <w:ind w:right="819" w:firstLine="420"/>
        <w:jc w:val="left"/>
        <w:rPr>
          <w:rFonts w:ascii="宋体" w:hAnsi="宋体" w:cs="宋体" w:eastAsia="宋体" w:hint="default"/>
        </w:rPr>
      </w:pPr>
      <w:r>
        <w:rPr>
          <w:spacing w:val="-2"/>
        </w:rPr>
        <w:t>在企业合并中取得的资产和负债，按照合并日被合并方在最终控制方合并财务报表中的账面价值计量。</w:t>
      </w:r>
      <w:r>
        <w:rPr>
          <w:w w:val="100"/>
        </w:rPr>
        <w:t> </w:t>
      </w:r>
      <w:r>
        <w:rPr/>
        <w:t>被合并各方采用的会计政策与本公司不一致的，合并方在合并日按照本公司会计政策进行调整，在此基础</w:t>
      </w:r>
      <w:r>
        <w:rPr>
          <w:w w:val="100"/>
        </w:rPr>
        <w:t> </w:t>
      </w:r>
      <w:r>
        <w:rPr/>
        <w:t>上按照调整后的账面价值确认。</w:t>
      </w:r>
      <w:r>
        <w:rPr>
          <w:rFonts w:ascii="宋体" w:hAnsi="宋体" w:cs="宋体" w:eastAsia="宋体" w:hint="default"/>
        </w:rPr>
        <w:t> </w:t>
      </w:r>
    </w:p>
    <w:p>
      <w:pPr>
        <w:pStyle w:val="BodyText"/>
        <w:spacing w:line="272" w:lineRule="exact" w:before="146"/>
        <w:ind w:right="1133" w:firstLine="420"/>
        <w:jc w:val="left"/>
        <w:rPr>
          <w:rFonts w:ascii="宋体" w:hAnsi="宋体" w:cs="宋体" w:eastAsia="宋体" w:hint="default"/>
        </w:rPr>
      </w:pPr>
      <w:r>
        <w:rPr>
          <w:spacing w:val="-2"/>
        </w:rPr>
        <w:t>在合并中取得的净资产账面价值与支付的合并对价账面价值（或发行股份面值总额）的差额，调整资</w:t>
      </w:r>
      <w:r>
        <w:rPr>
          <w:w w:val="100"/>
        </w:rPr>
        <w:t> </w:t>
      </w:r>
      <w:r>
        <w:rPr/>
        <w:t>本公积中的股本溢价，资本公积中的股本溢价不足冲减的，调整留存收益。</w:t>
      </w:r>
      <w:r>
        <w:rPr>
          <w:rFonts w:ascii="宋体" w:hAnsi="宋体" w:cs="宋体" w:eastAsia="宋体" w:hint="default"/>
        </w:rPr>
        <w:t> </w:t>
      </w:r>
    </w:p>
    <w:p>
      <w:pPr>
        <w:pStyle w:val="BodyText"/>
        <w:spacing w:line="272" w:lineRule="exact" w:before="121"/>
        <w:ind w:right="1133" w:firstLine="420"/>
        <w:jc w:val="left"/>
        <w:rPr>
          <w:rFonts w:ascii="宋体" w:hAnsi="宋体" w:cs="宋体" w:eastAsia="宋体" w:hint="default"/>
        </w:rPr>
      </w:pPr>
      <w:r>
        <w:rPr>
          <w:spacing w:val="-2"/>
        </w:rPr>
        <w:t>为进行企业合并而发生的各项直接相关费用，包括为进行合并而支付的审计费用、评估费用、法律服</w:t>
      </w:r>
      <w:r>
        <w:rPr>
          <w:w w:val="100"/>
        </w:rPr>
        <w:t> </w:t>
      </w:r>
      <w:r>
        <w:rPr/>
        <w:t>务费等，于发生时计入当期损益。</w:t>
      </w:r>
      <w:r>
        <w:rPr>
          <w:rFonts w:ascii="宋体" w:hAnsi="宋体" w:cs="宋体" w:eastAsia="宋体" w:hint="default"/>
        </w:rPr>
        <w:t> </w:t>
      </w:r>
    </w:p>
    <w:p>
      <w:pPr>
        <w:pStyle w:val="BodyText"/>
        <w:spacing w:line="272" w:lineRule="exact" w:before="121"/>
        <w:ind w:right="1133" w:firstLine="420"/>
        <w:jc w:val="left"/>
        <w:rPr>
          <w:rFonts w:ascii="宋体" w:hAnsi="宋体" w:cs="宋体" w:eastAsia="宋体" w:hint="default"/>
        </w:rPr>
      </w:pPr>
      <w:r>
        <w:rPr>
          <w:spacing w:val="-7"/>
        </w:rPr>
        <w:t>企业合并中发行权益性证券发生的手续费、佣金等，抵减权益性证券溢价收入，溢价收入不足冲减的，</w:t>
      </w:r>
      <w:r>
        <w:rPr>
          <w:w w:val="100"/>
        </w:rPr>
        <w:t> </w:t>
      </w:r>
      <w:r>
        <w:rPr/>
        <w:t>冲减留存收益。</w:t>
      </w:r>
      <w:r>
        <w:rPr>
          <w:rFonts w:ascii="宋体" w:hAnsi="宋体" w:cs="宋体" w:eastAsia="宋体" w:hint="default"/>
        </w:rPr>
        <w:t> </w:t>
      </w:r>
    </w:p>
    <w:p>
      <w:pPr>
        <w:pStyle w:val="BodyText"/>
        <w:spacing w:line="272" w:lineRule="exact" w:before="121"/>
        <w:ind w:right="1133" w:firstLine="420"/>
        <w:jc w:val="left"/>
        <w:rPr>
          <w:rFonts w:ascii="宋体" w:hAnsi="宋体" w:cs="宋体" w:eastAsia="宋体" w:hint="default"/>
        </w:rPr>
      </w:pPr>
      <w:r>
        <w:rPr>
          <w:spacing w:val="-2"/>
        </w:rPr>
        <w:t>通过多次交易分步实现的同一控制下企业合并，属于“一揽子交易”的，本公司将各项交易作为一项</w:t>
      </w:r>
      <w:r>
        <w:rPr>
          <w:w w:val="100"/>
        </w:rPr>
        <w:t> </w:t>
      </w:r>
      <w:r>
        <w:rPr>
          <w:spacing w:val="-7"/>
        </w:rPr>
        <w:t>取得控制权的交易进行会计处理。不属于“一揽子交易”的，取得控制权日，按照下列步骤进行会计处理：</w:t>
      </w:r>
      <w:r>
        <w:rPr>
          <w:rFonts w:ascii="宋体" w:hAnsi="宋体" w:cs="宋体" w:eastAsia="宋体" w:hint="default"/>
        </w:rPr>
        <w:t> </w:t>
      </w:r>
    </w:p>
    <w:p>
      <w:pPr>
        <w:pStyle w:val="BodyText"/>
        <w:spacing w:line="272" w:lineRule="exact" w:before="121"/>
        <w:ind w:right="1133" w:firstLine="420"/>
        <w:jc w:val="left"/>
        <w:rPr>
          <w:rFonts w:ascii="宋体" w:hAnsi="宋体" w:cs="宋体" w:eastAsia="宋体" w:hint="default"/>
        </w:rPr>
      </w:pPr>
      <w:r>
        <w:rPr/>
        <w:t>（</w:t>
      </w:r>
      <w:r>
        <w:rPr>
          <w:rFonts w:ascii="宋体" w:hAnsi="宋体" w:cs="宋体" w:eastAsia="宋体" w:hint="default"/>
        </w:rPr>
        <w:t>1</w:t>
      </w:r>
      <w:r>
        <w:rPr/>
        <w:t>）确定同一控制下企业合并形成的长期股权投资的初始投资成本。在合并日，根据合并后应享有</w:t>
      </w:r>
      <w:r>
        <w:rPr>
          <w:w w:val="100"/>
        </w:rPr>
        <w:t> </w:t>
      </w:r>
      <w:r>
        <w:rPr/>
        <w:t>被合并方净资产在最终控制方合并财务报表中的账面价值的份额，确定长期股权投资的初始投资成本。</w:t>
      </w:r>
      <w:r>
        <w:rPr>
          <w:rFonts w:ascii="宋体" w:hAnsi="宋体" w:cs="宋体" w:eastAsia="宋体" w:hint="default"/>
        </w:rPr>
        <w:t> </w:t>
      </w:r>
    </w:p>
    <w:p>
      <w:pPr>
        <w:pStyle w:val="BodyText"/>
        <w:spacing w:line="237" w:lineRule="auto" w:before="96"/>
        <w:ind w:right="1126" w:firstLine="420"/>
        <w:jc w:val="both"/>
        <w:rPr>
          <w:rFonts w:ascii="宋体" w:hAnsi="宋体" w:cs="宋体" w:eastAsia="宋体" w:hint="default"/>
        </w:rPr>
      </w:pPr>
      <w:r>
        <w:rPr/>
        <w:t>（</w:t>
      </w:r>
      <w:r>
        <w:rPr>
          <w:rFonts w:ascii="宋体" w:hAnsi="宋体" w:cs="宋体" w:eastAsia="宋体" w:hint="default"/>
        </w:rPr>
        <w:t>2</w:t>
      </w:r>
      <w:r>
        <w:rPr/>
        <w:t>）长期股权投资初始投资成本与合并对价账面价值之间的差额的处理。合并日长期股权投资的初</w:t>
      </w:r>
      <w:r>
        <w:rPr>
          <w:w w:val="100"/>
        </w:rPr>
        <w:t> </w:t>
      </w:r>
      <w:r>
        <w:rPr>
          <w:spacing w:val="-2"/>
        </w:rPr>
        <w:t>始投资成本，与达到合并前的长期股权投资账面价值加上合并日进一步取得股份新支付对价的账面价值之</w:t>
      </w:r>
      <w:r>
        <w:rPr>
          <w:spacing w:val="-43"/>
        </w:rPr>
        <w:t> </w:t>
      </w:r>
      <w:r>
        <w:rPr>
          <w:spacing w:val="-43"/>
        </w:rPr>
      </w:r>
      <w:r>
        <w:rPr>
          <w:spacing w:val="-2"/>
          <w:w w:val="100"/>
        </w:rPr>
        <w:t>和的差额，调整资本公积（资本溢价或股本溢价），资本公积（资本溢价或股本溢价）不足冲减的，冲减</w:t>
      </w:r>
      <w:r>
        <w:rPr>
          <w:spacing w:val="-94"/>
          <w:w w:val="100"/>
        </w:rPr>
        <w:t> </w:t>
      </w:r>
      <w:r>
        <w:rPr>
          <w:spacing w:val="-94"/>
          <w:w w:val="100"/>
        </w:rPr>
      </w:r>
      <w:r>
        <w:rPr/>
        <w:t>留存收益。</w:t>
      </w:r>
      <w:r>
        <w:rPr>
          <w:rFonts w:ascii="宋体" w:hAnsi="宋体" w:cs="宋体" w:eastAsia="宋体" w:hint="default"/>
        </w:rPr>
        <w:t> </w:t>
      </w:r>
    </w:p>
    <w:p>
      <w:pPr>
        <w:pStyle w:val="BodyText"/>
        <w:spacing w:line="237" w:lineRule="auto" w:before="121"/>
        <w:ind w:right="1126" w:firstLine="420"/>
        <w:jc w:val="both"/>
        <w:rPr>
          <w:rFonts w:ascii="宋体" w:hAnsi="宋体" w:cs="宋体" w:eastAsia="宋体" w:hint="default"/>
        </w:rPr>
      </w:pPr>
      <w:r>
        <w:rPr/>
        <w:t>（</w:t>
      </w:r>
      <w:r>
        <w:rPr>
          <w:rFonts w:ascii="宋体" w:hAnsi="宋体" w:cs="宋体" w:eastAsia="宋体" w:hint="default"/>
        </w:rPr>
        <w:t>3</w:t>
      </w:r>
      <w:r>
        <w:rPr/>
        <w:t>）合并日之前持有的股权投资，因采用权益法核算或金融工具确认和计量准则核算而确认的其他</w:t>
      </w:r>
      <w:r>
        <w:rPr>
          <w:w w:val="100"/>
        </w:rPr>
        <w:t> </w:t>
      </w:r>
      <w:r>
        <w:rPr>
          <w:spacing w:val="-2"/>
        </w:rPr>
        <w:t>综合收益，暂不进行会计处理，直至处置该项投资时采用与被投资单位直接处置相关资产或负债相同的基</w:t>
      </w:r>
      <w:r>
        <w:rPr>
          <w:spacing w:val="-42"/>
        </w:rPr>
        <w:t> </w:t>
      </w:r>
      <w:r>
        <w:rPr>
          <w:spacing w:val="-42"/>
        </w:rPr>
      </w:r>
      <w:r>
        <w:rPr>
          <w:spacing w:val="-2"/>
        </w:rPr>
        <w:t>础进行会计处理；因采用权益法核算而确认的被投资单位净资产中除净损益、其他综合收益和利润分配以</w:t>
      </w:r>
      <w:r>
        <w:rPr>
          <w:spacing w:val="-44"/>
        </w:rPr>
        <w:t> </w:t>
      </w:r>
      <w:r>
        <w:rPr>
          <w:spacing w:val="-44"/>
        </w:rPr>
      </w:r>
      <w:r>
        <w:rPr>
          <w:spacing w:val="-2"/>
        </w:rPr>
        <w:t>外的所有者权益其他变动，暂不进行会计处理，直至处置该项投资时转入当期损益。其中，处置后的剩余</w:t>
      </w:r>
      <w:r>
        <w:rPr>
          <w:spacing w:val="-44"/>
        </w:rPr>
        <w:t> </w:t>
      </w:r>
      <w:r>
        <w:rPr>
          <w:spacing w:val="-44"/>
        </w:rPr>
      </w:r>
      <w:r>
        <w:rPr>
          <w:spacing w:val="-2"/>
        </w:rPr>
        <w:t>股权采用成本法或权益法核算的，其他综合收益和其他所有者权益应按比例结转，处置后的剩余股权改按</w:t>
      </w:r>
      <w:r>
        <w:rPr>
          <w:spacing w:val="-43"/>
        </w:rPr>
        <w:t> </w:t>
      </w:r>
      <w:r>
        <w:rPr>
          <w:spacing w:val="-43"/>
        </w:rPr>
      </w:r>
      <w:r>
        <w:rPr/>
        <w:t>金融工具确认和计量准则进行会计处理的，其他综合收益和其他所有者权益应全部结转。</w:t>
      </w:r>
      <w:r>
        <w:rPr>
          <w:rFonts w:ascii="宋体" w:hAnsi="宋体" w:cs="宋体" w:eastAsia="宋体" w:hint="default"/>
        </w:rPr>
        <w:t> </w:t>
      </w:r>
    </w:p>
    <w:p>
      <w:pPr>
        <w:pStyle w:val="BodyText"/>
        <w:spacing w:line="343" w:lineRule="auto" w:before="116"/>
        <w:ind w:left="573" w:right="2896"/>
        <w:jc w:val="left"/>
        <w:rPr>
          <w:rFonts w:ascii="宋体" w:hAnsi="宋体" w:cs="宋体" w:eastAsia="宋体" w:hint="default"/>
        </w:rPr>
      </w:pPr>
      <w:r>
        <w:rPr>
          <w:spacing w:val="-10"/>
          <w:w w:val="100"/>
        </w:rPr>
        <w:t>（</w:t>
      </w:r>
      <w:r>
        <w:rPr>
          <w:rFonts w:ascii="宋体" w:hAnsi="宋体" w:cs="宋体" w:eastAsia="宋体" w:hint="default"/>
          <w:spacing w:val="-10"/>
          <w:w w:val="100"/>
        </w:rPr>
        <w:t>4</w:t>
      </w:r>
      <w:r>
        <w:rPr>
          <w:spacing w:val="-10"/>
          <w:w w:val="100"/>
        </w:rPr>
        <w:t>）在合并财务报表中的会计处理见本附注三、（六）。</w:t>
      </w:r>
      <w:r>
        <w:rPr>
          <w:spacing w:val="-97"/>
          <w:w w:val="100"/>
        </w:rPr>
        <w:t> </w:t>
      </w:r>
      <w:r>
        <w:rPr>
          <w:rFonts w:ascii="宋体" w:hAnsi="宋体" w:cs="宋体" w:eastAsia="宋体" w:hint="default"/>
          <w:spacing w:val="-97"/>
          <w:w w:val="100"/>
        </w:rPr>
      </w:r>
      <w:r>
        <w:rPr>
          <w:rFonts w:ascii="宋体" w:hAnsi="宋体" w:cs="宋体" w:eastAsia="宋体" w:hint="default"/>
        </w:rPr>
        <w:t>2</w:t>
      </w:r>
      <w:r>
        <w:rPr/>
        <w:t>、非同一控制下企业合并</w:t>
      </w:r>
      <w:r>
        <w:rPr>
          <w:rFonts w:ascii="宋体" w:hAnsi="宋体" w:cs="宋体" w:eastAsia="宋体" w:hint="default"/>
        </w:rPr>
        <w:t> </w:t>
      </w:r>
    </w:p>
    <w:p>
      <w:pPr>
        <w:pStyle w:val="BodyText"/>
        <w:spacing w:line="240" w:lineRule="auto" w:before="26"/>
        <w:ind w:left="573" w:right="1133"/>
        <w:jc w:val="left"/>
        <w:rPr>
          <w:rFonts w:ascii="宋体" w:hAnsi="宋体" w:cs="宋体" w:eastAsia="宋体" w:hint="default"/>
        </w:rPr>
      </w:pPr>
      <w:r>
        <w:rPr/>
        <w:t>参与合并的各方在合并前后不受同一方或相同的多方最终控制的，为非同一控制下的企业合并。</w:t>
      </w:r>
      <w:r>
        <w:rPr>
          <w:rFonts w:ascii="宋体" w:hAnsi="宋体" w:cs="宋体" w:eastAsia="宋体" w:hint="default"/>
        </w:rPr>
        <w:t> </w:t>
      </w:r>
    </w:p>
    <w:p>
      <w:pPr>
        <w:pStyle w:val="BodyText"/>
        <w:spacing w:line="272" w:lineRule="exact" w:before="146"/>
        <w:ind w:right="1133" w:firstLine="420"/>
        <w:jc w:val="left"/>
        <w:rPr>
          <w:rFonts w:ascii="宋体" w:hAnsi="宋体" w:cs="宋体" w:eastAsia="宋体" w:hint="default"/>
        </w:rPr>
      </w:pPr>
      <w:r>
        <w:rPr>
          <w:spacing w:val="-2"/>
        </w:rPr>
        <w:t>购买方在购买日对作为企业合并对价付出的资产、发生或承担的负债按照公允价值计量。公允价值与</w:t>
      </w:r>
      <w:r>
        <w:rPr>
          <w:w w:val="100"/>
        </w:rPr>
        <w:t> </w:t>
      </w:r>
      <w:r>
        <w:rPr/>
        <w:t>其账面价值的差额，计入当期损益。</w:t>
      </w:r>
      <w:r>
        <w:rPr>
          <w:rFonts w:ascii="宋体" w:hAnsi="宋体" w:cs="宋体" w:eastAsia="宋体" w:hint="default"/>
        </w:rPr>
        <w:t> </w:t>
      </w:r>
    </w:p>
    <w:p>
      <w:pPr>
        <w:pStyle w:val="BodyText"/>
        <w:spacing w:line="272" w:lineRule="exact" w:before="121"/>
        <w:ind w:right="1133" w:firstLine="420"/>
        <w:jc w:val="left"/>
        <w:rPr>
          <w:rFonts w:ascii="宋体" w:hAnsi="宋体" w:cs="宋体" w:eastAsia="宋体" w:hint="default"/>
        </w:rPr>
      </w:pPr>
      <w:r>
        <w:rPr>
          <w:spacing w:val="-2"/>
        </w:rPr>
        <w:t>购买方在购买日对合并成本进行分配，确认所取得的被购买方各项可辨认资产、负债及或有负债的公</w:t>
      </w:r>
      <w:r>
        <w:rPr>
          <w:w w:val="100"/>
        </w:rPr>
        <w:t> </w:t>
      </w:r>
      <w:r>
        <w:rPr/>
        <w:t>允价值。</w:t>
      </w:r>
      <w:r>
        <w:rPr>
          <w:rFonts w:ascii="宋体" w:hAnsi="宋体" w:cs="宋体" w:eastAsia="宋体" w:hint="default"/>
        </w:rPr>
        <w:t> </w:t>
      </w:r>
    </w:p>
    <w:p>
      <w:pPr>
        <w:pStyle w:val="BodyText"/>
        <w:spacing w:line="272" w:lineRule="exact" w:before="121"/>
        <w:ind w:right="1133" w:firstLine="420"/>
        <w:jc w:val="left"/>
        <w:rPr>
          <w:rFonts w:ascii="宋体" w:hAnsi="宋体" w:cs="宋体" w:eastAsia="宋体" w:hint="default"/>
        </w:rPr>
      </w:pPr>
      <w:r>
        <w:rPr>
          <w:spacing w:val="-2"/>
        </w:rPr>
        <w:t>购买方对合并成本大于合并中取得的被购买方可辨认净资产公允价值份额的差额，确认为商誉；合并</w:t>
      </w:r>
      <w:r>
        <w:rPr>
          <w:w w:val="100"/>
        </w:rPr>
        <w:t> </w:t>
      </w:r>
      <w:r>
        <w:rPr/>
        <w:t>成本小于合并中取得的被购买方可辨认净资产公允价值份额的差额，经复核后，计入当期损益。</w:t>
      </w:r>
      <w:r>
        <w:rPr>
          <w:rFonts w:ascii="宋体" w:hAnsi="宋体" w:cs="宋体" w:eastAsia="宋体" w:hint="default"/>
        </w:rPr>
        <w:t> </w:t>
      </w:r>
    </w:p>
    <w:p>
      <w:pPr>
        <w:pStyle w:val="BodyText"/>
        <w:spacing w:line="237" w:lineRule="auto" w:before="96"/>
        <w:ind w:right="1126" w:firstLine="420"/>
        <w:jc w:val="both"/>
        <w:rPr>
          <w:rFonts w:ascii="宋体" w:hAnsi="宋体" w:cs="宋体" w:eastAsia="宋体" w:hint="default"/>
        </w:rPr>
      </w:pPr>
      <w:r>
        <w:rPr>
          <w:spacing w:val="-2"/>
          <w:w w:val="100"/>
        </w:rPr>
        <w:t>企业合并中取得的被购买方除无形资产外的其他各项资产（不仅限于被购买方原已确认的资产），其</w:t>
      </w:r>
      <w:r>
        <w:rPr>
          <w:w w:val="100"/>
        </w:rPr>
        <w:t> </w:t>
      </w:r>
      <w:r>
        <w:rPr>
          <w:spacing w:val="-2"/>
        </w:rPr>
        <w:t>所带来的经济利益很可能流入本公司且公允价值能够可靠计量的，单独确认并按公允价值计量；公允价值</w:t>
      </w:r>
      <w:r>
        <w:rPr>
          <w:spacing w:val="-42"/>
        </w:rPr>
        <w:t> </w:t>
      </w:r>
      <w:r>
        <w:rPr>
          <w:spacing w:val="-42"/>
        </w:rPr>
      </w:r>
      <w:r>
        <w:rPr>
          <w:spacing w:val="-2"/>
        </w:rPr>
        <w:t>能够可靠计量的无形资产，单独确认为无形资产并按公允价值计量；取得的被购买方除或有负债以外的其</w:t>
      </w:r>
      <w:r>
        <w:rPr>
          <w:spacing w:val="-44"/>
        </w:rPr>
        <w:t> </w:t>
      </w:r>
      <w:r>
        <w:rPr>
          <w:spacing w:val="-44"/>
        </w:rPr>
      </w:r>
      <w:r>
        <w:rPr>
          <w:spacing w:val="-2"/>
        </w:rPr>
        <w:t>他各项负债，履行有关义务很可能导致经济利益流出本公司且公允价值能够可靠计量的，单独确认并按照</w:t>
      </w:r>
      <w:r>
        <w:rPr>
          <w:spacing w:val="-44"/>
        </w:rPr>
        <w:t> </w:t>
      </w:r>
      <w:r>
        <w:rPr>
          <w:spacing w:val="-44"/>
        </w:rPr>
      </w:r>
      <w:r>
        <w:rPr>
          <w:spacing w:val="-2"/>
        </w:rPr>
        <w:t>公允价值计量；取得的被购买方或有负债，其公允价值能可靠计量的，单独确认为负债并按照公允价值计</w:t>
      </w:r>
      <w:r>
        <w:rPr>
          <w:spacing w:val="-44"/>
        </w:rPr>
        <w:t> </w:t>
      </w:r>
      <w:r>
        <w:rPr>
          <w:spacing w:val="-44"/>
        </w:rPr>
      </w:r>
      <w:r>
        <w:rPr/>
        <w:t>量。</w:t>
      </w:r>
      <w:r>
        <w:rPr>
          <w:rFonts w:ascii="宋体" w:hAnsi="宋体" w:cs="宋体" w:eastAsia="宋体" w:hint="default"/>
        </w:rPr>
        <w:t> </w:t>
      </w:r>
    </w:p>
    <w:p>
      <w:pPr>
        <w:pStyle w:val="BodyText"/>
        <w:spacing w:line="237" w:lineRule="auto" w:before="121"/>
        <w:ind w:right="819" w:firstLine="420"/>
        <w:jc w:val="left"/>
        <w:rPr>
          <w:rFonts w:ascii="宋体" w:hAnsi="宋体" w:cs="宋体" w:eastAsia="宋体" w:hint="default"/>
        </w:rPr>
      </w:pPr>
      <w:r>
        <w:rPr>
          <w:spacing w:val="-2"/>
        </w:rPr>
        <w:t>对合并中取得的被购买方资产进行初始确认时，对被购买方拥有的但在其财务报表中未确认的无形资</w:t>
      </w:r>
      <w:r>
        <w:rPr>
          <w:w w:val="100"/>
        </w:rPr>
        <w:t> </w:t>
      </w:r>
      <w:r>
        <w:rPr>
          <w:spacing w:val="-5"/>
          <w:w w:val="100"/>
        </w:rPr>
        <w:t>产进行充分辨认和合理判断，满足以下条件之一的，应确认为无形资产：（</w:t>
      </w:r>
      <w:r>
        <w:rPr>
          <w:rFonts w:ascii="宋体" w:hAnsi="宋体" w:cs="宋体" w:eastAsia="宋体" w:hint="default"/>
          <w:spacing w:val="-5"/>
          <w:w w:val="100"/>
        </w:rPr>
        <w:t>1</w:t>
      </w:r>
      <w:r>
        <w:rPr>
          <w:spacing w:val="-5"/>
          <w:w w:val="100"/>
        </w:rPr>
        <w:t>）源于合同性权利或其他法定</w:t>
      </w:r>
      <w:r>
        <w:rPr>
          <w:spacing w:val="-65"/>
          <w:w w:val="100"/>
        </w:rPr>
        <w:t> </w:t>
      </w:r>
      <w:r>
        <w:rPr>
          <w:spacing w:val="-65"/>
          <w:w w:val="100"/>
        </w:rPr>
      </w:r>
      <w:r>
        <w:rPr>
          <w:spacing w:val="-2"/>
          <w:w w:val="100"/>
        </w:rPr>
        <w:t>权利；（</w:t>
      </w:r>
      <w:r>
        <w:rPr>
          <w:rFonts w:ascii="宋体" w:hAnsi="宋体" w:cs="宋体" w:eastAsia="宋体" w:hint="default"/>
          <w:spacing w:val="-2"/>
          <w:w w:val="100"/>
        </w:rPr>
        <w:t>2</w:t>
      </w:r>
      <w:r>
        <w:rPr>
          <w:spacing w:val="-2"/>
          <w:w w:val="100"/>
        </w:rPr>
        <w:t>）能够从被购买方中分离或者划分出来，并能单独或与相关合同、资产和负债一起，用于出售、</w:t>
      </w:r>
      <w:r>
        <w:rPr>
          <w:spacing w:val="-89"/>
          <w:w w:val="100"/>
        </w:rPr>
        <w:t> </w:t>
      </w:r>
      <w:r>
        <w:rPr>
          <w:spacing w:val="-89"/>
          <w:w w:val="100"/>
        </w:rPr>
      </w:r>
      <w:r>
        <w:rPr/>
        <w:t>转移、授予许可、租赁或交换。</w:t>
      </w:r>
      <w:r>
        <w:rPr>
          <w:rFonts w:ascii="宋体" w:hAnsi="宋体" w:cs="宋体" w:eastAsia="宋体" w:hint="default"/>
        </w:rPr>
        <w:t> </w:t>
      </w:r>
    </w:p>
    <w:p>
      <w:pPr>
        <w:spacing w:after="0" w:line="237" w:lineRule="auto"/>
        <w:jc w:val="left"/>
        <w:rPr>
          <w:rFonts w:ascii="宋体" w:hAnsi="宋体" w:cs="宋体" w:eastAsia="宋体" w:hint="default"/>
        </w:rPr>
        <w:sectPr>
          <w:pgSz w:w="11910" w:h="16840"/>
          <w:pgMar w:header="921" w:footer="725" w:top="1160" w:bottom="920" w:left="980" w:right="0"/>
        </w:sectPr>
      </w:pPr>
    </w:p>
    <w:p>
      <w:pPr>
        <w:spacing w:line="240" w:lineRule="auto" w:before="12"/>
        <w:rPr>
          <w:rFonts w:ascii="宋体" w:hAnsi="宋体" w:cs="宋体" w:eastAsia="宋体" w:hint="default"/>
          <w:sz w:val="15"/>
          <w:szCs w:val="15"/>
        </w:rPr>
      </w:pPr>
    </w:p>
    <w:p>
      <w:pPr>
        <w:pStyle w:val="BodyText"/>
        <w:spacing w:line="237" w:lineRule="auto" w:before="38"/>
        <w:ind w:right="1126" w:firstLine="420"/>
        <w:jc w:val="both"/>
        <w:rPr>
          <w:rFonts w:ascii="宋体" w:hAnsi="宋体" w:cs="宋体" w:eastAsia="宋体" w:hint="default"/>
        </w:rPr>
      </w:pPr>
      <w:r>
        <w:rPr>
          <w:spacing w:val="-2"/>
        </w:rPr>
        <w:t>购买方在企业合并中取得的被购买方的可抵扣暂时性差异，在购买日不符合递延所得税资产确认条件</w:t>
      </w:r>
      <w:r>
        <w:rPr>
          <w:w w:val="100"/>
        </w:rPr>
        <w:t> </w:t>
      </w:r>
      <w:r>
        <w:rPr/>
        <w:t>的，不予以确认。购买日后 </w:t>
      </w:r>
      <w:r>
        <w:rPr>
          <w:rFonts w:ascii="宋体" w:hAnsi="宋体" w:cs="宋体" w:eastAsia="宋体" w:hint="default"/>
        </w:rPr>
        <w:t>12</w:t>
      </w:r>
      <w:r>
        <w:rPr>
          <w:rFonts w:ascii="宋体" w:hAnsi="宋体" w:cs="宋体" w:eastAsia="宋体" w:hint="default"/>
          <w:spacing w:val="-29"/>
        </w:rPr>
        <w:t> </w:t>
      </w:r>
      <w:r>
        <w:rPr/>
        <w:t>个月内，如取得新的或进一步的信息表明购买日的相关情况已经存在，预</w:t>
      </w:r>
      <w:r>
        <w:rPr>
          <w:w w:val="100"/>
        </w:rPr>
        <w:t> </w:t>
      </w:r>
      <w:r>
        <w:rPr>
          <w:spacing w:val="-2"/>
        </w:rPr>
        <w:t>期被购买方在购买日可抵扣暂时性差异带来的经济利益能够实现的，确认相关的递延所得税资产，同时减</w:t>
      </w:r>
      <w:r>
        <w:rPr>
          <w:spacing w:val="-44"/>
        </w:rPr>
        <w:t> </w:t>
      </w:r>
      <w:r>
        <w:rPr>
          <w:spacing w:val="-44"/>
        </w:rPr>
      </w:r>
      <w:r>
        <w:rPr>
          <w:spacing w:val="-2"/>
        </w:rPr>
        <w:t>少商誉，商誉不足冲减的，差额部分确认为当期损益；除上述情况以外，确认与企业合并相关的递延所得</w:t>
      </w:r>
      <w:r>
        <w:rPr>
          <w:spacing w:val="-46"/>
        </w:rPr>
        <w:t> </w:t>
      </w:r>
      <w:r>
        <w:rPr>
          <w:spacing w:val="-46"/>
        </w:rPr>
      </w:r>
      <w:r>
        <w:rPr/>
        <w:t>税资产，计入当期损益。</w:t>
      </w:r>
      <w:r>
        <w:rPr>
          <w:rFonts w:ascii="宋体" w:hAnsi="宋体" w:cs="宋体" w:eastAsia="宋体" w:hint="default"/>
        </w:rPr>
        <w:t> </w:t>
      </w:r>
    </w:p>
    <w:p>
      <w:pPr>
        <w:pStyle w:val="BodyText"/>
        <w:spacing w:line="237" w:lineRule="auto" w:before="119"/>
        <w:ind w:right="819" w:firstLine="420"/>
        <w:jc w:val="left"/>
        <w:rPr>
          <w:rFonts w:ascii="宋体" w:hAnsi="宋体" w:cs="宋体" w:eastAsia="宋体" w:hint="default"/>
        </w:rPr>
      </w:pPr>
      <w:r>
        <w:rPr>
          <w:spacing w:val="-2"/>
        </w:rPr>
        <w:t>非同一控制下企业合并，购买方为企业合并发生的审计、法律服务、评估咨询等中介费用以及其他相</w:t>
      </w:r>
      <w:r>
        <w:rPr>
          <w:w w:val="100"/>
        </w:rPr>
        <w:t> </w:t>
      </w:r>
      <w:r>
        <w:rPr/>
        <w:t>关管理费用，于发生时计入当期损益；购买方作为合并对价发行的权益性证券或债务性证券的交易费用，</w:t>
      </w:r>
      <w:r>
        <w:rPr>
          <w:spacing w:val="-24"/>
        </w:rPr>
        <w:t> </w:t>
      </w:r>
      <w:r>
        <w:rPr>
          <w:spacing w:val="-24"/>
        </w:rPr>
      </w:r>
      <w:r>
        <w:rPr/>
        <w:t>计入权益性证券或债务性证券的初始确认金额。</w:t>
      </w:r>
      <w:r>
        <w:rPr>
          <w:rFonts w:ascii="宋体" w:hAnsi="宋体" w:cs="宋体" w:eastAsia="宋体" w:hint="default"/>
        </w:rPr>
        <w:t> </w:t>
      </w:r>
    </w:p>
    <w:p>
      <w:pPr>
        <w:pStyle w:val="BodyText"/>
        <w:spacing w:line="237" w:lineRule="auto" w:before="121"/>
        <w:ind w:right="1016" w:firstLine="420"/>
        <w:jc w:val="left"/>
        <w:rPr>
          <w:rFonts w:ascii="宋体" w:hAnsi="宋体" w:cs="宋体" w:eastAsia="宋体" w:hint="default"/>
        </w:rPr>
      </w:pPr>
      <w:r>
        <w:rPr/>
        <w:t>购买方通过多次交易分步实现非同一控制下企业合并的，属于“一揽子交易”的，本公司将各项交易</w:t>
      </w:r>
      <w:r>
        <w:rPr>
          <w:w w:val="100"/>
        </w:rPr>
        <w:t> </w:t>
      </w:r>
      <w:r>
        <w:rPr/>
        <w:t>作为一项取得控制权的交易进行会计处理。不属于“一揽子交易”的，在个别财务报表中，以购买日之前</w:t>
      </w:r>
      <w:r>
        <w:rPr>
          <w:w w:val="100"/>
        </w:rPr>
        <w:t> </w:t>
      </w:r>
      <w:r>
        <w:rPr/>
        <w:t>所持被购买方的股权投资的账面价值与购买日新增投资成本之和，作为改按成本法核算的初始投资成本；</w:t>
      </w:r>
      <w:r>
        <w:rPr>
          <w:spacing w:val="-24"/>
        </w:rPr>
        <w:t> </w:t>
      </w:r>
      <w:r>
        <w:rPr>
          <w:spacing w:val="-24"/>
        </w:rPr>
      </w:r>
      <w:r>
        <w:rPr/>
        <w:t>购买日之前持有的被购买方的股权投资因采用权益法核算而确认的其他综合收益，在处置该项投资时采用</w:t>
      </w:r>
      <w:r>
        <w:rPr>
          <w:w w:val="100"/>
        </w:rPr>
        <w:t> </w:t>
      </w:r>
      <w:r>
        <w:rPr/>
        <w:t>与被投资单位直接处置相关资产或负债相同的基础进行会计处理，因被投资方除净损益、其他综合收益和</w:t>
      </w:r>
      <w:r>
        <w:rPr>
          <w:w w:val="100"/>
        </w:rPr>
        <w:t> </w:t>
      </w:r>
      <w:r>
        <w:rPr>
          <w:spacing w:val="-4"/>
          <w:w w:val="100"/>
        </w:rPr>
        <w:t>利润分配以外的其他所有者权益变动而确认的所有者权益，在处置该项投资时转入处置期间的当期损益。。</w:t>
      </w:r>
      <w:r>
        <w:rPr>
          <w:w w:val="100"/>
        </w:rPr>
        <w:t> </w:t>
      </w:r>
      <w:r>
        <w:rPr/>
        <w:t>其中，处置后的剩余股权根据长期股权投资准则采用成本法或权益法核算的，其他综合收益和其他所有者</w:t>
      </w:r>
      <w:r>
        <w:rPr>
          <w:w w:val="100"/>
        </w:rPr>
        <w:t> </w:t>
      </w:r>
      <w:r>
        <w:rPr/>
        <w:t>权益应按比例结转，处置后的剩余股权改按金融工具确认和计量准则进行会计处理的，其他综合收益和其</w:t>
      </w:r>
      <w:r>
        <w:rPr>
          <w:w w:val="100"/>
        </w:rPr>
        <w:t> </w:t>
      </w:r>
      <w:r>
        <w:rPr>
          <w:spacing w:val="-8"/>
          <w:w w:val="100"/>
        </w:rPr>
        <w:t>他所有者权益应全部结转。在合并财务报表中的会计处理见本附注三、（六）。</w:t>
      </w:r>
      <w:r>
        <w:rPr>
          <w:rFonts w:ascii="宋体" w:hAnsi="宋体" w:cs="宋体" w:eastAsia="宋体" w:hint="default"/>
          <w:spacing w:val="-8"/>
          <w:w w:val="100"/>
        </w:rPr>
        <w:t> </w:t>
      </w:r>
    </w:p>
    <w:p>
      <w:pPr>
        <w:pStyle w:val="BodyText"/>
        <w:spacing w:line="237" w:lineRule="auto" w:before="119"/>
        <w:ind w:right="1126" w:firstLine="420"/>
        <w:jc w:val="both"/>
        <w:rPr>
          <w:rFonts w:ascii="宋体" w:hAnsi="宋体" w:cs="宋体" w:eastAsia="宋体" w:hint="default"/>
        </w:rPr>
      </w:pPr>
      <w:r>
        <w:rPr>
          <w:spacing w:val="-2"/>
        </w:rPr>
        <w:t>购买日之前持有的股权投资，采用金融工具确认和计量准则进行会计处理的，将该股权投资的公允价</w:t>
      </w:r>
      <w:r>
        <w:rPr>
          <w:w w:val="100"/>
        </w:rPr>
        <w:t> </w:t>
      </w:r>
      <w:r>
        <w:rPr>
          <w:spacing w:val="-2"/>
        </w:rPr>
        <w:t>值加上新增投资成本之和，作为改按成本法核算的初始投资成本，原持有股权的公允价值与账面价值的差</w:t>
      </w:r>
      <w:r>
        <w:rPr>
          <w:spacing w:val="-43"/>
        </w:rPr>
        <w:t> </w:t>
      </w:r>
      <w:r>
        <w:rPr>
          <w:spacing w:val="-43"/>
        </w:rPr>
      </w:r>
      <w:r>
        <w:rPr/>
        <w:t>额与原计入其他综合收益的累计公允价值变动全部转入改按成本法核算的当期投资损益。</w:t>
      </w:r>
      <w:r>
        <w:rPr>
          <w:rFonts w:ascii="宋体" w:hAnsi="宋体" w:cs="宋体" w:eastAsia="宋体" w:hint="default"/>
        </w:rPr>
        <w:t> </w:t>
      </w:r>
    </w:p>
    <w:p>
      <w:pPr>
        <w:pStyle w:val="BodyText"/>
        <w:spacing w:line="240" w:lineRule="auto" w:before="119"/>
        <w:ind w:left="573" w:right="1133"/>
        <w:jc w:val="left"/>
        <w:rPr>
          <w:rFonts w:ascii="宋体" w:hAnsi="宋体" w:cs="宋体" w:eastAsia="宋体" w:hint="default"/>
        </w:rPr>
      </w:pPr>
      <w:r>
        <w:rPr>
          <w:rFonts w:ascii="宋体" w:hAnsi="宋体" w:cs="宋体" w:eastAsia="宋体" w:hint="default"/>
        </w:rPr>
        <w:t>3</w:t>
      </w:r>
      <w:r>
        <w:rPr/>
        <w:t>、将多次交易事项判断为一揽子交易的判断标准</w:t>
      </w:r>
      <w:r>
        <w:rPr>
          <w:rFonts w:ascii="宋体" w:hAnsi="宋体" w:cs="宋体" w:eastAsia="宋体" w:hint="default"/>
        </w:rPr>
        <w:t> </w:t>
      </w:r>
    </w:p>
    <w:p>
      <w:pPr>
        <w:pStyle w:val="BodyText"/>
        <w:spacing w:line="240" w:lineRule="auto" w:before="116"/>
        <w:ind w:left="573" w:right="1133"/>
        <w:jc w:val="left"/>
        <w:rPr>
          <w:rFonts w:ascii="宋体" w:hAnsi="宋体" w:cs="宋体" w:eastAsia="宋体" w:hint="default"/>
        </w:rPr>
      </w:pPr>
      <w:r>
        <w:rPr/>
        <w:t>本公司将多次交易事项判断为一揽子交易的判断标准如下：</w:t>
      </w:r>
      <w:r>
        <w:rPr>
          <w:rFonts w:ascii="宋体" w:hAnsi="宋体" w:cs="宋体" w:eastAsia="宋体" w:hint="default"/>
        </w:rPr>
        <w:t> </w:t>
      </w:r>
    </w:p>
    <w:p>
      <w:pPr>
        <w:pStyle w:val="BodyText"/>
        <w:spacing w:line="240" w:lineRule="auto" w:before="116"/>
        <w:ind w:left="573" w:right="1133"/>
        <w:jc w:val="left"/>
        <w:rPr>
          <w:rFonts w:ascii="宋体" w:hAnsi="宋体" w:cs="宋体" w:eastAsia="宋体" w:hint="default"/>
        </w:rPr>
      </w:pPr>
      <w:r>
        <w:rPr/>
        <w:t>（</w:t>
      </w:r>
      <w:r>
        <w:rPr>
          <w:rFonts w:ascii="宋体" w:hAnsi="宋体" w:cs="宋体" w:eastAsia="宋体" w:hint="default"/>
        </w:rPr>
        <w:t>1</w:t>
      </w:r>
      <w:r>
        <w:rPr/>
        <w:t>）这些交易是同时或者在考虑了彼此影响的情况下订立的；</w:t>
      </w:r>
      <w:r>
        <w:rPr>
          <w:rFonts w:ascii="宋体" w:hAnsi="宋体" w:cs="宋体" w:eastAsia="宋体" w:hint="default"/>
        </w:rPr>
        <w:t> </w:t>
      </w:r>
    </w:p>
    <w:p>
      <w:pPr>
        <w:pStyle w:val="BodyText"/>
        <w:spacing w:line="240" w:lineRule="auto" w:before="118"/>
        <w:ind w:left="573" w:right="1133"/>
        <w:jc w:val="left"/>
        <w:rPr>
          <w:rFonts w:ascii="宋体" w:hAnsi="宋体" w:cs="宋体" w:eastAsia="宋体" w:hint="default"/>
        </w:rPr>
      </w:pPr>
      <w:r>
        <w:rPr/>
        <w:t>（</w:t>
      </w:r>
      <w:r>
        <w:rPr>
          <w:rFonts w:ascii="宋体" w:hAnsi="宋体" w:cs="宋体" w:eastAsia="宋体" w:hint="default"/>
        </w:rPr>
        <w:t>2</w:t>
      </w:r>
      <w:r>
        <w:rPr/>
        <w:t>）这些交易整体才能达成一项完整的商业结果；</w:t>
      </w:r>
      <w:r>
        <w:rPr>
          <w:rFonts w:ascii="宋体" w:hAnsi="宋体" w:cs="宋体" w:eastAsia="宋体" w:hint="default"/>
        </w:rPr>
        <w:t> </w:t>
      </w:r>
    </w:p>
    <w:p>
      <w:pPr>
        <w:pStyle w:val="BodyText"/>
        <w:spacing w:line="240" w:lineRule="auto" w:before="116"/>
        <w:ind w:left="573" w:right="1133"/>
        <w:jc w:val="left"/>
        <w:rPr>
          <w:rFonts w:ascii="宋体" w:hAnsi="宋体" w:cs="宋体" w:eastAsia="宋体" w:hint="default"/>
        </w:rPr>
      </w:pPr>
      <w:r>
        <w:rPr/>
        <w:t>（</w:t>
      </w:r>
      <w:r>
        <w:rPr>
          <w:rFonts w:ascii="宋体" w:hAnsi="宋体" w:cs="宋体" w:eastAsia="宋体" w:hint="default"/>
        </w:rPr>
        <w:t>3</w:t>
      </w:r>
      <w:r>
        <w:rPr/>
        <w:t>）一项交易的发生取决于其他至少一项交易的发生；</w:t>
      </w:r>
      <w:r>
        <w:rPr>
          <w:rFonts w:ascii="宋体" w:hAnsi="宋体" w:cs="宋体" w:eastAsia="宋体" w:hint="default"/>
        </w:rPr>
        <w:t> </w:t>
      </w:r>
    </w:p>
    <w:p>
      <w:pPr>
        <w:pStyle w:val="BodyText"/>
        <w:spacing w:line="240" w:lineRule="auto" w:before="119"/>
        <w:ind w:left="573" w:right="1133"/>
        <w:jc w:val="left"/>
        <w:rPr>
          <w:rFonts w:ascii="宋体" w:hAnsi="宋体" w:cs="宋体" w:eastAsia="宋体" w:hint="default"/>
        </w:rPr>
      </w:pPr>
      <w:r>
        <w:rPr/>
        <w:t>（</w:t>
      </w:r>
      <w:r>
        <w:rPr>
          <w:rFonts w:ascii="宋体" w:hAnsi="宋体" w:cs="宋体" w:eastAsia="宋体" w:hint="default"/>
        </w:rPr>
        <w:t>4</w:t>
      </w:r>
      <w:r>
        <w:rPr/>
        <w:t>）一项交易单独考虑时是不经济的，但是和其他交易一并考虑时是经济的。</w:t>
      </w:r>
      <w:r>
        <w:rPr>
          <w:rFonts w:ascii="宋体" w:hAnsi="宋体" w:cs="宋体" w:eastAsia="宋体" w:hint="default"/>
        </w:rPr>
        <w:t> </w:t>
      </w:r>
    </w:p>
    <w:p>
      <w:pPr>
        <w:spacing w:line="394" w:lineRule="exact" w:before="46"/>
        <w:ind w:left="573" w:right="1133" w:hanging="209"/>
        <w:jc w:val="left"/>
        <w:rPr>
          <w:rFonts w:ascii="宋体" w:hAnsi="宋体" w:cs="宋体" w:eastAsia="宋体" w:hint="default"/>
          <w:sz w:val="21"/>
          <w:szCs w:val="21"/>
        </w:rPr>
      </w:pPr>
      <w:r>
        <w:rPr>
          <w:rFonts w:ascii="宋体" w:hAnsi="宋体" w:cs="宋体" w:eastAsia="宋体" w:hint="default"/>
          <w:b/>
          <w:bCs/>
          <w:sz w:val="21"/>
          <w:szCs w:val="21"/>
        </w:rPr>
        <w:t>（六）合并财务报表的编制方法</w:t>
      </w:r>
      <w:r>
        <w:rPr>
          <w:rFonts w:ascii="宋体" w:hAnsi="宋体" w:cs="宋体" w:eastAsia="宋体" w:hint="default"/>
          <w:b/>
          <w:bCs/>
          <w:w w:val="99"/>
          <w:sz w:val="21"/>
          <w:szCs w:val="21"/>
        </w:rPr>
        <w:t> </w:t>
      </w:r>
      <w:r>
        <w:rPr>
          <w:rFonts w:ascii="宋体" w:hAnsi="宋体" w:cs="宋体" w:eastAsia="宋体" w:hint="default"/>
          <w:spacing w:val="-2"/>
          <w:sz w:val="21"/>
          <w:szCs w:val="21"/>
        </w:rPr>
        <w:t>本公司合并财务报表的合并范围以控制为基础确定，控制是指投资方拥有被投资方的权力，通过参与</w:t>
      </w:r>
    </w:p>
    <w:p>
      <w:pPr>
        <w:pStyle w:val="BodyText"/>
        <w:spacing w:line="221" w:lineRule="exact"/>
        <w:ind w:right="819"/>
        <w:jc w:val="left"/>
      </w:pPr>
      <w:r>
        <w:rPr/>
        <w:t>被投资方的相关活动而享有可变回报，并且有能力运用对被投资方的权力影响其回报金额。相关活动，是</w:t>
      </w:r>
    </w:p>
    <w:p>
      <w:pPr>
        <w:pStyle w:val="BodyText"/>
        <w:spacing w:line="274" w:lineRule="exact"/>
        <w:ind w:right="1133"/>
        <w:jc w:val="left"/>
        <w:rPr>
          <w:rFonts w:ascii="宋体" w:hAnsi="宋体" w:cs="宋体" w:eastAsia="宋体" w:hint="default"/>
        </w:rPr>
      </w:pPr>
      <w:r>
        <w:rPr/>
        <w:t>指对被投资方的回报产生重大影响的活动。</w:t>
      </w:r>
      <w:r>
        <w:rPr>
          <w:rFonts w:ascii="宋体" w:hAnsi="宋体" w:cs="宋体" w:eastAsia="宋体" w:hint="default"/>
        </w:rPr>
        <w:t> </w:t>
      </w:r>
    </w:p>
    <w:p>
      <w:pPr>
        <w:pStyle w:val="BodyText"/>
        <w:spacing w:line="240" w:lineRule="auto" w:before="116"/>
        <w:ind w:right="819" w:firstLine="420"/>
        <w:jc w:val="left"/>
        <w:rPr>
          <w:rFonts w:ascii="宋体" w:hAnsi="宋体" w:cs="宋体" w:eastAsia="宋体" w:hint="default"/>
        </w:rPr>
      </w:pPr>
      <w:r>
        <w:rPr/>
        <w:t>被投资方的相关活动根据具体情况进行判断，通常包括商品或劳务的销售和购买、金融资产的管理、</w:t>
      </w:r>
      <w:r>
        <w:rPr>
          <w:w w:val="100"/>
        </w:rPr>
        <w:t> </w:t>
      </w:r>
      <w:r>
        <w:rPr/>
        <w:t>资产的购买和处置、研究与开发活动以及融资活动等。</w:t>
      </w:r>
      <w:r>
        <w:rPr>
          <w:rFonts w:ascii="宋体" w:hAnsi="宋体" w:cs="宋体" w:eastAsia="宋体" w:hint="default"/>
        </w:rPr>
        <w:t> </w:t>
      </w:r>
    </w:p>
    <w:p>
      <w:pPr>
        <w:pStyle w:val="BodyText"/>
        <w:spacing w:line="237" w:lineRule="auto" w:before="119"/>
        <w:ind w:right="819" w:firstLine="420"/>
        <w:jc w:val="left"/>
        <w:rPr>
          <w:rFonts w:ascii="宋体" w:hAnsi="宋体" w:cs="宋体" w:eastAsia="宋体" w:hint="default"/>
        </w:rPr>
      </w:pPr>
      <w:r>
        <w:rPr>
          <w:spacing w:val="-2"/>
        </w:rPr>
        <w:t>在综合考虑被投资方的设立目的、被投资方的相关活动以及如何对相关活动作出决策、本公司享有的</w:t>
      </w:r>
      <w:r>
        <w:rPr>
          <w:w w:val="100"/>
        </w:rPr>
        <w:t> </w:t>
      </w:r>
      <w:r>
        <w:rPr/>
        <w:t>权利是否使其目前有能力主导被投资方的相关活动、是否通过参与被投资方的相关活动而享有可变回报、</w:t>
      </w:r>
      <w:r>
        <w:rPr>
          <w:spacing w:val="-28"/>
        </w:rPr>
        <w:t> </w:t>
      </w:r>
      <w:r>
        <w:rPr>
          <w:spacing w:val="-28"/>
        </w:rPr>
      </w:r>
      <w:r>
        <w:rPr/>
        <w:t>是否有能力运用对被投资方的权力影响其回报金额以及与其他方的关系等基础上对是否控制被投资方进</w:t>
      </w:r>
      <w:r>
        <w:rPr>
          <w:w w:val="100"/>
        </w:rPr>
        <w:t> </w:t>
      </w:r>
      <w:r>
        <w:rPr/>
        <w:t>行判断。一旦相关事实和情况的变化导致控制所涉及的相关要素发生变化的，将进行重新评估。</w:t>
      </w:r>
      <w:r>
        <w:rPr>
          <w:rFonts w:ascii="宋体" w:hAnsi="宋体" w:cs="宋体" w:eastAsia="宋体" w:hint="default"/>
        </w:rPr>
        <w:t> </w:t>
      </w:r>
    </w:p>
    <w:p>
      <w:pPr>
        <w:pStyle w:val="BodyText"/>
        <w:spacing w:line="240" w:lineRule="auto" w:before="116"/>
        <w:ind w:right="1133" w:firstLine="420"/>
        <w:jc w:val="left"/>
        <w:rPr>
          <w:rFonts w:ascii="宋体" w:hAnsi="宋体" w:cs="宋体" w:eastAsia="宋体" w:hint="default"/>
        </w:rPr>
      </w:pPr>
      <w:r>
        <w:rPr>
          <w:spacing w:val="-2"/>
        </w:rPr>
        <w:t>在判断是否拥有对被投资方的权力时，仅考虑与被投资方相关的实质性权利，包括自身所享有的实质</w:t>
      </w:r>
      <w:r>
        <w:rPr>
          <w:w w:val="100"/>
        </w:rPr>
        <w:t> </w:t>
      </w:r>
      <w:r>
        <w:rPr/>
        <w:t>性权利以及其他方所享有的实质性权利。</w:t>
      </w:r>
      <w:r>
        <w:rPr>
          <w:rFonts w:ascii="宋体" w:hAnsi="宋体" w:cs="宋体" w:eastAsia="宋体" w:hint="default"/>
        </w:rPr>
        <w:t> </w:t>
      </w:r>
    </w:p>
    <w:p>
      <w:pPr>
        <w:pStyle w:val="BodyText"/>
        <w:spacing w:line="237" w:lineRule="auto" w:before="119"/>
        <w:ind w:right="1126" w:firstLine="480"/>
        <w:jc w:val="both"/>
        <w:rPr>
          <w:rFonts w:ascii="宋体" w:hAnsi="宋体" w:cs="宋体" w:eastAsia="宋体" w:hint="default"/>
        </w:rPr>
      </w:pPr>
      <w:r>
        <w:rPr>
          <w:spacing w:val="-4"/>
        </w:rPr>
        <w:t>本公司以自身和子公司的财务报表为基础，根据其他有关资料将整个企业集团视为一个会计主体，依</w:t>
      </w:r>
      <w:r>
        <w:rPr>
          <w:w w:val="100"/>
        </w:rPr>
        <w:t> </w:t>
      </w:r>
      <w:r>
        <w:rPr>
          <w:spacing w:val="-2"/>
        </w:rPr>
        <w:t>据相关企业会计准则的确认、计量和列报要求，已按照统一的会计政策及会计期间，反映企业集团整体财</w:t>
      </w:r>
      <w:r>
        <w:rPr>
          <w:spacing w:val="-42"/>
        </w:rPr>
        <w:t> </w:t>
      </w:r>
      <w:r>
        <w:rPr>
          <w:spacing w:val="-42"/>
        </w:rPr>
      </w:r>
      <w:r>
        <w:rPr>
          <w:spacing w:val="-2"/>
        </w:rPr>
        <w:t>务状况、经营成果和现金流量。合并程序具体包括：合并母公司与子公司的资产、负债、所有者权益、收</w:t>
      </w:r>
      <w:r>
        <w:rPr>
          <w:spacing w:val="-45"/>
        </w:rPr>
        <w:t> </w:t>
      </w:r>
      <w:r>
        <w:rPr>
          <w:spacing w:val="-45"/>
        </w:rPr>
      </w:r>
      <w:r>
        <w:rPr>
          <w:spacing w:val="-2"/>
        </w:rPr>
        <w:t>入、费用和现金流等项目；抵销母公司对子公司的长期股权投资与母公司在子公司所有者权益中所享有的</w:t>
      </w:r>
      <w:r>
        <w:rPr>
          <w:spacing w:val="-44"/>
        </w:rPr>
        <w:t> </w:t>
      </w:r>
      <w:r>
        <w:rPr>
          <w:spacing w:val="-44"/>
        </w:rPr>
      </w:r>
      <w:r>
        <w:rPr>
          <w:spacing w:val="-2"/>
        </w:rPr>
        <w:t>份额；抵销母公司与子公司、子公司相互之间发生的内部交易的影响，内部交易表明相关资产发生减值损</w:t>
      </w:r>
      <w:r>
        <w:rPr>
          <w:spacing w:val="-43"/>
        </w:rPr>
        <w:t> </w:t>
      </w:r>
      <w:r>
        <w:rPr>
          <w:spacing w:val="-43"/>
        </w:rPr>
      </w:r>
      <w:r>
        <w:rPr/>
        <w:t>失的，全额确认该部分损失；站在企业集团角度对特殊交易事项予以调整。</w:t>
      </w:r>
      <w:r>
        <w:rPr>
          <w:rFonts w:ascii="宋体" w:hAnsi="宋体" w:cs="宋体" w:eastAsia="宋体" w:hint="default"/>
        </w:rPr>
        <w:t> </w:t>
      </w:r>
    </w:p>
    <w:p>
      <w:pPr>
        <w:spacing w:after="0" w:line="237" w:lineRule="auto"/>
        <w:jc w:val="both"/>
        <w:rPr>
          <w:rFonts w:ascii="宋体" w:hAnsi="宋体" w:cs="宋体" w:eastAsia="宋体" w:hint="default"/>
        </w:rPr>
        <w:sectPr>
          <w:pgSz w:w="11910" w:h="16840"/>
          <w:pgMar w:header="921" w:footer="725" w:top="1160" w:bottom="920" w:left="980" w:right="0"/>
        </w:sectPr>
      </w:pPr>
    </w:p>
    <w:p>
      <w:pPr>
        <w:spacing w:line="240" w:lineRule="auto" w:before="12"/>
        <w:rPr>
          <w:rFonts w:ascii="宋体" w:hAnsi="宋体" w:cs="宋体" w:eastAsia="宋体" w:hint="default"/>
          <w:sz w:val="15"/>
          <w:szCs w:val="15"/>
        </w:rPr>
      </w:pPr>
    </w:p>
    <w:p>
      <w:pPr>
        <w:pStyle w:val="BodyText"/>
        <w:spacing w:line="272" w:lineRule="exact" w:before="64"/>
        <w:ind w:right="1126" w:firstLine="420"/>
        <w:jc w:val="both"/>
        <w:rPr>
          <w:rFonts w:ascii="宋体" w:hAnsi="宋体" w:cs="宋体" w:eastAsia="宋体" w:hint="default"/>
        </w:rPr>
      </w:pPr>
      <w:r>
        <w:rPr>
          <w:spacing w:val="-2"/>
        </w:rPr>
        <w:t>子公司所有者权益中不属于母公司的份额，作为少数股东权益，在合并资产负债表中所有者权益项目</w:t>
      </w:r>
      <w:r>
        <w:rPr>
          <w:w w:val="100"/>
        </w:rPr>
        <w:t> </w:t>
      </w:r>
      <w:r>
        <w:rPr/>
        <w:t>下以“少数股东权益”项目列示。</w:t>
      </w:r>
      <w:r>
        <w:rPr>
          <w:rFonts w:ascii="宋体" w:hAnsi="宋体" w:cs="宋体" w:eastAsia="宋体" w:hint="default"/>
        </w:rPr>
        <w:t> </w:t>
      </w:r>
    </w:p>
    <w:p>
      <w:pPr>
        <w:pStyle w:val="BodyText"/>
        <w:spacing w:line="237" w:lineRule="auto" w:before="96"/>
        <w:ind w:right="1126" w:firstLine="420"/>
        <w:jc w:val="both"/>
        <w:rPr>
          <w:rFonts w:ascii="宋体" w:hAnsi="宋体" w:cs="宋体" w:eastAsia="宋体" w:hint="default"/>
        </w:rPr>
      </w:pPr>
      <w:r>
        <w:rPr>
          <w:spacing w:val="-2"/>
        </w:rPr>
        <w:t>子公司当期净损益中属于少数股东权益的份额，在合并利润表中净利润项目下以“少数股东损益”项</w:t>
      </w:r>
      <w:r>
        <w:rPr>
          <w:w w:val="100"/>
        </w:rPr>
        <w:t> </w:t>
      </w:r>
      <w:r>
        <w:rPr>
          <w:spacing w:val="-2"/>
        </w:rPr>
        <w:t>目列示。子公司当期综合收益中属于少数股东权益的份额，在合并利润表中综合收益总额项目下以“归属</w:t>
      </w:r>
      <w:r>
        <w:rPr>
          <w:spacing w:val="-43"/>
        </w:rPr>
        <w:t> </w:t>
      </w:r>
      <w:r>
        <w:rPr>
          <w:spacing w:val="-43"/>
        </w:rPr>
      </w:r>
      <w:r>
        <w:rPr/>
        <w:t>于少数股东的综合收益总额”项目列示。</w:t>
      </w:r>
      <w:r>
        <w:rPr>
          <w:rFonts w:ascii="宋体" w:hAnsi="宋体" w:cs="宋体" w:eastAsia="宋体" w:hint="default"/>
        </w:rPr>
        <w:t> </w:t>
      </w:r>
    </w:p>
    <w:p>
      <w:pPr>
        <w:pStyle w:val="BodyText"/>
        <w:spacing w:line="240" w:lineRule="auto" w:before="116"/>
        <w:ind w:right="1126" w:firstLine="420"/>
        <w:jc w:val="both"/>
        <w:rPr>
          <w:rFonts w:ascii="宋体" w:hAnsi="宋体" w:cs="宋体" w:eastAsia="宋体" w:hint="default"/>
        </w:rPr>
      </w:pPr>
      <w:r>
        <w:rPr>
          <w:spacing w:val="-2"/>
        </w:rPr>
        <w:t>子公司少数股东分担的当期亏损超过了少数股东在该子公司期初所有者权益中所享有的份额的，其余</w:t>
      </w:r>
      <w:r>
        <w:rPr>
          <w:w w:val="100"/>
        </w:rPr>
        <w:t> </w:t>
      </w:r>
      <w:r>
        <w:rPr/>
        <w:t>额仍冲减少数股东权益。</w:t>
      </w:r>
      <w:r>
        <w:rPr>
          <w:rFonts w:ascii="宋体" w:hAnsi="宋体" w:cs="宋体" w:eastAsia="宋体" w:hint="default"/>
        </w:rPr>
        <w:t> </w:t>
      </w:r>
    </w:p>
    <w:p>
      <w:pPr>
        <w:pStyle w:val="BodyText"/>
        <w:spacing w:line="237" w:lineRule="auto" w:before="119"/>
        <w:ind w:right="1126" w:firstLine="420"/>
        <w:jc w:val="both"/>
        <w:rPr>
          <w:rFonts w:ascii="宋体" w:hAnsi="宋体" w:cs="宋体" w:eastAsia="宋体" w:hint="default"/>
        </w:rPr>
      </w:pPr>
      <w:r>
        <w:rPr>
          <w:spacing w:val="-2"/>
        </w:rPr>
        <w:t>向子公司出售资产所发生的未实现内部交易损益，全额抵销“归属于母公司所有者的净利润”。子公</w:t>
      </w:r>
      <w:r>
        <w:rPr>
          <w:w w:val="100"/>
        </w:rPr>
        <w:t> </w:t>
      </w:r>
      <w:r>
        <w:rPr>
          <w:spacing w:val="-2"/>
        </w:rPr>
        <w:t>司向母公司出售资产所发生的未实现内部交易损益，按照母公司对该子公司的分配比例在“归属于母公司</w:t>
      </w:r>
      <w:r>
        <w:rPr>
          <w:spacing w:val="-44"/>
        </w:rPr>
        <w:t> </w:t>
      </w:r>
      <w:r>
        <w:rPr>
          <w:spacing w:val="-44"/>
        </w:rPr>
      </w:r>
      <w:r>
        <w:rPr>
          <w:spacing w:val="-7"/>
        </w:rPr>
        <w:t>所有者的净利润”和“少数股东损益”之间分配抵销。子公司之间出售资产所发生的未实现内部交易损益，</w:t>
      </w:r>
      <w:r>
        <w:rPr>
          <w:spacing w:val="-18"/>
        </w:rPr>
        <w:t> </w:t>
      </w:r>
      <w:r>
        <w:rPr>
          <w:spacing w:val="-18"/>
        </w:rPr>
      </w:r>
      <w:r>
        <w:rPr>
          <w:spacing w:val="-2"/>
        </w:rPr>
        <w:t>按照母公司对出售方子公司的分配比例在“归属于母公司所有者的净利润”和“少数股东损益”之间分配</w:t>
      </w:r>
      <w:r>
        <w:rPr>
          <w:spacing w:val="-47"/>
        </w:rPr>
        <w:t> </w:t>
      </w:r>
      <w:r>
        <w:rPr>
          <w:spacing w:val="-47"/>
        </w:rPr>
      </w:r>
      <w:r>
        <w:rPr/>
        <w:t>抵销。</w:t>
      </w:r>
      <w:r>
        <w:rPr>
          <w:rFonts w:ascii="宋体" w:hAnsi="宋体" w:cs="宋体" w:eastAsia="宋体" w:hint="default"/>
        </w:rPr>
        <w:t> </w:t>
      </w:r>
    </w:p>
    <w:p>
      <w:pPr>
        <w:pStyle w:val="BodyText"/>
        <w:spacing w:line="237" w:lineRule="auto" w:before="121"/>
        <w:ind w:right="1126" w:firstLine="420"/>
        <w:jc w:val="both"/>
        <w:rPr>
          <w:rFonts w:ascii="宋体" w:hAnsi="宋体" w:cs="宋体" w:eastAsia="宋体" w:hint="default"/>
        </w:rPr>
      </w:pPr>
      <w:r>
        <w:rPr>
          <w:spacing w:val="-2"/>
        </w:rPr>
        <w:t>本公司在报告期内因同一控制下企业合并增加的子公司以及业务，编制合并报表时，调整合并资产负</w:t>
      </w:r>
      <w:r>
        <w:rPr>
          <w:w w:val="100"/>
        </w:rPr>
        <w:t> </w:t>
      </w:r>
      <w:r>
        <w:rPr>
          <w:spacing w:val="-2"/>
        </w:rPr>
        <w:t>债表的期初数，将该子公司以及业务合并当期期初至报告期末的收入、费用、利润纳入合并利润表，现金</w:t>
      </w:r>
      <w:r>
        <w:rPr>
          <w:spacing w:val="-47"/>
        </w:rPr>
        <w:t> </w:t>
      </w:r>
      <w:r>
        <w:rPr>
          <w:spacing w:val="-47"/>
        </w:rPr>
      </w:r>
      <w:r>
        <w:rPr>
          <w:spacing w:val="-2"/>
        </w:rPr>
        <w:t>流量纳入合并现金流量表，同时对比较报表的相关项目进行调整，视同合并后的报告主体自最终控制方开</w:t>
      </w:r>
      <w:r>
        <w:rPr>
          <w:spacing w:val="-43"/>
        </w:rPr>
        <w:t> </w:t>
      </w:r>
      <w:r>
        <w:rPr>
          <w:spacing w:val="-43"/>
        </w:rPr>
      </w:r>
      <w:r>
        <w:rPr/>
        <w:t>始控制时点起一直存在。</w:t>
      </w:r>
      <w:r>
        <w:rPr>
          <w:rFonts w:ascii="宋体" w:hAnsi="宋体" w:cs="宋体" w:eastAsia="宋体" w:hint="default"/>
        </w:rPr>
        <w:t> </w:t>
      </w:r>
    </w:p>
    <w:p>
      <w:pPr>
        <w:pStyle w:val="BodyText"/>
        <w:spacing w:line="237" w:lineRule="auto" w:before="121"/>
        <w:ind w:right="1126" w:firstLine="420"/>
        <w:jc w:val="both"/>
        <w:rPr>
          <w:rFonts w:ascii="宋体" w:hAnsi="宋体" w:cs="宋体" w:eastAsia="宋体" w:hint="default"/>
        </w:rPr>
      </w:pPr>
      <w:r>
        <w:rPr>
          <w:spacing w:val="-2"/>
        </w:rPr>
        <w:t>本公司在报告期内因非同一控制下企业合并或其他方式增加的子公司以及业务，编制合并资产负债表</w:t>
      </w:r>
      <w:r>
        <w:rPr>
          <w:w w:val="100"/>
        </w:rPr>
        <w:t> </w:t>
      </w:r>
      <w:r>
        <w:rPr>
          <w:spacing w:val="-2"/>
        </w:rPr>
        <w:t>时，不调整合并资产负债表的期初数，将该子公司以及业务购买日至报告期末的收入、费用、利润、现金</w:t>
      </w:r>
      <w:r>
        <w:rPr>
          <w:spacing w:val="-43"/>
        </w:rPr>
        <w:t> </w:t>
      </w:r>
      <w:r>
        <w:rPr>
          <w:spacing w:val="-43"/>
        </w:rPr>
      </w:r>
      <w:r>
        <w:rPr/>
        <w:t>流量纳入合并利润表和合并现金流量表。</w:t>
      </w:r>
      <w:r>
        <w:rPr>
          <w:rFonts w:ascii="宋体" w:hAnsi="宋体" w:cs="宋体" w:eastAsia="宋体" w:hint="default"/>
        </w:rPr>
        <w:t> </w:t>
      </w:r>
    </w:p>
    <w:p>
      <w:pPr>
        <w:pStyle w:val="BodyText"/>
        <w:spacing w:line="240" w:lineRule="auto" w:before="116"/>
        <w:ind w:right="1031" w:firstLine="420"/>
        <w:jc w:val="both"/>
        <w:rPr>
          <w:rFonts w:ascii="宋体" w:hAnsi="宋体" w:cs="宋体" w:eastAsia="宋体" w:hint="default"/>
        </w:rPr>
      </w:pPr>
      <w:r>
        <w:rPr/>
        <w:t>本公司在报告期内处置子公司以及业务，编制合并资产负债表时，不调整合并资产负债表的期初数，</w:t>
      </w:r>
      <w:r>
        <w:rPr>
          <w:w w:val="100"/>
        </w:rPr>
        <w:t> </w:t>
      </w:r>
      <w:r>
        <w:rPr/>
        <w:t>该子公司以及业务期初至处置日的收入、费用、利润纳入合并利润表，现金流量纳入合并现金流量表。</w:t>
      </w:r>
      <w:r>
        <w:rPr>
          <w:rFonts w:ascii="宋体" w:hAnsi="宋体" w:cs="宋体" w:eastAsia="宋体" w:hint="default"/>
        </w:rPr>
        <w:t> </w:t>
      </w:r>
    </w:p>
    <w:p>
      <w:pPr>
        <w:pStyle w:val="BodyText"/>
        <w:spacing w:line="237" w:lineRule="auto" w:before="119"/>
        <w:ind w:right="819" w:firstLine="420"/>
        <w:jc w:val="left"/>
        <w:rPr>
          <w:rFonts w:ascii="宋体" w:hAnsi="宋体" w:cs="宋体" w:eastAsia="宋体" w:hint="default"/>
        </w:rPr>
      </w:pPr>
      <w:r>
        <w:rPr>
          <w:spacing w:val="-2"/>
        </w:rPr>
        <w:t>母公司购买子公司少数股东拥有的子公司股权，在合并财务报表中，因购买少数股权新取得的长期股</w:t>
      </w:r>
      <w:r>
        <w:rPr>
          <w:w w:val="100"/>
        </w:rPr>
        <w:t> </w:t>
      </w:r>
      <w:r>
        <w:rPr/>
        <w:t>权投资与按照新增持股比例计算应享有子公司自购买日或合并日开始持续计算的净资产份额之间的差额，</w:t>
      </w:r>
      <w:r>
        <w:rPr>
          <w:spacing w:val="-24"/>
        </w:rPr>
        <w:t> </w:t>
      </w:r>
      <w:r>
        <w:rPr>
          <w:spacing w:val="-24"/>
        </w:rPr>
      </w:r>
      <w:r>
        <w:rPr>
          <w:spacing w:val="-5"/>
          <w:w w:val="100"/>
        </w:rPr>
        <w:t>调整资本公积（资本溢价或股本溢价），资本公积不足冲减的，调整留存收益。</w:t>
      </w:r>
      <w:r>
        <w:rPr>
          <w:rFonts w:ascii="宋体" w:hAnsi="宋体" w:cs="宋体" w:eastAsia="宋体" w:hint="default"/>
          <w:w w:val="100"/>
        </w:rPr>
        <w:t> </w:t>
      </w:r>
    </w:p>
    <w:p>
      <w:pPr>
        <w:pStyle w:val="BodyText"/>
        <w:spacing w:line="237" w:lineRule="auto" w:before="119"/>
        <w:ind w:right="1126" w:firstLine="420"/>
        <w:jc w:val="both"/>
        <w:rPr>
          <w:rFonts w:ascii="宋体" w:hAnsi="宋体" w:cs="宋体" w:eastAsia="宋体" w:hint="default"/>
        </w:rPr>
      </w:pPr>
      <w:r>
        <w:rPr>
          <w:spacing w:val="-2"/>
        </w:rPr>
        <w:t>通过多次交易分步实现的同一控制下企业合并，不属于“一揽子交易”的，取得控制权日，合并方在</w:t>
      </w:r>
      <w:r>
        <w:rPr>
          <w:w w:val="100"/>
        </w:rPr>
        <w:t> </w:t>
      </w:r>
      <w:r>
        <w:rPr>
          <w:spacing w:val="-2"/>
        </w:rPr>
        <w:t>达到合并之前持有的长期股权投资，在取得日与合并方与被合并方同处于同一方最终控制之日孰晚日与合</w:t>
      </w:r>
      <w:r>
        <w:rPr>
          <w:spacing w:val="-43"/>
        </w:rPr>
        <w:t> </w:t>
      </w:r>
      <w:r>
        <w:rPr>
          <w:spacing w:val="-43"/>
        </w:rPr>
      </w:r>
      <w:r>
        <w:rPr>
          <w:spacing w:val="-2"/>
        </w:rPr>
        <w:t>并日之间已确认有关损益、其他综合收益和其他所有者权益变动，分别冲减比较报表期间的期初留存收益</w:t>
      </w:r>
      <w:r>
        <w:rPr>
          <w:spacing w:val="-43"/>
        </w:rPr>
        <w:t> </w:t>
      </w:r>
      <w:r>
        <w:rPr>
          <w:spacing w:val="-43"/>
        </w:rPr>
      </w:r>
      <w:r>
        <w:rPr/>
        <w:t>或当期损益。</w:t>
      </w:r>
      <w:r>
        <w:rPr>
          <w:rFonts w:ascii="宋体" w:hAnsi="宋体" w:cs="宋体" w:eastAsia="宋体" w:hint="default"/>
        </w:rPr>
        <w:t> </w:t>
      </w:r>
    </w:p>
    <w:p>
      <w:pPr>
        <w:pStyle w:val="BodyText"/>
        <w:spacing w:line="237" w:lineRule="auto" w:before="119"/>
        <w:ind w:right="819" w:firstLine="420"/>
        <w:jc w:val="left"/>
        <w:rPr>
          <w:rFonts w:ascii="宋体" w:hAnsi="宋体" w:cs="宋体" w:eastAsia="宋体" w:hint="default"/>
        </w:rPr>
      </w:pPr>
      <w:r>
        <w:rPr>
          <w:spacing w:val="-2"/>
        </w:rPr>
        <w:t>通过多次交易分步实现非同一控制下企业合并，不属于“一揽子交易”的，在合并财务报表中，对于</w:t>
      </w:r>
      <w:r>
        <w:rPr>
          <w:w w:val="100"/>
        </w:rPr>
        <w:t> </w:t>
      </w:r>
      <w:r>
        <w:rPr>
          <w:spacing w:val="-2"/>
        </w:rPr>
        <w:t>购买日之前持有的被购买方的股权，按照该股权在购买日的公允价值进行重新计量，公允价值与其账面价</w:t>
      </w:r>
      <w:r>
        <w:rPr>
          <w:spacing w:val="-43"/>
        </w:rPr>
        <w:t> </w:t>
      </w:r>
      <w:r>
        <w:rPr>
          <w:spacing w:val="-43"/>
        </w:rPr>
      </w:r>
      <w:r>
        <w:rPr/>
        <w:t>值的差额计入当期投资收益；购买日之前持有的被购买方的股权涉及权益法核算下的其他综合收益等的，</w:t>
      </w:r>
      <w:r>
        <w:rPr>
          <w:spacing w:val="-24"/>
        </w:rPr>
        <w:t> </w:t>
      </w:r>
      <w:r>
        <w:rPr>
          <w:spacing w:val="-24"/>
        </w:rPr>
      </w:r>
      <w:r>
        <w:rPr>
          <w:spacing w:val="-2"/>
        </w:rPr>
        <w:t>与其相关的其他综合收益等转为购买日所属当期收益。由于被投资方重新计量设定收益计划净负债或资产</w:t>
      </w:r>
      <w:r>
        <w:rPr>
          <w:spacing w:val="-43"/>
        </w:rPr>
        <w:t> </w:t>
      </w:r>
      <w:r>
        <w:rPr>
          <w:spacing w:val="-43"/>
        </w:rPr>
      </w:r>
      <w:r>
        <w:rPr/>
        <w:t>变动而产生的其他综合收益除外。</w:t>
      </w:r>
      <w:r>
        <w:rPr>
          <w:rFonts w:ascii="宋体" w:hAnsi="宋体" w:cs="宋体" w:eastAsia="宋体" w:hint="default"/>
        </w:rPr>
        <w:t> </w:t>
      </w:r>
    </w:p>
    <w:p>
      <w:pPr>
        <w:pStyle w:val="BodyText"/>
        <w:spacing w:line="237" w:lineRule="auto" w:before="121"/>
        <w:ind w:right="1126" w:firstLine="420"/>
        <w:jc w:val="both"/>
        <w:rPr>
          <w:rFonts w:ascii="宋体" w:hAnsi="宋体" w:cs="宋体" w:eastAsia="宋体" w:hint="default"/>
        </w:rPr>
      </w:pPr>
      <w:r>
        <w:rPr>
          <w:spacing w:val="-2"/>
        </w:rPr>
        <w:t>母公司在不丧失控制权的情况下部分处置对子公司的长期股权投资，在合并财务报表中，处置价款与</w:t>
      </w:r>
      <w:r>
        <w:rPr>
          <w:w w:val="100"/>
        </w:rPr>
        <w:t> </w:t>
      </w:r>
      <w:r>
        <w:rPr>
          <w:spacing w:val="-2"/>
        </w:rPr>
        <w:t>处置长期股权投资相对应享有子公司自购买日或合并日开始持续计算的净资产份额之间的差额，调整资本</w:t>
      </w:r>
      <w:r>
        <w:rPr>
          <w:spacing w:val="-43"/>
        </w:rPr>
        <w:t> </w:t>
      </w:r>
      <w:r>
        <w:rPr>
          <w:spacing w:val="-43"/>
        </w:rPr>
      </w:r>
      <w:r>
        <w:rPr>
          <w:spacing w:val="-5"/>
          <w:w w:val="100"/>
        </w:rPr>
        <w:t>公积（资本溢价或股本溢价），资本公积不足冲减的，调整留存收益。</w:t>
      </w:r>
      <w:r>
        <w:rPr>
          <w:rFonts w:ascii="宋体" w:hAnsi="宋体" w:cs="宋体" w:eastAsia="宋体" w:hint="default"/>
          <w:w w:val="100"/>
        </w:rPr>
        <w:t> </w:t>
      </w:r>
    </w:p>
    <w:p>
      <w:pPr>
        <w:pStyle w:val="BodyText"/>
        <w:spacing w:line="237" w:lineRule="auto" w:before="119"/>
        <w:ind w:right="819" w:firstLine="420"/>
        <w:jc w:val="left"/>
        <w:rPr>
          <w:rFonts w:ascii="宋体" w:hAnsi="宋体" w:cs="宋体" w:eastAsia="宋体" w:hint="default"/>
        </w:rPr>
      </w:pPr>
      <w:r>
        <w:rPr/>
        <w:t>因处置部分股权投资等原因丧失了对被投资方的控制权的，在编制合并财务报表时，对于剩余股权，</w:t>
      </w:r>
      <w:r>
        <w:rPr>
          <w:w w:val="100"/>
        </w:rPr>
        <w:t> </w:t>
      </w:r>
      <w:r>
        <w:rPr>
          <w:spacing w:val="-2"/>
        </w:rPr>
        <w:t>按照其在丧失控制权日的公允价值进行重新计量。处置股权取得的对价与剩余股权公允价值之和，减去按</w:t>
      </w:r>
      <w:r>
        <w:rPr>
          <w:spacing w:val="-43"/>
        </w:rPr>
        <w:t> </w:t>
      </w:r>
      <w:r>
        <w:rPr>
          <w:spacing w:val="-43"/>
        </w:rPr>
      </w:r>
      <w:r>
        <w:rPr>
          <w:spacing w:val="-2"/>
        </w:rPr>
        <w:t>原持股比例计算应享有原有子公司自购买日或合并日开始持续计算的净资产的份额之间的差额，计入丧失</w:t>
      </w:r>
      <w:r>
        <w:rPr>
          <w:spacing w:val="-43"/>
        </w:rPr>
        <w:t> </w:t>
      </w:r>
      <w:r>
        <w:rPr>
          <w:spacing w:val="-43"/>
        </w:rPr>
      </w:r>
      <w:r>
        <w:rPr>
          <w:spacing w:val="-2"/>
        </w:rPr>
        <w:t>控制权当期的投资收益，同时冲减商誉。与原有子公司股权投资相关的其他综合收益等，在丧失控制权时</w:t>
      </w:r>
      <w:r>
        <w:rPr>
          <w:spacing w:val="-43"/>
        </w:rPr>
        <w:t> </w:t>
      </w:r>
      <w:r>
        <w:rPr>
          <w:spacing w:val="-43"/>
        </w:rPr>
      </w:r>
      <w:r>
        <w:rPr/>
        <w:t>转为当期投资收益。</w:t>
      </w:r>
      <w:r>
        <w:rPr>
          <w:rFonts w:ascii="宋体" w:hAnsi="宋体" w:cs="宋体" w:eastAsia="宋体" w:hint="default"/>
        </w:rPr>
        <w:t> </w:t>
      </w:r>
    </w:p>
    <w:p>
      <w:pPr>
        <w:pStyle w:val="BodyText"/>
        <w:spacing w:line="237" w:lineRule="auto" w:before="121"/>
        <w:ind w:right="819" w:firstLine="420"/>
        <w:jc w:val="left"/>
        <w:rPr>
          <w:rFonts w:ascii="宋体" w:hAnsi="宋体" w:cs="宋体" w:eastAsia="宋体" w:hint="default"/>
        </w:rPr>
      </w:pPr>
      <w:r>
        <w:rPr>
          <w:spacing w:val="-2"/>
        </w:rPr>
        <w:t>通过多次交易分步处置对子公司股权投资直至丧失控制权的，如果处置对子公司股权投资直至丧失控</w:t>
      </w:r>
      <w:r>
        <w:rPr>
          <w:w w:val="100"/>
        </w:rPr>
        <w:t> </w:t>
      </w:r>
      <w:r>
        <w:rPr/>
        <w:t>制权的各项交易属于一揽子交易的，将各项交易作为一项处置子公司并丧失控制权的交易进行会计处理；</w:t>
      </w:r>
      <w:r>
        <w:rPr>
          <w:spacing w:val="-22"/>
        </w:rPr>
        <w:t> </w:t>
      </w:r>
      <w:r>
        <w:rPr>
          <w:spacing w:val="-22"/>
        </w:rPr>
      </w:r>
      <w:r>
        <w:rPr>
          <w:spacing w:val="-2"/>
        </w:rPr>
        <w:t>但是，在丧失控制权之前每一次处置价款与处置投资对应的享有该子公司净资产份额的差额，在合并财务</w:t>
      </w:r>
      <w:r>
        <w:rPr>
          <w:spacing w:val="-43"/>
        </w:rPr>
        <w:t> </w:t>
      </w:r>
      <w:r>
        <w:rPr>
          <w:spacing w:val="-43"/>
        </w:rPr>
      </w:r>
      <w:r>
        <w:rPr/>
        <w:t>报表中确认为其他综合收益，在丧失控制权时一并转入丧失控制权当期的损益。</w:t>
      </w:r>
      <w:r>
        <w:rPr>
          <w:rFonts w:ascii="宋体" w:hAnsi="宋体" w:cs="宋体" w:eastAsia="宋体" w:hint="default"/>
        </w:rPr>
        <w:t> </w:t>
      </w:r>
    </w:p>
    <w:p>
      <w:pPr>
        <w:spacing w:after="0" w:line="237" w:lineRule="auto"/>
        <w:jc w:val="left"/>
        <w:rPr>
          <w:rFonts w:ascii="宋体" w:hAnsi="宋体" w:cs="宋体" w:eastAsia="宋体" w:hint="default"/>
        </w:rPr>
        <w:sectPr>
          <w:pgSz w:w="11910" w:h="16840"/>
          <w:pgMar w:header="921" w:footer="725" w:top="1160" w:bottom="920" w:left="980" w:right="0"/>
        </w:sectPr>
      </w:pPr>
    </w:p>
    <w:p>
      <w:pPr>
        <w:spacing w:line="240" w:lineRule="auto" w:before="12"/>
        <w:rPr>
          <w:rFonts w:ascii="宋体" w:hAnsi="宋体" w:cs="宋体" w:eastAsia="宋体" w:hint="default"/>
          <w:sz w:val="15"/>
          <w:szCs w:val="15"/>
        </w:rPr>
      </w:pPr>
    </w:p>
    <w:p>
      <w:pPr>
        <w:pStyle w:val="BodyText"/>
        <w:spacing w:line="240" w:lineRule="auto" w:before="36"/>
        <w:ind w:left="573" w:right="1133"/>
        <w:jc w:val="left"/>
        <w:rPr>
          <w:rFonts w:ascii="宋体" w:hAnsi="宋体" w:cs="宋体" w:eastAsia="宋体" w:hint="default"/>
        </w:rPr>
      </w:pPr>
      <w:r>
        <w:rPr/>
        <w:t>合并所有者权益变动表根据合并资产负债表和合并利润表编制。</w:t>
      </w:r>
      <w:r>
        <w:rPr>
          <w:rFonts w:ascii="宋体" w:hAnsi="宋体" w:cs="宋体" w:eastAsia="宋体" w:hint="default"/>
        </w:rPr>
        <w:t> </w:t>
      </w:r>
    </w:p>
    <w:p>
      <w:pPr>
        <w:spacing w:line="394" w:lineRule="exact" w:before="47"/>
        <w:ind w:left="573" w:right="1133" w:hanging="209"/>
        <w:jc w:val="left"/>
        <w:rPr>
          <w:rFonts w:ascii="宋体" w:hAnsi="宋体" w:cs="宋体" w:eastAsia="宋体" w:hint="default"/>
          <w:sz w:val="21"/>
          <w:szCs w:val="21"/>
        </w:rPr>
      </w:pPr>
      <w:r>
        <w:rPr>
          <w:rFonts w:ascii="宋体" w:hAnsi="宋体" w:cs="宋体" w:eastAsia="宋体" w:hint="default"/>
          <w:b/>
          <w:bCs/>
          <w:sz w:val="21"/>
          <w:szCs w:val="21"/>
        </w:rPr>
        <w:t>（七）合营安排的分类及共同经营的会计处理方法</w:t>
      </w:r>
      <w:r>
        <w:rPr>
          <w:rFonts w:ascii="宋体" w:hAnsi="宋体" w:cs="宋体" w:eastAsia="宋体" w:hint="default"/>
          <w:b/>
          <w:bCs/>
          <w:w w:val="99"/>
          <w:sz w:val="21"/>
          <w:szCs w:val="21"/>
        </w:rPr>
        <w:t> </w:t>
      </w:r>
      <w:r>
        <w:rPr>
          <w:rFonts w:ascii="宋体" w:hAnsi="宋体" w:cs="宋体" w:eastAsia="宋体" w:hint="default"/>
          <w:spacing w:val="-2"/>
          <w:sz w:val="21"/>
          <w:szCs w:val="21"/>
        </w:rPr>
        <w:t>合营安排指一项由两个或两个以上的参与方共同控制的安排。共同控制，是指按照相关约定对某项安</w:t>
      </w:r>
    </w:p>
    <w:p>
      <w:pPr>
        <w:pStyle w:val="BodyText"/>
        <w:spacing w:line="221" w:lineRule="exact"/>
        <w:ind w:right="819"/>
        <w:jc w:val="left"/>
      </w:pPr>
      <w:r>
        <w:rPr/>
        <w:t>排所共有的控制，并且该安排的相关活动必须经过分享控制权的参与方一致同意后才能决策。在判断是否</w:t>
      </w:r>
    </w:p>
    <w:p>
      <w:pPr>
        <w:pStyle w:val="BodyText"/>
        <w:spacing w:line="272" w:lineRule="exact" w:before="27"/>
        <w:ind w:right="1133"/>
        <w:jc w:val="left"/>
        <w:rPr>
          <w:rFonts w:ascii="宋体" w:hAnsi="宋体" w:cs="宋体" w:eastAsia="宋体" w:hint="default"/>
        </w:rPr>
      </w:pPr>
      <w:r>
        <w:rPr>
          <w:spacing w:val="-2"/>
        </w:rPr>
        <w:t>存在共同控制时，应该首先判断所有参与方或参与方组合是否集体控制该安排，其次判断该安排相关活动</w:t>
      </w:r>
      <w:r>
        <w:rPr>
          <w:spacing w:val="-44"/>
        </w:rPr>
        <w:t> </w:t>
      </w:r>
      <w:r>
        <w:rPr>
          <w:spacing w:val="-44"/>
        </w:rPr>
      </w:r>
      <w:r>
        <w:rPr/>
        <w:t>的决策是否必须经过这些集体控制该安排的参与方一致同意。</w:t>
      </w:r>
      <w:r>
        <w:rPr>
          <w:rFonts w:ascii="宋体" w:hAnsi="宋体" w:cs="宋体" w:eastAsia="宋体" w:hint="default"/>
        </w:rPr>
        <w:t> </w:t>
      </w:r>
    </w:p>
    <w:p>
      <w:pPr>
        <w:pStyle w:val="BodyText"/>
        <w:spacing w:line="272" w:lineRule="exact" w:before="121"/>
        <w:ind w:right="1133" w:firstLine="420"/>
        <w:jc w:val="left"/>
        <w:rPr>
          <w:rFonts w:ascii="宋体" w:hAnsi="宋体" w:cs="宋体" w:eastAsia="宋体" w:hint="default"/>
        </w:rPr>
      </w:pPr>
      <w:r>
        <w:rPr>
          <w:spacing w:val="-2"/>
        </w:rPr>
        <w:t>本公司根据在合营安排中享有的权利和承担的义务确定合营安排的分类。合营安排分为共同经营和合</w:t>
      </w:r>
      <w:r>
        <w:rPr>
          <w:w w:val="100"/>
        </w:rPr>
        <w:t> </w:t>
      </w:r>
      <w:r>
        <w:rPr/>
        <w:t>营企业。</w:t>
      </w:r>
      <w:r>
        <w:rPr>
          <w:rFonts w:ascii="宋体" w:hAnsi="宋体" w:cs="宋体" w:eastAsia="宋体" w:hint="default"/>
        </w:rPr>
        <w:t> </w:t>
      </w:r>
    </w:p>
    <w:p>
      <w:pPr>
        <w:pStyle w:val="BodyText"/>
        <w:spacing w:line="272" w:lineRule="exact" w:before="121"/>
        <w:ind w:right="1133" w:firstLine="420"/>
        <w:jc w:val="left"/>
        <w:rPr>
          <w:rFonts w:ascii="宋体" w:hAnsi="宋体" w:cs="宋体" w:eastAsia="宋体" w:hint="default"/>
        </w:rPr>
      </w:pPr>
      <w:r>
        <w:rPr>
          <w:spacing w:val="-2"/>
        </w:rPr>
        <w:t>共同经营，是指合营方享有该安排相关资产且承担该安排相关负债的合营安排。本公司确认其与共同</w:t>
      </w:r>
      <w:r>
        <w:rPr>
          <w:w w:val="100"/>
        </w:rPr>
        <w:t> </w:t>
      </w:r>
      <w:r>
        <w:rPr/>
        <w:t>经营中利益份额相关的下列项目，并按照相关企业会计准则的规定进行会计处理：</w:t>
      </w:r>
      <w:r>
        <w:rPr>
          <w:rFonts w:ascii="宋体" w:hAnsi="宋体" w:cs="宋体" w:eastAsia="宋体" w:hint="default"/>
        </w:rPr>
        <w:t> </w:t>
      </w:r>
    </w:p>
    <w:p>
      <w:pPr>
        <w:pStyle w:val="BodyText"/>
        <w:spacing w:line="240" w:lineRule="auto" w:before="94"/>
        <w:ind w:left="580" w:right="1133"/>
        <w:jc w:val="left"/>
        <w:rPr>
          <w:rFonts w:ascii="宋体" w:hAnsi="宋体" w:cs="宋体" w:eastAsia="宋体" w:hint="default"/>
        </w:rPr>
      </w:pPr>
      <w:r>
        <w:rPr>
          <w:rFonts w:ascii="宋体" w:hAnsi="宋体" w:cs="宋体" w:eastAsia="宋体" w:hint="default"/>
        </w:rPr>
        <w:t>1</w:t>
      </w:r>
      <w:r>
        <w:rPr/>
        <w:t>、确认单独所持有的资产，以及按其份额确认共同持有的资产；</w:t>
      </w:r>
      <w:r>
        <w:rPr>
          <w:rFonts w:ascii="宋体" w:hAnsi="宋体" w:cs="宋体" w:eastAsia="宋体" w:hint="default"/>
        </w:rPr>
        <w:t> </w:t>
      </w:r>
    </w:p>
    <w:p>
      <w:pPr>
        <w:pStyle w:val="BodyText"/>
        <w:spacing w:line="240" w:lineRule="auto" w:before="116"/>
        <w:ind w:left="580" w:right="1133"/>
        <w:jc w:val="left"/>
        <w:rPr>
          <w:rFonts w:ascii="宋体" w:hAnsi="宋体" w:cs="宋体" w:eastAsia="宋体" w:hint="default"/>
        </w:rPr>
      </w:pPr>
      <w:r>
        <w:rPr>
          <w:rFonts w:ascii="宋体" w:hAnsi="宋体" w:cs="宋体" w:eastAsia="宋体" w:hint="default"/>
        </w:rPr>
        <w:t>2</w:t>
      </w:r>
      <w:r>
        <w:rPr/>
        <w:t>、确认单独所承担的负债，以及按其份额确认共同承担的负债；</w:t>
      </w:r>
      <w:r>
        <w:rPr>
          <w:rFonts w:ascii="宋体" w:hAnsi="宋体" w:cs="宋体" w:eastAsia="宋体" w:hint="default"/>
        </w:rPr>
        <w:t> </w:t>
      </w:r>
    </w:p>
    <w:p>
      <w:pPr>
        <w:pStyle w:val="BodyText"/>
        <w:spacing w:line="240" w:lineRule="auto" w:before="119"/>
        <w:ind w:left="580" w:right="1133"/>
        <w:jc w:val="left"/>
        <w:rPr>
          <w:rFonts w:ascii="宋体" w:hAnsi="宋体" w:cs="宋体" w:eastAsia="宋体" w:hint="default"/>
        </w:rPr>
      </w:pPr>
      <w:r>
        <w:rPr>
          <w:rFonts w:ascii="宋体" w:hAnsi="宋体" w:cs="宋体" w:eastAsia="宋体" w:hint="default"/>
        </w:rPr>
        <w:t>3</w:t>
      </w:r>
      <w:r>
        <w:rPr/>
        <w:t>、确认出售其享有的共同经营产出份额所产生的收入；</w:t>
      </w:r>
      <w:r>
        <w:rPr>
          <w:rFonts w:ascii="宋体" w:hAnsi="宋体" w:cs="宋体" w:eastAsia="宋体" w:hint="default"/>
        </w:rPr>
        <w:t> </w:t>
      </w:r>
    </w:p>
    <w:p>
      <w:pPr>
        <w:pStyle w:val="BodyText"/>
        <w:spacing w:line="240" w:lineRule="auto" w:before="116"/>
        <w:ind w:left="580" w:right="1133"/>
        <w:jc w:val="left"/>
        <w:rPr>
          <w:rFonts w:ascii="宋体" w:hAnsi="宋体" w:cs="宋体" w:eastAsia="宋体" w:hint="default"/>
        </w:rPr>
      </w:pPr>
      <w:r>
        <w:rPr>
          <w:rFonts w:ascii="宋体" w:hAnsi="宋体" w:cs="宋体" w:eastAsia="宋体" w:hint="default"/>
        </w:rPr>
        <w:t>4</w:t>
      </w:r>
      <w:r>
        <w:rPr/>
        <w:t>、按其份额确认共同经营因出售产出所产生的收入；</w:t>
      </w:r>
      <w:r>
        <w:rPr>
          <w:rFonts w:ascii="宋体" w:hAnsi="宋体" w:cs="宋体" w:eastAsia="宋体" w:hint="default"/>
        </w:rPr>
        <w:t> </w:t>
      </w:r>
    </w:p>
    <w:p>
      <w:pPr>
        <w:pStyle w:val="BodyText"/>
        <w:spacing w:line="240" w:lineRule="auto" w:before="118"/>
        <w:ind w:left="580" w:right="1133"/>
        <w:jc w:val="left"/>
        <w:rPr>
          <w:rFonts w:ascii="宋体" w:hAnsi="宋体" w:cs="宋体" w:eastAsia="宋体" w:hint="default"/>
        </w:rPr>
      </w:pPr>
      <w:r>
        <w:rPr>
          <w:rFonts w:ascii="宋体" w:hAnsi="宋体" w:cs="宋体" w:eastAsia="宋体" w:hint="default"/>
        </w:rPr>
        <w:t>5</w:t>
      </w:r>
      <w:r>
        <w:rPr/>
        <w:t>、确认单独所发生的费用，以及按其份额确认共同经营发生的费用。</w:t>
      </w:r>
      <w:r>
        <w:rPr>
          <w:rFonts w:ascii="宋体" w:hAnsi="宋体" w:cs="宋体" w:eastAsia="宋体" w:hint="default"/>
        </w:rPr>
        <w:t> </w:t>
      </w:r>
    </w:p>
    <w:p>
      <w:pPr>
        <w:spacing w:line="394" w:lineRule="exact" w:before="46"/>
        <w:ind w:left="573" w:right="1133" w:hanging="209"/>
        <w:jc w:val="left"/>
        <w:rPr>
          <w:rFonts w:ascii="宋体" w:hAnsi="宋体" w:cs="宋体" w:eastAsia="宋体" w:hint="default"/>
          <w:sz w:val="21"/>
          <w:szCs w:val="21"/>
        </w:rPr>
      </w:pPr>
      <w:r>
        <w:rPr>
          <w:rFonts w:ascii="宋体" w:hAnsi="宋体" w:cs="宋体" w:eastAsia="宋体" w:hint="default"/>
          <w:b/>
          <w:bCs/>
          <w:sz w:val="21"/>
          <w:szCs w:val="21"/>
        </w:rPr>
        <w:t>（八）现金及现金等价物的确定标准</w:t>
      </w:r>
      <w:r>
        <w:rPr>
          <w:rFonts w:ascii="宋体" w:hAnsi="宋体" w:cs="宋体" w:eastAsia="宋体" w:hint="default"/>
          <w:b/>
          <w:bCs/>
          <w:w w:val="99"/>
          <w:sz w:val="21"/>
          <w:szCs w:val="21"/>
        </w:rPr>
        <w:t> </w:t>
      </w:r>
      <w:r>
        <w:rPr>
          <w:rFonts w:ascii="宋体" w:hAnsi="宋体" w:cs="宋体" w:eastAsia="宋体" w:hint="default"/>
          <w:spacing w:val="-2"/>
          <w:sz w:val="21"/>
          <w:szCs w:val="21"/>
        </w:rPr>
        <w:t>在编制现金流量表时，将库存现金以及可以随时用于支付的存款确认为现金。现金等价物是指持有的</w:t>
      </w:r>
    </w:p>
    <w:p>
      <w:pPr>
        <w:pStyle w:val="BodyText"/>
        <w:spacing w:line="221" w:lineRule="exact"/>
        <w:ind w:right="819"/>
        <w:jc w:val="left"/>
      </w:pPr>
      <w:r>
        <w:rPr>
          <w:spacing w:val="2"/>
          <w:w w:val="100"/>
        </w:rPr>
        <w:t>期</w:t>
      </w:r>
      <w:r>
        <w:rPr>
          <w:w w:val="100"/>
        </w:rPr>
        <w:t>限短（</w:t>
      </w:r>
      <w:r>
        <w:rPr>
          <w:spacing w:val="2"/>
          <w:w w:val="100"/>
        </w:rPr>
        <w:t>一</w:t>
      </w:r>
      <w:r>
        <w:rPr>
          <w:w w:val="100"/>
        </w:rPr>
        <w:t>般是指</w:t>
      </w:r>
      <w:r>
        <w:rPr>
          <w:spacing w:val="2"/>
          <w:w w:val="100"/>
        </w:rPr>
        <w:t>从</w:t>
      </w:r>
      <w:r>
        <w:rPr>
          <w:w w:val="100"/>
        </w:rPr>
        <w:t>购买</w:t>
      </w:r>
      <w:r>
        <w:rPr>
          <w:spacing w:val="2"/>
          <w:w w:val="100"/>
        </w:rPr>
        <w:t>日</w:t>
      </w:r>
      <w:r>
        <w:rPr>
          <w:w w:val="100"/>
        </w:rPr>
        <w:t>起三个</w:t>
      </w:r>
      <w:r>
        <w:rPr>
          <w:spacing w:val="2"/>
          <w:w w:val="100"/>
        </w:rPr>
        <w:t>月</w:t>
      </w:r>
      <w:r>
        <w:rPr>
          <w:w w:val="100"/>
        </w:rPr>
        <w:t>内到</w:t>
      </w:r>
      <w:r>
        <w:rPr>
          <w:spacing w:val="2"/>
          <w:w w:val="100"/>
        </w:rPr>
        <w:t>期</w:t>
      </w:r>
      <w:r>
        <w:rPr>
          <w:spacing w:val="-106"/>
          <w:w w:val="100"/>
        </w:rPr>
        <w:t>）</w:t>
      </w:r>
      <w:r>
        <w:rPr>
          <w:w w:val="100"/>
        </w:rPr>
        <w:t>、</w:t>
      </w:r>
      <w:r>
        <w:rPr>
          <w:spacing w:val="2"/>
          <w:w w:val="100"/>
        </w:rPr>
        <w:t>流</w:t>
      </w:r>
      <w:r>
        <w:rPr>
          <w:w w:val="100"/>
        </w:rPr>
        <w:t>动</w:t>
      </w:r>
      <w:r>
        <w:rPr>
          <w:spacing w:val="2"/>
          <w:w w:val="100"/>
        </w:rPr>
        <w:t>性</w:t>
      </w:r>
      <w:r>
        <w:rPr>
          <w:w w:val="100"/>
        </w:rPr>
        <w:t>强、易</w:t>
      </w:r>
      <w:r>
        <w:rPr>
          <w:spacing w:val="2"/>
          <w:w w:val="100"/>
        </w:rPr>
        <w:t>于</w:t>
      </w:r>
      <w:r>
        <w:rPr>
          <w:w w:val="100"/>
        </w:rPr>
        <w:t>转换为</w:t>
      </w:r>
      <w:r>
        <w:rPr>
          <w:spacing w:val="2"/>
          <w:w w:val="100"/>
        </w:rPr>
        <w:t>已</w:t>
      </w:r>
      <w:r>
        <w:rPr>
          <w:w w:val="100"/>
        </w:rPr>
        <w:t>知金</w:t>
      </w:r>
      <w:r>
        <w:rPr>
          <w:spacing w:val="2"/>
          <w:w w:val="100"/>
        </w:rPr>
        <w:t>额</w:t>
      </w:r>
      <w:r>
        <w:rPr>
          <w:w w:val="100"/>
        </w:rPr>
        <w:t>现金及</w:t>
      </w:r>
      <w:r>
        <w:rPr>
          <w:spacing w:val="2"/>
          <w:w w:val="100"/>
        </w:rPr>
        <w:t>价</w:t>
      </w:r>
      <w:r>
        <w:rPr>
          <w:w w:val="100"/>
        </w:rPr>
        <w:t>值变动</w:t>
      </w:r>
      <w:r>
        <w:rPr>
          <w:spacing w:val="2"/>
          <w:w w:val="100"/>
        </w:rPr>
        <w:t>风</w:t>
      </w:r>
      <w:r>
        <w:rPr>
          <w:w w:val="100"/>
        </w:rPr>
        <w:t>险很小</w:t>
      </w:r>
    </w:p>
    <w:p>
      <w:pPr>
        <w:pStyle w:val="BodyText"/>
        <w:spacing w:line="274" w:lineRule="exact"/>
        <w:ind w:right="1133"/>
        <w:jc w:val="left"/>
        <w:rPr>
          <w:rFonts w:ascii="宋体" w:hAnsi="宋体" w:cs="宋体" w:eastAsia="宋体" w:hint="default"/>
        </w:rPr>
      </w:pPr>
      <w:r>
        <w:rPr/>
        <w:t>的投资。</w:t>
      </w:r>
      <w:r>
        <w:rPr>
          <w:rFonts w:ascii="宋体" w:hAnsi="宋体" w:cs="宋体" w:eastAsia="宋体" w:hint="default"/>
        </w:rPr>
        <w:t> </w:t>
      </w:r>
    </w:p>
    <w:p>
      <w:pPr>
        <w:spacing w:line="343" w:lineRule="auto" w:before="116"/>
        <w:ind w:left="573" w:right="7341" w:hanging="209"/>
        <w:jc w:val="left"/>
        <w:rPr>
          <w:rFonts w:ascii="宋体" w:hAnsi="宋体" w:cs="宋体" w:eastAsia="宋体" w:hint="default"/>
          <w:sz w:val="21"/>
          <w:szCs w:val="21"/>
        </w:rPr>
      </w:pPr>
      <w:r>
        <w:rPr>
          <w:rFonts w:ascii="宋体" w:hAnsi="宋体" w:cs="宋体" w:eastAsia="宋体" w:hint="default"/>
          <w:b/>
          <w:bCs/>
          <w:sz w:val="21"/>
          <w:szCs w:val="21"/>
        </w:rPr>
        <w:t>（九）外币业务和外币报表折算</w:t>
      </w:r>
      <w:r>
        <w:rPr>
          <w:rFonts w:ascii="宋体" w:hAnsi="宋体" w:cs="宋体" w:eastAsia="宋体" w:hint="default"/>
          <w:b/>
          <w:bCs/>
          <w:w w:val="99"/>
          <w:sz w:val="21"/>
          <w:szCs w:val="21"/>
        </w:rPr>
        <w:t> </w:t>
      </w:r>
      <w:r>
        <w:rPr>
          <w:rFonts w:ascii="宋体" w:hAnsi="宋体" w:cs="宋体" w:eastAsia="宋体" w:hint="default"/>
          <w:sz w:val="21"/>
          <w:szCs w:val="21"/>
        </w:rPr>
        <w:t>1</w:t>
      </w:r>
      <w:r>
        <w:rPr>
          <w:rFonts w:ascii="宋体" w:hAnsi="宋体" w:cs="宋体" w:eastAsia="宋体" w:hint="default"/>
          <w:sz w:val="21"/>
          <w:szCs w:val="21"/>
        </w:rPr>
        <w:t>、外币业务折算</w:t>
      </w:r>
      <w:r>
        <w:rPr>
          <w:rFonts w:ascii="宋体" w:hAnsi="宋体" w:cs="宋体" w:eastAsia="宋体" w:hint="default"/>
          <w:sz w:val="21"/>
          <w:szCs w:val="21"/>
        </w:rPr>
        <w:t> </w:t>
      </w:r>
    </w:p>
    <w:p>
      <w:pPr>
        <w:pStyle w:val="BodyText"/>
        <w:spacing w:line="240" w:lineRule="auto" w:before="26"/>
        <w:ind w:left="573" w:right="1133"/>
        <w:jc w:val="left"/>
        <w:rPr>
          <w:rFonts w:ascii="宋体" w:hAnsi="宋体" w:cs="宋体" w:eastAsia="宋体" w:hint="default"/>
        </w:rPr>
      </w:pPr>
      <w:r>
        <w:rPr/>
        <w:t>外币业务采用交易发生日的即期汇率作为折算汇率将外币金额折合成人民币记账。</w:t>
      </w:r>
      <w:r>
        <w:rPr>
          <w:rFonts w:ascii="宋体" w:hAnsi="宋体" w:cs="宋体" w:eastAsia="宋体" w:hint="default"/>
        </w:rPr>
        <w:t> </w:t>
      </w:r>
    </w:p>
    <w:p>
      <w:pPr>
        <w:pStyle w:val="BodyText"/>
        <w:spacing w:line="237" w:lineRule="auto" w:before="119"/>
        <w:ind w:right="1126" w:firstLine="420"/>
        <w:jc w:val="both"/>
        <w:rPr>
          <w:rFonts w:ascii="宋体" w:hAnsi="宋体" w:cs="宋体" w:eastAsia="宋体" w:hint="default"/>
        </w:rPr>
      </w:pPr>
      <w:r>
        <w:rPr>
          <w:spacing w:val="-2"/>
        </w:rPr>
        <w:t>外币货币性项目余额按资产负债表日即期汇率折算，由此产生的汇兑差额，除属于与购建符合资本化</w:t>
      </w:r>
      <w:r>
        <w:rPr>
          <w:w w:val="100"/>
        </w:rPr>
        <w:t> </w:t>
      </w:r>
      <w:r>
        <w:rPr>
          <w:spacing w:val="-2"/>
        </w:rPr>
        <w:t>条件的资产相关的外币专门借款产生的汇兑差额按照借款费用资本化的原则处理外，均计入当期损益。以</w:t>
      </w:r>
      <w:r>
        <w:rPr>
          <w:spacing w:val="-44"/>
        </w:rPr>
        <w:t> </w:t>
      </w:r>
      <w:r>
        <w:rPr>
          <w:spacing w:val="-44"/>
        </w:rPr>
      </w:r>
      <w:r>
        <w:rPr>
          <w:spacing w:val="-2"/>
        </w:rPr>
        <w:t>历史成本计量的外币非货币性项目，仍采用交易发生日的即期汇率折算，不改变其记账本位币金额。以公</w:t>
      </w:r>
      <w:r>
        <w:rPr>
          <w:spacing w:val="-44"/>
        </w:rPr>
        <w:t> </w:t>
      </w:r>
      <w:r>
        <w:rPr>
          <w:spacing w:val="-44"/>
        </w:rPr>
      </w:r>
      <w:r>
        <w:rPr>
          <w:spacing w:val="-2"/>
        </w:rPr>
        <w:t>允价值计量的外币非货币性项目，采用公允价值确定日的即期汇率折算，由此产生的汇兑差额计入当期损</w:t>
      </w:r>
      <w:r>
        <w:rPr>
          <w:spacing w:val="-44"/>
        </w:rPr>
        <w:t> </w:t>
      </w:r>
      <w:r>
        <w:rPr>
          <w:spacing w:val="-44"/>
        </w:rPr>
      </w:r>
      <w:r>
        <w:rPr/>
        <w:t>益或其他综合收益。</w:t>
      </w:r>
      <w:r>
        <w:rPr>
          <w:rFonts w:ascii="宋体" w:hAnsi="宋体" w:cs="宋体" w:eastAsia="宋体" w:hint="default"/>
        </w:rPr>
        <w:t> </w:t>
      </w:r>
    </w:p>
    <w:p>
      <w:pPr>
        <w:pStyle w:val="BodyText"/>
        <w:spacing w:line="240" w:lineRule="auto" w:before="119"/>
        <w:ind w:left="573" w:right="1133"/>
        <w:jc w:val="left"/>
        <w:rPr>
          <w:rFonts w:ascii="宋体" w:hAnsi="宋体" w:cs="宋体" w:eastAsia="宋体" w:hint="default"/>
        </w:rPr>
      </w:pPr>
      <w:r>
        <w:rPr>
          <w:rFonts w:ascii="宋体" w:hAnsi="宋体" w:cs="宋体" w:eastAsia="宋体" w:hint="default"/>
        </w:rPr>
        <w:t>2</w:t>
      </w:r>
      <w:r>
        <w:rPr/>
        <w:t>、外币报表折算</w:t>
      </w:r>
      <w:r>
        <w:rPr>
          <w:rFonts w:ascii="宋体" w:hAnsi="宋体" w:cs="宋体" w:eastAsia="宋体" w:hint="default"/>
        </w:rPr>
        <w:t> </w:t>
      </w:r>
    </w:p>
    <w:p>
      <w:pPr>
        <w:pStyle w:val="BodyText"/>
        <w:spacing w:line="237" w:lineRule="auto" w:before="119"/>
        <w:ind w:right="1126" w:firstLine="420"/>
        <w:jc w:val="both"/>
        <w:rPr>
          <w:rFonts w:ascii="宋体" w:hAnsi="宋体" w:cs="宋体" w:eastAsia="宋体" w:hint="default"/>
        </w:rPr>
      </w:pPr>
      <w:r>
        <w:rPr>
          <w:spacing w:val="-2"/>
        </w:rPr>
        <w:t>资产负债表中的资产和负债项目，采用资产负债表日的即期汇率折算；所有者权益项目除“未分配利</w:t>
      </w:r>
      <w:r>
        <w:rPr>
          <w:w w:val="100"/>
        </w:rPr>
        <w:t> </w:t>
      </w:r>
      <w:r>
        <w:rPr>
          <w:spacing w:val="-2"/>
        </w:rPr>
        <w:t>润”项目外，其他项目采用发生时的即期汇率折算。利润表中的收入和费用项目，采用交易发生日的即期</w:t>
      </w:r>
      <w:r>
        <w:rPr>
          <w:spacing w:val="-47"/>
        </w:rPr>
        <w:t> </w:t>
      </w:r>
      <w:r>
        <w:rPr>
          <w:spacing w:val="-47"/>
        </w:rPr>
      </w:r>
      <w:r>
        <w:rPr>
          <w:spacing w:val="-2"/>
        </w:rPr>
        <w:t>汇率折算。按照上述折算产生的外币财务报表折算差额，在其他综合收益项目下单独列示“外币报表折算</w:t>
      </w:r>
      <w:r>
        <w:rPr>
          <w:spacing w:val="-44"/>
        </w:rPr>
        <w:t> </w:t>
      </w:r>
      <w:r>
        <w:rPr>
          <w:spacing w:val="-44"/>
        </w:rPr>
      </w:r>
      <w:r>
        <w:rPr/>
        <w:t>差额”项目。</w:t>
      </w:r>
      <w:r>
        <w:rPr>
          <w:rFonts w:ascii="宋体" w:hAnsi="宋体" w:cs="宋体" w:eastAsia="宋体" w:hint="default"/>
        </w:rPr>
        <w:t> </w:t>
      </w:r>
    </w:p>
    <w:p>
      <w:pPr>
        <w:pStyle w:val="BodyText"/>
        <w:spacing w:line="237" w:lineRule="auto" w:before="119"/>
        <w:ind w:right="1126" w:firstLine="420"/>
        <w:jc w:val="both"/>
        <w:rPr>
          <w:rFonts w:ascii="宋体" w:hAnsi="宋体" w:cs="宋体" w:eastAsia="宋体" w:hint="default"/>
        </w:rPr>
      </w:pPr>
      <w:r>
        <w:rPr>
          <w:spacing w:val="-2"/>
        </w:rPr>
        <w:t>处置境外经营时，将资产负债表中其他综合收益项目下列示的、与该境外经营相关的外币财务报表折</w:t>
      </w:r>
      <w:r>
        <w:rPr>
          <w:w w:val="100"/>
        </w:rPr>
        <w:t> </w:t>
      </w:r>
      <w:r>
        <w:rPr>
          <w:spacing w:val="-2"/>
        </w:rPr>
        <w:t>算差额，自其他综合收益项目转入处置当期损益；部分处置境外经营的，按处置的比例计算处置部分的外</w:t>
      </w:r>
      <w:r>
        <w:rPr>
          <w:spacing w:val="-43"/>
        </w:rPr>
        <w:t> </w:t>
      </w:r>
      <w:r>
        <w:rPr>
          <w:spacing w:val="-43"/>
        </w:rPr>
      </w:r>
      <w:r>
        <w:rPr/>
        <w:t>币财务报表折算差额，转入处置当期损益。</w:t>
      </w:r>
      <w:r>
        <w:rPr>
          <w:rFonts w:ascii="宋体" w:hAnsi="宋体" w:cs="宋体" w:eastAsia="宋体" w:hint="default"/>
        </w:rPr>
        <w:t> </w:t>
      </w:r>
    </w:p>
    <w:p>
      <w:pPr>
        <w:spacing w:line="340" w:lineRule="auto" w:before="119"/>
        <w:ind w:left="573" w:right="7341" w:hanging="209"/>
        <w:jc w:val="left"/>
        <w:rPr>
          <w:rFonts w:ascii="宋体" w:hAnsi="宋体" w:cs="宋体" w:eastAsia="宋体" w:hint="default"/>
          <w:sz w:val="21"/>
          <w:szCs w:val="21"/>
        </w:rPr>
      </w:pPr>
      <w:r>
        <w:rPr>
          <w:rFonts w:ascii="宋体" w:hAnsi="宋体" w:cs="宋体" w:eastAsia="宋体" w:hint="default"/>
          <w:b/>
          <w:bCs/>
          <w:sz w:val="21"/>
          <w:szCs w:val="21"/>
        </w:rPr>
        <w:t>（十）金融工具</w:t>
      </w:r>
      <w:r>
        <w:rPr>
          <w:rFonts w:ascii="宋体" w:hAnsi="宋体" w:cs="宋体" w:eastAsia="宋体" w:hint="default"/>
          <w:b/>
          <w:bCs/>
          <w:w w:val="99"/>
          <w:sz w:val="21"/>
          <w:szCs w:val="21"/>
        </w:rPr>
        <w:t> </w:t>
      </w:r>
      <w:r>
        <w:rPr>
          <w:rFonts w:ascii="宋体" w:hAnsi="宋体" w:cs="宋体" w:eastAsia="宋体" w:hint="default"/>
          <w:sz w:val="21"/>
          <w:szCs w:val="21"/>
        </w:rPr>
        <w:t>1</w:t>
      </w:r>
      <w:r>
        <w:rPr>
          <w:rFonts w:ascii="宋体" w:hAnsi="宋体" w:cs="宋体" w:eastAsia="宋体" w:hint="default"/>
          <w:sz w:val="21"/>
          <w:szCs w:val="21"/>
        </w:rPr>
        <w:t>、金融工具的确认和终止确认</w:t>
      </w:r>
      <w:r>
        <w:rPr>
          <w:rFonts w:ascii="宋体" w:hAnsi="宋体" w:cs="宋体" w:eastAsia="宋体" w:hint="default"/>
          <w:spacing w:val="-3"/>
          <w:sz w:val="21"/>
          <w:szCs w:val="21"/>
        </w:rPr>
        <w:t> </w:t>
      </w:r>
      <w:r>
        <w:rPr>
          <w:rFonts w:ascii="宋体" w:hAnsi="宋体" w:cs="宋体" w:eastAsia="宋体" w:hint="default"/>
          <w:sz w:val="21"/>
          <w:szCs w:val="21"/>
        </w:rPr>
        <w:t> </w:t>
      </w:r>
    </w:p>
    <w:p>
      <w:pPr>
        <w:pStyle w:val="BodyText"/>
        <w:spacing w:line="240" w:lineRule="auto" w:before="30"/>
        <w:ind w:left="573" w:right="1133"/>
        <w:jc w:val="left"/>
        <w:rPr>
          <w:rFonts w:ascii="宋体" w:hAnsi="宋体" w:cs="宋体" w:eastAsia="宋体" w:hint="default"/>
        </w:rPr>
      </w:pPr>
      <w:r>
        <w:rPr/>
        <w:t>本公司成为金融工具合同的一方时，确认一项金融资产或金融负债。</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116"/>
        <w:ind w:right="1133" w:firstLine="420"/>
        <w:jc w:val="left"/>
        <w:rPr>
          <w:rFonts w:ascii="宋体" w:hAnsi="宋体" w:cs="宋体" w:eastAsia="宋体" w:hint="default"/>
        </w:rPr>
      </w:pPr>
      <w:r>
        <w:rPr>
          <w:spacing w:val="-2"/>
        </w:rPr>
        <w:t>对于以常规方式购买或出售金融资产的，本公司在交易日确认将收到的资产和为此将承担的负债，或</w:t>
      </w:r>
      <w:r>
        <w:rPr>
          <w:w w:val="100"/>
        </w:rPr>
        <w:t> </w:t>
      </w:r>
      <w:r>
        <w:rPr/>
        <w:t>者在交易日终止确认已出售的资产，同时确认处置利得或损失以及应向买方收取的应收款项。</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116"/>
        <w:ind w:left="573" w:right="1133"/>
        <w:jc w:val="left"/>
        <w:rPr>
          <w:rFonts w:ascii="宋体" w:hAnsi="宋体" w:cs="宋体" w:eastAsia="宋体" w:hint="default"/>
        </w:rPr>
      </w:pPr>
      <w:r>
        <w:rPr/>
        <w:t>金融资产满足下列条件之一的，终止确认：</w:t>
      </w:r>
      <w:r>
        <w:rPr>
          <w:rFonts w:ascii="宋体" w:hAnsi="宋体" w:cs="宋体" w:eastAsia="宋体" w:hint="default"/>
        </w:rPr>
        <w:t> </w:t>
      </w:r>
    </w:p>
    <w:p>
      <w:pPr>
        <w:spacing w:after="0" w:line="240" w:lineRule="auto"/>
        <w:jc w:val="left"/>
        <w:rPr>
          <w:rFonts w:ascii="宋体" w:hAnsi="宋体" w:cs="宋体" w:eastAsia="宋体" w:hint="default"/>
        </w:rPr>
        <w:sectPr>
          <w:pgSz w:w="11910" w:h="16840"/>
          <w:pgMar w:header="921" w:footer="725" w:top="1160" w:bottom="920" w:left="980" w:right="0"/>
        </w:sectPr>
      </w:pPr>
    </w:p>
    <w:p>
      <w:pPr>
        <w:spacing w:line="240" w:lineRule="auto" w:before="12"/>
        <w:rPr>
          <w:rFonts w:ascii="宋体" w:hAnsi="宋体" w:cs="宋体" w:eastAsia="宋体" w:hint="default"/>
          <w:sz w:val="15"/>
          <w:szCs w:val="15"/>
        </w:rPr>
      </w:pPr>
    </w:p>
    <w:p>
      <w:pPr>
        <w:pStyle w:val="BodyText"/>
        <w:spacing w:line="240" w:lineRule="auto" w:before="36"/>
        <w:ind w:left="573" w:right="1133"/>
        <w:jc w:val="left"/>
        <w:rPr>
          <w:rFonts w:ascii="宋体" w:hAnsi="宋体" w:cs="宋体" w:eastAsia="宋体" w:hint="default"/>
        </w:rPr>
      </w:pPr>
      <w:r>
        <w:rPr/>
        <w:t>（</w:t>
      </w:r>
      <w:r>
        <w:rPr>
          <w:rFonts w:ascii="宋体" w:hAnsi="宋体" w:cs="宋体" w:eastAsia="宋体" w:hint="default"/>
        </w:rPr>
        <w:t>1</w:t>
      </w:r>
      <w:r>
        <w:rPr/>
        <w:t>）收取该金融资产现金流量的合同权利终止；</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116"/>
        <w:ind w:left="573" w:right="1133"/>
        <w:jc w:val="left"/>
        <w:rPr>
          <w:rFonts w:ascii="宋体" w:hAnsi="宋体" w:cs="宋体" w:eastAsia="宋体" w:hint="default"/>
        </w:rPr>
      </w:pPr>
      <w:r>
        <w:rPr/>
        <w:t>（</w:t>
      </w:r>
      <w:r>
        <w:rPr>
          <w:rFonts w:ascii="宋体" w:hAnsi="宋体" w:cs="宋体" w:eastAsia="宋体" w:hint="default"/>
        </w:rPr>
        <w:t>2</w:t>
      </w:r>
      <w:r>
        <w:rPr/>
        <w:t>）该金融资产已转移，且本公司转移了该金融资产所有权上几乎所有的风险和报酬；</w:t>
      </w:r>
      <w:r>
        <w:rPr>
          <w:rFonts w:ascii="宋体" w:hAnsi="宋体" w:cs="宋体" w:eastAsia="宋体" w:hint="default"/>
          <w:spacing w:val="-3"/>
        </w:rPr>
        <w:t> </w:t>
      </w:r>
      <w:r>
        <w:rPr>
          <w:rFonts w:ascii="宋体" w:hAnsi="宋体" w:cs="宋体" w:eastAsia="宋体" w:hint="default"/>
        </w:rPr>
        <w:t> </w:t>
      </w:r>
    </w:p>
    <w:p>
      <w:pPr>
        <w:pStyle w:val="BodyText"/>
        <w:spacing w:line="272" w:lineRule="exact" w:before="146"/>
        <w:ind w:right="1133" w:firstLine="420"/>
        <w:jc w:val="left"/>
        <w:rPr>
          <w:rFonts w:ascii="宋体" w:hAnsi="宋体" w:cs="宋体" w:eastAsia="宋体" w:hint="default"/>
        </w:rPr>
      </w:pPr>
      <w:r>
        <w:rPr>
          <w:spacing w:val="-5"/>
        </w:rPr>
        <w:t>（</w:t>
      </w:r>
      <w:r>
        <w:rPr>
          <w:rFonts w:ascii="宋体" w:hAnsi="宋体" w:cs="宋体" w:eastAsia="宋体" w:hint="default"/>
          <w:spacing w:val="-5"/>
        </w:rPr>
        <w:t>3</w:t>
      </w:r>
      <w:r>
        <w:rPr>
          <w:spacing w:val="-5"/>
        </w:rPr>
        <w:t>）该金融资产已转移，且本公司既没有转移也没有保留金融资产所有权上几乎所有的风险和报酬，</w:t>
      </w:r>
      <w:r>
        <w:rPr>
          <w:w w:val="100"/>
        </w:rPr>
        <w:t> </w:t>
      </w:r>
      <w:r>
        <w:rPr/>
        <w:t>但是，本公司未保留对该金融资产的控制。</w:t>
      </w:r>
      <w:r>
        <w:rPr>
          <w:rFonts w:ascii="宋体" w:hAnsi="宋体" w:cs="宋体" w:eastAsia="宋体" w:hint="default"/>
          <w:spacing w:val="-3"/>
        </w:rPr>
        <w:t> </w:t>
      </w:r>
      <w:r>
        <w:rPr>
          <w:rFonts w:ascii="宋体" w:hAnsi="宋体" w:cs="宋体" w:eastAsia="宋体" w:hint="default"/>
        </w:rPr>
        <w:t> </w:t>
      </w:r>
    </w:p>
    <w:p>
      <w:pPr>
        <w:pStyle w:val="BodyText"/>
        <w:spacing w:line="343" w:lineRule="auto" w:before="94"/>
        <w:ind w:left="573" w:right="819"/>
        <w:jc w:val="left"/>
        <w:rPr>
          <w:rFonts w:ascii="宋体" w:hAnsi="宋体" w:cs="宋体" w:eastAsia="宋体" w:hint="default"/>
        </w:rPr>
      </w:pPr>
      <w:r>
        <w:rPr>
          <w:spacing w:val="-7"/>
          <w:w w:val="100"/>
        </w:rPr>
        <w:t>金融负债（或其一部分）的现时义务已经解除的，本公司终止确认该金融负债（或该部分金融负债）。</w:t>
      </w:r>
      <w:r>
        <w:rPr>
          <w:spacing w:val="-90"/>
          <w:w w:val="100"/>
        </w:rPr>
        <w:t> </w:t>
      </w:r>
      <w:r>
        <w:rPr>
          <w:rFonts w:ascii="宋体" w:hAnsi="宋体" w:cs="宋体" w:eastAsia="宋体" w:hint="default"/>
          <w:spacing w:val="-90"/>
          <w:w w:val="100"/>
        </w:rPr>
      </w:r>
      <w:r>
        <w:rPr>
          <w:rFonts w:ascii="宋体" w:hAnsi="宋体" w:cs="宋体" w:eastAsia="宋体" w:hint="default"/>
        </w:rPr>
        <w:t>2</w:t>
      </w:r>
      <w:r>
        <w:rPr/>
        <w:t>、金融资产的分类</w:t>
      </w:r>
      <w:r>
        <w:rPr>
          <w:rFonts w:ascii="宋体" w:hAnsi="宋体" w:cs="宋体" w:eastAsia="宋体" w:hint="default"/>
          <w:spacing w:val="-3"/>
          <w:w w:val="100"/>
        </w:rPr>
        <w:t> </w:t>
      </w:r>
      <w:r>
        <w:rPr>
          <w:rFonts w:ascii="宋体" w:hAnsi="宋体" w:cs="宋体" w:eastAsia="宋体" w:hint="default"/>
          <w:w w:val="100"/>
        </w:rPr>
        <w:t> </w:t>
      </w:r>
      <w:r>
        <w:rPr/>
        <w:t>根据管理金融资产的业务模式和金融资产的合同现金流量特征，将金融资产划分为以下三类：</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26"/>
        <w:ind w:left="573" w:right="1133"/>
        <w:jc w:val="left"/>
        <w:rPr>
          <w:rFonts w:ascii="宋体" w:hAnsi="宋体" w:cs="宋体" w:eastAsia="宋体" w:hint="default"/>
        </w:rPr>
      </w:pPr>
      <w:r>
        <w:rPr/>
        <w:t>（</w:t>
      </w:r>
      <w:r>
        <w:rPr>
          <w:rFonts w:ascii="宋体" w:hAnsi="宋体" w:cs="宋体" w:eastAsia="宋体" w:hint="default"/>
        </w:rPr>
        <w:t>1</w:t>
      </w:r>
      <w:r>
        <w:rPr/>
        <w:t>）以摊余成本计量的金融资产；</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118"/>
        <w:ind w:left="573" w:right="1133"/>
        <w:jc w:val="left"/>
        <w:rPr>
          <w:rFonts w:ascii="宋体" w:hAnsi="宋体" w:cs="宋体" w:eastAsia="宋体" w:hint="default"/>
        </w:rPr>
      </w:pPr>
      <w:r>
        <w:rPr/>
        <w:t>（</w:t>
      </w:r>
      <w:r>
        <w:rPr>
          <w:rFonts w:ascii="宋体" w:hAnsi="宋体" w:cs="宋体" w:eastAsia="宋体" w:hint="default"/>
        </w:rPr>
        <w:t>2</w:t>
      </w:r>
      <w:r>
        <w:rPr/>
        <w:t>）以公允价值计量且其变动计入其他综合收益的金融资产；</w:t>
      </w:r>
      <w:r>
        <w:rPr>
          <w:rFonts w:ascii="宋体" w:hAnsi="宋体" w:cs="宋体" w:eastAsia="宋体" w:hint="default"/>
          <w:spacing w:val="-3"/>
        </w:rPr>
        <w:t> </w:t>
      </w:r>
      <w:r>
        <w:rPr>
          <w:rFonts w:ascii="宋体" w:hAnsi="宋体" w:cs="宋体" w:eastAsia="宋体" w:hint="default"/>
        </w:rPr>
        <w:t> </w:t>
      </w:r>
    </w:p>
    <w:p>
      <w:pPr>
        <w:pStyle w:val="BodyText"/>
        <w:spacing w:line="343" w:lineRule="auto" w:before="116"/>
        <w:ind w:left="573" w:right="4490"/>
        <w:jc w:val="left"/>
        <w:rPr>
          <w:rFonts w:ascii="宋体" w:hAnsi="宋体" w:cs="宋体" w:eastAsia="宋体" w:hint="default"/>
        </w:rPr>
      </w:pPr>
      <w:r>
        <w:rPr/>
        <w:t>（</w:t>
      </w:r>
      <w:r>
        <w:rPr>
          <w:rFonts w:ascii="宋体" w:hAnsi="宋体" w:cs="宋体" w:eastAsia="宋体" w:hint="default"/>
        </w:rPr>
        <w:t>3</w:t>
      </w:r>
      <w:r>
        <w:rPr/>
        <w:t>）以公允价值计量且其变动计入当期损益的金融资产。</w:t>
      </w:r>
      <w:r>
        <w:rPr>
          <w:rFonts w:ascii="宋体" w:hAnsi="宋体" w:cs="宋体" w:eastAsia="宋体" w:hint="default"/>
          <w:spacing w:val="-3"/>
          <w:w w:val="100"/>
        </w:rPr>
        <w:t> </w:t>
      </w:r>
      <w:r>
        <w:rPr>
          <w:rFonts w:ascii="宋体" w:hAnsi="宋体" w:cs="宋体" w:eastAsia="宋体" w:hint="default"/>
          <w:w w:val="100"/>
        </w:rPr>
        <w:t> </w:t>
      </w:r>
      <w:r>
        <w:rPr/>
        <w:t>其中：</w:t>
      </w:r>
      <w:r>
        <w:rPr>
          <w:rFonts w:ascii="宋体" w:hAnsi="宋体" w:cs="宋体" w:eastAsia="宋体" w:hint="default"/>
        </w:rPr>
        <w:t> </w:t>
      </w:r>
    </w:p>
    <w:p>
      <w:pPr>
        <w:pStyle w:val="BodyText"/>
        <w:spacing w:line="343" w:lineRule="auto" w:before="26"/>
        <w:ind w:left="573" w:right="1133"/>
        <w:jc w:val="left"/>
        <w:rPr>
          <w:rFonts w:ascii="宋体" w:hAnsi="宋体" w:cs="宋体" w:eastAsia="宋体" w:hint="default"/>
        </w:rPr>
      </w:pPr>
      <w:r>
        <w:rPr/>
        <w:t>（</w:t>
      </w:r>
      <w:r>
        <w:rPr>
          <w:rFonts w:ascii="宋体" w:hAnsi="宋体" w:cs="宋体" w:eastAsia="宋体" w:hint="default"/>
        </w:rPr>
        <w:t>1</w:t>
      </w:r>
      <w:r>
        <w:rPr/>
        <w:t>）以摊余成本计量的金融资产</w:t>
      </w:r>
      <w:r>
        <w:rPr>
          <w:rFonts w:ascii="宋体" w:hAnsi="宋体" w:cs="宋体" w:eastAsia="宋体" w:hint="default"/>
          <w:spacing w:val="-3"/>
          <w:w w:val="100"/>
        </w:rPr>
        <w:t> </w:t>
      </w:r>
      <w:r>
        <w:rPr>
          <w:rFonts w:ascii="宋体" w:hAnsi="宋体" w:cs="宋体" w:eastAsia="宋体" w:hint="default"/>
          <w:w w:val="100"/>
        </w:rPr>
        <w:t> </w:t>
      </w:r>
      <w:r>
        <w:rPr/>
        <w:t>金融资产同时符合下列条件的，本公司将其分类为以摊余成本计量的金融资产：</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26"/>
        <w:ind w:left="573" w:right="1133"/>
        <w:jc w:val="left"/>
        <w:rPr>
          <w:rFonts w:ascii="宋体" w:hAnsi="宋体" w:cs="宋体" w:eastAsia="宋体" w:hint="default"/>
        </w:rPr>
      </w:pPr>
      <w:r>
        <w:rPr/>
        <w:t>①本公司管理该金融资产的业务模式是以收取合同现金流量为目标。</w:t>
      </w:r>
      <w:r>
        <w:rPr>
          <w:rFonts w:ascii="宋体" w:hAnsi="宋体" w:cs="宋体" w:eastAsia="宋体" w:hint="default"/>
          <w:spacing w:val="-3"/>
        </w:rPr>
        <w:t> </w:t>
      </w:r>
      <w:r>
        <w:rPr>
          <w:rFonts w:ascii="宋体" w:hAnsi="宋体" w:cs="宋体" w:eastAsia="宋体" w:hint="default"/>
        </w:rPr>
        <w:t> </w:t>
      </w:r>
    </w:p>
    <w:p>
      <w:pPr>
        <w:pStyle w:val="BodyText"/>
        <w:spacing w:line="272" w:lineRule="exact" w:before="146"/>
        <w:ind w:right="1133" w:firstLine="420"/>
        <w:jc w:val="left"/>
        <w:rPr>
          <w:rFonts w:ascii="宋体" w:hAnsi="宋体" w:cs="宋体" w:eastAsia="宋体" w:hint="default"/>
        </w:rPr>
      </w:pPr>
      <w:r>
        <w:rPr>
          <w:spacing w:val="-2"/>
        </w:rPr>
        <w:t>②该金融资产的合同条款规定，在特定日期产生的现金流量，仅为对本金和以未偿付本金金额为基础</w:t>
      </w:r>
      <w:r>
        <w:rPr>
          <w:w w:val="100"/>
        </w:rPr>
        <w:t> </w:t>
      </w:r>
      <w:r>
        <w:rPr/>
        <w:t>的利息的支付。</w:t>
      </w:r>
      <w:r>
        <w:rPr>
          <w:rFonts w:ascii="宋体" w:hAnsi="宋体" w:cs="宋体" w:eastAsia="宋体" w:hint="default"/>
          <w:spacing w:val="-3"/>
        </w:rPr>
        <w:t> </w:t>
      </w:r>
      <w:r>
        <w:rPr>
          <w:rFonts w:ascii="宋体" w:hAnsi="宋体" w:cs="宋体" w:eastAsia="宋体" w:hint="default"/>
        </w:rPr>
        <w:t> </w:t>
      </w:r>
    </w:p>
    <w:p>
      <w:pPr>
        <w:pStyle w:val="BodyText"/>
        <w:spacing w:line="392" w:lineRule="exact" w:before="25"/>
        <w:ind w:left="573" w:right="1133"/>
        <w:jc w:val="left"/>
      </w:pPr>
      <w:r>
        <w:rPr/>
        <w:t>（</w:t>
      </w:r>
      <w:r>
        <w:rPr>
          <w:rFonts w:ascii="宋体" w:hAnsi="宋体" w:cs="宋体" w:eastAsia="宋体" w:hint="default"/>
        </w:rPr>
        <w:t>2</w:t>
      </w:r>
      <w:r>
        <w:rPr/>
        <w:t>）以公允价值计量且其变动计入其他综合收益的金融资产（债务工具投资）</w:t>
      </w:r>
      <w:r>
        <w:rPr>
          <w:rFonts w:ascii="宋体" w:hAnsi="宋体" w:cs="宋体" w:eastAsia="宋体" w:hint="default"/>
          <w:spacing w:val="-3"/>
          <w:w w:val="100"/>
        </w:rPr>
        <w:t> </w:t>
      </w:r>
      <w:r>
        <w:rPr>
          <w:rFonts w:ascii="宋体" w:hAnsi="宋体" w:cs="宋体" w:eastAsia="宋体" w:hint="default"/>
          <w:w w:val="100"/>
        </w:rPr>
        <w:t> </w:t>
      </w:r>
      <w:r>
        <w:rPr>
          <w:spacing w:val="-2"/>
        </w:rPr>
        <w:t>金融资产同时符合下列条件的，本公司将其分类为以公允价值计量且其变动计入其他综合收益的金融</w:t>
      </w:r>
    </w:p>
    <w:p>
      <w:pPr>
        <w:pStyle w:val="BodyText"/>
        <w:spacing w:line="225" w:lineRule="exact"/>
        <w:ind w:right="1133"/>
        <w:jc w:val="left"/>
        <w:rPr>
          <w:rFonts w:ascii="宋体" w:hAnsi="宋体" w:cs="宋体" w:eastAsia="宋体" w:hint="default"/>
        </w:rPr>
      </w:pPr>
      <w:r>
        <w:rPr/>
        <w:t>资产：</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116"/>
        <w:ind w:left="573" w:right="1133"/>
        <w:jc w:val="left"/>
        <w:rPr>
          <w:rFonts w:ascii="宋体" w:hAnsi="宋体" w:cs="宋体" w:eastAsia="宋体" w:hint="default"/>
        </w:rPr>
      </w:pPr>
      <w:r>
        <w:rPr/>
        <w:t>①本公司管理该金融资产的业务模式既以收取合同现金流量为目标又以出售该金融资产为目标。</w:t>
      </w:r>
      <w:r>
        <w:rPr>
          <w:rFonts w:ascii="宋体" w:hAnsi="宋体" w:cs="宋体" w:eastAsia="宋体" w:hint="default"/>
          <w:spacing w:val="-3"/>
        </w:rPr>
        <w:t> </w:t>
      </w:r>
      <w:r>
        <w:rPr>
          <w:rFonts w:ascii="宋体" w:hAnsi="宋体" w:cs="宋体" w:eastAsia="宋体" w:hint="default"/>
        </w:rPr>
        <w:t> </w:t>
      </w:r>
    </w:p>
    <w:p>
      <w:pPr>
        <w:pStyle w:val="BodyText"/>
        <w:spacing w:line="272" w:lineRule="exact" w:before="146"/>
        <w:ind w:right="1133" w:firstLine="420"/>
        <w:jc w:val="left"/>
        <w:rPr>
          <w:rFonts w:ascii="宋体" w:hAnsi="宋体" w:cs="宋体" w:eastAsia="宋体" w:hint="default"/>
        </w:rPr>
      </w:pPr>
      <w:r>
        <w:rPr>
          <w:spacing w:val="-2"/>
        </w:rPr>
        <w:t>②该金融资产的合同条款规定，在特定日期产生的现金流量，仅为对本金和以未偿付本金金额为基础</w:t>
      </w:r>
      <w:r>
        <w:rPr>
          <w:w w:val="100"/>
        </w:rPr>
        <w:t> </w:t>
      </w:r>
      <w:r>
        <w:rPr/>
        <w:t>的利息的支付。</w:t>
      </w:r>
      <w:r>
        <w:rPr>
          <w:rFonts w:ascii="宋体" w:hAnsi="宋体" w:cs="宋体" w:eastAsia="宋体" w:hint="default"/>
          <w:spacing w:val="-3"/>
        </w:rPr>
        <w:t> </w:t>
      </w:r>
      <w:r>
        <w:rPr>
          <w:rFonts w:ascii="宋体" w:hAnsi="宋体" w:cs="宋体" w:eastAsia="宋体" w:hint="default"/>
        </w:rPr>
        <w:t> </w:t>
      </w:r>
    </w:p>
    <w:p>
      <w:pPr>
        <w:pStyle w:val="BodyText"/>
        <w:spacing w:line="394" w:lineRule="exact" w:before="22"/>
        <w:ind w:left="573" w:right="1133"/>
        <w:jc w:val="left"/>
      </w:pPr>
      <w:r>
        <w:rPr/>
        <w:t>（</w:t>
      </w:r>
      <w:r>
        <w:rPr>
          <w:rFonts w:ascii="宋体" w:hAnsi="宋体" w:cs="宋体" w:eastAsia="宋体" w:hint="default"/>
        </w:rPr>
        <w:t>3</w:t>
      </w:r>
      <w:r>
        <w:rPr/>
        <w:t>）以公允价值计量且其变动计入当期损益的金融资产</w:t>
      </w:r>
      <w:r>
        <w:rPr>
          <w:rFonts w:ascii="宋体" w:hAnsi="宋体" w:cs="宋体" w:eastAsia="宋体" w:hint="default"/>
          <w:spacing w:val="-3"/>
          <w:w w:val="100"/>
        </w:rPr>
        <w:t> </w:t>
      </w:r>
      <w:r>
        <w:rPr>
          <w:rFonts w:ascii="宋体" w:hAnsi="宋体" w:cs="宋体" w:eastAsia="宋体" w:hint="default"/>
          <w:w w:val="100"/>
        </w:rPr>
        <w:t> </w:t>
      </w:r>
      <w:r>
        <w:rPr>
          <w:spacing w:val="-2"/>
        </w:rPr>
        <w:t>按照本条第（</w:t>
      </w:r>
      <w:r>
        <w:rPr>
          <w:rFonts w:ascii="宋体" w:hAnsi="宋体" w:cs="宋体" w:eastAsia="宋体" w:hint="default"/>
          <w:spacing w:val="-2"/>
        </w:rPr>
        <w:t>1</w:t>
      </w:r>
      <w:r>
        <w:rPr>
          <w:spacing w:val="-2"/>
        </w:rPr>
        <w:t>）项分类为以摊余成本计量的金融资产和按照本条第（</w:t>
      </w:r>
      <w:r>
        <w:rPr>
          <w:rFonts w:ascii="宋体" w:hAnsi="宋体" w:cs="宋体" w:eastAsia="宋体" w:hint="default"/>
          <w:spacing w:val="-2"/>
        </w:rPr>
        <w:t>2</w:t>
      </w:r>
      <w:r>
        <w:rPr>
          <w:spacing w:val="-2"/>
        </w:rPr>
        <w:t>）项分类为以公允价值计量且</w:t>
      </w:r>
    </w:p>
    <w:p>
      <w:pPr>
        <w:pStyle w:val="BodyText"/>
        <w:spacing w:line="221" w:lineRule="exact"/>
        <w:ind w:right="819"/>
        <w:jc w:val="left"/>
      </w:pPr>
      <w:r>
        <w:rPr/>
        <w:t>其变动计入其他综合收益的金融资产（债务工具投资）之外的金融资产，本公司将其分类为以公允价值计</w:t>
      </w:r>
    </w:p>
    <w:p>
      <w:pPr>
        <w:pStyle w:val="BodyText"/>
        <w:spacing w:line="274" w:lineRule="exact"/>
        <w:ind w:right="1133"/>
        <w:jc w:val="left"/>
        <w:rPr>
          <w:rFonts w:ascii="宋体" w:hAnsi="宋体" w:cs="宋体" w:eastAsia="宋体" w:hint="default"/>
        </w:rPr>
      </w:pPr>
      <w:r>
        <w:rPr/>
        <w:t>量且其变动计入当期损益的金融资产。</w:t>
      </w:r>
      <w:r>
        <w:rPr>
          <w:rFonts w:ascii="宋体" w:hAnsi="宋体" w:cs="宋体" w:eastAsia="宋体" w:hint="default"/>
          <w:spacing w:val="-3"/>
        </w:rPr>
        <w:t> </w:t>
      </w:r>
      <w:r>
        <w:rPr>
          <w:rFonts w:ascii="宋体" w:hAnsi="宋体" w:cs="宋体" w:eastAsia="宋体" w:hint="default"/>
        </w:rPr>
        <w:t> </w:t>
      </w:r>
    </w:p>
    <w:p>
      <w:pPr>
        <w:pStyle w:val="BodyText"/>
        <w:spacing w:line="237" w:lineRule="auto" w:before="119"/>
        <w:ind w:right="1126" w:firstLine="420"/>
        <w:jc w:val="both"/>
        <w:rPr>
          <w:rFonts w:ascii="宋体" w:hAnsi="宋体" w:cs="宋体" w:eastAsia="宋体" w:hint="default"/>
        </w:rPr>
      </w:pPr>
      <w:r>
        <w:rPr>
          <w:spacing w:val="-2"/>
        </w:rPr>
        <w:t>在初始确认时，本公司可以将非交易性权益工具投资指定为以公允价值计量且其变动计入其他综合收</w:t>
      </w:r>
      <w:r>
        <w:rPr>
          <w:w w:val="100"/>
        </w:rPr>
        <w:t> </w:t>
      </w:r>
      <w:r>
        <w:rPr>
          <w:spacing w:val="-2"/>
          <w:w w:val="100"/>
        </w:rPr>
        <w:t>益的金融资产（非交易性权益工具投资），并按照规定确认股利收入。该指定一经做出，不得撤销。本公</w:t>
      </w:r>
      <w:r>
        <w:rPr>
          <w:spacing w:val="-94"/>
          <w:w w:val="100"/>
        </w:rPr>
        <w:t> </w:t>
      </w:r>
      <w:r>
        <w:rPr>
          <w:spacing w:val="-94"/>
          <w:w w:val="100"/>
        </w:rPr>
      </w:r>
      <w:r>
        <w:rPr/>
        <w:t>司在非同一控制下的企业合并中确认</w:t>
      </w:r>
      <w:r>
        <w:rPr>
          <w:spacing w:val="72"/>
        </w:rPr>
        <w:t> </w:t>
      </w:r>
      <w:r>
        <w:rPr>
          <w:rFonts w:ascii="宋体" w:hAnsi="宋体" w:cs="宋体" w:eastAsia="宋体" w:hint="default"/>
          <w:spacing w:val="72"/>
        </w:rPr>
      </w:r>
      <w:r>
        <w:rPr/>
        <w:t>的或有对价构成金融资产的，该金融资产分类为以公允价值计量且</w:t>
      </w:r>
      <w:r>
        <w:rPr>
          <w:spacing w:val="-96"/>
        </w:rPr>
        <w:t> </w:t>
      </w:r>
      <w:r>
        <w:rPr>
          <w:spacing w:val="-96"/>
        </w:rPr>
      </w:r>
      <w:r>
        <w:rPr/>
        <w:t>其变动计入当期损益的金融资产。</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116"/>
        <w:ind w:left="573" w:right="1133"/>
        <w:jc w:val="left"/>
        <w:rPr>
          <w:rFonts w:ascii="宋体" w:hAnsi="宋体" w:cs="宋体" w:eastAsia="宋体" w:hint="default"/>
        </w:rPr>
      </w:pPr>
      <w:r>
        <w:rPr>
          <w:rFonts w:ascii="宋体" w:hAnsi="宋体" w:cs="宋体" w:eastAsia="宋体" w:hint="default"/>
        </w:rPr>
        <w:t>3</w:t>
      </w:r>
      <w:r>
        <w:rPr/>
        <w:t>、金融负债的分类</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118"/>
        <w:ind w:left="573" w:right="1133"/>
        <w:jc w:val="left"/>
        <w:rPr>
          <w:rFonts w:ascii="宋体" w:hAnsi="宋体" w:cs="宋体" w:eastAsia="宋体" w:hint="default"/>
        </w:rPr>
      </w:pPr>
      <w:r>
        <w:rPr/>
        <w:t>除下列各项外，本公司将金融负债分类为以摊余成本计量的金融负债：</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116"/>
        <w:ind w:right="1133" w:firstLine="420"/>
        <w:jc w:val="left"/>
        <w:rPr>
          <w:rFonts w:ascii="宋体" w:hAnsi="宋体" w:cs="宋体" w:eastAsia="宋体" w:hint="default"/>
        </w:rPr>
      </w:pPr>
      <w:r>
        <w:rPr/>
        <w:t>（</w:t>
      </w:r>
      <w:r>
        <w:rPr>
          <w:rFonts w:ascii="宋体" w:hAnsi="宋体" w:cs="宋体" w:eastAsia="宋体" w:hint="default"/>
        </w:rPr>
        <w:t>1</w:t>
      </w:r>
      <w:r>
        <w:rPr/>
        <w:t>）以公允价值计量且其变动计入当期损益的金融负债，包括交易性金融负债（含属于金融负债的</w:t>
      </w:r>
      <w:r>
        <w:rPr>
          <w:w w:val="100"/>
        </w:rPr>
        <w:t> </w:t>
      </w:r>
      <w:r>
        <w:rPr/>
        <w:t>衍生工具）和指定为以公允价值计量且其变动计入当期损益的金融负债。</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116"/>
        <w:ind w:left="573" w:right="1133"/>
        <w:jc w:val="left"/>
        <w:rPr>
          <w:rFonts w:ascii="宋体" w:hAnsi="宋体" w:cs="宋体" w:eastAsia="宋体" w:hint="default"/>
        </w:rPr>
      </w:pPr>
      <w:r>
        <w:rPr/>
        <w:t>（</w:t>
      </w:r>
      <w:r>
        <w:rPr>
          <w:rFonts w:ascii="宋体" w:hAnsi="宋体" w:cs="宋体" w:eastAsia="宋体" w:hint="default"/>
        </w:rPr>
        <w:t>2</w:t>
      </w:r>
      <w:r>
        <w:rPr/>
        <w:t>）金融资产转移不符合终止确认条件或继续涉入被转移金融资产所形成的金融负债。</w:t>
      </w:r>
      <w:r>
        <w:rPr>
          <w:rFonts w:ascii="宋体" w:hAnsi="宋体" w:cs="宋体" w:eastAsia="宋体" w:hint="default"/>
          <w:spacing w:val="-3"/>
        </w:rPr>
        <w:t> </w:t>
      </w:r>
      <w:r>
        <w:rPr>
          <w:rFonts w:ascii="宋体" w:hAnsi="宋体" w:cs="宋体" w:eastAsia="宋体" w:hint="default"/>
        </w:rPr>
        <w:t> </w:t>
      </w:r>
    </w:p>
    <w:p>
      <w:pPr>
        <w:pStyle w:val="BodyText"/>
        <w:spacing w:line="272" w:lineRule="exact" w:before="146"/>
        <w:ind w:right="1133" w:firstLine="420"/>
        <w:jc w:val="left"/>
        <w:rPr>
          <w:rFonts w:ascii="宋体" w:hAnsi="宋体" w:cs="宋体" w:eastAsia="宋体" w:hint="default"/>
        </w:rPr>
      </w:pPr>
      <w:r>
        <w:rPr>
          <w:spacing w:val="-2"/>
        </w:rPr>
        <w:t>（</w:t>
      </w:r>
      <w:r>
        <w:rPr>
          <w:rFonts w:ascii="宋体" w:hAnsi="宋体" w:cs="宋体" w:eastAsia="宋体" w:hint="default"/>
          <w:spacing w:val="-2"/>
        </w:rPr>
        <w:t>3</w:t>
      </w:r>
      <w:r>
        <w:rPr>
          <w:spacing w:val="-2"/>
        </w:rPr>
        <w:t>）不属于本条第（</w:t>
      </w:r>
      <w:r>
        <w:rPr>
          <w:rFonts w:ascii="宋体" w:hAnsi="宋体" w:cs="宋体" w:eastAsia="宋体" w:hint="default"/>
          <w:spacing w:val="-2"/>
        </w:rPr>
        <w:t>1</w:t>
      </w:r>
      <w:r>
        <w:rPr>
          <w:spacing w:val="-2"/>
        </w:rPr>
        <w:t>）项或第（</w:t>
      </w:r>
      <w:r>
        <w:rPr>
          <w:rFonts w:ascii="宋体" w:hAnsi="宋体" w:cs="宋体" w:eastAsia="宋体" w:hint="default"/>
          <w:spacing w:val="-2"/>
        </w:rPr>
        <w:t>2</w:t>
      </w:r>
      <w:r>
        <w:rPr>
          <w:spacing w:val="-2"/>
        </w:rPr>
        <w:t>）项情形的财务担保合同，以及不属于本条第（</w:t>
      </w:r>
      <w:r>
        <w:rPr>
          <w:rFonts w:ascii="宋体" w:hAnsi="宋体" w:cs="宋体" w:eastAsia="宋体" w:hint="default"/>
          <w:spacing w:val="-2"/>
        </w:rPr>
        <w:t>1</w:t>
      </w:r>
      <w:r>
        <w:rPr>
          <w:spacing w:val="-2"/>
        </w:rPr>
        <w:t>）项情形的以低</w:t>
      </w:r>
      <w:r>
        <w:rPr>
          <w:w w:val="100"/>
        </w:rPr>
        <w:t> </w:t>
      </w:r>
      <w:r>
        <w:rPr/>
        <w:t>于市场利率贷款的贷款承诺。</w:t>
      </w:r>
      <w:r>
        <w:rPr>
          <w:rFonts w:ascii="宋体" w:hAnsi="宋体" w:cs="宋体" w:eastAsia="宋体" w:hint="default"/>
        </w:rPr>
        <w:t> </w:t>
      </w:r>
    </w:p>
    <w:p>
      <w:pPr>
        <w:pStyle w:val="BodyText"/>
        <w:spacing w:line="272" w:lineRule="exact" w:before="121"/>
        <w:ind w:right="1133" w:firstLine="420"/>
        <w:jc w:val="left"/>
        <w:rPr>
          <w:rFonts w:ascii="宋体" w:hAnsi="宋体" w:cs="宋体" w:eastAsia="宋体" w:hint="default"/>
        </w:rPr>
      </w:pPr>
      <w:r>
        <w:rPr>
          <w:spacing w:val="-2"/>
        </w:rPr>
        <w:t>在非同一控制下的企业合并中，本公司作为购买方确认的或有对价形成金融负债的，该金融负债按照</w:t>
      </w:r>
      <w:r>
        <w:rPr>
          <w:w w:val="100"/>
        </w:rPr>
        <w:t> </w:t>
      </w:r>
      <w:r>
        <w:rPr/>
        <w:t>以公允价值计量且</w:t>
      </w:r>
      <w:r>
        <w:rPr>
          <w:spacing w:val="-4"/>
        </w:rPr>
        <w:t> </w:t>
      </w:r>
      <w:r>
        <w:rPr>
          <w:rFonts w:ascii="宋体" w:hAnsi="宋体" w:cs="宋体" w:eastAsia="宋体" w:hint="default"/>
          <w:spacing w:val="-4"/>
        </w:rPr>
      </w:r>
      <w:r>
        <w:rPr/>
        <w:t>其变动计入当期损益进行会计处理。</w:t>
      </w:r>
      <w:r>
        <w:rPr>
          <w:rFonts w:ascii="宋体" w:hAnsi="宋体" w:cs="宋体" w:eastAsia="宋体" w:hint="default"/>
          <w:spacing w:val="-3"/>
        </w:rPr>
        <w:t> </w:t>
      </w:r>
      <w:r>
        <w:rPr>
          <w:rFonts w:ascii="宋体" w:hAnsi="宋体" w:cs="宋体" w:eastAsia="宋体" w:hint="default"/>
        </w:rPr>
        <w:t> </w:t>
      </w:r>
    </w:p>
    <w:p>
      <w:pPr>
        <w:spacing w:after="0" w:line="272" w:lineRule="exact"/>
        <w:jc w:val="left"/>
        <w:rPr>
          <w:rFonts w:ascii="宋体" w:hAnsi="宋体" w:cs="宋体" w:eastAsia="宋体" w:hint="default"/>
        </w:rPr>
        <w:sectPr>
          <w:pgSz w:w="11910" w:h="16840"/>
          <w:pgMar w:header="921" w:footer="725" w:top="1160" w:bottom="920" w:left="980" w:right="0"/>
        </w:sectPr>
      </w:pPr>
    </w:p>
    <w:p>
      <w:pPr>
        <w:spacing w:line="240" w:lineRule="auto" w:before="12"/>
        <w:rPr>
          <w:rFonts w:ascii="宋体" w:hAnsi="宋体" w:cs="宋体" w:eastAsia="宋体" w:hint="default"/>
          <w:sz w:val="15"/>
          <w:szCs w:val="15"/>
        </w:rPr>
      </w:pPr>
    </w:p>
    <w:p>
      <w:pPr>
        <w:pStyle w:val="BodyText"/>
        <w:spacing w:line="272" w:lineRule="exact" w:before="64"/>
        <w:ind w:right="1133" w:firstLine="420"/>
        <w:jc w:val="left"/>
        <w:rPr>
          <w:rFonts w:ascii="宋体" w:hAnsi="宋体" w:cs="宋体" w:eastAsia="宋体" w:hint="default"/>
        </w:rPr>
      </w:pPr>
      <w:r>
        <w:rPr>
          <w:spacing w:val="-2"/>
        </w:rPr>
        <w:t>在初始确认时，为了提供更相关的会计信息，本公司可以将金融负债指定为以公允价值计量且其变动</w:t>
      </w:r>
      <w:r>
        <w:rPr>
          <w:w w:val="100"/>
        </w:rPr>
        <w:t> </w:t>
      </w:r>
      <w:r>
        <w:rPr/>
        <w:t>计入当期损益的金融负债，该指定满足下列条件之一：</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94"/>
        <w:ind w:left="573" w:right="1133"/>
        <w:jc w:val="left"/>
        <w:rPr>
          <w:rFonts w:ascii="宋体" w:hAnsi="宋体" w:cs="宋体" w:eastAsia="宋体" w:hint="default"/>
        </w:rPr>
      </w:pPr>
      <w:r>
        <w:rPr/>
        <w:t>（</w:t>
      </w:r>
      <w:r>
        <w:rPr>
          <w:rFonts w:ascii="宋体" w:hAnsi="宋体" w:cs="宋体" w:eastAsia="宋体" w:hint="default"/>
        </w:rPr>
        <w:t>1</w:t>
      </w:r>
      <w:r>
        <w:rPr/>
        <w:t>）能够消除或显著减少会计错配；</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116"/>
        <w:ind w:right="1133" w:firstLine="420"/>
        <w:jc w:val="left"/>
        <w:rPr>
          <w:rFonts w:ascii="宋体" w:hAnsi="宋体" w:cs="宋体" w:eastAsia="宋体" w:hint="default"/>
        </w:rPr>
      </w:pPr>
      <w:r>
        <w:rPr/>
        <w:t>（</w:t>
      </w:r>
      <w:r>
        <w:rPr>
          <w:rFonts w:ascii="宋体" w:hAnsi="宋体" w:cs="宋体" w:eastAsia="宋体" w:hint="default"/>
        </w:rPr>
        <w:t>2</w:t>
      </w:r>
      <w:r>
        <w:rPr/>
        <w:t>）根据正式书面文件载明的企业风险管理或投资策略，以公允价值为基础对金融负债组合或金融</w:t>
      </w:r>
      <w:r>
        <w:rPr>
          <w:w w:val="100"/>
        </w:rPr>
        <w:t> </w:t>
      </w:r>
      <w:r>
        <w:rPr/>
        <w:t>资产和金融负债组合进行管理和业绩评价，并在本公司内部以此为基础向关键管理人员报告。</w:t>
      </w:r>
      <w:r>
        <w:rPr>
          <w:rFonts w:ascii="宋体" w:hAnsi="宋体" w:cs="宋体" w:eastAsia="宋体" w:hint="default"/>
          <w:spacing w:val="-3"/>
        </w:rPr>
        <w:t> </w:t>
      </w:r>
      <w:r>
        <w:rPr>
          <w:rFonts w:ascii="宋体" w:hAnsi="宋体" w:cs="宋体" w:eastAsia="宋体" w:hint="default"/>
        </w:rPr>
        <w:t> </w:t>
      </w:r>
    </w:p>
    <w:p>
      <w:pPr>
        <w:pStyle w:val="BodyText"/>
        <w:spacing w:line="343" w:lineRule="auto" w:before="116"/>
        <w:ind w:left="573" w:right="7341"/>
        <w:jc w:val="left"/>
        <w:rPr>
          <w:rFonts w:ascii="宋体" w:hAnsi="宋体" w:cs="宋体" w:eastAsia="宋体" w:hint="default"/>
        </w:rPr>
      </w:pPr>
      <w:r>
        <w:rPr/>
        <w:t>该指定一经做出，不得撤销。</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rPr>
        <w:t>4</w:t>
      </w:r>
      <w:r>
        <w:rPr/>
        <w:t>、嵌入衍生工具</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26"/>
        <w:ind w:left="573" w:right="1133"/>
        <w:jc w:val="left"/>
        <w:rPr>
          <w:rFonts w:ascii="宋体" w:hAnsi="宋体" w:cs="宋体" w:eastAsia="宋体" w:hint="default"/>
        </w:rPr>
      </w:pPr>
      <w:r>
        <w:rPr/>
        <w:t>嵌入衍生工具，是指嵌入到非衍生工具（即主合同）中的衍生工具。</w:t>
      </w:r>
      <w:r>
        <w:rPr>
          <w:rFonts w:ascii="宋体" w:hAnsi="宋体" w:cs="宋体" w:eastAsia="宋体" w:hint="default"/>
          <w:spacing w:val="-3"/>
        </w:rPr>
        <w:t> </w:t>
      </w:r>
      <w:r>
        <w:rPr>
          <w:rFonts w:ascii="宋体" w:hAnsi="宋体" w:cs="宋体" w:eastAsia="宋体" w:hint="default"/>
        </w:rPr>
        <w:t> </w:t>
      </w:r>
    </w:p>
    <w:p>
      <w:pPr>
        <w:pStyle w:val="BodyText"/>
        <w:spacing w:line="272" w:lineRule="exact" w:before="146"/>
        <w:ind w:right="1133" w:firstLine="420"/>
        <w:jc w:val="left"/>
        <w:rPr>
          <w:rFonts w:ascii="宋体" w:hAnsi="宋体" w:cs="宋体" w:eastAsia="宋体" w:hint="default"/>
        </w:rPr>
      </w:pPr>
      <w:r>
        <w:rPr>
          <w:spacing w:val="-2"/>
        </w:rPr>
        <w:t>混合合同包含的主合同属于金融工具确认和计量准则规范的资产的，本公司将该混合合同作为一个整</w:t>
      </w:r>
      <w:r>
        <w:rPr>
          <w:w w:val="100"/>
        </w:rPr>
        <w:t> </w:t>
      </w:r>
      <w:r>
        <w:rPr/>
        <w:t>体适用该准则关于</w:t>
      </w:r>
      <w:r>
        <w:rPr>
          <w:spacing w:val="-6"/>
        </w:rPr>
        <w:t> </w:t>
      </w:r>
      <w:r>
        <w:rPr>
          <w:rFonts w:ascii="宋体" w:hAnsi="宋体" w:cs="宋体" w:eastAsia="宋体" w:hint="default"/>
          <w:spacing w:val="-6"/>
        </w:rPr>
      </w:r>
      <w:r>
        <w:rPr/>
        <w:t>金融资产分类的相关规定。</w:t>
      </w:r>
      <w:r>
        <w:rPr>
          <w:rFonts w:ascii="宋体" w:hAnsi="宋体" w:cs="宋体" w:eastAsia="宋体" w:hint="default"/>
          <w:spacing w:val="-3"/>
        </w:rPr>
        <w:t> </w:t>
      </w:r>
      <w:r>
        <w:rPr>
          <w:rFonts w:ascii="宋体" w:hAnsi="宋体" w:cs="宋体" w:eastAsia="宋体" w:hint="default"/>
        </w:rPr>
        <w:t> </w:t>
      </w:r>
    </w:p>
    <w:p>
      <w:pPr>
        <w:pStyle w:val="BodyText"/>
        <w:spacing w:line="272" w:lineRule="exact" w:before="121"/>
        <w:ind w:right="1133" w:firstLine="420"/>
        <w:jc w:val="left"/>
        <w:rPr>
          <w:rFonts w:ascii="宋体" w:hAnsi="宋体" w:cs="宋体" w:eastAsia="宋体" w:hint="default"/>
        </w:rPr>
      </w:pPr>
      <w:r>
        <w:rPr>
          <w:spacing w:val="-2"/>
        </w:rPr>
        <w:t>混合合同包含的主合同不属于金融工具确认和计量准则规范的资产，且同时符合下列条件的，本公司</w:t>
      </w:r>
      <w:r>
        <w:rPr>
          <w:w w:val="100"/>
        </w:rPr>
        <w:t> </w:t>
      </w:r>
      <w:r>
        <w:rPr/>
        <w:t>从混合合同中分拆</w:t>
      </w:r>
      <w:r>
        <w:rPr>
          <w:spacing w:val="-8"/>
        </w:rPr>
        <w:t> </w:t>
      </w:r>
      <w:r>
        <w:rPr>
          <w:rFonts w:ascii="宋体" w:hAnsi="宋体" w:cs="宋体" w:eastAsia="宋体" w:hint="default"/>
          <w:spacing w:val="-8"/>
        </w:rPr>
      </w:r>
      <w:r>
        <w:rPr/>
        <w:t>嵌入衍生工具，将其作为单独存在的衍生工具处理：</w:t>
      </w:r>
      <w:r>
        <w:rPr>
          <w:rFonts w:ascii="宋体" w:hAnsi="宋体" w:cs="宋体" w:eastAsia="宋体" w:hint="default"/>
        </w:rPr>
        <w:t> </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94"/>
        <w:ind w:left="573" w:right="1133"/>
        <w:jc w:val="left"/>
        <w:rPr>
          <w:rFonts w:ascii="宋体" w:hAnsi="宋体" w:cs="宋体" w:eastAsia="宋体" w:hint="default"/>
        </w:rPr>
      </w:pPr>
      <w:r>
        <w:rPr/>
        <w:t>（</w:t>
      </w:r>
      <w:r>
        <w:rPr>
          <w:rFonts w:ascii="宋体" w:hAnsi="宋体" w:cs="宋体" w:eastAsia="宋体" w:hint="default"/>
        </w:rPr>
        <w:t>1</w:t>
      </w:r>
      <w:r>
        <w:rPr/>
        <w:t>）嵌入衍生工具的经济特征和风险与主合同的经济特征和风险不紧密相关。</w:t>
      </w:r>
      <w:r>
        <w:rPr>
          <w:rFonts w:ascii="宋体" w:hAnsi="宋体" w:cs="宋体" w:eastAsia="宋体" w:hint="default"/>
        </w:rPr>
        <w:t> </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116"/>
        <w:ind w:left="573" w:right="1133"/>
        <w:jc w:val="left"/>
        <w:rPr>
          <w:rFonts w:ascii="宋体" w:hAnsi="宋体" w:cs="宋体" w:eastAsia="宋体" w:hint="default"/>
        </w:rPr>
      </w:pPr>
      <w:r>
        <w:rPr/>
        <w:t>（</w:t>
      </w:r>
      <w:r>
        <w:rPr>
          <w:rFonts w:ascii="宋体" w:hAnsi="宋体" w:cs="宋体" w:eastAsia="宋体" w:hint="default"/>
        </w:rPr>
        <w:t>2</w:t>
      </w:r>
      <w:r>
        <w:rPr/>
        <w:t>）与嵌入衍生工具具有相同条款的单独工具符合衍生工具的定义。</w:t>
      </w:r>
      <w:r>
        <w:rPr>
          <w:rFonts w:ascii="宋体" w:hAnsi="宋体" w:cs="宋体" w:eastAsia="宋体" w:hint="default"/>
        </w:rPr>
        <w:t> </w:t>
      </w:r>
      <w:r>
        <w:rPr>
          <w:rFonts w:ascii="宋体" w:hAnsi="宋体" w:cs="宋体" w:eastAsia="宋体" w:hint="default"/>
          <w:spacing w:val="-3"/>
        </w:rPr>
        <w:t> </w:t>
      </w:r>
      <w:r>
        <w:rPr>
          <w:rFonts w:ascii="宋体" w:hAnsi="宋体" w:cs="宋体" w:eastAsia="宋体" w:hint="default"/>
        </w:rPr>
        <w:t> </w:t>
      </w:r>
    </w:p>
    <w:p>
      <w:pPr>
        <w:pStyle w:val="BodyText"/>
        <w:spacing w:line="340" w:lineRule="auto" w:before="118"/>
        <w:ind w:left="573" w:right="2896"/>
        <w:jc w:val="left"/>
        <w:rPr>
          <w:rFonts w:ascii="宋体" w:hAnsi="宋体" w:cs="宋体" w:eastAsia="宋体" w:hint="default"/>
        </w:rPr>
      </w:pPr>
      <w:r>
        <w:rPr/>
        <w:t>（</w:t>
      </w:r>
      <w:r>
        <w:rPr>
          <w:rFonts w:ascii="宋体" w:hAnsi="宋体" w:cs="宋体" w:eastAsia="宋体" w:hint="default"/>
        </w:rPr>
        <w:t>3</w:t>
      </w:r>
      <w:r>
        <w:rPr/>
        <w:t>）该混合合同不是以公允价值计量且其变动计入当期损益进行会计处理。</w:t>
      </w:r>
      <w:r>
        <w:rPr>
          <w:spacing w:val="94"/>
        </w:rPr>
        <w:t> </w:t>
      </w:r>
      <w:r>
        <w:rPr>
          <w:rFonts w:ascii="宋体" w:hAnsi="宋体" w:cs="宋体" w:eastAsia="宋体" w:hint="default"/>
          <w:spacing w:val="94"/>
        </w:rPr>
      </w:r>
      <w:r>
        <w:rPr>
          <w:rFonts w:ascii="宋体" w:hAnsi="宋体" w:cs="宋体" w:eastAsia="宋体" w:hint="default"/>
        </w:rPr>
        <w:t>5</w:t>
      </w:r>
      <w:r>
        <w:rPr/>
        <w:t>、金融工具的重分类</w:t>
      </w:r>
      <w:r>
        <w:rPr>
          <w:rFonts w:ascii="宋体" w:hAnsi="宋体" w:cs="宋体" w:eastAsia="宋体" w:hint="default"/>
          <w:spacing w:val="-3"/>
        </w:rPr>
        <w:t> </w:t>
      </w:r>
      <w:r>
        <w:rPr>
          <w:rFonts w:ascii="宋体" w:hAnsi="宋体" w:cs="宋体" w:eastAsia="宋体" w:hint="default"/>
        </w:rPr>
        <w:t> </w:t>
      </w:r>
    </w:p>
    <w:p>
      <w:pPr>
        <w:pStyle w:val="BodyText"/>
        <w:spacing w:line="272" w:lineRule="exact" w:before="58"/>
        <w:ind w:right="1133" w:firstLine="420"/>
        <w:jc w:val="left"/>
        <w:rPr>
          <w:rFonts w:ascii="宋体" w:hAnsi="宋体" w:cs="宋体" w:eastAsia="宋体" w:hint="default"/>
        </w:rPr>
      </w:pPr>
      <w:r>
        <w:rPr>
          <w:spacing w:val="-2"/>
        </w:rPr>
        <w:t>本公司改变管理金融资产的业务模式时，对所有受影响的相关金融资产进行重分类。本公司对所有金</w:t>
      </w:r>
      <w:r>
        <w:rPr>
          <w:w w:val="100"/>
        </w:rPr>
        <w:t> </w:t>
      </w:r>
      <w:r>
        <w:rPr/>
        <w:t>融负债均不得进行重分类。</w:t>
      </w:r>
      <w:r>
        <w:rPr>
          <w:rFonts w:ascii="宋体" w:hAnsi="宋体" w:cs="宋体" w:eastAsia="宋体" w:hint="default"/>
          <w:spacing w:val="-3"/>
        </w:rPr>
        <w:t> </w:t>
      </w:r>
      <w:r>
        <w:rPr>
          <w:rFonts w:ascii="宋体" w:hAnsi="宋体" w:cs="宋体" w:eastAsia="宋体" w:hint="default"/>
        </w:rPr>
        <w:t> </w:t>
      </w:r>
    </w:p>
    <w:p>
      <w:pPr>
        <w:pStyle w:val="BodyText"/>
        <w:spacing w:line="272" w:lineRule="exact" w:before="121"/>
        <w:ind w:right="1133" w:firstLine="420"/>
        <w:jc w:val="left"/>
        <w:rPr>
          <w:rFonts w:ascii="宋体" w:hAnsi="宋体" w:cs="宋体" w:eastAsia="宋体" w:hint="default"/>
        </w:rPr>
      </w:pPr>
      <w:r>
        <w:rPr>
          <w:spacing w:val="-2"/>
        </w:rPr>
        <w:t>本公司对金融资产进行重分类，自重分类日起采用未来适用法进行相关会计处理。重分类日，是指导</w:t>
      </w:r>
      <w:r>
        <w:rPr>
          <w:w w:val="100"/>
        </w:rPr>
        <w:t> </w:t>
      </w:r>
      <w:r>
        <w:rPr/>
        <w:t>致本公司对金融资产进行重分类的业务模式发生变更后的首个报告期间的第一天。</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94"/>
        <w:ind w:left="573" w:right="1133"/>
        <w:jc w:val="left"/>
        <w:rPr>
          <w:rFonts w:ascii="宋体" w:hAnsi="宋体" w:cs="宋体" w:eastAsia="宋体" w:hint="default"/>
        </w:rPr>
      </w:pPr>
      <w:r>
        <w:rPr>
          <w:rFonts w:ascii="宋体" w:hAnsi="宋体" w:cs="宋体" w:eastAsia="宋体" w:hint="default"/>
        </w:rPr>
        <w:t>6</w:t>
      </w:r>
      <w:r>
        <w:rPr/>
        <w:t>、金融工具的计量</w:t>
      </w:r>
      <w:r>
        <w:rPr>
          <w:rFonts w:ascii="宋体" w:hAnsi="宋体" w:cs="宋体" w:eastAsia="宋体" w:hint="default"/>
          <w:spacing w:val="-3"/>
        </w:rPr>
        <w:t> </w:t>
      </w:r>
      <w:r>
        <w:rPr>
          <w:rFonts w:ascii="宋体" w:hAnsi="宋体" w:cs="宋体" w:eastAsia="宋体" w:hint="default"/>
        </w:rPr>
        <w:t> </w:t>
      </w:r>
    </w:p>
    <w:p>
      <w:pPr>
        <w:pStyle w:val="BodyText"/>
        <w:spacing w:line="392" w:lineRule="exact" w:before="48"/>
        <w:ind w:left="573" w:right="1133"/>
        <w:jc w:val="left"/>
      </w:pPr>
      <w:r>
        <w:rPr/>
        <w:t>（</w:t>
      </w:r>
      <w:r>
        <w:rPr>
          <w:rFonts w:ascii="宋体" w:hAnsi="宋体" w:cs="宋体" w:eastAsia="宋体" w:hint="default"/>
        </w:rPr>
        <w:t>1</w:t>
      </w:r>
      <w:r>
        <w:rPr/>
        <w:t>）初始计量</w:t>
      </w:r>
      <w:r>
        <w:rPr>
          <w:rFonts w:ascii="宋体" w:hAnsi="宋体" w:cs="宋体" w:eastAsia="宋体" w:hint="default"/>
          <w:spacing w:val="-3"/>
          <w:w w:val="100"/>
        </w:rPr>
        <w:t> </w:t>
      </w:r>
      <w:r>
        <w:rPr>
          <w:rFonts w:ascii="宋体" w:hAnsi="宋体" w:cs="宋体" w:eastAsia="宋体" w:hint="default"/>
          <w:w w:val="100"/>
        </w:rPr>
        <w:t> </w:t>
      </w:r>
      <w:r>
        <w:rPr>
          <w:spacing w:val="-2"/>
        </w:rPr>
        <w:t>本公司初始确认金融资产或金融负债，按照公允价值计量。对于以公允价值计量且其变动计入当期损</w:t>
      </w:r>
    </w:p>
    <w:p>
      <w:pPr>
        <w:pStyle w:val="BodyText"/>
        <w:spacing w:line="223" w:lineRule="exact"/>
        <w:ind w:right="819"/>
        <w:jc w:val="left"/>
      </w:pPr>
      <w:r>
        <w:rPr/>
        <w:t>益的金融资产和金融负债，相关交易费用直接计入当期损益；对于其他类别的金融资产或金融负债，相关</w:t>
      </w:r>
    </w:p>
    <w:p>
      <w:pPr>
        <w:pStyle w:val="BodyText"/>
        <w:spacing w:line="273" w:lineRule="exact"/>
        <w:ind w:right="1133"/>
        <w:jc w:val="left"/>
        <w:rPr>
          <w:rFonts w:ascii="宋体" w:hAnsi="宋体" w:cs="宋体" w:eastAsia="宋体" w:hint="default"/>
        </w:rPr>
      </w:pPr>
      <w:r>
        <w:rPr/>
        <w:t>交易费用应当计入初始确认金额。</w:t>
      </w:r>
      <w:r>
        <w:rPr>
          <w:rFonts w:ascii="宋体" w:hAnsi="宋体" w:cs="宋体" w:eastAsia="宋体" w:hint="default"/>
          <w:spacing w:val="-3"/>
        </w:rPr>
        <w:t> </w:t>
      </w:r>
      <w:r>
        <w:rPr>
          <w:rFonts w:ascii="宋体" w:hAnsi="宋体" w:cs="宋体" w:eastAsia="宋体" w:hint="default"/>
        </w:rPr>
        <w:t> </w:t>
      </w:r>
    </w:p>
    <w:p>
      <w:pPr>
        <w:pStyle w:val="BodyText"/>
        <w:spacing w:line="390" w:lineRule="atLeast" w:before="3"/>
        <w:ind w:left="573" w:right="1133"/>
        <w:jc w:val="left"/>
      </w:pPr>
      <w:r>
        <w:rPr/>
        <w:t>（</w:t>
      </w:r>
      <w:r>
        <w:rPr>
          <w:rFonts w:ascii="宋体" w:hAnsi="宋体" w:cs="宋体" w:eastAsia="宋体" w:hint="default"/>
        </w:rPr>
        <w:t>2</w:t>
      </w:r>
      <w:r>
        <w:rPr/>
        <w:t>）后续计量</w:t>
      </w:r>
      <w:r>
        <w:rPr>
          <w:rFonts w:ascii="宋体" w:hAnsi="宋体" w:cs="宋体" w:eastAsia="宋体" w:hint="default"/>
          <w:spacing w:val="-3"/>
          <w:w w:val="100"/>
        </w:rPr>
        <w:t> </w:t>
      </w:r>
      <w:r>
        <w:rPr>
          <w:rFonts w:ascii="宋体" w:hAnsi="宋体" w:cs="宋体" w:eastAsia="宋体" w:hint="default"/>
          <w:w w:val="100"/>
        </w:rPr>
        <w:t> </w:t>
      </w:r>
      <w:r>
        <w:rPr>
          <w:spacing w:val="-2"/>
        </w:rPr>
        <w:t>初始确认后，本公司对不同类别的金融资产，分别以摊余成本、以公允价值计量且其变动计入其他综</w:t>
      </w:r>
    </w:p>
    <w:p>
      <w:pPr>
        <w:pStyle w:val="BodyText"/>
        <w:spacing w:line="274" w:lineRule="exact"/>
        <w:ind w:right="1133"/>
        <w:jc w:val="left"/>
        <w:rPr>
          <w:rFonts w:ascii="宋体" w:hAnsi="宋体" w:cs="宋体" w:eastAsia="宋体" w:hint="default"/>
        </w:rPr>
      </w:pPr>
      <w:r>
        <w:rPr/>
        <w:t>合收益或以公允价值计量且其变动计入当期损益进行后续计量。</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116"/>
        <w:ind w:right="1133" w:firstLine="420"/>
        <w:jc w:val="left"/>
        <w:rPr>
          <w:rFonts w:ascii="宋体" w:hAnsi="宋体" w:cs="宋体" w:eastAsia="宋体" w:hint="default"/>
        </w:rPr>
      </w:pPr>
      <w:r>
        <w:rPr>
          <w:spacing w:val="-2"/>
        </w:rPr>
        <w:t>初始确认后，本公司对不同类别的金融负债，分别以摊余成本、以公允价值计量且其变动计入当期损</w:t>
      </w:r>
      <w:r>
        <w:rPr>
          <w:w w:val="100"/>
        </w:rPr>
        <w:t> </w:t>
      </w:r>
      <w:r>
        <w:rPr/>
        <w:t>益或以其他适当方法进行后续计量。</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116"/>
        <w:ind w:left="573" w:right="819"/>
        <w:jc w:val="left"/>
        <w:rPr>
          <w:rFonts w:ascii="宋体" w:hAnsi="宋体" w:cs="宋体" w:eastAsia="宋体" w:hint="default"/>
        </w:rPr>
      </w:pPr>
      <w:r>
        <w:rPr>
          <w:w w:val="100"/>
        </w:rPr>
        <w:t>金融</w:t>
      </w:r>
      <w:r>
        <w:rPr>
          <w:spacing w:val="-3"/>
          <w:w w:val="100"/>
        </w:rPr>
        <w:t>资</w:t>
      </w:r>
      <w:r>
        <w:rPr>
          <w:spacing w:val="-1"/>
          <w:w w:val="100"/>
        </w:rPr>
        <w:t>产</w:t>
      </w:r>
      <w:r>
        <w:rPr>
          <w:spacing w:val="-3"/>
          <w:w w:val="100"/>
        </w:rPr>
        <w:t>或</w:t>
      </w:r>
      <w:r>
        <w:rPr>
          <w:w w:val="100"/>
        </w:rPr>
        <w:t>金</w:t>
      </w:r>
      <w:r>
        <w:rPr>
          <w:spacing w:val="-3"/>
          <w:w w:val="100"/>
        </w:rPr>
        <w:t>融</w:t>
      </w:r>
      <w:r>
        <w:rPr>
          <w:w w:val="100"/>
        </w:rPr>
        <w:t>负</w:t>
      </w:r>
      <w:r>
        <w:rPr>
          <w:spacing w:val="-3"/>
          <w:w w:val="100"/>
        </w:rPr>
        <w:t>债</w:t>
      </w:r>
      <w:r>
        <w:rPr>
          <w:w w:val="100"/>
        </w:rPr>
        <w:t>的</w:t>
      </w:r>
      <w:r>
        <w:rPr>
          <w:spacing w:val="-3"/>
          <w:w w:val="100"/>
        </w:rPr>
        <w:t>摊</w:t>
      </w:r>
      <w:r>
        <w:rPr>
          <w:w w:val="100"/>
        </w:rPr>
        <w:t>余成</w:t>
      </w:r>
      <w:r>
        <w:rPr>
          <w:spacing w:val="-3"/>
          <w:w w:val="100"/>
        </w:rPr>
        <w:t>本</w:t>
      </w:r>
      <w:r>
        <w:rPr>
          <w:spacing w:val="-25"/>
          <w:w w:val="100"/>
        </w:rPr>
        <w:t>，</w:t>
      </w:r>
      <w:r>
        <w:rPr>
          <w:w w:val="100"/>
        </w:rPr>
        <w:t>以</w:t>
      </w:r>
      <w:r>
        <w:rPr>
          <w:spacing w:val="-3"/>
          <w:w w:val="100"/>
        </w:rPr>
        <w:t>该</w:t>
      </w:r>
      <w:r>
        <w:rPr>
          <w:w w:val="100"/>
        </w:rPr>
        <w:t>金</w:t>
      </w:r>
      <w:r>
        <w:rPr>
          <w:spacing w:val="-3"/>
          <w:w w:val="100"/>
        </w:rPr>
        <w:t>融</w:t>
      </w:r>
      <w:r>
        <w:rPr>
          <w:w w:val="100"/>
        </w:rPr>
        <w:t>资</w:t>
      </w:r>
      <w:r>
        <w:rPr>
          <w:spacing w:val="-3"/>
          <w:w w:val="100"/>
        </w:rPr>
        <w:t>产或</w:t>
      </w:r>
      <w:r>
        <w:rPr>
          <w:w w:val="100"/>
        </w:rPr>
        <w:t>金融</w:t>
      </w:r>
      <w:r>
        <w:rPr>
          <w:spacing w:val="-3"/>
          <w:w w:val="100"/>
        </w:rPr>
        <w:t>负</w:t>
      </w:r>
      <w:r>
        <w:rPr>
          <w:w w:val="100"/>
        </w:rPr>
        <w:t>债</w:t>
      </w:r>
      <w:r>
        <w:rPr>
          <w:spacing w:val="-3"/>
          <w:w w:val="100"/>
        </w:rPr>
        <w:t>的</w:t>
      </w:r>
      <w:r>
        <w:rPr>
          <w:w w:val="100"/>
        </w:rPr>
        <w:t>初</w:t>
      </w:r>
      <w:r>
        <w:rPr>
          <w:spacing w:val="-3"/>
          <w:w w:val="100"/>
        </w:rPr>
        <w:t>始</w:t>
      </w:r>
      <w:r>
        <w:rPr>
          <w:w w:val="100"/>
        </w:rPr>
        <w:t>确</w:t>
      </w:r>
      <w:r>
        <w:rPr>
          <w:spacing w:val="-3"/>
          <w:w w:val="100"/>
        </w:rPr>
        <w:t>认</w:t>
      </w:r>
      <w:r>
        <w:rPr>
          <w:w w:val="100"/>
        </w:rPr>
        <w:t>金</w:t>
      </w:r>
      <w:r>
        <w:rPr>
          <w:spacing w:val="-3"/>
          <w:w w:val="100"/>
        </w:rPr>
        <w:t>额</w:t>
      </w:r>
      <w:r>
        <w:rPr>
          <w:w w:val="100"/>
        </w:rPr>
        <w:t>经下</w:t>
      </w:r>
      <w:r>
        <w:rPr>
          <w:spacing w:val="-3"/>
          <w:w w:val="100"/>
        </w:rPr>
        <w:t>列</w:t>
      </w:r>
      <w:r>
        <w:rPr>
          <w:w w:val="100"/>
        </w:rPr>
        <w:t>调</w:t>
      </w:r>
      <w:r>
        <w:rPr>
          <w:spacing w:val="-3"/>
          <w:w w:val="100"/>
        </w:rPr>
        <w:t>整</w:t>
      </w:r>
      <w:r>
        <w:rPr>
          <w:w w:val="100"/>
        </w:rPr>
        <w:t>后</w:t>
      </w:r>
      <w:r>
        <w:rPr>
          <w:spacing w:val="-3"/>
          <w:w w:val="100"/>
        </w:rPr>
        <w:t>的</w:t>
      </w:r>
      <w:r>
        <w:rPr>
          <w:w w:val="100"/>
        </w:rPr>
        <w:t>结</w:t>
      </w:r>
      <w:r>
        <w:rPr>
          <w:spacing w:val="-3"/>
          <w:w w:val="100"/>
        </w:rPr>
        <w:t>果</w:t>
      </w:r>
      <w:r>
        <w:rPr>
          <w:w w:val="100"/>
        </w:rPr>
        <w:t>确</w:t>
      </w:r>
      <w:r>
        <w:rPr>
          <w:spacing w:val="-3"/>
          <w:w w:val="100"/>
        </w:rPr>
        <w:t>定</w:t>
      </w:r>
      <w:r>
        <w:rPr>
          <w:spacing w:val="-111"/>
          <w:w w:val="100"/>
        </w:rPr>
        <w:t>：</w:t>
      </w:r>
      <w:r>
        <w:rPr>
          <w:rFonts w:ascii="宋体" w:hAnsi="宋体" w:cs="宋体" w:eastAsia="宋体" w:hint="default"/>
          <w:w w:val="100"/>
        </w:rPr>
        <w:t>  </w:t>
      </w:r>
    </w:p>
    <w:p>
      <w:pPr>
        <w:pStyle w:val="BodyText"/>
        <w:spacing w:line="240" w:lineRule="auto" w:before="118"/>
        <w:ind w:left="573" w:right="1133"/>
        <w:jc w:val="left"/>
        <w:rPr>
          <w:rFonts w:ascii="宋体" w:hAnsi="宋体" w:cs="宋体" w:eastAsia="宋体" w:hint="default"/>
        </w:rPr>
      </w:pPr>
      <w:r>
        <w:rPr/>
        <w:t>①扣除已偿还的本金。</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116"/>
        <w:ind w:right="1133" w:firstLine="420"/>
        <w:jc w:val="left"/>
        <w:rPr>
          <w:rFonts w:ascii="宋体" w:hAnsi="宋体" w:cs="宋体" w:eastAsia="宋体" w:hint="default"/>
        </w:rPr>
      </w:pPr>
      <w:r>
        <w:rPr>
          <w:spacing w:val="2"/>
        </w:rPr>
        <w:t>②加上或减去采用实际利率法将该初始确认金额与到期日金额之间的差额进行摊销形成的累计摊销</w:t>
      </w:r>
      <w:r>
        <w:rPr>
          <w:w w:val="100"/>
        </w:rPr>
        <w:t> </w:t>
      </w:r>
      <w:r>
        <w:rPr/>
        <w:t>额。</w:t>
      </w:r>
      <w:r>
        <w:rPr>
          <w:rFonts w:ascii="宋体" w:hAnsi="宋体" w:cs="宋体" w:eastAsia="宋体" w:hint="default"/>
          <w:spacing w:val="-3"/>
        </w:rPr>
        <w:t> </w:t>
      </w:r>
      <w:r>
        <w:rPr>
          <w:rFonts w:ascii="宋体" w:hAnsi="宋体" w:cs="宋体" w:eastAsia="宋体" w:hint="default"/>
        </w:rPr>
        <w:t> </w:t>
      </w:r>
    </w:p>
    <w:p>
      <w:pPr>
        <w:pStyle w:val="BodyText"/>
        <w:spacing w:line="394" w:lineRule="exact" w:before="46"/>
        <w:ind w:left="573" w:right="1133"/>
        <w:jc w:val="left"/>
      </w:pPr>
      <w:r>
        <w:rPr>
          <w:spacing w:val="-6"/>
          <w:w w:val="100"/>
        </w:rPr>
        <w:t>③扣除累计计提的损失准备（仅适用于金融资产）。</w:t>
      </w:r>
      <w:r>
        <w:rPr>
          <w:rFonts w:ascii="宋体" w:hAnsi="宋体" w:cs="宋体" w:eastAsia="宋体" w:hint="default"/>
          <w:w w:val="100"/>
        </w:rPr>
        <w:t>  </w:t>
      </w:r>
      <w:r>
        <w:rPr>
          <w:spacing w:val="-2"/>
        </w:rPr>
        <w:t>本公司按照实际利率法确认利息收入。利息收入根据金融资产账面余额乘以实际利率计算确定，但下</w:t>
      </w:r>
    </w:p>
    <w:p>
      <w:pPr>
        <w:pStyle w:val="BodyText"/>
        <w:spacing w:line="222" w:lineRule="exact"/>
        <w:ind w:right="1133"/>
        <w:jc w:val="left"/>
        <w:rPr>
          <w:rFonts w:ascii="宋体" w:hAnsi="宋体" w:cs="宋体" w:eastAsia="宋体" w:hint="default"/>
        </w:rPr>
      </w:pPr>
      <w:r>
        <w:rPr/>
        <w:t>列情况除外：</w:t>
      </w:r>
      <w:r>
        <w:rPr>
          <w:rFonts w:ascii="宋体" w:hAnsi="宋体" w:cs="宋体" w:eastAsia="宋体" w:hint="default"/>
        </w:rPr>
        <w:t> </w:t>
      </w:r>
      <w:r>
        <w:rPr>
          <w:rFonts w:ascii="宋体" w:hAnsi="宋体" w:cs="宋体" w:eastAsia="宋体" w:hint="default"/>
          <w:spacing w:val="-3"/>
        </w:rPr>
        <w:t> </w:t>
      </w:r>
      <w:r>
        <w:rPr>
          <w:rFonts w:ascii="宋体" w:hAnsi="宋体" w:cs="宋体" w:eastAsia="宋体" w:hint="default"/>
        </w:rPr>
        <w:t> </w:t>
      </w:r>
    </w:p>
    <w:p>
      <w:pPr>
        <w:pStyle w:val="BodyText"/>
        <w:spacing w:line="272" w:lineRule="exact" w:before="146"/>
        <w:ind w:right="1133" w:firstLine="420"/>
        <w:jc w:val="left"/>
        <w:rPr>
          <w:rFonts w:ascii="宋体" w:hAnsi="宋体" w:cs="宋体" w:eastAsia="宋体" w:hint="default"/>
        </w:rPr>
      </w:pPr>
      <w:r>
        <w:rPr>
          <w:spacing w:val="-2"/>
        </w:rPr>
        <w:t>①对于购入或源生的已发生信用减值的金融资产，本公司自初始确认起，按照该金融资产的摊余成本</w:t>
      </w:r>
      <w:r>
        <w:rPr>
          <w:w w:val="100"/>
        </w:rPr>
        <w:t> </w:t>
      </w:r>
      <w:r>
        <w:rPr/>
        <w:t>和经信用调整的实</w:t>
      </w:r>
      <w:r>
        <w:rPr>
          <w:spacing w:val="-5"/>
        </w:rPr>
        <w:t> </w:t>
      </w:r>
      <w:r>
        <w:rPr>
          <w:rFonts w:ascii="宋体" w:hAnsi="宋体" w:cs="宋体" w:eastAsia="宋体" w:hint="default"/>
          <w:spacing w:val="-5"/>
        </w:rPr>
      </w:r>
      <w:r>
        <w:rPr/>
        <w:t>际利率计算确定其利息收入。</w:t>
      </w:r>
      <w:r>
        <w:rPr>
          <w:rFonts w:ascii="宋体" w:hAnsi="宋体" w:cs="宋体" w:eastAsia="宋体" w:hint="default"/>
          <w:spacing w:val="-3"/>
        </w:rPr>
        <w:t> </w:t>
      </w:r>
      <w:r>
        <w:rPr>
          <w:rFonts w:ascii="宋体" w:hAnsi="宋体" w:cs="宋体" w:eastAsia="宋体" w:hint="default"/>
        </w:rPr>
        <w:t> </w:t>
      </w:r>
    </w:p>
    <w:p>
      <w:pPr>
        <w:spacing w:after="0" w:line="272" w:lineRule="exact"/>
        <w:jc w:val="left"/>
        <w:rPr>
          <w:rFonts w:ascii="宋体" w:hAnsi="宋体" w:cs="宋体" w:eastAsia="宋体" w:hint="default"/>
        </w:rPr>
        <w:sectPr>
          <w:footerReference w:type="default" r:id="rId45"/>
          <w:pgSz w:w="11910" w:h="16840"/>
          <w:pgMar w:footer="725" w:header="921" w:top="1160" w:bottom="920" w:left="980" w:right="0"/>
          <w:pgNumType w:start="110"/>
        </w:sectPr>
      </w:pPr>
    </w:p>
    <w:p>
      <w:pPr>
        <w:spacing w:line="240" w:lineRule="auto" w:before="12"/>
        <w:rPr>
          <w:rFonts w:ascii="宋体" w:hAnsi="宋体" w:cs="宋体" w:eastAsia="宋体" w:hint="default"/>
          <w:sz w:val="15"/>
          <w:szCs w:val="15"/>
        </w:rPr>
      </w:pPr>
    </w:p>
    <w:p>
      <w:pPr>
        <w:pStyle w:val="BodyText"/>
        <w:spacing w:line="237" w:lineRule="auto" w:before="38"/>
        <w:ind w:right="819" w:firstLine="420"/>
        <w:jc w:val="left"/>
        <w:rPr>
          <w:rFonts w:ascii="宋体" w:hAnsi="宋体" w:cs="宋体" w:eastAsia="宋体" w:hint="default"/>
        </w:rPr>
      </w:pPr>
      <w:r>
        <w:rPr/>
        <w:t>②对于购入或源生的未发生信用减值、但在后续期间成为已发生信用减值的金融资产，本公司在后续</w:t>
      </w:r>
      <w:r>
        <w:rPr>
          <w:w w:val="100"/>
        </w:rPr>
        <w:t> </w:t>
      </w:r>
      <w:r>
        <w:rPr/>
        <w:t>期间，按照该金融资产的摊余成本和实际利率计算确定其利息收入。本公司按照上述政策对金融资产的摊</w:t>
      </w:r>
      <w:r>
        <w:rPr>
          <w:w w:val="100"/>
        </w:rPr>
        <w:t> </w:t>
      </w:r>
      <w:r>
        <w:rPr/>
        <w:t>余成本运用实际利率法计算利息收入的，若该金融工具在后续期间因其信用风险有所改善而不再存在信用</w:t>
      </w:r>
      <w:r>
        <w:rPr>
          <w:w w:val="100"/>
        </w:rPr>
        <w:t> </w:t>
      </w:r>
      <w:r>
        <w:rPr>
          <w:spacing w:val="-7"/>
          <w:w w:val="100"/>
        </w:rPr>
        <w:t>减值，并且这一改善在客观上可与应用上述政策之后发生的某一事件相联系（如债务人的信用评级被上调），</w:t>
      </w:r>
      <w:r>
        <w:rPr>
          <w:spacing w:val="-69"/>
          <w:w w:val="100"/>
        </w:rPr>
        <w:t> </w:t>
      </w:r>
      <w:r>
        <w:rPr>
          <w:spacing w:val="-69"/>
          <w:w w:val="100"/>
        </w:rPr>
      </w:r>
      <w:r>
        <w:rPr/>
        <w:t>本公司转按实际利率乘以该金融资产账面余额来计算确定利息收入。</w:t>
      </w:r>
      <w:r>
        <w:rPr>
          <w:rFonts w:ascii="宋体" w:hAnsi="宋体" w:cs="宋体" w:eastAsia="宋体" w:hint="default"/>
        </w:rPr>
        <w:t> </w:t>
      </w:r>
    </w:p>
    <w:p>
      <w:pPr>
        <w:pStyle w:val="BodyText"/>
        <w:spacing w:line="240" w:lineRule="auto" w:before="116"/>
        <w:ind w:left="573" w:right="1133"/>
        <w:jc w:val="left"/>
        <w:rPr>
          <w:rFonts w:ascii="宋体" w:hAnsi="宋体" w:cs="宋体" w:eastAsia="宋体" w:hint="default"/>
        </w:rPr>
      </w:pPr>
      <w:r>
        <w:rPr>
          <w:rFonts w:ascii="宋体" w:hAnsi="宋体" w:cs="宋体" w:eastAsia="宋体" w:hint="default"/>
        </w:rPr>
        <w:t>7</w:t>
      </w:r>
      <w:r>
        <w:rPr/>
        <w:t>、金融工具的减值</w:t>
      </w:r>
      <w:r>
        <w:rPr>
          <w:rFonts w:ascii="宋体" w:hAnsi="宋体" w:cs="宋体" w:eastAsia="宋体" w:hint="default"/>
        </w:rPr>
        <w:t> </w:t>
      </w:r>
    </w:p>
    <w:p>
      <w:pPr>
        <w:pStyle w:val="BodyText"/>
        <w:spacing w:line="272" w:lineRule="exact" w:before="146"/>
        <w:ind w:right="1126" w:firstLine="420"/>
        <w:jc w:val="both"/>
        <w:rPr>
          <w:rFonts w:ascii="宋体" w:hAnsi="宋体" w:cs="宋体" w:eastAsia="宋体" w:hint="default"/>
        </w:rPr>
      </w:pPr>
      <w:r>
        <w:rPr>
          <w:spacing w:val="-2"/>
        </w:rPr>
        <w:t>本公司对于以摊余成本计量的金融资产、以公允价值计量且其变动计入其他综合收益的债权投资、租</w:t>
      </w:r>
      <w:r>
        <w:rPr>
          <w:w w:val="100"/>
        </w:rPr>
        <w:t> </w:t>
      </w:r>
      <w:r>
        <w:rPr/>
        <w:t>赁应收款、贷款承诺及财务担保合同等，以预期信用损失为基础确认损失准备。</w:t>
      </w:r>
      <w:r>
        <w:rPr>
          <w:rFonts w:ascii="宋体" w:hAnsi="宋体" w:cs="宋体" w:eastAsia="宋体" w:hint="default"/>
        </w:rPr>
        <w:t> </w:t>
      </w:r>
    </w:p>
    <w:p>
      <w:pPr>
        <w:pStyle w:val="BodyText"/>
        <w:spacing w:line="392" w:lineRule="exact" w:before="25"/>
        <w:ind w:left="573" w:right="1133"/>
        <w:jc w:val="left"/>
      </w:pPr>
      <w:r>
        <w:rPr/>
        <w:t>（</w:t>
      </w:r>
      <w:r>
        <w:rPr>
          <w:rFonts w:ascii="宋体" w:hAnsi="宋体" w:cs="宋体" w:eastAsia="宋体" w:hint="default"/>
        </w:rPr>
        <w:t>1</w:t>
      </w:r>
      <w:r>
        <w:rPr/>
        <w:t>）预期信用损失的计量</w:t>
      </w:r>
      <w:r>
        <w:rPr>
          <w:rFonts w:ascii="宋体" w:hAnsi="宋体" w:cs="宋体" w:eastAsia="宋体" w:hint="default"/>
          <w:w w:val="100"/>
        </w:rPr>
        <w:t> </w:t>
      </w:r>
      <w:r>
        <w:rPr>
          <w:spacing w:val="-2"/>
        </w:rPr>
        <w:t>预期信用损失，是指以发生违约的风险为权重的金融工具信用损失的加权平均值。信用损失，是指本</w:t>
      </w:r>
    </w:p>
    <w:p>
      <w:pPr>
        <w:pStyle w:val="BodyText"/>
        <w:spacing w:line="223" w:lineRule="exact"/>
        <w:ind w:right="0"/>
        <w:jc w:val="both"/>
      </w:pPr>
      <w:r>
        <w:rPr/>
        <w:t>公司按照原实际利率折现的、根据合同应收的所有合同现金流量与预期收取的所有现金流量之间的差额，</w:t>
      </w:r>
    </w:p>
    <w:p>
      <w:pPr>
        <w:pStyle w:val="BodyText"/>
        <w:spacing w:line="237" w:lineRule="auto"/>
        <w:ind w:right="1126"/>
        <w:jc w:val="both"/>
      </w:pPr>
      <w:r>
        <w:rPr>
          <w:spacing w:val="-2"/>
        </w:rPr>
        <w:t>即全部现金短缺的现值。其中，对于本公司购买或源生的已发生信用减值的金融资产，应按照该金融资产</w:t>
      </w:r>
      <w:r>
        <w:rPr>
          <w:spacing w:val="-44"/>
        </w:rPr>
        <w:t> </w:t>
      </w:r>
      <w:r>
        <w:rPr>
          <w:spacing w:val="-44"/>
        </w:rPr>
      </w:r>
      <w:r>
        <w:rPr>
          <w:spacing w:val="-2"/>
        </w:rPr>
        <w:t>经信用调整的实际利率折现。整个存续期预期信用损失，是指因金融工具整个预计存续期内所有可能发生</w:t>
      </w:r>
      <w:r>
        <w:rPr>
          <w:spacing w:val="-43"/>
        </w:rPr>
        <w:t> </w:t>
      </w:r>
      <w:r>
        <w:rPr>
          <w:spacing w:val="-43"/>
        </w:rPr>
      </w:r>
      <w:r>
        <w:rPr/>
        <w:t>的违约事件而导致的预期信用损失。未来</w:t>
      </w:r>
      <w:r>
        <w:rPr>
          <w:spacing w:val="-55"/>
        </w:rPr>
        <w:t> </w:t>
      </w:r>
      <w:r>
        <w:rPr>
          <w:rFonts w:ascii="宋体" w:hAnsi="宋体" w:cs="宋体" w:eastAsia="宋体" w:hint="default"/>
        </w:rPr>
        <w:t>12</w:t>
      </w:r>
      <w:r>
        <w:rPr>
          <w:rFonts w:ascii="宋体" w:hAnsi="宋体" w:cs="宋体" w:eastAsia="宋体" w:hint="default"/>
          <w:spacing w:val="-58"/>
        </w:rPr>
        <w:t> </w:t>
      </w:r>
      <w:r>
        <w:rPr/>
        <w:t>个月内预期信用损失，是指因资产负债表日后</w:t>
      </w:r>
      <w:r>
        <w:rPr>
          <w:spacing w:val="-55"/>
        </w:rPr>
        <w:t> </w:t>
      </w:r>
      <w:r>
        <w:rPr>
          <w:rFonts w:ascii="宋体" w:hAnsi="宋体" w:cs="宋体" w:eastAsia="宋体" w:hint="default"/>
        </w:rPr>
        <w:t>12</w:t>
      </w:r>
      <w:r>
        <w:rPr>
          <w:rFonts w:ascii="宋体" w:hAnsi="宋体" w:cs="宋体" w:eastAsia="宋体" w:hint="default"/>
          <w:spacing w:val="-56"/>
        </w:rPr>
        <w:t> </w:t>
      </w:r>
      <w:r>
        <w:rPr>
          <w:spacing w:val="-4"/>
        </w:rPr>
        <w:t>个月内（若</w:t>
      </w:r>
    </w:p>
    <w:p>
      <w:pPr>
        <w:pStyle w:val="BodyText"/>
        <w:spacing w:line="272" w:lineRule="exact" w:before="26"/>
        <w:ind w:right="1126"/>
        <w:jc w:val="both"/>
        <w:rPr>
          <w:rFonts w:ascii="宋体" w:hAnsi="宋体" w:cs="宋体" w:eastAsia="宋体" w:hint="default"/>
        </w:rPr>
      </w:pPr>
      <w:r>
        <w:rPr/>
        <w:t>金融工具的预计存续期少于 </w:t>
      </w:r>
      <w:r>
        <w:rPr>
          <w:rFonts w:ascii="宋体" w:hAnsi="宋体" w:cs="宋体" w:eastAsia="宋体" w:hint="default"/>
        </w:rPr>
        <w:t>12</w:t>
      </w:r>
      <w:r>
        <w:rPr>
          <w:rFonts w:ascii="宋体" w:hAnsi="宋体" w:cs="宋体" w:eastAsia="宋体" w:hint="default"/>
          <w:spacing w:val="-29"/>
        </w:rPr>
        <w:t> </w:t>
      </w:r>
      <w:r>
        <w:rPr/>
        <w:t>个月，则为预计存续期）可能发生的金融工具违约事件而导致的预期信用</w:t>
      </w:r>
      <w:r>
        <w:rPr>
          <w:w w:val="100"/>
        </w:rPr>
        <w:t> </w:t>
      </w:r>
      <w:r>
        <w:rPr/>
        <w:t>损，是整个存续期预期信用损失的一部分。</w:t>
      </w:r>
      <w:r>
        <w:rPr>
          <w:rFonts w:ascii="宋体" w:hAnsi="宋体" w:cs="宋体" w:eastAsia="宋体" w:hint="default"/>
        </w:rPr>
        <w:t> </w:t>
      </w:r>
    </w:p>
    <w:p>
      <w:pPr>
        <w:pStyle w:val="BodyText"/>
        <w:spacing w:line="237" w:lineRule="auto" w:before="96"/>
        <w:ind w:right="1126" w:firstLine="420"/>
        <w:jc w:val="both"/>
        <w:rPr>
          <w:rFonts w:ascii="宋体" w:hAnsi="宋体" w:cs="宋体" w:eastAsia="宋体" w:hint="default"/>
        </w:rPr>
      </w:pPr>
      <w:r>
        <w:rPr>
          <w:spacing w:val="-2"/>
        </w:rPr>
        <w:t>于每个资产负债表日，本公司对于处于不同阶段的金融工具的预期信用损失分别进行计量。金融工具</w:t>
      </w:r>
      <w:r>
        <w:rPr>
          <w:w w:val="100"/>
        </w:rPr>
        <w:t> </w:t>
      </w:r>
      <w:r>
        <w:rPr/>
        <w:t>自初始确认后信用风险未显著增加的，处于第一阶段，本公司按照未来 </w:t>
      </w:r>
      <w:r>
        <w:rPr>
          <w:rFonts w:ascii="宋体" w:hAnsi="宋体" w:cs="宋体" w:eastAsia="宋体" w:hint="default"/>
        </w:rPr>
        <w:t>12</w:t>
      </w:r>
      <w:r>
        <w:rPr>
          <w:rFonts w:ascii="宋体" w:hAnsi="宋体" w:cs="宋体" w:eastAsia="宋体" w:hint="default"/>
          <w:spacing w:val="-28"/>
        </w:rPr>
        <w:t> </w:t>
      </w:r>
      <w:r>
        <w:rPr/>
        <w:t>个月内的预期信用损失计量损</w:t>
      </w:r>
      <w:r>
        <w:rPr>
          <w:w w:val="100"/>
        </w:rPr>
        <w:t> </w:t>
      </w:r>
      <w:r>
        <w:rPr>
          <w:spacing w:val="-2"/>
        </w:rPr>
        <w:t>失准备；金融工具自初始确认后信用风险已显著增加但尚未发生信用减值的，处于第二阶段，本公司按照</w:t>
      </w:r>
      <w:r>
        <w:rPr>
          <w:spacing w:val="-43"/>
        </w:rPr>
        <w:t> </w:t>
      </w:r>
      <w:r>
        <w:rPr>
          <w:spacing w:val="-43"/>
        </w:rPr>
      </w:r>
      <w:r>
        <w:rPr>
          <w:spacing w:val="-2"/>
        </w:rPr>
        <w:t>该工具整个存续期的预期信用损失计量损失准备；金融工具自初始确认后已经发生信用减值的，处于第三</w:t>
      </w:r>
      <w:r>
        <w:rPr>
          <w:spacing w:val="-41"/>
        </w:rPr>
        <w:t> </w:t>
      </w:r>
      <w:r>
        <w:rPr>
          <w:spacing w:val="-41"/>
        </w:rPr>
      </w:r>
      <w:r>
        <w:rPr/>
        <w:t>阶段，本公司按照该工具整个存续期的预期信用损失计量损失准备。</w:t>
      </w:r>
      <w:r>
        <w:rPr>
          <w:rFonts w:ascii="宋体" w:hAnsi="宋体" w:cs="宋体" w:eastAsia="宋体" w:hint="default"/>
        </w:rPr>
        <w:t> </w:t>
      </w:r>
    </w:p>
    <w:p>
      <w:pPr>
        <w:pStyle w:val="BodyText"/>
        <w:spacing w:line="237" w:lineRule="auto" w:before="119"/>
        <w:ind w:right="1126" w:firstLine="420"/>
        <w:jc w:val="both"/>
        <w:rPr>
          <w:rFonts w:ascii="宋体" w:hAnsi="宋体" w:cs="宋体" w:eastAsia="宋体" w:hint="default"/>
        </w:rPr>
      </w:pPr>
      <w:r>
        <w:rPr>
          <w:spacing w:val="-2"/>
        </w:rPr>
        <w:t>对于在资产负债表日具有较低信用风险的金融工具，本公司假设其信用风险自初始确认后并未显著增</w:t>
      </w:r>
      <w:r>
        <w:rPr>
          <w:w w:val="100"/>
        </w:rPr>
        <w:t> </w:t>
      </w:r>
      <w:r>
        <w:rPr/>
        <w:t>加，按照未来 </w:t>
      </w:r>
      <w:r>
        <w:rPr>
          <w:rFonts w:ascii="宋体" w:hAnsi="宋体" w:cs="宋体" w:eastAsia="宋体" w:hint="default"/>
        </w:rPr>
        <w:t>12</w:t>
      </w:r>
      <w:r>
        <w:rPr>
          <w:rFonts w:ascii="宋体" w:hAnsi="宋体" w:cs="宋体" w:eastAsia="宋体" w:hint="default"/>
          <w:spacing w:val="-29"/>
        </w:rPr>
        <w:t> </w:t>
      </w:r>
      <w:r>
        <w:rPr/>
        <w:t>个月内的预期信用损失计量损失准备。本公司对于处于第一阶段和第二阶段、以及较低</w:t>
      </w:r>
      <w:r>
        <w:rPr>
          <w:w w:val="100"/>
        </w:rPr>
        <w:t> </w:t>
      </w:r>
      <w:r>
        <w:rPr>
          <w:spacing w:val="-2"/>
        </w:rPr>
        <w:t>信用风险的金融工具，按照其未扣除减值准备的账面余额和实际利率计算利息收入。对于处于第三阶段的</w:t>
      </w:r>
      <w:r>
        <w:rPr>
          <w:spacing w:val="-44"/>
        </w:rPr>
        <w:t> </w:t>
      </w:r>
      <w:r>
        <w:rPr>
          <w:spacing w:val="-44"/>
        </w:rPr>
      </w:r>
      <w:r>
        <w:rPr/>
        <w:t>金融工具，按照其账面余额减已计提减值准备后的摊余成本和实际利率计算利息收入。</w:t>
      </w:r>
      <w:r>
        <w:rPr>
          <w:rFonts w:ascii="宋体" w:hAnsi="宋体" w:cs="宋体" w:eastAsia="宋体" w:hint="default"/>
        </w:rPr>
        <w:t> </w:t>
      </w:r>
    </w:p>
    <w:p>
      <w:pPr>
        <w:pStyle w:val="BodyText"/>
        <w:spacing w:line="272" w:lineRule="exact" w:before="146"/>
        <w:ind w:right="1130" w:firstLine="420"/>
        <w:jc w:val="both"/>
        <w:rPr>
          <w:rFonts w:ascii="宋体" w:hAnsi="宋体" w:cs="宋体" w:eastAsia="宋体" w:hint="default"/>
        </w:rPr>
      </w:pPr>
      <w:r>
        <w:rPr>
          <w:spacing w:val="-2"/>
        </w:rPr>
        <w:t>①对于应收票据、应收账款、租赁应收款等，无论是否存在重大融资成分，本公司均按照整个存续期</w:t>
      </w:r>
      <w:r>
        <w:rPr>
          <w:w w:val="100"/>
        </w:rPr>
        <w:t> </w:t>
      </w:r>
      <w:r>
        <w:rPr/>
        <w:t>的预期信用损失计量损失准备。</w:t>
      </w:r>
      <w:r>
        <w:rPr>
          <w:rFonts w:ascii="宋体" w:hAnsi="宋体" w:cs="宋体" w:eastAsia="宋体" w:hint="default"/>
        </w:rPr>
        <w:t> </w:t>
      </w:r>
    </w:p>
    <w:p>
      <w:pPr>
        <w:pStyle w:val="BodyText"/>
        <w:spacing w:line="237" w:lineRule="auto" w:before="96"/>
        <w:ind w:right="1126" w:firstLine="420"/>
        <w:jc w:val="both"/>
        <w:rPr>
          <w:rFonts w:ascii="宋体" w:hAnsi="宋体" w:cs="宋体" w:eastAsia="宋体" w:hint="default"/>
        </w:rPr>
      </w:pPr>
      <w:r>
        <w:rPr>
          <w:spacing w:val="-2"/>
        </w:rPr>
        <w:t>本公司基于单项和组合评估金融工具的预期信用损失。对于存在客观证据表明存在减值，以及其他适</w:t>
      </w:r>
      <w:r>
        <w:rPr>
          <w:w w:val="100"/>
        </w:rPr>
        <w:t> </w:t>
      </w:r>
      <w:r>
        <w:rPr>
          <w:spacing w:val="-2"/>
        </w:rPr>
        <w:t>用于单项评估的应收票据、应收账款、租赁应收款单独进行减值测试，确认预期信用损失，计提单项减值</w:t>
      </w:r>
      <w:r>
        <w:rPr>
          <w:spacing w:val="-47"/>
        </w:rPr>
        <w:t> </w:t>
      </w:r>
      <w:r>
        <w:rPr>
          <w:spacing w:val="-47"/>
        </w:rPr>
      </w:r>
      <w:r>
        <w:rPr>
          <w:spacing w:val="-2"/>
        </w:rPr>
        <w:t>准备。对于不存在减值客观证据的应收票据、应收账款、租赁应收款或当单项金融资产无法以合理成本评</w:t>
      </w:r>
      <w:r>
        <w:rPr>
          <w:spacing w:val="-44"/>
        </w:rPr>
        <w:t> </w:t>
      </w:r>
      <w:r>
        <w:rPr>
          <w:spacing w:val="-44"/>
        </w:rPr>
      </w:r>
      <w:r>
        <w:rPr>
          <w:spacing w:val="-2"/>
        </w:rPr>
        <w:t>估预期信用损失的信息时，本公司依据信用风险特征将应收票据、应收账款及、租赁应收款划分为若干组</w:t>
      </w:r>
      <w:r>
        <w:rPr>
          <w:spacing w:val="-44"/>
        </w:rPr>
        <w:t> </w:t>
      </w:r>
      <w:r>
        <w:rPr>
          <w:spacing w:val="-44"/>
        </w:rPr>
      </w:r>
      <w:r>
        <w:rPr/>
        <w:t>合，在组合基础上计算预期信用损失。</w:t>
      </w:r>
      <w:r>
        <w:rPr>
          <w:rFonts w:ascii="宋体" w:hAnsi="宋体" w:cs="宋体" w:eastAsia="宋体" w:hint="default"/>
        </w:rPr>
        <w:t> </w:t>
      </w:r>
    </w:p>
    <w:p>
      <w:pPr>
        <w:pStyle w:val="BodyText"/>
        <w:spacing w:line="343" w:lineRule="auto" w:before="116"/>
        <w:ind w:left="573" w:right="6908"/>
        <w:jc w:val="left"/>
        <w:rPr>
          <w:rFonts w:ascii="宋体" w:hAnsi="宋体" w:cs="宋体" w:eastAsia="宋体" w:hint="default"/>
        </w:rPr>
      </w:pPr>
      <w:r>
        <w:rPr>
          <w:rFonts w:ascii="宋体" w:hAnsi="宋体" w:cs="宋体" w:eastAsia="宋体" w:hint="default"/>
        </w:rPr>
        <w:t>A</w:t>
      </w:r>
      <w:r>
        <w:rPr/>
        <w:t>、应收票据确定组合的依据如下：</w:t>
      </w:r>
      <w:r>
        <w:rPr>
          <w:rFonts w:ascii="宋体" w:hAnsi="宋体" w:cs="宋体" w:eastAsia="宋体" w:hint="default"/>
          <w:w w:val="100"/>
        </w:rPr>
        <w:t> </w:t>
      </w:r>
      <w:r>
        <w:rPr/>
        <w:t>应收票据组合 </w:t>
      </w:r>
      <w:r>
        <w:rPr>
          <w:rFonts w:ascii="宋体" w:hAnsi="宋体" w:cs="宋体" w:eastAsia="宋体" w:hint="default"/>
          <w:spacing w:val="-3"/>
        </w:rPr>
        <w:t>1</w:t>
      </w:r>
      <w:r>
        <w:rPr>
          <w:rFonts w:ascii="宋体" w:hAnsi="宋体" w:cs="宋体" w:eastAsia="宋体" w:hint="default"/>
          <w:spacing w:val="-53"/>
        </w:rPr>
        <w:t> </w:t>
      </w:r>
      <w:r>
        <w:rPr/>
        <w:t>商业承兑汇票</w:t>
      </w:r>
      <w:r>
        <w:rPr>
          <w:rFonts w:ascii="宋体" w:hAnsi="宋体" w:cs="宋体" w:eastAsia="宋体" w:hint="default"/>
          <w:w w:val="100"/>
        </w:rPr>
        <w:t> </w:t>
      </w:r>
      <w:r>
        <w:rPr/>
        <w:t>应收票据组合 </w:t>
      </w:r>
      <w:r>
        <w:rPr>
          <w:rFonts w:ascii="宋体" w:hAnsi="宋体" w:cs="宋体" w:eastAsia="宋体" w:hint="default"/>
          <w:spacing w:val="-3"/>
        </w:rPr>
        <w:t>2</w:t>
      </w:r>
      <w:r>
        <w:rPr>
          <w:rFonts w:ascii="宋体" w:hAnsi="宋体" w:cs="宋体" w:eastAsia="宋体" w:hint="default"/>
          <w:spacing w:val="-56"/>
        </w:rPr>
        <w:t> </w:t>
      </w:r>
      <w:r>
        <w:rPr/>
        <w:t>银行承兑汇票</w:t>
      </w:r>
      <w:r>
        <w:rPr>
          <w:rFonts w:ascii="宋体" w:hAnsi="宋体" w:cs="宋体" w:eastAsia="宋体" w:hint="default"/>
        </w:rPr>
        <w:t> </w:t>
      </w:r>
    </w:p>
    <w:p>
      <w:pPr>
        <w:pStyle w:val="BodyText"/>
        <w:spacing w:line="237" w:lineRule="auto" w:before="31"/>
        <w:ind w:right="1126" w:firstLine="420"/>
        <w:jc w:val="both"/>
        <w:rPr>
          <w:rFonts w:ascii="宋体" w:hAnsi="宋体" w:cs="宋体" w:eastAsia="宋体" w:hint="default"/>
        </w:rPr>
      </w:pPr>
      <w:r>
        <w:rPr>
          <w:spacing w:val="-2"/>
        </w:rPr>
        <w:t>对于划分为组合的应收票据，本公司参考历史信用损失经验，结合当前状况以及对未来经济状况的预</w:t>
      </w:r>
      <w:r>
        <w:rPr>
          <w:w w:val="100"/>
        </w:rPr>
        <w:t> </w:t>
      </w:r>
      <w:r>
        <w:rPr>
          <w:spacing w:val="-2"/>
        </w:rPr>
        <w:t>测，通过违约风险敞口和整个存续期预期信用损失率，计算预期信用损失。银行承兑汇票的承兑单位是银</w:t>
      </w:r>
      <w:r>
        <w:rPr>
          <w:spacing w:val="-42"/>
        </w:rPr>
        <w:t> </w:t>
      </w:r>
      <w:r>
        <w:rPr>
          <w:spacing w:val="-42"/>
        </w:rPr>
      </w:r>
      <w:r>
        <w:rPr>
          <w:spacing w:val="-2"/>
        </w:rPr>
        <w:t>行，本公司参考历史信用损失经验，结合当前状况以及对未来经济状况的预测，通过违约风险敞口和整个</w:t>
      </w:r>
      <w:r>
        <w:rPr>
          <w:spacing w:val="-43"/>
        </w:rPr>
        <w:t> </w:t>
      </w:r>
      <w:r>
        <w:rPr>
          <w:spacing w:val="-43"/>
        </w:rPr>
      </w:r>
      <w:r>
        <w:rPr>
          <w:spacing w:val="-2"/>
        </w:rPr>
        <w:t>存续期预期信用损失率，判断该组合预期信用损失率很低，故不计提预期信用损失准备。对于商业承兑汇</w:t>
      </w:r>
      <w:r>
        <w:rPr>
          <w:spacing w:val="-42"/>
        </w:rPr>
        <w:t> </w:t>
      </w:r>
      <w:r>
        <w:rPr>
          <w:spacing w:val="-42"/>
        </w:rPr>
      </w:r>
      <w:r>
        <w:rPr>
          <w:spacing w:val="-2"/>
        </w:rPr>
        <w:t>票，本公司按照整个存续期内预期信用损失的金额计量其损失准备，根据各应收票据对应的应收账款账龄</w:t>
      </w:r>
      <w:r>
        <w:rPr>
          <w:spacing w:val="-44"/>
        </w:rPr>
        <w:t> </w:t>
      </w:r>
      <w:r>
        <w:rPr>
          <w:spacing w:val="-44"/>
        </w:rPr>
      </w:r>
      <w:r>
        <w:rPr/>
        <w:t>与整个存续期预期信用损失率对照表的比率计算。</w:t>
      </w:r>
      <w:r>
        <w:rPr>
          <w:rFonts w:ascii="宋体" w:hAnsi="宋体" w:cs="宋体" w:eastAsia="宋体" w:hint="default"/>
        </w:rPr>
        <w:t> </w:t>
      </w:r>
    </w:p>
    <w:p>
      <w:pPr>
        <w:pStyle w:val="BodyText"/>
        <w:spacing w:line="340" w:lineRule="auto" w:before="119"/>
        <w:ind w:left="573" w:right="5955"/>
        <w:jc w:val="left"/>
        <w:rPr>
          <w:rFonts w:ascii="宋体" w:hAnsi="宋体" w:cs="宋体" w:eastAsia="宋体" w:hint="default"/>
        </w:rPr>
      </w:pPr>
      <w:r>
        <w:rPr>
          <w:rFonts w:ascii="宋体" w:hAnsi="宋体" w:cs="宋体" w:eastAsia="宋体" w:hint="default"/>
        </w:rPr>
        <w:t>B</w:t>
      </w:r>
      <w:r>
        <w:rPr/>
        <w:t>、应收账款确定组合的依据如下：</w:t>
      </w:r>
      <w:r>
        <w:rPr>
          <w:rFonts w:ascii="宋体" w:hAnsi="宋体" w:cs="宋体" w:eastAsia="宋体" w:hint="default"/>
          <w:w w:val="100"/>
        </w:rPr>
        <w:t> </w:t>
      </w:r>
      <w:r>
        <w:rPr/>
        <w:t>应收账款组合 </w:t>
      </w:r>
      <w:r>
        <w:rPr>
          <w:rFonts w:ascii="宋体" w:hAnsi="宋体" w:cs="宋体" w:eastAsia="宋体" w:hint="default"/>
          <w:spacing w:val="-3"/>
        </w:rPr>
        <w:t>1</w:t>
      </w:r>
      <w:r>
        <w:rPr>
          <w:rFonts w:ascii="宋体" w:hAnsi="宋体" w:cs="宋体" w:eastAsia="宋体" w:hint="default"/>
          <w:spacing w:val="-55"/>
        </w:rPr>
        <w:t> </w:t>
      </w:r>
      <w:r>
        <w:rPr/>
        <w:t>合并范围内关联方组合</w:t>
      </w:r>
      <w:r>
        <w:rPr>
          <w:rFonts w:ascii="宋体" w:hAnsi="宋体" w:cs="宋体" w:eastAsia="宋体" w:hint="default"/>
          <w:w w:val="100"/>
        </w:rPr>
        <w:t> </w:t>
      </w:r>
      <w:r>
        <w:rPr/>
        <w:t>应收账款组合 </w:t>
      </w:r>
      <w:r>
        <w:rPr>
          <w:rFonts w:ascii="宋体" w:hAnsi="宋体" w:cs="宋体" w:eastAsia="宋体" w:hint="default"/>
          <w:spacing w:val="-3"/>
        </w:rPr>
        <w:t>2</w:t>
      </w:r>
      <w:r>
        <w:rPr>
          <w:rFonts w:ascii="宋体" w:hAnsi="宋体" w:cs="宋体" w:eastAsia="宋体" w:hint="default"/>
          <w:spacing w:val="-43"/>
        </w:rPr>
        <w:t> </w:t>
      </w:r>
      <w:r>
        <w:rPr>
          <w:spacing w:val="-3"/>
        </w:rPr>
        <w:t>账龄组合</w:t>
      </w:r>
      <w:r>
        <w:rPr>
          <w:rFonts w:ascii="宋体" w:hAnsi="宋体" w:cs="宋体" w:eastAsia="宋体" w:hint="default"/>
        </w:rPr>
        <w:t> </w:t>
      </w:r>
    </w:p>
    <w:p>
      <w:pPr>
        <w:spacing w:after="0" w:line="340" w:lineRule="auto"/>
        <w:jc w:val="left"/>
        <w:rPr>
          <w:rFonts w:ascii="宋体" w:hAnsi="宋体" w:cs="宋体" w:eastAsia="宋体" w:hint="default"/>
        </w:rPr>
        <w:sectPr>
          <w:pgSz w:w="11910" w:h="16840"/>
          <w:pgMar w:header="921" w:footer="725" w:top="1160" w:bottom="920" w:left="980" w:right="0"/>
        </w:sectPr>
      </w:pPr>
    </w:p>
    <w:p>
      <w:pPr>
        <w:spacing w:line="240" w:lineRule="auto" w:before="12"/>
        <w:rPr>
          <w:rFonts w:ascii="宋体" w:hAnsi="宋体" w:cs="宋体" w:eastAsia="宋体" w:hint="default"/>
          <w:sz w:val="15"/>
          <w:szCs w:val="15"/>
        </w:rPr>
      </w:pPr>
    </w:p>
    <w:p>
      <w:pPr>
        <w:pStyle w:val="BodyText"/>
        <w:spacing w:line="237" w:lineRule="auto" w:before="38"/>
        <w:ind w:right="1126" w:firstLine="420"/>
        <w:jc w:val="both"/>
        <w:rPr>
          <w:rFonts w:ascii="宋体" w:hAnsi="宋体" w:cs="宋体" w:eastAsia="宋体" w:hint="default"/>
        </w:rPr>
      </w:pPr>
      <w:r>
        <w:rPr/>
        <w:t>对于组合</w:t>
      </w:r>
      <w:r>
        <w:rPr>
          <w:spacing w:val="-28"/>
        </w:rPr>
        <w:t> </w:t>
      </w:r>
      <w:r>
        <w:rPr>
          <w:rFonts w:ascii="宋体" w:hAnsi="宋体" w:cs="宋体" w:eastAsia="宋体" w:hint="default"/>
        </w:rPr>
        <w:t>1</w:t>
      </w:r>
      <w:r>
        <w:rPr/>
        <w:t>，除存在客观证据表明本公司将无法按应收账款的原有条款收回款项外，不对应收合并范</w:t>
      </w:r>
      <w:r>
        <w:rPr>
          <w:w w:val="100"/>
        </w:rPr>
        <w:t> </w:t>
      </w:r>
      <w:r>
        <w:rPr/>
        <w:t>围内公司的应收账款计提坏账准备。对于组合</w:t>
      </w:r>
      <w:r>
        <w:rPr>
          <w:spacing w:val="-28"/>
        </w:rPr>
        <w:t> </w:t>
      </w:r>
      <w:r>
        <w:rPr>
          <w:rFonts w:ascii="宋体" w:hAnsi="宋体" w:cs="宋体" w:eastAsia="宋体" w:hint="default"/>
        </w:rPr>
        <w:t>2</w:t>
      </w:r>
      <w:r>
        <w:rPr/>
        <w:t>，本公司参考历史信用损失经验，结合当前状况以及对未</w:t>
      </w:r>
      <w:r>
        <w:rPr>
          <w:w w:val="100"/>
        </w:rPr>
        <w:t> </w:t>
      </w:r>
      <w:r>
        <w:rPr/>
        <w:t>来经济状况的预测，编制应收账款账龄与整个存续期预期信用损失率对照表，计算预期信用损失。</w:t>
      </w:r>
      <w:r>
        <w:rPr>
          <w:rFonts w:ascii="宋体" w:hAnsi="宋体" w:cs="宋体" w:eastAsia="宋体" w:hint="default"/>
        </w:rPr>
        <w:t> </w:t>
      </w:r>
    </w:p>
    <w:p>
      <w:pPr>
        <w:pStyle w:val="BodyText"/>
        <w:spacing w:line="237" w:lineRule="auto" w:before="119"/>
        <w:ind w:right="1126" w:firstLine="420"/>
        <w:jc w:val="both"/>
        <w:rPr>
          <w:rFonts w:ascii="宋体" w:hAnsi="宋体" w:cs="宋体" w:eastAsia="宋体" w:hint="default"/>
        </w:rPr>
      </w:pPr>
      <w:r>
        <w:rPr>
          <w:spacing w:val="-2"/>
        </w:rPr>
        <w:t>②对于其他应收款项，本公司基于单项和组合评估金融工具的预期信用损失。当单项金融资产无法以</w:t>
      </w:r>
      <w:r>
        <w:rPr>
          <w:w w:val="100"/>
        </w:rPr>
        <w:t> </w:t>
      </w:r>
      <w:r>
        <w:rPr>
          <w:spacing w:val="-2"/>
        </w:rPr>
        <w:t>合理成本评估预期信用损失的信息时，本公司依据信用风险特征将其他应收款划分为若干组合，在组合基</w:t>
      </w:r>
      <w:r>
        <w:rPr>
          <w:spacing w:val="-43"/>
        </w:rPr>
        <w:t> </w:t>
      </w:r>
      <w:r>
        <w:rPr>
          <w:spacing w:val="-43"/>
        </w:rPr>
      </w:r>
      <w:r>
        <w:rPr/>
        <w:t>础上计算预期信用损失，确定组合的依据如下：</w:t>
      </w:r>
      <w:r>
        <w:rPr>
          <w:rFonts w:ascii="宋体" w:hAnsi="宋体" w:cs="宋体" w:eastAsia="宋体" w:hint="default"/>
        </w:rPr>
        <w:t> </w:t>
      </w:r>
    </w:p>
    <w:p>
      <w:pPr>
        <w:pStyle w:val="BodyText"/>
        <w:spacing w:line="343" w:lineRule="auto" w:before="119"/>
        <w:ind w:left="573" w:right="5542"/>
        <w:jc w:val="left"/>
        <w:rPr>
          <w:rFonts w:ascii="宋体" w:hAnsi="宋体" w:cs="宋体" w:eastAsia="宋体" w:hint="default"/>
        </w:rPr>
      </w:pPr>
      <w:r>
        <w:rPr/>
        <w:t>其他应收款组合 </w:t>
      </w:r>
      <w:r>
        <w:rPr>
          <w:rFonts w:ascii="宋体" w:hAnsi="宋体" w:cs="宋体" w:eastAsia="宋体" w:hint="default"/>
        </w:rPr>
        <w:t>1</w:t>
      </w:r>
      <w:r>
        <w:rPr>
          <w:rFonts w:ascii="宋体" w:hAnsi="宋体" w:cs="宋体" w:eastAsia="宋体" w:hint="default"/>
          <w:spacing w:val="-58"/>
        </w:rPr>
        <w:t> </w:t>
      </w:r>
      <w:r>
        <w:rPr/>
        <w:t>合并范围内关联方款项</w:t>
      </w:r>
      <w:r>
        <w:rPr>
          <w:rFonts w:ascii="宋体" w:hAnsi="宋体" w:cs="宋体" w:eastAsia="宋体" w:hint="default"/>
          <w:w w:val="100"/>
        </w:rPr>
        <w:t> </w:t>
      </w:r>
      <w:r>
        <w:rPr/>
        <w:t>其他应收款组合 </w:t>
      </w:r>
      <w:r>
        <w:rPr>
          <w:rFonts w:ascii="宋体" w:hAnsi="宋体" w:cs="宋体" w:eastAsia="宋体" w:hint="default"/>
        </w:rPr>
        <w:t>2</w:t>
      </w:r>
      <w:r>
        <w:rPr>
          <w:rFonts w:ascii="宋体" w:hAnsi="宋体" w:cs="宋体" w:eastAsia="宋体" w:hint="default"/>
          <w:spacing w:val="-56"/>
        </w:rPr>
        <w:t> </w:t>
      </w:r>
      <w:r>
        <w:rPr/>
        <w:t>保证金、押金组合</w:t>
      </w:r>
      <w:r>
        <w:rPr>
          <w:rFonts w:ascii="宋体" w:hAnsi="宋体" w:cs="宋体" w:eastAsia="宋体" w:hint="default"/>
          <w:w w:val="100"/>
        </w:rPr>
        <w:t> </w:t>
      </w:r>
      <w:r>
        <w:rPr/>
        <w:t>其他应收款组合</w:t>
      </w:r>
      <w:r>
        <w:rPr>
          <w:spacing w:val="-54"/>
        </w:rPr>
        <w:t> </w:t>
      </w:r>
      <w:r>
        <w:rPr>
          <w:rFonts w:ascii="宋体" w:hAnsi="宋体" w:cs="宋体" w:eastAsia="宋体" w:hint="default"/>
        </w:rPr>
        <w:t>3</w:t>
      </w:r>
      <w:r>
        <w:rPr>
          <w:rFonts w:ascii="宋体" w:hAnsi="宋体" w:cs="宋体" w:eastAsia="宋体" w:hint="default"/>
          <w:spacing w:val="-54"/>
        </w:rPr>
        <w:t> </w:t>
      </w:r>
      <w:r>
        <w:rPr/>
        <w:t>账龄组合</w:t>
      </w:r>
      <w:r>
        <w:rPr>
          <w:rFonts w:ascii="宋体" w:hAnsi="宋体" w:cs="宋体" w:eastAsia="宋体" w:hint="default"/>
        </w:rPr>
        <w:t> </w:t>
      </w:r>
    </w:p>
    <w:p>
      <w:pPr>
        <w:pStyle w:val="BodyText"/>
        <w:spacing w:line="237" w:lineRule="auto" w:before="28"/>
        <w:ind w:right="1126" w:firstLine="420"/>
        <w:jc w:val="both"/>
        <w:rPr>
          <w:rFonts w:ascii="宋体" w:hAnsi="宋体" w:cs="宋体" w:eastAsia="宋体" w:hint="default"/>
        </w:rPr>
      </w:pPr>
      <w:r>
        <w:rPr/>
        <w:t>对于组合</w:t>
      </w:r>
      <w:r>
        <w:rPr>
          <w:spacing w:val="-28"/>
        </w:rPr>
        <w:t> </w:t>
      </w:r>
      <w:r>
        <w:rPr>
          <w:rFonts w:ascii="宋体" w:hAnsi="宋体" w:cs="宋体" w:eastAsia="宋体" w:hint="default"/>
        </w:rPr>
        <w:t>1</w:t>
      </w:r>
      <w:r>
        <w:rPr/>
        <w:t>，除存在客观证据表明本公司将无法按应收款项的原有条款收回款项外，不对应收合并范</w:t>
      </w:r>
      <w:r>
        <w:rPr>
          <w:w w:val="100"/>
        </w:rPr>
        <w:t> </w:t>
      </w:r>
      <w:r>
        <w:rPr/>
        <w:t>围内公司其他应收款项计提坏账准备。对于组合</w:t>
      </w:r>
      <w:r>
        <w:rPr>
          <w:spacing w:val="-43"/>
        </w:rPr>
        <w:t> </w:t>
      </w:r>
      <w:r>
        <w:rPr>
          <w:rFonts w:ascii="宋体" w:hAnsi="宋体" w:cs="宋体" w:eastAsia="宋体" w:hint="default"/>
        </w:rPr>
        <w:t>2</w:t>
      </w:r>
      <w:r>
        <w:rPr>
          <w:rFonts w:ascii="宋体" w:hAnsi="宋体" w:cs="宋体" w:eastAsia="宋体" w:hint="default"/>
          <w:spacing w:val="-45"/>
        </w:rPr>
        <w:t> </w:t>
      </w:r>
      <w:r>
        <w:rPr/>
        <w:t>及组合</w:t>
      </w:r>
      <w:r>
        <w:rPr>
          <w:spacing w:val="-45"/>
        </w:rPr>
        <w:t> </w:t>
      </w:r>
      <w:r>
        <w:rPr>
          <w:rFonts w:ascii="宋体" w:hAnsi="宋体" w:cs="宋体" w:eastAsia="宋体" w:hint="default"/>
        </w:rPr>
        <w:t>3</w:t>
      </w:r>
      <w:r>
        <w:rPr/>
        <w:t>，本公司参考历史信用损失经验，结合当前状</w:t>
      </w:r>
      <w:r>
        <w:rPr>
          <w:w w:val="100"/>
        </w:rPr>
        <w:t> </w:t>
      </w:r>
      <w:r>
        <w:rPr/>
        <w:t>况以及对未来经济状况的预测，通过违约风险敞口和未来 </w:t>
      </w:r>
      <w:r>
        <w:rPr>
          <w:rFonts w:ascii="宋体" w:hAnsi="宋体" w:cs="宋体" w:eastAsia="宋体" w:hint="default"/>
        </w:rPr>
        <w:t>12</w:t>
      </w:r>
      <w:r>
        <w:rPr>
          <w:rFonts w:ascii="宋体" w:hAnsi="宋体" w:cs="宋体" w:eastAsia="宋体" w:hint="default"/>
          <w:spacing w:val="-28"/>
        </w:rPr>
        <w:t> </w:t>
      </w:r>
      <w:r>
        <w:rPr/>
        <w:t>个月内或整个存续期预期信用损失率，计算</w:t>
      </w:r>
      <w:r>
        <w:rPr>
          <w:w w:val="100"/>
        </w:rPr>
        <w:t> </w:t>
      </w:r>
      <w:r>
        <w:rPr/>
        <w:t>预期信用损失。</w:t>
      </w:r>
      <w:r>
        <w:rPr>
          <w:rFonts w:ascii="宋体" w:hAnsi="宋体" w:cs="宋体" w:eastAsia="宋体" w:hint="default"/>
        </w:rPr>
        <w:t> </w:t>
      </w:r>
    </w:p>
    <w:p>
      <w:pPr>
        <w:pStyle w:val="BodyText"/>
        <w:spacing w:line="394" w:lineRule="exact" w:before="47"/>
        <w:ind w:left="573" w:right="1133"/>
        <w:jc w:val="left"/>
      </w:pPr>
      <w:r>
        <w:rPr/>
        <w:t>③债权投资、其他债权投资</w:t>
      </w:r>
      <w:r>
        <w:rPr>
          <w:rFonts w:ascii="宋体" w:hAnsi="宋体" w:cs="宋体" w:eastAsia="宋体" w:hint="default"/>
          <w:w w:val="100"/>
        </w:rPr>
        <w:t> </w:t>
      </w:r>
      <w:r>
        <w:rPr>
          <w:spacing w:val="-2"/>
        </w:rPr>
        <w:t>对于债权投资和其他债权投资，本公司按照投资的性质，根据交易对手和风险敞口的各种类型，通过</w:t>
      </w:r>
    </w:p>
    <w:p>
      <w:pPr>
        <w:pStyle w:val="BodyText"/>
        <w:spacing w:line="222" w:lineRule="exact"/>
        <w:ind w:right="1133"/>
        <w:jc w:val="left"/>
        <w:rPr>
          <w:rFonts w:ascii="宋体" w:hAnsi="宋体" w:cs="宋体" w:eastAsia="宋体" w:hint="default"/>
        </w:rPr>
      </w:pPr>
      <w:r>
        <w:rPr/>
        <w:t>违约风险敞口和未来 </w:t>
      </w:r>
      <w:r>
        <w:rPr>
          <w:rFonts w:ascii="宋体" w:hAnsi="宋体" w:cs="宋体" w:eastAsia="宋体" w:hint="default"/>
        </w:rPr>
        <w:t>12</w:t>
      </w:r>
      <w:r>
        <w:rPr>
          <w:rFonts w:ascii="宋体" w:hAnsi="宋体" w:cs="宋体" w:eastAsia="宋体" w:hint="default"/>
          <w:spacing w:val="-60"/>
        </w:rPr>
        <w:t> </w:t>
      </w:r>
      <w:r>
        <w:rPr/>
        <w:t>个月内或整个存续期预期信用损失率，计算预期信用损失。</w:t>
      </w:r>
      <w:r>
        <w:rPr>
          <w:rFonts w:ascii="宋体" w:hAnsi="宋体" w:cs="宋体" w:eastAsia="宋体" w:hint="default"/>
        </w:rPr>
        <w:t> </w:t>
      </w:r>
    </w:p>
    <w:p>
      <w:pPr>
        <w:pStyle w:val="BodyText"/>
        <w:spacing w:line="390" w:lineRule="atLeast" w:before="3"/>
        <w:ind w:left="573" w:right="1133"/>
        <w:jc w:val="left"/>
      </w:pPr>
      <w:r>
        <w:rPr/>
        <w:t>（</w:t>
      </w:r>
      <w:r>
        <w:rPr>
          <w:rFonts w:ascii="宋体" w:hAnsi="宋体" w:cs="宋体" w:eastAsia="宋体" w:hint="default"/>
        </w:rPr>
        <w:t>2</w:t>
      </w:r>
      <w:r>
        <w:rPr/>
        <w:t>）具有较低的信用风险</w:t>
      </w:r>
      <w:r>
        <w:rPr>
          <w:rFonts w:ascii="宋体" w:hAnsi="宋体" w:cs="宋体" w:eastAsia="宋体" w:hint="default"/>
          <w:w w:val="100"/>
        </w:rPr>
        <w:t> </w:t>
      </w:r>
      <w:r>
        <w:rPr>
          <w:spacing w:val="-2"/>
        </w:rPr>
        <w:t>如果金融工具的违约风险较低，借款人在短期内履行其合同现金流量义务的能力很强，并且即便较长</w:t>
      </w:r>
    </w:p>
    <w:p>
      <w:pPr>
        <w:pStyle w:val="BodyText"/>
        <w:spacing w:line="272" w:lineRule="exact" w:before="26"/>
        <w:ind w:right="1133"/>
        <w:jc w:val="left"/>
        <w:rPr>
          <w:rFonts w:ascii="宋体" w:hAnsi="宋体" w:cs="宋体" w:eastAsia="宋体" w:hint="default"/>
        </w:rPr>
      </w:pPr>
      <w:r>
        <w:rPr>
          <w:spacing w:val="-2"/>
        </w:rPr>
        <w:t>时期内经济形势和经营环境存在不利变化但未必一定降低借款人履行其合同现金流量义务的能力，该金融</w:t>
      </w:r>
      <w:r>
        <w:rPr>
          <w:spacing w:val="-42"/>
        </w:rPr>
        <w:t> </w:t>
      </w:r>
      <w:r>
        <w:rPr>
          <w:spacing w:val="-42"/>
        </w:rPr>
      </w:r>
      <w:r>
        <w:rPr/>
        <w:t>工具被视为具有较低的信用风险。</w:t>
      </w:r>
      <w:r>
        <w:rPr>
          <w:rFonts w:ascii="宋体" w:hAnsi="宋体" w:cs="宋体" w:eastAsia="宋体" w:hint="default"/>
        </w:rPr>
        <w:t> </w:t>
      </w:r>
    </w:p>
    <w:p>
      <w:pPr>
        <w:pStyle w:val="BodyText"/>
        <w:spacing w:line="392" w:lineRule="exact" w:before="25"/>
        <w:ind w:left="573" w:right="1133"/>
        <w:jc w:val="left"/>
      </w:pPr>
      <w:r>
        <w:rPr/>
        <w:t>（</w:t>
      </w:r>
      <w:r>
        <w:rPr>
          <w:rFonts w:ascii="宋体" w:hAnsi="宋体" w:cs="宋体" w:eastAsia="宋体" w:hint="default"/>
        </w:rPr>
        <w:t>3</w:t>
      </w:r>
      <w:r>
        <w:rPr/>
        <w:t>）信用风险显著增加</w:t>
      </w:r>
      <w:r>
        <w:rPr>
          <w:rFonts w:ascii="宋体" w:hAnsi="宋体" w:cs="宋体" w:eastAsia="宋体" w:hint="default"/>
          <w:w w:val="100"/>
        </w:rPr>
        <w:t> </w:t>
      </w:r>
      <w:r>
        <w:rPr>
          <w:spacing w:val="2"/>
        </w:rPr>
        <w:t>本公司通过比较金融工具在资产负债表日所确定的预计存续期内的违约概率与在初始确认时所确定</w:t>
      </w:r>
    </w:p>
    <w:p>
      <w:pPr>
        <w:pStyle w:val="BodyText"/>
        <w:spacing w:line="222" w:lineRule="exact"/>
        <w:ind w:right="819"/>
        <w:jc w:val="left"/>
      </w:pPr>
      <w:r>
        <w:rPr/>
        <w:t>的预计存续期内的违约概率，以确定金融工具预计存续期内发生违约概率的相对变化，以评估金融工具的</w:t>
      </w:r>
    </w:p>
    <w:p>
      <w:pPr>
        <w:pStyle w:val="BodyText"/>
        <w:spacing w:line="272" w:lineRule="exact" w:before="27"/>
        <w:ind w:right="1133"/>
        <w:jc w:val="left"/>
        <w:rPr>
          <w:rFonts w:ascii="宋体" w:hAnsi="宋体" w:cs="宋体" w:eastAsia="宋体" w:hint="default"/>
        </w:rPr>
      </w:pPr>
      <w:r>
        <w:rPr>
          <w:spacing w:val="-2"/>
        </w:rPr>
        <w:t>信用风险自初始确认后是否已显著增加。在确定信用风险自初始确认后是否显著增加时，本公司考虑无须</w:t>
      </w:r>
      <w:r>
        <w:rPr>
          <w:spacing w:val="-43"/>
        </w:rPr>
        <w:t> </w:t>
      </w:r>
      <w:r>
        <w:rPr>
          <w:spacing w:val="-43"/>
        </w:rPr>
      </w:r>
      <w:r>
        <w:rPr>
          <w:spacing w:val="-7"/>
          <w:w w:val="100"/>
        </w:rPr>
        <w:t>付出不必要的额外成本或努力即可获得的合理且有依据的信息，包括前瞻性信息。本公司考虑的信息包括：</w:t>
      </w:r>
      <w:r>
        <w:rPr>
          <w:rFonts w:ascii="宋体" w:hAnsi="宋体" w:cs="宋体" w:eastAsia="宋体" w:hint="default"/>
          <w:w w:val="100"/>
        </w:rPr>
        <w:t> </w:t>
      </w:r>
    </w:p>
    <w:p>
      <w:pPr>
        <w:pStyle w:val="BodyText"/>
        <w:spacing w:line="240" w:lineRule="auto" w:before="94"/>
        <w:ind w:left="573" w:right="1133"/>
        <w:jc w:val="left"/>
        <w:rPr>
          <w:rFonts w:ascii="宋体" w:hAnsi="宋体" w:cs="宋体" w:eastAsia="宋体" w:hint="default"/>
        </w:rPr>
      </w:pPr>
      <w:r>
        <w:rPr>
          <w:rFonts w:ascii="宋体" w:hAnsi="宋体" w:cs="宋体" w:eastAsia="宋体" w:hint="default"/>
        </w:rPr>
        <w:t>A.</w:t>
      </w:r>
      <w:r>
        <w:rPr>
          <w:rFonts w:ascii="宋体" w:hAnsi="宋体" w:cs="宋体" w:eastAsia="宋体" w:hint="default"/>
          <w:spacing w:val="-8"/>
        </w:rPr>
        <w:t> </w:t>
      </w:r>
      <w:r>
        <w:rPr/>
        <w:t>信用风险变化所导致的内部价格指标是否发生显著变化；</w:t>
      </w:r>
      <w:r>
        <w:rPr>
          <w:rFonts w:ascii="宋体" w:hAnsi="宋体" w:cs="宋体" w:eastAsia="宋体" w:hint="default"/>
        </w:rPr>
        <w:t> </w:t>
      </w:r>
    </w:p>
    <w:p>
      <w:pPr>
        <w:pStyle w:val="BodyText"/>
        <w:spacing w:line="394" w:lineRule="exact" w:before="46"/>
        <w:ind w:left="573" w:right="1021"/>
        <w:jc w:val="left"/>
      </w:pPr>
      <w:r>
        <w:rPr>
          <w:rFonts w:ascii="宋体" w:hAnsi="宋体" w:cs="宋体" w:eastAsia="宋体" w:hint="default"/>
          <w:w w:val="100"/>
        </w:rPr>
        <w:t>B.</w:t>
      </w:r>
      <w:r>
        <w:rPr>
          <w:rFonts w:ascii="宋体" w:hAnsi="宋体" w:cs="宋体" w:eastAsia="宋体" w:hint="default"/>
          <w:spacing w:val="9"/>
          <w:w w:val="100"/>
        </w:rPr>
        <w:t> </w:t>
      </w:r>
      <w:r>
        <w:rPr>
          <w:spacing w:val="-5"/>
          <w:w w:val="100"/>
        </w:rPr>
        <w:t>预期将导致债务人履行其偿债义务的能力是否发生显著变化的业务、财务或经济状况的不利变化；</w:t>
      </w:r>
      <w:r>
        <w:rPr>
          <w:spacing w:val="-94"/>
          <w:w w:val="100"/>
        </w:rPr>
        <w:t> </w:t>
      </w:r>
      <w:r>
        <w:rPr>
          <w:rFonts w:ascii="宋体" w:hAnsi="宋体" w:cs="宋体" w:eastAsia="宋体" w:hint="default"/>
          <w:spacing w:val="-94"/>
          <w:w w:val="100"/>
        </w:rPr>
      </w:r>
      <w:r>
        <w:rPr>
          <w:rFonts w:ascii="宋体" w:hAnsi="宋体" w:cs="宋体" w:eastAsia="宋体" w:hint="default"/>
        </w:rPr>
        <w:t>C.</w:t>
      </w:r>
      <w:r>
        <w:rPr>
          <w:rFonts w:ascii="宋体" w:hAnsi="宋体" w:cs="宋体" w:eastAsia="宋体" w:hint="default"/>
          <w:spacing w:val="80"/>
        </w:rPr>
        <w:t> </w:t>
      </w:r>
      <w:r>
        <w:rPr/>
        <w:t>债务人经营成果实际或预期是否发生显著变化；债务人所处的监管、经济或技术环境是否发生显</w:t>
      </w:r>
    </w:p>
    <w:p>
      <w:pPr>
        <w:pStyle w:val="BodyText"/>
        <w:spacing w:line="222" w:lineRule="exact"/>
        <w:ind w:right="1133"/>
        <w:jc w:val="left"/>
        <w:rPr>
          <w:rFonts w:ascii="宋体" w:hAnsi="宋体" w:cs="宋体" w:eastAsia="宋体" w:hint="default"/>
        </w:rPr>
      </w:pPr>
      <w:r>
        <w:rPr/>
        <w:t>著不利变化；</w:t>
      </w:r>
      <w:r>
        <w:rPr>
          <w:rFonts w:ascii="宋体" w:hAnsi="宋体" w:cs="宋体" w:eastAsia="宋体" w:hint="default"/>
        </w:rPr>
        <w:t> </w:t>
      </w:r>
    </w:p>
    <w:p>
      <w:pPr>
        <w:pStyle w:val="BodyText"/>
        <w:spacing w:line="272" w:lineRule="exact" w:before="146"/>
        <w:ind w:right="1134" w:firstLine="420"/>
        <w:jc w:val="both"/>
        <w:rPr>
          <w:rFonts w:ascii="宋体" w:hAnsi="宋体" w:cs="宋体" w:eastAsia="宋体" w:hint="default"/>
        </w:rPr>
      </w:pPr>
      <w:r>
        <w:rPr>
          <w:rFonts w:ascii="宋体" w:hAnsi="宋体" w:cs="宋体" w:eastAsia="宋体" w:hint="default"/>
        </w:rPr>
        <w:t>D.</w:t>
      </w:r>
      <w:r>
        <w:rPr>
          <w:rFonts w:ascii="宋体" w:hAnsi="宋体" w:cs="宋体" w:eastAsia="宋体" w:hint="default"/>
          <w:spacing w:val="73"/>
        </w:rPr>
        <w:t> </w:t>
      </w:r>
      <w:r>
        <w:rPr/>
        <w:t>作为债务抵押的担保物价值或第三方提供的担保或信用增级质量是否发生显著变化。这些变化预</w:t>
      </w:r>
      <w:r>
        <w:rPr>
          <w:w w:val="100"/>
        </w:rPr>
        <w:t> </w:t>
      </w:r>
      <w:r>
        <w:rPr/>
        <w:t>期将降低债务人按合同规定期限还款的经济动机或者影响违约概率；</w:t>
      </w:r>
      <w:r>
        <w:rPr>
          <w:rFonts w:ascii="宋体" w:hAnsi="宋体" w:cs="宋体" w:eastAsia="宋体" w:hint="default"/>
        </w:rPr>
        <w:t> </w:t>
      </w:r>
    </w:p>
    <w:p>
      <w:pPr>
        <w:pStyle w:val="BodyText"/>
        <w:spacing w:line="240" w:lineRule="auto" w:before="94"/>
        <w:ind w:left="573" w:right="1133"/>
        <w:jc w:val="left"/>
        <w:rPr>
          <w:rFonts w:ascii="宋体" w:hAnsi="宋体" w:cs="宋体" w:eastAsia="宋体" w:hint="default"/>
        </w:rPr>
      </w:pPr>
      <w:r>
        <w:rPr>
          <w:rFonts w:ascii="宋体" w:hAnsi="宋体" w:cs="宋体" w:eastAsia="宋体" w:hint="default"/>
        </w:rPr>
        <w:t>E.</w:t>
      </w:r>
      <w:r>
        <w:rPr>
          <w:rFonts w:ascii="宋体" w:hAnsi="宋体" w:cs="宋体" w:eastAsia="宋体" w:hint="default"/>
          <w:spacing w:val="-9"/>
        </w:rPr>
        <w:t> </w:t>
      </w:r>
      <w:r>
        <w:rPr/>
        <w:t>预期将降低债务人按合同约定期限还款的经济动机是否发生显著变化；</w:t>
      </w:r>
      <w:r>
        <w:rPr>
          <w:rFonts w:ascii="宋体" w:hAnsi="宋体" w:cs="宋体" w:eastAsia="宋体" w:hint="default"/>
        </w:rPr>
        <w:t> </w:t>
      </w:r>
    </w:p>
    <w:p>
      <w:pPr>
        <w:pStyle w:val="BodyText"/>
        <w:spacing w:line="240" w:lineRule="auto" w:before="116"/>
        <w:ind w:right="1134" w:firstLine="420"/>
        <w:jc w:val="both"/>
        <w:rPr>
          <w:rFonts w:ascii="宋体" w:hAnsi="宋体" w:cs="宋体" w:eastAsia="宋体" w:hint="default"/>
        </w:rPr>
      </w:pPr>
      <w:r>
        <w:rPr>
          <w:rFonts w:ascii="宋体" w:hAnsi="宋体" w:cs="宋体" w:eastAsia="宋体" w:hint="default"/>
        </w:rPr>
        <w:t>F.</w:t>
      </w:r>
      <w:r>
        <w:rPr>
          <w:rFonts w:ascii="宋体" w:hAnsi="宋体" w:cs="宋体" w:eastAsia="宋体" w:hint="default"/>
          <w:spacing w:val="73"/>
        </w:rPr>
        <w:t> </w:t>
      </w:r>
      <w:r>
        <w:rPr/>
        <w:t>借款合同的预期变更，包括预计违反合同的行为是否可能导致的合同义务的免除或修订、给予免</w:t>
      </w:r>
      <w:r>
        <w:rPr>
          <w:w w:val="100"/>
        </w:rPr>
        <w:t> </w:t>
      </w:r>
      <w:r>
        <w:rPr/>
        <w:t>息期、利率跳升、要求追加抵押品或担保或者对金融工具的合同框架做出其他变更；</w:t>
      </w:r>
      <w:r>
        <w:rPr>
          <w:rFonts w:ascii="宋体" w:hAnsi="宋体" w:cs="宋体" w:eastAsia="宋体" w:hint="default"/>
        </w:rPr>
        <w:t> </w:t>
      </w:r>
    </w:p>
    <w:p>
      <w:pPr>
        <w:pStyle w:val="BodyText"/>
        <w:spacing w:line="240" w:lineRule="auto" w:before="116"/>
        <w:ind w:left="573" w:right="1133"/>
        <w:jc w:val="left"/>
        <w:rPr>
          <w:rFonts w:ascii="宋体" w:hAnsi="宋体" w:cs="宋体" w:eastAsia="宋体" w:hint="default"/>
        </w:rPr>
      </w:pPr>
      <w:r>
        <w:rPr>
          <w:rFonts w:ascii="宋体" w:hAnsi="宋体" w:cs="宋体" w:eastAsia="宋体" w:hint="default"/>
        </w:rPr>
        <w:t>G.</w:t>
      </w:r>
      <w:r>
        <w:rPr>
          <w:rFonts w:ascii="宋体" w:hAnsi="宋体" w:cs="宋体" w:eastAsia="宋体" w:hint="default"/>
          <w:spacing w:val="-6"/>
        </w:rPr>
        <w:t> </w:t>
      </w:r>
      <w:r>
        <w:rPr/>
        <w:t>债务人预期表现和还款行为是否发生显著变化；</w:t>
      </w:r>
      <w:r>
        <w:rPr>
          <w:rFonts w:ascii="宋体" w:hAnsi="宋体" w:cs="宋体" w:eastAsia="宋体" w:hint="default"/>
        </w:rPr>
        <w:t> </w:t>
      </w:r>
    </w:p>
    <w:p>
      <w:pPr>
        <w:pStyle w:val="BodyText"/>
        <w:spacing w:line="237" w:lineRule="auto" w:before="122"/>
        <w:ind w:right="1126" w:firstLine="420"/>
        <w:jc w:val="both"/>
      </w:pPr>
      <w:r>
        <w:rPr>
          <w:spacing w:val="-2"/>
        </w:rPr>
        <w:t>根据金融工具的性质，本公司以单项金融工具或金融工具组合为基础评估信用风险是否显著增加。以</w:t>
      </w:r>
      <w:r>
        <w:rPr>
          <w:w w:val="100"/>
        </w:rPr>
        <w:t> </w:t>
      </w:r>
      <w:r>
        <w:rPr>
          <w:spacing w:val="-2"/>
        </w:rPr>
        <w:t>金融工具组合为基础进行评估时，本公司可基于共同信用风险特征对金融工具进行分类，例如逾期信息和</w:t>
      </w:r>
      <w:r>
        <w:rPr>
          <w:spacing w:val="-44"/>
        </w:rPr>
        <w:t> </w:t>
      </w:r>
      <w:r>
        <w:rPr>
          <w:spacing w:val="-44"/>
        </w:rPr>
      </w:r>
      <w:r>
        <w:rPr/>
        <w:t>信用风险评级。通常情况下，如果逾期超过 </w:t>
      </w:r>
      <w:r>
        <w:rPr>
          <w:rFonts w:ascii="宋体" w:hAnsi="宋体" w:cs="宋体" w:eastAsia="宋体" w:hint="default"/>
        </w:rPr>
        <w:t>30</w:t>
      </w:r>
      <w:r>
        <w:rPr>
          <w:rFonts w:ascii="宋体" w:hAnsi="宋体" w:cs="宋体" w:eastAsia="宋体" w:hint="default"/>
          <w:spacing w:val="-28"/>
        </w:rPr>
        <w:t> </w:t>
      </w:r>
      <w:r>
        <w:rPr/>
        <w:t>日，本公司确定金融工具的信用风险已经显著增加。除非</w:t>
      </w:r>
    </w:p>
    <w:p>
      <w:pPr>
        <w:pStyle w:val="BodyText"/>
        <w:spacing w:line="274" w:lineRule="exact" w:before="22"/>
        <w:ind w:right="819"/>
        <w:jc w:val="left"/>
        <w:rPr>
          <w:rFonts w:ascii="宋体" w:hAnsi="宋体" w:cs="宋体" w:eastAsia="宋体" w:hint="default"/>
        </w:rPr>
      </w:pPr>
      <w:r>
        <w:rPr>
          <w:spacing w:val="-4"/>
          <w:w w:val="100"/>
        </w:rPr>
        <w:t>本公司无需付出过多成本或努力即可获得合理且有依据的信息，证明虽然超过合同约定的付款期限</w:t>
      </w:r>
      <w:r>
        <w:rPr>
          <w:spacing w:val="-61"/>
          <w:w w:val="100"/>
        </w:rPr>
        <w:t> </w:t>
      </w:r>
      <w:r>
        <w:rPr>
          <w:rFonts w:ascii="宋体" w:hAnsi="宋体" w:cs="宋体" w:eastAsia="宋体" w:hint="default"/>
          <w:w w:val="100"/>
        </w:rPr>
        <w:t>30</w:t>
      </w:r>
      <w:r>
        <w:rPr>
          <w:rFonts w:ascii="宋体" w:hAnsi="宋体" w:cs="宋体" w:eastAsia="宋体" w:hint="default"/>
          <w:spacing w:val="-65"/>
          <w:w w:val="100"/>
        </w:rPr>
        <w:t> </w:t>
      </w:r>
      <w:r>
        <w:rPr>
          <w:spacing w:val="-3"/>
          <w:w w:val="100"/>
        </w:rPr>
        <w:t>天， </w:t>
      </w:r>
      <w:r>
        <w:rPr/>
        <w:t>但信用风险自初始确认以来并未显著增加。</w:t>
      </w:r>
      <w:r>
        <w:rPr>
          <w:rFonts w:ascii="宋体" w:hAnsi="宋体" w:cs="宋体" w:eastAsia="宋体" w:hint="default"/>
        </w:rPr>
        <w:t> </w:t>
      </w:r>
    </w:p>
    <w:p>
      <w:pPr>
        <w:pStyle w:val="BodyText"/>
        <w:spacing w:line="240" w:lineRule="auto" w:before="91"/>
        <w:ind w:left="573" w:right="1133"/>
        <w:jc w:val="left"/>
        <w:rPr>
          <w:rFonts w:ascii="宋体" w:hAnsi="宋体" w:cs="宋体" w:eastAsia="宋体" w:hint="default"/>
        </w:rPr>
      </w:pPr>
      <w:r>
        <w:rPr/>
        <w:t>（</w:t>
      </w:r>
      <w:r>
        <w:rPr>
          <w:rFonts w:ascii="宋体" w:hAnsi="宋体" w:cs="宋体" w:eastAsia="宋体" w:hint="default"/>
        </w:rPr>
        <w:t>4</w:t>
      </w:r>
      <w:r>
        <w:rPr/>
        <w:t>）已发生信用减值的金融资产</w:t>
      </w:r>
      <w:r>
        <w:rPr>
          <w:rFonts w:ascii="宋体" w:hAnsi="宋体" w:cs="宋体" w:eastAsia="宋体" w:hint="default"/>
        </w:rPr>
        <w:t> </w:t>
      </w:r>
    </w:p>
    <w:p>
      <w:pPr>
        <w:spacing w:after="0" w:line="240" w:lineRule="auto"/>
        <w:jc w:val="left"/>
        <w:rPr>
          <w:rFonts w:ascii="宋体" w:hAnsi="宋体" w:cs="宋体" w:eastAsia="宋体" w:hint="default"/>
        </w:rPr>
        <w:sectPr>
          <w:pgSz w:w="11910" w:h="16840"/>
          <w:pgMar w:header="921" w:footer="725" w:top="1160" w:bottom="920" w:left="980" w:right="0"/>
        </w:sectPr>
      </w:pPr>
    </w:p>
    <w:p>
      <w:pPr>
        <w:spacing w:line="240" w:lineRule="auto" w:before="12"/>
        <w:rPr>
          <w:rFonts w:ascii="宋体" w:hAnsi="宋体" w:cs="宋体" w:eastAsia="宋体" w:hint="default"/>
          <w:sz w:val="15"/>
          <w:szCs w:val="15"/>
        </w:rPr>
      </w:pPr>
    </w:p>
    <w:p>
      <w:pPr>
        <w:pStyle w:val="BodyText"/>
        <w:spacing w:line="237" w:lineRule="auto" w:before="38"/>
        <w:ind w:right="819" w:firstLine="420"/>
        <w:jc w:val="left"/>
        <w:rPr>
          <w:rFonts w:ascii="宋体" w:hAnsi="宋体" w:cs="宋体" w:eastAsia="宋体" w:hint="default"/>
        </w:rPr>
      </w:pPr>
      <w:r>
        <w:rPr>
          <w:spacing w:val="2"/>
        </w:rPr>
        <w:t>本公司在资产负债表日评估以摊余成本计量的金融资产和以公允价值计量且其变动计入其他综合收</w:t>
      </w:r>
      <w:r>
        <w:rPr>
          <w:w w:val="100"/>
        </w:rPr>
        <w:t> </w:t>
      </w:r>
      <w:r>
        <w:rPr>
          <w:spacing w:val="-2"/>
        </w:rPr>
        <w:t>益的债权投资是否已发生信用减值。当对金融资产预期未来现金流量具有不利影响的一项或多项事件发生</w:t>
      </w:r>
      <w:r>
        <w:rPr>
          <w:spacing w:val="-43"/>
        </w:rPr>
        <w:t> </w:t>
      </w:r>
      <w:r>
        <w:rPr>
          <w:spacing w:val="-43"/>
        </w:rPr>
      </w:r>
      <w:r>
        <w:rPr/>
        <w:t>时，该金融资产成为已发生信用减值的金融资产。金融资产已发生信用减值的证据包括下列可观察信息：</w:t>
      </w:r>
      <w:r>
        <w:rPr>
          <w:spacing w:val="-24"/>
        </w:rPr>
        <w:t> </w:t>
      </w:r>
      <w:r>
        <w:rPr>
          <w:spacing w:val="-24"/>
        </w:rPr>
      </w:r>
      <w:r>
        <w:rPr>
          <w:spacing w:val="-2"/>
        </w:rPr>
        <w:t>发行方或债务人发生重大财务困难；债务人违反合同，如偿付利息或本金违约或逾期等；债权人出于与债</w:t>
      </w:r>
      <w:r>
        <w:rPr>
          <w:spacing w:val="-43"/>
        </w:rPr>
        <w:t> </w:t>
      </w:r>
      <w:r>
        <w:rPr>
          <w:spacing w:val="-43"/>
        </w:rPr>
      </w:r>
      <w:r>
        <w:rPr>
          <w:spacing w:val="-2"/>
        </w:rPr>
        <w:t>务人财务困难有关的经济或合同考虑，给予债务人在任何其他情况下都不会做出的让步；债务人很可能破</w:t>
      </w:r>
      <w:r>
        <w:rPr>
          <w:spacing w:val="-44"/>
        </w:rPr>
        <w:t> </w:t>
      </w:r>
      <w:r>
        <w:rPr>
          <w:spacing w:val="-44"/>
        </w:rPr>
      </w:r>
      <w:r>
        <w:rPr>
          <w:spacing w:val="-2"/>
        </w:rPr>
        <w:t>产或进行其他财务重组；发行方或债务人财务困难导致该金融资产的活跃市场消失；以大幅折扣购买或源</w:t>
      </w:r>
      <w:r>
        <w:rPr>
          <w:spacing w:val="-42"/>
        </w:rPr>
        <w:t> </w:t>
      </w:r>
      <w:r>
        <w:rPr>
          <w:spacing w:val="-42"/>
        </w:rPr>
      </w:r>
      <w:r>
        <w:rPr/>
        <w:t>生一项金融资产，该折扣反映了发生信用损失的事实。</w:t>
      </w:r>
      <w:r>
        <w:rPr>
          <w:rFonts w:ascii="宋体" w:hAnsi="宋体" w:cs="宋体" w:eastAsia="宋体" w:hint="default"/>
        </w:rPr>
        <w:t> </w:t>
      </w:r>
    </w:p>
    <w:p>
      <w:pPr>
        <w:pStyle w:val="BodyText"/>
        <w:spacing w:line="394" w:lineRule="exact" w:before="46"/>
        <w:ind w:left="573" w:right="819"/>
        <w:jc w:val="left"/>
      </w:pPr>
      <w:r>
        <w:rPr/>
        <w:t>（</w:t>
      </w:r>
      <w:r>
        <w:rPr>
          <w:rFonts w:ascii="宋体" w:hAnsi="宋体" w:cs="宋体" w:eastAsia="宋体" w:hint="default"/>
        </w:rPr>
        <w:t>5</w:t>
      </w:r>
      <w:r>
        <w:rPr/>
        <w:t>）预期信用损失准备的列报</w:t>
      </w:r>
      <w:r>
        <w:rPr>
          <w:rFonts w:ascii="宋体" w:hAnsi="宋体" w:cs="宋体" w:eastAsia="宋体" w:hint="default"/>
          <w:w w:val="100"/>
        </w:rPr>
        <w:t> </w:t>
      </w:r>
      <w:r>
        <w:rPr>
          <w:spacing w:val="-2"/>
        </w:rPr>
        <w:t>为反映金融工具的信用风险自初始确认后的变化，本公司在每个资产负债表日重新计量预期信用损失，</w:t>
      </w:r>
    </w:p>
    <w:p>
      <w:pPr>
        <w:pStyle w:val="BodyText"/>
        <w:spacing w:line="221" w:lineRule="exact"/>
        <w:ind w:right="819"/>
        <w:jc w:val="left"/>
      </w:pPr>
      <w:r>
        <w:rPr/>
        <w:t>由此形成的损失准备的增加或转回金额，应当作为减值损失或利得计入当期损益。对于以摊余成本计量的</w:t>
      </w:r>
    </w:p>
    <w:p>
      <w:pPr>
        <w:pStyle w:val="BodyText"/>
        <w:spacing w:line="272" w:lineRule="exact" w:before="27"/>
        <w:ind w:right="1133"/>
        <w:jc w:val="left"/>
        <w:rPr>
          <w:rFonts w:ascii="宋体" w:hAnsi="宋体" w:cs="宋体" w:eastAsia="宋体" w:hint="default"/>
        </w:rPr>
      </w:pPr>
      <w:r>
        <w:rPr>
          <w:spacing w:val="-2"/>
        </w:rPr>
        <w:t>金融资产，损失准备抵减该金融资产在资产负债表中列示的账面价值；对于以公允价值计量且其变动计入</w:t>
      </w:r>
      <w:r>
        <w:rPr>
          <w:spacing w:val="-42"/>
        </w:rPr>
        <w:t> </w:t>
      </w:r>
      <w:r>
        <w:rPr>
          <w:spacing w:val="-42"/>
        </w:rPr>
      </w:r>
      <w:r>
        <w:rPr/>
        <w:t>其他综合收益的债权投资，本公司在其他综合收益中确认其损失准备，不抵减该金融资产的账面价值。</w:t>
      </w:r>
      <w:r>
        <w:rPr>
          <w:rFonts w:ascii="宋体" w:hAnsi="宋体" w:cs="宋体" w:eastAsia="宋体" w:hint="default"/>
        </w:rPr>
        <w:t> </w:t>
      </w:r>
    </w:p>
    <w:p>
      <w:pPr>
        <w:pStyle w:val="BodyText"/>
        <w:spacing w:line="392" w:lineRule="exact" w:before="25"/>
        <w:ind w:left="573" w:right="1133"/>
        <w:jc w:val="left"/>
      </w:pPr>
      <w:r>
        <w:rPr/>
        <w:t>（</w:t>
      </w:r>
      <w:r>
        <w:rPr>
          <w:rFonts w:ascii="宋体" w:hAnsi="宋体" w:cs="宋体" w:eastAsia="宋体" w:hint="default"/>
        </w:rPr>
        <w:t>6</w:t>
      </w:r>
      <w:r>
        <w:rPr/>
        <w:t>）核销</w:t>
      </w:r>
      <w:r>
        <w:rPr>
          <w:rFonts w:ascii="宋体" w:hAnsi="宋体" w:cs="宋体" w:eastAsia="宋体" w:hint="default"/>
          <w:w w:val="100"/>
        </w:rPr>
        <w:t> </w:t>
      </w:r>
      <w:r>
        <w:rPr>
          <w:spacing w:val="-2"/>
        </w:rPr>
        <w:t>如果本公司不再合理预期金融资产合同现金流量能够全部或部分收回，则直接减记该金融资产的账面</w:t>
      </w:r>
    </w:p>
    <w:p>
      <w:pPr>
        <w:pStyle w:val="BodyText"/>
        <w:spacing w:line="223" w:lineRule="exact"/>
        <w:ind w:right="819"/>
        <w:jc w:val="left"/>
      </w:pPr>
      <w:r>
        <w:rPr/>
        <w:t>余额。这种减记构成相关金融资产的终止确认。这种情况通常发生在本公司确定债务人没有资产或收入来</w:t>
      </w:r>
    </w:p>
    <w:p>
      <w:pPr>
        <w:pStyle w:val="BodyText"/>
        <w:spacing w:line="240" w:lineRule="auto"/>
        <w:ind w:right="1133"/>
        <w:jc w:val="left"/>
        <w:rPr>
          <w:rFonts w:ascii="宋体" w:hAnsi="宋体" w:cs="宋体" w:eastAsia="宋体" w:hint="default"/>
        </w:rPr>
      </w:pPr>
      <w:r>
        <w:rPr>
          <w:spacing w:val="-2"/>
        </w:rPr>
        <w:t>源可产生足够的现金流量以偿还将被减记的金额。已减记的金融资产以后又收回的，作为减值损失的转回</w:t>
      </w:r>
      <w:r>
        <w:rPr>
          <w:spacing w:val="-43"/>
        </w:rPr>
        <w:t> </w:t>
      </w:r>
      <w:r>
        <w:rPr>
          <w:spacing w:val="-43"/>
        </w:rPr>
      </w:r>
      <w:r>
        <w:rPr/>
        <w:t>计入收回当期的损益。</w:t>
      </w:r>
      <w:r>
        <w:rPr>
          <w:rFonts w:ascii="宋体" w:hAnsi="宋体" w:cs="宋体" w:eastAsia="宋体" w:hint="default"/>
        </w:rPr>
        <w:t> </w:t>
      </w:r>
    </w:p>
    <w:p>
      <w:pPr>
        <w:pStyle w:val="BodyText"/>
        <w:spacing w:line="240" w:lineRule="auto" w:before="116"/>
        <w:ind w:left="573" w:right="1133"/>
        <w:jc w:val="left"/>
        <w:rPr>
          <w:rFonts w:ascii="宋体" w:hAnsi="宋体" w:cs="宋体" w:eastAsia="宋体" w:hint="default"/>
        </w:rPr>
      </w:pPr>
      <w:r>
        <w:rPr>
          <w:rFonts w:ascii="宋体" w:hAnsi="宋体" w:cs="宋体" w:eastAsia="宋体" w:hint="default"/>
        </w:rPr>
        <w:t>8</w:t>
      </w:r>
      <w:r>
        <w:rPr/>
        <w:t>、利得和损失</w:t>
      </w:r>
      <w:r>
        <w:rPr>
          <w:rFonts w:ascii="宋体" w:hAnsi="宋体" w:cs="宋体" w:eastAsia="宋体" w:hint="default"/>
          <w:spacing w:val="-3"/>
        </w:rPr>
        <w:t> </w:t>
      </w:r>
      <w:r>
        <w:rPr>
          <w:rFonts w:ascii="宋体" w:hAnsi="宋体" w:cs="宋体" w:eastAsia="宋体" w:hint="default"/>
        </w:rPr>
        <w:t> </w:t>
      </w:r>
    </w:p>
    <w:p>
      <w:pPr>
        <w:pStyle w:val="BodyText"/>
        <w:spacing w:line="272" w:lineRule="exact" w:before="146"/>
        <w:ind w:right="1133" w:firstLine="420"/>
        <w:jc w:val="left"/>
        <w:rPr>
          <w:rFonts w:ascii="宋体" w:hAnsi="宋体" w:cs="宋体" w:eastAsia="宋体" w:hint="default"/>
        </w:rPr>
      </w:pPr>
      <w:r>
        <w:rPr>
          <w:spacing w:val="-2"/>
        </w:rPr>
        <w:t>本公司将以公允价值计量的金融资产或金融负债的利得或损失计入当期损益，除非该金融资产或金融</w:t>
      </w:r>
      <w:r>
        <w:rPr>
          <w:w w:val="100"/>
        </w:rPr>
        <w:t> </w:t>
      </w:r>
      <w:r>
        <w:rPr/>
        <w:t>负债属于下列情形之一：</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94"/>
        <w:ind w:left="573" w:right="1133"/>
        <w:jc w:val="left"/>
        <w:rPr>
          <w:rFonts w:ascii="宋体" w:hAnsi="宋体" w:cs="宋体" w:eastAsia="宋体" w:hint="default"/>
        </w:rPr>
      </w:pPr>
      <w:r>
        <w:rPr/>
        <w:t>（</w:t>
      </w:r>
      <w:r>
        <w:rPr>
          <w:rFonts w:ascii="宋体" w:hAnsi="宋体" w:cs="宋体" w:eastAsia="宋体" w:hint="default"/>
        </w:rPr>
        <w:t>1</w:t>
      </w:r>
      <w:r>
        <w:rPr/>
        <w:t>）属于《企业会计准则第</w:t>
      </w:r>
      <w:r>
        <w:rPr>
          <w:spacing w:val="-57"/>
        </w:rPr>
        <w:t> </w:t>
      </w:r>
      <w:r>
        <w:rPr>
          <w:rFonts w:ascii="宋体" w:hAnsi="宋体" w:cs="宋体" w:eastAsia="宋体" w:hint="default"/>
        </w:rPr>
        <w:t>24</w:t>
      </w:r>
      <w:r>
        <w:rPr>
          <w:rFonts w:ascii="宋体" w:hAnsi="宋体" w:cs="宋体" w:eastAsia="宋体" w:hint="default"/>
          <w:spacing w:val="-59"/>
        </w:rPr>
        <w:t> </w:t>
      </w:r>
      <w:r>
        <w:rPr/>
        <w:t>号——套期会计》规定的套期关系的一部分。</w:t>
      </w:r>
      <w:r>
        <w:rPr>
          <w:rFonts w:ascii="宋体" w:hAnsi="宋体" w:cs="宋体" w:eastAsia="宋体" w:hint="default"/>
          <w:spacing w:val="-3"/>
        </w:rPr>
        <w:t> </w:t>
      </w:r>
      <w:r>
        <w:rPr>
          <w:rFonts w:ascii="宋体" w:hAnsi="宋体" w:cs="宋体" w:eastAsia="宋体" w:hint="default"/>
        </w:rPr>
        <w:t> </w:t>
      </w:r>
    </w:p>
    <w:p>
      <w:pPr>
        <w:pStyle w:val="BodyText"/>
        <w:spacing w:line="272" w:lineRule="exact" w:before="144"/>
        <w:ind w:right="1133" w:firstLine="420"/>
        <w:jc w:val="left"/>
        <w:rPr>
          <w:rFonts w:ascii="宋体" w:hAnsi="宋体" w:cs="宋体" w:eastAsia="宋体" w:hint="default"/>
        </w:rPr>
      </w:pPr>
      <w:r>
        <w:rPr/>
        <w:t>（</w:t>
      </w:r>
      <w:r>
        <w:rPr>
          <w:rFonts w:ascii="宋体" w:hAnsi="宋体" w:cs="宋体" w:eastAsia="宋体" w:hint="default"/>
        </w:rPr>
        <w:t>2</w:t>
      </w:r>
      <w:r>
        <w:rPr/>
        <w:t>）是一项对非交易性权益工具的投资，且本公司将其指定为以公允价值计量且其变动计入其他综</w:t>
      </w:r>
      <w:r>
        <w:rPr>
          <w:w w:val="100"/>
        </w:rPr>
        <w:t> </w:t>
      </w:r>
      <w:r>
        <w:rPr/>
        <w:t>合收益的金融资产。</w:t>
      </w:r>
      <w:r>
        <w:rPr>
          <w:rFonts w:ascii="宋体" w:hAnsi="宋体" w:cs="宋体" w:eastAsia="宋体" w:hint="default"/>
          <w:spacing w:val="-3"/>
        </w:rPr>
        <w:t> </w:t>
      </w:r>
      <w:r>
        <w:rPr>
          <w:rFonts w:ascii="宋体" w:hAnsi="宋体" w:cs="宋体" w:eastAsia="宋体" w:hint="default"/>
        </w:rPr>
        <w:t> </w:t>
      </w:r>
    </w:p>
    <w:p>
      <w:pPr>
        <w:pStyle w:val="BodyText"/>
        <w:spacing w:line="272" w:lineRule="exact" w:before="121"/>
        <w:ind w:right="1133" w:firstLine="420"/>
        <w:jc w:val="left"/>
        <w:rPr>
          <w:rFonts w:ascii="宋体" w:hAnsi="宋体" w:cs="宋体" w:eastAsia="宋体" w:hint="default"/>
        </w:rPr>
      </w:pPr>
      <w:r>
        <w:rPr/>
        <w:t>（</w:t>
      </w:r>
      <w:r>
        <w:rPr>
          <w:rFonts w:ascii="宋体" w:hAnsi="宋体" w:cs="宋体" w:eastAsia="宋体" w:hint="default"/>
        </w:rPr>
        <w:t>3</w:t>
      </w:r>
      <w:r>
        <w:rPr/>
        <w:t>）是一项被指定为以公允价值计量且其变动计入当期损益的金融负债，该负债由本公司自身信用</w:t>
      </w:r>
      <w:r>
        <w:rPr>
          <w:w w:val="100"/>
        </w:rPr>
        <w:t> </w:t>
      </w:r>
      <w:r>
        <w:rPr/>
        <w:t>风险变动引起的其公允价值变动应当计入其他综合收益。</w:t>
      </w:r>
      <w:r>
        <w:rPr>
          <w:rFonts w:ascii="宋体" w:hAnsi="宋体" w:cs="宋体" w:eastAsia="宋体" w:hint="default"/>
          <w:spacing w:val="-3"/>
        </w:rPr>
        <w:t> </w:t>
      </w:r>
      <w:r>
        <w:rPr>
          <w:rFonts w:ascii="宋体" w:hAnsi="宋体" w:cs="宋体" w:eastAsia="宋体" w:hint="default"/>
        </w:rPr>
        <w:t> </w:t>
      </w:r>
    </w:p>
    <w:p>
      <w:pPr>
        <w:pStyle w:val="BodyText"/>
        <w:spacing w:line="272" w:lineRule="exact" w:before="122"/>
        <w:ind w:right="1133" w:firstLine="420"/>
        <w:jc w:val="left"/>
        <w:rPr>
          <w:rFonts w:ascii="宋体" w:hAnsi="宋体" w:cs="宋体" w:eastAsia="宋体" w:hint="default"/>
        </w:rPr>
      </w:pPr>
      <w:r>
        <w:rPr>
          <w:spacing w:val="-5"/>
          <w:w w:val="100"/>
        </w:rPr>
        <w:t>（</w:t>
      </w:r>
      <w:r>
        <w:rPr>
          <w:rFonts w:ascii="宋体" w:hAnsi="宋体" w:cs="宋体" w:eastAsia="宋体" w:hint="default"/>
          <w:spacing w:val="-5"/>
          <w:w w:val="100"/>
        </w:rPr>
        <w:t>4</w:t>
      </w:r>
      <w:r>
        <w:rPr>
          <w:spacing w:val="-5"/>
          <w:w w:val="100"/>
        </w:rPr>
        <w:t>）是一项分类为以公允价值计量且其变动计入其他综合收益的金融资产（债务工具投资），其减值</w:t>
      </w:r>
      <w:r>
        <w:rPr>
          <w:w w:val="100"/>
        </w:rPr>
        <w:t> </w:t>
      </w:r>
      <w:r>
        <w:rPr/>
        <w:t>损失或利得和汇兑损益之外的公允价值变动计入其他综合收益。</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94"/>
        <w:ind w:left="573" w:right="1133"/>
        <w:jc w:val="left"/>
        <w:rPr>
          <w:rFonts w:ascii="宋体" w:hAnsi="宋体" w:cs="宋体" w:eastAsia="宋体" w:hint="default"/>
        </w:rPr>
      </w:pPr>
      <w:r>
        <w:rPr/>
        <w:t>本公司只有在同时符合下列条件时，才能确认股利收入并计入当期损益：</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116"/>
        <w:ind w:left="573" w:right="1133"/>
        <w:jc w:val="left"/>
        <w:rPr>
          <w:rFonts w:ascii="宋体" w:hAnsi="宋体" w:cs="宋体" w:eastAsia="宋体" w:hint="default"/>
        </w:rPr>
      </w:pPr>
      <w:r>
        <w:rPr/>
        <w:t>（</w:t>
      </w:r>
      <w:r>
        <w:rPr>
          <w:rFonts w:ascii="宋体" w:hAnsi="宋体" w:cs="宋体" w:eastAsia="宋体" w:hint="default"/>
        </w:rPr>
        <w:t>1</w:t>
      </w:r>
      <w:r>
        <w:rPr/>
        <w:t>）本公司收取股利的权利已经确立；</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118"/>
        <w:ind w:left="573" w:right="1133"/>
        <w:jc w:val="left"/>
        <w:rPr>
          <w:rFonts w:ascii="宋体" w:hAnsi="宋体" w:cs="宋体" w:eastAsia="宋体" w:hint="default"/>
        </w:rPr>
      </w:pPr>
      <w:r>
        <w:rPr/>
        <w:t>（</w:t>
      </w:r>
      <w:r>
        <w:rPr>
          <w:rFonts w:ascii="宋体" w:hAnsi="宋体" w:cs="宋体" w:eastAsia="宋体" w:hint="default"/>
        </w:rPr>
        <w:t>2</w:t>
      </w:r>
      <w:r>
        <w:rPr/>
        <w:t>）与股利相关的经济利益很可能流入本公司；</w:t>
      </w:r>
      <w:r>
        <w:rPr>
          <w:rFonts w:ascii="宋体" w:hAnsi="宋体" w:cs="宋体" w:eastAsia="宋体" w:hint="default"/>
          <w:spacing w:val="-3"/>
        </w:rPr>
        <w:t> </w:t>
      </w:r>
      <w:r>
        <w:rPr>
          <w:rFonts w:ascii="宋体" w:hAnsi="宋体" w:cs="宋体" w:eastAsia="宋体" w:hint="default"/>
        </w:rPr>
        <w:t> </w:t>
      </w:r>
    </w:p>
    <w:p>
      <w:pPr>
        <w:pStyle w:val="BodyText"/>
        <w:spacing w:line="394" w:lineRule="exact" w:before="46"/>
        <w:ind w:left="573" w:right="1133"/>
        <w:jc w:val="left"/>
      </w:pPr>
      <w:r>
        <w:rPr/>
        <w:t>（</w:t>
      </w:r>
      <w:r>
        <w:rPr>
          <w:rFonts w:ascii="宋体" w:hAnsi="宋体" w:cs="宋体" w:eastAsia="宋体" w:hint="default"/>
        </w:rPr>
        <w:t>3</w:t>
      </w:r>
      <w:r>
        <w:rPr/>
        <w:t>）股利的金额能够可靠计量。</w:t>
      </w:r>
      <w:r>
        <w:rPr>
          <w:rFonts w:ascii="宋体" w:hAnsi="宋体" w:cs="宋体" w:eastAsia="宋体" w:hint="default"/>
          <w:spacing w:val="-3"/>
          <w:w w:val="100"/>
        </w:rPr>
        <w:t> </w:t>
      </w:r>
      <w:r>
        <w:rPr>
          <w:rFonts w:ascii="宋体" w:hAnsi="宋体" w:cs="宋体" w:eastAsia="宋体" w:hint="default"/>
          <w:w w:val="100"/>
        </w:rPr>
        <w:t> </w:t>
      </w:r>
      <w:r>
        <w:rPr>
          <w:spacing w:val="-2"/>
        </w:rPr>
        <w:t>以摊余成本计量且不属于任何套期关系的一部分的金融资产所产生的利得或损失，在终止确认、按照</w:t>
      </w:r>
    </w:p>
    <w:p>
      <w:pPr>
        <w:pStyle w:val="BodyText"/>
        <w:spacing w:line="221" w:lineRule="exact"/>
        <w:ind w:right="819"/>
        <w:jc w:val="left"/>
      </w:pPr>
      <w:r>
        <w:rPr/>
        <w:t>本项重分类、按照实际利率法摊销或确认减值时，计入当期损益。本公司将一项以摊余成本计量的金融资</w:t>
      </w:r>
    </w:p>
    <w:p>
      <w:pPr>
        <w:pStyle w:val="BodyText"/>
        <w:spacing w:line="272" w:lineRule="exact" w:before="27"/>
        <w:ind w:right="1133"/>
        <w:jc w:val="left"/>
        <w:rPr>
          <w:rFonts w:ascii="宋体" w:hAnsi="宋体" w:cs="宋体" w:eastAsia="宋体" w:hint="default"/>
        </w:rPr>
      </w:pPr>
      <w:r>
        <w:rPr>
          <w:spacing w:val="-2"/>
        </w:rPr>
        <w:t>产重分类为以公允价值计量且其变动计入当期损益的金融资产的，按照该资产在重分类日的公允价值进行</w:t>
      </w:r>
      <w:r>
        <w:rPr>
          <w:spacing w:val="-43"/>
        </w:rPr>
        <w:t> </w:t>
      </w:r>
      <w:r>
        <w:rPr>
          <w:spacing w:val="-43"/>
        </w:rPr>
      </w:r>
      <w:r>
        <w:rPr/>
        <w:t>计量。原账面价值与公允价值之间的差额计入当期损益。</w:t>
      </w:r>
      <w:r>
        <w:rPr>
          <w:rFonts w:ascii="宋体" w:hAnsi="宋体" w:cs="宋体" w:eastAsia="宋体" w:hint="default"/>
        </w:rPr>
        <w:t> </w:t>
      </w:r>
    </w:p>
    <w:p>
      <w:pPr>
        <w:pStyle w:val="BodyText"/>
        <w:spacing w:line="237" w:lineRule="auto" w:before="96"/>
        <w:ind w:right="1126" w:firstLine="420"/>
        <w:jc w:val="both"/>
        <w:rPr>
          <w:rFonts w:ascii="宋体" w:hAnsi="宋体" w:cs="宋体" w:eastAsia="宋体" w:hint="default"/>
        </w:rPr>
      </w:pPr>
      <w:r>
        <w:rPr>
          <w:spacing w:val="2"/>
        </w:rPr>
        <w:t>将一项以摊余成本计量的金融资产重分类为以公允价值计量且其变动计入其他综合收益的金融资产</w:t>
      </w:r>
      <w:r>
        <w:rPr>
          <w:w w:val="100"/>
        </w:rPr>
        <w:t> </w:t>
      </w:r>
      <w:r>
        <w:rPr>
          <w:spacing w:val="-2"/>
        </w:rPr>
        <w:t>的，按照该金融资产在重分类日的公允价值进行计量。原账面价值与公允价值之间的差额计入其他综合收</w:t>
      </w:r>
      <w:r>
        <w:rPr>
          <w:spacing w:val="-44"/>
        </w:rPr>
        <w:t> </w:t>
      </w:r>
      <w:r>
        <w:rPr>
          <w:spacing w:val="-44"/>
        </w:rPr>
      </w:r>
      <w:r>
        <w:rPr/>
        <w:t>益。以摊余成本计量且不属于任何套期关系</w:t>
      </w:r>
      <w:r>
        <w:rPr>
          <w:spacing w:val="72"/>
        </w:rPr>
        <w:t> </w:t>
      </w:r>
      <w:r>
        <w:rPr>
          <w:rFonts w:ascii="宋体" w:hAnsi="宋体" w:cs="宋体" w:eastAsia="宋体" w:hint="default"/>
          <w:spacing w:val="72"/>
        </w:rPr>
      </w:r>
      <w:r>
        <w:rPr/>
        <w:t>的一部分的金融负债所产生的利得或损失，在终止确认时计</w:t>
      </w:r>
      <w:r>
        <w:rPr>
          <w:spacing w:val="-96"/>
        </w:rPr>
        <w:t> </w:t>
      </w:r>
      <w:r>
        <w:rPr>
          <w:spacing w:val="-96"/>
        </w:rPr>
      </w:r>
      <w:r>
        <w:rPr/>
        <w:t>入当期损益或在按照实际利率法摊销时计入相关期间损益。</w:t>
      </w:r>
      <w:r>
        <w:rPr>
          <w:rFonts w:ascii="宋体" w:hAnsi="宋体" w:cs="宋体" w:eastAsia="宋体" w:hint="default"/>
          <w:spacing w:val="-2"/>
        </w:rPr>
        <w:t> </w:t>
      </w:r>
      <w:r>
        <w:rPr>
          <w:rFonts w:ascii="宋体" w:hAnsi="宋体" w:cs="宋体" w:eastAsia="宋体" w:hint="default"/>
        </w:rPr>
        <w:t> </w:t>
      </w:r>
    </w:p>
    <w:p>
      <w:pPr>
        <w:pStyle w:val="BodyText"/>
        <w:spacing w:line="272" w:lineRule="exact" w:before="146"/>
        <w:ind w:right="1133" w:firstLine="420"/>
        <w:jc w:val="left"/>
        <w:rPr>
          <w:rFonts w:ascii="宋体" w:hAnsi="宋体" w:cs="宋体" w:eastAsia="宋体" w:hint="default"/>
        </w:rPr>
      </w:pPr>
      <w:r>
        <w:rPr>
          <w:spacing w:val="-2"/>
        </w:rPr>
        <w:t>对于本公司将金融负债指定为以公允价值计量且其变动计入当期损益的金融负债，该金融负债所产生</w:t>
      </w:r>
      <w:r>
        <w:rPr>
          <w:w w:val="100"/>
        </w:rPr>
        <w:t> </w:t>
      </w:r>
      <w:r>
        <w:rPr/>
        <w:t>的利得或损失按照</w:t>
      </w:r>
      <w:r>
        <w:rPr>
          <w:spacing w:val="-3"/>
        </w:rPr>
        <w:t> </w:t>
      </w:r>
      <w:r>
        <w:rPr>
          <w:rFonts w:ascii="宋体" w:hAnsi="宋体" w:cs="宋体" w:eastAsia="宋体" w:hint="default"/>
          <w:spacing w:val="-3"/>
        </w:rPr>
      </w:r>
      <w:r>
        <w:rPr/>
        <w:t>下列规定进行处理：</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94"/>
        <w:ind w:left="573" w:right="1133"/>
        <w:jc w:val="left"/>
        <w:rPr>
          <w:rFonts w:ascii="宋体" w:hAnsi="宋体" w:cs="宋体" w:eastAsia="宋体" w:hint="default"/>
        </w:rPr>
      </w:pPr>
      <w:r>
        <w:rPr/>
        <w:t>（</w:t>
      </w:r>
      <w:r>
        <w:rPr>
          <w:rFonts w:ascii="宋体" w:hAnsi="宋体" w:cs="宋体" w:eastAsia="宋体" w:hint="default"/>
        </w:rPr>
        <w:t>1</w:t>
      </w:r>
      <w:r>
        <w:rPr/>
        <w:t>）由本公司自身信用风险变动引起的该金融负债公允价值的变动金额，计入其他综合收益；</w:t>
      </w:r>
      <w:r>
        <w:rPr>
          <w:rFonts w:ascii="宋体" w:hAnsi="宋体" w:cs="宋体" w:eastAsia="宋体" w:hint="default"/>
          <w:spacing w:val="-3"/>
        </w:rPr>
        <w:t> </w:t>
      </w:r>
      <w:r>
        <w:rPr>
          <w:rFonts w:ascii="宋体" w:hAnsi="宋体" w:cs="宋体" w:eastAsia="宋体" w:hint="default"/>
        </w:rPr>
        <w:t> </w:t>
      </w:r>
    </w:p>
    <w:p>
      <w:pPr>
        <w:spacing w:after="0" w:line="240" w:lineRule="auto"/>
        <w:jc w:val="left"/>
        <w:rPr>
          <w:rFonts w:ascii="宋体" w:hAnsi="宋体" w:cs="宋体" w:eastAsia="宋体" w:hint="default"/>
        </w:rPr>
        <w:sectPr>
          <w:pgSz w:w="11910" w:h="16840"/>
          <w:pgMar w:header="921" w:footer="725" w:top="1160" w:bottom="920" w:left="980" w:right="0"/>
        </w:sectPr>
      </w:pPr>
    </w:p>
    <w:p>
      <w:pPr>
        <w:spacing w:line="240" w:lineRule="auto" w:before="12"/>
        <w:rPr>
          <w:rFonts w:ascii="宋体" w:hAnsi="宋体" w:cs="宋体" w:eastAsia="宋体" w:hint="default"/>
          <w:sz w:val="15"/>
          <w:szCs w:val="15"/>
        </w:rPr>
      </w:pPr>
    </w:p>
    <w:p>
      <w:pPr>
        <w:pStyle w:val="BodyText"/>
        <w:spacing w:line="240" w:lineRule="auto" w:before="36"/>
        <w:ind w:left="573" w:right="1133"/>
        <w:jc w:val="left"/>
        <w:rPr>
          <w:rFonts w:ascii="宋体" w:hAnsi="宋体" w:cs="宋体" w:eastAsia="宋体" w:hint="default"/>
        </w:rPr>
      </w:pPr>
      <w:r>
        <w:rPr/>
        <w:t>（</w:t>
      </w:r>
      <w:r>
        <w:rPr>
          <w:rFonts w:ascii="宋体" w:hAnsi="宋体" w:cs="宋体" w:eastAsia="宋体" w:hint="default"/>
        </w:rPr>
        <w:t>2</w:t>
      </w:r>
      <w:r>
        <w:rPr/>
        <w:t>）该金融负债的其他公允价值变动计入当期损益。</w:t>
      </w:r>
      <w:r>
        <w:rPr>
          <w:rFonts w:ascii="宋体" w:hAnsi="宋体" w:cs="宋体" w:eastAsia="宋体" w:hint="default"/>
          <w:spacing w:val="-3"/>
        </w:rPr>
        <w:t> </w:t>
      </w:r>
      <w:r>
        <w:rPr>
          <w:rFonts w:ascii="宋体" w:hAnsi="宋体" w:cs="宋体" w:eastAsia="宋体" w:hint="default"/>
        </w:rPr>
        <w:t> </w:t>
      </w:r>
    </w:p>
    <w:p>
      <w:pPr>
        <w:pStyle w:val="BodyText"/>
        <w:spacing w:line="237" w:lineRule="auto" w:before="119"/>
        <w:ind w:right="1126" w:firstLine="420"/>
        <w:jc w:val="both"/>
        <w:rPr>
          <w:rFonts w:ascii="宋体" w:hAnsi="宋体" w:cs="宋体" w:eastAsia="宋体" w:hint="default"/>
        </w:rPr>
      </w:pPr>
      <w:r>
        <w:rPr/>
        <w:t>按照本条第（</w:t>
      </w:r>
      <w:r>
        <w:rPr>
          <w:rFonts w:ascii="宋体" w:hAnsi="宋体" w:cs="宋体" w:eastAsia="宋体" w:hint="default"/>
        </w:rPr>
        <w:t>1</w:t>
      </w:r>
      <w:r>
        <w:rPr/>
        <w:t>）规定对该金融负债的自身信用风险变动的影响进行处理会造成或扩大损益中的会计</w:t>
      </w:r>
      <w:r>
        <w:rPr>
          <w:w w:val="100"/>
        </w:rPr>
        <w:t> </w:t>
      </w:r>
      <w:r>
        <w:rPr>
          <w:spacing w:val="-2"/>
        </w:rPr>
        <w:t>错配的，本公司将该金融负债的全部利得或损失（包括本公司自身信用风险变动的影响金额）计入当期损</w:t>
      </w:r>
      <w:r>
        <w:rPr>
          <w:spacing w:val="-44"/>
        </w:rPr>
        <w:t> </w:t>
      </w:r>
      <w:r>
        <w:rPr>
          <w:spacing w:val="-44"/>
        </w:rPr>
      </w:r>
      <w:r>
        <w:rPr>
          <w:spacing w:val="-2"/>
        </w:rPr>
        <w:t>益。该金融负债终止确认时，之前计入其他综合收益的累计利得或损失应当从其他综合收益中转出，计入</w:t>
      </w:r>
      <w:r>
        <w:rPr>
          <w:spacing w:val="-42"/>
        </w:rPr>
        <w:t> </w:t>
      </w:r>
      <w:r>
        <w:rPr>
          <w:spacing w:val="-42"/>
        </w:rPr>
      </w:r>
      <w:r>
        <w:rPr/>
        <w:t>留存收益。</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116"/>
        <w:ind w:right="819" w:firstLine="420"/>
        <w:jc w:val="left"/>
        <w:rPr>
          <w:rFonts w:ascii="宋体" w:hAnsi="宋体" w:cs="宋体" w:eastAsia="宋体" w:hint="default"/>
        </w:rPr>
      </w:pPr>
      <w:r>
        <w:rPr/>
        <w:t>本公司将非交易性权益工具投资指定为以公允价值计量且其变动计入其他综合收益的金融资产的，当</w:t>
      </w:r>
      <w:r>
        <w:rPr>
          <w:w w:val="100"/>
        </w:rPr>
        <w:t> </w:t>
      </w:r>
      <w:r>
        <w:rPr>
          <w:spacing w:val="-7"/>
          <w:w w:val="100"/>
        </w:rPr>
        <w:t>该金融资产终止确认时，之前计入其他综合收益的累计利得或损失从其他综合收益中转出，计入留存收益。</w:t>
      </w:r>
      <w:r>
        <w:rPr>
          <w:rFonts w:ascii="宋体" w:hAnsi="宋体" w:cs="宋体" w:eastAsia="宋体" w:hint="default"/>
          <w:spacing w:val="-3"/>
          <w:w w:val="100"/>
        </w:rPr>
        <w:t> </w:t>
      </w:r>
      <w:r>
        <w:rPr>
          <w:rFonts w:ascii="宋体" w:hAnsi="宋体" w:cs="宋体" w:eastAsia="宋体" w:hint="default"/>
          <w:w w:val="100"/>
        </w:rPr>
        <w:t> </w:t>
      </w:r>
    </w:p>
    <w:p>
      <w:pPr>
        <w:pStyle w:val="BodyText"/>
        <w:spacing w:line="237" w:lineRule="auto" w:before="119"/>
        <w:ind w:right="1126" w:firstLine="420"/>
        <w:jc w:val="both"/>
        <w:rPr>
          <w:rFonts w:ascii="宋体" w:hAnsi="宋体" w:cs="宋体" w:eastAsia="宋体" w:hint="default"/>
        </w:rPr>
      </w:pPr>
      <w:r>
        <w:rPr>
          <w:spacing w:val="-2"/>
        </w:rPr>
        <w:t>分类为以公允价值计量且其变动计入其他综合收益的金融资产所产生的所有利得或损失（债务工具投</w:t>
      </w:r>
      <w:r>
        <w:rPr>
          <w:w w:val="100"/>
        </w:rPr>
        <w:t> </w:t>
      </w:r>
      <w:r>
        <w:rPr>
          <w:spacing w:val="-2"/>
          <w:w w:val="100"/>
        </w:rPr>
        <w:t>资），除减值损失或利得和汇兑损益之外，均计入其他综合收益，直至该金融资产终止确认或被重分类。</w:t>
      </w:r>
      <w:r>
        <w:rPr>
          <w:spacing w:val="-94"/>
          <w:w w:val="100"/>
        </w:rPr>
        <w:t> </w:t>
      </w:r>
      <w:r>
        <w:rPr>
          <w:spacing w:val="-94"/>
          <w:w w:val="100"/>
        </w:rPr>
      </w:r>
      <w:r>
        <w:rPr>
          <w:spacing w:val="-2"/>
        </w:rPr>
        <w:t>但是，采用实际利率法计算的该金融资产的利息计入当期损益。该金融资产终止确认时，之前计入其他综</w:t>
      </w:r>
      <w:r>
        <w:rPr>
          <w:spacing w:val="-43"/>
        </w:rPr>
        <w:t> </w:t>
      </w:r>
      <w:r>
        <w:rPr>
          <w:spacing w:val="-43"/>
        </w:rPr>
      </w:r>
      <w:r>
        <w:rPr>
          <w:spacing w:val="-2"/>
        </w:rPr>
        <w:t>合收益的累计利得或损失应当从其他综合收益中转出，计入当期损益。本公司将该金融资产重分类为其他</w:t>
      </w:r>
      <w:r>
        <w:rPr>
          <w:spacing w:val="-44"/>
        </w:rPr>
        <w:t> </w:t>
      </w:r>
      <w:r>
        <w:rPr>
          <w:spacing w:val="-44"/>
        </w:rPr>
      </w:r>
      <w:r>
        <w:rPr>
          <w:spacing w:val="-2"/>
        </w:rPr>
        <w:t>类别金融资产的，对之前计入其他综合收益的累计利得或损失转出，调整该金融资产在重分类日的公允价</w:t>
      </w:r>
      <w:r>
        <w:rPr>
          <w:spacing w:val="-44"/>
        </w:rPr>
        <w:t> </w:t>
      </w:r>
      <w:r>
        <w:rPr>
          <w:spacing w:val="-44"/>
        </w:rPr>
      </w:r>
      <w:r>
        <w:rPr/>
        <w:t>值，并以调整后的金额作为新的账面价值。</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117"/>
        <w:ind w:left="573" w:right="1133"/>
        <w:jc w:val="left"/>
        <w:rPr>
          <w:rFonts w:ascii="宋体" w:hAnsi="宋体" w:cs="宋体" w:eastAsia="宋体" w:hint="default"/>
        </w:rPr>
      </w:pPr>
      <w:r>
        <w:rPr>
          <w:rFonts w:ascii="宋体" w:hAnsi="宋体" w:cs="宋体" w:eastAsia="宋体" w:hint="default"/>
        </w:rPr>
        <w:t>9</w:t>
      </w:r>
      <w:r>
        <w:rPr/>
        <w:t>、报表列示</w:t>
      </w:r>
      <w:r>
        <w:rPr>
          <w:rFonts w:ascii="宋体" w:hAnsi="宋体" w:cs="宋体" w:eastAsia="宋体" w:hint="default"/>
          <w:spacing w:val="-3"/>
        </w:rPr>
        <w:t> </w:t>
      </w:r>
      <w:r>
        <w:rPr>
          <w:rFonts w:ascii="宋体" w:hAnsi="宋体" w:cs="宋体" w:eastAsia="宋体" w:hint="default"/>
        </w:rPr>
        <w:t> </w:t>
      </w:r>
    </w:p>
    <w:p>
      <w:pPr>
        <w:pStyle w:val="BodyText"/>
        <w:spacing w:line="237" w:lineRule="auto" w:before="121"/>
        <w:ind w:right="1126" w:firstLine="420"/>
        <w:jc w:val="both"/>
        <w:rPr>
          <w:rFonts w:ascii="宋体" w:hAnsi="宋体" w:cs="宋体" w:eastAsia="宋体" w:hint="default"/>
        </w:rPr>
      </w:pPr>
      <w:r>
        <w:rPr>
          <w:spacing w:val="-2"/>
        </w:rPr>
        <w:t>本公司将分类为以公允价值计量且其变动计入当期损益的金融资产，在“交易性金融资产”科目中列</w:t>
      </w:r>
      <w:r>
        <w:rPr>
          <w:w w:val="100"/>
        </w:rPr>
        <w:t> </w:t>
      </w:r>
      <w:r>
        <w:rPr>
          <w:spacing w:val="-2"/>
        </w:rPr>
        <w:t>示。自资产负债表日起超过一年到期且预期持有超过一年的以公允价值计量且其变动计入当期损益的非流</w:t>
      </w:r>
      <w:r>
        <w:rPr>
          <w:spacing w:val="-43"/>
        </w:rPr>
        <w:t> </w:t>
      </w:r>
      <w:r>
        <w:rPr>
          <w:spacing w:val="-43"/>
        </w:rPr>
      </w:r>
      <w:r>
        <w:rPr/>
        <w:t>动金融资产，在“其他非流动金融资产”科目列示。</w:t>
      </w:r>
      <w:r>
        <w:rPr>
          <w:rFonts w:ascii="宋体" w:hAnsi="宋体" w:cs="宋体" w:eastAsia="宋体" w:hint="default"/>
          <w:spacing w:val="-3"/>
        </w:rPr>
        <w:t> </w:t>
      </w:r>
      <w:r>
        <w:rPr>
          <w:rFonts w:ascii="宋体" w:hAnsi="宋体" w:cs="宋体" w:eastAsia="宋体" w:hint="default"/>
        </w:rPr>
        <w:t> </w:t>
      </w:r>
    </w:p>
    <w:p>
      <w:pPr>
        <w:pStyle w:val="BodyText"/>
        <w:spacing w:line="237" w:lineRule="auto" w:before="119"/>
        <w:ind w:right="1126" w:firstLine="420"/>
        <w:jc w:val="both"/>
        <w:rPr>
          <w:rFonts w:ascii="宋体" w:hAnsi="宋体" w:cs="宋体" w:eastAsia="宋体" w:hint="default"/>
        </w:rPr>
      </w:pPr>
      <w:r>
        <w:rPr>
          <w:spacing w:val="-2"/>
        </w:rPr>
        <w:t>本公司将分类为以摊余成本计量的长期债权投资，在“债权投资”科目中列示。自资产负债表日起一</w:t>
      </w:r>
      <w:r>
        <w:rPr>
          <w:w w:val="100"/>
        </w:rPr>
        <w:t> </w:t>
      </w:r>
      <w:r>
        <w:rPr>
          <w:spacing w:val="-2"/>
        </w:rPr>
        <w:t>年内到期的长期债权投资，在“一年内到期的非流动资产”科目列示。本公司购入的以摊余成本计量的一</w:t>
      </w:r>
      <w:r>
        <w:rPr>
          <w:spacing w:val="-44"/>
        </w:rPr>
        <w:t> </w:t>
      </w:r>
      <w:r>
        <w:rPr>
          <w:spacing w:val="-44"/>
        </w:rPr>
      </w:r>
      <w:r>
        <w:rPr/>
        <w:t>年内到期的债权投资，在“其他流动资产”</w:t>
      </w:r>
      <w:r>
        <w:rPr>
          <w:spacing w:val="-5"/>
        </w:rPr>
        <w:t> </w:t>
      </w:r>
      <w:r>
        <w:rPr>
          <w:rFonts w:ascii="宋体" w:hAnsi="宋体" w:cs="宋体" w:eastAsia="宋体" w:hint="default"/>
          <w:spacing w:val="-5"/>
        </w:rPr>
      </w:r>
      <w:r>
        <w:rPr/>
        <w:t>科目列示。</w:t>
      </w:r>
      <w:r>
        <w:rPr>
          <w:rFonts w:ascii="宋体" w:hAnsi="宋体" w:cs="宋体" w:eastAsia="宋体" w:hint="default"/>
          <w:spacing w:val="-3"/>
        </w:rPr>
        <w:t> </w:t>
      </w:r>
      <w:r>
        <w:rPr>
          <w:rFonts w:ascii="宋体" w:hAnsi="宋体" w:cs="宋体" w:eastAsia="宋体" w:hint="default"/>
        </w:rPr>
        <w:t> </w:t>
      </w:r>
    </w:p>
    <w:p>
      <w:pPr>
        <w:pStyle w:val="BodyText"/>
        <w:spacing w:line="237" w:lineRule="auto" w:before="121"/>
        <w:ind w:right="819" w:firstLine="420"/>
        <w:jc w:val="left"/>
        <w:rPr>
          <w:rFonts w:ascii="宋体" w:hAnsi="宋体" w:cs="宋体" w:eastAsia="宋体" w:hint="default"/>
        </w:rPr>
      </w:pPr>
      <w:r>
        <w:rPr>
          <w:spacing w:val="-2"/>
        </w:rPr>
        <w:t>本公司将分类为以公允价值计量且其变动计入其他综合收益的长期债权投资，在“其他债权投资”科</w:t>
      </w:r>
      <w:r>
        <w:rPr>
          <w:w w:val="100"/>
        </w:rPr>
        <w:t> </w:t>
      </w:r>
      <w:r>
        <w:rPr/>
        <w:t>目列示。自资产负债表日起一年内到期的长期债权投资的期末账面价值，在“一年内到期的非流动资产”</w:t>
      </w:r>
      <w:r>
        <w:rPr>
          <w:spacing w:val="-24"/>
        </w:rPr>
        <w:t> </w:t>
      </w:r>
      <w:r>
        <w:rPr>
          <w:spacing w:val="-24"/>
        </w:rPr>
      </w:r>
      <w:r>
        <w:rPr>
          <w:spacing w:val="-2"/>
        </w:rPr>
        <w:t>科目列示。本公司购入的以公允价值计量且其变动计入其他综合收益的一年内到期的债权投资，在“其他</w:t>
      </w:r>
      <w:r>
        <w:rPr>
          <w:spacing w:val="-43"/>
        </w:rPr>
        <w:t> </w:t>
      </w:r>
      <w:r>
        <w:rPr>
          <w:spacing w:val="-43"/>
        </w:rPr>
      </w:r>
      <w:r>
        <w:rPr/>
        <w:t>流动资产”科目列示。</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116"/>
        <w:ind w:right="1126" w:firstLine="420"/>
        <w:jc w:val="both"/>
        <w:rPr>
          <w:rFonts w:ascii="宋体" w:hAnsi="宋体" w:cs="宋体" w:eastAsia="宋体" w:hint="default"/>
        </w:rPr>
      </w:pPr>
      <w:r>
        <w:rPr>
          <w:spacing w:val="-2"/>
        </w:rPr>
        <w:t>本公司将指定为以公允价值计量且其变动计入其他综合收益的非交易性权益工具投资，在“其他权益</w:t>
      </w:r>
      <w:r>
        <w:rPr>
          <w:w w:val="100"/>
        </w:rPr>
        <w:t> </w:t>
      </w:r>
      <w:r>
        <w:rPr/>
        <w:t>工具投资”科目列示。</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116"/>
        <w:ind w:right="1126" w:firstLine="420"/>
        <w:jc w:val="both"/>
        <w:rPr>
          <w:rFonts w:ascii="宋体" w:hAnsi="宋体" w:cs="宋体" w:eastAsia="宋体" w:hint="default"/>
        </w:rPr>
      </w:pPr>
      <w:r>
        <w:rPr>
          <w:spacing w:val="-2"/>
        </w:rPr>
        <w:t>本公司承担的交易性金融负债，以及本公司持有的直接指定为以公允价值计量且其变动计入当期损益</w:t>
      </w:r>
      <w:r>
        <w:rPr>
          <w:w w:val="100"/>
        </w:rPr>
        <w:t> </w:t>
      </w:r>
      <w:r>
        <w:rPr/>
        <w:t>的金融负债，在“交易性金融负债”科目列示。</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116"/>
        <w:ind w:left="573" w:right="1133"/>
        <w:jc w:val="left"/>
        <w:rPr>
          <w:rFonts w:ascii="宋体" w:hAnsi="宋体" w:cs="宋体" w:eastAsia="宋体" w:hint="default"/>
        </w:rPr>
      </w:pPr>
      <w:r>
        <w:rPr>
          <w:rFonts w:ascii="宋体" w:hAnsi="宋体" w:cs="宋体" w:eastAsia="宋体" w:hint="default"/>
        </w:rPr>
        <w:t>10</w:t>
      </w:r>
      <w:r>
        <w:rPr/>
        <w:t>、权益工具</w:t>
      </w:r>
      <w:r>
        <w:rPr>
          <w:rFonts w:ascii="宋体" w:hAnsi="宋体" w:cs="宋体" w:eastAsia="宋体" w:hint="default"/>
          <w:spacing w:val="-3"/>
        </w:rPr>
        <w:t> </w:t>
      </w:r>
      <w:r>
        <w:rPr>
          <w:rFonts w:ascii="宋体" w:hAnsi="宋体" w:cs="宋体" w:eastAsia="宋体" w:hint="default"/>
        </w:rPr>
        <w:t> </w:t>
      </w:r>
    </w:p>
    <w:p>
      <w:pPr>
        <w:pStyle w:val="BodyText"/>
        <w:spacing w:line="237" w:lineRule="auto" w:before="121"/>
        <w:ind w:right="1126" w:firstLine="420"/>
        <w:jc w:val="both"/>
        <w:rPr>
          <w:rFonts w:ascii="宋体" w:hAnsi="宋体" w:cs="宋体" w:eastAsia="宋体" w:hint="default"/>
        </w:rPr>
      </w:pPr>
      <w:r>
        <w:rPr>
          <w:spacing w:val="-2"/>
        </w:rPr>
        <w:t>权益工具是指能证明拥有本公司在扣除所有负债后的资产中的剩余权益的合同。本公司发行（含再融</w:t>
      </w:r>
      <w:r>
        <w:rPr>
          <w:w w:val="100"/>
        </w:rPr>
        <w:t> </w:t>
      </w:r>
      <w:r>
        <w:rPr>
          <w:spacing w:val="-2"/>
          <w:w w:val="100"/>
        </w:rPr>
        <w:t>资）、回购、出售或注销权益工具作为权益的变动处理，与权益性交易相关的交易费用从权益中扣减。本</w:t>
      </w:r>
      <w:r>
        <w:rPr>
          <w:spacing w:val="-94"/>
          <w:w w:val="100"/>
        </w:rPr>
        <w:t> </w:t>
      </w:r>
      <w:r>
        <w:rPr>
          <w:spacing w:val="-94"/>
          <w:w w:val="100"/>
        </w:rPr>
      </w:r>
      <w:r>
        <w:rPr>
          <w:spacing w:val="-2"/>
        </w:rPr>
        <w:t>公司不确认权益工具的公允价值变动。本公司对权益工具持有方的分配作为利润分配处理，发放的股票股</w:t>
      </w:r>
      <w:r>
        <w:rPr>
          <w:spacing w:val="-43"/>
        </w:rPr>
        <w:t> </w:t>
      </w:r>
      <w:r>
        <w:rPr>
          <w:spacing w:val="-43"/>
        </w:rPr>
      </w:r>
      <w:r>
        <w:rPr/>
        <w:t>利不影响所有者权益总额。</w:t>
      </w:r>
      <w:r>
        <w:rPr>
          <w:rFonts w:ascii="宋体" w:hAnsi="宋体" w:cs="宋体" w:eastAsia="宋体" w:hint="default"/>
        </w:rPr>
        <w:t> </w:t>
      </w:r>
    </w:p>
    <w:p>
      <w:pPr>
        <w:spacing w:line="340" w:lineRule="auto" w:before="119"/>
        <w:ind w:left="573" w:right="8232" w:hanging="209"/>
        <w:jc w:val="left"/>
        <w:rPr>
          <w:rFonts w:ascii="宋体" w:hAnsi="宋体" w:cs="宋体" w:eastAsia="宋体" w:hint="default"/>
          <w:sz w:val="21"/>
          <w:szCs w:val="21"/>
        </w:rPr>
      </w:pPr>
      <w:r>
        <w:rPr>
          <w:rFonts w:ascii="宋体" w:hAnsi="宋体" w:cs="宋体" w:eastAsia="宋体" w:hint="default"/>
          <w:b/>
          <w:bCs/>
          <w:sz w:val="21"/>
          <w:szCs w:val="21"/>
        </w:rPr>
        <w:t>（十一）存货</w:t>
      </w:r>
      <w:r>
        <w:rPr>
          <w:rFonts w:ascii="宋体" w:hAnsi="宋体" w:cs="宋体" w:eastAsia="宋体" w:hint="default"/>
          <w:b/>
          <w:bCs/>
          <w:w w:val="99"/>
          <w:sz w:val="21"/>
          <w:szCs w:val="21"/>
        </w:rPr>
        <w:t> </w:t>
      </w:r>
      <w:r>
        <w:rPr>
          <w:rFonts w:ascii="宋体" w:hAnsi="宋体" w:cs="宋体" w:eastAsia="宋体" w:hint="default"/>
          <w:sz w:val="21"/>
          <w:szCs w:val="21"/>
        </w:rPr>
        <w:t>1</w:t>
      </w:r>
      <w:r>
        <w:rPr>
          <w:rFonts w:ascii="宋体" w:hAnsi="宋体" w:cs="宋体" w:eastAsia="宋体" w:hint="default"/>
          <w:sz w:val="21"/>
          <w:szCs w:val="21"/>
        </w:rPr>
        <w:t>、存货的分类</w:t>
      </w:r>
      <w:r>
        <w:rPr>
          <w:rFonts w:ascii="宋体" w:hAnsi="宋体" w:cs="宋体" w:eastAsia="宋体" w:hint="default"/>
          <w:sz w:val="21"/>
          <w:szCs w:val="21"/>
        </w:rPr>
        <w:t> </w:t>
      </w:r>
    </w:p>
    <w:p>
      <w:pPr>
        <w:pStyle w:val="BodyText"/>
        <w:spacing w:line="343" w:lineRule="auto" w:before="30"/>
        <w:ind w:left="573" w:right="2058"/>
        <w:jc w:val="left"/>
        <w:rPr>
          <w:rFonts w:ascii="宋体" w:hAnsi="宋体" w:cs="宋体" w:eastAsia="宋体" w:hint="default"/>
        </w:rPr>
      </w:pPr>
      <w:r>
        <w:rPr/>
        <w:t>存货分类为：在途物资、原材料、周转材料、库存商品、在产品、发出商品等。</w:t>
      </w:r>
      <w:r>
        <w:rPr>
          <w:rFonts w:ascii="宋体" w:hAnsi="宋体" w:cs="宋体" w:eastAsia="宋体" w:hint="default"/>
          <w:w w:val="100"/>
        </w:rPr>
        <w:t> </w:t>
      </w:r>
      <w:r>
        <w:rPr>
          <w:rFonts w:ascii="宋体" w:hAnsi="宋体" w:cs="宋体" w:eastAsia="宋体" w:hint="default"/>
        </w:rPr>
        <w:t>2</w:t>
      </w:r>
      <w:r>
        <w:rPr/>
        <w:t>、取得和发出存货的计价方法</w:t>
      </w:r>
      <w:r>
        <w:rPr>
          <w:rFonts w:ascii="宋体" w:hAnsi="宋体" w:cs="宋体" w:eastAsia="宋体" w:hint="default"/>
          <w:w w:val="100"/>
        </w:rPr>
        <w:t> </w:t>
      </w:r>
      <w:r>
        <w:rPr/>
        <w:t>取得存货时按照成本进行计量。存货成本包括采购成本、加工成本和其他成本。</w:t>
      </w:r>
      <w:r>
        <w:rPr>
          <w:rFonts w:ascii="宋体" w:hAnsi="宋体" w:cs="宋体" w:eastAsia="宋体" w:hint="default"/>
          <w:w w:val="100"/>
        </w:rPr>
        <w:t> </w:t>
      </w:r>
      <w:r>
        <w:rPr/>
        <w:t>存货发出时按加权平均法计价。</w:t>
      </w:r>
      <w:r>
        <w:rPr>
          <w:rFonts w:ascii="宋体" w:hAnsi="宋体" w:cs="宋体" w:eastAsia="宋体" w:hint="default"/>
          <w:w w:val="100"/>
        </w:rPr>
        <w:t> </w:t>
      </w:r>
      <w:r>
        <w:rPr>
          <w:rFonts w:ascii="宋体" w:hAnsi="宋体" w:cs="宋体" w:eastAsia="宋体" w:hint="default"/>
        </w:rPr>
        <w:t>3</w:t>
      </w:r>
      <w:r>
        <w:rPr/>
        <w:t>、存货可变现净值的确定依据及存货跌价准备的计提方法</w:t>
      </w:r>
      <w:r>
        <w:rPr>
          <w:rFonts w:ascii="宋体" w:hAnsi="宋体" w:cs="宋体" w:eastAsia="宋体" w:hint="default"/>
          <w:w w:val="100"/>
        </w:rPr>
        <w:t> </w:t>
      </w:r>
      <w:r>
        <w:rPr/>
        <w:t>期末对存货进行全面清查后，按存货的成本与可变现净值孰低提取或调整存货跌价准备。</w:t>
      </w:r>
      <w:r>
        <w:rPr>
          <w:rFonts w:ascii="宋体" w:hAnsi="宋体" w:cs="宋体" w:eastAsia="宋体" w:hint="default"/>
        </w:rPr>
        <w:t> </w:t>
      </w:r>
    </w:p>
    <w:p>
      <w:pPr>
        <w:pStyle w:val="BodyText"/>
        <w:spacing w:line="240" w:lineRule="auto" w:before="28"/>
        <w:ind w:left="573" w:right="819"/>
        <w:jc w:val="left"/>
      </w:pPr>
      <w:r>
        <w:rPr/>
        <w:t>产成品、库存商品和用于出售的材料等直接用于出售的商品存货，在正常生产经营过程中，以该存货</w:t>
      </w:r>
    </w:p>
    <w:p>
      <w:pPr>
        <w:spacing w:after="0" w:line="240" w:lineRule="auto"/>
        <w:jc w:val="left"/>
        <w:sectPr>
          <w:pgSz w:w="11910" w:h="16840"/>
          <w:pgMar w:header="921" w:footer="725" w:top="1160" w:bottom="920" w:left="980" w:right="0"/>
        </w:sectPr>
      </w:pPr>
    </w:p>
    <w:p>
      <w:pPr>
        <w:spacing w:line="240" w:lineRule="auto" w:before="12"/>
        <w:rPr>
          <w:rFonts w:ascii="宋体" w:hAnsi="宋体" w:cs="宋体" w:eastAsia="宋体" w:hint="default"/>
          <w:sz w:val="15"/>
          <w:szCs w:val="15"/>
        </w:rPr>
      </w:pPr>
    </w:p>
    <w:p>
      <w:pPr>
        <w:pStyle w:val="BodyText"/>
        <w:spacing w:line="237" w:lineRule="auto" w:before="38"/>
        <w:ind w:right="1126"/>
        <w:jc w:val="both"/>
        <w:rPr>
          <w:rFonts w:ascii="宋体" w:hAnsi="宋体" w:cs="宋体" w:eastAsia="宋体" w:hint="default"/>
        </w:rPr>
      </w:pPr>
      <w:r>
        <w:rPr>
          <w:spacing w:val="-2"/>
        </w:rPr>
        <w:t>的估计售价减去估计的销售费用和相关税费后的金额，确定其可变现净值；需要经过加工的材料存货，在</w:t>
      </w:r>
      <w:r>
        <w:rPr>
          <w:spacing w:val="-43"/>
        </w:rPr>
        <w:t> </w:t>
      </w:r>
      <w:r>
        <w:rPr>
          <w:spacing w:val="-43"/>
        </w:rPr>
      </w:r>
      <w:r>
        <w:rPr>
          <w:spacing w:val="-2"/>
        </w:rPr>
        <w:t>正常生产经营过程中，以所生产的产成品的估计售价减去至完工时估计将要发生的成本、估计的销售费用</w:t>
      </w:r>
      <w:r>
        <w:rPr>
          <w:spacing w:val="-44"/>
        </w:rPr>
        <w:t> </w:t>
      </w:r>
      <w:r>
        <w:rPr>
          <w:spacing w:val="-44"/>
        </w:rPr>
      </w:r>
      <w:r>
        <w:rPr>
          <w:spacing w:val="-2"/>
        </w:rPr>
        <w:t>和相关税费后的金额，确定其可变现净值；为执行销售合同或者劳务合同而持有的存货，其可变现净值以</w:t>
      </w:r>
      <w:r>
        <w:rPr>
          <w:spacing w:val="-44"/>
        </w:rPr>
        <w:t> </w:t>
      </w:r>
      <w:r>
        <w:rPr>
          <w:spacing w:val="-44"/>
        </w:rPr>
      </w:r>
      <w:r>
        <w:rPr>
          <w:spacing w:val="-2"/>
        </w:rPr>
        <w:t>合同价格为基础计算，若持有存货的数量多于销售合同订购数量的，超出部分的存货的可变现净值以一般</w:t>
      </w:r>
      <w:r>
        <w:rPr>
          <w:spacing w:val="-44"/>
        </w:rPr>
        <w:t> </w:t>
      </w:r>
      <w:r>
        <w:rPr>
          <w:spacing w:val="-44"/>
        </w:rPr>
      </w:r>
      <w:r>
        <w:rPr/>
        <w:t>销售价格为基础计算。</w:t>
      </w:r>
      <w:r>
        <w:rPr>
          <w:rFonts w:ascii="宋体" w:hAnsi="宋体" w:cs="宋体" w:eastAsia="宋体" w:hint="default"/>
        </w:rPr>
        <w:t> </w:t>
      </w:r>
    </w:p>
    <w:p>
      <w:pPr>
        <w:pStyle w:val="BodyText"/>
        <w:spacing w:line="237" w:lineRule="auto" w:before="119"/>
        <w:ind w:right="1126" w:firstLine="420"/>
        <w:jc w:val="both"/>
        <w:rPr>
          <w:rFonts w:ascii="宋体" w:hAnsi="宋体" w:cs="宋体" w:eastAsia="宋体" w:hint="default"/>
        </w:rPr>
      </w:pPr>
      <w:r>
        <w:rPr>
          <w:spacing w:val="-2"/>
        </w:rPr>
        <w:t>期末按照单个存货项目计提存货跌价准备；但对于数量繁多、单价较低的存货，按照存货类别计提存</w:t>
      </w:r>
      <w:r>
        <w:rPr>
          <w:w w:val="100"/>
        </w:rPr>
        <w:t> </w:t>
      </w:r>
      <w:r>
        <w:rPr>
          <w:spacing w:val="-2"/>
        </w:rPr>
        <w:t>货跌价准备；与在同一地区生产和销售的产品系列相关、具有相同或类似最终用途或目的，且难以与其他</w:t>
      </w:r>
      <w:r>
        <w:rPr>
          <w:spacing w:val="-44"/>
        </w:rPr>
        <w:t> </w:t>
      </w:r>
      <w:r>
        <w:rPr>
          <w:spacing w:val="-44"/>
        </w:rPr>
      </w:r>
      <w:r>
        <w:rPr/>
        <w:t>项目分开计量的存货，则合并计提存货跌价准备。</w:t>
      </w:r>
      <w:r>
        <w:rPr>
          <w:rFonts w:ascii="宋体" w:hAnsi="宋体" w:cs="宋体" w:eastAsia="宋体" w:hint="default"/>
        </w:rPr>
        <w:t> </w:t>
      </w:r>
    </w:p>
    <w:p>
      <w:pPr>
        <w:pStyle w:val="BodyText"/>
        <w:spacing w:line="272" w:lineRule="exact" w:before="146"/>
        <w:ind w:right="1133" w:firstLine="420"/>
        <w:jc w:val="left"/>
        <w:rPr>
          <w:rFonts w:ascii="宋体" w:hAnsi="宋体" w:cs="宋体" w:eastAsia="宋体" w:hint="default"/>
        </w:rPr>
      </w:pPr>
      <w:r>
        <w:rPr>
          <w:spacing w:val="-2"/>
        </w:rPr>
        <w:t>以前减记存货价值的影响因素已经消失的，减记的金额予以恢复，并在原已计提的存货跌价准备金额</w:t>
      </w:r>
      <w:r>
        <w:rPr>
          <w:w w:val="100"/>
        </w:rPr>
        <w:t> </w:t>
      </w:r>
      <w:r>
        <w:rPr/>
        <w:t>内转回，转回的金额计入当期损益。</w:t>
      </w:r>
      <w:r>
        <w:rPr>
          <w:rFonts w:ascii="宋体" w:hAnsi="宋体" w:cs="宋体" w:eastAsia="宋体" w:hint="default"/>
        </w:rPr>
        <w:t> </w:t>
      </w:r>
    </w:p>
    <w:p>
      <w:pPr>
        <w:pStyle w:val="BodyText"/>
        <w:spacing w:line="343" w:lineRule="auto" w:before="94"/>
        <w:ind w:left="573" w:right="6908"/>
        <w:jc w:val="left"/>
        <w:rPr>
          <w:rFonts w:ascii="宋体" w:hAnsi="宋体" w:cs="宋体" w:eastAsia="宋体" w:hint="default"/>
        </w:rPr>
      </w:pPr>
      <w:r>
        <w:rPr>
          <w:rFonts w:ascii="宋体" w:hAnsi="宋体" w:cs="宋体" w:eastAsia="宋体" w:hint="default"/>
        </w:rPr>
        <w:t>4</w:t>
      </w:r>
      <w:r>
        <w:rPr/>
        <w:t>、存货的盘存制度</w:t>
      </w:r>
      <w:r>
        <w:rPr>
          <w:rFonts w:ascii="宋体" w:hAnsi="宋体" w:cs="宋体" w:eastAsia="宋体" w:hint="default"/>
          <w:w w:val="100"/>
        </w:rPr>
        <w:t> </w:t>
      </w:r>
      <w:r>
        <w:rPr/>
        <w:t>采用永续盘存制。</w:t>
      </w:r>
      <w:r>
        <w:rPr>
          <w:rFonts w:ascii="宋体" w:hAnsi="宋体" w:cs="宋体" w:eastAsia="宋体" w:hint="default"/>
          <w:w w:val="100"/>
        </w:rPr>
        <w:t> </w:t>
      </w:r>
      <w:r>
        <w:rPr>
          <w:rFonts w:ascii="宋体" w:hAnsi="宋体" w:cs="宋体" w:eastAsia="宋体" w:hint="default"/>
        </w:rPr>
        <w:t>5</w:t>
      </w:r>
      <w:r>
        <w:rPr/>
        <w:t>、低值易耗品和包装物的摊销方法</w:t>
      </w:r>
      <w:r>
        <w:rPr>
          <w:rFonts w:ascii="宋体" w:hAnsi="宋体" w:cs="宋体" w:eastAsia="宋体" w:hint="default"/>
          <w:w w:val="100"/>
        </w:rPr>
        <w:t> </w:t>
      </w:r>
      <w:r>
        <w:rPr/>
        <w:t>低值易耗品采用一次转销法。</w:t>
      </w:r>
      <w:r>
        <w:rPr>
          <w:rFonts w:ascii="宋体" w:hAnsi="宋体" w:cs="宋体" w:eastAsia="宋体" w:hint="default"/>
        </w:rPr>
        <w:t> </w:t>
      </w:r>
    </w:p>
    <w:p>
      <w:pPr>
        <w:spacing w:line="340" w:lineRule="auto" w:before="28"/>
        <w:ind w:left="573" w:right="5542" w:hanging="209"/>
        <w:jc w:val="left"/>
        <w:rPr>
          <w:rFonts w:ascii="宋体" w:hAnsi="宋体" w:cs="宋体" w:eastAsia="宋体" w:hint="default"/>
          <w:sz w:val="21"/>
          <w:szCs w:val="21"/>
        </w:rPr>
      </w:pPr>
      <w:r>
        <w:rPr>
          <w:rFonts w:ascii="宋体" w:hAnsi="宋体" w:cs="宋体" w:eastAsia="宋体" w:hint="default"/>
          <w:b/>
          <w:bCs/>
          <w:sz w:val="21"/>
          <w:szCs w:val="21"/>
        </w:rPr>
        <w:t>（十二）持有待售资产</w:t>
      </w:r>
      <w:r>
        <w:rPr>
          <w:rFonts w:ascii="宋体" w:hAnsi="宋体" w:cs="宋体" w:eastAsia="宋体" w:hint="default"/>
          <w:b/>
          <w:bCs/>
          <w:w w:val="99"/>
          <w:sz w:val="21"/>
          <w:szCs w:val="21"/>
        </w:rPr>
        <w:t> </w:t>
      </w:r>
      <w:r>
        <w:rPr>
          <w:rFonts w:ascii="宋体" w:hAnsi="宋体" w:cs="宋体" w:eastAsia="宋体" w:hint="default"/>
          <w:sz w:val="21"/>
          <w:szCs w:val="21"/>
        </w:rPr>
        <w:t>1</w:t>
      </w:r>
      <w:r>
        <w:rPr>
          <w:rFonts w:ascii="宋体" w:hAnsi="宋体" w:cs="宋体" w:eastAsia="宋体" w:hint="default"/>
          <w:sz w:val="21"/>
          <w:szCs w:val="21"/>
        </w:rPr>
        <w:t>、持有待售的非流动资产或处置组的确认标准</w:t>
      </w:r>
      <w:r>
        <w:rPr>
          <w:rFonts w:ascii="宋体" w:hAnsi="宋体" w:cs="宋体" w:eastAsia="宋体" w:hint="default"/>
          <w:sz w:val="21"/>
          <w:szCs w:val="21"/>
        </w:rPr>
        <w:t> </w:t>
      </w:r>
    </w:p>
    <w:p>
      <w:pPr>
        <w:pStyle w:val="BodyText"/>
        <w:spacing w:line="272" w:lineRule="exact" w:before="58"/>
        <w:ind w:right="1133" w:firstLine="420"/>
        <w:jc w:val="left"/>
        <w:rPr>
          <w:rFonts w:ascii="宋体" w:hAnsi="宋体" w:cs="宋体" w:eastAsia="宋体" w:hint="default"/>
        </w:rPr>
      </w:pPr>
      <w:r>
        <w:rPr>
          <w:spacing w:val="-2"/>
        </w:rPr>
        <w:t>公司主要通过出售（包括具有商业实质的非货币性资产交换，下同）而非持续使用一项非流动资产或</w:t>
      </w:r>
      <w:r>
        <w:rPr>
          <w:w w:val="100"/>
        </w:rPr>
        <w:t> </w:t>
      </w:r>
      <w:r>
        <w:rPr/>
        <w:t>处置组收回其账面价值的，应当将其划分为持有待售类别。</w:t>
      </w:r>
      <w:r>
        <w:rPr>
          <w:rFonts w:ascii="宋体" w:hAnsi="宋体" w:cs="宋体" w:eastAsia="宋体" w:hint="default"/>
        </w:rPr>
        <w:t> </w:t>
      </w:r>
    </w:p>
    <w:p>
      <w:pPr>
        <w:pStyle w:val="BodyText"/>
        <w:spacing w:line="240" w:lineRule="auto" w:before="94"/>
        <w:ind w:left="573" w:right="1133"/>
        <w:jc w:val="left"/>
        <w:rPr>
          <w:rFonts w:ascii="宋体" w:hAnsi="宋体" w:cs="宋体" w:eastAsia="宋体" w:hint="default"/>
        </w:rPr>
      </w:pPr>
      <w:r>
        <w:rPr/>
        <w:t>公司将同时满足下列条件的非流动资产或处置组划分为持有待售类别：</w:t>
      </w:r>
      <w:r>
        <w:rPr>
          <w:rFonts w:ascii="宋体" w:hAnsi="宋体" w:cs="宋体" w:eastAsia="宋体" w:hint="default"/>
        </w:rPr>
        <w:t> </w:t>
      </w:r>
    </w:p>
    <w:p>
      <w:pPr>
        <w:pStyle w:val="BodyText"/>
        <w:spacing w:line="240" w:lineRule="auto" w:before="116"/>
        <w:ind w:left="573" w:right="1133"/>
        <w:jc w:val="left"/>
        <w:rPr>
          <w:rFonts w:ascii="宋体" w:hAnsi="宋体" w:cs="宋体" w:eastAsia="宋体" w:hint="default"/>
        </w:rPr>
      </w:pPr>
      <w:r>
        <w:rPr/>
        <w:t>（</w:t>
      </w:r>
      <w:r>
        <w:rPr>
          <w:rFonts w:ascii="宋体" w:hAnsi="宋体" w:cs="宋体" w:eastAsia="宋体" w:hint="default"/>
        </w:rPr>
        <w:t>1</w:t>
      </w:r>
      <w:r>
        <w:rPr/>
        <w:t>）根据类似交易中出售此类资产或处置组的惯例，在当前状况下即可立即出售；</w:t>
      </w:r>
      <w:r>
        <w:rPr>
          <w:rFonts w:ascii="宋体" w:hAnsi="宋体" w:cs="宋体" w:eastAsia="宋体" w:hint="default"/>
        </w:rPr>
        <w:t> </w:t>
      </w:r>
    </w:p>
    <w:p>
      <w:pPr>
        <w:pStyle w:val="BodyText"/>
        <w:spacing w:line="272" w:lineRule="exact" w:before="146"/>
        <w:ind w:right="1133" w:firstLine="420"/>
        <w:jc w:val="left"/>
        <w:rPr>
          <w:rFonts w:ascii="宋体" w:hAnsi="宋体" w:cs="宋体" w:eastAsia="宋体" w:hint="default"/>
        </w:rPr>
      </w:pPr>
      <w:r>
        <w:rPr/>
        <w:t>（</w:t>
      </w:r>
      <w:r>
        <w:rPr>
          <w:rFonts w:ascii="宋体" w:hAnsi="宋体" w:cs="宋体" w:eastAsia="宋体" w:hint="default"/>
        </w:rPr>
        <w:t>2</w:t>
      </w:r>
      <w:r>
        <w:rPr/>
        <w:t>）出售极可能发生，即公司已经就一项出售计划作出决议且获得确定的购买承诺，预计出售将在</w:t>
      </w:r>
      <w:r>
        <w:rPr>
          <w:w w:val="100"/>
        </w:rPr>
        <w:t> </w:t>
      </w:r>
      <w:r>
        <w:rPr/>
        <w:t>一年内完成。有关规定要求公司相关权力机构或者监管部门批准后方可出售的，已经获得批准。</w:t>
      </w:r>
      <w:r>
        <w:rPr>
          <w:rFonts w:ascii="宋体" w:hAnsi="宋体" w:cs="宋体" w:eastAsia="宋体" w:hint="default"/>
        </w:rPr>
        <w:t> </w:t>
      </w:r>
    </w:p>
    <w:p>
      <w:pPr>
        <w:pStyle w:val="BodyText"/>
        <w:spacing w:line="240" w:lineRule="auto" w:before="91"/>
        <w:ind w:right="1133" w:firstLine="420"/>
        <w:jc w:val="left"/>
        <w:rPr>
          <w:rFonts w:ascii="宋体" w:hAnsi="宋体" w:cs="宋体" w:eastAsia="宋体" w:hint="default"/>
        </w:rPr>
      </w:pPr>
      <w:r>
        <w:rPr>
          <w:spacing w:val="-2"/>
        </w:rPr>
        <w:t>确定的购买承诺，是指公司与其他方签订的具有法律约束力的购买协议，该协议包含交易价格、时间</w:t>
      </w:r>
      <w:r>
        <w:rPr>
          <w:w w:val="100"/>
        </w:rPr>
        <w:t> </w:t>
      </w:r>
      <w:r>
        <w:rPr/>
        <w:t>和足够严厉的违约惩罚等重要条款，使协议出现重大调整或者撤销的可能性极小。</w:t>
      </w:r>
      <w:r>
        <w:rPr>
          <w:rFonts w:ascii="宋体" w:hAnsi="宋体" w:cs="宋体" w:eastAsia="宋体" w:hint="default"/>
        </w:rPr>
        <w:t> </w:t>
      </w:r>
    </w:p>
    <w:p>
      <w:pPr>
        <w:pStyle w:val="BodyText"/>
        <w:spacing w:line="240" w:lineRule="auto" w:before="116"/>
        <w:ind w:left="573" w:right="1133"/>
        <w:jc w:val="left"/>
        <w:rPr>
          <w:rFonts w:ascii="宋体" w:hAnsi="宋体" w:cs="宋体" w:eastAsia="宋体" w:hint="default"/>
        </w:rPr>
      </w:pPr>
      <w:r>
        <w:rPr>
          <w:rFonts w:ascii="宋体" w:hAnsi="宋体" w:cs="宋体" w:eastAsia="宋体" w:hint="default"/>
        </w:rPr>
        <w:t>2</w:t>
      </w:r>
      <w:r>
        <w:rPr/>
        <w:t>、持有待售的非流动资产或处置组的会计处理方法</w:t>
      </w:r>
      <w:r>
        <w:rPr>
          <w:rFonts w:ascii="宋体" w:hAnsi="宋体" w:cs="宋体" w:eastAsia="宋体" w:hint="default"/>
        </w:rPr>
        <w:t> </w:t>
      </w:r>
    </w:p>
    <w:p>
      <w:pPr>
        <w:pStyle w:val="BodyText"/>
        <w:spacing w:line="237" w:lineRule="auto" w:before="121"/>
        <w:ind w:right="1126" w:firstLine="420"/>
        <w:jc w:val="both"/>
        <w:rPr>
          <w:rFonts w:ascii="宋体" w:hAnsi="宋体" w:cs="宋体" w:eastAsia="宋体" w:hint="default"/>
        </w:rPr>
      </w:pPr>
      <w:r>
        <w:rPr>
          <w:spacing w:val="-2"/>
        </w:rPr>
        <w:t>公司初始计量或在资产负债表日重新计量持有待售的非流动资产或处置组时，其账面价值高于公允价</w:t>
      </w:r>
      <w:r>
        <w:rPr>
          <w:w w:val="100"/>
        </w:rPr>
        <w:t> </w:t>
      </w:r>
      <w:r>
        <w:rPr>
          <w:spacing w:val="-2"/>
        </w:rPr>
        <w:t>值减去出售费用后的净额的，将账面价值减记至公允价值减去出售费用后的净额，减记的金额确认为资产</w:t>
      </w:r>
      <w:r>
        <w:rPr>
          <w:spacing w:val="-43"/>
        </w:rPr>
        <w:t> </w:t>
      </w:r>
      <w:r>
        <w:rPr>
          <w:spacing w:val="-43"/>
        </w:rPr>
      </w:r>
      <w:r>
        <w:rPr/>
        <w:t>减值损失，计入当期损益，同时计提持有待售资产减值准备。</w:t>
      </w:r>
      <w:r>
        <w:rPr>
          <w:rFonts w:ascii="宋体" w:hAnsi="宋体" w:cs="宋体" w:eastAsia="宋体" w:hint="default"/>
        </w:rPr>
        <w:t> </w:t>
      </w:r>
    </w:p>
    <w:p>
      <w:pPr>
        <w:pStyle w:val="BodyText"/>
        <w:spacing w:line="237" w:lineRule="auto" w:before="119"/>
        <w:ind w:right="1133" w:firstLine="420"/>
        <w:jc w:val="left"/>
        <w:rPr>
          <w:rFonts w:ascii="宋体" w:hAnsi="宋体" w:cs="宋体" w:eastAsia="宋体" w:hint="default"/>
        </w:rPr>
      </w:pPr>
      <w:r>
        <w:rPr/>
        <w:t>（</w:t>
      </w:r>
      <w:r>
        <w:rPr>
          <w:rFonts w:ascii="宋体" w:hAnsi="宋体" w:cs="宋体" w:eastAsia="宋体" w:hint="default"/>
        </w:rPr>
        <w:t>1</w:t>
      </w:r>
      <w:r>
        <w:rPr/>
        <w:t>）对于持有待售的固定资产，应当调整该项固定资产的预计净残值，使该项固定资产的预计净残</w:t>
      </w:r>
      <w:r>
        <w:rPr>
          <w:w w:val="100"/>
        </w:rPr>
        <w:t> </w:t>
      </w:r>
      <w:r>
        <w:rPr>
          <w:spacing w:val="-2"/>
        </w:rPr>
        <w:t>值能够反映其公允价值减去处置费用后的金额，但不得超过符合持有待售条件时该项固定资产的原账面价</w:t>
      </w:r>
      <w:r>
        <w:rPr>
          <w:spacing w:val="-43"/>
        </w:rPr>
        <w:t> </w:t>
      </w:r>
      <w:r>
        <w:rPr>
          <w:spacing w:val="-43"/>
        </w:rPr>
      </w:r>
      <w:r>
        <w:rPr>
          <w:spacing w:val="-2"/>
        </w:rPr>
        <w:t>值，原账面价值高于调整后预计净残值的差额，应作为资产减值损失计入当期损益。持有待售的固定资产</w:t>
      </w:r>
      <w:r>
        <w:rPr>
          <w:spacing w:val="-43"/>
        </w:rPr>
        <w:t> </w:t>
      </w:r>
      <w:r>
        <w:rPr>
          <w:spacing w:val="-43"/>
        </w:rPr>
      </w:r>
      <w:r>
        <w:rPr/>
        <w:t>不计提折旧，按照账面价值与公允价值减去处置费用后的净额孰低进行计量。</w:t>
      </w:r>
      <w:r>
        <w:rPr>
          <w:rFonts w:ascii="宋体" w:hAnsi="宋体" w:cs="宋体" w:eastAsia="宋体" w:hint="default"/>
        </w:rPr>
        <w:t> </w:t>
      </w:r>
    </w:p>
    <w:p>
      <w:pPr>
        <w:pStyle w:val="BodyText"/>
        <w:spacing w:line="240" w:lineRule="auto" w:before="116"/>
        <w:ind w:right="1133" w:firstLine="420"/>
        <w:jc w:val="left"/>
        <w:rPr>
          <w:rFonts w:ascii="宋体" w:hAnsi="宋体" w:cs="宋体" w:eastAsia="宋体" w:hint="default"/>
        </w:rPr>
      </w:pPr>
      <w:r>
        <w:rPr>
          <w:spacing w:val="-2"/>
        </w:rPr>
        <w:t>（</w:t>
      </w:r>
      <w:r>
        <w:rPr>
          <w:rFonts w:ascii="宋体" w:hAnsi="宋体" w:cs="宋体" w:eastAsia="宋体" w:hint="default"/>
          <w:spacing w:val="-2"/>
        </w:rPr>
        <w:t>2</w:t>
      </w:r>
      <w:r>
        <w:rPr>
          <w:spacing w:val="-2"/>
        </w:rPr>
        <w:t>）对于持有待售的联营企业或合营企业的权益性投资，自划分至持有待售之日起，停止按权益法</w:t>
      </w:r>
      <w:r>
        <w:rPr>
          <w:w w:val="100"/>
        </w:rPr>
        <w:t> </w:t>
      </w:r>
      <w:r>
        <w:rPr/>
        <w:t>核算。</w:t>
      </w:r>
      <w:r>
        <w:rPr>
          <w:rFonts w:ascii="宋体" w:hAnsi="宋体" w:cs="宋体" w:eastAsia="宋体" w:hint="default"/>
        </w:rPr>
        <w:t> </w:t>
      </w:r>
    </w:p>
    <w:p>
      <w:pPr>
        <w:pStyle w:val="BodyText"/>
        <w:spacing w:line="237" w:lineRule="auto" w:before="119"/>
        <w:ind w:right="1133" w:firstLine="420"/>
        <w:jc w:val="left"/>
        <w:rPr>
          <w:rFonts w:ascii="宋体" w:hAnsi="宋体" w:cs="宋体" w:eastAsia="宋体" w:hint="default"/>
        </w:rPr>
      </w:pPr>
      <w:r>
        <w:rPr/>
        <w:t>（</w:t>
      </w:r>
      <w:r>
        <w:rPr>
          <w:rFonts w:ascii="宋体" w:hAnsi="宋体" w:cs="宋体" w:eastAsia="宋体" w:hint="default"/>
        </w:rPr>
        <w:t>3</w:t>
      </w:r>
      <w:r>
        <w:rPr/>
        <w:t>）对于出售的对子公司的投资将导致本公司丧失对子公司的控制权的，无论出售后本公司是否保</w:t>
      </w:r>
      <w:r>
        <w:rPr>
          <w:w w:val="100"/>
        </w:rPr>
        <w:t> </w:t>
      </w:r>
      <w:r>
        <w:rPr>
          <w:spacing w:val="-2"/>
        </w:rPr>
        <w:t>留少数股东权益，本公司在拟出售的对子公司投资满足持有待售类别划分条件时，在母公司个别财务报表</w:t>
      </w:r>
      <w:r>
        <w:rPr>
          <w:spacing w:val="-43"/>
        </w:rPr>
        <w:t> </w:t>
      </w:r>
      <w:r>
        <w:rPr>
          <w:spacing w:val="-43"/>
        </w:rPr>
      </w:r>
      <w:r>
        <w:rPr>
          <w:spacing w:val="-2"/>
        </w:rPr>
        <w:t>中将对子公司投资整体划分为持有待售类别，在合并财务报表中将子公司所有资产和负债划分为持有待售</w:t>
      </w:r>
      <w:r>
        <w:rPr>
          <w:spacing w:val="-43"/>
        </w:rPr>
        <w:t> </w:t>
      </w:r>
      <w:r>
        <w:rPr>
          <w:spacing w:val="-43"/>
        </w:rPr>
      </w:r>
      <w:r>
        <w:rPr/>
        <w:t>类别。</w:t>
      </w:r>
      <w:r>
        <w:rPr>
          <w:rFonts w:ascii="宋体" w:hAnsi="宋体" w:cs="宋体" w:eastAsia="宋体" w:hint="default"/>
        </w:rPr>
        <w:t> </w:t>
      </w:r>
    </w:p>
    <w:p>
      <w:pPr>
        <w:pStyle w:val="BodyText"/>
        <w:spacing w:line="240" w:lineRule="auto" w:before="116"/>
        <w:ind w:left="573" w:right="1133"/>
        <w:jc w:val="left"/>
        <w:rPr>
          <w:rFonts w:ascii="宋体" w:hAnsi="宋体" w:cs="宋体" w:eastAsia="宋体" w:hint="default"/>
        </w:rPr>
      </w:pPr>
      <w:r>
        <w:rPr>
          <w:rFonts w:ascii="宋体" w:hAnsi="宋体" w:cs="宋体" w:eastAsia="宋体" w:hint="default"/>
        </w:rPr>
        <w:t>3</w:t>
      </w:r>
      <w:r>
        <w:rPr/>
        <w:t>、不再满足持有待售确认条件时的会计处理</w:t>
      </w:r>
      <w:r>
        <w:rPr>
          <w:rFonts w:ascii="宋体" w:hAnsi="宋体" w:cs="宋体" w:eastAsia="宋体" w:hint="default"/>
        </w:rPr>
        <w:t> </w:t>
      </w:r>
    </w:p>
    <w:p>
      <w:pPr>
        <w:pStyle w:val="BodyText"/>
        <w:spacing w:line="272" w:lineRule="exact" w:before="146"/>
        <w:ind w:right="1133" w:firstLine="420"/>
        <w:jc w:val="left"/>
        <w:rPr>
          <w:rFonts w:ascii="宋体" w:hAnsi="宋体" w:cs="宋体" w:eastAsia="宋体" w:hint="default"/>
        </w:rPr>
      </w:pPr>
      <w:r>
        <w:rPr>
          <w:spacing w:val="-2"/>
        </w:rPr>
        <w:t>（</w:t>
      </w:r>
      <w:r>
        <w:rPr>
          <w:rFonts w:ascii="宋体" w:hAnsi="宋体" w:cs="宋体" w:eastAsia="宋体" w:hint="default"/>
          <w:spacing w:val="-2"/>
        </w:rPr>
        <w:t>1</w:t>
      </w:r>
      <w:r>
        <w:rPr>
          <w:spacing w:val="-2"/>
        </w:rPr>
        <w:t>）某项资产或处置组被划归为持有待售，但后来不再满足持有待售固定资产确认条件的，本公司</w:t>
      </w:r>
      <w:r>
        <w:rPr>
          <w:w w:val="100"/>
        </w:rPr>
        <w:t> </w:t>
      </w:r>
      <w:r>
        <w:rPr/>
        <w:t>停止将其划归为持有待售，并按照下列两项金额中较低者计量：</w:t>
      </w:r>
      <w:r>
        <w:rPr>
          <w:rFonts w:ascii="宋体" w:hAnsi="宋体" w:cs="宋体" w:eastAsia="宋体" w:hint="default"/>
        </w:rPr>
        <w:t> </w:t>
      </w:r>
    </w:p>
    <w:p>
      <w:pPr>
        <w:spacing w:after="0" w:line="272" w:lineRule="exact"/>
        <w:jc w:val="left"/>
        <w:rPr>
          <w:rFonts w:ascii="宋体" w:hAnsi="宋体" w:cs="宋体" w:eastAsia="宋体" w:hint="default"/>
        </w:rPr>
        <w:sectPr>
          <w:pgSz w:w="11910" w:h="16840"/>
          <w:pgMar w:header="921" w:footer="725" w:top="1160" w:bottom="920" w:left="980" w:right="0"/>
        </w:sectPr>
      </w:pPr>
    </w:p>
    <w:p>
      <w:pPr>
        <w:spacing w:line="240" w:lineRule="auto" w:before="12"/>
        <w:rPr>
          <w:rFonts w:ascii="宋体" w:hAnsi="宋体" w:cs="宋体" w:eastAsia="宋体" w:hint="default"/>
          <w:sz w:val="15"/>
          <w:szCs w:val="15"/>
        </w:rPr>
      </w:pPr>
    </w:p>
    <w:p>
      <w:pPr>
        <w:pStyle w:val="BodyText"/>
        <w:spacing w:line="272" w:lineRule="exact" w:before="64"/>
        <w:ind w:right="1126" w:firstLine="420"/>
        <w:jc w:val="both"/>
        <w:rPr>
          <w:rFonts w:ascii="宋体" w:hAnsi="宋体" w:cs="宋体" w:eastAsia="宋体" w:hint="default"/>
        </w:rPr>
      </w:pPr>
      <w:r>
        <w:rPr>
          <w:spacing w:val="-2"/>
        </w:rPr>
        <w:t>①该资产或处置组被划归为持有待售之前的账面价值，按照其假定在没有被划归为持有待售的情况下</w:t>
      </w:r>
      <w:r>
        <w:rPr>
          <w:w w:val="100"/>
        </w:rPr>
        <w:t> </w:t>
      </w:r>
      <w:r>
        <w:rPr/>
        <w:t>原应确认的折旧、摊销或减值进行调整后的金额；</w:t>
      </w:r>
      <w:r>
        <w:rPr>
          <w:rFonts w:ascii="宋体" w:hAnsi="宋体" w:cs="宋体" w:eastAsia="宋体" w:hint="default"/>
        </w:rPr>
        <w:t> </w:t>
      </w:r>
    </w:p>
    <w:p>
      <w:pPr>
        <w:pStyle w:val="BodyText"/>
        <w:spacing w:line="240" w:lineRule="auto" w:before="94"/>
        <w:ind w:left="580" w:right="1133"/>
        <w:jc w:val="left"/>
        <w:rPr>
          <w:rFonts w:ascii="宋体" w:hAnsi="宋体" w:cs="宋体" w:eastAsia="宋体" w:hint="default"/>
        </w:rPr>
      </w:pPr>
      <w:r>
        <w:rPr/>
        <w:t>②决定不再出售之日的再收回金额。</w:t>
      </w:r>
      <w:r>
        <w:rPr>
          <w:rFonts w:ascii="宋体" w:hAnsi="宋体" w:cs="宋体" w:eastAsia="宋体" w:hint="default"/>
        </w:rPr>
        <w:t> </w:t>
      </w:r>
    </w:p>
    <w:p>
      <w:pPr>
        <w:pStyle w:val="BodyText"/>
        <w:spacing w:line="240" w:lineRule="auto" w:before="116"/>
        <w:ind w:right="1126" w:firstLine="420"/>
        <w:jc w:val="both"/>
        <w:rPr>
          <w:rFonts w:ascii="宋体" w:hAnsi="宋体" w:cs="宋体" w:eastAsia="宋体" w:hint="default"/>
        </w:rPr>
      </w:pPr>
      <w:r>
        <w:rPr>
          <w:spacing w:val="-5"/>
        </w:rPr>
        <w:t>（</w:t>
      </w:r>
      <w:r>
        <w:rPr>
          <w:rFonts w:ascii="宋体" w:hAnsi="宋体" w:cs="宋体" w:eastAsia="宋体" w:hint="default"/>
          <w:spacing w:val="-5"/>
        </w:rPr>
        <w:t>2</w:t>
      </w:r>
      <w:r>
        <w:rPr>
          <w:spacing w:val="-5"/>
        </w:rPr>
        <w:t>）已划分为持有待售的对联营企业或合营企业的权益性投资，不再符合持有待售资产分类条件的，</w:t>
      </w:r>
      <w:r>
        <w:rPr>
          <w:w w:val="100"/>
        </w:rPr>
        <w:t> </w:t>
      </w:r>
      <w:r>
        <w:rPr/>
        <w:t>本公司从其被分类为持有待售资产之日起采用权益法进行追溯调整。</w:t>
      </w:r>
      <w:r>
        <w:rPr>
          <w:rFonts w:ascii="宋体" w:hAnsi="宋体" w:cs="宋体" w:eastAsia="宋体" w:hint="default"/>
        </w:rPr>
        <w:t> </w:t>
      </w:r>
    </w:p>
    <w:p>
      <w:pPr>
        <w:pStyle w:val="BodyText"/>
        <w:spacing w:line="240" w:lineRule="auto" w:before="116"/>
        <w:ind w:left="573" w:right="1133"/>
        <w:jc w:val="left"/>
        <w:rPr>
          <w:rFonts w:ascii="宋体" w:hAnsi="宋体" w:cs="宋体" w:eastAsia="宋体" w:hint="default"/>
        </w:rPr>
      </w:pPr>
      <w:r>
        <w:rPr>
          <w:rFonts w:ascii="宋体" w:hAnsi="宋体" w:cs="宋体" w:eastAsia="宋体" w:hint="default"/>
        </w:rPr>
        <w:t>4</w:t>
      </w:r>
      <w:r>
        <w:rPr/>
        <w:t>、其他持有待售非流动资产的会计处理</w:t>
      </w:r>
      <w:r>
        <w:rPr>
          <w:rFonts w:ascii="宋体" w:hAnsi="宋体" w:cs="宋体" w:eastAsia="宋体" w:hint="default"/>
        </w:rPr>
        <w:t> </w:t>
      </w:r>
    </w:p>
    <w:p>
      <w:pPr>
        <w:pStyle w:val="BodyText"/>
        <w:spacing w:line="237" w:lineRule="auto" w:before="121"/>
        <w:ind w:right="1126" w:firstLine="420"/>
        <w:jc w:val="both"/>
        <w:rPr>
          <w:rFonts w:ascii="宋体" w:hAnsi="宋体" w:cs="宋体" w:eastAsia="宋体" w:hint="default"/>
        </w:rPr>
      </w:pPr>
      <w:r>
        <w:rPr>
          <w:spacing w:val="-2"/>
        </w:rPr>
        <w:t>符合持有待售条件的无形资产等其他非流动资产，比照上述原则处理，此处所指其他非流动资产不包</w:t>
      </w:r>
      <w:r>
        <w:rPr>
          <w:w w:val="100"/>
        </w:rPr>
        <w:t> </w:t>
      </w:r>
      <w:r>
        <w:rPr>
          <w:spacing w:val="-6"/>
          <w:w w:val="100"/>
        </w:rPr>
        <w:t>括递延所得税资产、职工薪酬形成的资产、《企业会计准则第</w:t>
      </w:r>
      <w:r>
        <w:rPr>
          <w:spacing w:val="-50"/>
          <w:w w:val="100"/>
        </w:rPr>
        <w:t> </w:t>
      </w:r>
      <w:r>
        <w:rPr>
          <w:rFonts w:ascii="宋体" w:hAnsi="宋体" w:cs="宋体" w:eastAsia="宋体" w:hint="default"/>
          <w:spacing w:val="-2"/>
          <w:w w:val="100"/>
        </w:rPr>
        <w:t>22</w:t>
      </w:r>
      <w:r>
        <w:rPr>
          <w:rFonts w:ascii="宋体" w:hAnsi="宋体" w:cs="宋体" w:eastAsia="宋体" w:hint="default"/>
          <w:spacing w:val="-51"/>
          <w:w w:val="100"/>
        </w:rPr>
        <w:t> </w:t>
      </w:r>
      <w:r>
        <w:rPr>
          <w:spacing w:val="-2"/>
          <w:w w:val="100"/>
        </w:rPr>
        <w:t>号——金融工具确认和计量》规范的金融</w:t>
      </w:r>
      <w:r>
        <w:rPr>
          <w:w w:val="100"/>
        </w:rPr>
        <w:t> </w:t>
      </w:r>
      <w:r>
        <w:rPr/>
        <w:t>资产、以公允价值计量的投资性房地产和生物资产、保险合同中产生的合同权利。</w:t>
      </w:r>
      <w:r>
        <w:rPr>
          <w:rFonts w:ascii="宋体" w:hAnsi="宋体" w:cs="宋体" w:eastAsia="宋体" w:hint="default"/>
        </w:rPr>
        <w:t> </w:t>
      </w:r>
    </w:p>
    <w:p>
      <w:pPr>
        <w:spacing w:line="343" w:lineRule="auto" w:before="116"/>
        <w:ind w:left="573" w:right="5542" w:hanging="209"/>
        <w:jc w:val="left"/>
        <w:rPr>
          <w:rFonts w:ascii="宋体" w:hAnsi="宋体" w:cs="宋体" w:eastAsia="宋体" w:hint="default"/>
          <w:sz w:val="21"/>
          <w:szCs w:val="21"/>
        </w:rPr>
      </w:pPr>
      <w:r>
        <w:rPr>
          <w:rFonts w:ascii="宋体" w:hAnsi="宋体" w:cs="宋体" w:eastAsia="宋体" w:hint="default"/>
          <w:b/>
          <w:bCs/>
          <w:sz w:val="21"/>
          <w:szCs w:val="21"/>
        </w:rPr>
        <w:t>（十三）长期股权投资</w:t>
      </w:r>
      <w:r>
        <w:rPr>
          <w:rFonts w:ascii="宋体" w:hAnsi="宋体" w:cs="宋体" w:eastAsia="宋体" w:hint="default"/>
          <w:b/>
          <w:bCs/>
          <w:w w:val="99"/>
          <w:sz w:val="21"/>
          <w:szCs w:val="21"/>
        </w:rPr>
        <w:t> </w:t>
      </w:r>
      <w:r>
        <w:rPr>
          <w:rFonts w:ascii="宋体" w:hAnsi="宋体" w:cs="宋体" w:eastAsia="宋体" w:hint="default"/>
          <w:sz w:val="21"/>
          <w:szCs w:val="21"/>
        </w:rPr>
        <w:t>1</w:t>
      </w:r>
      <w:r>
        <w:rPr>
          <w:rFonts w:ascii="宋体" w:hAnsi="宋体" w:cs="宋体" w:eastAsia="宋体" w:hint="default"/>
          <w:sz w:val="21"/>
          <w:szCs w:val="21"/>
        </w:rPr>
        <w:t>、长期股权投资的分类及其判断依据</w:t>
      </w:r>
      <w:r>
        <w:rPr>
          <w:rFonts w:ascii="宋体" w:hAnsi="宋体" w:cs="宋体" w:eastAsia="宋体" w:hint="default"/>
          <w:sz w:val="21"/>
          <w:szCs w:val="21"/>
        </w:rPr>
        <w:t> </w:t>
      </w:r>
    </w:p>
    <w:p>
      <w:pPr>
        <w:pStyle w:val="BodyText"/>
        <w:spacing w:line="240" w:lineRule="auto" w:before="26"/>
        <w:ind w:left="573" w:right="1133"/>
        <w:jc w:val="left"/>
        <w:rPr>
          <w:rFonts w:ascii="宋体" w:hAnsi="宋体" w:cs="宋体" w:eastAsia="宋体" w:hint="default"/>
        </w:rPr>
      </w:pPr>
      <w:r>
        <w:rPr/>
        <w:t>（</w:t>
      </w:r>
      <w:r>
        <w:rPr>
          <w:rFonts w:ascii="宋体" w:hAnsi="宋体" w:cs="宋体" w:eastAsia="宋体" w:hint="default"/>
        </w:rPr>
        <w:t>1</w:t>
      </w:r>
      <w:r>
        <w:rPr/>
        <w:t>）长期股权投资的分类</w:t>
      </w:r>
      <w:r>
        <w:rPr>
          <w:rFonts w:ascii="宋体" w:hAnsi="宋体" w:cs="宋体" w:eastAsia="宋体" w:hint="default"/>
        </w:rPr>
        <w:t> </w:t>
      </w:r>
    </w:p>
    <w:p>
      <w:pPr>
        <w:pStyle w:val="BodyText"/>
        <w:spacing w:line="272" w:lineRule="exact" w:before="147"/>
        <w:ind w:left="155" w:right="1126" w:firstLine="420"/>
        <w:jc w:val="both"/>
        <w:rPr>
          <w:rFonts w:ascii="宋体" w:hAnsi="宋体" w:cs="宋体" w:eastAsia="宋体" w:hint="default"/>
        </w:rPr>
      </w:pPr>
      <w:r>
        <w:rPr>
          <w:spacing w:val="-2"/>
        </w:rPr>
        <w:t>长期股权投资分为三类，即是指投资方对被投资单位实施控制、重大影响的权益性投资以及对其合营</w:t>
      </w:r>
      <w:r>
        <w:rPr>
          <w:w w:val="100"/>
        </w:rPr>
        <w:t> </w:t>
      </w:r>
      <w:r>
        <w:rPr/>
        <w:t>企业的权益性投资。</w:t>
      </w:r>
      <w:r>
        <w:rPr>
          <w:rFonts w:ascii="宋体" w:hAnsi="宋体" w:cs="宋体" w:eastAsia="宋体" w:hint="default"/>
        </w:rPr>
        <w:t> </w:t>
      </w:r>
    </w:p>
    <w:p>
      <w:pPr>
        <w:pStyle w:val="BodyText"/>
        <w:spacing w:line="240" w:lineRule="auto" w:before="94"/>
        <w:ind w:left="573" w:right="1133"/>
        <w:jc w:val="left"/>
        <w:rPr>
          <w:rFonts w:ascii="宋体" w:hAnsi="宋体" w:cs="宋体" w:eastAsia="宋体" w:hint="default"/>
        </w:rPr>
      </w:pPr>
      <w:r>
        <w:rPr/>
        <w:t>（</w:t>
      </w:r>
      <w:r>
        <w:rPr>
          <w:rFonts w:ascii="宋体" w:hAnsi="宋体" w:cs="宋体" w:eastAsia="宋体" w:hint="default"/>
        </w:rPr>
        <w:t>2</w:t>
      </w:r>
      <w:r>
        <w:rPr/>
        <w:t>）长期股权投资类别的判断依据</w:t>
      </w:r>
      <w:r>
        <w:rPr>
          <w:rFonts w:ascii="宋体" w:hAnsi="宋体" w:cs="宋体" w:eastAsia="宋体" w:hint="default"/>
        </w:rPr>
        <w:t> </w:t>
      </w:r>
    </w:p>
    <w:p>
      <w:pPr>
        <w:pStyle w:val="BodyText"/>
        <w:spacing w:line="240" w:lineRule="auto" w:before="116"/>
        <w:ind w:left="580" w:right="1133"/>
        <w:jc w:val="left"/>
        <w:rPr>
          <w:rFonts w:ascii="宋体" w:hAnsi="宋体" w:cs="宋体" w:eastAsia="宋体" w:hint="default"/>
        </w:rPr>
      </w:pPr>
      <w:r>
        <w:rPr>
          <w:w w:val="100"/>
        </w:rPr>
        <w:t>①确</w:t>
      </w:r>
      <w:r>
        <w:rPr>
          <w:spacing w:val="-3"/>
          <w:w w:val="100"/>
        </w:rPr>
        <w:t>定</w:t>
      </w:r>
      <w:r>
        <w:rPr>
          <w:w w:val="100"/>
        </w:rPr>
        <w:t>对</w:t>
      </w:r>
      <w:r>
        <w:rPr>
          <w:spacing w:val="-3"/>
          <w:w w:val="100"/>
        </w:rPr>
        <w:t>被</w:t>
      </w:r>
      <w:r>
        <w:rPr>
          <w:w w:val="100"/>
        </w:rPr>
        <w:t>投</w:t>
      </w:r>
      <w:r>
        <w:rPr>
          <w:spacing w:val="-3"/>
          <w:w w:val="100"/>
        </w:rPr>
        <w:t>资</w:t>
      </w:r>
      <w:r>
        <w:rPr>
          <w:w w:val="100"/>
        </w:rPr>
        <w:t>单</w:t>
      </w:r>
      <w:r>
        <w:rPr>
          <w:spacing w:val="-3"/>
          <w:w w:val="100"/>
        </w:rPr>
        <w:t>位</w:t>
      </w:r>
      <w:r>
        <w:rPr>
          <w:w w:val="100"/>
        </w:rPr>
        <w:t>控</w:t>
      </w:r>
      <w:r>
        <w:rPr>
          <w:spacing w:val="-3"/>
          <w:w w:val="100"/>
        </w:rPr>
        <w:t>制</w:t>
      </w:r>
      <w:r>
        <w:rPr>
          <w:w w:val="100"/>
        </w:rPr>
        <w:t>的依</w:t>
      </w:r>
      <w:r>
        <w:rPr>
          <w:spacing w:val="-3"/>
          <w:w w:val="100"/>
        </w:rPr>
        <w:t>据</w:t>
      </w:r>
      <w:r>
        <w:rPr>
          <w:w w:val="100"/>
        </w:rPr>
        <w:t>详</w:t>
      </w:r>
      <w:r>
        <w:rPr>
          <w:spacing w:val="-3"/>
          <w:w w:val="100"/>
        </w:rPr>
        <w:t>见</w:t>
      </w:r>
      <w:r>
        <w:rPr>
          <w:w w:val="100"/>
        </w:rPr>
        <w:t>本</w:t>
      </w:r>
      <w:r>
        <w:rPr>
          <w:spacing w:val="-3"/>
          <w:w w:val="100"/>
        </w:rPr>
        <w:t>附</w:t>
      </w:r>
      <w:r>
        <w:rPr>
          <w:w w:val="100"/>
        </w:rPr>
        <w:t>注</w:t>
      </w:r>
      <w:r>
        <w:rPr>
          <w:spacing w:val="-3"/>
          <w:w w:val="100"/>
        </w:rPr>
        <w:t>三</w:t>
      </w:r>
      <w:r>
        <w:rPr>
          <w:spacing w:val="-106"/>
          <w:w w:val="100"/>
        </w:rPr>
        <w:t>、</w:t>
      </w:r>
      <w:r>
        <w:rPr>
          <w:spacing w:val="-3"/>
          <w:w w:val="100"/>
        </w:rPr>
        <w:t>（六</w:t>
      </w:r>
      <w:r>
        <w:rPr>
          <w:spacing w:val="-106"/>
          <w:w w:val="100"/>
        </w:rPr>
        <w:t>）</w:t>
      </w:r>
      <w:r>
        <w:rPr>
          <w:spacing w:val="-3"/>
          <w:w w:val="100"/>
        </w:rPr>
        <w:t>；</w:t>
      </w:r>
      <w:r>
        <w:rPr>
          <w:rFonts w:ascii="宋体" w:hAnsi="宋体" w:cs="宋体" w:eastAsia="宋体" w:hint="default"/>
          <w:w w:val="100"/>
        </w:rPr>
        <w:t> </w:t>
      </w:r>
    </w:p>
    <w:p>
      <w:pPr>
        <w:pStyle w:val="BodyText"/>
        <w:spacing w:line="390" w:lineRule="atLeast" w:before="3"/>
        <w:ind w:left="573" w:right="1133" w:firstLine="7"/>
        <w:jc w:val="left"/>
      </w:pPr>
      <w:r>
        <w:rPr/>
        <w:t>②确定对被投资单位具有重大影响的依据：</w:t>
      </w:r>
      <w:r>
        <w:rPr>
          <w:rFonts w:ascii="宋体" w:hAnsi="宋体" w:cs="宋体" w:eastAsia="宋体" w:hint="default"/>
          <w:w w:val="100"/>
        </w:rPr>
        <w:t> </w:t>
      </w:r>
      <w:r>
        <w:rPr>
          <w:spacing w:val="-2"/>
        </w:rPr>
        <w:t>重大影响，是指对一个企业的财务和经营决策有参与决策的权力，但并不能够控制或者与其他方一起</w:t>
      </w:r>
    </w:p>
    <w:p>
      <w:pPr>
        <w:pStyle w:val="BodyText"/>
        <w:spacing w:line="340" w:lineRule="auto"/>
        <w:ind w:left="573" w:right="2896" w:hanging="421"/>
        <w:jc w:val="left"/>
        <w:rPr>
          <w:rFonts w:ascii="宋体" w:hAnsi="宋体" w:cs="宋体" w:eastAsia="宋体" w:hint="default"/>
        </w:rPr>
      </w:pPr>
      <w:r>
        <w:rPr/>
        <w:t>共同控制这些政策的制定。</w:t>
      </w:r>
      <w:r>
        <w:rPr>
          <w:rFonts w:ascii="宋体" w:hAnsi="宋体" w:cs="宋体" w:eastAsia="宋体" w:hint="default"/>
          <w:w w:val="100"/>
        </w:rPr>
        <w:t> </w:t>
      </w:r>
      <w:r>
        <w:rPr/>
        <w:t>公司通常通过以下一种或几种情形判断是否对被投资单位具有重大影响：</w:t>
      </w:r>
      <w:r>
        <w:rPr>
          <w:rFonts w:ascii="宋体" w:hAnsi="宋体" w:cs="宋体" w:eastAsia="宋体" w:hint="default"/>
        </w:rPr>
        <w:t> </w:t>
      </w:r>
    </w:p>
    <w:p>
      <w:pPr>
        <w:pStyle w:val="BodyText"/>
        <w:spacing w:line="272" w:lineRule="exact" w:before="58"/>
        <w:ind w:right="1126" w:firstLine="420"/>
        <w:jc w:val="both"/>
        <w:rPr>
          <w:rFonts w:ascii="宋体" w:hAnsi="宋体" w:cs="宋体" w:eastAsia="宋体" w:hint="default"/>
        </w:rPr>
      </w:pPr>
      <w:r>
        <w:rPr>
          <w:rFonts w:ascii="宋体" w:hAnsi="宋体" w:cs="宋体" w:eastAsia="宋体" w:hint="default"/>
          <w:spacing w:val="-2"/>
        </w:rPr>
        <w:t>A.</w:t>
      </w:r>
      <w:r>
        <w:rPr>
          <w:spacing w:val="-2"/>
        </w:rPr>
        <w:t>在被投资单位的董事会或类似权力机构中派有代表。在这种情况下，由于在被投资单位的董事会或</w:t>
      </w:r>
      <w:r>
        <w:rPr>
          <w:w w:val="100"/>
        </w:rPr>
        <w:t> </w:t>
      </w:r>
      <w:r>
        <w:rPr>
          <w:spacing w:val="-2"/>
        </w:rPr>
        <w:t>类似权力机构中派有代表，并相应享有实质性的参与决策权，投资方可以通过该代表参与被投资单位财务</w:t>
      </w:r>
      <w:r>
        <w:rPr>
          <w:spacing w:val="-43"/>
        </w:rPr>
        <w:t> </w:t>
      </w:r>
      <w:r>
        <w:rPr>
          <w:spacing w:val="-43"/>
        </w:rPr>
      </w:r>
      <w:r>
        <w:rPr/>
        <w:t>和经营政策的制定，达到对被投资单位施加重大影响。</w:t>
      </w:r>
      <w:r>
        <w:rPr>
          <w:rFonts w:ascii="宋体" w:hAnsi="宋体" w:cs="宋体" w:eastAsia="宋体" w:hint="default"/>
        </w:rPr>
        <w:t> </w:t>
      </w:r>
    </w:p>
    <w:p>
      <w:pPr>
        <w:pStyle w:val="BodyText"/>
        <w:spacing w:line="272" w:lineRule="exact" w:before="122"/>
        <w:ind w:right="1126" w:firstLine="420"/>
        <w:jc w:val="both"/>
        <w:rPr>
          <w:rFonts w:ascii="宋体" w:hAnsi="宋体" w:cs="宋体" w:eastAsia="宋体" w:hint="default"/>
        </w:rPr>
      </w:pPr>
      <w:r>
        <w:rPr>
          <w:rFonts w:ascii="宋体" w:hAnsi="宋体" w:cs="宋体" w:eastAsia="宋体" w:hint="default"/>
          <w:spacing w:val="-2"/>
        </w:rPr>
        <w:t>B.</w:t>
      </w:r>
      <w:r>
        <w:rPr>
          <w:spacing w:val="-2"/>
        </w:rPr>
        <w:t>参与被投资单位财务和经营政策制定过程。这种情况下，在制定政策过程中可以为其自身利益提出</w:t>
      </w:r>
      <w:r>
        <w:rPr>
          <w:w w:val="100"/>
        </w:rPr>
        <w:t> </w:t>
      </w:r>
      <w:r>
        <w:rPr/>
        <w:t>建议和意见，从而可以对被投资单位施加重大影响。</w:t>
      </w:r>
      <w:r>
        <w:rPr>
          <w:rFonts w:ascii="宋体" w:hAnsi="宋体" w:cs="宋体" w:eastAsia="宋体" w:hint="default"/>
        </w:rPr>
        <w:t> </w:t>
      </w:r>
    </w:p>
    <w:p>
      <w:pPr>
        <w:pStyle w:val="BodyText"/>
        <w:spacing w:line="272" w:lineRule="exact" w:before="121"/>
        <w:ind w:right="1126" w:firstLine="420"/>
        <w:jc w:val="both"/>
        <w:rPr>
          <w:rFonts w:ascii="宋体" w:hAnsi="宋体" w:cs="宋体" w:eastAsia="宋体" w:hint="default"/>
        </w:rPr>
      </w:pPr>
      <w:r>
        <w:rPr>
          <w:rFonts w:ascii="宋体" w:hAnsi="宋体" w:cs="宋体" w:eastAsia="宋体" w:hint="default"/>
          <w:spacing w:val="-2"/>
        </w:rPr>
        <w:t>C.</w:t>
      </w:r>
      <w:r>
        <w:rPr>
          <w:spacing w:val="-2"/>
        </w:rPr>
        <w:t>与被投资单位之间发生重要交易。有关的交易因对被投资单位的日常经营具有重要性，进而一定程</w:t>
      </w:r>
      <w:r>
        <w:rPr>
          <w:w w:val="100"/>
        </w:rPr>
        <w:t> </w:t>
      </w:r>
      <w:r>
        <w:rPr/>
        <w:t>度上可以影响到被投资单位的生产经营决策。</w:t>
      </w:r>
      <w:r>
        <w:rPr>
          <w:rFonts w:ascii="宋体" w:hAnsi="宋体" w:cs="宋体" w:eastAsia="宋体" w:hint="default"/>
          <w:spacing w:val="-3"/>
        </w:rPr>
        <w:t> </w:t>
      </w:r>
      <w:r>
        <w:rPr>
          <w:rFonts w:ascii="宋体" w:hAnsi="宋体" w:cs="宋体" w:eastAsia="宋体" w:hint="default"/>
        </w:rPr>
        <w:t> </w:t>
      </w:r>
    </w:p>
    <w:p>
      <w:pPr>
        <w:pStyle w:val="BodyText"/>
        <w:spacing w:line="272" w:lineRule="exact" w:before="121"/>
        <w:ind w:right="1126" w:firstLine="420"/>
        <w:jc w:val="both"/>
        <w:rPr>
          <w:rFonts w:ascii="宋体" w:hAnsi="宋体" w:cs="宋体" w:eastAsia="宋体" w:hint="default"/>
        </w:rPr>
      </w:pPr>
      <w:r>
        <w:rPr>
          <w:rFonts w:ascii="宋体" w:hAnsi="宋体" w:cs="宋体" w:eastAsia="宋体" w:hint="default"/>
          <w:spacing w:val="-2"/>
        </w:rPr>
        <w:t>D.</w:t>
      </w:r>
      <w:r>
        <w:rPr>
          <w:spacing w:val="-2"/>
        </w:rPr>
        <w:t>向被投资单位派出管理人员。在这种情况下，管理人员有权力主导被投资单位的相关活动，从而能</w:t>
      </w:r>
      <w:r>
        <w:rPr>
          <w:w w:val="100"/>
        </w:rPr>
        <w:t> </w:t>
      </w:r>
      <w:r>
        <w:rPr/>
        <w:t>够对被投资单位施加重大影响。</w:t>
      </w:r>
      <w:r>
        <w:rPr>
          <w:rFonts w:ascii="宋体" w:hAnsi="宋体" w:cs="宋体" w:eastAsia="宋体" w:hint="default"/>
        </w:rPr>
        <w:t> </w:t>
      </w:r>
    </w:p>
    <w:p>
      <w:pPr>
        <w:pStyle w:val="BodyText"/>
        <w:spacing w:line="272" w:lineRule="exact" w:before="121"/>
        <w:ind w:right="1126" w:firstLine="420"/>
        <w:jc w:val="both"/>
        <w:rPr>
          <w:rFonts w:ascii="宋体" w:hAnsi="宋体" w:cs="宋体" w:eastAsia="宋体" w:hint="default"/>
        </w:rPr>
      </w:pPr>
      <w:r>
        <w:rPr>
          <w:rFonts w:ascii="宋体" w:hAnsi="宋体" w:cs="宋体" w:eastAsia="宋体" w:hint="default"/>
          <w:spacing w:val="-2"/>
        </w:rPr>
        <w:t>E.</w:t>
      </w:r>
      <w:r>
        <w:rPr>
          <w:spacing w:val="-2"/>
        </w:rPr>
        <w:t>向被投资单位提供关键技术资料。因被投资单位的生产经营需要依赖投资方的技术或技术资料，表</w:t>
      </w:r>
      <w:r>
        <w:rPr>
          <w:w w:val="100"/>
        </w:rPr>
        <w:t> </w:t>
      </w:r>
      <w:r>
        <w:rPr/>
        <w:t>明投资方对被投资单位具有重大影响。</w:t>
      </w:r>
      <w:r>
        <w:rPr>
          <w:rFonts w:ascii="宋体" w:hAnsi="宋体" w:cs="宋体" w:eastAsia="宋体" w:hint="default"/>
        </w:rPr>
        <w:t> </w:t>
      </w:r>
    </w:p>
    <w:p>
      <w:pPr>
        <w:pStyle w:val="BodyText"/>
        <w:spacing w:line="272" w:lineRule="exact" w:before="121"/>
        <w:ind w:right="1126" w:firstLine="420"/>
        <w:jc w:val="both"/>
        <w:rPr>
          <w:rFonts w:ascii="宋体" w:hAnsi="宋体" w:cs="宋体" w:eastAsia="宋体" w:hint="default"/>
        </w:rPr>
      </w:pPr>
      <w:r>
        <w:rPr>
          <w:spacing w:val="-2"/>
        </w:rPr>
        <w:t>公司在判断是否对被投资方具有重大影响时，不限于是否存在上述一种或多种情形，还需要综合考虑</w:t>
      </w:r>
      <w:r>
        <w:rPr>
          <w:w w:val="100"/>
        </w:rPr>
        <w:t> </w:t>
      </w:r>
      <w:r>
        <w:rPr/>
        <w:t>所有事实和情况来做出综合的判断。</w:t>
      </w:r>
      <w:r>
        <w:rPr>
          <w:rFonts w:ascii="宋体" w:hAnsi="宋体" w:cs="宋体" w:eastAsia="宋体" w:hint="default"/>
        </w:rPr>
        <w:t> </w:t>
      </w:r>
    </w:p>
    <w:p>
      <w:pPr>
        <w:pStyle w:val="BodyText"/>
        <w:spacing w:line="240" w:lineRule="auto" w:before="94"/>
        <w:ind w:left="573" w:right="1133"/>
        <w:jc w:val="left"/>
        <w:rPr>
          <w:rFonts w:ascii="宋体" w:hAnsi="宋体" w:cs="宋体" w:eastAsia="宋体" w:hint="default"/>
        </w:rPr>
      </w:pPr>
      <w:r>
        <w:rPr/>
        <w:t>投资方对被投资单位具有重大影响的权益性投资，即对联营企业投资。</w:t>
      </w:r>
      <w:r>
        <w:rPr>
          <w:rFonts w:ascii="宋体" w:hAnsi="宋体" w:cs="宋体" w:eastAsia="宋体" w:hint="default"/>
        </w:rPr>
        <w:t> </w:t>
      </w:r>
    </w:p>
    <w:p>
      <w:pPr>
        <w:pStyle w:val="BodyText"/>
        <w:spacing w:line="343" w:lineRule="auto" w:before="117"/>
        <w:ind w:left="573" w:right="1133" w:firstLine="7"/>
        <w:jc w:val="left"/>
        <w:rPr>
          <w:rFonts w:ascii="宋体" w:hAnsi="宋体" w:cs="宋体" w:eastAsia="宋体" w:hint="default"/>
        </w:rPr>
      </w:pPr>
      <w:r>
        <w:rPr/>
        <w:t>③确定被投资单位是否为合营企业的依据：</w:t>
      </w:r>
      <w:r>
        <w:rPr>
          <w:rFonts w:ascii="宋体" w:hAnsi="宋体" w:cs="宋体" w:eastAsia="宋体" w:hint="default"/>
          <w:w w:val="100"/>
        </w:rPr>
        <w:t> </w:t>
      </w:r>
      <w:r>
        <w:rPr/>
        <w:t>本公司的合营企业是指本公司仅对合营安排的净资产享有权利。</w:t>
      </w:r>
      <w:r>
        <w:rPr>
          <w:rFonts w:ascii="宋体" w:hAnsi="宋体" w:cs="宋体" w:eastAsia="宋体" w:hint="default"/>
          <w:w w:val="100"/>
        </w:rPr>
        <w:t> </w:t>
      </w:r>
      <w:r>
        <w:rPr>
          <w:spacing w:val="-8"/>
          <w:w w:val="100"/>
        </w:rPr>
        <w:t>合营安排的定义、分类以及共同控制的判断标准详见本附注三、（七）。</w:t>
      </w:r>
      <w:r>
        <w:rPr>
          <w:spacing w:val="-104"/>
          <w:w w:val="100"/>
        </w:rPr>
        <w:t> </w:t>
      </w:r>
      <w:r>
        <w:rPr>
          <w:rFonts w:ascii="宋体" w:hAnsi="宋体" w:cs="宋体" w:eastAsia="宋体" w:hint="default"/>
          <w:spacing w:val="-104"/>
          <w:w w:val="100"/>
        </w:rPr>
      </w:r>
      <w:r>
        <w:rPr>
          <w:rFonts w:ascii="宋体" w:hAnsi="宋体" w:cs="宋体" w:eastAsia="宋体" w:hint="default"/>
        </w:rPr>
        <w:t>2</w:t>
      </w:r>
      <w:r>
        <w:rPr/>
        <w:t>、长期股权投资初始成本的确定</w:t>
      </w:r>
      <w:r>
        <w:rPr>
          <w:rFonts w:ascii="宋体" w:hAnsi="宋体" w:cs="宋体" w:eastAsia="宋体" w:hint="default"/>
        </w:rPr>
        <w:t> </w:t>
      </w:r>
    </w:p>
    <w:p>
      <w:pPr>
        <w:pStyle w:val="BodyText"/>
        <w:spacing w:line="240" w:lineRule="auto" w:before="26"/>
        <w:ind w:right="1133"/>
        <w:jc w:val="left"/>
        <w:rPr>
          <w:rFonts w:ascii="宋体" w:hAnsi="宋体" w:cs="宋体" w:eastAsia="宋体" w:hint="default"/>
        </w:rPr>
      </w:pPr>
      <w:r>
        <w:rPr>
          <w:rFonts w:ascii="宋体" w:hAnsi="宋体" w:cs="宋体" w:eastAsia="宋体" w:hint="default"/>
          <w:w w:val="100"/>
        </w:rPr>
        <w:t>   </w:t>
      </w:r>
      <w:r>
        <w:rPr/>
        <w:t>（</w:t>
      </w:r>
      <w:r>
        <w:rPr>
          <w:rFonts w:ascii="宋体" w:hAnsi="宋体" w:cs="宋体" w:eastAsia="宋体" w:hint="default"/>
        </w:rPr>
        <w:t>1</w:t>
      </w:r>
      <w:r>
        <w:rPr/>
        <w:t>）企业合并形成的长期股权投资</w:t>
      </w:r>
      <w:r>
        <w:rPr>
          <w:rFonts w:ascii="宋体" w:hAnsi="宋体" w:cs="宋体" w:eastAsia="宋体" w:hint="default"/>
        </w:rPr>
        <w:t> </w:t>
      </w:r>
    </w:p>
    <w:p>
      <w:pPr>
        <w:spacing w:after="0" w:line="240" w:lineRule="auto"/>
        <w:jc w:val="left"/>
        <w:rPr>
          <w:rFonts w:ascii="宋体" w:hAnsi="宋体" w:cs="宋体" w:eastAsia="宋体" w:hint="default"/>
        </w:rPr>
        <w:sectPr>
          <w:pgSz w:w="11910" w:h="16840"/>
          <w:pgMar w:header="921" w:footer="725" w:top="1160" w:bottom="920" w:left="980" w:right="0"/>
        </w:sectPr>
      </w:pPr>
    </w:p>
    <w:p>
      <w:pPr>
        <w:spacing w:line="240" w:lineRule="auto" w:before="12"/>
        <w:rPr>
          <w:rFonts w:ascii="宋体" w:hAnsi="宋体" w:cs="宋体" w:eastAsia="宋体" w:hint="default"/>
          <w:sz w:val="15"/>
          <w:szCs w:val="15"/>
        </w:rPr>
      </w:pPr>
    </w:p>
    <w:p>
      <w:pPr>
        <w:pStyle w:val="BodyText"/>
        <w:spacing w:line="237" w:lineRule="auto" w:before="38"/>
        <w:ind w:right="1126" w:firstLine="420"/>
        <w:jc w:val="both"/>
      </w:pPr>
      <w:r>
        <w:rPr>
          <w:spacing w:val="-2"/>
        </w:rPr>
        <w:t>同一控制下的企业合并：公司以支付现金、转让非现金资产或承担债务方式以及以发行权益性证券作</w:t>
      </w:r>
      <w:r>
        <w:rPr>
          <w:w w:val="100"/>
        </w:rPr>
        <w:t> </w:t>
      </w:r>
      <w:r>
        <w:rPr>
          <w:spacing w:val="-2"/>
        </w:rPr>
        <w:t>为合并对价的，在合并日按照取得被合并方所有者权益在最终控制方合并财务报表中的账面价值的份额作</w:t>
      </w:r>
      <w:r>
        <w:rPr>
          <w:spacing w:val="-43"/>
        </w:rPr>
        <w:t> </w:t>
      </w:r>
      <w:r>
        <w:rPr>
          <w:spacing w:val="-43"/>
        </w:rPr>
      </w:r>
      <w:r>
        <w:rPr>
          <w:spacing w:val="-2"/>
        </w:rPr>
        <w:t>为长期股权投资的初始投资成本。长期股权投资初始投资成本与支付合并对价之间的差额，调整资本公积</w:t>
      </w:r>
    </w:p>
    <w:p>
      <w:pPr>
        <w:pStyle w:val="BodyText"/>
        <w:spacing w:line="237" w:lineRule="auto"/>
        <w:ind w:right="1126"/>
        <w:jc w:val="both"/>
        <w:rPr>
          <w:rFonts w:ascii="宋体" w:hAnsi="宋体" w:cs="宋体" w:eastAsia="宋体" w:hint="default"/>
        </w:rPr>
      </w:pPr>
      <w:r>
        <w:rPr>
          <w:spacing w:val="-2"/>
          <w:w w:val="100"/>
        </w:rPr>
        <w:t>（资本溢价或股本溢价）；资本公积（资本溢价或股本溢价）不足冲减的，调整留存收益。合并方以发行</w:t>
      </w:r>
      <w:r>
        <w:rPr>
          <w:spacing w:val="-94"/>
          <w:w w:val="100"/>
        </w:rPr>
        <w:t> </w:t>
      </w:r>
      <w:r>
        <w:rPr>
          <w:spacing w:val="-94"/>
          <w:w w:val="100"/>
        </w:rPr>
      </w:r>
      <w:r>
        <w:rPr>
          <w:spacing w:val="-2"/>
        </w:rPr>
        <w:t>权益性证券作为合并对价的，按照发行股份的面值总额作为股本，长期股权投资初始投资成本与所发行股</w:t>
      </w:r>
      <w:r>
        <w:rPr>
          <w:spacing w:val="-43"/>
        </w:rPr>
        <w:t> </w:t>
      </w:r>
      <w:r>
        <w:rPr>
          <w:spacing w:val="-43"/>
        </w:rPr>
      </w:r>
      <w:r>
        <w:rPr>
          <w:spacing w:val="-2"/>
          <w:w w:val="100"/>
        </w:rPr>
        <w:t>份面值总额之间的差额，调整资本公（资本溢价或股本溢价）；资本公积（资本溢价或股本溢价）不足冲</w:t>
      </w:r>
      <w:r>
        <w:rPr>
          <w:spacing w:val="-91"/>
          <w:w w:val="100"/>
        </w:rPr>
        <w:t> </w:t>
      </w:r>
      <w:r>
        <w:rPr>
          <w:spacing w:val="-91"/>
          <w:w w:val="100"/>
        </w:rPr>
      </w:r>
      <w:r>
        <w:rPr/>
        <w:t>减的，调整留存收益。</w:t>
      </w:r>
      <w:r>
        <w:rPr>
          <w:rFonts w:ascii="宋体" w:hAnsi="宋体" w:cs="宋体" w:eastAsia="宋体" w:hint="default"/>
        </w:rPr>
        <w:t> </w:t>
      </w:r>
    </w:p>
    <w:p>
      <w:pPr>
        <w:pStyle w:val="BodyText"/>
        <w:spacing w:line="237" w:lineRule="auto" w:before="119"/>
        <w:ind w:right="1126" w:firstLine="420"/>
        <w:jc w:val="both"/>
        <w:rPr>
          <w:rFonts w:ascii="宋体" w:hAnsi="宋体" w:cs="宋体" w:eastAsia="宋体" w:hint="default"/>
        </w:rPr>
      </w:pPr>
      <w:r>
        <w:rPr>
          <w:spacing w:val="-2"/>
        </w:rPr>
        <w:t>非同一控制下的企业合并：公司按照购买日确定的合并成本作为长期股权投资的初始投资成本。合并</w:t>
      </w:r>
      <w:r>
        <w:rPr>
          <w:w w:val="100"/>
        </w:rPr>
        <w:t> </w:t>
      </w:r>
      <w:r>
        <w:rPr>
          <w:spacing w:val="-2"/>
        </w:rPr>
        <w:t>成本为购买日购买方为取得对被购买方的控制权而付出的资产、发生或承担的负债以及发行的权益性证券</w:t>
      </w:r>
      <w:r>
        <w:rPr>
          <w:spacing w:val="-43"/>
        </w:rPr>
        <w:t> </w:t>
      </w:r>
      <w:r>
        <w:rPr>
          <w:spacing w:val="-43"/>
        </w:rPr>
      </w:r>
      <w:r>
        <w:rPr>
          <w:spacing w:val="-2"/>
        </w:rPr>
        <w:t>的公允价值。购买方作为合并对价发行的权益性证券或债务性证券的交易费用，计入权益性证券或债务性</w:t>
      </w:r>
      <w:r>
        <w:rPr>
          <w:spacing w:val="-44"/>
        </w:rPr>
        <w:t> </w:t>
      </w:r>
      <w:r>
        <w:rPr>
          <w:spacing w:val="-44"/>
        </w:rPr>
      </w:r>
      <w:r>
        <w:rPr>
          <w:spacing w:val="-2"/>
        </w:rPr>
        <w:t>证券的初始确认金额。通过多次交易分步实现的非同一控制下企业合并，以购买日之前所持被购买方的股</w:t>
      </w:r>
      <w:r>
        <w:rPr>
          <w:spacing w:val="-44"/>
        </w:rPr>
        <w:t> </w:t>
      </w:r>
      <w:r>
        <w:rPr>
          <w:spacing w:val="-44"/>
        </w:rPr>
      </w:r>
      <w:r>
        <w:rPr>
          <w:spacing w:val="-2"/>
        </w:rPr>
        <w:t>权投资的账面价值与购买日新增投资成本之和，作为该项投资的初始投资成本。本公司将合并协议约定的</w:t>
      </w:r>
      <w:r>
        <w:rPr>
          <w:spacing w:val="-44"/>
        </w:rPr>
        <w:t> </w:t>
      </w:r>
      <w:r>
        <w:rPr>
          <w:spacing w:val="-44"/>
        </w:rPr>
      </w:r>
      <w:r>
        <w:rPr/>
        <w:t>或有对价作为企业合并转移对价的一部分，按照其在购买日的公允价值计入企业合并成本。</w:t>
      </w:r>
      <w:r>
        <w:rPr>
          <w:rFonts w:ascii="宋体" w:hAnsi="宋体" w:cs="宋体" w:eastAsia="宋体" w:hint="default"/>
        </w:rPr>
        <w:t> </w:t>
      </w:r>
    </w:p>
    <w:p>
      <w:pPr>
        <w:pStyle w:val="BodyText"/>
        <w:spacing w:line="240" w:lineRule="auto" w:before="116"/>
        <w:ind w:right="1126" w:firstLine="420"/>
        <w:jc w:val="both"/>
        <w:rPr>
          <w:rFonts w:ascii="宋体" w:hAnsi="宋体" w:cs="宋体" w:eastAsia="宋体" w:hint="default"/>
        </w:rPr>
      </w:pPr>
      <w:r>
        <w:rPr>
          <w:spacing w:val="-2"/>
        </w:rPr>
        <w:t>合并方或购买方为企业合并而发生的审计、法律服务、评估咨询等中介费用以及其他相关管理费用于</w:t>
      </w:r>
      <w:r>
        <w:rPr>
          <w:w w:val="100"/>
        </w:rPr>
        <w:t> </w:t>
      </w:r>
      <w:r>
        <w:rPr/>
        <w:t>发生时计入当期损益。</w:t>
      </w:r>
      <w:r>
        <w:rPr>
          <w:rFonts w:ascii="宋体" w:hAnsi="宋体" w:cs="宋体" w:eastAsia="宋体" w:hint="default"/>
        </w:rPr>
        <w:t> </w:t>
      </w:r>
    </w:p>
    <w:p>
      <w:pPr>
        <w:pStyle w:val="BodyText"/>
        <w:spacing w:line="240" w:lineRule="auto" w:before="116"/>
        <w:ind w:right="0"/>
        <w:jc w:val="both"/>
        <w:rPr>
          <w:rFonts w:ascii="宋体" w:hAnsi="宋体" w:cs="宋体" w:eastAsia="宋体" w:hint="default"/>
        </w:rPr>
      </w:pPr>
      <w:r>
        <w:rPr>
          <w:rFonts w:ascii="宋体" w:hAnsi="宋体" w:cs="宋体" w:eastAsia="宋体" w:hint="default"/>
          <w:w w:val="100"/>
        </w:rPr>
        <w:t>   </w:t>
      </w:r>
      <w:r>
        <w:rPr/>
        <w:t>（</w:t>
      </w:r>
      <w:r>
        <w:rPr>
          <w:rFonts w:ascii="宋体" w:hAnsi="宋体" w:cs="宋体" w:eastAsia="宋体" w:hint="default"/>
        </w:rPr>
        <w:t>2</w:t>
      </w:r>
      <w:r>
        <w:rPr/>
        <w:t>）其他方式取得的长期股权投资</w:t>
      </w:r>
      <w:r>
        <w:rPr>
          <w:rFonts w:ascii="宋体" w:hAnsi="宋体" w:cs="宋体" w:eastAsia="宋体" w:hint="default"/>
        </w:rPr>
        <w:t> </w:t>
      </w:r>
    </w:p>
    <w:p>
      <w:pPr>
        <w:pStyle w:val="BodyText"/>
        <w:spacing w:line="272" w:lineRule="exact" w:before="146"/>
        <w:ind w:right="1126" w:firstLine="420"/>
        <w:jc w:val="both"/>
        <w:rPr>
          <w:rFonts w:ascii="宋体" w:hAnsi="宋体" w:cs="宋体" w:eastAsia="宋体" w:hint="default"/>
        </w:rPr>
      </w:pPr>
      <w:r>
        <w:rPr>
          <w:spacing w:val="-2"/>
        </w:rPr>
        <w:t>以支付现金方式取得的长期股权投资，按照实际支付的购买价款作为初始投资成本。初始投资成本包</w:t>
      </w:r>
      <w:r>
        <w:rPr>
          <w:w w:val="100"/>
        </w:rPr>
        <w:t> </w:t>
      </w:r>
      <w:r>
        <w:rPr/>
        <w:t>括与取得长期股权投资直接相关的费用、税金及其他必要支出。</w:t>
      </w:r>
      <w:r>
        <w:rPr>
          <w:rFonts w:ascii="宋体" w:hAnsi="宋体" w:cs="宋体" w:eastAsia="宋体" w:hint="default"/>
        </w:rPr>
        <w:t> </w:t>
      </w:r>
    </w:p>
    <w:p>
      <w:pPr>
        <w:pStyle w:val="BodyText"/>
        <w:spacing w:line="392" w:lineRule="exact" w:before="25"/>
        <w:ind w:left="573" w:right="1133"/>
        <w:jc w:val="left"/>
      </w:pPr>
      <w:r>
        <w:rPr/>
        <w:t>以发行权益性证券取得的长期股权投资，按照发行权益性证券的公允价值作为初始投资成本。</w:t>
      </w:r>
      <w:r>
        <w:rPr>
          <w:rFonts w:ascii="宋体" w:hAnsi="宋体" w:cs="宋体" w:eastAsia="宋体" w:hint="default"/>
          <w:w w:val="100"/>
        </w:rPr>
        <w:t> </w:t>
      </w:r>
      <w:r>
        <w:rPr>
          <w:spacing w:val="-2"/>
        </w:rPr>
        <w:t>在非货币性资产交换具备商业实质和换入资产或换出资产的公允价值能够可靠计量的前提下，非货币</w:t>
      </w:r>
    </w:p>
    <w:p>
      <w:pPr>
        <w:pStyle w:val="BodyText"/>
        <w:spacing w:line="223" w:lineRule="exact"/>
        <w:ind w:right="0"/>
        <w:jc w:val="both"/>
      </w:pPr>
      <w:r>
        <w:rPr/>
        <w:t>性资产交换换入的长期股权投资以换出资产的公允价值为基础确定其初始投资成本，除非有确凿证据表明</w:t>
      </w:r>
    </w:p>
    <w:p>
      <w:pPr>
        <w:pStyle w:val="BodyText"/>
        <w:spacing w:line="272" w:lineRule="exact" w:before="26"/>
        <w:ind w:right="1126"/>
        <w:jc w:val="both"/>
        <w:rPr>
          <w:rFonts w:ascii="宋体" w:hAnsi="宋体" w:cs="宋体" w:eastAsia="宋体" w:hint="default"/>
        </w:rPr>
      </w:pPr>
      <w:r>
        <w:rPr>
          <w:spacing w:val="-2"/>
        </w:rPr>
        <w:t>换入资产的公允价值更加可靠；不满足上述前提的非货币性资产交换，以换出资产的账面价值和应支付的</w:t>
      </w:r>
      <w:r>
        <w:rPr>
          <w:spacing w:val="-42"/>
        </w:rPr>
        <w:t> </w:t>
      </w:r>
      <w:r>
        <w:rPr>
          <w:spacing w:val="-42"/>
        </w:rPr>
      </w:r>
      <w:r>
        <w:rPr/>
        <w:t>相关税费作为换入长期股权投资的初始投资成本。</w:t>
      </w:r>
      <w:r>
        <w:rPr>
          <w:rFonts w:ascii="宋体" w:hAnsi="宋体" w:cs="宋体" w:eastAsia="宋体" w:hint="default"/>
        </w:rPr>
        <w:t> </w:t>
      </w:r>
    </w:p>
    <w:p>
      <w:pPr>
        <w:pStyle w:val="BodyText"/>
        <w:spacing w:line="240" w:lineRule="auto" w:before="94"/>
        <w:ind w:left="573" w:right="1133"/>
        <w:jc w:val="left"/>
        <w:rPr>
          <w:rFonts w:ascii="宋体" w:hAnsi="宋体" w:cs="宋体" w:eastAsia="宋体" w:hint="default"/>
        </w:rPr>
      </w:pPr>
      <w:r>
        <w:rPr/>
        <w:t>通过债务重组取得的长期股权投资，其初始投资成本按照公允价值为基础确定。</w:t>
      </w:r>
      <w:r>
        <w:rPr>
          <w:rFonts w:ascii="宋体" w:hAnsi="宋体" w:cs="宋体" w:eastAsia="宋体" w:hint="default"/>
        </w:rPr>
        <w:t> </w:t>
      </w:r>
    </w:p>
    <w:p>
      <w:pPr>
        <w:pStyle w:val="BodyText"/>
        <w:spacing w:line="240" w:lineRule="auto" w:before="116"/>
        <w:ind w:right="0"/>
        <w:jc w:val="both"/>
        <w:rPr>
          <w:rFonts w:ascii="宋体" w:hAnsi="宋体" w:cs="宋体" w:eastAsia="宋体" w:hint="default"/>
        </w:rPr>
      </w:pPr>
      <w:r>
        <w:rPr>
          <w:rFonts w:ascii="宋体" w:hAnsi="宋体" w:cs="宋体" w:eastAsia="宋体" w:hint="default"/>
          <w:w w:val="100"/>
        </w:rPr>
        <w:t>    </w:t>
      </w:r>
      <w:r>
        <w:rPr>
          <w:rFonts w:ascii="宋体" w:hAnsi="宋体" w:cs="宋体" w:eastAsia="宋体" w:hint="default"/>
        </w:rPr>
        <w:t>3</w:t>
      </w:r>
      <w:r>
        <w:rPr/>
        <w:t>、长期股权投资的后续计量及损益确认方法</w:t>
      </w:r>
      <w:r>
        <w:rPr>
          <w:rFonts w:ascii="宋体" w:hAnsi="宋体" w:cs="宋体" w:eastAsia="宋体" w:hint="default"/>
        </w:rPr>
        <w:t> </w:t>
      </w:r>
    </w:p>
    <w:p>
      <w:pPr>
        <w:pStyle w:val="BodyText"/>
        <w:spacing w:line="390" w:lineRule="atLeast" w:before="4"/>
        <w:ind w:left="573" w:right="819"/>
        <w:jc w:val="left"/>
      </w:pPr>
      <w:r>
        <w:rPr/>
        <w:t>本公司能够对被投资单位实施控制的长期股权投资采用成本法核算。</w:t>
      </w:r>
      <w:r>
        <w:rPr>
          <w:rFonts w:ascii="宋体" w:hAnsi="宋体" w:cs="宋体" w:eastAsia="宋体" w:hint="default"/>
          <w:w w:val="100"/>
        </w:rPr>
        <w:t> </w:t>
      </w:r>
      <w:r>
        <w:rPr/>
        <w:t>采用成本法核算的长期股权投资按照初始投资成本计价。追加或收回投资调整长期股权投资的成本。</w:t>
      </w:r>
    </w:p>
    <w:p>
      <w:pPr>
        <w:pStyle w:val="BodyText"/>
        <w:spacing w:line="274" w:lineRule="exact"/>
        <w:ind w:right="0"/>
        <w:jc w:val="both"/>
        <w:rPr>
          <w:rFonts w:ascii="宋体" w:hAnsi="宋体" w:cs="宋体" w:eastAsia="宋体" w:hint="default"/>
        </w:rPr>
      </w:pPr>
      <w:r>
        <w:rPr/>
        <w:t>被投资单位宣告分派的现金股利或利润，确认为当期投资收益。</w:t>
      </w:r>
      <w:r>
        <w:rPr>
          <w:rFonts w:ascii="宋体" w:hAnsi="宋体" w:cs="宋体" w:eastAsia="宋体" w:hint="default"/>
        </w:rPr>
        <w:t> </w:t>
      </w:r>
    </w:p>
    <w:p>
      <w:pPr>
        <w:pStyle w:val="BodyText"/>
        <w:spacing w:line="237" w:lineRule="auto" w:before="119"/>
        <w:ind w:right="1126" w:firstLine="420"/>
        <w:jc w:val="both"/>
        <w:rPr>
          <w:rFonts w:ascii="宋体" w:hAnsi="宋体" w:cs="宋体" w:eastAsia="宋体" w:hint="default"/>
        </w:rPr>
      </w:pPr>
      <w:r>
        <w:rPr>
          <w:spacing w:val="-2"/>
        </w:rPr>
        <w:t>对合营企业和联营企业的长期股权投资，采用权益法核算。初始投资成本大于投资时应享有被投资单</w:t>
      </w:r>
      <w:r>
        <w:rPr>
          <w:w w:val="100"/>
        </w:rPr>
        <w:t> </w:t>
      </w:r>
      <w:r>
        <w:rPr>
          <w:spacing w:val="-2"/>
        </w:rPr>
        <w:t>位可辨认净资产公允价值份额的差额，不调整长期股权投资的初始投资成本；初始投资成本小于投资时应</w:t>
      </w:r>
      <w:r>
        <w:rPr>
          <w:spacing w:val="-44"/>
        </w:rPr>
        <w:t> </w:t>
      </w:r>
      <w:r>
        <w:rPr>
          <w:spacing w:val="-44"/>
        </w:rPr>
      </w:r>
      <w:r>
        <w:rPr/>
        <w:t>享有被投资单位可辨认净资产公允价值份额的差额，计入当期损益，同时调整长期股权投资的成本。</w:t>
      </w:r>
      <w:r>
        <w:rPr>
          <w:rFonts w:ascii="宋体" w:hAnsi="宋体" w:cs="宋体" w:eastAsia="宋体" w:hint="default"/>
        </w:rPr>
        <w:t> </w:t>
      </w:r>
    </w:p>
    <w:p>
      <w:pPr>
        <w:pStyle w:val="BodyText"/>
        <w:spacing w:line="237" w:lineRule="auto" w:before="121"/>
        <w:ind w:right="819" w:firstLine="420"/>
        <w:jc w:val="left"/>
        <w:rPr>
          <w:rFonts w:ascii="宋体" w:hAnsi="宋体" w:cs="宋体" w:eastAsia="宋体" w:hint="default"/>
        </w:rPr>
      </w:pPr>
      <w:r>
        <w:rPr>
          <w:spacing w:val="-2"/>
        </w:rPr>
        <w:t>本公司取得长期股权投资后，按照应享有或应分担的被投资单位实现的净损益和其他综合收益的份额，</w:t>
      </w:r>
      <w:r>
        <w:rPr>
          <w:w w:val="100"/>
        </w:rPr>
        <w:t> </w:t>
      </w:r>
      <w:r>
        <w:rPr/>
        <w:t>分别确认投资收益和其他综合收益，同时调整长期股权投资的账面价值；本公司按照被投资单位宣告分派</w:t>
      </w:r>
      <w:r>
        <w:rPr>
          <w:w w:val="100"/>
        </w:rPr>
        <w:t> </w:t>
      </w:r>
      <w:r>
        <w:rPr>
          <w:spacing w:val="-3"/>
        </w:rPr>
        <w:t>的利润或现金股利计算应享有的部分，相应减少长期股权投资的账面价值； </w:t>
      </w:r>
      <w:r>
        <w:rPr>
          <w:rFonts w:ascii="宋体" w:hAnsi="宋体" w:cs="宋体" w:eastAsia="宋体" w:hint="default"/>
          <w:spacing w:val="-3"/>
        </w:rPr>
      </w:r>
      <w:r>
        <w:rPr/>
        <w:t>本公司对于被投资单位除</w:t>
      </w:r>
      <w:r>
        <w:rPr>
          <w:spacing w:val="-28"/>
        </w:rPr>
        <w:t> </w:t>
      </w:r>
      <w:r>
        <w:rPr>
          <w:spacing w:val="-28"/>
        </w:rPr>
      </w:r>
      <w:r>
        <w:rPr/>
        <w:t>净损益、其他综合收益和利润分配以外所有者权益的其他变动，调整长期股权投资的账面价值并计入所有</w:t>
      </w:r>
      <w:r>
        <w:rPr>
          <w:w w:val="100"/>
        </w:rPr>
        <w:t> </w:t>
      </w:r>
      <w:r>
        <w:rPr/>
        <w:t>者权益。</w:t>
      </w:r>
      <w:r>
        <w:rPr>
          <w:rFonts w:ascii="宋体" w:hAnsi="宋体" w:cs="宋体" w:eastAsia="宋体" w:hint="default"/>
        </w:rPr>
        <w:t> </w:t>
      </w:r>
    </w:p>
    <w:p>
      <w:pPr>
        <w:pStyle w:val="BodyText"/>
        <w:spacing w:line="240" w:lineRule="auto" w:before="116"/>
        <w:ind w:right="1126" w:firstLine="420"/>
        <w:jc w:val="both"/>
        <w:rPr>
          <w:rFonts w:ascii="宋体" w:hAnsi="宋体" w:cs="宋体" w:eastAsia="宋体" w:hint="default"/>
        </w:rPr>
      </w:pPr>
      <w:r>
        <w:rPr>
          <w:spacing w:val="-2"/>
        </w:rPr>
        <w:t>本公司在确认应享有被投资单位净损益的份额时，以取得投资时被投资单位可辨认净资产的公允价值</w:t>
      </w:r>
      <w:r>
        <w:rPr>
          <w:w w:val="100"/>
        </w:rPr>
        <w:t> </w:t>
      </w:r>
      <w:r>
        <w:rPr/>
        <w:t>为基础，对被投资单位的净利润进行调整后确认。</w:t>
      </w:r>
      <w:r>
        <w:rPr>
          <w:rFonts w:ascii="宋体" w:hAnsi="宋体" w:cs="宋体" w:eastAsia="宋体" w:hint="default"/>
        </w:rPr>
        <w:t> </w:t>
      </w:r>
    </w:p>
    <w:p>
      <w:pPr>
        <w:pStyle w:val="BodyText"/>
        <w:spacing w:line="240" w:lineRule="auto" w:before="116"/>
        <w:ind w:right="1126" w:firstLine="420"/>
        <w:jc w:val="both"/>
        <w:rPr>
          <w:rFonts w:ascii="宋体" w:hAnsi="宋体" w:cs="宋体" w:eastAsia="宋体" w:hint="default"/>
        </w:rPr>
      </w:pPr>
      <w:r>
        <w:rPr>
          <w:spacing w:val="-2"/>
        </w:rPr>
        <w:t>被投资单位采用的会计政策及会计期间与本公司不一致的，按照本公司的会计政策及会计期间对被投</w:t>
      </w:r>
      <w:r>
        <w:rPr>
          <w:w w:val="100"/>
        </w:rPr>
        <w:t> </w:t>
      </w:r>
      <w:r>
        <w:rPr/>
        <w:t>资单位的财务报表进行调整，并据以确认投资收益和其他综合收益等。</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116"/>
        <w:ind w:right="1126" w:firstLine="420"/>
        <w:jc w:val="both"/>
        <w:rPr>
          <w:rFonts w:ascii="宋体" w:hAnsi="宋体" w:cs="宋体" w:eastAsia="宋体" w:hint="default"/>
        </w:rPr>
      </w:pPr>
      <w:r>
        <w:rPr>
          <w:spacing w:val="-2"/>
        </w:rPr>
        <w:t>本公司确认被投资单位发生的净亏损，以长期股权投资的账面价值以及其他实质上构成对被投资单位</w:t>
      </w:r>
      <w:r>
        <w:rPr>
          <w:w w:val="100"/>
        </w:rPr>
        <w:t> </w:t>
      </w:r>
      <w:r>
        <w:rPr/>
        <w:t>净投资的长期权益减记至零为限，本公司负有承担额外损失义务的除外。</w:t>
      </w:r>
      <w:r>
        <w:rPr>
          <w:rFonts w:ascii="宋体" w:hAnsi="宋体" w:cs="宋体" w:eastAsia="宋体" w:hint="default"/>
          <w:spacing w:val="-3"/>
        </w:rPr>
        <w:t> </w:t>
      </w:r>
      <w:r>
        <w:rPr>
          <w:rFonts w:ascii="宋体" w:hAnsi="宋体" w:cs="宋体" w:eastAsia="宋体" w:hint="default"/>
        </w:rPr>
        <w:t> </w:t>
      </w:r>
    </w:p>
    <w:p>
      <w:pPr>
        <w:pStyle w:val="BodyText"/>
        <w:spacing w:line="272" w:lineRule="exact" w:before="144"/>
        <w:ind w:right="1126" w:firstLine="420"/>
        <w:jc w:val="both"/>
        <w:rPr>
          <w:rFonts w:ascii="宋体" w:hAnsi="宋体" w:cs="宋体" w:eastAsia="宋体" w:hint="default"/>
        </w:rPr>
      </w:pPr>
      <w:r>
        <w:rPr>
          <w:spacing w:val="-2"/>
        </w:rPr>
        <w:t>被投资单位以后实现净利润的，本公司在其收益分享额弥补未确认的亏损分担额后，恢复确认收益分</w:t>
      </w:r>
      <w:r>
        <w:rPr>
          <w:w w:val="100"/>
        </w:rPr>
        <w:t> </w:t>
      </w:r>
      <w:r>
        <w:rPr/>
        <w:t>享额。</w:t>
      </w:r>
      <w:r>
        <w:rPr>
          <w:rFonts w:ascii="宋体" w:hAnsi="宋体" w:cs="宋体" w:eastAsia="宋体" w:hint="default"/>
        </w:rPr>
        <w:t> </w:t>
      </w:r>
    </w:p>
    <w:p>
      <w:pPr>
        <w:spacing w:after="0" w:line="272" w:lineRule="exact"/>
        <w:jc w:val="both"/>
        <w:rPr>
          <w:rFonts w:ascii="宋体" w:hAnsi="宋体" w:cs="宋体" w:eastAsia="宋体" w:hint="default"/>
        </w:rPr>
        <w:sectPr>
          <w:pgSz w:w="11910" w:h="16840"/>
          <w:pgMar w:header="921" w:footer="725" w:top="1160" w:bottom="920" w:left="980" w:right="0"/>
        </w:sectPr>
      </w:pPr>
    </w:p>
    <w:p>
      <w:pPr>
        <w:spacing w:line="240" w:lineRule="auto" w:before="12"/>
        <w:rPr>
          <w:rFonts w:ascii="宋体" w:hAnsi="宋体" w:cs="宋体" w:eastAsia="宋体" w:hint="default"/>
          <w:sz w:val="15"/>
          <w:szCs w:val="15"/>
        </w:rPr>
      </w:pPr>
    </w:p>
    <w:p>
      <w:pPr>
        <w:pStyle w:val="BodyText"/>
        <w:spacing w:line="272" w:lineRule="exact" w:before="64"/>
        <w:ind w:right="1126" w:firstLine="420"/>
        <w:jc w:val="both"/>
        <w:rPr>
          <w:rFonts w:ascii="宋体" w:hAnsi="宋体" w:cs="宋体" w:eastAsia="宋体" w:hint="default"/>
        </w:rPr>
      </w:pPr>
      <w:r>
        <w:rPr>
          <w:spacing w:val="-2"/>
        </w:rPr>
        <w:t>本公司计算确认应享有或应分担被投资单位的净损益时，与联营企业、合营企业之间发生的未实现内</w:t>
      </w:r>
      <w:r>
        <w:rPr>
          <w:w w:val="100"/>
        </w:rPr>
        <w:t> </w:t>
      </w:r>
      <w:r>
        <w:rPr/>
        <w:t>部交易损益按照应享有的比例计算归属于本公司的部分，予以抵销，在此基础上确认投资收益。</w:t>
      </w:r>
      <w:r>
        <w:rPr>
          <w:rFonts w:ascii="宋体" w:hAnsi="宋体" w:cs="宋体" w:eastAsia="宋体" w:hint="default"/>
          <w:spacing w:val="-3"/>
        </w:rPr>
        <w:t> </w:t>
      </w:r>
      <w:r>
        <w:rPr>
          <w:rFonts w:ascii="宋体" w:hAnsi="宋体" w:cs="宋体" w:eastAsia="宋体" w:hint="default"/>
        </w:rPr>
        <w:t> </w:t>
      </w:r>
    </w:p>
    <w:p>
      <w:pPr>
        <w:pStyle w:val="BodyText"/>
        <w:spacing w:line="272" w:lineRule="exact" w:before="121"/>
        <w:ind w:right="1128" w:firstLine="420"/>
        <w:jc w:val="both"/>
        <w:rPr>
          <w:rFonts w:ascii="宋体" w:hAnsi="宋体" w:cs="宋体" w:eastAsia="宋体" w:hint="default"/>
        </w:rPr>
      </w:pPr>
      <w:r>
        <w:rPr/>
        <w:t>本公司与被投资单位发生的未实现内部交易损失，按照《企业会计准则第</w:t>
      </w:r>
      <w:r>
        <w:rPr>
          <w:spacing w:val="-52"/>
        </w:rPr>
        <w:t> </w:t>
      </w:r>
      <w:r>
        <w:rPr>
          <w:rFonts w:ascii="宋体" w:hAnsi="宋体" w:cs="宋体" w:eastAsia="宋体" w:hint="default"/>
        </w:rPr>
        <w:t>8</w:t>
      </w:r>
      <w:r>
        <w:rPr>
          <w:rFonts w:ascii="宋体" w:hAnsi="宋体" w:cs="宋体" w:eastAsia="宋体" w:hint="default"/>
          <w:spacing w:val="-54"/>
        </w:rPr>
        <w:t> </w:t>
      </w:r>
      <w:r>
        <w:rPr>
          <w:spacing w:val="-3"/>
        </w:rPr>
        <w:t>号——资产减值》等的有</w:t>
      </w:r>
      <w:r>
        <w:rPr>
          <w:spacing w:val="-3"/>
          <w:w w:val="100"/>
        </w:rPr>
        <w:t> </w:t>
      </w:r>
      <w:r>
        <w:rPr/>
        <w:t>关规定属于资产减值损失的，全额确认交易损失。</w:t>
      </w:r>
      <w:r>
        <w:rPr>
          <w:rFonts w:ascii="宋体" w:hAnsi="宋体" w:cs="宋体" w:eastAsia="宋体" w:hint="default"/>
        </w:rPr>
        <w:t> </w:t>
      </w:r>
    </w:p>
    <w:p>
      <w:pPr>
        <w:pStyle w:val="BodyText"/>
        <w:spacing w:line="237" w:lineRule="auto" w:before="96"/>
        <w:ind w:right="1126" w:firstLine="420"/>
        <w:jc w:val="both"/>
        <w:rPr>
          <w:rFonts w:ascii="宋体" w:hAnsi="宋体" w:cs="宋体" w:eastAsia="宋体" w:hint="default"/>
        </w:rPr>
      </w:pPr>
      <w:r>
        <w:rPr>
          <w:spacing w:val="-2"/>
        </w:rPr>
        <w:t>本公司因追加投资等原因能够对被投资单位施加重大影响或实施共同控制但不构成控制的，按照《企</w:t>
      </w:r>
      <w:r>
        <w:rPr>
          <w:w w:val="100"/>
        </w:rPr>
        <w:t> </w:t>
      </w:r>
      <w:r>
        <w:rPr/>
        <w:t>业会计准则第 </w:t>
      </w:r>
      <w:r>
        <w:rPr>
          <w:rFonts w:ascii="宋体" w:hAnsi="宋体" w:cs="宋体" w:eastAsia="宋体" w:hint="default"/>
        </w:rPr>
        <w:t>22</w:t>
      </w:r>
      <w:r>
        <w:rPr>
          <w:rFonts w:ascii="宋体" w:hAnsi="宋体" w:cs="宋体" w:eastAsia="宋体" w:hint="default"/>
          <w:spacing w:val="-29"/>
        </w:rPr>
        <w:t> </w:t>
      </w:r>
      <w:r>
        <w:rPr/>
        <w:t>号——金融工具确认和计量》确定的原持有的股权投资的公允价值加上新增投资成本之</w:t>
      </w:r>
      <w:r>
        <w:rPr>
          <w:w w:val="100"/>
        </w:rPr>
        <w:t> </w:t>
      </w:r>
      <w:r>
        <w:rPr>
          <w:spacing w:val="-2"/>
        </w:rPr>
        <w:t>和，作为改按权益法核算的初始投资成本。原持有的股权投资分类为可供出售金融资产的，其公允价值与</w:t>
      </w:r>
      <w:r>
        <w:rPr>
          <w:spacing w:val="-44"/>
        </w:rPr>
        <w:t> </w:t>
      </w:r>
      <w:r>
        <w:rPr>
          <w:spacing w:val="-44"/>
        </w:rPr>
      </w:r>
      <w:r>
        <w:rPr/>
        <w:t>账面价值之间的差额，以及原计入其他综合收益的累计公允价值变动转入改按权益法核算的当期损益。</w:t>
      </w:r>
      <w:r>
        <w:rPr>
          <w:rFonts w:ascii="宋体" w:hAnsi="宋体" w:cs="宋体" w:eastAsia="宋体" w:hint="default"/>
        </w:rPr>
        <w:t> </w:t>
      </w:r>
    </w:p>
    <w:p>
      <w:pPr>
        <w:pStyle w:val="BodyText"/>
        <w:spacing w:line="237" w:lineRule="auto" w:before="121"/>
        <w:ind w:right="1126" w:firstLine="420"/>
        <w:jc w:val="both"/>
        <w:rPr>
          <w:rFonts w:ascii="宋体" w:hAnsi="宋体" w:cs="宋体" w:eastAsia="宋体" w:hint="default"/>
        </w:rPr>
      </w:pPr>
      <w:r>
        <w:rPr>
          <w:spacing w:val="-2"/>
        </w:rPr>
        <w:t>本公司因处置部分股权投资等原因丧失了对被投资单位的共同控制或重大影响的，处置后的剩余股权</w:t>
      </w:r>
      <w:r>
        <w:rPr>
          <w:w w:val="100"/>
        </w:rPr>
        <w:t> </w:t>
      </w:r>
      <w:r>
        <w:rPr/>
        <w:t>改按《企业会计准则第 </w:t>
      </w:r>
      <w:r>
        <w:rPr>
          <w:rFonts w:ascii="宋体" w:hAnsi="宋体" w:cs="宋体" w:eastAsia="宋体" w:hint="default"/>
        </w:rPr>
        <w:t>22</w:t>
      </w:r>
      <w:r>
        <w:rPr>
          <w:rFonts w:ascii="宋体" w:hAnsi="宋体" w:cs="宋体" w:eastAsia="宋体" w:hint="default"/>
          <w:spacing w:val="-30"/>
        </w:rPr>
        <w:t> </w:t>
      </w:r>
      <w:r>
        <w:rPr/>
        <w:t>号——金融工具确认和计量》核算，其在丧失共同控制或重大影响之日的公允</w:t>
      </w:r>
      <w:r>
        <w:rPr>
          <w:w w:val="100"/>
        </w:rPr>
        <w:t> </w:t>
      </w:r>
      <w:r>
        <w:rPr>
          <w:spacing w:val="-2"/>
        </w:rPr>
        <w:t>价值与账面价值之间的差额计入当期损益。原股权投资因采用权益法核算而确认的其他综合收益，在终止</w:t>
      </w:r>
      <w:r>
        <w:rPr>
          <w:spacing w:val="-44"/>
        </w:rPr>
        <w:t> </w:t>
      </w:r>
      <w:r>
        <w:rPr>
          <w:spacing w:val="-44"/>
        </w:rPr>
      </w:r>
      <w:r>
        <w:rPr/>
        <w:t>采用权益法核算时采用与被投资单位直接处置相关资产或负债相同的基础进行会计处理。</w:t>
      </w:r>
      <w:r>
        <w:rPr>
          <w:rFonts w:ascii="宋体" w:hAnsi="宋体" w:cs="宋体" w:eastAsia="宋体" w:hint="default"/>
        </w:rPr>
        <w:t> </w:t>
      </w:r>
    </w:p>
    <w:p>
      <w:pPr>
        <w:pStyle w:val="BodyText"/>
        <w:spacing w:line="237" w:lineRule="auto" w:before="121"/>
        <w:ind w:right="819" w:firstLine="420"/>
        <w:jc w:val="left"/>
        <w:rPr>
          <w:rFonts w:ascii="宋体" w:hAnsi="宋体" w:cs="宋体" w:eastAsia="宋体" w:hint="default"/>
        </w:rPr>
      </w:pPr>
      <w:r>
        <w:rPr/>
        <w:t>本公司因处置部分权益性投资等原因丧失了对被投资单位的控制的，在编制个别财务报表时，处置后</w:t>
      </w:r>
      <w:r>
        <w:rPr>
          <w:w w:val="100"/>
        </w:rPr>
        <w:t> </w:t>
      </w:r>
      <w:r>
        <w:rPr/>
        <w:t>的剩余股权能够对被投资单位实施共同控制或施加重大影响的，改按权益法核算，并对该剩余股权视同自</w:t>
      </w:r>
      <w:r>
        <w:rPr>
          <w:w w:val="100"/>
        </w:rPr>
        <w:t> </w:t>
      </w:r>
      <w:r>
        <w:rPr>
          <w:spacing w:val="-2"/>
        </w:rPr>
        <w:t>取得时即采用权益法核算进行调整；处置后的剩余股权不能对被投资单位实施共同控制或施加重大影响的，</w:t>
      </w:r>
      <w:r>
        <w:rPr>
          <w:spacing w:val="-43"/>
        </w:rPr>
        <w:t> </w:t>
      </w:r>
      <w:r>
        <w:rPr>
          <w:spacing w:val="-43"/>
        </w:rPr>
      </w:r>
      <w:r>
        <w:rPr/>
        <w:t>改按《企业会计准则第</w:t>
      </w:r>
      <w:r>
        <w:rPr>
          <w:spacing w:val="-55"/>
        </w:rPr>
        <w:t> </w:t>
      </w:r>
      <w:r>
        <w:rPr>
          <w:rFonts w:ascii="宋体" w:hAnsi="宋体" w:cs="宋体" w:eastAsia="宋体" w:hint="default"/>
        </w:rPr>
        <w:t>22</w:t>
      </w:r>
      <w:r>
        <w:rPr>
          <w:rFonts w:ascii="宋体" w:hAnsi="宋体" w:cs="宋体" w:eastAsia="宋体" w:hint="default"/>
          <w:spacing w:val="-57"/>
        </w:rPr>
        <w:t> </w:t>
      </w:r>
      <w:r>
        <w:rPr/>
        <w:t>号——金融工具确认和计量》的有关规定进行会计处理。</w:t>
      </w:r>
      <w:r>
        <w:rPr>
          <w:rFonts w:ascii="宋体" w:hAnsi="宋体" w:cs="宋体" w:eastAsia="宋体" w:hint="default"/>
        </w:rPr>
        <w:t> </w:t>
      </w:r>
    </w:p>
    <w:p>
      <w:pPr>
        <w:pStyle w:val="BodyText"/>
        <w:spacing w:line="237" w:lineRule="auto" w:before="121"/>
        <w:ind w:right="1126" w:firstLine="420"/>
        <w:jc w:val="both"/>
        <w:rPr>
          <w:rFonts w:ascii="宋体" w:hAnsi="宋体" w:cs="宋体" w:eastAsia="宋体" w:hint="default"/>
        </w:rPr>
      </w:pPr>
      <w:r>
        <w:rPr>
          <w:spacing w:val="-2"/>
        </w:rPr>
        <w:t>处置长期股权投资，其账面价值与实际取得价款之间的差额，计入当期损益。采用权益法核算的长期</w:t>
      </w:r>
      <w:r>
        <w:rPr>
          <w:w w:val="100"/>
        </w:rPr>
        <w:t> </w:t>
      </w:r>
      <w:r>
        <w:rPr>
          <w:spacing w:val="-2"/>
        </w:rPr>
        <w:t>股权投资，在处置该项投资时，采用与被投资单位直接处置相关资产或负债相同的基础，按相应比例对原</w:t>
      </w:r>
      <w:r>
        <w:rPr>
          <w:spacing w:val="-44"/>
        </w:rPr>
        <w:t> </w:t>
      </w:r>
      <w:r>
        <w:rPr>
          <w:spacing w:val="-44"/>
        </w:rPr>
      </w:r>
      <w:r>
        <w:rPr/>
        <w:t>计入其他综合收益的部分进行会计处理。</w:t>
      </w:r>
      <w:r>
        <w:rPr>
          <w:rFonts w:ascii="宋体" w:hAnsi="宋体" w:cs="宋体" w:eastAsia="宋体" w:hint="default"/>
        </w:rPr>
        <w:t> </w:t>
      </w:r>
    </w:p>
    <w:p>
      <w:pPr>
        <w:spacing w:line="343" w:lineRule="auto" w:before="116"/>
        <w:ind w:left="573" w:right="7341" w:hanging="421"/>
        <w:jc w:val="left"/>
        <w:rPr>
          <w:rFonts w:ascii="宋体" w:hAnsi="宋体" w:cs="宋体" w:eastAsia="宋体" w:hint="default"/>
          <w:sz w:val="21"/>
          <w:szCs w:val="21"/>
        </w:rPr>
      </w:pPr>
      <w:r>
        <w:rPr>
          <w:rFonts w:ascii="宋体" w:hAnsi="宋体" w:cs="宋体" w:eastAsia="宋体" w:hint="default"/>
          <w:b/>
          <w:bCs/>
          <w:w w:val="99"/>
          <w:sz w:val="21"/>
          <w:szCs w:val="21"/>
        </w:rPr>
        <w:t>   </w:t>
      </w:r>
      <w:r>
        <w:rPr>
          <w:rFonts w:ascii="宋体" w:hAnsi="宋体" w:cs="宋体" w:eastAsia="宋体" w:hint="default"/>
          <w:b/>
          <w:bCs/>
          <w:sz w:val="21"/>
          <w:szCs w:val="21"/>
        </w:rPr>
        <w:t>（十四）投资性房地产</w:t>
      </w:r>
      <w:r>
        <w:rPr>
          <w:rFonts w:ascii="宋体" w:hAnsi="宋体" w:cs="宋体" w:eastAsia="宋体" w:hint="default"/>
          <w:b/>
          <w:bCs/>
          <w:w w:val="99"/>
          <w:sz w:val="21"/>
          <w:szCs w:val="21"/>
        </w:rPr>
        <w:t> </w:t>
      </w:r>
      <w:r>
        <w:rPr>
          <w:rFonts w:ascii="宋体" w:hAnsi="宋体" w:cs="宋体" w:eastAsia="宋体" w:hint="default"/>
          <w:sz w:val="21"/>
          <w:szCs w:val="21"/>
        </w:rPr>
        <w:t>1</w:t>
      </w:r>
      <w:r>
        <w:rPr>
          <w:rFonts w:ascii="宋体" w:hAnsi="宋体" w:cs="宋体" w:eastAsia="宋体" w:hint="default"/>
          <w:sz w:val="21"/>
          <w:szCs w:val="21"/>
        </w:rPr>
        <w:t>、投资性房地产的初始计量</w:t>
      </w:r>
      <w:r>
        <w:rPr>
          <w:rFonts w:ascii="宋体" w:hAnsi="宋体" w:cs="宋体" w:eastAsia="宋体" w:hint="default"/>
          <w:sz w:val="21"/>
          <w:szCs w:val="21"/>
        </w:rPr>
        <w:t> </w:t>
      </w:r>
    </w:p>
    <w:p>
      <w:pPr>
        <w:pStyle w:val="BodyText"/>
        <w:spacing w:line="272" w:lineRule="exact" w:before="53"/>
        <w:ind w:right="1126" w:firstLine="420"/>
        <w:jc w:val="both"/>
        <w:rPr>
          <w:rFonts w:ascii="宋体" w:hAnsi="宋体" w:cs="宋体" w:eastAsia="宋体" w:hint="default"/>
        </w:rPr>
      </w:pPr>
      <w:r>
        <w:rPr>
          <w:spacing w:val="-2"/>
        </w:rPr>
        <w:t>本公司投资性房地产包括已出租的土地使用权、持有并准备增值后转让的土地使用权和已出租的建筑</w:t>
      </w:r>
      <w:r>
        <w:rPr>
          <w:w w:val="100"/>
        </w:rPr>
        <w:t> </w:t>
      </w:r>
      <w:r>
        <w:rPr/>
        <w:t>物。</w:t>
      </w:r>
      <w:r>
        <w:rPr>
          <w:rFonts w:ascii="宋体" w:hAnsi="宋体" w:cs="宋体" w:eastAsia="宋体" w:hint="default"/>
        </w:rPr>
        <w:t> </w:t>
      </w:r>
    </w:p>
    <w:p>
      <w:pPr>
        <w:pStyle w:val="BodyText"/>
        <w:spacing w:line="237" w:lineRule="auto" w:before="96"/>
        <w:ind w:right="1126" w:firstLine="420"/>
        <w:jc w:val="both"/>
        <w:rPr>
          <w:rFonts w:ascii="宋体" w:hAnsi="宋体" w:cs="宋体" w:eastAsia="宋体" w:hint="default"/>
        </w:rPr>
      </w:pPr>
      <w:r>
        <w:rPr>
          <w:spacing w:val="-2"/>
        </w:rPr>
        <w:t>本公司的投资性房地产按其成本进行初始计量，外购投资性房地产的成本包括购买价款、相关税费和</w:t>
      </w:r>
      <w:r>
        <w:rPr>
          <w:w w:val="100"/>
        </w:rPr>
        <w:t> </w:t>
      </w:r>
      <w:r>
        <w:rPr>
          <w:spacing w:val="-2"/>
        </w:rPr>
        <w:t>可直接归属于该资产的其他支出；自行建造投资性房地产的成本，由建造该项资产达到预定可使用状态前</w:t>
      </w:r>
      <w:r>
        <w:rPr>
          <w:spacing w:val="-43"/>
        </w:rPr>
        <w:t> </w:t>
      </w:r>
      <w:r>
        <w:rPr>
          <w:spacing w:val="-43"/>
        </w:rPr>
      </w:r>
      <w:r>
        <w:rPr/>
        <w:t>所发生的必要支出构成。</w:t>
      </w:r>
      <w:r>
        <w:rPr>
          <w:rFonts w:ascii="宋体" w:hAnsi="宋体" w:cs="宋体" w:eastAsia="宋体" w:hint="default"/>
        </w:rPr>
        <w:t> </w:t>
      </w:r>
    </w:p>
    <w:p>
      <w:pPr>
        <w:pStyle w:val="BodyText"/>
        <w:spacing w:line="240" w:lineRule="auto" w:before="116"/>
        <w:ind w:left="573" w:right="1133"/>
        <w:jc w:val="left"/>
        <w:rPr>
          <w:rFonts w:ascii="宋体" w:hAnsi="宋体" w:cs="宋体" w:eastAsia="宋体" w:hint="default"/>
        </w:rPr>
      </w:pPr>
      <w:r>
        <w:rPr>
          <w:rFonts w:ascii="宋体" w:hAnsi="宋体" w:cs="宋体" w:eastAsia="宋体" w:hint="default"/>
        </w:rPr>
        <w:t>2</w:t>
      </w:r>
      <w:r>
        <w:rPr/>
        <w:t>、投资性房地产的后续计量</w:t>
      </w:r>
      <w:r>
        <w:rPr>
          <w:rFonts w:ascii="宋体" w:hAnsi="宋体" w:cs="宋体" w:eastAsia="宋体" w:hint="default"/>
        </w:rPr>
        <w:t> </w:t>
      </w:r>
    </w:p>
    <w:p>
      <w:pPr>
        <w:pStyle w:val="BodyText"/>
        <w:spacing w:line="272" w:lineRule="exact" w:before="146"/>
        <w:ind w:right="1126" w:firstLine="420"/>
        <w:jc w:val="both"/>
        <w:rPr>
          <w:rFonts w:ascii="宋体" w:hAnsi="宋体" w:cs="宋体" w:eastAsia="宋体" w:hint="default"/>
        </w:rPr>
      </w:pPr>
      <w:r>
        <w:rPr>
          <w:spacing w:val="-2"/>
        </w:rPr>
        <w:t>本公司采用成本模式对投资性房地产进行后续计量，并按照与房屋建筑物或土地使用权一致的政策进</w:t>
      </w:r>
      <w:r>
        <w:rPr>
          <w:w w:val="100"/>
        </w:rPr>
        <w:t> </w:t>
      </w:r>
      <w:r>
        <w:rPr/>
        <w:t>行折旧或摊销。</w:t>
      </w:r>
      <w:r>
        <w:rPr>
          <w:rFonts w:ascii="宋体" w:hAnsi="宋体" w:cs="宋体" w:eastAsia="宋体" w:hint="default"/>
        </w:rPr>
        <w:t> </w:t>
      </w:r>
    </w:p>
    <w:p>
      <w:pPr>
        <w:spacing w:line="340" w:lineRule="auto" w:before="94"/>
        <w:ind w:left="573" w:right="7341" w:hanging="209"/>
        <w:jc w:val="left"/>
        <w:rPr>
          <w:rFonts w:ascii="宋体" w:hAnsi="宋体" w:cs="宋体" w:eastAsia="宋体" w:hint="default"/>
          <w:sz w:val="21"/>
          <w:szCs w:val="21"/>
        </w:rPr>
      </w:pPr>
      <w:r>
        <w:rPr>
          <w:rFonts w:ascii="宋体" w:hAnsi="宋体" w:cs="宋体" w:eastAsia="宋体" w:hint="default"/>
          <w:b/>
          <w:bCs/>
          <w:sz w:val="21"/>
          <w:szCs w:val="21"/>
        </w:rPr>
        <w:t>（十五）固定资产</w:t>
      </w:r>
      <w:r>
        <w:rPr>
          <w:rFonts w:ascii="宋体" w:hAnsi="宋体" w:cs="宋体" w:eastAsia="宋体" w:hint="default"/>
          <w:b/>
          <w:bCs/>
          <w:w w:val="99"/>
          <w:sz w:val="21"/>
          <w:szCs w:val="21"/>
        </w:rPr>
        <w:t> </w:t>
      </w:r>
      <w:r>
        <w:rPr>
          <w:rFonts w:ascii="宋体" w:hAnsi="宋体" w:cs="宋体" w:eastAsia="宋体" w:hint="default"/>
          <w:sz w:val="21"/>
          <w:szCs w:val="21"/>
        </w:rPr>
        <w:t>1</w:t>
      </w:r>
      <w:r>
        <w:rPr>
          <w:rFonts w:ascii="宋体" w:hAnsi="宋体" w:cs="宋体" w:eastAsia="宋体" w:hint="default"/>
          <w:sz w:val="21"/>
          <w:szCs w:val="21"/>
        </w:rPr>
        <w:t>、固定资产确认条件</w:t>
      </w:r>
      <w:r>
        <w:rPr>
          <w:rFonts w:ascii="宋体" w:hAnsi="宋体" w:cs="宋体" w:eastAsia="宋体" w:hint="default"/>
          <w:sz w:val="21"/>
          <w:szCs w:val="21"/>
        </w:rPr>
        <w:t> </w:t>
      </w:r>
    </w:p>
    <w:p>
      <w:pPr>
        <w:pStyle w:val="BodyText"/>
        <w:spacing w:line="237" w:lineRule="auto" w:before="33"/>
        <w:ind w:right="1126" w:firstLine="420"/>
        <w:jc w:val="both"/>
        <w:rPr>
          <w:rFonts w:ascii="宋体" w:hAnsi="宋体" w:cs="宋体" w:eastAsia="宋体" w:hint="default"/>
        </w:rPr>
      </w:pPr>
      <w:r>
        <w:rPr>
          <w:spacing w:val="-2"/>
        </w:rPr>
        <w:t>固定资产指为生产商品、提供劳务、出租或经营管理而持有，并且使用寿命超过一个会计年度的有形</w:t>
      </w:r>
      <w:r>
        <w:rPr>
          <w:w w:val="100"/>
        </w:rPr>
        <w:t> </w:t>
      </w:r>
      <w:r>
        <w:rPr>
          <w:spacing w:val="-2"/>
        </w:rPr>
        <w:t>资产。固定资产分类为：房屋及建筑物、机器设备、电子设备、运输设备、其他设备。固定资产在同时满</w:t>
      </w:r>
      <w:r>
        <w:rPr>
          <w:spacing w:val="-48"/>
        </w:rPr>
        <w:t> </w:t>
      </w:r>
      <w:r>
        <w:rPr>
          <w:spacing w:val="-48"/>
        </w:rPr>
      </w:r>
      <w:r>
        <w:rPr>
          <w:spacing w:val="-7"/>
          <w:w w:val="100"/>
        </w:rPr>
        <w:t>足下列条件时予以确认：（</w:t>
      </w:r>
      <w:r>
        <w:rPr>
          <w:rFonts w:ascii="宋体" w:hAnsi="宋体" w:cs="宋体" w:eastAsia="宋体" w:hint="default"/>
          <w:spacing w:val="-7"/>
          <w:w w:val="100"/>
        </w:rPr>
        <w:t>1</w:t>
      </w:r>
      <w:r>
        <w:rPr>
          <w:spacing w:val="-7"/>
          <w:w w:val="100"/>
        </w:rPr>
        <w:t>）与该固定资产有关的经济利益很可能流入企业；（</w:t>
      </w:r>
      <w:r>
        <w:rPr>
          <w:rFonts w:ascii="宋体" w:hAnsi="宋体" w:cs="宋体" w:eastAsia="宋体" w:hint="default"/>
          <w:spacing w:val="-7"/>
          <w:w w:val="100"/>
        </w:rPr>
        <w:t>2</w:t>
      </w:r>
      <w:r>
        <w:rPr>
          <w:spacing w:val="-7"/>
          <w:w w:val="100"/>
        </w:rPr>
        <w:t>）该固定资产的成本能够</w:t>
      </w:r>
      <w:r>
        <w:rPr>
          <w:spacing w:val="-69"/>
          <w:w w:val="100"/>
        </w:rPr>
        <w:t> </w:t>
      </w:r>
      <w:r>
        <w:rPr>
          <w:spacing w:val="-69"/>
          <w:w w:val="100"/>
        </w:rPr>
      </w:r>
      <w:r>
        <w:rPr/>
        <w:t>可靠地计量。</w:t>
      </w:r>
      <w:r>
        <w:rPr>
          <w:rFonts w:ascii="宋体" w:hAnsi="宋体" w:cs="宋体" w:eastAsia="宋体" w:hint="default"/>
        </w:rPr>
        <w:t> </w:t>
      </w:r>
    </w:p>
    <w:p>
      <w:pPr>
        <w:pStyle w:val="BodyText"/>
        <w:spacing w:line="240" w:lineRule="auto" w:before="119"/>
        <w:ind w:left="573" w:right="1133"/>
        <w:jc w:val="left"/>
        <w:rPr>
          <w:rFonts w:ascii="宋体" w:hAnsi="宋体" w:cs="宋体" w:eastAsia="宋体" w:hint="default"/>
        </w:rPr>
      </w:pPr>
      <w:r>
        <w:rPr>
          <w:rFonts w:ascii="宋体" w:hAnsi="宋体" w:cs="宋体" w:eastAsia="宋体" w:hint="default"/>
        </w:rPr>
        <w:t>2</w:t>
      </w:r>
      <w:r>
        <w:rPr/>
        <w:t>、折旧方法</w:t>
      </w:r>
      <w:r>
        <w:rPr>
          <w:rFonts w:ascii="宋体" w:hAnsi="宋体" w:cs="宋体" w:eastAsia="宋体" w:hint="default"/>
        </w:rPr>
        <w:t> </w:t>
      </w:r>
    </w:p>
    <w:p>
      <w:pPr>
        <w:pStyle w:val="BodyText"/>
        <w:spacing w:line="237" w:lineRule="auto" w:before="119"/>
        <w:ind w:right="1126" w:firstLine="420"/>
        <w:jc w:val="both"/>
        <w:rPr>
          <w:rFonts w:ascii="宋体" w:hAnsi="宋体" w:cs="宋体" w:eastAsia="宋体" w:hint="default"/>
        </w:rPr>
      </w:pPr>
      <w:r>
        <w:rPr>
          <w:spacing w:val="-2"/>
        </w:rPr>
        <w:t>固定资产折旧采用年限平均法分类计提，根据固定资产类别、预计使用寿命和预计净残值率确定折旧</w:t>
      </w:r>
      <w:r>
        <w:rPr>
          <w:w w:val="100"/>
        </w:rPr>
        <w:t> </w:t>
      </w:r>
      <w:r>
        <w:rPr>
          <w:spacing w:val="-2"/>
        </w:rPr>
        <w:t>率。如固定资产各组成部分的使用寿命不同或者以不同方式为企业提供经济利益，则选择不同折旧率或折</w:t>
      </w:r>
      <w:r>
        <w:rPr>
          <w:spacing w:val="-43"/>
        </w:rPr>
        <w:t> </w:t>
      </w:r>
      <w:r>
        <w:rPr>
          <w:spacing w:val="-43"/>
        </w:rPr>
      </w:r>
      <w:r>
        <w:rPr/>
        <w:t>旧方法，分别计提折旧。</w:t>
      </w:r>
      <w:r>
        <w:rPr>
          <w:rFonts w:ascii="宋体" w:hAnsi="宋体" w:cs="宋体" w:eastAsia="宋体" w:hint="default"/>
        </w:rPr>
        <w:t> </w:t>
      </w:r>
    </w:p>
    <w:p>
      <w:pPr>
        <w:spacing w:line="240" w:lineRule="auto" w:before="9"/>
        <w:rPr>
          <w:rFonts w:ascii="宋体" w:hAnsi="宋体" w:cs="宋体" w:eastAsia="宋体" w:hint="default"/>
          <w:sz w:val="11"/>
          <w:szCs w:val="11"/>
        </w:rPr>
      </w:pPr>
    </w:p>
    <w:tbl>
      <w:tblPr>
        <w:tblW w:w="0" w:type="auto"/>
        <w:jc w:val="left"/>
        <w:tblInd w:w="148" w:type="dxa"/>
        <w:tblLayout w:type="fixed"/>
        <w:tblCellMar>
          <w:top w:w="0" w:type="dxa"/>
          <w:left w:w="0" w:type="dxa"/>
          <w:bottom w:w="0" w:type="dxa"/>
          <w:right w:w="0" w:type="dxa"/>
        </w:tblCellMar>
        <w:tblLook w:val="01E0"/>
      </w:tblPr>
      <w:tblGrid>
        <w:gridCol w:w="2487"/>
        <w:gridCol w:w="1541"/>
        <w:gridCol w:w="1536"/>
        <w:gridCol w:w="1656"/>
        <w:gridCol w:w="2408"/>
      </w:tblGrid>
      <w:tr>
        <w:trPr>
          <w:trHeight w:val="396" w:hRule="exact"/>
        </w:trPr>
        <w:tc>
          <w:tcPr>
            <w:tcW w:w="24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3"/>
              <w:jc w:val="center"/>
              <w:rPr>
                <w:rFonts w:ascii="宋体" w:hAnsi="宋体" w:cs="宋体" w:eastAsia="宋体" w:hint="default"/>
                <w:sz w:val="18"/>
                <w:szCs w:val="18"/>
              </w:rPr>
            </w:pPr>
            <w:r>
              <w:rPr>
                <w:rFonts w:ascii="宋体" w:hAnsi="宋体" w:cs="宋体" w:eastAsia="宋体" w:hint="default"/>
                <w:sz w:val="18"/>
                <w:szCs w:val="18"/>
              </w:rPr>
              <w:t>类别</w:t>
            </w:r>
            <w:r>
              <w:rPr>
                <w:rFonts w:ascii="宋体" w:hAnsi="宋体" w:cs="宋体" w:eastAsia="宋体" w:hint="default"/>
                <w:sz w:val="18"/>
                <w:szCs w:val="18"/>
              </w:rPr>
              <w:t> </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8"/>
              <w:jc w:val="center"/>
              <w:rPr>
                <w:rFonts w:ascii="宋体" w:hAnsi="宋体" w:cs="宋体" w:eastAsia="宋体" w:hint="default"/>
                <w:sz w:val="18"/>
                <w:szCs w:val="18"/>
              </w:rPr>
            </w:pPr>
            <w:r>
              <w:rPr>
                <w:rFonts w:ascii="宋体" w:hAnsi="宋体" w:cs="宋体" w:eastAsia="宋体" w:hint="default"/>
                <w:sz w:val="18"/>
                <w:szCs w:val="18"/>
              </w:rPr>
              <w:t>折旧方法</w:t>
            </w:r>
            <w:r>
              <w:rPr>
                <w:rFonts w:ascii="宋体" w:hAnsi="宋体" w:cs="宋体" w:eastAsia="宋体" w:hint="default"/>
                <w:sz w:val="18"/>
                <w:szCs w:val="18"/>
              </w:rPr>
              <w:t> </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6"/>
              <w:jc w:val="center"/>
              <w:rPr>
                <w:rFonts w:ascii="宋体" w:hAnsi="宋体" w:cs="宋体" w:eastAsia="宋体" w:hint="default"/>
                <w:sz w:val="18"/>
                <w:szCs w:val="18"/>
              </w:rPr>
            </w:pPr>
            <w:r>
              <w:rPr>
                <w:rFonts w:ascii="宋体" w:hAnsi="宋体" w:cs="宋体" w:eastAsia="宋体" w:hint="default"/>
                <w:sz w:val="18"/>
                <w:szCs w:val="18"/>
              </w:rPr>
              <w:t>折旧年限（年）</w:t>
            </w:r>
            <w:r>
              <w:rPr>
                <w:rFonts w:ascii="宋体" w:hAnsi="宋体" w:cs="宋体" w:eastAsia="宋体" w:hint="default"/>
                <w:sz w:val="18"/>
                <w:szCs w:val="18"/>
              </w:rPr>
              <w:t> </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6"/>
              <w:jc w:val="center"/>
              <w:rPr>
                <w:rFonts w:ascii="宋体" w:hAnsi="宋体" w:cs="宋体" w:eastAsia="宋体" w:hint="default"/>
                <w:sz w:val="18"/>
                <w:szCs w:val="18"/>
              </w:rPr>
            </w:pPr>
            <w:r>
              <w:rPr>
                <w:rFonts w:ascii="宋体" w:hAnsi="宋体" w:cs="宋体" w:eastAsia="宋体" w:hint="default"/>
                <w:sz w:val="18"/>
                <w:szCs w:val="18"/>
              </w:rPr>
              <w:t>残值率（</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 </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6"/>
              <w:jc w:val="center"/>
              <w:rPr>
                <w:rFonts w:ascii="宋体" w:hAnsi="宋体" w:cs="宋体" w:eastAsia="宋体" w:hint="default"/>
                <w:sz w:val="18"/>
                <w:szCs w:val="18"/>
              </w:rPr>
            </w:pPr>
            <w:r>
              <w:rPr>
                <w:rFonts w:ascii="宋体" w:hAnsi="宋体" w:cs="宋体" w:eastAsia="宋体" w:hint="default"/>
                <w:sz w:val="18"/>
                <w:szCs w:val="18"/>
              </w:rPr>
              <w:t>年折旧率（</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 </w:t>
            </w:r>
          </w:p>
        </w:tc>
      </w:tr>
      <w:tr>
        <w:trPr>
          <w:trHeight w:val="396" w:hRule="exact"/>
        </w:trPr>
        <w:tc>
          <w:tcPr>
            <w:tcW w:w="24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 w:right="0"/>
              <w:jc w:val="left"/>
              <w:rPr>
                <w:rFonts w:ascii="宋体" w:hAnsi="宋体" w:cs="宋体" w:eastAsia="宋体" w:hint="default"/>
                <w:sz w:val="18"/>
                <w:szCs w:val="18"/>
              </w:rPr>
            </w:pPr>
            <w:r>
              <w:rPr>
                <w:rFonts w:ascii="宋体" w:hAnsi="宋体" w:cs="宋体" w:eastAsia="宋体" w:hint="default"/>
                <w:sz w:val="18"/>
                <w:szCs w:val="18"/>
              </w:rPr>
              <w:t>房屋及建筑物</w:t>
            </w:r>
            <w:r>
              <w:rPr>
                <w:rFonts w:ascii="宋体" w:hAnsi="宋体" w:cs="宋体" w:eastAsia="宋体" w:hint="default"/>
                <w:sz w:val="18"/>
                <w:szCs w:val="18"/>
              </w:rPr>
              <w:t> </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5"/>
              <w:jc w:val="center"/>
              <w:rPr>
                <w:rFonts w:ascii="宋体" w:hAnsi="宋体" w:cs="宋体" w:eastAsia="宋体" w:hint="default"/>
                <w:sz w:val="18"/>
                <w:szCs w:val="18"/>
              </w:rPr>
            </w:pPr>
            <w:r>
              <w:rPr>
                <w:rFonts w:ascii="宋体" w:hAnsi="宋体" w:cs="宋体" w:eastAsia="宋体" w:hint="default"/>
                <w:sz w:val="18"/>
                <w:szCs w:val="18"/>
              </w:rPr>
              <w:t>直线法</w:t>
            </w:r>
            <w:r>
              <w:rPr>
                <w:rFonts w:ascii="宋体" w:hAnsi="宋体" w:cs="宋体" w:eastAsia="宋体" w:hint="default"/>
                <w:sz w:val="18"/>
                <w:szCs w:val="18"/>
              </w:rPr>
              <w:t> </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6"/>
              <w:jc w:val="center"/>
              <w:rPr>
                <w:rFonts w:ascii="宋体" w:hAnsi="宋体" w:cs="宋体" w:eastAsia="宋体" w:hint="default"/>
                <w:sz w:val="18"/>
                <w:szCs w:val="18"/>
              </w:rPr>
            </w:pPr>
            <w:r>
              <w:rPr>
                <w:rFonts w:ascii="宋体" w:hAnsi="宋体" w:cs="宋体" w:eastAsia="宋体" w:hint="default"/>
                <w:sz w:val="18"/>
                <w:szCs w:val="18"/>
              </w:rPr>
              <w:t>10</w:t>
            </w:r>
            <w:r>
              <w:rPr>
                <w:rFonts w:ascii="宋体" w:hAnsi="宋体" w:cs="宋体" w:eastAsia="宋体" w:hint="default"/>
                <w:sz w:val="18"/>
                <w:szCs w:val="18"/>
              </w:rPr>
              <w:t>－</w:t>
            </w:r>
            <w:r>
              <w:rPr>
                <w:rFonts w:ascii="宋体" w:hAnsi="宋体" w:cs="宋体" w:eastAsia="宋体" w:hint="default"/>
                <w:sz w:val="18"/>
                <w:szCs w:val="18"/>
              </w:rPr>
              <w:t>30 </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center"/>
              <w:rPr>
                <w:rFonts w:ascii="宋体" w:hAnsi="宋体" w:cs="宋体" w:eastAsia="宋体" w:hint="default"/>
                <w:sz w:val="18"/>
                <w:szCs w:val="18"/>
              </w:rPr>
            </w:pPr>
            <w:r>
              <w:rPr>
                <w:rFonts w:ascii="宋体"/>
                <w:sz w:val="18"/>
              </w:rPr>
              <w:t>5.00 </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center"/>
              <w:rPr>
                <w:rFonts w:ascii="宋体" w:hAnsi="宋体" w:cs="宋体" w:eastAsia="宋体" w:hint="default"/>
                <w:sz w:val="18"/>
                <w:szCs w:val="18"/>
              </w:rPr>
            </w:pPr>
            <w:r>
              <w:rPr>
                <w:rFonts w:ascii="宋体" w:hAnsi="宋体" w:cs="宋体" w:eastAsia="宋体" w:hint="default"/>
                <w:sz w:val="18"/>
                <w:szCs w:val="18"/>
              </w:rPr>
              <w:t>3.17</w:t>
            </w:r>
            <w:r>
              <w:rPr>
                <w:rFonts w:ascii="宋体" w:hAnsi="宋体" w:cs="宋体" w:eastAsia="宋体" w:hint="default"/>
                <w:sz w:val="18"/>
                <w:szCs w:val="18"/>
              </w:rPr>
              <w:t>－</w:t>
            </w:r>
            <w:r>
              <w:rPr>
                <w:rFonts w:ascii="宋体" w:hAnsi="宋体" w:cs="宋体" w:eastAsia="宋体" w:hint="default"/>
                <w:sz w:val="18"/>
                <w:szCs w:val="18"/>
              </w:rPr>
              <w:t>9.50 </w:t>
            </w:r>
          </w:p>
        </w:tc>
      </w:tr>
      <w:tr>
        <w:trPr>
          <w:trHeight w:val="398" w:hRule="exact"/>
        </w:trPr>
        <w:tc>
          <w:tcPr>
            <w:tcW w:w="24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2" w:right="0"/>
              <w:jc w:val="left"/>
              <w:rPr>
                <w:rFonts w:ascii="宋体" w:hAnsi="宋体" w:cs="宋体" w:eastAsia="宋体" w:hint="default"/>
                <w:sz w:val="18"/>
                <w:szCs w:val="18"/>
              </w:rPr>
            </w:pPr>
            <w:r>
              <w:rPr>
                <w:rFonts w:ascii="宋体" w:hAnsi="宋体" w:cs="宋体" w:eastAsia="宋体" w:hint="default"/>
                <w:sz w:val="18"/>
                <w:szCs w:val="18"/>
              </w:rPr>
              <w:t>仪器仪表设备</w:t>
            </w:r>
            <w:r>
              <w:rPr>
                <w:rFonts w:ascii="宋体" w:hAnsi="宋体" w:cs="宋体" w:eastAsia="宋体" w:hint="default"/>
                <w:sz w:val="18"/>
                <w:szCs w:val="18"/>
              </w:rPr>
              <w:t> </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5"/>
              <w:jc w:val="center"/>
              <w:rPr>
                <w:rFonts w:ascii="宋体" w:hAnsi="宋体" w:cs="宋体" w:eastAsia="宋体" w:hint="default"/>
                <w:sz w:val="18"/>
                <w:szCs w:val="18"/>
              </w:rPr>
            </w:pPr>
            <w:r>
              <w:rPr>
                <w:rFonts w:ascii="宋体" w:hAnsi="宋体" w:cs="宋体" w:eastAsia="宋体" w:hint="default"/>
                <w:sz w:val="18"/>
                <w:szCs w:val="18"/>
              </w:rPr>
              <w:t>直线法</w:t>
            </w:r>
            <w:r>
              <w:rPr>
                <w:rFonts w:ascii="宋体" w:hAnsi="宋体" w:cs="宋体" w:eastAsia="宋体" w:hint="default"/>
                <w:sz w:val="18"/>
                <w:szCs w:val="18"/>
              </w:rPr>
              <w:t> </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
              <w:jc w:val="center"/>
              <w:rPr>
                <w:rFonts w:ascii="宋体" w:hAnsi="宋体" w:cs="宋体" w:eastAsia="宋体" w:hint="default"/>
                <w:sz w:val="18"/>
                <w:szCs w:val="18"/>
              </w:rPr>
            </w:pPr>
            <w:r>
              <w:rPr>
                <w:rFonts w:ascii="宋体"/>
                <w:sz w:val="18"/>
              </w:rPr>
              <w:t>5 </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center"/>
              <w:rPr>
                <w:rFonts w:ascii="宋体" w:hAnsi="宋体" w:cs="宋体" w:eastAsia="宋体" w:hint="default"/>
                <w:sz w:val="18"/>
                <w:szCs w:val="18"/>
              </w:rPr>
            </w:pPr>
            <w:r>
              <w:rPr>
                <w:rFonts w:ascii="宋体"/>
                <w:sz w:val="18"/>
              </w:rPr>
              <w:t>5.00 </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6"/>
              <w:jc w:val="center"/>
              <w:rPr>
                <w:rFonts w:ascii="宋体" w:hAnsi="宋体" w:cs="宋体" w:eastAsia="宋体" w:hint="default"/>
                <w:sz w:val="18"/>
                <w:szCs w:val="18"/>
              </w:rPr>
            </w:pPr>
            <w:r>
              <w:rPr>
                <w:rFonts w:ascii="宋体"/>
                <w:sz w:val="18"/>
              </w:rPr>
              <w:t>19.00 </w:t>
            </w:r>
          </w:p>
        </w:tc>
      </w:tr>
    </w:tbl>
    <w:p>
      <w:pPr>
        <w:spacing w:after="0" w:line="240" w:lineRule="auto"/>
        <w:jc w:val="center"/>
        <w:rPr>
          <w:rFonts w:ascii="宋体" w:hAnsi="宋体" w:cs="宋体" w:eastAsia="宋体" w:hint="default"/>
          <w:sz w:val="18"/>
          <w:szCs w:val="18"/>
        </w:rPr>
        <w:sectPr>
          <w:pgSz w:w="11910" w:h="16840"/>
          <w:pgMar w:header="921" w:footer="725" w:top="1160" w:bottom="920" w:left="980" w:right="0"/>
        </w:sectPr>
      </w:pPr>
    </w:p>
    <w:p>
      <w:pPr>
        <w:spacing w:line="240" w:lineRule="auto" w:before="4"/>
        <w:rPr>
          <w:rFonts w:ascii="宋体" w:hAnsi="宋体" w:cs="宋体" w:eastAsia="宋体" w:hint="default"/>
          <w:sz w:val="21"/>
          <w:szCs w:val="21"/>
        </w:rPr>
      </w:pPr>
    </w:p>
    <w:tbl>
      <w:tblPr>
        <w:tblW w:w="0" w:type="auto"/>
        <w:jc w:val="left"/>
        <w:tblInd w:w="148" w:type="dxa"/>
        <w:tblLayout w:type="fixed"/>
        <w:tblCellMar>
          <w:top w:w="0" w:type="dxa"/>
          <w:left w:w="0" w:type="dxa"/>
          <w:bottom w:w="0" w:type="dxa"/>
          <w:right w:w="0" w:type="dxa"/>
        </w:tblCellMar>
        <w:tblLook w:val="01E0"/>
      </w:tblPr>
      <w:tblGrid>
        <w:gridCol w:w="2487"/>
        <w:gridCol w:w="1541"/>
        <w:gridCol w:w="1536"/>
        <w:gridCol w:w="1656"/>
        <w:gridCol w:w="2408"/>
      </w:tblGrid>
      <w:tr>
        <w:trPr>
          <w:trHeight w:val="396" w:hRule="exact"/>
        </w:trPr>
        <w:tc>
          <w:tcPr>
            <w:tcW w:w="24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3"/>
              <w:jc w:val="center"/>
              <w:rPr>
                <w:rFonts w:ascii="宋体" w:hAnsi="宋体" w:cs="宋体" w:eastAsia="宋体" w:hint="default"/>
                <w:sz w:val="18"/>
                <w:szCs w:val="18"/>
              </w:rPr>
            </w:pPr>
            <w:r>
              <w:rPr>
                <w:rFonts w:ascii="宋体" w:hAnsi="宋体" w:cs="宋体" w:eastAsia="宋体" w:hint="default"/>
                <w:sz w:val="18"/>
                <w:szCs w:val="18"/>
              </w:rPr>
              <w:t>类别</w:t>
            </w:r>
            <w:r>
              <w:rPr>
                <w:rFonts w:ascii="宋体" w:hAnsi="宋体" w:cs="宋体" w:eastAsia="宋体" w:hint="default"/>
                <w:sz w:val="18"/>
                <w:szCs w:val="18"/>
              </w:rPr>
              <w:t> </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8"/>
              <w:jc w:val="center"/>
              <w:rPr>
                <w:rFonts w:ascii="宋体" w:hAnsi="宋体" w:cs="宋体" w:eastAsia="宋体" w:hint="default"/>
                <w:sz w:val="18"/>
                <w:szCs w:val="18"/>
              </w:rPr>
            </w:pPr>
            <w:r>
              <w:rPr>
                <w:rFonts w:ascii="宋体" w:hAnsi="宋体" w:cs="宋体" w:eastAsia="宋体" w:hint="default"/>
                <w:sz w:val="18"/>
                <w:szCs w:val="18"/>
              </w:rPr>
              <w:t>折旧方法</w:t>
            </w:r>
            <w:r>
              <w:rPr>
                <w:rFonts w:ascii="宋体" w:hAnsi="宋体" w:cs="宋体" w:eastAsia="宋体" w:hint="default"/>
                <w:sz w:val="18"/>
                <w:szCs w:val="18"/>
              </w:rPr>
              <w:t> </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6"/>
              <w:jc w:val="center"/>
              <w:rPr>
                <w:rFonts w:ascii="宋体" w:hAnsi="宋体" w:cs="宋体" w:eastAsia="宋体" w:hint="default"/>
                <w:sz w:val="18"/>
                <w:szCs w:val="18"/>
              </w:rPr>
            </w:pPr>
            <w:r>
              <w:rPr>
                <w:rFonts w:ascii="宋体" w:hAnsi="宋体" w:cs="宋体" w:eastAsia="宋体" w:hint="default"/>
                <w:sz w:val="18"/>
                <w:szCs w:val="18"/>
              </w:rPr>
              <w:t>折旧年限（年）</w:t>
            </w:r>
            <w:r>
              <w:rPr>
                <w:rFonts w:ascii="宋体" w:hAnsi="宋体" w:cs="宋体" w:eastAsia="宋体" w:hint="default"/>
                <w:sz w:val="18"/>
                <w:szCs w:val="18"/>
              </w:rPr>
              <w:t> </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6"/>
              <w:jc w:val="center"/>
              <w:rPr>
                <w:rFonts w:ascii="宋体" w:hAnsi="宋体" w:cs="宋体" w:eastAsia="宋体" w:hint="default"/>
                <w:sz w:val="18"/>
                <w:szCs w:val="18"/>
              </w:rPr>
            </w:pPr>
            <w:r>
              <w:rPr>
                <w:rFonts w:ascii="宋体" w:hAnsi="宋体" w:cs="宋体" w:eastAsia="宋体" w:hint="default"/>
                <w:sz w:val="18"/>
                <w:szCs w:val="18"/>
              </w:rPr>
              <w:t>残值率（</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 </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6"/>
              <w:jc w:val="center"/>
              <w:rPr>
                <w:rFonts w:ascii="宋体" w:hAnsi="宋体" w:cs="宋体" w:eastAsia="宋体" w:hint="default"/>
                <w:sz w:val="18"/>
                <w:szCs w:val="18"/>
              </w:rPr>
            </w:pPr>
            <w:r>
              <w:rPr>
                <w:rFonts w:ascii="宋体" w:hAnsi="宋体" w:cs="宋体" w:eastAsia="宋体" w:hint="default"/>
                <w:sz w:val="18"/>
                <w:szCs w:val="18"/>
              </w:rPr>
              <w:t>年折旧率（</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 </w:t>
            </w:r>
          </w:p>
        </w:tc>
      </w:tr>
      <w:tr>
        <w:trPr>
          <w:trHeight w:val="399" w:hRule="exact"/>
        </w:trPr>
        <w:tc>
          <w:tcPr>
            <w:tcW w:w="24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2" w:right="0"/>
              <w:jc w:val="left"/>
              <w:rPr>
                <w:rFonts w:ascii="宋体" w:hAnsi="宋体" w:cs="宋体" w:eastAsia="宋体" w:hint="default"/>
                <w:sz w:val="18"/>
                <w:szCs w:val="18"/>
              </w:rPr>
            </w:pPr>
            <w:r>
              <w:rPr>
                <w:rFonts w:ascii="宋体" w:hAnsi="宋体" w:cs="宋体" w:eastAsia="宋体" w:hint="default"/>
                <w:sz w:val="18"/>
                <w:szCs w:val="18"/>
              </w:rPr>
              <w:t>运输工具</w:t>
            </w:r>
            <w:r>
              <w:rPr>
                <w:rFonts w:ascii="宋体" w:hAnsi="宋体" w:cs="宋体" w:eastAsia="宋体" w:hint="default"/>
                <w:sz w:val="18"/>
                <w:szCs w:val="18"/>
              </w:rPr>
              <w:t> </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5"/>
              <w:jc w:val="center"/>
              <w:rPr>
                <w:rFonts w:ascii="宋体" w:hAnsi="宋体" w:cs="宋体" w:eastAsia="宋体" w:hint="default"/>
                <w:sz w:val="18"/>
                <w:szCs w:val="18"/>
              </w:rPr>
            </w:pPr>
            <w:r>
              <w:rPr>
                <w:rFonts w:ascii="宋体" w:hAnsi="宋体" w:cs="宋体" w:eastAsia="宋体" w:hint="default"/>
                <w:sz w:val="18"/>
                <w:szCs w:val="18"/>
              </w:rPr>
              <w:t>直线法</w:t>
            </w:r>
            <w:r>
              <w:rPr>
                <w:rFonts w:ascii="宋体" w:hAnsi="宋体" w:cs="宋体" w:eastAsia="宋体" w:hint="default"/>
                <w:sz w:val="18"/>
                <w:szCs w:val="18"/>
              </w:rPr>
              <w:t> </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
              <w:jc w:val="center"/>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w:t>
            </w:r>
            <w:r>
              <w:rPr>
                <w:rFonts w:ascii="宋体" w:hAnsi="宋体" w:cs="宋体" w:eastAsia="宋体" w:hint="default"/>
                <w:sz w:val="18"/>
                <w:szCs w:val="18"/>
              </w:rPr>
              <w:t>5 </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center"/>
              <w:rPr>
                <w:rFonts w:ascii="宋体" w:hAnsi="宋体" w:cs="宋体" w:eastAsia="宋体" w:hint="default"/>
                <w:sz w:val="18"/>
                <w:szCs w:val="18"/>
              </w:rPr>
            </w:pPr>
            <w:r>
              <w:rPr>
                <w:rFonts w:ascii="宋体"/>
                <w:sz w:val="18"/>
              </w:rPr>
              <w:t>5.00 </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6"/>
              <w:jc w:val="center"/>
              <w:rPr>
                <w:rFonts w:ascii="宋体" w:hAnsi="宋体" w:cs="宋体" w:eastAsia="宋体" w:hint="default"/>
                <w:sz w:val="18"/>
                <w:szCs w:val="18"/>
              </w:rPr>
            </w:pPr>
            <w:r>
              <w:rPr>
                <w:rFonts w:ascii="宋体" w:hAnsi="宋体" w:cs="宋体" w:eastAsia="宋体" w:hint="default"/>
                <w:sz w:val="18"/>
                <w:szCs w:val="18"/>
              </w:rPr>
              <w:t>19.00</w:t>
            </w:r>
            <w:r>
              <w:rPr>
                <w:rFonts w:ascii="宋体" w:hAnsi="宋体" w:cs="宋体" w:eastAsia="宋体" w:hint="default"/>
                <w:sz w:val="18"/>
                <w:szCs w:val="18"/>
              </w:rPr>
              <w:t>－</w:t>
            </w:r>
            <w:r>
              <w:rPr>
                <w:rFonts w:ascii="宋体" w:hAnsi="宋体" w:cs="宋体" w:eastAsia="宋体" w:hint="default"/>
                <w:sz w:val="18"/>
                <w:szCs w:val="18"/>
              </w:rPr>
              <w:t>23.75 </w:t>
            </w:r>
          </w:p>
        </w:tc>
      </w:tr>
      <w:tr>
        <w:trPr>
          <w:trHeight w:val="396" w:hRule="exact"/>
        </w:trPr>
        <w:tc>
          <w:tcPr>
            <w:tcW w:w="24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 w:right="0"/>
              <w:jc w:val="left"/>
              <w:rPr>
                <w:rFonts w:ascii="宋体" w:hAnsi="宋体" w:cs="宋体" w:eastAsia="宋体" w:hint="default"/>
                <w:sz w:val="18"/>
                <w:szCs w:val="18"/>
              </w:rPr>
            </w:pPr>
            <w:r>
              <w:rPr>
                <w:rFonts w:ascii="宋体" w:hAnsi="宋体" w:cs="宋体" w:eastAsia="宋体" w:hint="default"/>
                <w:sz w:val="18"/>
                <w:szCs w:val="18"/>
              </w:rPr>
              <w:t>办公和电子设备</w:t>
            </w:r>
            <w:r>
              <w:rPr>
                <w:rFonts w:ascii="宋体" w:hAnsi="宋体" w:cs="宋体" w:eastAsia="宋体" w:hint="default"/>
                <w:sz w:val="18"/>
                <w:szCs w:val="18"/>
              </w:rPr>
              <w:t> </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5"/>
              <w:jc w:val="center"/>
              <w:rPr>
                <w:rFonts w:ascii="宋体" w:hAnsi="宋体" w:cs="宋体" w:eastAsia="宋体" w:hint="default"/>
                <w:sz w:val="18"/>
                <w:szCs w:val="18"/>
              </w:rPr>
            </w:pPr>
            <w:r>
              <w:rPr>
                <w:rFonts w:ascii="宋体" w:hAnsi="宋体" w:cs="宋体" w:eastAsia="宋体" w:hint="default"/>
                <w:sz w:val="18"/>
                <w:szCs w:val="18"/>
              </w:rPr>
              <w:t>直线法</w:t>
            </w:r>
            <w:r>
              <w:rPr>
                <w:rFonts w:ascii="宋体" w:hAnsi="宋体" w:cs="宋体" w:eastAsia="宋体" w:hint="default"/>
                <w:sz w:val="18"/>
                <w:szCs w:val="18"/>
              </w:rPr>
              <w:t> </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9"/>
              <w:jc w:val="center"/>
              <w:rPr>
                <w:rFonts w:ascii="宋体" w:hAnsi="宋体" w:cs="宋体" w:eastAsia="宋体" w:hint="default"/>
                <w:sz w:val="18"/>
                <w:szCs w:val="18"/>
              </w:rPr>
            </w:pPr>
            <w:r>
              <w:rPr>
                <w:rFonts w:ascii="宋体"/>
                <w:sz w:val="18"/>
              </w:rPr>
              <w:t>3 </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center"/>
              <w:rPr>
                <w:rFonts w:ascii="宋体" w:hAnsi="宋体" w:cs="宋体" w:eastAsia="宋体" w:hint="default"/>
                <w:sz w:val="18"/>
                <w:szCs w:val="18"/>
              </w:rPr>
            </w:pPr>
            <w:r>
              <w:rPr>
                <w:rFonts w:ascii="宋体"/>
                <w:sz w:val="18"/>
              </w:rPr>
              <w:t>5.00 </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6"/>
              <w:jc w:val="center"/>
              <w:rPr>
                <w:rFonts w:ascii="宋体" w:hAnsi="宋体" w:cs="宋体" w:eastAsia="宋体" w:hint="default"/>
                <w:sz w:val="18"/>
                <w:szCs w:val="18"/>
              </w:rPr>
            </w:pPr>
            <w:r>
              <w:rPr>
                <w:rFonts w:ascii="宋体"/>
                <w:sz w:val="18"/>
              </w:rPr>
              <w:t>31.67 </w:t>
            </w:r>
          </w:p>
        </w:tc>
      </w:tr>
      <w:tr>
        <w:trPr>
          <w:trHeight w:val="398" w:hRule="exact"/>
        </w:trPr>
        <w:tc>
          <w:tcPr>
            <w:tcW w:w="24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 w:right="0"/>
              <w:jc w:val="left"/>
              <w:rPr>
                <w:rFonts w:ascii="宋体" w:hAnsi="宋体" w:cs="宋体" w:eastAsia="宋体" w:hint="default"/>
                <w:sz w:val="18"/>
                <w:szCs w:val="18"/>
              </w:rPr>
            </w:pPr>
            <w:r>
              <w:rPr>
                <w:rFonts w:ascii="宋体" w:hAnsi="宋体" w:cs="宋体" w:eastAsia="宋体" w:hint="default"/>
                <w:sz w:val="18"/>
                <w:szCs w:val="18"/>
              </w:rPr>
              <w:t>其他设备</w:t>
            </w:r>
            <w:r>
              <w:rPr>
                <w:rFonts w:ascii="宋体" w:hAnsi="宋体" w:cs="宋体" w:eastAsia="宋体" w:hint="default"/>
                <w:sz w:val="18"/>
                <w:szCs w:val="18"/>
              </w:rPr>
              <w:t> </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5"/>
              <w:jc w:val="center"/>
              <w:rPr>
                <w:rFonts w:ascii="宋体" w:hAnsi="宋体" w:cs="宋体" w:eastAsia="宋体" w:hint="default"/>
                <w:sz w:val="18"/>
                <w:szCs w:val="18"/>
              </w:rPr>
            </w:pPr>
            <w:r>
              <w:rPr>
                <w:rFonts w:ascii="宋体" w:hAnsi="宋体" w:cs="宋体" w:eastAsia="宋体" w:hint="default"/>
                <w:sz w:val="18"/>
                <w:szCs w:val="18"/>
              </w:rPr>
              <w:t>直线法</w:t>
            </w:r>
            <w:r>
              <w:rPr>
                <w:rFonts w:ascii="宋体" w:hAnsi="宋体" w:cs="宋体" w:eastAsia="宋体" w:hint="default"/>
                <w:sz w:val="18"/>
                <w:szCs w:val="18"/>
              </w:rPr>
              <w:t> </w:t>
            </w:r>
          </w:p>
        </w:tc>
        <w:tc>
          <w:tcPr>
            <w:tcW w:w="15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9"/>
              <w:jc w:val="center"/>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w:t>
            </w:r>
            <w:r>
              <w:rPr>
                <w:rFonts w:ascii="宋体" w:hAnsi="宋体" w:cs="宋体" w:eastAsia="宋体" w:hint="default"/>
                <w:sz w:val="18"/>
                <w:szCs w:val="18"/>
              </w:rPr>
              <w:t>4 </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center"/>
              <w:rPr>
                <w:rFonts w:ascii="宋体" w:hAnsi="宋体" w:cs="宋体" w:eastAsia="宋体" w:hint="default"/>
                <w:sz w:val="18"/>
                <w:szCs w:val="18"/>
              </w:rPr>
            </w:pPr>
            <w:r>
              <w:rPr>
                <w:rFonts w:ascii="宋体"/>
                <w:sz w:val="18"/>
              </w:rPr>
              <w:t>5.00 </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6"/>
              <w:jc w:val="center"/>
              <w:rPr>
                <w:rFonts w:ascii="宋体" w:hAnsi="宋体" w:cs="宋体" w:eastAsia="宋体" w:hint="default"/>
                <w:sz w:val="18"/>
                <w:szCs w:val="18"/>
              </w:rPr>
            </w:pPr>
            <w:r>
              <w:rPr>
                <w:rFonts w:ascii="宋体" w:hAnsi="宋体" w:cs="宋体" w:eastAsia="宋体" w:hint="default"/>
                <w:sz w:val="18"/>
                <w:szCs w:val="18"/>
              </w:rPr>
              <w:t>23.75</w:t>
            </w:r>
            <w:r>
              <w:rPr>
                <w:rFonts w:ascii="宋体" w:hAnsi="宋体" w:cs="宋体" w:eastAsia="宋体" w:hint="default"/>
                <w:sz w:val="18"/>
                <w:szCs w:val="18"/>
              </w:rPr>
              <w:t>－</w:t>
            </w:r>
            <w:r>
              <w:rPr>
                <w:rFonts w:ascii="宋体" w:hAnsi="宋体" w:cs="宋体" w:eastAsia="宋体" w:hint="default"/>
                <w:sz w:val="18"/>
                <w:szCs w:val="18"/>
              </w:rPr>
              <w:t>31.67 </w:t>
            </w:r>
          </w:p>
        </w:tc>
      </w:tr>
    </w:tbl>
    <w:p>
      <w:pPr>
        <w:pStyle w:val="BodyText"/>
        <w:spacing w:line="240" w:lineRule="auto" w:before="86"/>
        <w:ind w:left="573" w:right="1133"/>
        <w:jc w:val="left"/>
        <w:rPr>
          <w:rFonts w:ascii="宋体" w:hAnsi="宋体" w:cs="宋体" w:eastAsia="宋体" w:hint="default"/>
        </w:rPr>
      </w:pPr>
      <w:r>
        <w:rPr>
          <w:rFonts w:ascii="宋体" w:hAnsi="宋体" w:cs="宋体" w:eastAsia="宋体" w:hint="default"/>
        </w:rPr>
        <w:t>3</w:t>
      </w:r>
      <w:r>
        <w:rPr/>
        <w:t>、融资租入固定资产的认定依据、计价方法、折旧方法</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116"/>
        <w:ind w:left="573" w:right="1133"/>
        <w:jc w:val="left"/>
        <w:rPr>
          <w:rFonts w:ascii="宋体" w:hAnsi="宋体" w:cs="宋体" w:eastAsia="宋体" w:hint="default"/>
        </w:rPr>
      </w:pPr>
      <w:r>
        <w:rPr/>
        <w:t>公司与租赁方所签订的租赁协议条款中规定了下列条件之一的，确认为融资租入资产：</w:t>
      </w:r>
      <w:r>
        <w:rPr>
          <w:rFonts w:ascii="宋体" w:hAnsi="宋体" w:cs="宋体" w:eastAsia="宋体" w:hint="default"/>
        </w:rPr>
        <w:t> </w:t>
      </w:r>
    </w:p>
    <w:p>
      <w:pPr>
        <w:pStyle w:val="BodyText"/>
        <w:spacing w:line="240" w:lineRule="auto" w:before="118"/>
        <w:ind w:left="573" w:right="1133"/>
        <w:jc w:val="left"/>
        <w:rPr>
          <w:rFonts w:ascii="宋体" w:hAnsi="宋体" w:cs="宋体" w:eastAsia="宋体" w:hint="default"/>
        </w:rPr>
      </w:pPr>
      <w:r>
        <w:rPr/>
        <w:t>（</w:t>
      </w:r>
      <w:r>
        <w:rPr>
          <w:rFonts w:ascii="宋体" w:hAnsi="宋体" w:cs="宋体" w:eastAsia="宋体" w:hint="default"/>
        </w:rPr>
        <w:t>1</w:t>
      </w:r>
      <w:r>
        <w:rPr/>
        <w:t>）租赁期满后租赁资产的所有权归属于本公司；</w:t>
      </w:r>
      <w:r>
        <w:rPr>
          <w:rFonts w:ascii="宋体" w:hAnsi="宋体" w:cs="宋体" w:eastAsia="宋体" w:hint="default"/>
        </w:rPr>
        <w:t> </w:t>
      </w:r>
    </w:p>
    <w:p>
      <w:pPr>
        <w:pStyle w:val="BodyText"/>
        <w:spacing w:line="240" w:lineRule="auto" w:before="116"/>
        <w:ind w:left="580" w:right="1133"/>
        <w:jc w:val="left"/>
        <w:rPr>
          <w:rFonts w:ascii="宋体" w:hAnsi="宋体" w:cs="宋体" w:eastAsia="宋体" w:hint="default"/>
        </w:rPr>
      </w:pPr>
      <w:r>
        <w:rPr/>
        <w:t>（</w:t>
      </w:r>
      <w:r>
        <w:rPr>
          <w:rFonts w:ascii="宋体" w:hAnsi="宋体" w:cs="宋体" w:eastAsia="宋体" w:hint="default"/>
        </w:rPr>
        <w:t>2</w:t>
      </w:r>
      <w:r>
        <w:rPr/>
        <w:t>）公司具有购买资产的选择权，购买价款远低于行使选择权时该资产的公允价值；</w:t>
      </w:r>
      <w:r>
        <w:rPr>
          <w:rFonts w:ascii="宋体" w:hAnsi="宋体" w:cs="宋体" w:eastAsia="宋体" w:hint="default"/>
        </w:rPr>
        <w:t> </w:t>
      </w:r>
    </w:p>
    <w:p>
      <w:pPr>
        <w:pStyle w:val="BodyText"/>
        <w:spacing w:line="240" w:lineRule="auto" w:before="118"/>
        <w:ind w:left="573" w:right="1133"/>
        <w:jc w:val="left"/>
        <w:rPr>
          <w:rFonts w:ascii="宋体" w:hAnsi="宋体" w:cs="宋体" w:eastAsia="宋体" w:hint="default"/>
        </w:rPr>
      </w:pPr>
      <w:r>
        <w:rPr/>
        <w:t>（</w:t>
      </w:r>
      <w:r>
        <w:rPr>
          <w:rFonts w:ascii="宋体" w:hAnsi="宋体" w:cs="宋体" w:eastAsia="宋体" w:hint="default"/>
        </w:rPr>
        <w:t>3</w:t>
      </w:r>
      <w:r>
        <w:rPr/>
        <w:t>）租赁期占所租赁资产使用寿命的大部分；</w:t>
      </w:r>
      <w:r>
        <w:rPr>
          <w:rFonts w:ascii="宋体" w:hAnsi="宋体" w:cs="宋体" w:eastAsia="宋体" w:hint="default"/>
        </w:rPr>
        <w:t> </w:t>
      </w:r>
    </w:p>
    <w:p>
      <w:pPr>
        <w:pStyle w:val="BodyText"/>
        <w:spacing w:line="394" w:lineRule="exact" w:before="46"/>
        <w:ind w:left="573" w:right="819"/>
        <w:jc w:val="left"/>
      </w:pPr>
      <w:r>
        <w:rPr/>
        <w:t>（</w:t>
      </w:r>
      <w:r>
        <w:rPr>
          <w:rFonts w:ascii="宋体" w:hAnsi="宋体" w:cs="宋体" w:eastAsia="宋体" w:hint="default"/>
        </w:rPr>
        <w:t>4</w:t>
      </w:r>
      <w:r>
        <w:rPr/>
        <w:t>）租赁开始日的最低租赁付款额现值，与该资产的公允价值不存在较大的差异。</w:t>
      </w:r>
      <w:r>
        <w:rPr>
          <w:rFonts w:ascii="宋体" w:hAnsi="宋体" w:cs="宋体" w:eastAsia="宋体" w:hint="default"/>
          <w:w w:val="100"/>
        </w:rPr>
        <w:t> </w:t>
      </w:r>
      <w:r>
        <w:rPr/>
        <w:t>在承租开始日，将租赁资产公允价值与最低租赁付款额现值两者中较低者作为租入资产的入账价值，</w:t>
      </w:r>
    </w:p>
    <w:p>
      <w:pPr>
        <w:pStyle w:val="BodyText"/>
        <w:spacing w:line="222" w:lineRule="exact"/>
        <w:ind w:right="1133"/>
        <w:jc w:val="left"/>
        <w:rPr>
          <w:rFonts w:ascii="宋体" w:hAnsi="宋体" w:cs="宋体" w:eastAsia="宋体" w:hint="default"/>
        </w:rPr>
      </w:pPr>
      <w:r>
        <w:rPr/>
        <w:t>将最低租赁付款额作为长期应付款的入账价值，其差额作为未确认的融资费。</w:t>
      </w:r>
      <w:r>
        <w:rPr>
          <w:rFonts w:ascii="宋体" w:hAnsi="宋体" w:cs="宋体" w:eastAsia="宋体" w:hint="default"/>
        </w:rPr>
        <w:t> </w:t>
      </w:r>
    </w:p>
    <w:p>
      <w:pPr>
        <w:pStyle w:val="BodyText"/>
        <w:spacing w:line="237" w:lineRule="auto" w:before="121"/>
        <w:ind w:right="1126" w:firstLine="420"/>
        <w:jc w:val="both"/>
        <w:rPr>
          <w:rFonts w:ascii="宋体" w:hAnsi="宋体" w:cs="宋体" w:eastAsia="宋体" w:hint="default"/>
        </w:rPr>
      </w:pPr>
      <w:r>
        <w:rPr>
          <w:spacing w:val="-2"/>
        </w:rPr>
        <w:t>融资租赁方式租入的固定资产，能合理确定租赁期届满时将会取得租赁资产所有权的，在租赁资产尚</w:t>
      </w:r>
      <w:r>
        <w:rPr>
          <w:w w:val="100"/>
        </w:rPr>
        <w:t> </w:t>
      </w:r>
      <w:r>
        <w:rPr>
          <w:spacing w:val="-2"/>
        </w:rPr>
        <w:t>可使用年限内计提折旧；无法合理确定租赁期届满时能够取得租赁资产所有权的，在租赁期与租赁资产尚</w:t>
      </w:r>
      <w:r>
        <w:rPr>
          <w:spacing w:val="-42"/>
        </w:rPr>
        <w:t> </w:t>
      </w:r>
      <w:r>
        <w:rPr>
          <w:spacing w:val="-42"/>
        </w:rPr>
      </w:r>
      <w:r>
        <w:rPr/>
        <w:t>可使用年限两者中较短的期间内计提折旧。</w:t>
      </w:r>
      <w:r>
        <w:rPr>
          <w:rFonts w:ascii="宋体" w:hAnsi="宋体" w:cs="宋体" w:eastAsia="宋体" w:hint="default"/>
        </w:rPr>
        <w:t> </w:t>
      </w:r>
    </w:p>
    <w:p>
      <w:pPr>
        <w:spacing w:line="343" w:lineRule="auto" w:before="116"/>
        <w:ind w:left="513" w:right="5955" w:hanging="149"/>
        <w:jc w:val="left"/>
        <w:rPr>
          <w:rFonts w:ascii="宋体" w:hAnsi="宋体" w:cs="宋体" w:eastAsia="宋体" w:hint="default"/>
          <w:sz w:val="21"/>
          <w:szCs w:val="21"/>
        </w:rPr>
      </w:pPr>
      <w:r>
        <w:rPr>
          <w:rFonts w:ascii="宋体" w:hAnsi="宋体" w:cs="宋体" w:eastAsia="宋体" w:hint="default"/>
          <w:b/>
          <w:bCs/>
          <w:sz w:val="21"/>
          <w:szCs w:val="21"/>
        </w:rPr>
        <w:t>（十六）在建工程</w:t>
      </w:r>
      <w:r>
        <w:rPr>
          <w:rFonts w:ascii="宋体" w:hAnsi="宋体" w:cs="宋体" w:eastAsia="宋体" w:hint="default"/>
          <w:b/>
          <w:bCs/>
          <w:w w:val="99"/>
          <w:sz w:val="21"/>
          <w:szCs w:val="21"/>
        </w:rPr>
        <w:t> </w:t>
      </w:r>
      <w:r>
        <w:rPr>
          <w:rFonts w:ascii="宋体" w:hAnsi="宋体" w:cs="宋体" w:eastAsia="宋体" w:hint="default"/>
          <w:sz w:val="21"/>
          <w:szCs w:val="21"/>
        </w:rPr>
        <w:t>在建工程以立项项目分类核算。</w:t>
      </w:r>
      <w:r>
        <w:rPr>
          <w:rFonts w:ascii="宋体" w:hAnsi="宋体" w:cs="宋体" w:eastAsia="宋体" w:hint="default"/>
          <w:w w:val="100"/>
          <w:sz w:val="21"/>
          <w:szCs w:val="21"/>
        </w:rPr>
        <w:t> </w:t>
      </w:r>
      <w:r>
        <w:rPr>
          <w:rFonts w:ascii="宋体" w:hAnsi="宋体" w:cs="宋体" w:eastAsia="宋体" w:hint="default"/>
          <w:b/>
          <w:bCs/>
          <w:sz w:val="21"/>
          <w:szCs w:val="21"/>
        </w:rPr>
        <w:t>1</w:t>
      </w:r>
      <w:r>
        <w:rPr>
          <w:rFonts w:ascii="宋体" w:hAnsi="宋体" w:cs="宋体" w:eastAsia="宋体" w:hint="default"/>
          <w:b/>
          <w:bCs/>
          <w:sz w:val="21"/>
          <w:szCs w:val="21"/>
        </w:rPr>
        <w:t>、</w:t>
      </w:r>
      <w:r>
        <w:rPr>
          <w:rFonts w:ascii="宋体" w:hAnsi="宋体" w:cs="宋体" w:eastAsia="宋体" w:hint="default"/>
          <w:sz w:val="21"/>
          <w:szCs w:val="21"/>
        </w:rPr>
        <w:t>在建工程的初始计量和后续计量</w:t>
      </w:r>
      <w:r>
        <w:rPr>
          <w:rFonts w:ascii="宋体" w:hAnsi="宋体" w:cs="宋体" w:eastAsia="宋体" w:hint="default"/>
          <w:sz w:val="21"/>
          <w:szCs w:val="21"/>
        </w:rPr>
        <w:t> </w:t>
      </w:r>
    </w:p>
    <w:p>
      <w:pPr>
        <w:pStyle w:val="BodyText"/>
        <w:spacing w:line="237" w:lineRule="auto" w:before="31"/>
        <w:ind w:right="1126" w:firstLine="420"/>
        <w:jc w:val="both"/>
        <w:rPr>
          <w:rFonts w:ascii="宋体" w:hAnsi="宋体" w:cs="宋体" w:eastAsia="宋体" w:hint="default"/>
        </w:rPr>
      </w:pPr>
      <w:r>
        <w:rPr>
          <w:spacing w:val="-2"/>
        </w:rPr>
        <w:t>本公司在建工程按照实际发生的支出确定其工程成本，并单独核算。工程达到预定可使用状态前因进</w:t>
      </w:r>
      <w:r>
        <w:rPr>
          <w:w w:val="100"/>
        </w:rPr>
        <w:t> </w:t>
      </w:r>
      <w:r>
        <w:rPr>
          <w:spacing w:val="-2"/>
        </w:rPr>
        <w:t>行试运转所发生的净支出，计入工程成本。在建工程项目在达到预定可使用状态前所取得的试运转过程中</w:t>
      </w:r>
      <w:r>
        <w:rPr>
          <w:spacing w:val="-43"/>
        </w:rPr>
        <w:t> </w:t>
      </w:r>
      <w:r>
        <w:rPr>
          <w:spacing w:val="-43"/>
        </w:rPr>
      </w:r>
      <w:r>
        <w:rPr>
          <w:spacing w:val="-2"/>
        </w:rPr>
        <w:t>形成的、能够对外销售的产品，其发生的成本，计入在建工程成本，销售或转为库存商品时，按实际销售</w:t>
      </w:r>
      <w:r>
        <w:rPr>
          <w:spacing w:val="-43"/>
        </w:rPr>
        <w:t> </w:t>
      </w:r>
      <w:r>
        <w:rPr>
          <w:spacing w:val="-43"/>
        </w:rPr>
      </w:r>
      <w:r>
        <w:rPr>
          <w:spacing w:val="-2"/>
        </w:rPr>
        <w:t>收入或按预计售价冲减工程成本。在建工程发生的借款费用，符合借款费用资本化条件的，在所购建的固</w:t>
      </w:r>
      <w:r>
        <w:rPr>
          <w:spacing w:val="-44"/>
        </w:rPr>
        <w:t> </w:t>
      </w:r>
      <w:r>
        <w:rPr>
          <w:spacing w:val="-44"/>
        </w:rPr>
      </w:r>
      <w:r>
        <w:rPr/>
        <w:t>定资产达到预计可使用状态前，计入在建工程成本。</w:t>
      </w:r>
      <w:r>
        <w:rPr>
          <w:rFonts w:ascii="宋体" w:hAnsi="宋体" w:cs="宋体" w:eastAsia="宋体" w:hint="default"/>
        </w:rPr>
        <w:t> </w:t>
      </w:r>
    </w:p>
    <w:p>
      <w:pPr>
        <w:pStyle w:val="BodyText"/>
        <w:spacing w:line="240" w:lineRule="auto" w:before="119"/>
        <w:ind w:left="513" w:right="1133"/>
        <w:jc w:val="left"/>
        <w:rPr>
          <w:rFonts w:ascii="宋体" w:hAnsi="宋体" w:cs="宋体" w:eastAsia="宋体" w:hint="default"/>
        </w:rPr>
      </w:pPr>
      <w:r>
        <w:rPr>
          <w:rFonts w:ascii="宋体" w:hAnsi="宋体" w:cs="宋体" w:eastAsia="宋体" w:hint="default"/>
          <w:b/>
          <w:bCs/>
        </w:rPr>
        <w:t>2</w:t>
      </w:r>
      <w:r>
        <w:rPr>
          <w:rFonts w:ascii="宋体" w:hAnsi="宋体" w:cs="宋体" w:eastAsia="宋体" w:hint="default"/>
          <w:b/>
          <w:bCs/>
        </w:rPr>
        <w:t>、</w:t>
      </w:r>
      <w:r>
        <w:rPr/>
        <w:t>在建工程结转为固定资产的标准和时点。</w:t>
      </w:r>
      <w:r>
        <w:rPr>
          <w:rFonts w:ascii="宋体" w:hAnsi="宋体" w:cs="宋体" w:eastAsia="宋体" w:hint="default"/>
        </w:rPr>
        <w:t> </w:t>
      </w:r>
    </w:p>
    <w:p>
      <w:pPr>
        <w:pStyle w:val="BodyText"/>
        <w:spacing w:line="237" w:lineRule="auto" w:before="119"/>
        <w:ind w:right="1126" w:firstLine="420"/>
        <w:jc w:val="both"/>
        <w:rPr>
          <w:rFonts w:ascii="宋体" w:hAnsi="宋体" w:cs="宋体" w:eastAsia="宋体" w:hint="default"/>
        </w:rPr>
      </w:pPr>
      <w:r>
        <w:rPr>
          <w:spacing w:val="-2"/>
        </w:rPr>
        <w:t>本公司在建工程项目按建造该项资产达到预定可使用状态前所发生的全部支出，作为固定资产的入账</w:t>
      </w:r>
      <w:r>
        <w:rPr>
          <w:w w:val="100"/>
        </w:rPr>
        <w:t> </w:t>
      </w:r>
      <w:r>
        <w:rPr>
          <w:spacing w:val="-2"/>
        </w:rPr>
        <w:t>价值。所建造的固定资产在建工程已达到预定可使用状态，但尚未办理竣工决算的，自达到预定可使用状</w:t>
      </w:r>
      <w:r>
        <w:rPr>
          <w:spacing w:val="-43"/>
        </w:rPr>
        <w:t> </w:t>
      </w:r>
      <w:r>
        <w:rPr>
          <w:spacing w:val="-43"/>
        </w:rPr>
      </w:r>
      <w:r>
        <w:rPr>
          <w:spacing w:val="-2"/>
        </w:rPr>
        <w:t>态之日起，根据工程预算、造价或者工程实际成本等，按估计的价值转入固定资产，并按本公司固定资产</w:t>
      </w:r>
      <w:r>
        <w:rPr>
          <w:spacing w:val="-50"/>
        </w:rPr>
        <w:t> </w:t>
      </w:r>
      <w:r>
        <w:rPr>
          <w:spacing w:val="-50"/>
        </w:rPr>
      </w:r>
      <w:r>
        <w:rPr>
          <w:spacing w:val="-2"/>
        </w:rPr>
        <w:t>折旧政策计提固定资产的折旧，待办理竣工决算后，再按实际成本调整原来的暂估价值，但不调整原已计</w:t>
      </w:r>
      <w:r>
        <w:rPr>
          <w:spacing w:val="-44"/>
        </w:rPr>
        <w:t> </w:t>
      </w:r>
      <w:r>
        <w:rPr>
          <w:spacing w:val="-44"/>
        </w:rPr>
      </w:r>
      <w:r>
        <w:rPr/>
        <w:t>提的折旧额。</w:t>
      </w:r>
      <w:r>
        <w:rPr>
          <w:rFonts w:ascii="宋体" w:hAnsi="宋体" w:cs="宋体" w:eastAsia="宋体" w:hint="default"/>
        </w:rPr>
        <w:t> </w:t>
      </w:r>
    </w:p>
    <w:p>
      <w:pPr>
        <w:pStyle w:val="BodyText"/>
        <w:spacing w:line="272" w:lineRule="exact" w:before="146"/>
        <w:ind w:right="819" w:firstLine="420"/>
        <w:jc w:val="left"/>
        <w:rPr>
          <w:rFonts w:ascii="宋体" w:hAnsi="宋体" w:cs="宋体" w:eastAsia="宋体" w:hint="default"/>
        </w:rPr>
      </w:pPr>
      <w:r>
        <w:rPr>
          <w:spacing w:val="-5"/>
        </w:rPr>
        <w:t>上述</w:t>
      </w:r>
      <w:r>
        <w:rPr>
          <w:rFonts w:ascii="宋体" w:hAnsi="宋体" w:cs="宋体" w:eastAsia="宋体" w:hint="default"/>
          <w:spacing w:val="-5"/>
        </w:rPr>
        <w:t>"</w:t>
      </w:r>
      <w:r>
        <w:rPr>
          <w:spacing w:val="-5"/>
        </w:rPr>
        <w:t>达到预定可使用状态</w:t>
      </w:r>
      <w:r>
        <w:rPr>
          <w:rFonts w:ascii="宋体" w:hAnsi="宋体" w:cs="宋体" w:eastAsia="宋体" w:hint="default"/>
          <w:spacing w:val="-5"/>
        </w:rPr>
        <w:t>"</w:t>
      </w:r>
      <w:r>
        <w:rPr>
          <w:spacing w:val="-5"/>
        </w:rPr>
        <w:t>，是指固定资产已达到本公司预定的可使用状态。当存在下列情况之一时，</w:t>
      </w:r>
      <w:r>
        <w:rPr>
          <w:w w:val="100"/>
        </w:rPr>
        <w:t> </w:t>
      </w:r>
      <w:r>
        <w:rPr/>
        <w:t>则认为所购建的固定资产已达到预定可使用状态：</w:t>
      </w:r>
      <w:r>
        <w:rPr>
          <w:rFonts w:ascii="宋体" w:hAnsi="宋体" w:cs="宋体" w:eastAsia="宋体" w:hint="default"/>
        </w:rPr>
        <w:t> </w:t>
      </w:r>
    </w:p>
    <w:p>
      <w:pPr>
        <w:pStyle w:val="BodyText"/>
        <w:spacing w:line="240" w:lineRule="auto" w:before="94"/>
        <w:ind w:left="513" w:right="1133"/>
        <w:jc w:val="left"/>
        <w:rPr>
          <w:rFonts w:ascii="宋体" w:hAnsi="宋体" w:cs="宋体" w:eastAsia="宋体" w:hint="default"/>
        </w:rPr>
      </w:pPr>
      <w:r>
        <w:rPr/>
        <w:t>（</w:t>
      </w:r>
      <w:r>
        <w:rPr>
          <w:rFonts w:ascii="宋体" w:hAnsi="宋体" w:cs="宋体" w:eastAsia="宋体" w:hint="default"/>
        </w:rPr>
        <w:t>1</w:t>
      </w:r>
      <w:r>
        <w:rPr/>
        <w:t>）固定资产的实体建造</w:t>
      </w:r>
      <w:r>
        <w:rPr>
          <w:rFonts w:ascii="宋体" w:hAnsi="宋体" w:cs="宋体" w:eastAsia="宋体" w:hint="default"/>
        </w:rPr>
        <w:t>(</w:t>
      </w:r>
      <w:r>
        <w:rPr/>
        <w:t>包括安装</w:t>
      </w:r>
      <w:r>
        <w:rPr>
          <w:rFonts w:ascii="宋体" w:hAnsi="宋体" w:cs="宋体" w:eastAsia="宋体" w:hint="default"/>
        </w:rPr>
        <w:t>)</w:t>
      </w:r>
      <w:r>
        <w:rPr/>
        <w:t>工作已经全部完成或者实质上已经全部完成；</w:t>
      </w:r>
      <w:r>
        <w:rPr>
          <w:rFonts w:ascii="宋体" w:hAnsi="宋体" w:cs="宋体" w:eastAsia="宋体" w:hint="default"/>
        </w:rPr>
        <w:t> </w:t>
      </w:r>
    </w:p>
    <w:p>
      <w:pPr>
        <w:pStyle w:val="BodyText"/>
        <w:spacing w:line="240" w:lineRule="auto" w:before="116"/>
        <w:ind w:right="1126" w:firstLine="420"/>
        <w:jc w:val="both"/>
        <w:rPr>
          <w:rFonts w:ascii="宋体" w:hAnsi="宋体" w:cs="宋体" w:eastAsia="宋体" w:hint="default"/>
        </w:rPr>
      </w:pPr>
      <w:r>
        <w:rPr>
          <w:spacing w:val="-5"/>
        </w:rPr>
        <w:t>（</w:t>
      </w:r>
      <w:r>
        <w:rPr>
          <w:rFonts w:ascii="宋体" w:hAnsi="宋体" w:cs="宋体" w:eastAsia="宋体" w:hint="default"/>
          <w:spacing w:val="-5"/>
        </w:rPr>
        <w:t>2</w:t>
      </w:r>
      <w:r>
        <w:rPr>
          <w:spacing w:val="-5"/>
        </w:rPr>
        <w:t>）已经过试生产或试运行，并且其结果表明资产能够正常运行或者能够稳定地生产出合格产品时，</w:t>
      </w:r>
      <w:r>
        <w:rPr>
          <w:w w:val="100"/>
        </w:rPr>
        <w:t> </w:t>
      </w:r>
      <w:r>
        <w:rPr/>
        <w:t>或者试运行结果表明能够正常运转或营业时；</w:t>
      </w:r>
      <w:r>
        <w:rPr>
          <w:rFonts w:ascii="宋体" w:hAnsi="宋体" w:cs="宋体" w:eastAsia="宋体" w:hint="default"/>
        </w:rPr>
        <w:t> </w:t>
      </w:r>
    </w:p>
    <w:p>
      <w:pPr>
        <w:pStyle w:val="BodyText"/>
        <w:spacing w:line="240" w:lineRule="auto" w:before="117"/>
        <w:ind w:left="573" w:right="1133"/>
        <w:jc w:val="left"/>
        <w:rPr>
          <w:rFonts w:ascii="宋体" w:hAnsi="宋体" w:cs="宋体" w:eastAsia="宋体" w:hint="default"/>
        </w:rPr>
      </w:pPr>
      <w:r>
        <w:rPr/>
        <w:t>（</w:t>
      </w:r>
      <w:r>
        <w:rPr>
          <w:rFonts w:ascii="宋体" w:hAnsi="宋体" w:cs="宋体" w:eastAsia="宋体" w:hint="default"/>
        </w:rPr>
        <w:t>3</w:t>
      </w:r>
      <w:r>
        <w:rPr/>
        <w:t>）该项建造的固定资产上的支出金额很少或者几乎不再发生；</w:t>
      </w:r>
      <w:r>
        <w:rPr>
          <w:rFonts w:ascii="宋体" w:hAnsi="宋体" w:cs="宋体" w:eastAsia="宋体" w:hint="default"/>
        </w:rPr>
        <w:t> </w:t>
      </w:r>
    </w:p>
    <w:p>
      <w:pPr>
        <w:pStyle w:val="BodyText"/>
        <w:spacing w:line="272" w:lineRule="exact" w:before="146"/>
        <w:ind w:right="1136" w:firstLine="420"/>
        <w:jc w:val="both"/>
        <w:rPr>
          <w:rFonts w:ascii="宋体" w:hAnsi="宋体" w:cs="宋体" w:eastAsia="宋体" w:hint="default"/>
        </w:rPr>
      </w:pPr>
      <w:r>
        <w:rPr/>
        <w:t>（</w:t>
      </w:r>
      <w:r>
        <w:rPr>
          <w:rFonts w:ascii="宋体" w:hAnsi="宋体" w:cs="宋体" w:eastAsia="宋体" w:hint="default"/>
        </w:rPr>
        <w:t>4</w:t>
      </w:r>
      <w:r>
        <w:rPr/>
        <w:t>）所购建的固定资产已经达到设计或合同要求，或与设计或合同要求相符或基本相符，即使有极</w:t>
      </w:r>
      <w:r>
        <w:rPr>
          <w:w w:val="100"/>
        </w:rPr>
        <w:t> </w:t>
      </w:r>
      <w:r>
        <w:rPr/>
        <w:t>个别地方与设计或合同要求不相符，也不足以影响其正常使用。</w:t>
      </w:r>
      <w:r>
        <w:rPr>
          <w:rFonts w:ascii="宋体" w:hAnsi="宋体" w:cs="宋体" w:eastAsia="宋体" w:hint="default"/>
        </w:rPr>
        <w:t> </w:t>
      </w:r>
    </w:p>
    <w:p>
      <w:pPr>
        <w:spacing w:line="340" w:lineRule="auto" w:before="94"/>
        <w:ind w:left="573" w:right="7341" w:hanging="209"/>
        <w:jc w:val="left"/>
        <w:rPr>
          <w:rFonts w:ascii="宋体" w:hAnsi="宋体" w:cs="宋体" w:eastAsia="宋体" w:hint="default"/>
          <w:sz w:val="21"/>
          <w:szCs w:val="21"/>
        </w:rPr>
      </w:pPr>
      <w:r>
        <w:rPr>
          <w:rFonts w:ascii="宋体" w:hAnsi="宋体" w:cs="宋体" w:eastAsia="宋体" w:hint="default"/>
          <w:b/>
          <w:bCs/>
          <w:sz w:val="21"/>
          <w:szCs w:val="21"/>
        </w:rPr>
        <w:t>（十七）借款费用</w:t>
      </w:r>
      <w:r>
        <w:rPr>
          <w:rFonts w:ascii="宋体" w:hAnsi="宋体" w:cs="宋体" w:eastAsia="宋体" w:hint="default"/>
          <w:b/>
          <w:bCs/>
          <w:w w:val="99"/>
          <w:sz w:val="21"/>
          <w:szCs w:val="21"/>
        </w:rPr>
        <w:t> </w:t>
      </w:r>
      <w:r>
        <w:rPr>
          <w:rFonts w:ascii="宋体" w:hAnsi="宋体" w:cs="宋体" w:eastAsia="宋体" w:hint="default"/>
          <w:sz w:val="21"/>
          <w:szCs w:val="21"/>
        </w:rPr>
        <w:t>1</w:t>
      </w:r>
      <w:r>
        <w:rPr>
          <w:rFonts w:ascii="宋体" w:hAnsi="宋体" w:cs="宋体" w:eastAsia="宋体" w:hint="default"/>
          <w:sz w:val="21"/>
          <w:szCs w:val="21"/>
        </w:rPr>
        <w:t>、借款费用资本化的确认原则</w:t>
      </w:r>
      <w:r>
        <w:rPr>
          <w:rFonts w:ascii="宋体" w:hAnsi="宋体" w:cs="宋体" w:eastAsia="宋体" w:hint="default"/>
          <w:sz w:val="21"/>
          <w:szCs w:val="21"/>
        </w:rPr>
        <w:t> </w:t>
      </w:r>
    </w:p>
    <w:p>
      <w:pPr>
        <w:spacing w:after="0" w:line="340" w:lineRule="auto"/>
        <w:jc w:val="left"/>
        <w:rPr>
          <w:rFonts w:ascii="宋体" w:hAnsi="宋体" w:cs="宋体" w:eastAsia="宋体" w:hint="default"/>
          <w:sz w:val="21"/>
          <w:szCs w:val="21"/>
        </w:rPr>
        <w:sectPr>
          <w:pgSz w:w="11910" w:h="16840"/>
          <w:pgMar w:header="921" w:footer="725" w:top="1160" w:bottom="920" w:left="980" w:right="0"/>
        </w:sectPr>
      </w:pPr>
    </w:p>
    <w:p>
      <w:pPr>
        <w:spacing w:line="240" w:lineRule="auto" w:before="12"/>
        <w:rPr>
          <w:rFonts w:ascii="宋体" w:hAnsi="宋体" w:cs="宋体" w:eastAsia="宋体" w:hint="default"/>
          <w:sz w:val="15"/>
          <w:szCs w:val="15"/>
        </w:rPr>
      </w:pPr>
    </w:p>
    <w:p>
      <w:pPr>
        <w:pStyle w:val="BodyText"/>
        <w:spacing w:line="240" w:lineRule="auto" w:before="36"/>
        <w:ind w:left="573" w:right="1133"/>
        <w:jc w:val="left"/>
        <w:rPr>
          <w:rFonts w:ascii="宋体" w:hAnsi="宋体" w:cs="宋体" w:eastAsia="宋体" w:hint="default"/>
        </w:rPr>
      </w:pPr>
      <w:r>
        <w:rPr/>
        <w:t>借款费用，包括借款利息、折价或者溢价的摊销、辅助费用以及因外币借款而发生的汇兑差额等。</w:t>
      </w:r>
      <w:r>
        <w:rPr>
          <w:rFonts w:ascii="宋体" w:hAnsi="宋体" w:cs="宋体" w:eastAsia="宋体" w:hint="default"/>
        </w:rPr>
        <w:t> </w:t>
      </w:r>
    </w:p>
    <w:p>
      <w:pPr>
        <w:pStyle w:val="BodyText"/>
        <w:spacing w:line="240" w:lineRule="auto" w:before="116"/>
        <w:ind w:right="1126" w:firstLine="420"/>
        <w:jc w:val="both"/>
        <w:rPr>
          <w:rFonts w:ascii="宋体" w:hAnsi="宋体" w:cs="宋体" w:eastAsia="宋体" w:hint="default"/>
        </w:rPr>
      </w:pPr>
      <w:r>
        <w:rPr>
          <w:spacing w:val="-2"/>
        </w:rPr>
        <w:t>公司发生的借款费用，可直接归属于符合资本化条件的资产的购建或者生产的，予以资本化，计入相</w:t>
      </w:r>
      <w:r>
        <w:rPr>
          <w:w w:val="100"/>
        </w:rPr>
        <w:t> </w:t>
      </w:r>
      <w:r>
        <w:rPr/>
        <w:t>关资产成本；其他借款费用，在发生时根据其发生额确认为费用，计入当期损益。</w:t>
      </w:r>
      <w:r>
        <w:rPr>
          <w:rFonts w:ascii="宋体" w:hAnsi="宋体" w:cs="宋体" w:eastAsia="宋体" w:hint="default"/>
        </w:rPr>
        <w:t> </w:t>
      </w:r>
    </w:p>
    <w:p>
      <w:pPr>
        <w:pStyle w:val="BodyText"/>
        <w:spacing w:line="240" w:lineRule="auto" w:before="116"/>
        <w:ind w:right="1126" w:firstLine="420"/>
        <w:jc w:val="both"/>
        <w:rPr>
          <w:rFonts w:ascii="宋体" w:hAnsi="宋体" w:cs="宋体" w:eastAsia="宋体" w:hint="default"/>
        </w:rPr>
      </w:pPr>
      <w:r>
        <w:rPr>
          <w:spacing w:val="-2"/>
        </w:rPr>
        <w:t>符合资本化条件的资产，是指需要经过相当长时间的购建或者生产活动才能达到预定可使用或者可销</w:t>
      </w:r>
      <w:r>
        <w:rPr>
          <w:w w:val="100"/>
        </w:rPr>
        <w:t> </w:t>
      </w:r>
      <w:r>
        <w:rPr/>
        <w:t>售状态的固定资产、投资性房地产和存货等资产。</w:t>
      </w:r>
      <w:r>
        <w:rPr>
          <w:rFonts w:ascii="宋体" w:hAnsi="宋体" w:cs="宋体" w:eastAsia="宋体" w:hint="default"/>
        </w:rPr>
        <w:t> </w:t>
      </w:r>
    </w:p>
    <w:p>
      <w:pPr>
        <w:pStyle w:val="BodyText"/>
        <w:spacing w:line="240" w:lineRule="auto" w:before="116"/>
        <w:ind w:left="573" w:right="1133"/>
        <w:jc w:val="left"/>
        <w:rPr>
          <w:rFonts w:ascii="宋体" w:hAnsi="宋体" w:cs="宋体" w:eastAsia="宋体" w:hint="default"/>
        </w:rPr>
      </w:pPr>
      <w:r>
        <w:rPr/>
        <w:t>借款费用同时满足下列条件时开始资本化：</w:t>
      </w:r>
      <w:r>
        <w:rPr>
          <w:rFonts w:ascii="宋体" w:hAnsi="宋体" w:cs="宋体" w:eastAsia="宋体" w:hint="default"/>
          <w:spacing w:val="-3"/>
        </w:rPr>
        <w:t> </w:t>
      </w:r>
      <w:r>
        <w:rPr>
          <w:rFonts w:ascii="宋体" w:hAnsi="宋体" w:cs="宋体" w:eastAsia="宋体" w:hint="default"/>
        </w:rPr>
        <w:t> </w:t>
      </w:r>
    </w:p>
    <w:p>
      <w:pPr>
        <w:pStyle w:val="BodyText"/>
        <w:spacing w:line="272" w:lineRule="exact" w:before="146"/>
        <w:ind w:right="1136" w:firstLine="420"/>
        <w:jc w:val="both"/>
        <w:rPr>
          <w:rFonts w:ascii="宋体" w:hAnsi="宋体" w:cs="宋体" w:eastAsia="宋体" w:hint="default"/>
        </w:rPr>
      </w:pPr>
      <w:r>
        <w:rPr/>
        <w:t>（</w:t>
      </w:r>
      <w:r>
        <w:rPr>
          <w:rFonts w:ascii="宋体" w:hAnsi="宋体" w:cs="宋体" w:eastAsia="宋体" w:hint="default"/>
        </w:rPr>
        <w:t>1</w:t>
      </w:r>
      <w:r>
        <w:rPr/>
        <w:t>）资产支出已经发生，资产支出包括为购建或者生产符合资本化条件的资产而以支付现金、转移</w:t>
      </w:r>
      <w:r>
        <w:rPr>
          <w:w w:val="100"/>
        </w:rPr>
        <w:t> </w:t>
      </w:r>
      <w:r>
        <w:rPr/>
        <w:t>非现金资产或者承担带息债务形式发生的支出；</w:t>
      </w:r>
      <w:r>
        <w:rPr>
          <w:rFonts w:ascii="宋体" w:hAnsi="宋体" w:cs="宋体" w:eastAsia="宋体" w:hint="default"/>
          <w:spacing w:val="-3"/>
        </w:rPr>
        <w:t> </w:t>
      </w:r>
      <w:r>
        <w:rPr>
          <w:rFonts w:ascii="宋体" w:hAnsi="宋体" w:cs="宋体" w:eastAsia="宋体" w:hint="default"/>
        </w:rPr>
        <w:t> </w:t>
      </w:r>
    </w:p>
    <w:p>
      <w:pPr>
        <w:pStyle w:val="BodyText"/>
        <w:spacing w:line="240" w:lineRule="auto" w:before="94"/>
        <w:ind w:left="573" w:right="1133"/>
        <w:jc w:val="left"/>
        <w:rPr>
          <w:rFonts w:ascii="宋体" w:hAnsi="宋体" w:cs="宋体" w:eastAsia="宋体" w:hint="default"/>
        </w:rPr>
      </w:pPr>
      <w:r>
        <w:rPr/>
        <w:t>（</w:t>
      </w:r>
      <w:r>
        <w:rPr>
          <w:rFonts w:ascii="宋体" w:hAnsi="宋体" w:cs="宋体" w:eastAsia="宋体" w:hint="default"/>
        </w:rPr>
        <w:t>2</w:t>
      </w:r>
      <w:r>
        <w:rPr/>
        <w:t>）借款费用已经发生；</w:t>
      </w:r>
      <w:r>
        <w:rPr>
          <w:rFonts w:ascii="宋体" w:hAnsi="宋体" w:cs="宋体" w:eastAsia="宋体" w:hint="default"/>
        </w:rPr>
        <w:t>  </w:t>
      </w:r>
    </w:p>
    <w:p>
      <w:pPr>
        <w:pStyle w:val="BodyText"/>
        <w:spacing w:line="343" w:lineRule="auto" w:before="116"/>
        <w:ind w:left="573" w:right="1133"/>
        <w:jc w:val="left"/>
        <w:rPr>
          <w:rFonts w:ascii="宋体" w:hAnsi="宋体" w:cs="宋体" w:eastAsia="宋体" w:hint="default"/>
        </w:rPr>
      </w:pPr>
      <w:r>
        <w:rPr/>
        <w:t>（</w:t>
      </w:r>
      <w:r>
        <w:rPr>
          <w:rFonts w:ascii="宋体" w:hAnsi="宋体" w:cs="宋体" w:eastAsia="宋体" w:hint="default"/>
        </w:rPr>
        <w:t>3</w:t>
      </w:r>
      <w:r>
        <w:rPr/>
        <w:t>）为使资产达到预定可使用或者可销售状态所必要的购建或者生产活动已经开始。</w:t>
      </w:r>
      <w:r>
        <w:rPr>
          <w:rFonts w:ascii="宋体" w:hAnsi="宋体" w:cs="宋体" w:eastAsia="宋体" w:hint="default"/>
          <w:w w:val="100"/>
        </w:rPr>
        <w:t> </w:t>
      </w:r>
      <w:r>
        <w:rPr>
          <w:rFonts w:ascii="宋体" w:hAnsi="宋体" w:cs="宋体" w:eastAsia="宋体" w:hint="default"/>
        </w:rPr>
        <w:t>2</w:t>
      </w:r>
      <w:r>
        <w:rPr/>
        <w:t>、借款费用资本化期间</w:t>
      </w:r>
      <w:r>
        <w:rPr>
          <w:rFonts w:ascii="宋体" w:hAnsi="宋体" w:cs="宋体" w:eastAsia="宋体" w:hint="default"/>
        </w:rPr>
        <w:t> </w:t>
      </w:r>
    </w:p>
    <w:p>
      <w:pPr>
        <w:pStyle w:val="BodyText"/>
        <w:spacing w:line="240" w:lineRule="auto" w:before="26"/>
        <w:ind w:right="1126" w:firstLine="420"/>
        <w:jc w:val="both"/>
        <w:rPr>
          <w:rFonts w:ascii="宋体" w:hAnsi="宋体" w:cs="宋体" w:eastAsia="宋体" w:hint="default"/>
        </w:rPr>
      </w:pPr>
      <w:r>
        <w:rPr>
          <w:spacing w:val="-2"/>
        </w:rPr>
        <w:t>资本化期间，指从借款费用开始资本化时点到停止资本化时点的期间，借款费用暂停资本化的期间不</w:t>
      </w:r>
      <w:r>
        <w:rPr>
          <w:w w:val="100"/>
        </w:rPr>
        <w:t> </w:t>
      </w:r>
      <w:r>
        <w:rPr/>
        <w:t>包括在内。</w:t>
      </w:r>
      <w:r>
        <w:rPr>
          <w:rFonts w:ascii="宋体" w:hAnsi="宋体" w:cs="宋体" w:eastAsia="宋体" w:hint="default"/>
        </w:rPr>
        <w:t> </w:t>
      </w:r>
    </w:p>
    <w:p>
      <w:pPr>
        <w:pStyle w:val="BodyText"/>
        <w:spacing w:line="394" w:lineRule="exact" w:before="46"/>
        <w:ind w:left="573" w:right="1133"/>
        <w:jc w:val="left"/>
      </w:pPr>
      <w:r>
        <w:rPr/>
        <w:t>当购建或者生产符合资本化条件的资产达到预定可使用或者可销售状态时，借款费用停止资本化。</w:t>
      </w:r>
      <w:r>
        <w:rPr>
          <w:rFonts w:ascii="宋体" w:hAnsi="宋体" w:cs="宋体" w:eastAsia="宋体" w:hint="default"/>
          <w:w w:val="100"/>
        </w:rPr>
        <w:t> </w:t>
      </w:r>
      <w:r>
        <w:rPr>
          <w:spacing w:val="-2"/>
        </w:rPr>
        <w:t>当购建或者生产符合资本化条件的资产中部分项目分别完工且可单独使用时，该部分资产借款费用停</w:t>
      </w:r>
    </w:p>
    <w:p>
      <w:pPr>
        <w:pStyle w:val="BodyText"/>
        <w:spacing w:line="222" w:lineRule="exact"/>
        <w:ind w:right="1133"/>
        <w:jc w:val="left"/>
        <w:rPr>
          <w:rFonts w:ascii="宋体" w:hAnsi="宋体" w:cs="宋体" w:eastAsia="宋体" w:hint="default"/>
        </w:rPr>
      </w:pPr>
      <w:r>
        <w:rPr/>
        <w:t>止资本化。</w:t>
      </w:r>
      <w:r>
        <w:rPr>
          <w:rFonts w:ascii="宋体" w:hAnsi="宋体" w:cs="宋体" w:eastAsia="宋体" w:hint="default"/>
        </w:rPr>
        <w:t> </w:t>
      </w:r>
    </w:p>
    <w:p>
      <w:pPr>
        <w:pStyle w:val="BodyText"/>
        <w:spacing w:line="272" w:lineRule="exact" w:before="146"/>
        <w:ind w:right="1126" w:firstLine="420"/>
        <w:jc w:val="both"/>
        <w:rPr>
          <w:rFonts w:ascii="宋体" w:hAnsi="宋体" w:cs="宋体" w:eastAsia="宋体" w:hint="default"/>
        </w:rPr>
      </w:pPr>
      <w:r>
        <w:rPr>
          <w:spacing w:val="-2"/>
        </w:rPr>
        <w:t>购建或者生产的资产的各部分分别完工，但必须等到整体完工后才可使用或可对外销售的，在该资产</w:t>
      </w:r>
      <w:r>
        <w:rPr>
          <w:w w:val="100"/>
        </w:rPr>
        <w:t> </w:t>
      </w:r>
      <w:r>
        <w:rPr/>
        <w:t>整体完工时停止借款费用资本化。</w:t>
      </w:r>
      <w:r>
        <w:rPr>
          <w:rFonts w:ascii="宋体" w:hAnsi="宋体" w:cs="宋体" w:eastAsia="宋体" w:hint="default"/>
        </w:rPr>
        <w:t> </w:t>
      </w:r>
    </w:p>
    <w:p>
      <w:pPr>
        <w:pStyle w:val="BodyText"/>
        <w:spacing w:line="240" w:lineRule="auto" w:before="94"/>
        <w:ind w:left="573" w:right="1133"/>
        <w:jc w:val="left"/>
        <w:rPr>
          <w:rFonts w:ascii="宋体" w:hAnsi="宋体" w:cs="宋体" w:eastAsia="宋体" w:hint="default"/>
        </w:rPr>
      </w:pPr>
      <w:r>
        <w:rPr>
          <w:rFonts w:ascii="宋体" w:hAnsi="宋体" w:cs="宋体" w:eastAsia="宋体" w:hint="default"/>
        </w:rPr>
        <w:t>3</w:t>
      </w:r>
      <w:r>
        <w:rPr/>
        <w:t>、借款费用暂停资本化期间</w:t>
      </w:r>
      <w:r>
        <w:rPr>
          <w:rFonts w:ascii="宋体" w:hAnsi="宋体" w:cs="宋体" w:eastAsia="宋体" w:hint="default"/>
        </w:rPr>
        <w:t> </w:t>
      </w:r>
    </w:p>
    <w:p>
      <w:pPr>
        <w:pStyle w:val="BodyText"/>
        <w:spacing w:line="237" w:lineRule="auto" w:before="119"/>
        <w:ind w:right="1126" w:firstLine="420"/>
        <w:jc w:val="both"/>
        <w:rPr>
          <w:rFonts w:ascii="宋体" w:hAnsi="宋体" w:cs="宋体" w:eastAsia="宋体" w:hint="default"/>
        </w:rPr>
      </w:pPr>
      <w:r>
        <w:rPr/>
        <w:t>符合资本化条件的资产在购建或生产过程中发生的非正常中断、且中断时间连续超过</w:t>
      </w:r>
      <w:r>
        <w:rPr>
          <w:spacing w:val="-56"/>
        </w:rPr>
        <w:t> </w:t>
      </w:r>
      <w:r>
        <w:rPr>
          <w:rFonts w:ascii="宋体" w:hAnsi="宋体" w:cs="宋体" w:eastAsia="宋体" w:hint="default"/>
        </w:rPr>
        <w:t>3</w:t>
      </w:r>
      <w:r>
        <w:rPr>
          <w:rFonts w:ascii="宋体" w:hAnsi="宋体" w:cs="宋体" w:eastAsia="宋体" w:hint="default"/>
          <w:spacing w:val="-59"/>
        </w:rPr>
        <w:t> </w:t>
      </w:r>
      <w:r>
        <w:rPr>
          <w:spacing w:val="-3"/>
        </w:rPr>
        <w:t>个月的，则借</w:t>
      </w:r>
      <w:r>
        <w:rPr>
          <w:w w:val="100"/>
        </w:rPr>
        <w:t> </w:t>
      </w:r>
      <w:r>
        <w:rPr>
          <w:spacing w:val="-2"/>
        </w:rPr>
        <w:t>款费用暂停资本化；该项中断如是所购建或生产的符合资本化条件的资产达到预定可使用状态或者可销售</w:t>
      </w:r>
      <w:r>
        <w:rPr>
          <w:spacing w:val="-43"/>
        </w:rPr>
        <w:t> </w:t>
      </w:r>
      <w:r>
        <w:rPr>
          <w:spacing w:val="-43"/>
        </w:rPr>
      </w:r>
      <w:r>
        <w:rPr>
          <w:spacing w:val="-2"/>
        </w:rPr>
        <w:t>状态必要的程序，则借款费用继续资本化。在中断期间发生的借款费用确认为当期损益，直至资产的购建</w:t>
      </w:r>
      <w:r>
        <w:rPr>
          <w:spacing w:val="-44"/>
        </w:rPr>
        <w:t> </w:t>
      </w:r>
      <w:r>
        <w:rPr>
          <w:spacing w:val="-44"/>
        </w:rPr>
      </w:r>
      <w:r>
        <w:rPr/>
        <w:t>或者生产活动重新开始后借款费用继续资本化。</w:t>
      </w:r>
      <w:r>
        <w:rPr>
          <w:rFonts w:ascii="宋体" w:hAnsi="宋体" w:cs="宋体" w:eastAsia="宋体" w:hint="default"/>
        </w:rPr>
        <w:t> </w:t>
      </w:r>
    </w:p>
    <w:p>
      <w:pPr>
        <w:pStyle w:val="BodyText"/>
        <w:spacing w:line="240" w:lineRule="auto" w:before="119"/>
        <w:ind w:left="573" w:right="1133"/>
        <w:jc w:val="left"/>
        <w:rPr>
          <w:rFonts w:ascii="宋体" w:hAnsi="宋体" w:cs="宋体" w:eastAsia="宋体" w:hint="default"/>
        </w:rPr>
      </w:pPr>
      <w:r>
        <w:rPr>
          <w:rFonts w:ascii="宋体" w:hAnsi="宋体" w:cs="宋体" w:eastAsia="宋体" w:hint="default"/>
        </w:rPr>
        <w:t>4</w:t>
      </w:r>
      <w:r>
        <w:rPr/>
        <w:t>、借款费用资本化金额的计算方法</w:t>
      </w:r>
      <w:r>
        <w:rPr>
          <w:rFonts w:ascii="宋体" w:hAnsi="宋体" w:cs="宋体" w:eastAsia="宋体" w:hint="default"/>
        </w:rPr>
        <w:t> </w:t>
      </w:r>
    </w:p>
    <w:p>
      <w:pPr>
        <w:pStyle w:val="BodyText"/>
        <w:spacing w:line="237" w:lineRule="auto" w:before="119"/>
        <w:ind w:right="1126" w:firstLine="420"/>
        <w:jc w:val="both"/>
        <w:rPr>
          <w:rFonts w:ascii="宋体" w:hAnsi="宋体" w:cs="宋体" w:eastAsia="宋体" w:hint="default"/>
        </w:rPr>
      </w:pPr>
      <w:r>
        <w:rPr>
          <w:spacing w:val="-2"/>
        </w:rPr>
        <w:t>对于为购建或者生产符合资本化条件的资产而借入的专门借款，以专门借款当期实际发生的借款费用</w:t>
      </w:r>
      <w:r>
        <w:rPr>
          <w:w w:val="100"/>
        </w:rPr>
        <w:t> </w:t>
      </w:r>
      <w:r>
        <w:rPr>
          <w:spacing w:val="-2"/>
        </w:rPr>
        <w:t>及其辅助费，减去尚未动用的借款资金存入银行取得的利息收入或进行暂时性投资取得的投资收益后的金</w:t>
      </w:r>
      <w:r>
        <w:rPr>
          <w:spacing w:val="-43"/>
        </w:rPr>
        <w:t> </w:t>
      </w:r>
      <w:r>
        <w:rPr>
          <w:spacing w:val="-43"/>
        </w:rPr>
      </w:r>
      <w:r>
        <w:rPr/>
        <w:t>额，来确定借款费用的资本化金额。</w:t>
      </w:r>
      <w:r>
        <w:rPr>
          <w:rFonts w:ascii="宋体" w:hAnsi="宋体" w:cs="宋体" w:eastAsia="宋体" w:hint="default"/>
        </w:rPr>
        <w:t> </w:t>
      </w:r>
    </w:p>
    <w:p>
      <w:pPr>
        <w:pStyle w:val="BodyText"/>
        <w:spacing w:line="237" w:lineRule="auto" w:before="121"/>
        <w:ind w:right="1126" w:firstLine="420"/>
        <w:jc w:val="both"/>
        <w:rPr>
          <w:rFonts w:ascii="宋体" w:hAnsi="宋体" w:cs="宋体" w:eastAsia="宋体" w:hint="default"/>
        </w:rPr>
      </w:pPr>
      <w:r>
        <w:rPr>
          <w:spacing w:val="-2"/>
        </w:rPr>
        <w:t>对于为购建或者生产符合资本化条件的资产而占用的一般借款，根据累计资产支出超过专门借款部分</w:t>
      </w:r>
      <w:r>
        <w:rPr>
          <w:w w:val="100"/>
        </w:rPr>
        <w:t> </w:t>
      </w:r>
      <w:r>
        <w:rPr>
          <w:spacing w:val="-2"/>
        </w:rPr>
        <w:t>的资产支出加权平均数乘以所占用一般借款的资本化率，计算确定一般借款应予资本化的利息金额。资本</w:t>
      </w:r>
      <w:r>
        <w:rPr>
          <w:spacing w:val="-42"/>
        </w:rPr>
        <w:t> </w:t>
      </w:r>
      <w:r>
        <w:rPr>
          <w:spacing w:val="-42"/>
        </w:rPr>
      </w:r>
      <w:r>
        <w:rPr/>
        <w:t>化率根据一般借款加权平均利率计算确定。</w:t>
      </w:r>
      <w:r>
        <w:rPr>
          <w:rFonts w:ascii="宋体" w:hAnsi="宋体" w:cs="宋体" w:eastAsia="宋体" w:hint="default"/>
        </w:rPr>
        <w:t> </w:t>
      </w:r>
    </w:p>
    <w:p>
      <w:pPr>
        <w:pStyle w:val="BodyText"/>
        <w:spacing w:line="240" w:lineRule="auto" w:before="116"/>
        <w:ind w:right="1126" w:firstLine="420"/>
        <w:jc w:val="both"/>
        <w:rPr>
          <w:rFonts w:ascii="宋体" w:hAnsi="宋体" w:cs="宋体" w:eastAsia="宋体" w:hint="default"/>
        </w:rPr>
      </w:pPr>
      <w:r>
        <w:rPr>
          <w:spacing w:val="-2"/>
        </w:rPr>
        <w:t>借款存在折价或者溢价的，按照实际利率法确定每一会计期间应摊销的折价或者溢价金额，调整每期</w:t>
      </w:r>
      <w:r>
        <w:rPr>
          <w:w w:val="100"/>
        </w:rPr>
        <w:t> </w:t>
      </w:r>
      <w:r>
        <w:rPr/>
        <w:t>利息金额。</w:t>
      </w:r>
      <w:r>
        <w:rPr>
          <w:rFonts w:ascii="宋体" w:hAnsi="宋体" w:cs="宋体" w:eastAsia="宋体" w:hint="default"/>
        </w:rPr>
        <w:t> </w:t>
      </w:r>
    </w:p>
    <w:p>
      <w:pPr>
        <w:spacing w:line="343" w:lineRule="auto" w:before="116"/>
        <w:ind w:left="573" w:right="7341" w:hanging="209"/>
        <w:jc w:val="left"/>
        <w:rPr>
          <w:rFonts w:ascii="宋体" w:hAnsi="宋体" w:cs="宋体" w:eastAsia="宋体" w:hint="default"/>
          <w:sz w:val="21"/>
          <w:szCs w:val="21"/>
        </w:rPr>
      </w:pPr>
      <w:r>
        <w:rPr>
          <w:rFonts w:ascii="宋体" w:hAnsi="宋体" w:cs="宋体" w:eastAsia="宋体" w:hint="default"/>
          <w:b/>
          <w:bCs/>
          <w:sz w:val="21"/>
          <w:szCs w:val="21"/>
        </w:rPr>
        <w:t>（十八）无形资产</w:t>
      </w:r>
      <w:r>
        <w:rPr>
          <w:rFonts w:ascii="宋体" w:hAnsi="宋体" w:cs="宋体" w:eastAsia="宋体" w:hint="default"/>
          <w:b/>
          <w:bCs/>
          <w:w w:val="99"/>
          <w:sz w:val="21"/>
          <w:szCs w:val="21"/>
        </w:rPr>
        <w:t> </w:t>
      </w:r>
      <w:r>
        <w:rPr>
          <w:rFonts w:ascii="宋体" w:hAnsi="宋体" w:cs="宋体" w:eastAsia="宋体" w:hint="default"/>
          <w:sz w:val="21"/>
          <w:szCs w:val="21"/>
        </w:rPr>
        <w:t>1</w:t>
      </w:r>
      <w:r>
        <w:rPr>
          <w:rFonts w:ascii="宋体" w:hAnsi="宋体" w:cs="宋体" w:eastAsia="宋体" w:hint="default"/>
          <w:sz w:val="21"/>
          <w:szCs w:val="21"/>
        </w:rPr>
        <w:t>、无形资产的计价方法</w:t>
      </w:r>
      <w:r>
        <w:rPr>
          <w:rFonts w:ascii="宋体" w:hAnsi="宋体" w:cs="宋体" w:eastAsia="宋体" w:hint="default"/>
          <w:sz w:val="21"/>
          <w:szCs w:val="21"/>
        </w:rPr>
        <w:t> </w:t>
      </w:r>
    </w:p>
    <w:p>
      <w:pPr>
        <w:pStyle w:val="BodyText"/>
        <w:spacing w:line="240" w:lineRule="auto" w:before="26"/>
        <w:ind w:left="573" w:right="1133"/>
        <w:jc w:val="left"/>
        <w:rPr>
          <w:rFonts w:ascii="宋体" w:hAnsi="宋体" w:cs="宋体" w:eastAsia="宋体" w:hint="default"/>
        </w:rPr>
      </w:pPr>
      <w:r>
        <w:rPr/>
        <w:t>（</w:t>
      </w:r>
      <w:r>
        <w:rPr>
          <w:rFonts w:ascii="宋体" w:hAnsi="宋体" w:cs="宋体" w:eastAsia="宋体" w:hint="default"/>
        </w:rPr>
        <w:t>1</w:t>
      </w:r>
      <w:r>
        <w:rPr/>
        <w:t>）取得无形资产时按成本进行初始计量</w:t>
      </w:r>
      <w:r>
        <w:rPr>
          <w:rFonts w:ascii="宋体" w:hAnsi="宋体" w:cs="宋体" w:eastAsia="宋体" w:hint="default"/>
        </w:rPr>
        <w:t> </w:t>
      </w:r>
    </w:p>
    <w:p>
      <w:pPr>
        <w:pStyle w:val="BodyText"/>
        <w:spacing w:line="237" w:lineRule="auto" w:before="121"/>
        <w:ind w:right="1126" w:firstLine="420"/>
        <w:jc w:val="both"/>
        <w:rPr>
          <w:rFonts w:ascii="宋体" w:hAnsi="宋体" w:cs="宋体" w:eastAsia="宋体" w:hint="default"/>
        </w:rPr>
      </w:pPr>
      <w:r>
        <w:rPr>
          <w:spacing w:val="-2"/>
        </w:rPr>
        <w:t>外购无形资产的成本，包括购买价款、相关税费以及直接归属于使该项资产达到预定用途所发生的其</w:t>
      </w:r>
      <w:r>
        <w:rPr>
          <w:w w:val="100"/>
        </w:rPr>
        <w:t> </w:t>
      </w:r>
      <w:r>
        <w:rPr>
          <w:spacing w:val="-2"/>
        </w:rPr>
        <w:t>他支出。购买无形资产的价款超过正常信用条件延期支付，实质上具有融资性质的，无形资产的成本以购</w:t>
      </w:r>
      <w:r>
        <w:rPr>
          <w:spacing w:val="-42"/>
        </w:rPr>
        <w:t> </w:t>
      </w:r>
      <w:r>
        <w:rPr>
          <w:spacing w:val="-42"/>
        </w:rPr>
      </w:r>
      <w:r>
        <w:rPr/>
        <w:t>买价款的现值为基础确定。</w:t>
      </w:r>
      <w:r>
        <w:rPr>
          <w:rFonts w:ascii="宋体" w:hAnsi="宋体" w:cs="宋体" w:eastAsia="宋体" w:hint="default"/>
        </w:rPr>
        <w:t> </w:t>
      </w:r>
    </w:p>
    <w:p>
      <w:pPr>
        <w:pStyle w:val="BodyText"/>
        <w:spacing w:line="240" w:lineRule="auto" w:before="116"/>
        <w:ind w:right="1126" w:firstLine="420"/>
        <w:jc w:val="both"/>
        <w:rPr>
          <w:rFonts w:ascii="宋体" w:hAnsi="宋体" w:cs="宋体" w:eastAsia="宋体" w:hint="default"/>
        </w:rPr>
      </w:pPr>
      <w:r>
        <w:rPr>
          <w:spacing w:val="-2"/>
        </w:rPr>
        <w:t>债务重组取得债务人用以抵债的无形资产，以该无形资产的公允价值为基础确定其入账价值，并将重</w:t>
      </w:r>
      <w:r>
        <w:rPr>
          <w:w w:val="100"/>
        </w:rPr>
        <w:t> </w:t>
      </w:r>
      <w:r>
        <w:rPr/>
        <w:t>组债务的账面价值与该用以抵债的无形资产公允价值之间的差额，计入当期损益；</w:t>
      </w:r>
      <w:r>
        <w:rPr>
          <w:rFonts w:ascii="宋体" w:hAnsi="宋体" w:cs="宋体" w:eastAsia="宋体" w:hint="default"/>
        </w:rPr>
        <w:t> </w:t>
      </w:r>
    </w:p>
    <w:p>
      <w:pPr>
        <w:pStyle w:val="BodyText"/>
        <w:spacing w:line="240" w:lineRule="auto" w:before="116"/>
        <w:ind w:left="573" w:right="819"/>
        <w:jc w:val="left"/>
      </w:pPr>
      <w:r>
        <w:rPr/>
        <w:t>在非货币性资产交换具备商业实质且换入资产或换出资产的公允价值能够可靠计量的前提下，非货币</w:t>
      </w:r>
    </w:p>
    <w:p>
      <w:pPr>
        <w:spacing w:after="0" w:line="240" w:lineRule="auto"/>
        <w:jc w:val="left"/>
        <w:sectPr>
          <w:footerReference w:type="default" r:id="rId46"/>
          <w:pgSz w:w="11910" w:h="16840"/>
          <w:pgMar w:footer="725" w:header="921" w:top="1160" w:bottom="920" w:left="980" w:right="0"/>
          <w:pgNumType w:start="120"/>
        </w:sectPr>
      </w:pPr>
    </w:p>
    <w:p>
      <w:pPr>
        <w:spacing w:line="240" w:lineRule="auto" w:before="12"/>
        <w:rPr>
          <w:rFonts w:ascii="宋体" w:hAnsi="宋体" w:cs="宋体" w:eastAsia="宋体" w:hint="default"/>
          <w:sz w:val="15"/>
          <w:szCs w:val="15"/>
        </w:rPr>
      </w:pPr>
    </w:p>
    <w:p>
      <w:pPr>
        <w:pStyle w:val="BodyText"/>
        <w:spacing w:line="237" w:lineRule="auto" w:before="38"/>
        <w:ind w:right="1126"/>
        <w:jc w:val="both"/>
        <w:rPr>
          <w:rFonts w:ascii="宋体" w:hAnsi="宋体" w:cs="宋体" w:eastAsia="宋体" w:hint="default"/>
        </w:rPr>
      </w:pPr>
      <w:r>
        <w:rPr>
          <w:spacing w:val="-2"/>
        </w:rPr>
        <w:t>性资产交换换入的无形资产以换出资产的公允价值为基础确定其入账价值，除非有确凿证据表明换入资产</w:t>
      </w:r>
      <w:r>
        <w:rPr>
          <w:spacing w:val="-43"/>
        </w:rPr>
        <w:t> </w:t>
      </w:r>
      <w:r>
        <w:rPr>
          <w:spacing w:val="-43"/>
        </w:rPr>
      </w:r>
      <w:r>
        <w:rPr>
          <w:spacing w:val="-2"/>
        </w:rPr>
        <w:t>的公允价值更加可靠；不满足上述前提的非货币性资产交换，以换出资产的账面价值和应支付的相关税费</w:t>
      </w:r>
      <w:r>
        <w:rPr>
          <w:spacing w:val="-43"/>
        </w:rPr>
        <w:t> </w:t>
      </w:r>
      <w:r>
        <w:rPr>
          <w:spacing w:val="-43"/>
        </w:rPr>
      </w:r>
      <w:r>
        <w:rPr/>
        <w:t>作为换入无形资产的成本，不确认损益。</w:t>
      </w:r>
      <w:r>
        <w:rPr>
          <w:rFonts w:ascii="宋体" w:hAnsi="宋体" w:cs="宋体" w:eastAsia="宋体" w:hint="default"/>
        </w:rPr>
        <w:t> </w:t>
      </w:r>
    </w:p>
    <w:p>
      <w:pPr>
        <w:pStyle w:val="BodyText"/>
        <w:spacing w:line="240" w:lineRule="auto" w:before="116"/>
        <w:ind w:right="1133" w:firstLine="420"/>
        <w:jc w:val="left"/>
        <w:rPr>
          <w:rFonts w:ascii="宋体" w:hAnsi="宋体" w:cs="宋体" w:eastAsia="宋体" w:hint="default"/>
        </w:rPr>
      </w:pPr>
      <w:r>
        <w:rPr>
          <w:spacing w:val="-2"/>
        </w:rPr>
        <w:t>以同一控制下的企业吸收合并方式取得的无形资产按被合并方的账面价值确定其入账价值；以非同一</w:t>
      </w:r>
      <w:r>
        <w:rPr>
          <w:w w:val="100"/>
        </w:rPr>
        <w:t> </w:t>
      </w:r>
      <w:r>
        <w:rPr/>
        <w:t>控制下的企业吸收合并方式取得的无形资产按公允价值确定其入账价值。</w:t>
      </w:r>
      <w:r>
        <w:rPr>
          <w:rFonts w:ascii="宋体" w:hAnsi="宋体" w:cs="宋体" w:eastAsia="宋体" w:hint="default"/>
        </w:rPr>
        <w:t> </w:t>
      </w:r>
    </w:p>
    <w:p>
      <w:pPr>
        <w:pStyle w:val="BodyText"/>
        <w:spacing w:line="237" w:lineRule="auto" w:before="119"/>
        <w:ind w:right="1126" w:firstLine="420"/>
        <w:jc w:val="both"/>
        <w:rPr>
          <w:rFonts w:ascii="宋体" w:hAnsi="宋体" w:cs="宋体" w:eastAsia="宋体" w:hint="default"/>
        </w:rPr>
      </w:pPr>
      <w:r>
        <w:rPr>
          <w:spacing w:val="-2"/>
        </w:rPr>
        <w:t>内部自行开发的无形资产，其成本包括：开发该无形资产时耗用的材料、劳务成本、注册费、在开发</w:t>
      </w:r>
      <w:r>
        <w:rPr>
          <w:w w:val="100"/>
        </w:rPr>
        <w:t> </w:t>
      </w:r>
      <w:r>
        <w:rPr>
          <w:spacing w:val="-2"/>
        </w:rPr>
        <w:t>过程中使用的其他专利权和特许权的摊销以及满足资本化条件的利息费用，以及为使该无形资产达到预定</w:t>
      </w:r>
      <w:r>
        <w:rPr>
          <w:spacing w:val="-43"/>
        </w:rPr>
        <w:t> </w:t>
      </w:r>
      <w:r>
        <w:rPr>
          <w:spacing w:val="-43"/>
        </w:rPr>
      </w:r>
      <w:r>
        <w:rPr/>
        <w:t>用途前所发生的其他直接费用。</w:t>
      </w:r>
      <w:r>
        <w:rPr>
          <w:rFonts w:ascii="宋体" w:hAnsi="宋体" w:cs="宋体" w:eastAsia="宋体" w:hint="default"/>
        </w:rPr>
        <w:t> </w:t>
      </w:r>
    </w:p>
    <w:p>
      <w:pPr>
        <w:pStyle w:val="BodyText"/>
        <w:spacing w:line="340" w:lineRule="auto" w:before="119"/>
        <w:ind w:left="573" w:right="5542"/>
        <w:jc w:val="left"/>
        <w:rPr>
          <w:rFonts w:ascii="宋体" w:hAnsi="宋体" w:cs="宋体" w:eastAsia="宋体" w:hint="default"/>
        </w:rPr>
      </w:pPr>
      <w:r>
        <w:rPr/>
        <w:t>（</w:t>
      </w:r>
      <w:r>
        <w:rPr>
          <w:rFonts w:ascii="宋体" w:hAnsi="宋体" w:cs="宋体" w:eastAsia="宋体" w:hint="default"/>
        </w:rPr>
        <w:t>2</w:t>
      </w:r>
      <w:r>
        <w:rPr/>
        <w:t>）后续计量</w:t>
      </w:r>
      <w:r>
        <w:rPr>
          <w:rFonts w:ascii="宋体" w:hAnsi="宋体" w:cs="宋体" w:eastAsia="宋体" w:hint="default"/>
          <w:w w:val="100"/>
        </w:rPr>
        <w:t> </w:t>
      </w:r>
      <w:r>
        <w:rPr/>
        <w:t>在取得无形资产时分析判断其使用寿命。</w:t>
      </w:r>
      <w:r>
        <w:rPr>
          <w:rFonts w:ascii="宋体" w:hAnsi="宋体" w:cs="宋体" w:eastAsia="宋体" w:hint="default"/>
        </w:rPr>
        <w:t> </w:t>
      </w:r>
    </w:p>
    <w:p>
      <w:pPr>
        <w:pStyle w:val="BodyText"/>
        <w:spacing w:line="272" w:lineRule="exact" w:before="58"/>
        <w:ind w:right="1133" w:firstLine="420"/>
        <w:jc w:val="left"/>
        <w:rPr>
          <w:rFonts w:ascii="宋体" w:hAnsi="宋体" w:cs="宋体" w:eastAsia="宋体" w:hint="default"/>
        </w:rPr>
      </w:pPr>
      <w:r>
        <w:rPr>
          <w:spacing w:val="-2"/>
        </w:rPr>
        <w:t>对于使用寿命有限的无形资产，在为企业带来经济利益的期限内按直线法摊销；无法预见无形资产为</w:t>
      </w:r>
      <w:r>
        <w:rPr>
          <w:w w:val="100"/>
        </w:rPr>
        <w:t> </w:t>
      </w:r>
      <w:r>
        <w:rPr/>
        <w:t>企业带来经济利益期限的，视为使用寿命不确定的无形资产，不予摊销。</w:t>
      </w:r>
      <w:r>
        <w:rPr>
          <w:rFonts w:ascii="宋体" w:hAnsi="宋体" w:cs="宋体" w:eastAsia="宋体" w:hint="default"/>
        </w:rPr>
        <w:t> </w:t>
      </w:r>
    </w:p>
    <w:p>
      <w:pPr>
        <w:pStyle w:val="BodyText"/>
        <w:spacing w:line="240" w:lineRule="auto" w:before="94"/>
        <w:ind w:left="573" w:right="1133"/>
        <w:jc w:val="left"/>
        <w:rPr>
          <w:rFonts w:ascii="宋体" w:hAnsi="宋体" w:cs="宋体" w:eastAsia="宋体" w:hint="default"/>
        </w:rPr>
      </w:pPr>
      <w:r>
        <w:rPr>
          <w:w w:val="100"/>
        </w:rPr>
        <w:t>无形</w:t>
      </w:r>
      <w:r>
        <w:rPr>
          <w:spacing w:val="-3"/>
          <w:w w:val="100"/>
        </w:rPr>
        <w:t>资</w:t>
      </w:r>
      <w:r>
        <w:rPr>
          <w:w w:val="100"/>
        </w:rPr>
        <w:t>产</w:t>
      </w:r>
      <w:r>
        <w:rPr>
          <w:spacing w:val="-3"/>
          <w:w w:val="100"/>
        </w:rPr>
        <w:t>减</w:t>
      </w:r>
      <w:r>
        <w:rPr>
          <w:w w:val="100"/>
        </w:rPr>
        <w:t>值</w:t>
      </w:r>
      <w:r>
        <w:rPr>
          <w:spacing w:val="-3"/>
          <w:w w:val="100"/>
        </w:rPr>
        <w:t>测</w:t>
      </w:r>
      <w:r>
        <w:rPr>
          <w:w w:val="100"/>
        </w:rPr>
        <w:t>试</w:t>
      </w:r>
      <w:r>
        <w:rPr>
          <w:spacing w:val="-3"/>
          <w:w w:val="100"/>
        </w:rPr>
        <w:t>见</w:t>
      </w:r>
      <w:r>
        <w:rPr>
          <w:w w:val="100"/>
        </w:rPr>
        <w:t>本</w:t>
      </w:r>
      <w:r>
        <w:rPr>
          <w:spacing w:val="-3"/>
          <w:w w:val="100"/>
        </w:rPr>
        <w:t>附</w:t>
      </w:r>
      <w:r>
        <w:rPr>
          <w:w w:val="100"/>
        </w:rPr>
        <w:t>注“</w:t>
      </w:r>
      <w:r>
        <w:rPr>
          <w:spacing w:val="-3"/>
          <w:w w:val="100"/>
        </w:rPr>
        <w:t>三</w:t>
      </w:r>
      <w:r>
        <w:rPr>
          <w:spacing w:val="-106"/>
          <w:w w:val="100"/>
        </w:rPr>
        <w:t>、</w:t>
      </w:r>
      <w:r>
        <w:rPr>
          <w:spacing w:val="-3"/>
          <w:w w:val="100"/>
        </w:rPr>
        <w:t>（</w:t>
      </w:r>
      <w:r>
        <w:rPr>
          <w:w w:val="100"/>
        </w:rPr>
        <w:t>十</w:t>
      </w:r>
      <w:r>
        <w:rPr>
          <w:spacing w:val="-3"/>
          <w:w w:val="100"/>
        </w:rPr>
        <w:t>九</w:t>
      </w:r>
      <w:r>
        <w:rPr>
          <w:w w:val="100"/>
        </w:rPr>
        <w:t>）</w:t>
      </w:r>
      <w:r>
        <w:rPr>
          <w:spacing w:val="-3"/>
          <w:w w:val="100"/>
        </w:rPr>
        <w:t>长</w:t>
      </w:r>
      <w:r>
        <w:rPr>
          <w:w w:val="100"/>
        </w:rPr>
        <w:t>期</w:t>
      </w:r>
      <w:r>
        <w:rPr>
          <w:spacing w:val="-3"/>
          <w:w w:val="100"/>
        </w:rPr>
        <w:t>资产</w:t>
      </w:r>
      <w:r>
        <w:rPr>
          <w:w w:val="100"/>
        </w:rPr>
        <w:t>减值</w:t>
      </w:r>
      <w:r>
        <w:rPr>
          <w:spacing w:val="-108"/>
          <w:w w:val="100"/>
        </w:rPr>
        <w:t>”</w:t>
      </w:r>
      <w:r>
        <w:rPr>
          <w:spacing w:val="-3"/>
          <w:w w:val="100"/>
        </w:rPr>
        <w:t>。</w:t>
      </w:r>
      <w:r>
        <w:rPr>
          <w:rFonts w:ascii="宋体" w:hAnsi="宋体" w:cs="宋体" w:eastAsia="宋体" w:hint="default"/>
          <w:w w:val="100"/>
        </w:rPr>
        <w:t> </w:t>
      </w:r>
    </w:p>
    <w:p>
      <w:pPr>
        <w:pStyle w:val="BodyText"/>
        <w:spacing w:line="394" w:lineRule="exact" w:before="47"/>
        <w:ind w:left="573" w:right="1133" w:hanging="60"/>
        <w:jc w:val="left"/>
      </w:pPr>
      <w:r>
        <w:rPr/>
        <w:t>（</w:t>
      </w:r>
      <w:r>
        <w:rPr>
          <w:rFonts w:ascii="宋体" w:hAnsi="宋体" w:cs="宋体" w:eastAsia="宋体" w:hint="default"/>
        </w:rPr>
        <w:t>1</w:t>
      </w:r>
      <w:r>
        <w:rPr/>
        <w:t>）无形资产使用寿命及摊销</w:t>
      </w:r>
      <w:r>
        <w:rPr>
          <w:rFonts w:ascii="宋体" w:hAnsi="宋体" w:cs="宋体" w:eastAsia="宋体" w:hint="default"/>
          <w:w w:val="100"/>
        </w:rPr>
        <w:t> </w:t>
      </w:r>
      <w:r>
        <w:rPr>
          <w:spacing w:val="-2"/>
        </w:rPr>
        <w:t>本公司于取得无形资产时分析判断其使用寿命。无形资产的使用寿命为有限的，估计该使用寿命的年</w:t>
      </w:r>
    </w:p>
    <w:p>
      <w:pPr>
        <w:pStyle w:val="BodyText"/>
        <w:spacing w:line="221" w:lineRule="exact"/>
        <w:ind w:right="0"/>
        <w:jc w:val="both"/>
      </w:pPr>
      <w:r>
        <w:rPr/>
        <w:t>限或者构成使用寿命的产量等类似计量单位数量；无法预见无形资产为企业带来经济利益期限的，视为使</w:t>
      </w:r>
    </w:p>
    <w:p>
      <w:pPr>
        <w:pStyle w:val="BodyText"/>
        <w:spacing w:line="272" w:lineRule="exact" w:before="27"/>
        <w:ind w:right="1126"/>
        <w:jc w:val="both"/>
        <w:rPr>
          <w:rFonts w:ascii="宋体" w:hAnsi="宋体" w:cs="宋体" w:eastAsia="宋体" w:hint="default"/>
        </w:rPr>
      </w:pPr>
      <w:r>
        <w:rPr>
          <w:spacing w:val="-2"/>
        </w:rPr>
        <w:t>用寿命不确定的无形资产。使用寿命有限的无形资产在使用寿命内采用直线法摊销，使用寿命不确定的无</w:t>
      </w:r>
      <w:r>
        <w:rPr>
          <w:spacing w:val="-44"/>
        </w:rPr>
        <w:t> </w:t>
      </w:r>
      <w:r>
        <w:rPr>
          <w:spacing w:val="-44"/>
        </w:rPr>
      </w:r>
      <w:r>
        <w:rPr/>
        <w:t>形资产不予摊销。</w:t>
      </w:r>
      <w:r>
        <w:rPr>
          <w:rFonts w:ascii="宋体" w:hAnsi="宋体" w:cs="宋体" w:eastAsia="宋体" w:hint="default"/>
        </w:rPr>
        <w:t> </w:t>
      </w:r>
    </w:p>
    <w:p>
      <w:pPr>
        <w:pStyle w:val="BodyText"/>
        <w:spacing w:line="272" w:lineRule="exact" w:before="121"/>
        <w:ind w:right="1124" w:firstLine="420"/>
        <w:jc w:val="left"/>
        <w:rPr>
          <w:rFonts w:ascii="宋体" w:hAnsi="宋体" w:cs="宋体" w:eastAsia="宋体" w:hint="default"/>
        </w:rPr>
      </w:pPr>
      <w:r>
        <w:rPr>
          <w:spacing w:val="-4"/>
          <w:w w:val="100"/>
        </w:rPr>
        <w:t>本公司报告期内使用寿命有限的无形资产包括土地使用权，使用寿命根据土地使用年限确定为</w:t>
      </w:r>
      <w:r>
        <w:rPr>
          <w:spacing w:val="-64"/>
          <w:w w:val="100"/>
        </w:rPr>
        <w:t> </w:t>
      </w:r>
      <w:r>
        <w:rPr>
          <w:rFonts w:ascii="宋体" w:hAnsi="宋体" w:cs="宋体" w:eastAsia="宋体" w:hint="default"/>
          <w:w w:val="100"/>
        </w:rPr>
        <w:t>50</w:t>
      </w:r>
      <w:r>
        <w:rPr>
          <w:rFonts w:ascii="宋体" w:hAnsi="宋体" w:cs="宋体" w:eastAsia="宋体" w:hint="default"/>
          <w:spacing w:val="-66"/>
          <w:w w:val="100"/>
        </w:rPr>
        <w:t> </w:t>
      </w:r>
      <w:r>
        <w:rPr>
          <w:w w:val="100"/>
        </w:rPr>
        <w:t>年， </w:t>
      </w:r>
      <w:r>
        <w:rPr/>
        <w:t>在使用寿命内直线法摊销。</w:t>
      </w:r>
      <w:r>
        <w:rPr>
          <w:rFonts w:ascii="宋体" w:hAnsi="宋体" w:cs="宋体" w:eastAsia="宋体" w:hint="default"/>
        </w:rPr>
        <w:t> </w:t>
      </w:r>
    </w:p>
    <w:p>
      <w:pPr>
        <w:pStyle w:val="BodyText"/>
        <w:spacing w:line="392" w:lineRule="exact" w:before="25"/>
        <w:ind w:left="573" w:right="1133" w:hanging="60"/>
        <w:jc w:val="left"/>
      </w:pPr>
      <w:r>
        <w:rPr/>
        <w:t>（</w:t>
      </w:r>
      <w:r>
        <w:rPr>
          <w:rFonts w:ascii="宋体" w:hAnsi="宋体" w:cs="宋体" w:eastAsia="宋体" w:hint="default"/>
        </w:rPr>
        <w:t>2</w:t>
      </w:r>
      <w:r>
        <w:rPr/>
        <w:t>）研究开发费用的会计处理</w:t>
      </w:r>
      <w:r>
        <w:rPr>
          <w:rFonts w:ascii="宋体" w:hAnsi="宋体" w:cs="宋体" w:eastAsia="宋体" w:hint="default"/>
          <w:w w:val="100"/>
        </w:rPr>
        <w:t> </w:t>
      </w:r>
      <w:r>
        <w:rPr/>
        <w:t>本公司内部研究开发项目的支出，区分为研究阶段支出与开发阶段支出。</w:t>
      </w:r>
      <w:r>
        <w:rPr>
          <w:rFonts w:ascii="宋体" w:hAnsi="宋体" w:cs="宋体" w:eastAsia="宋体" w:hint="default"/>
          <w:w w:val="100"/>
        </w:rPr>
        <w:t> </w:t>
      </w:r>
      <w:r>
        <w:rPr>
          <w:spacing w:val="-2"/>
        </w:rPr>
        <w:t>本公司划分内部研究开发项目研究阶段支出和开发阶段支出的具体标准为：研究阶段支出是指本公司</w:t>
      </w:r>
    </w:p>
    <w:p>
      <w:pPr>
        <w:pStyle w:val="BodyText"/>
        <w:spacing w:line="223" w:lineRule="exact"/>
        <w:ind w:right="0"/>
        <w:jc w:val="both"/>
      </w:pPr>
      <w:r>
        <w:rPr/>
        <w:t>为获取并理解新的科学或技术知识而进行的独创性的、探索性的有计划调查所发生的支出，是为进一步开</w:t>
      </w:r>
    </w:p>
    <w:p>
      <w:pPr>
        <w:pStyle w:val="BodyText"/>
        <w:spacing w:line="237" w:lineRule="auto" w:before="1"/>
        <w:ind w:left="0" w:right="974"/>
        <w:jc w:val="center"/>
        <w:rPr>
          <w:rFonts w:ascii="宋体" w:hAnsi="宋体" w:cs="宋体" w:eastAsia="宋体" w:hint="default"/>
        </w:rPr>
      </w:pPr>
      <w:r>
        <w:rPr>
          <w:spacing w:val="-2"/>
        </w:rPr>
        <w:t>发活动进行资料及相关方面的准备，已进行的研究活动将来是否会转入开发、开发后是否会形成无形资产</w:t>
      </w:r>
      <w:r>
        <w:rPr>
          <w:spacing w:val="-54"/>
        </w:rPr>
        <w:t> </w:t>
      </w:r>
      <w:r>
        <w:rPr>
          <w:spacing w:val="-54"/>
        </w:rPr>
      </w:r>
      <w:r>
        <w:rPr>
          <w:spacing w:val="-2"/>
        </w:rPr>
        <w:t>等均具有较大的不确定性；开发阶段支出是指在进行商业性生产或使用前，将研究成果或其他知识应用于</w:t>
      </w:r>
      <w:r>
        <w:rPr>
          <w:spacing w:val="-54"/>
        </w:rPr>
        <w:t> </w:t>
      </w:r>
      <w:r>
        <w:rPr>
          <w:spacing w:val="-54"/>
        </w:rPr>
      </w:r>
      <w:r>
        <w:rPr>
          <w:spacing w:val="-2"/>
        </w:rPr>
        <w:t>某项计划或设计，以生产出新的或具有实质性改进的材料、装置、产品等所发生的支出。相对于研究阶段</w:t>
      </w:r>
      <w:r>
        <w:rPr>
          <w:spacing w:val="-60"/>
        </w:rPr>
        <w:t> </w:t>
      </w:r>
      <w:r>
        <w:rPr>
          <w:spacing w:val="-60"/>
        </w:rPr>
      </w:r>
      <w:r>
        <w:rPr/>
        <w:t>而言，开发阶段是已完成研究阶段的工作，在很大程度上具备了形成一项新产品或新技术的基本条件。</w:t>
      </w:r>
      <w:r>
        <w:rPr>
          <w:rFonts w:ascii="宋体" w:hAnsi="宋体" w:cs="宋体" w:eastAsia="宋体" w:hint="default"/>
        </w:rPr>
        <w:t> </w:t>
      </w:r>
    </w:p>
    <w:p>
      <w:pPr>
        <w:pStyle w:val="BodyText"/>
        <w:spacing w:line="240" w:lineRule="auto" w:before="116"/>
        <w:ind w:left="573" w:right="1133"/>
        <w:jc w:val="left"/>
        <w:rPr>
          <w:rFonts w:ascii="宋体" w:hAnsi="宋体" w:cs="宋体" w:eastAsia="宋体" w:hint="default"/>
        </w:rPr>
      </w:pPr>
      <w:r>
        <w:rPr/>
        <w:t>研究阶段支出，于发生时计入当期损益；开发阶段支出，同时满足下列条件时确认为无形资产：</w:t>
      </w:r>
      <w:r>
        <w:rPr>
          <w:rFonts w:ascii="宋体" w:hAnsi="宋体" w:cs="宋体" w:eastAsia="宋体" w:hint="default"/>
        </w:rPr>
        <w:t> </w:t>
      </w:r>
    </w:p>
    <w:p>
      <w:pPr>
        <w:pStyle w:val="BodyText"/>
        <w:spacing w:line="240" w:lineRule="auto" w:before="118"/>
        <w:ind w:left="573" w:right="1133"/>
        <w:jc w:val="left"/>
        <w:rPr>
          <w:rFonts w:ascii="宋体" w:hAnsi="宋体" w:cs="宋体" w:eastAsia="宋体" w:hint="default"/>
        </w:rPr>
      </w:pPr>
      <w:r>
        <w:rPr/>
        <w:t>①完成该无形资产以使其能够使用或出售在技术上具有可行性；</w:t>
      </w:r>
      <w:r>
        <w:rPr>
          <w:rFonts w:ascii="宋体" w:hAnsi="宋体" w:cs="宋体" w:eastAsia="宋体" w:hint="default"/>
        </w:rPr>
        <w:t> </w:t>
      </w:r>
    </w:p>
    <w:p>
      <w:pPr>
        <w:pStyle w:val="BodyText"/>
        <w:spacing w:line="240" w:lineRule="auto" w:before="116"/>
        <w:ind w:left="573" w:right="1133"/>
        <w:jc w:val="left"/>
        <w:rPr>
          <w:rFonts w:ascii="宋体" w:hAnsi="宋体" w:cs="宋体" w:eastAsia="宋体" w:hint="default"/>
        </w:rPr>
      </w:pPr>
      <w:r>
        <w:rPr/>
        <w:t>②具有完成该无形资产并使用或出售的意图；</w:t>
      </w:r>
      <w:r>
        <w:rPr>
          <w:rFonts w:ascii="宋体" w:hAnsi="宋体" w:cs="宋体" w:eastAsia="宋体" w:hint="default"/>
        </w:rPr>
        <w:t> </w:t>
      </w:r>
    </w:p>
    <w:p>
      <w:pPr>
        <w:pStyle w:val="BodyText"/>
        <w:spacing w:line="272" w:lineRule="exact" w:before="146"/>
        <w:ind w:right="1133" w:firstLine="420"/>
        <w:jc w:val="left"/>
        <w:rPr>
          <w:rFonts w:ascii="宋体" w:hAnsi="宋体" w:cs="宋体" w:eastAsia="宋体" w:hint="default"/>
        </w:rPr>
      </w:pPr>
      <w:r>
        <w:rPr>
          <w:spacing w:val="-2"/>
        </w:rPr>
        <w:t>③无形资产产生经济利益的方式，包括能够证明运用该无形资产生产的产品存在市场或无形资产自身</w:t>
      </w:r>
      <w:r>
        <w:rPr>
          <w:w w:val="100"/>
        </w:rPr>
        <w:t> </w:t>
      </w:r>
      <w:r>
        <w:rPr/>
        <w:t>存在市场，无形资产将在内部使用的，能够证明其有用性；</w:t>
      </w:r>
      <w:r>
        <w:rPr>
          <w:rFonts w:ascii="宋体" w:hAnsi="宋体" w:cs="宋体" w:eastAsia="宋体" w:hint="default"/>
        </w:rPr>
        <w:t> </w:t>
      </w:r>
    </w:p>
    <w:p>
      <w:pPr>
        <w:pStyle w:val="BodyText"/>
        <w:spacing w:line="272" w:lineRule="exact" w:before="121"/>
        <w:ind w:right="1133" w:firstLine="420"/>
        <w:jc w:val="left"/>
        <w:rPr>
          <w:rFonts w:ascii="宋体" w:hAnsi="宋体" w:cs="宋体" w:eastAsia="宋体" w:hint="default"/>
        </w:rPr>
      </w:pPr>
      <w:r>
        <w:rPr>
          <w:spacing w:val="-2"/>
        </w:rPr>
        <w:t>④有足够的技术、财务资源和其他资源支持，以完成该无形资产的开发，并有能力使用或出售该无形</w:t>
      </w:r>
      <w:r>
        <w:rPr>
          <w:w w:val="100"/>
        </w:rPr>
        <w:t> </w:t>
      </w:r>
      <w:r>
        <w:rPr/>
        <w:t>资产；</w:t>
      </w:r>
      <w:r>
        <w:rPr>
          <w:rFonts w:ascii="宋体" w:hAnsi="宋体" w:cs="宋体" w:eastAsia="宋体" w:hint="default"/>
        </w:rPr>
        <w:t> </w:t>
      </w:r>
    </w:p>
    <w:p>
      <w:pPr>
        <w:pStyle w:val="BodyText"/>
        <w:spacing w:line="392" w:lineRule="exact" w:before="26"/>
        <w:ind w:left="573" w:right="1133"/>
        <w:jc w:val="left"/>
      </w:pPr>
      <w:r>
        <w:rPr/>
        <w:t>⑤归属于该无形资产开发阶段的支出能够可靠地计量。</w:t>
      </w:r>
      <w:r>
        <w:rPr>
          <w:rFonts w:ascii="宋体" w:hAnsi="宋体" w:cs="宋体" w:eastAsia="宋体" w:hint="default"/>
          <w:w w:val="100"/>
        </w:rPr>
        <w:t> </w:t>
      </w:r>
      <w:r>
        <w:rPr>
          <w:spacing w:val="-2"/>
        </w:rPr>
        <w:t>归属于该无形资产开发阶段的支出使用寿命有限的，按该无形资产使用寿命的年限采用直线法进行摊</w:t>
      </w:r>
    </w:p>
    <w:p>
      <w:pPr>
        <w:pStyle w:val="BodyText"/>
        <w:spacing w:line="225" w:lineRule="exact"/>
        <w:ind w:right="0"/>
        <w:jc w:val="both"/>
        <w:rPr>
          <w:rFonts w:ascii="宋体" w:hAnsi="宋体" w:cs="宋体" w:eastAsia="宋体" w:hint="default"/>
        </w:rPr>
      </w:pPr>
      <w:r>
        <w:rPr/>
        <w:t>销；使用寿命不确定的，不予摊销。</w:t>
      </w:r>
      <w:r>
        <w:rPr>
          <w:rFonts w:ascii="宋体" w:hAnsi="宋体" w:cs="宋体" w:eastAsia="宋体" w:hint="default"/>
        </w:rPr>
        <w:t> </w:t>
      </w:r>
    </w:p>
    <w:p>
      <w:pPr>
        <w:pStyle w:val="BodyText"/>
        <w:spacing w:line="394" w:lineRule="exact" w:before="46"/>
        <w:ind w:left="573" w:right="819" w:hanging="209"/>
        <w:jc w:val="left"/>
      </w:pPr>
      <w:r>
        <w:rPr>
          <w:rFonts w:ascii="宋体" w:hAnsi="宋体" w:cs="宋体" w:eastAsia="宋体" w:hint="default"/>
          <w:b/>
          <w:bCs/>
        </w:rPr>
        <w:t>（十九）长期资产减值</w:t>
      </w:r>
      <w:r>
        <w:rPr>
          <w:rFonts w:ascii="宋体" w:hAnsi="宋体" w:cs="宋体" w:eastAsia="宋体" w:hint="default"/>
          <w:b/>
          <w:bCs/>
          <w:w w:val="99"/>
        </w:rPr>
        <w:t> </w:t>
      </w:r>
      <w:r>
        <w:rPr/>
        <w:t>对于固定资产、在建工程、使用寿命有限的无形资产、以成本模式计量的投资性房地产及对子公司、</w:t>
      </w:r>
    </w:p>
    <w:p>
      <w:pPr>
        <w:pStyle w:val="BodyText"/>
        <w:spacing w:line="222" w:lineRule="exact"/>
        <w:ind w:right="0"/>
        <w:jc w:val="both"/>
      </w:pPr>
      <w:r>
        <w:rPr>
          <w:spacing w:val="-5"/>
        </w:rPr>
        <w:t>合营企业、联营企业的长期股权投资等非流动非金融资产，本公司于资产负债表日判断是否存在减值迹象。</w:t>
      </w:r>
    </w:p>
    <w:p>
      <w:pPr>
        <w:spacing w:after="0" w:line="222" w:lineRule="exact"/>
        <w:jc w:val="both"/>
        <w:sectPr>
          <w:pgSz w:w="11910" w:h="16840"/>
          <w:pgMar w:header="921" w:footer="725" w:top="1160" w:bottom="920" w:left="980" w:right="0"/>
        </w:sectPr>
      </w:pPr>
    </w:p>
    <w:p>
      <w:pPr>
        <w:spacing w:line="240" w:lineRule="auto" w:before="12"/>
        <w:rPr>
          <w:rFonts w:ascii="宋体" w:hAnsi="宋体" w:cs="宋体" w:eastAsia="宋体" w:hint="default"/>
          <w:sz w:val="15"/>
          <w:szCs w:val="15"/>
        </w:rPr>
      </w:pPr>
    </w:p>
    <w:p>
      <w:pPr>
        <w:pStyle w:val="BodyText"/>
        <w:spacing w:line="237" w:lineRule="auto" w:before="38"/>
        <w:ind w:right="1126"/>
        <w:jc w:val="both"/>
        <w:rPr>
          <w:rFonts w:ascii="宋体" w:hAnsi="宋体" w:cs="宋体" w:eastAsia="宋体" w:hint="default"/>
        </w:rPr>
      </w:pPr>
      <w:r>
        <w:rPr>
          <w:spacing w:val="-2"/>
        </w:rPr>
        <w:t>如存在减值迹象的，则估计其可收回金额，进行减值测试。商誉、使用寿命不确定的无形资产和尚未达到</w:t>
      </w:r>
      <w:r>
        <w:rPr>
          <w:spacing w:val="-47"/>
        </w:rPr>
        <w:t> </w:t>
      </w:r>
      <w:r>
        <w:rPr>
          <w:spacing w:val="-47"/>
        </w:rPr>
      </w:r>
      <w:r>
        <w:rPr>
          <w:spacing w:val="-2"/>
        </w:rPr>
        <w:t>可使用状态的无形资产，无论是否存在减值迹象，每年均进行减值测试。减值测试结果表明资产的可收回</w:t>
      </w:r>
      <w:r>
        <w:rPr>
          <w:spacing w:val="-43"/>
        </w:rPr>
        <w:t> </w:t>
      </w:r>
      <w:r>
        <w:rPr>
          <w:spacing w:val="-43"/>
        </w:rPr>
      </w:r>
      <w:r>
        <w:rPr>
          <w:spacing w:val="-2"/>
        </w:rPr>
        <w:t>金额低于其账面价值的，按其差额计提减值准备并计入减值损失。可收回金额为资产的公允价值减去处置</w:t>
      </w:r>
      <w:r>
        <w:rPr>
          <w:spacing w:val="-42"/>
        </w:rPr>
        <w:t> </w:t>
      </w:r>
      <w:r>
        <w:rPr>
          <w:spacing w:val="-42"/>
        </w:rPr>
      </w:r>
      <w:r>
        <w:rPr>
          <w:spacing w:val="-2"/>
        </w:rPr>
        <w:t>费用后的净额与资产预计未来现金流量的现值两者之间的较高者。资产的公允价值根据公平交易中销售协</w:t>
      </w:r>
      <w:r>
        <w:rPr>
          <w:spacing w:val="-43"/>
        </w:rPr>
        <w:t> </w:t>
      </w:r>
      <w:r>
        <w:rPr>
          <w:spacing w:val="-43"/>
        </w:rPr>
      </w:r>
      <w:r>
        <w:rPr>
          <w:spacing w:val="-2"/>
        </w:rPr>
        <w:t>议价格确定；不存在销售协议但存在资产活跃市场的，公允价值按照该资产的买方出价确定；不存在销售</w:t>
      </w:r>
      <w:r>
        <w:rPr>
          <w:spacing w:val="-43"/>
        </w:rPr>
        <w:t> </w:t>
      </w:r>
      <w:r>
        <w:rPr>
          <w:spacing w:val="-43"/>
        </w:rPr>
      </w:r>
      <w:r>
        <w:rPr>
          <w:spacing w:val="-2"/>
        </w:rPr>
        <w:t>协议和资产活跃市场的，则以可获取的最佳信息为基础估计资产的公允价值。处置费用包括与资产处置有</w:t>
      </w:r>
      <w:r>
        <w:rPr>
          <w:spacing w:val="-43"/>
        </w:rPr>
        <w:t> </w:t>
      </w:r>
      <w:r>
        <w:rPr>
          <w:spacing w:val="-43"/>
        </w:rPr>
      </w:r>
      <w:r>
        <w:rPr>
          <w:spacing w:val="-2"/>
        </w:rPr>
        <w:t>关的法律费用、相关税费、搬运费以及为使资产达到可销售状态所发生的直接费用。资产预计未来现金流</w:t>
      </w:r>
      <w:r>
        <w:rPr>
          <w:spacing w:val="-44"/>
        </w:rPr>
        <w:t> </w:t>
      </w:r>
      <w:r>
        <w:rPr>
          <w:spacing w:val="-44"/>
        </w:rPr>
      </w:r>
      <w:r>
        <w:rPr>
          <w:spacing w:val="-2"/>
        </w:rPr>
        <w:t>量的现值，按照资产在持续使用过程中和最终处置时所产生的预计未来现金流量，选择恰当的折现率对其</w:t>
      </w:r>
      <w:r>
        <w:rPr>
          <w:spacing w:val="-42"/>
        </w:rPr>
        <w:t> </w:t>
      </w:r>
      <w:r>
        <w:rPr>
          <w:spacing w:val="-42"/>
        </w:rPr>
      </w:r>
      <w:r>
        <w:rPr>
          <w:spacing w:val="-2"/>
        </w:rPr>
        <w:t>进行折现后的金额加以确定。资产减值准备按单项资产为基础计算并确认，如果难以对单项资产的可收回</w:t>
      </w:r>
      <w:r>
        <w:rPr>
          <w:spacing w:val="-43"/>
        </w:rPr>
        <w:t> </w:t>
      </w:r>
      <w:r>
        <w:rPr>
          <w:spacing w:val="-43"/>
        </w:rPr>
      </w:r>
      <w:r>
        <w:rPr>
          <w:spacing w:val="-2"/>
        </w:rPr>
        <w:t>金额进行估计的，以该资产所属的资产组确定资产组的可收回金额。资产组是能够独立产生现金流入的最</w:t>
      </w:r>
      <w:r>
        <w:rPr>
          <w:spacing w:val="-44"/>
        </w:rPr>
        <w:t> </w:t>
      </w:r>
      <w:r>
        <w:rPr>
          <w:spacing w:val="-44"/>
        </w:rPr>
      </w:r>
      <w:r>
        <w:rPr/>
        <w:t>小资产组合。</w:t>
      </w:r>
      <w:r>
        <w:rPr>
          <w:rFonts w:ascii="宋体" w:hAnsi="宋体" w:cs="宋体" w:eastAsia="宋体" w:hint="default"/>
        </w:rPr>
        <w:t> </w:t>
      </w:r>
    </w:p>
    <w:p>
      <w:pPr>
        <w:pStyle w:val="BodyText"/>
        <w:spacing w:line="237" w:lineRule="auto" w:before="119"/>
        <w:ind w:right="1126" w:firstLine="420"/>
        <w:jc w:val="both"/>
        <w:rPr>
          <w:rFonts w:ascii="宋体" w:hAnsi="宋体" w:cs="宋体" w:eastAsia="宋体" w:hint="default"/>
        </w:rPr>
      </w:pPr>
      <w:r>
        <w:rPr>
          <w:spacing w:val="-2"/>
        </w:rPr>
        <w:t>在财务报表中单独列示的商誉，在进行减值测试时，将商誉的账面价值分摊至预期从企业合并的协同</w:t>
      </w:r>
      <w:r>
        <w:rPr>
          <w:w w:val="100"/>
        </w:rPr>
        <w:t> </w:t>
      </w:r>
      <w:r>
        <w:rPr>
          <w:spacing w:val="-2"/>
        </w:rPr>
        <w:t>效应中受益的资产组或资产组组合。测试结果表明包含分摊的商誉的资产组或资产组组合的可收回金额低</w:t>
      </w:r>
      <w:r>
        <w:rPr>
          <w:spacing w:val="-43"/>
        </w:rPr>
        <w:t> </w:t>
      </w:r>
      <w:r>
        <w:rPr>
          <w:spacing w:val="-43"/>
        </w:rPr>
      </w:r>
      <w:r>
        <w:rPr>
          <w:spacing w:val="-2"/>
        </w:rPr>
        <w:t>于其账面价值的，确认相应的减值损失。减值损失金额先抵减分摊至该资产组或资产组组合的商誉的账面</w:t>
      </w:r>
      <w:r>
        <w:rPr>
          <w:spacing w:val="-43"/>
        </w:rPr>
        <w:t> </w:t>
      </w:r>
      <w:r>
        <w:rPr>
          <w:spacing w:val="-43"/>
        </w:rPr>
      </w:r>
      <w:r>
        <w:rPr>
          <w:spacing w:val="-2"/>
        </w:rPr>
        <w:t>价值，再根据资产组或资产组组合中除商誉以外的其他各项资产的账面价值所占比重，按比例抵减其他各</w:t>
      </w:r>
      <w:r>
        <w:rPr>
          <w:spacing w:val="-42"/>
        </w:rPr>
        <w:t> </w:t>
      </w:r>
      <w:r>
        <w:rPr>
          <w:spacing w:val="-42"/>
        </w:rPr>
      </w:r>
      <w:r>
        <w:rPr/>
        <w:t>项资产的账面价值。</w:t>
      </w:r>
      <w:r>
        <w:rPr>
          <w:rFonts w:ascii="宋体" w:hAnsi="宋体" w:cs="宋体" w:eastAsia="宋体" w:hint="default"/>
        </w:rPr>
        <w:t> </w:t>
      </w:r>
    </w:p>
    <w:p>
      <w:pPr>
        <w:pStyle w:val="BodyText"/>
        <w:spacing w:line="240" w:lineRule="auto" w:before="119"/>
        <w:ind w:left="573" w:right="1133"/>
        <w:jc w:val="left"/>
        <w:rPr>
          <w:rFonts w:ascii="宋体" w:hAnsi="宋体" w:cs="宋体" w:eastAsia="宋体" w:hint="default"/>
        </w:rPr>
      </w:pPr>
      <w:r>
        <w:rPr/>
        <w:t>上述资产减值损失一经确认，以后期间不予转回价值得以恢复的部分。</w:t>
      </w:r>
      <w:r>
        <w:rPr>
          <w:rFonts w:ascii="宋体" w:hAnsi="宋体" w:cs="宋体" w:eastAsia="宋体" w:hint="default"/>
        </w:rPr>
        <w:t> </w:t>
      </w:r>
    </w:p>
    <w:p>
      <w:pPr>
        <w:spacing w:line="343" w:lineRule="auto" w:before="116"/>
        <w:ind w:left="573" w:right="5542" w:hanging="209"/>
        <w:jc w:val="left"/>
        <w:rPr>
          <w:rFonts w:ascii="宋体" w:hAnsi="宋体" w:cs="宋体" w:eastAsia="宋体" w:hint="default"/>
          <w:sz w:val="21"/>
          <w:szCs w:val="21"/>
        </w:rPr>
      </w:pPr>
      <w:r>
        <w:rPr>
          <w:rFonts w:ascii="宋体" w:hAnsi="宋体" w:cs="宋体" w:eastAsia="宋体" w:hint="default"/>
          <w:b/>
          <w:bCs/>
          <w:sz w:val="21"/>
          <w:szCs w:val="21"/>
        </w:rPr>
        <w:t>（二十）长期待摊费用</w:t>
      </w:r>
      <w:r>
        <w:rPr>
          <w:rFonts w:ascii="宋体" w:hAnsi="宋体" w:cs="宋体" w:eastAsia="宋体" w:hint="default"/>
          <w:b/>
          <w:bCs/>
          <w:w w:val="99"/>
          <w:sz w:val="21"/>
          <w:szCs w:val="21"/>
        </w:rPr>
        <w:t> </w:t>
      </w:r>
      <w:r>
        <w:rPr>
          <w:rFonts w:ascii="宋体" w:hAnsi="宋体" w:cs="宋体" w:eastAsia="宋体" w:hint="default"/>
          <w:sz w:val="21"/>
          <w:szCs w:val="21"/>
        </w:rPr>
        <w:t>长期待摊费用在受益期内平均摊销，其中：</w:t>
      </w:r>
      <w:r>
        <w:rPr>
          <w:rFonts w:ascii="宋体" w:hAnsi="宋体" w:cs="宋体" w:eastAsia="宋体" w:hint="default"/>
          <w:sz w:val="21"/>
          <w:szCs w:val="21"/>
        </w:rPr>
        <w:t> </w:t>
      </w:r>
    </w:p>
    <w:p>
      <w:pPr>
        <w:pStyle w:val="BodyText"/>
        <w:spacing w:line="240" w:lineRule="auto" w:before="26"/>
        <w:ind w:left="573" w:right="1133"/>
        <w:jc w:val="left"/>
        <w:rPr>
          <w:rFonts w:ascii="宋体" w:hAnsi="宋体" w:cs="宋体" w:eastAsia="宋体" w:hint="default"/>
        </w:rPr>
      </w:pPr>
      <w:r>
        <w:rPr/>
        <w:t>预付经营租入固定资产的租金，按租赁合同规定的期限平均摊销。</w:t>
      </w:r>
      <w:r>
        <w:rPr>
          <w:rFonts w:ascii="宋体" w:hAnsi="宋体" w:cs="宋体" w:eastAsia="宋体" w:hint="default"/>
        </w:rPr>
        <w:t> </w:t>
      </w:r>
    </w:p>
    <w:p>
      <w:pPr>
        <w:pStyle w:val="BodyText"/>
        <w:spacing w:line="272" w:lineRule="exact" w:before="146"/>
        <w:ind w:right="1126" w:firstLine="420"/>
        <w:jc w:val="both"/>
        <w:rPr>
          <w:rFonts w:ascii="宋体" w:hAnsi="宋体" w:cs="宋体" w:eastAsia="宋体" w:hint="default"/>
        </w:rPr>
      </w:pPr>
      <w:r>
        <w:rPr>
          <w:spacing w:val="-2"/>
        </w:rPr>
        <w:t>经营租赁方式租入的固定资产改良支出，按剩余租赁期与租赁资产尚可使用年限两者中较短的期限平</w:t>
      </w:r>
      <w:r>
        <w:rPr>
          <w:w w:val="100"/>
        </w:rPr>
        <w:t> </w:t>
      </w:r>
      <w:r>
        <w:rPr/>
        <w:t>均摊销。</w:t>
      </w:r>
      <w:r>
        <w:rPr>
          <w:rFonts w:ascii="宋体" w:hAnsi="宋体" w:cs="宋体" w:eastAsia="宋体" w:hint="default"/>
        </w:rPr>
        <w:t> </w:t>
      </w:r>
    </w:p>
    <w:p>
      <w:pPr>
        <w:pStyle w:val="BodyText"/>
        <w:spacing w:line="240" w:lineRule="auto" w:before="91"/>
        <w:ind w:right="1126" w:firstLine="420"/>
        <w:jc w:val="both"/>
        <w:rPr>
          <w:rFonts w:ascii="宋体" w:hAnsi="宋体" w:cs="宋体" w:eastAsia="宋体" w:hint="default"/>
        </w:rPr>
      </w:pPr>
      <w:r>
        <w:rPr>
          <w:spacing w:val="-2"/>
        </w:rPr>
        <w:t>融资租赁方式租入的固定资产的符合资本化条件的装修费用，按两次装修间隔期间、剩余租赁期与固</w:t>
      </w:r>
      <w:r>
        <w:rPr>
          <w:w w:val="100"/>
        </w:rPr>
        <w:t> </w:t>
      </w:r>
      <w:r>
        <w:rPr/>
        <w:t>定资产尚可使用年限三者中较短的期限平均摊销。</w:t>
      </w:r>
      <w:r>
        <w:rPr>
          <w:rFonts w:ascii="宋体" w:hAnsi="宋体" w:cs="宋体" w:eastAsia="宋体" w:hint="default"/>
        </w:rPr>
        <w:t> </w:t>
      </w:r>
    </w:p>
    <w:p>
      <w:pPr>
        <w:pStyle w:val="BodyText"/>
        <w:spacing w:line="394" w:lineRule="exact" w:before="46"/>
        <w:ind w:left="573" w:right="819" w:hanging="209"/>
        <w:jc w:val="left"/>
      </w:pPr>
      <w:r>
        <w:rPr>
          <w:rFonts w:ascii="宋体" w:hAnsi="宋体" w:cs="宋体" w:eastAsia="宋体" w:hint="default"/>
          <w:b/>
          <w:bCs/>
        </w:rPr>
        <w:t>（二十一）职工薪酬</w:t>
      </w:r>
      <w:r>
        <w:rPr>
          <w:rFonts w:ascii="宋体" w:hAnsi="宋体" w:cs="宋体" w:eastAsia="宋体" w:hint="default"/>
          <w:b/>
          <w:bCs/>
          <w:w w:val="99"/>
        </w:rPr>
        <w:t> </w:t>
      </w:r>
      <w:r>
        <w:rPr>
          <w:spacing w:val="-2"/>
        </w:rPr>
        <w:t>职工薪酬是指为获得职工提供的服务或解除劳动关系而给予的各种形式的报酬或补偿。包括短期薪酬、</w:t>
      </w:r>
    </w:p>
    <w:p>
      <w:pPr>
        <w:pStyle w:val="BodyText"/>
        <w:spacing w:line="222" w:lineRule="exact"/>
        <w:ind w:right="0"/>
        <w:jc w:val="both"/>
        <w:rPr>
          <w:rFonts w:ascii="宋体" w:hAnsi="宋体" w:cs="宋体" w:eastAsia="宋体" w:hint="default"/>
        </w:rPr>
      </w:pPr>
      <w:r>
        <w:rPr/>
        <w:t>离职后福利、辞退福利和其他长期职工福利。</w:t>
      </w:r>
      <w:r>
        <w:rPr>
          <w:rFonts w:ascii="宋体" w:hAnsi="宋体" w:cs="宋体" w:eastAsia="宋体" w:hint="default"/>
        </w:rPr>
        <w:t> </w:t>
      </w:r>
    </w:p>
    <w:p>
      <w:pPr>
        <w:pStyle w:val="BodyText"/>
        <w:spacing w:line="240" w:lineRule="auto" w:before="118"/>
        <w:ind w:left="573" w:right="1133"/>
        <w:jc w:val="left"/>
        <w:rPr>
          <w:rFonts w:ascii="宋体" w:hAnsi="宋体" w:cs="宋体" w:eastAsia="宋体" w:hint="default"/>
        </w:rPr>
      </w:pPr>
      <w:r>
        <w:rPr>
          <w:rFonts w:ascii="宋体" w:hAnsi="宋体" w:cs="宋体" w:eastAsia="宋体" w:hint="default"/>
        </w:rPr>
        <w:t>1</w:t>
      </w:r>
      <w:r>
        <w:rPr/>
        <w:t>、短期薪酬的会计处理方法</w:t>
      </w:r>
      <w:r>
        <w:rPr>
          <w:rFonts w:ascii="宋体" w:hAnsi="宋体" w:cs="宋体" w:eastAsia="宋体" w:hint="default"/>
        </w:rPr>
        <w:t> </w:t>
      </w:r>
    </w:p>
    <w:p>
      <w:pPr>
        <w:pStyle w:val="BodyText"/>
        <w:spacing w:line="240" w:lineRule="auto" w:before="116"/>
        <w:ind w:right="1126" w:firstLine="420"/>
        <w:jc w:val="both"/>
        <w:rPr>
          <w:rFonts w:ascii="宋体" w:hAnsi="宋体" w:cs="宋体" w:eastAsia="宋体" w:hint="default"/>
        </w:rPr>
      </w:pPr>
      <w:r>
        <w:rPr>
          <w:spacing w:val="-2"/>
        </w:rPr>
        <w:t>在职工为公司提供服务的会计期间，将实际发生的短期薪酬确认为负债，并计入当期损益或相关资产</w:t>
      </w:r>
      <w:r>
        <w:rPr>
          <w:w w:val="100"/>
        </w:rPr>
        <w:t> </w:t>
      </w:r>
      <w:r>
        <w:rPr/>
        <w:t>成本。</w:t>
      </w:r>
      <w:r>
        <w:rPr>
          <w:rFonts w:ascii="宋体" w:hAnsi="宋体" w:cs="宋体" w:eastAsia="宋体" w:hint="default"/>
        </w:rPr>
        <w:t> </w:t>
      </w:r>
    </w:p>
    <w:p>
      <w:pPr>
        <w:pStyle w:val="BodyText"/>
        <w:spacing w:line="240" w:lineRule="auto" w:before="116"/>
        <w:ind w:left="573" w:right="1133"/>
        <w:jc w:val="left"/>
        <w:rPr>
          <w:rFonts w:ascii="宋体" w:hAnsi="宋体" w:cs="宋体" w:eastAsia="宋体" w:hint="default"/>
        </w:rPr>
      </w:pPr>
      <w:r>
        <w:rPr>
          <w:rFonts w:ascii="宋体" w:hAnsi="宋体" w:cs="宋体" w:eastAsia="宋体" w:hint="default"/>
        </w:rPr>
        <w:t>2</w:t>
      </w:r>
      <w:r>
        <w:rPr/>
        <w:t>、离职后福利的会计处理方法</w:t>
      </w:r>
      <w:r>
        <w:rPr>
          <w:rFonts w:ascii="宋体" w:hAnsi="宋体" w:cs="宋体" w:eastAsia="宋体" w:hint="default"/>
        </w:rPr>
        <w:t> </w:t>
      </w:r>
    </w:p>
    <w:p>
      <w:pPr>
        <w:pStyle w:val="BodyText"/>
        <w:spacing w:line="390" w:lineRule="atLeast" w:before="3"/>
        <w:ind w:left="573" w:right="1133"/>
        <w:jc w:val="left"/>
      </w:pPr>
      <w:r>
        <w:rPr/>
        <w:t>离职后福利计划分类为设定提存计划和设定受益计划。</w:t>
      </w:r>
      <w:r>
        <w:rPr>
          <w:rFonts w:ascii="宋体" w:hAnsi="宋体" w:cs="宋体" w:eastAsia="宋体" w:hint="default"/>
          <w:w w:val="100"/>
        </w:rPr>
        <w:t> </w:t>
      </w:r>
      <w:r>
        <w:rPr>
          <w:spacing w:val="-2"/>
        </w:rPr>
        <w:t>在职工为公司提供服务的会计期间，将根据设定提存计划计算的应缴存金额确认为负债，并计入当期</w:t>
      </w:r>
    </w:p>
    <w:p>
      <w:pPr>
        <w:pStyle w:val="BodyText"/>
        <w:spacing w:line="237" w:lineRule="auto" w:before="1"/>
        <w:ind w:right="1126"/>
        <w:jc w:val="both"/>
        <w:rPr>
          <w:rFonts w:ascii="宋体" w:hAnsi="宋体" w:cs="宋体" w:eastAsia="宋体" w:hint="default"/>
        </w:rPr>
      </w:pPr>
      <w:r>
        <w:rPr>
          <w:spacing w:val="-2"/>
        </w:rPr>
        <w:t>损益或相关资产成本。根据设定提存计划，预期不会在职工提供相关服务的年度报告期结束后十二个月内</w:t>
      </w:r>
      <w:r>
        <w:rPr>
          <w:spacing w:val="-44"/>
        </w:rPr>
        <w:t> </w:t>
      </w:r>
      <w:r>
        <w:rPr>
          <w:spacing w:val="-44"/>
        </w:rPr>
      </w:r>
      <w:r>
        <w:rPr>
          <w:spacing w:val="-2"/>
        </w:rPr>
        <w:t>支付全部应缴存金额的，根据资产负债表日与设定受益计划义务期限和币种相匹配的国债或活跃市场上的</w:t>
      </w:r>
      <w:r>
        <w:rPr>
          <w:spacing w:val="-43"/>
        </w:rPr>
        <w:t> </w:t>
      </w:r>
      <w:r>
        <w:rPr>
          <w:spacing w:val="-43"/>
        </w:rPr>
      </w:r>
      <w:r>
        <w:rPr/>
        <w:t>高质量公司债券的市场收益率，将全部应缴存金额以折现后的金额计量应付职工薪酬。</w:t>
      </w:r>
      <w:r>
        <w:rPr>
          <w:rFonts w:ascii="宋体" w:hAnsi="宋体" w:cs="宋体" w:eastAsia="宋体" w:hint="default"/>
        </w:rPr>
        <w:t> </w:t>
      </w:r>
    </w:p>
    <w:p>
      <w:pPr>
        <w:pStyle w:val="BodyText"/>
        <w:spacing w:line="237" w:lineRule="auto" w:before="119"/>
        <w:ind w:right="1124" w:firstLine="420"/>
        <w:jc w:val="both"/>
        <w:rPr>
          <w:rFonts w:ascii="宋体" w:hAnsi="宋体" w:cs="宋体" w:eastAsia="宋体" w:hint="default"/>
        </w:rPr>
      </w:pPr>
      <w:r>
        <w:rPr>
          <w:spacing w:val="2"/>
        </w:rPr>
        <w:t>公司根据资产负债表日与设定受益计划义务期限和币种相匹配的国债或活跃市场上的高质量公司债</w:t>
      </w:r>
      <w:r>
        <w:rPr>
          <w:spacing w:val="4"/>
          <w:w w:val="100"/>
        </w:rPr>
        <w:t> </w:t>
      </w:r>
      <w:r>
        <w:rPr>
          <w:spacing w:val="-2"/>
        </w:rPr>
        <w:t>券的市场收益率对所有设定受益计划义务予以折现，包括预期在职工提供服务的年度报告期间结束后的十</w:t>
      </w:r>
      <w:r>
        <w:rPr>
          <w:spacing w:val="-43"/>
        </w:rPr>
        <w:t> </w:t>
      </w:r>
      <w:r>
        <w:rPr>
          <w:spacing w:val="-43"/>
        </w:rPr>
      </w:r>
      <w:r>
        <w:rPr/>
        <w:t>二个月内支付的义务。</w:t>
      </w:r>
      <w:r>
        <w:rPr>
          <w:rFonts w:ascii="宋体" w:hAnsi="宋体" w:cs="宋体" w:eastAsia="宋体" w:hint="default"/>
        </w:rPr>
        <w:t> </w:t>
      </w:r>
    </w:p>
    <w:p>
      <w:pPr>
        <w:pStyle w:val="BodyText"/>
        <w:spacing w:line="237" w:lineRule="auto" w:before="121"/>
        <w:ind w:right="1126" w:firstLine="420"/>
        <w:jc w:val="both"/>
        <w:rPr>
          <w:rFonts w:ascii="宋体" w:hAnsi="宋体" w:cs="宋体" w:eastAsia="宋体" w:hint="default"/>
        </w:rPr>
      </w:pPr>
      <w:r>
        <w:rPr>
          <w:spacing w:val="-2"/>
        </w:rPr>
        <w:t>设定受益计划存在资产的，将设定受益计划义务现值减去设定受益计划资产公允价值所形成的赤字或</w:t>
      </w:r>
      <w:r>
        <w:rPr>
          <w:w w:val="100"/>
        </w:rPr>
        <w:t> </w:t>
      </w:r>
      <w:r>
        <w:rPr>
          <w:spacing w:val="-2"/>
        </w:rPr>
        <w:t>盈余确认为一项设定受益计划净负债或净资产。设定受益计划存在盈余的，企业以设定受益计划的盈余和</w:t>
      </w:r>
      <w:r>
        <w:rPr>
          <w:spacing w:val="-43"/>
        </w:rPr>
        <w:t> </w:t>
      </w:r>
      <w:r>
        <w:rPr>
          <w:spacing w:val="-43"/>
        </w:rPr>
      </w:r>
      <w:r>
        <w:rPr>
          <w:spacing w:val="-2"/>
        </w:rPr>
        <w:t>资产上限两项的孰低者计量设定受益计划净资产。其中，资产上限，是指企业可从设定受益计划退款或减</w:t>
      </w:r>
      <w:r>
        <w:rPr>
          <w:spacing w:val="-43"/>
        </w:rPr>
        <w:t> </w:t>
      </w:r>
      <w:r>
        <w:rPr>
          <w:spacing w:val="-43"/>
        </w:rPr>
      </w:r>
      <w:r>
        <w:rPr/>
        <w:t>少未来对设定受益计划缴存资金而获得的经济利益的现值。</w:t>
      </w:r>
      <w:r>
        <w:rPr>
          <w:rFonts w:ascii="宋体" w:hAnsi="宋体" w:cs="宋体" w:eastAsia="宋体" w:hint="default"/>
        </w:rPr>
        <w:t> </w:t>
      </w:r>
    </w:p>
    <w:p>
      <w:pPr>
        <w:spacing w:after="0" w:line="237" w:lineRule="auto"/>
        <w:jc w:val="both"/>
        <w:rPr>
          <w:rFonts w:ascii="宋体" w:hAnsi="宋体" w:cs="宋体" w:eastAsia="宋体" w:hint="default"/>
        </w:rPr>
        <w:sectPr>
          <w:pgSz w:w="11910" w:h="16840"/>
          <w:pgMar w:header="921" w:footer="725" w:top="1160" w:bottom="920" w:left="980" w:right="0"/>
        </w:sectPr>
      </w:pPr>
    </w:p>
    <w:p>
      <w:pPr>
        <w:spacing w:line="240" w:lineRule="auto" w:before="12"/>
        <w:rPr>
          <w:rFonts w:ascii="宋体" w:hAnsi="宋体" w:cs="宋体" w:eastAsia="宋体" w:hint="default"/>
          <w:sz w:val="15"/>
          <w:szCs w:val="15"/>
        </w:rPr>
      </w:pPr>
    </w:p>
    <w:p>
      <w:pPr>
        <w:pStyle w:val="BodyText"/>
        <w:spacing w:line="237" w:lineRule="auto" w:before="38"/>
        <w:ind w:right="1126" w:firstLine="420"/>
        <w:jc w:val="both"/>
        <w:rPr>
          <w:rFonts w:ascii="宋体" w:hAnsi="宋体" w:cs="宋体" w:eastAsia="宋体" w:hint="default"/>
        </w:rPr>
      </w:pPr>
      <w:r>
        <w:rPr>
          <w:spacing w:val="-2"/>
        </w:rPr>
        <w:t>报告期末，将设定受益计划产生的职工薪酬成本中的服务成本和设定受益计划净负债或净资产的利息</w:t>
      </w:r>
      <w:r>
        <w:rPr>
          <w:w w:val="100"/>
        </w:rPr>
        <w:t> </w:t>
      </w:r>
      <w:r>
        <w:rPr>
          <w:spacing w:val="-2"/>
        </w:rPr>
        <w:t>净额部分计入当期损益或资产成本；重新计量设定受益计划净负债或净资产所产生的变动。计入其他综合</w:t>
      </w:r>
      <w:r>
        <w:rPr>
          <w:spacing w:val="-42"/>
        </w:rPr>
        <w:t> </w:t>
      </w:r>
      <w:r>
        <w:rPr>
          <w:spacing w:val="-42"/>
        </w:rPr>
      </w:r>
      <w:r>
        <w:rPr/>
        <w:t>收益，并且在后续会计期间不允许转回至损益，可以在权益范围内转移。</w:t>
      </w:r>
      <w:r>
        <w:rPr>
          <w:rFonts w:ascii="宋体" w:hAnsi="宋体" w:cs="宋体" w:eastAsia="宋体" w:hint="default"/>
        </w:rPr>
        <w:t> </w:t>
      </w:r>
    </w:p>
    <w:p>
      <w:pPr>
        <w:pStyle w:val="BodyText"/>
        <w:spacing w:line="240" w:lineRule="auto" w:before="116"/>
        <w:ind w:right="1126" w:firstLine="420"/>
        <w:jc w:val="both"/>
        <w:rPr>
          <w:rFonts w:ascii="宋体" w:hAnsi="宋体" w:cs="宋体" w:eastAsia="宋体" w:hint="default"/>
        </w:rPr>
      </w:pPr>
      <w:r>
        <w:rPr>
          <w:spacing w:val="-2"/>
        </w:rPr>
        <w:t>在设定受益计划下，在修改设定受益计划与确认相关重组费用或辞退福利孰早日将过去服务成本确认</w:t>
      </w:r>
      <w:r>
        <w:rPr>
          <w:w w:val="100"/>
        </w:rPr>
        <w:t> </w:t>
      </w:r>
      <w:r>
        <w:rPr/>
        <w:t>为当期费用。</w:t>
      </w:r>
      <w:r>
        <w:rPr>
          <w:rFonts w:ascii="宋体" w:hAnsi="宋体" w:cs="宋体" w:eastAsia="宋体" w:hint="default"/>
        </w:rPr>
        <w:t> </w:t>
      </w:r>
    </w:p>
    <w:p>
      <w:pPr>
        <w:pStyle w:val="BodyText"/>
        <w:spacing w:line="240" w:lineRule="auto" w:before="116"/>
        <w:ind w:right="1126" w:firstLine="420"/>
        <w:jc w:val="both"/>
        <w:rPr>
          <w:rFonts w:ascii="宋体" w:hAnsi="宋体" w:cs="宋体" w:eastAsia="宋体" w:hint="default"/>
        </w:rPr>
      </w:pPr>
      <w:r>
        <w:rPr>
          <w:spacing w:val="-2"/>
        </w:rPr>
        <w:t>企业在设定受益计划结算时，确认结算利得或损失。该利得或损失是在结算日确定的设定受益计划义</w:t>
      </w:r>
      <w:r>
        <w:rPr>
          <w:w w:val="100"/>
        </w:rPr>
        <w:t> </w:t>
      </w:r>
      <w:r>
        <w:rPr/>
        <w:t>务现值与结算价格的差。</w:t>
      </w:r>
      <w:r>
        <w:rPr>
          <w:rFonts w:ascii="宋体" w:hAnsi="宋体" w:cs="宋体" w:eastAsia="宋体" w:hint="default"/>
        </w:rPr>
        <w:t> </w:t>
      </w:r>
    </w:p>
    <w:p>
      <w:pPr>
        <w:pStyle w:val="BodyText"/>
        <w:spacing w:line="240" w:lineRule="auto" w:before="116"/>
        <w:ind w:left="573" w:right="1133"/>
        <w:jc w:val="left"/>
        <w:rPr>
          <w:rFonts w:ascii="宋体" w:hAnsi="宋体" w:cs="宋体" w:eastAsia="宋体" w:hint="default"/>
        </w:rPr>
      </w:pPr>
      <w:r>
        <w:rPr>
          <w:rFonts w:ascii="宋体" w:hAnsi="宋体" w:cs="宋体" w:eastAsia="宋体" w:hint="default"/>
        </w:rPr>
        <w:t>3</w:t>
      </w:r>
      <w:r>
        <w:rPr/>
        <w:t>、辞退福利的会计处理方法</w:t>
      </w:r>
      <w:r>
        <w:rPr>
          <w:rFonts w:ascii="宋体" w:hAnsi="宋体" w:cs="宋体" w:eastAsia="宋体" w:hint="default"/>
        </w:rPr>
        <w:t> </w:t>
      </w:r>
    </w:p>
    <w:p>
      <w:pPr>
        <w:pStyle w:val="BodyText"/>
        <w:spacing w:line="240" w:lineRule="auto" w:before="118"/>
        <w:ind w:left="573" w:right="1133"/>
        <w:jc w:val="left"/>
        <w:rPr>
          <w:rFonts w:ascii="宋体" w:hAnsi="宋体" w:cs="宋体" w:eastAsia="宋体" w:hint="default"/>
        </w:rPr>
      </w:pPr>
      <w:r>
        <w:rPr/>
        <w:t>在下列两者孰早日确认辞退福利产生的职工薪酬负债，并计入当期损益：</w:t>
      </w:r>
      <w:r>
        <w:rPr>
          <w:rFonts w:ascii="宋体" w:hAnsi="宋体" w:cs="宋体" w:eastAsia="宋体" w:hint="default"/>
        </w:rPr>
        <w:t> </w:t>
      </w:r>
    </w:p>
    <w:p>
      <w:pPr>
        <w:pStyle w:val="BodyText"/>
        <w:spacing w:line="240" w:lineRule="auto" w:before="116"/>
        <w:ind w:left="573" w:right="1133"/>
        <w:jc w:val="left"/>
        <w:rPr>
          <w:rFonts w:ascii="宋体" w:hAnsi="宋体" w:cs="宋体" w:eastAsia="宋体" w:hint="default"/>
        </w:rPr>
      </w:pPr>
      <w:r>
        <w:rPr/>
        <w:t>（</w:t>
      </w:r>
      <w:r>
        <w:rPr>
          <w:rFonts w:ascii="宋体" w:hAnsi="宋体" w:cs="宋体" w:eastAsia="宋体" w:hint="default"/>
        </w:rPr>
        <w:t>1</w:t>
      </w:r>
      <w:r>
        <w:rPr/>
        <w:t>）企业不能单方面撤回因解除劳动关系计划或裁减建议所提供的辞退福利时；</w:t>
      </w:r>
      <w:r>
        <w:rPr>
          <w:rFonts w:ascii="宋体" w:hAnsi="宋体" w:cs="宋体" w:eastAsia="宋体" w:hint="default"/>
        </w:rPr>
        <w:t> </w:t>
      </w:r>
    </w:p>
    <w:p>
      <w:pPr>
        <w:pStyle w:val="BodyText"/>
        <w:spacing w:line="390" w:lineRule="atLeast" w:before="3"/>
        <w:ind w:left="573" w:right="1133"/>
        <w:jc w:val="left"/>
      </w:pPr>
      <w:r>
        <w:rPr/>
        <w:t>（</w:t>
      </w:r>
      <w:r>
        <w:rPr>
          <w:rFonts w:ascii="宋体" w:hAnsi="宋体" w:cs="宋体" w:eastAsia="宋体" w:hint="default"/>
        </w:rPr>
        <w:t>2</w:t>
      </w:r>
      <w:r>
        <w:rPr/>
        <w:t>）企业确认与涉及支付辞退福利的重组相关的成本或费用时。</w:t>
      </w:r>
      <w:r>
        <w:rPr>
          <w:rFonts w:ascii="宋体" w:hAnsi="宋体" w:cs="宋体" w:eastAsia="宋体" w:hint="default"/>
          <w:w w:val="100"/>
        </w:rPr>
        <w:t> </w:t>
      </w:r>
      <w:r>
        <w:rPr>
          <w:spacing w:val="-2"/>
        </w:rPr>
        <w:t>辞退福利预期在其确认的年度报告期结束后十二个月内完全支付的，适用短期薪酬的相关规定；辞退</w:t>
      </w:r>
    </w:p>
    <w:p>
      <w:pPr>
        <w:pStyle w:val="BodyText"/>
        <w:spacing w:line="340" w:lineRule="auto"/>
        <w:ind w:left="573" w:right="1133" w:hanging="421"/>
        <w:jc w:val="left"/>
        <w:rPr>
          <w:rFonts w:ascii="宋体" w:hAnsi="宋体" w:cs="宋体" w:eastAsia="宋体" w:hint="default"/>
        </w:rPr>
      </w:pPr>
      <w:r>
        <w:rPr/>
        <w:t>福利预期在年度报告期结束后十二个月内不能完全支付的，适用其他长期职工福利的有关规定。</w:t>
      </w:r>
      <w:r>
        <w:rPr>
          <w:rFonts w:ascii="宋体" w:hAnsi="宋体" w:cs="宋体" w:eastAsia="宋体" w:hint="default"/>
          <w:w w:val="100"/>
        </w:rPr>
        <w:t> </w:t>
      </w:r>
      <w:r>
        <w:rPr>
          <w:rFonts w:ascii="宋体" w:hAnsi="宋体" w:cs="宋体" w:eastAsia="宋体" w:hint="default"/>
        </w:rPr>
        <w:t>4</w:t>
      </w:r>
      <w:r>
        <w:rPr/>
        <w:t>、其他长期职工福利的会计处理方法</w:t>
      </w:r>
      <w:r>
        <w:rPr>
          <w:rFonts w:ascii="宋体" w:hAnsi="宋体" w:cs="宋体" w:eastAsia="宋体" w:hint="default"/>
        </w:rPr>
        <w:t> </w:t>
      </w:r>
    </w:p>
    <w:p>
      <w:pPr>
        <w:pStyle w:val="BodyText"/>
        <w:spacing w:line="237" w:lineRule="auto" w:before="33"/>
        <w:ind w:right="1126" w:firstLine="420"/>
        <w:jc w:val="both"/>
        <w:rPr>
          <w:rFonts w:ascii="宋体" w:hAnsi="宋体" w:cs="宋体" w:eastAsia="宋体" w:hint="default"/>
        </w:rPr>
      </w:pPr>
      <w:r>
        <w:rPr/>
        <w:t>其他长期职工福利，符合设定提存计划条件的，根据上述</w:t>
      </w:r>
      <w:r>
        <w:rPr>
          <w:spacing w:val="-28"/>
        </w:rPr>
        <w:t> </w:t>
      </w:r>
      <w:r>
        <w:rPr>
          <w:rFonts w:ascii="宋体" w:hAnsi="宋体" w:cs="宋体" w:eastAsia="宋体" w:hint="default"/>
        </w:rPr>
        <w:t>2</w:t>
      </w:r>
      <w:r>
        <w:rPr/>
        <w:t>、处理。不符合设定提存计划的，适用关</w:t>
      </w:r>
      <w:r>
        <w:rPr>
          <w:w w:val="100"/>
        </w:rPr>
        <w:t> </w:t>
      </w:r>
      <w:r>
        <w:rPr>
          <w:spacing w:val="-2"/>
        </w:rPr>
        <w:t>于设定受益计划的有关规定，确认和计量其他长期职工福利净负债或净资产。在报告期末，将其他长期职</w:t>
      </w:r>
      <w:r>
        <w:rPr>
          <w:spacing w:val="-44"/>
        </w:rPr>
        <w:t> </w:t>
      </w:r>
      <w:r>
        <w:rPr>
          <w:spacing w:val="-44"/>
        </w:rPr>
      </w:r>
      <w:r>
        <w:rPr>
          <w:spacing w:val="-2"/>
        </w:rPr>
        <w:t>工福利中的服务成本、净负债或净资产的利息净额、重新计量其他长期职工福利净负债或净资产所产生的</w:t>
      </w:r>
      <w:r>
        <w:rPr>
          <w:spacing w:val="-44"/>
        </w:rPr>
        <w:t> </w:t>
      </w:r>
      <w:r>
        <w:rPr>
          <w:spacing w:val="-44"/>
        </w:rPr>
      </w:r>
      <w:r>
        <w:rPr/>
        <w:t>变动的总净额计入当期损益或相关资产成本。</w:t>
      </w:r>
      <w:r>
        <w:rPr>
          <w:rFonts w:ascii="宋体" w:hAnsi="宋体" w:cs="宋体" w:eastAsia="宋体" w:hint="default"/>
        </w:rPr>
        <w:t> </w:t>
      </w:r>
    </w:p>
    <w:p>
      <w:pPr>
        <w:pStyle w:val="BodyText"/>
        <w:spacing w:line="390" w:lineRule="atLeast" w:before="4"/>
        <w:ind w:left="573" w:right="819" w:hanging="209"/>
        <w:jc w:val="left"/>
      </w:pPr>
      <w:r>
        <w:rPr>
          <w:rFonts w:ascii="宋体" w:hAnsi="宋体" w:cs="宋体" w:eastAsia="宋体" w:hint="default"/>
          <w:b/>
          <w:bCs/>
        </w:rPr>
        <w:t>（二十二）预计负债</w:t>
      </w:r>
      <w:r>
        <w:rPr>
          <w:rFonts w:ascii="宋体" w:hAnsi="宋体" w:cs="宋体" w:eastAsia="宋体" w:hint="default"/>
          <w:b/>
          <w:bCs/>
          <w:w w:val="99"/>
        </w:rPr>
        <w:t> </w:t>
      </w:r>
      <w:r>
        <w:rPr>
          <w:spacing w:val="-7"/>
          <w:w w:val="100"/>
        </w:rPr>
        <w:t>当与或有事项相关的义务同时符合以下条件，确认为预计负债：（</w:t>
      </w:r>
      <w:r>
        <w:rPr>
          <w:rFonts w:ascii="宋体" w:hAnsi="宋体" w:cs="宋体" w:eastAsia="宋体" w:hint="default"/>
          <w:spacing w:val="-7"/>
          <w:w w:val="100"/>
        </w:rPr>
        <w:t>1</w:t>
      </w:r>
      <w:r>
        <w:rPr>
          <w:spacing w:val="-7"/>
          <w:w w:val="100"/>
        </w:rPr>
        <w:t>）该义务是本公司承担的现时义务；</w:t>
      </w:r>
    </w:p>
    <w:p>
      <w:pPr>
        <w:pStyle w:val="BodyText"/>
        <w:spacing w:line="274" w:lineRule="exact"/>
        <w:ind w:right="0"/>
        <w:jc w:val="both"/>
        <w:rPr>
          <w:rFonts w:ascii="宋体" w:hAnsi="宋体" w:cs="宋体" w:eastAsia="宋体" w:hint="default"/>
        </w:rPr>
      </w:pPr>
      <w:r>
        <w:rPr>
          <w:w w:val="100"/>
        </w:rPr>
        <w:t>（</w:t>
      </w:r>
      <w:r>
        <w:rPr>
          <w:rFonts w:ascii="宋体" w:hAnsi="宋体" w:cs="宋体" w:eastAsia="宋体" w:hint="default"/>
          <w:w w:val="100"/>
        </w:rPr>
        <w:t>2</w:t>
      </w:r>
      <w:r>
        <w:rPr>
          <w:spacing w:val="-3"/>
          <w:w w:val="100"/>
        </w:rPr>
        <w:t>）</w:t>
      </w:r>
      <w:r>
        <w:rPr>
          <w:w w:val="100"/>
        </w:rPr>
        <w:t>履</w:t>
      </w:r>
      <w:r>
        <w:rPr>
          <w:spacing w:val="-3"/>
          <w:w w:val="100"/>
        </w:rPr>
        <w:t>行</w:t>
      </w:r>
      <w:r>
        <w:rPr>
          <w:w w:val="100"/>
        </w:rPr>
        <w:t>该</w:t>
      </w:r>
      <w:r>
        <w:rPr>
          <w:spacing w:val="-3"/>
          <w:w w:val="100"/>
        </w:rPr>
        <w:t>义</w:t>
      </w:r>
      <w:r>
        <w:rPr>
          <w:w w:val="100"/>
        </w:rPr>
        <w:t>务</w:t>
      </w:r>
      <w:r>
        <w:rPr>
          <w:spacing w:val="-3"/>
          <w:w w:val="100"/>
        </w:rPr>
        <w:t>很</w:t>
      </w:r>
      <w:r>
        <w:rPr>
          <w:w w:val="100"/>
        </w:rPr>
        <w:t>可</w:t>
      </w:r>
      <w:r>
        <w:rPr>
          <w:spacing w:val="-3"/>
          <w:w w:val="100"/>
        </w:rPr>
        <w:t>能导</w:t>
      </w:r>
      <w:r>
        <w:rPr>
          <w:w w:val="100"/>
        </w:rPr>
        <w:t>致经</w:t>
      </w:r>
      <w:r>
        <w:rPr>
          <w:spacing w:val="-3"/>
          <w:w w:val="100"/>
        </w:rPr>
        <w:t>济</w:t>
      </w:r>
      <w:r>
        <w:rPr>
          <w:w w:val="100"/>
        </w:rPr>
        <w:t>利</w:t>
      </w:r>
      <w:r>
        <w:rPr>
          <w:spacing w:val="-3"/>
          <w:w w:val="100"/>
        </w:rPr>
        <w:t>益</w:t>
      </w:r>
      <w:r>
        <w:rPr>
          <w:w w:val="100"/>
        </w:rPr>
        <w:t>流</w:t>
      </w:r>
      <w:r>
        <w:rPr>
          <w:spacing w:val="-3"/>
          <w:w w:val="100"/>
        </w:rPr>
        <w:t>出</w:t>
      </w:r>
      <w:r>
        <w:rPr>
          <w:spacing w:val="-106"/>
          <w:w w:val="100"/>
        </w:rPr>
        <w:t>；</w:t>
      </w:r>
      <w:r>
        <w:rPr>
          <w:spacing w:val="-1"/>
          <w:w w:val="100"/>
        </w:rPr>
        <w:t>（</w:t>
      </w:r>
      <w:r>
        <w:rPr>
          <w:rFonts w:ascii="宋体" w:hAnsi="宋体" w:cs="宋体" w:eastAsia="宋体" w:hint="default"/>
          <w:spacing w:val="-3"/>
          <w:w w:val="100"/>
        </w:rPr>
        <w:t>3</w:t>
      </w:r>
      <w:r>
        <w:rPr>
          <w:w w:val="100"/>
        </w:rPr>
        <w:t>）</w:t>
      </w:r>
      <w:r>
        <w:rPr>
          <w:spacing w:val="-3"/>
          <w:w w:val="100"/>
        </w:rPr>
        <w:t>该</w:t>
      </w:r>
      <w:r>
        <w:rPr>
          <w:w w:val="100"/>
        </w:rPr>
        <w:t>义务</w:t>
      </w:r>
      <w:r>
        <w:rPr>
          <w:spacing w:val="-3"/>
          <w:w w:val="100"/>
        </w:rPr>
        <w:t>的</w:t>
      </w:r>
      <w:r>
        <w:rPr>
          <w:w w:val="100"/>
        </w:rPr>
        <w:t>金</w:t>
      </w:r>
      <w:r>
        <w:rPr>
          <w:spacing w:val="-3"/>
          <w:w w:val="100"/>
        </w:rPr>
        <w:t>额</w:t>
      </w:r>
      <w:r>
        <w:rPr>
          <w:w w:val="100"/>
        </w:rPr>
        <w:t>能</w:t>
      </w:r>
      <w:r>
        <w:rPr>
          <w:spacing w:val="-3"/>
          <w:w w:val="100"/>
        </w:rPr>
        <w:t>够</w:t>
      </w:r>
      <w:r>
        <w:rPr>
          <w:w w:val="100"/>
        </w:rPr>
        <w:t>可</w:t>
      </w:r>
      <w:r>
        <w:rPr>
          <w:spacing w:val="-3"/>
          <w:w w:val="100"/>
        </w:rPr>
        <w:t>靠</w:t>
      </w:r>
      <w:r>
        <w:rPr>
          <w:w w:val="100"/>
        </w:rPr>
        <w:t>地</w:t>
      </w:r>
      <w:r>
        <w:rPr>
          <w:spacing w:val="-3"/>
          <w:w w:val="100"/>
        </w:rPr>
        <w:t>计</w:t>
      </w:r>
      <w:r>
        <w:rPr>
          <w:w w:val="100"/>
        </w:rPr>
        <w:t>量</w:t>
      </w:r>
      <w:r>
        <w:rPr>
          <w:spacing w:val="-3"/>
          <w:w w:val="100"/>
        </w:rPr>
        <w:t>。</w:t>
      </w:r>
      <w:r>
        <w:rPr>
          <w:rFonts w:ascii="宋体" w:hAnsi="宋体" w:cs="宋体" w:eastAsia="宋体" w:hint="default"/>
          <w:w w:val="100"/>
        </w:rPr>
        <w:t> </w:t>
      </w:r>
    </w:p>
    <w:p>
      <w:pPr>
        <w:pStyle w:val="BodyText"/>
        <w:spacing w:line="272" w:lineRule="exact" w:before="144"/>
        <w:ind w:right="1126" w:firstLine="420"/>
        <w:jc w:val="both"/>
        <w:rPr>
          <w:rFonts w:ascii="宋体" w:hAnsi="宋体" w:cs="宋体" w:eastAsia="宋体" w:hint="default"/>
        </w:rPr>
      </w:pPr>
      <w:r>
        <w:rPr>
          <w:spacing w:val="-2"/>
        </w:rPr>
        <w:t>在资产负债表日，考虑与或有事项有关的风险、不确定性和货币时间价值等因素，按照履行相关现时</w:t>
      </w:r>
      <w:r>
        <w:rPr>
          <w:w w:val="100"/>
        </w:rPr>
        <w:t> </w:t>
      </w:r>
      <w:r>
        <w:rPr/>
        <w:t>义务所需支出的最佳估计数对预计负债进行计量。</w:t>
      </w:r>
      <w:r>
        <w:rPr>
          <w:rFonts w:ascii="宋体" w:hAnsi="宋体" w:cs="宋体" w:eastAsia="宋体" w:hint="default"/>
        </w:rPr>
        <w:t> </w:t>
      </w:r>
    </w:p>
    <w:p>
      <w:pPr>
        <w:pStyle w:val="BodyText"/>
        <w:spacing w:line="272" w:lineRule="exact" w:before="122"/>
        <w:ind w:right="1126" w:firstLine="420"/>
        <w:jc w:val="both"/>
        <w:rPr>
          <w:rFonts w:ascii="宋体" w:hAnsi="宋体" w:cs="宋体" w:eastAsia="宋体" w:hint="default"/>
        </w:rPr>
      </w:pPr>
      <w:r>
        <w:rPr>
          <w:spacing w:val="-2"/>
        </w:rPr>
        <w:t>如果清偿预计负债所需支出全部或部分预期由第三方补偿的，补偿金额在基本确定能够收到时，作为</w:t>
      </w:r>
      <w:r>
        <w:rPr>
          <w:w w:val="100"/>
        </w:rPr>
        <w:t> </w:t>
      </w:r>
      <w:r>
        <w:rPr/>
        <w:t>资产单独确认，且确认的补偿金额不超过预计负债的账面价值。</w:t>
      </w:r>
      <w:r>
        <w:rPr>
          <w:rFonts w:ascii="宋体" w:hAnsi="宋体" w:cs="宋体" w:eastAsia="宋体" w:hint="default"/>
        </w:rPr>
        <w:t> </w:t>
      </w:r>
    </w:p>
    <w:p>
      <w:pPr>
        <w:spacing w:line="340" w:lineRule="auto" w:before="94"/>
        <w:ind w:left="573" w:right="7341" w:hanging="209"/>
        <w:jc w:val="left"/>
        <w:rPr>
          <w:rFonts w:ascii="宋体" w:hAnsi="宋体" w:cs="宋体" w:eastAsia="宋体" w:hint="default"/>
          <w:sz w:val="21"/>
          <w:szCs w:val="21"/>
        </w:rPr>
      </w:pPr>
      <w:r>
        <w:rPr>
          <w:rFonts w:ascii="宋体" w:hAnsi="宋体" w:cs="宋体" w:eastAsia="宋体" w:hint="default"/>
          <w:b/>
          <w:bCs/>
          <w:sz w:val="21"/>
          <w:szCs w:val="21"/>
        </w:rPr>
        <w:t>（二十三）股份支付</w:t>
      </w:r>
      <w:r>
        <w:rPr>
          <w:rFonts w:ascii="宋体" w:hAnsi="宋体" w:cs="宋体" w:eastAsia="宋体" w:hint="default"/>
          <w:b/>
          <w:bCs/>
          <w:w w:val="99"/>
          <w:sz w:val="21"/>
          <w:szCs w:val="21"/>
        </w:rPr>
        <w:t> </w:t>
      </w:r>
      <w:r>
        <w:rPr>
          <w:rFonts w:ascii="宋体" w:hAnsi="宋体" w:cs="宋体" w:eastAsia="宋体" w:hint="default"/>
          <w:sz w:val="21"/>
          <w:szCs w:val="21"/>
        </w:rPr>
        <w:t>1</w:t>
      </w:r>
      <w:r>
        <w:rPr>
          <w:rFonts w:ascii="宋体" w:hAnsi="宋体" w:cs="宋体" w:eastAsia="宋体" w:hint="default"/>
          <w:sz w:val="21"/>
          <w:szCs w:val="21"/>
        </w:rPr>
        <w:t>、股份支付的种类及会计处理</w:t>
      </w:r>
      <w:r>
        <w:rPr>
          <w:rFonts w:ascii="宋体" w:hAnsi="宋体" w:cs="宋体" w:eastAsia="宋体" w:hint="default"/>
          <w:sz w:val="21"/>
          <w:szCs w:val="21"/>
        </w:rPr>
        <w:t> </w:t>
      </w:r>
    </w:p>
    <w:p>
      <w:pPr>
        <w:pStyle w:val="BodyText"/>
        <w:spacing w:line="272" w:lineRule="exact" w:before="58"/>
        <w:ind w:right="1140" w:firstLine="420"/>
        <w:jc w:val="both"/>
        <w:rPr>
          <w:rFonts w:ascii="宋体" w:hAnsi="宋体" w:cs="宋体" w:eastAsia="宋体" w:hint="default"/>
        </w:rPr>
      </w:pPr>
      <w:r>
        <w:rPr>
          <w:spacing w:val="2"/>
        </w:rPr>
        <w:t>股份支付是公司为了获取职工提供服务而授予权益工具或者承担以权益工具为基础确定的负债的交</w:t>
      </w:r>
      <w:r>
        <w:rPr>
          <w:w w:val="100"/>
        </w:rPr>
        <w:t> </w:t>
      </w:r>
      <w:r>
        <w:rPr/>
        <w:t>易。股份支付分为以权益结算的股份支付和以现金结算的股份支付。</w:t>
      </w:r>
      <w:r>
        <w:rPr>
          <w:rFonts w:ascii="宋体" w:hAnsi="宋体" w:cs="宋体" w:eastAsia="宋体" w:hint="default"/>
        </w:rPr>
        <w:t> </w:t>
      </w:r>
    </w:p>
    <w:p>
      <w:pPr>
        <w:pStyle w:val="BodyText"/>
        <w:spacing w:line="392" w:lineRule="exact" w:before="25"/>
        <w:ind w:left="573" w:right="1133"/>
        <w:jc w:val="left"/>
      </w:pPr>
      <w:r>
        <w:rPr/>
        <w:t>（</w:t>
      </w:r>
      <w:r>
        <w:rPr>
          <w:rFonts w:ascii="宋体" w:hAnsi="宋体" w:cs="宋体" w:eastAsia="宋体" w:hint="default"/>
        </w:rPr>
        <w:t>1</w:t>
      </w:r>
      <w:r>
        <w:rPr/>
        <w:t>）以权益结算的股份支付</w:t>
      </w:r>
      <w:r>
        <w:rPr>
          <w:rFonts w:ascii="宋体" w:hAnsi="宋体" w:cs="宋体" w:eastAsia="宋体" w:hint="default"/>
          <w:w w:val="100"/>
        </w:rPr>
        <w:t> </w:t>
      </w:r>
      <w:r>
        <w:rPr>
          <w:spacing w:val="-2"/>
        </w:rPr>
        <w:t>股票期权计划为用以换取职工提供服务的权益结算的股份支付，以授予职工的权益工具在授予日的公</w:t>
      </w:r>
    </w:p>
    <w:p>
      <w:pPr>
        <w:pStyle w:val="BodyText"/>
        <w:spacing w:line="223" w:lineRule="exact"/>
        <w:ind w:right="0"/>
        <w:jc w:val="both"/>
      </w:pPr>
      <w:r>
        <w:rPr/>
        <w:t>允价值计量。在完成等待期内的服务或达到规定业绩条件才可行权，在等待期内以对可行权权益工具数量</w:t>
      </w:r>
    </w:p>
    <w:p>
      <w:pPr>
        <w:pStyle w:val="BodyText"/>
        <w:spacing w:line="240" w:lineRule="auto"/>
        <w:ind w:right="1126"/>
        <w:jc w:val="both"/>
        <w:rPr>
          <w:rFonts w:ascii="宋体" w:hAnsi="宋体" w:cs="宋体" w:eastAsia="宋体" w:hint="default"/>
        </w:rPr>
      </w:pPr>
      <w:r>
        <w:rPr>
          <w:spacing w:val="-2"/>
        </w:rPr>
        <w:t>的最佳估计为基础，按照权益工具授予日的公允价值，将当期取得的服务计入相关成本或费用，相应增加</w:t>
      </w:r>
      <w:r>
        <w:rPr>
          <w:spacing w:val="-42"/>
        </w:rPr>
        <w:t> </w:t>
      </w:r>
      <w:r>
        <w:rPr>
          <w:spacing w:val="-42"/>
        </w:rPr>
      </w:r>
      <w:r>
        <w:rPr/>
        <w:t>资本公积。</w:t>
      </w:r>
      <w:r>
        <w:rPr>
          <w:rFonts w:ascii="宋体" w:hAnsi="宋体" w:cs="宋体" w:eastAsia="宋体" w:hint="default"/>
        </w:rPr>
        <w:t> </w:t>
      </w:r>
    </w:p>
    <w:p>
      <w:pPr>
        <w:pStyle w:val="BodyText"/>
        <w:spacing w:line="394" w:lineRule="exact" w:before="46"/>
        <w:ind w:left="573" w:right="1133"/>
        <w:jc w:val="left"/>
      </w:pPr>
      <w:r>
        <w:rPr/>
        <w:t>（</w:t>
      </w:r>
      <w:r>
        <w:rPr>
          <w:rFonts w:ascii="宋体" w:hAnsi="宋体" w:cs="宋体" w:eastAsia="宋体" w:hint="default"/>
        </w:rPr>
        <w:t>2</w:t>
      </w:r>
      <w:r>
        <w:rPr/>
        <w:t>）以现金结算的股份支付</w:t>
      </w:r>
      <w:r>
        <w:rPr>
          <w:rFonts w:ascii="宋体" w:hAnsi="宋体" w:cs="宋体" w:eastAsia="宋体" w:hint="default"/>
          <w:w w:val="100"/>
        </w:rPr>
        <w:t> </w:t>
      </w:r>
      <w:r>
        <w:rPr>
          <w:spacing w:val="-2"/>
        </w:rPr>
        <w:t>股票增值权计划为以现金结算的股份支付，按照公司承担的以本公司股份数量为基础确定的负债的公</w:t>
      </w:r>
    </w:p>
    <w:p>
      <w:pPr>
        <w:pStyle w:val="BodyText"/>
        <w:spacing w:line="221" w:lineRule="exact"/>
        <w:ind w:right="0"/>
        <w:jc w:val="both"/>
      </w:pPr>
      <w:r>
        <w:rPr/>
        <w:t>允价值计量。该以现金结算的股份支付须完成等待期内的服务或达到规定业绩条件以后才可行权，在等待</w:t>
      </w:r>
    </w:p>
    <w:p>
      <w:pPr>
        <w:pStyle w:val="BodyText"/>
        <w:spacing w:line="237" w:lineRule="auto" w:before="2"/>
        <w:ind w:right="1126"/>
        <w:jc w:val="both"/>
        <w:rPr>
          <w:rFonts w:ascii="宋体" w:hAnsi="宋体" w:cs="宋体" w:eastAsia="宋体" w:hint="default"/>
        </w:rPr>
      </w:pPr>
      <w:r>
        <w:rPr>
          <w:spacing w:val="-2"/>
        </w:rPr>
        <w:t>期的每个资产负债表日以对可行权情况的最佳估计为基础，按照公司承担负债的公允价值金额，将当期取</w:t>
      </w:r>
      <w:r>
        <w:rPr>
          <w:spacing w:val="-43"/>
        </w:rPr>
        <w:t> </w:t>
      </w:r>
      <w:r>
        <w:rPr>
          <w:spacing w:val="-43"/>
        </w:rPr>
      </w:r>
      <w:r>
        <w:rPr>
          <w:spacing w:val="-2"/>
        </w:rPr>
        <w:t>得的服务计入成本或费用，相应增加负债。在相关负债结算前的每个资产负债表日以及结算日，对负债的</w:t>
      </w:r>
      <w:r>
        <w:rPr>
          <w:spacing w:val="-43"/>
        </w:rPr>
        <w:t> </w:t>
      </w:r>
      <w:r>
        <w:rPr>
          <w:spacing w:val="-43"/>
        </w:rPr>
      </w:r>
      <w:r>
        <w:rPr/>
        <w:t>公允价值重新计量，其变动计入当期损益。</w:t>
      </w:r>
      <w:r>
        <w:rPr>
          <w:rFonts w:ascii="宋体" w:hAnsi="宋体" w:cs="宋体" w:eastAsia="宋体" w:hint="default"/>
        </w:rPr>
        <w:t> </w:t>
      </w:r>
    </w:p>
    <w:p>
      <w:pPr>
        <w:pStyle w:val="BodyText"/>
        <w:spacing w:line="240" w:lineRule="auto" w:before="116"/>
        <w:ind w:left="573" w:right="1133"/>
        <w:jc w:val="left"/>
        <w:rPr>
          <w:rFonts w:ascii="宋体" w:hAnsi="宋体" w:cs="宋体" w:eastAsia="宋体" w:hint="default"/>
        </w:rPr>
      </w:pPr>
      <w:r>
        <w:rPr>
          <w:rFonts w:ascii="宋体" w:hAnsi="宋体" w:cs="宋体" w:eastAsia="宋体" w:hint="default"/>
        </w:rPr>
        <w:t>2</w:t>
      </w:r>
      <w:r>
        <w:rPr/>
        <w:t>、权益工具公允价值的确定方法</w:t>
      </w:r>
      <w:r>
        <w:rPr>
          <w:rFonts w:ascii="宋体" w:hAnsi="宋体" w:cs="宋体" w:eastAsia="宋体" w:hint="default"/>
        </w:rPr>
        <w:t> </w:t>
      </w:r>
    </w:p>
    <w:p>
      <w:pPr>
        <w:spacing w:after="0" w:line="240" w:lineRule="auto"/>
        <w:jc w:val="left"/>
        <w:rPr>
          <w:rFonts w:ascii="宋体" w:hAnsi="宋体" w:cs="宋体" w:eastAsia="宋体" w:hint="default"/>
        </w:rPr>
        <w:sectPr>
          <w:pgSz w:w="11910" w:h="16840"/>
          <w:pgMar w:header="921" w:footer="725" w:top="1160" w:bottom="920" w:left="980" w:right="0"/>
        </w:sectPr>
      </w:pPr>
    </w:p>
    <w:p>
      <w:pPr>
        <w:spacing w:line="240" w:lineRule="auto" w:before="12"/>
        <w:rPr>
          <w:rFonts w:ascii="宋体" w:hAnsi="宋体" w:cs="宋体" w:eastAsia="宋体" w:hint="default"/>
          <w:sz w:val="15"/>
          <w:szCs w:val="15"/>
        </w:rPr>
      </w:pPr>
    </w:p>
    <w:p>
      <w:pPr>
        <w:pStyle w:val="BodyText"/>
        <w:spacing w:line="272" w:lineRule="exact" w:before="64"/>
        <w:ind w:right="1126" w:firstLine="420"/>
        <w:jc w:val="both"/>
        <w:rPr>
          <w:rFonts w:ascii="宋体" w:hAnsi="宋体" w:cs="宋体" w:eastAsia="宋体" w:hint="default"/>
        </w:rPr>
      </w:pPr>
      <w:r>
        <w:rPr>
          <w:spacing w:val="-2"/>
        </w:rPr>
        <w:t>对于授予职工的股份，其公允价值按公司股份的市场价格计量，同时考虑授予股份所依据的条款和条</w:t>
      </w:r>
      <w:r>
        <w:rPr>
          <w:w w:val="100"/>
        </w:rPr>
        <w:t> </w:t>
      </w:r>
      <w:r>
        <w:rPr/>
        <w:t>件（不包括市场条件之外的可行权条件）进行调整。</w:t>
      </w:r>
      <w:r>
        <w:rPr>
          <w:rFonts w:ascii="宋体" w:hAnsi="宋体" w:cs="宋体" w:eastAsia="宋体" w:hint="default"/>
        </w:rPr>
        <w:t> </w:t>
      </w:r>
    </w:p>
    <w:p>
      <w:pPr>
        <w:pStyle w:val="BodyText"/>
        <w:spacing w:line="340" w:lineRule="auto" w:before="94"/>
        <w:ind w:left="573" w:right="1133"/>
        <w:jc w:val="left"/>
        <w:rPr>
          <w:rFonts w:ascii="宋体" w:hAnsi="宋体" w:cs="宋体" w:eastAsia="宋体" w:hint="default"/>
        </w:rPr>
      </w:pPr>
      <w:r>
        <w:rPr/>
        <w:t>对于授予职工的股票期权，通过期权定价模型估计所授予的期权的公允价值。</w:t>
      </w:r>
      <w:r>
        <w:rPr>
          <w:rFonts w:ascii="宋体" w:hAnsi="宋体" w:cs="宋体" w:eastAsia="宋体" w:hint="default"/>
          <w:w w:val="100"/>
        </w:rPr>
        <w:t> </w:t>
      </w:r>
      <w:r>
        <w:rPr>
          <w:rFonts w:ascii="宋体" w:hAnsi="宋体" w:cs="宋体" w:eastAsia="宋体" w:hint="default"/>
        </w:rPr>
        <w:t>3</w:t>
      </w:r>
      <w:r>
        <w:rPr/>
        <w:t>、确认可行权权益工具最佳估计的依据</w:t>
      </w:r>
      <w:r>
        <w:rPr>
          <w:rFonts w:ascii="宋体" w:hAnsi="宋体" w:cs="宋体" w:eastAsia="宋体" w:hint="default"/>
        </w:rPr>
        <w:t> </w:t>
      </w:r>
    </w:p>
    <w:p>
      <w:pPr>
        <w:pStyle w:val="BodyText"/>
        <w:spacing w:line="272" w:lineRule="exact" w:before="58"/>
        <w:ind w:right="1126" w:firstLine="420"/>
        <w:jc w:val="both"/>
        <w:rPr>
          <w:rFonts w:ascii="宋体" w:hAnsi="宋体" w:cs="宋体" w:eastAsia="宋体" w:hint="default"/>
        </w:rPr>
      </w:pPr>
      <w:r>
        <w:rPr>
          <w:spacing w:val="-2"/>
        </w:rPr>
        <w:t>在等待期内每个资产负债表日，根据最新取得的可行权职工人数变动等后续信息做出最佳估计，修正</w:t>
      </w:r>
      <w:r>
        <w:rPr>
          <w:w w:val="100"/>
        </w:rPr>
        <w:t> </w:t>
      </w:r>
      <w:r>
        <w:rPr/>
        <w:t>预计可行权的权益工具数量。</w:t>
      </w:r>
      <w:r>
        <w:rPr>
          <w:rFonts w:ascii="宋体" w:hAnsi="宋体" w:cs="宋体" w:eastAsia="宋体" w:hint="default"/>
        </w:rPr>
        <w:t> </w:t>
      </w:r>
    </w:p>
    <w:p>
      <w:pPr>
        <w:pStyle w:val="BodyText"/>
        <w:spacing w:line="240" w:lineRule="auto" w:before="94"/>
        <w:ind w:left="573" w:right="1133"/>
        <w:jc w:val="left"/>
        <w:rPr>
          <w:rFonts w:ascii="宋体" w:hAnsi="宋体" w:cs="宋体" w:eastAsia="宋体" w:hint="default"/>
        </w:rPr>
      </w:pPr>
      <w:r>
        <w:rPr>
          <w:rFonts w:ascii="宋体" w:hAnsi="宋体" w:cs="宋体" w:eastAsia="宋体" w:hint="default"/>
        </w:rPr>
        <w:t>4</w:t>
      </w:r>
      <w:r>
        <w:rPr/>
        <w:t>、修改和终止股份支付计划的处理</w:t>
      </w:r>
      <w:r>
        <w:rPr>
          <w:rFonts w:ascii="宋体" w:hAnsi="宋体" w:cs="宋体" w:eastAsia="宋体" w:hint="default"/>
        </w:rPr>
        <w:t> </w:t>
      </w:r>
    </w:p>
    <w:p>
      <w:pPr>
        <w:pStyle w:val="BodyText"/>
        <w:spacing w:line="240" w:lineRule="auto" w:before="116"/>
        <w:ind w:right="1126" w:firstLine="420"/>
        <w:jc w:val="both"/>
        <w:rPr>
          <w:rFonts w:ascii="宋体" w:hAnsi="宋体" w:cs="宋体" w:eastAsia="宋体" w:hint="default"/>
        </w:rPr>
      </w:pPr>
      <w:r>
        <w:rPr>
          <w:spacing w:val="-2"/>
        </w:rPr>
        <w:t>如果股份支付计划的修改增加了所授予的权益工具的公允价值，应按照权益工具公允价值的增加相应</w:t>
      </w:r>
      <w:r>
        <w:rPr>
          <w:w w:val="100"/>
        </w:rPr>
        <w:t> </w:t>
      </w:r>
      <w:r>
        <w:rPr/>
        <w:t>地确认取得服务的增加。</w:t>
      </w:r>
      <w:r>
        <w:rPr>
          <w:rFonts w:ascii="宋体" w:hAnsi="宋体" w:cs="宋体" w:eastAsia="宋体" w:hint="default"/>
        </w:rPr>
        <w:t> </w:t>
      </w:r>
    </w:p>
    <w:p>
      <w:pPr>
        <w:pStyle w:val="BodyText"/>
        <w:spacing w:line="240" w:lineRule="auto" w:before="116"/>
        <w:ind w:right="1126" w:firstLine="420"/>
        <w:jc w:val="both"/>
        <w:rPr>
          <w:rFonts w:ascii="宋体" w:hAnsi="宋体" w:cs="宋体" w:eastAsia="宋体" w:hint="default"/>
        </w:rPr>
      </w:pPr>
      <w:r>
        <w:rPr>
          <w:spacing w:val="-2"/>
        </w:rPr>
        <w:t>如果股份支付计划的修改增加了所授予的权益工具的数量，应将增加的权益工具的公允价值相应地确</w:t>
      </w:r>
      <w:r>
        <w:rPr>
          <w:w w:val="100"/>
        </w:rPr>
        <w:t> </w:t>
      </w:r>
      <w:r>
        <w:rPr/>
        <w:t>认为取得服务的增加。</w:t>
      </w:r>
      <w:r>
        <w:rPr>
          <w:rFonts w:ascii="宋体" w:hAnsi="宋体" w:cs="宋体" w:eastAsia="宋体" w:hint="default"/>
        </w:rPr>
        <w:t> </w:t>
      </w:r>
    </w:p>
    <w:p>
      <w:pPr>
        <w:pStyle w:val="BodyText"/>
        <w:spacing w:line="240" w:lineRule="auto" w:before="116"/>
        <w:ind w:right="1126" w:firstLine="420"/>
        <w:jc w:val="both"/>
        <w:rPr>
          <w:rFonts w:ascii="宋体" w:hAnsi="宋体" w:cs="宋体" w:eastAsia="宋体" w:hint="default"/>
        </w:rPr>
      </w:pPr>
      <w:r>
        <w:rPr>
          <w:spacing w:val="-7"/>
          <w:w w:val="100"/>
        </w:rPr>
        <w:t>如果按照有利于职工的方式修改可行权条件，如缩短等待期、变更或取消业绩条件（而非市场条件），</w:t>
      </w:r>
      <w:r>
        <w:rPr>
          <w:w w:val="100"/>
        </w:rPr>
        <w:t> </w:t>
      </w:r>
      <w:r>
        <w:rPr/>
        <w:t>公司在处理可行权条件时，考虑修改后的可行权条件。</w:t>
      </w:r>
      <w:r>
        <w:rPr>
          <w:rFonts w:ascii="宋体" w:hAnsi="宋体" w:cs="宋体" w:eastAsia="宋体" w:hint="default"/>
        </w:rPr>
        <w:t> </w:t>
      </w:r>
    </w:p>
    <w:p>
      <w:pPr>
        <w:pStyle w:val="BodyText"/>
        <w:spacing w:line="240" w:lineRule="auto" w:before="116"/>
        <w:ind w:right="1126" w:firstLine="420"/>
        <w:jc w:val="both"/>
        <w:rPr>
          <w:rFonts w:ascii="宋体" w:hAnsi="宋体" w:cs="宋体" w:eastAsia="宋体" w:hint="default"/>
        </w:rPr>
      </w:pPr>
      <w:r>
        <w:rPr>
          <w:spacing w:val="-2"/>
        </w:rPr>
        <w:t>如果以减少股份支付公允价值总额的方式或其他不利于职工的方式修改条款和条件，仍应继续对取得</w:t>
      </w:r>
      <w:r>
        <w:rPr>
          <w:w w:val="100"/>
        </w:rPr>
        <w:t> </w:t>
      </w:r>
      <w:r>
        <w:rPr/>
        <w:t>的服务进行会计处理，如同该变更从未发生，除非取消了部分或全部已授予的权益工具。</w:t>
      </w:r>
      <w:r>
        <w:rPr>
          <w:rFonts w:ascii="宋体" w:hAnsi="宋体" w:cs="宋体" w:eastAsia="宋体" w:hint="default"/>
        </w:rPr>
        <w:t> </w:t>
      </w:r>
    </w:p>
    <w:p>
      <w:pPr>
        <w:pStyle w:val="BodyText"/>
        <w:spacing w:line="237" w:lineRule="auto" w:before="119"/>
        <w:ind w:right="1126" w:firstLine="420"/>
        <w:jc w:val="both"/>
        <w:rPr>
          <w:rFonts w:ascii="宋体" w:hAnsi="宋体" w:cs="宋体" w:eastAsia="宋体" w:hint="default"/>
        </w:rPr>
      </w:pPr>
      <w:r>
        <w:rPr>
          <w:spacing w:val="-2"/>
        </w:rPr>
        <w:t>在等待期内如果取消了授予的权益工具，对取消所授予的权益性工具作为加速行权处理，剩余等待期</w:t>
      </w:r>
      <w:r>
        <w:rPr>
          <w:w w:val="100"/>
        </w:rPr>
        <w:t> </w:t>
      </w:r>
      <w:r>
        <w:rPr>
          <w:spacing w:val="-2"/>
        </w:rPr>
        <w:t>内应确认的金额立即计入当期损益，同时确认资本公积。职工或其他方能够选择满足非可行权条件但在等</w:t>
      </w:r>
      <w:r>
        <w:rPr>
          <w:spacing w:val="-42"/>
        </w:rPr>
        <w:t> </w:t>
      </w:r>
      <w:r>
        <w:rPr>
          <w:spacing w:val="-42"/>
        </w:rPr>
      </w:r>
      <w:r>
        <w:rPr/>
        <w:t>待期内未满足的，将其作为授予权益工具的取消处理。</w:t>
      </w:r>
      <w:r>
        <w:rPr>
          <w:rFonts w:ascii="宋体" w:hAnsi="宋体" w:cs="宋体" w:eastAsia="宋体" w:hint="default"/>
        </w:rPr>
        <w:t> </w:t>
      </w:r>
    </w:p>
    <w:p>
      <w:pPr>
        <w:spacing w:line="390" w:lineRule="atLeast" w:before="4"/>
        <w:ind w:left="573" w:right="1133" w:hanging="209"/>
        <w:jc w:val="left"/>
        <w:rPr>
          <w:rFonts w:ascii="宋体" w:hAnsi="宋体" w:cs="宋体" w:eastAsia="宋体" w:hint="default"/>
          <w:sz w:val="21"/>
          <w:szCs w:val="21"/>
        </w:rPr>
      </w:pPr>
      <w:r>
        <w:rPr>
          <w:rFonts w:ascii="宋体" w:hAnsi="宋体" w:cs="宋体" w:eastAsia="宋体" w:hint="default"/>
          <w:b/>
          <w:bCs/>
          <w:sz w:val="21"/>
          <w:szCs w:val="21"/>
        </w:rPr>
        <w:t>（二十四）优先股与永续债等其他金融工具</w:t>
      </w:r>
      <w:r>
        <w:rPr>
          <w:rFonts w:ascii="宋体" w:hAnsi="宋体" w:cs="宋体" w:eastAsia="宋体" w:hint="default"/>
          <w:b/>
          <w:bCs/>
          <w:w w:val="99"/>
          <w:sz w:val="21"/>
          <w:szCs w:val="21"/>
        </w:rPr>
        <w:t> </w:t>
      </w:r>
      <w:r>
        <w:rPr>
          <w:rFonts w:ascii="宋体" w:hAnsi="宋体" w:cs="宋体" w:eastAsia="宋体" w:hint="default"/>
          <w:spacing w:val="-2"/>
          <w:sz w:val="21"/>
          <w:szCs w:val="21"/>
        </w:rPr>
        <w:t>公司发行的优先股或永续债根据所发行金融工具的合同条款及其所反映的经济实质，结合金融负债和</w:t>
      </w:r>
    </w:p>
    <w:p>
      <w:pPr>
        <w:pStyle w:val="BodyText"/>
        <w:spacing w:line="274" w:lineRule="exact"/>
        <w:ind w:right="1133"/>
        <w:jc w:val="left"/>
        <w:rPr>
          <w:rFonts w:ascii="宋体" w:hAnsi="宋体" w:cs="宋体" w:eastAsia="宋体" w:hint="default"/>
        </w:rPr>
      </w:pPr>
      <w:r>
        <w:rPr/>
        <w:t>权益工具的定义，在初始确认时将其分类为金融负债或权益工具。</w:t>
      </w:r>
      <w:r>
        <w:rPr>
          <w:rFonts w:ascii="宋体" w:hAnsi="宋体" w:cs="宋体" w:eastAsia="宋体" w:hint="default"/>
        </w:rPr>
        <w:t> </w:t>
      </w:r>
    </w:p>
    <w:p>
      <w:pPr>
        <w:pStyle w:val="BodyText"/>
        <w:spacing w:line="272" w:lineRule="exact" w:before="144"/>
        <w:ind w:right="1136" w:firstLine="420"/>
        <w:jc w:val="both"/>
        <w:rPr>
          <w:rFonts w:ascii="宋体" w:hAnsi="宋体" w:cs="宋体" w:eastAsia="宋体" w:hint="default"/>
        </w:rPr>
      </w:pPr>
      <w:r>
        <w:rPr>
          <w:spacing w:val="-2"/>
          <w:w w:val="100"/>
        </w:rPr>
        <w:t>优先股或永续债属于金融负债的，相关利息、股利（或股息）、利得或损失，以及赎回或再融资产生</w:t>
      </w:r>
      <w:r>
        <w:rPr>
          <w:w w:val="100"/>
        </w:rPr>
        <w:t> </w:t>
      </w:r>
      <w:r>
        <w:rPr/>
        <w:t>的利得或损失等，计入当期损益。</w:t>
      </w:r>
      <w:r>
        <w:rPr>
          <w:rFonts w:ascii="宋体" w:hAnsi="宋体" w:cs="宋体" w:eastAsia="宋体" w:hint="default"/>
        </w:rPr>
        <w:t> </w:t>
      </w:r>
    </w:p>
    <w:p>
      <w:pPr>
        <w:pStyle w:val="BodyText"/>
        <w:spacing w:line="272" w:lineRule="exact" w:before="122"/>
        <w:ind w:right="1128" w:firstLine="420"/>
        <w:jc w:val="both"/>
        <w:rPr>
          <w:rFonts w:ascii="宋体" w:hAnsi="宋体" w:cs="宋体" w:eastAsia="宋体" w:hint="default"/>
        </w:rPr>
      </w:pPr>
      <w:r>
        <w:rPr>
          <w:spacing w:val="-7"/>
          <w:w w:val="100"/>
        </w:rPr>
        <w:t>优先股或永续债属于权益工具的，其发行（含再融资）、回购、出售或注销时，作为权益的变动处理。</w:t>
      </w:r>
      <w:r>
        <w:rPr>
          <w:w w:val="100"/>
        </w:rPr>
        <w:t> </w:t>
      </w:r>
      <w:r>
        <w:rPr/>
        <w:t>对权益工具持有方的分配应作利润分配处理，发放的股票股利不影响所有者权益总额。</w:t>
      </w:r>
      <w:r>
        <w:rPr>
          <w:rFonts w:ascii="宋体" w:hAnsi="宋体" w:cs="宋体" w:eastAsia="宋体" w:hint="default"/>
        </w:rPr>
        <w:t> </w:t>
      </w:r>
    </w:p>
    <w:p>
      <w:pPr>
        <w:pStyle w:val="BodyText"/>
        <w:spacing w:line="272" w:lineRule="exact" w:before="121"/>
        <w:ind w:right="1126" w:firstLine="420"/>
        <w:jc w:val="both"/>
        <w:rPr>
          <w:rFonts w:ascii="宋体" w:hAnsi="宋体" w:cs="宋体" w:eastAsia="宋体" w:hint="default"/>
        </w:rPr>
      </w:pPr>
      <w:r>
        <w:rPr>
          <w:spacing w:val="-2"/>
        </w:rPr>
        <w:t>与权益性交易相关的交易费用从权益中扣减。交易费用，是指可直接归属于购买、发行或处置优先股</w:t>
      </w:r>
      <w:r>
        <w:rPr>
          <w:w w:val="100"/>
        </w:rPr>
        <w:t> </w:t>
      </w:r>
      <w:r>
        <w:rPr/>
        <w:t>或永续债的增量费用。增量费用，是指企业不购买、发行或处置金融工具就不会发生的费用。</w:t>
      </w:r>
      <w:r>
        <w:rPr>
          <w:rFonts w:ascii="宋体" w:hAnsi="宋体" w:cs="宋体" w:eastAsia="宋体" w:hint="default"/>
        </w:rPr>
        <w:t> </w:t>
      </w:r>
    </w:p>
    <w:p>
      <w:pPr>
        <w:pStyle w:val="BodyText"/>
        <w:spacing w:line="237" w:lineRule="auto" w:before="96"/>
        <w:ind w:right="1126" w:firstLine="420"/>
        <w:jc w:val="both"/>
        <w:rPr>
          <w:rFonts w:ascii="宋体" w:hAnsi="宋体" w:cs="宋体" w:eastAsia="宋体" w:hint="default"/>
        </w:rPr>
      </w:pPr>
      <w:r>
        <w:rPr>
          <w:spacing w:val="-2"/>
        </w:rPr>
        <w:t>发行或取得自身权益工具时发生的交易费用（例如登记费，承销费，法律、会计、评估及其他专业服</w:t>
      </w:r>
      <w:r>
        <w:rPr>
          <w:w w:val="100"/>
        </w:rPr>
        <w:t> </w:t>
      </w:r>
      <w:r>
        <w:rPr>
          <w:spacing w:val="-2"/>
          <w:w w:val="100"/>
        </w:rPr>
        <w:t>务费用，印刷成本和印花税等），可直接归属于权益性交易的，从权益中扣减。终止的未完成权益性交易</w:t>
      </w:r>
      <w:r>
        <w:rPr>
          <w:spacing w:val="-94"/>
          <w:w w:val="100"/>
        </w:rPr>
        <w:t> </w:t>
      </w:r>
      <w:r>
        <w:rPr>
          <w:spacing w:val="-94"/>
          <w:w w:val="100"/>
        </w:rPr>
      </w:r>
      <w:r>
        <w:rPr/>
        <w:t>所发生的交易费用计入当期损益。</w:t>
      </w:r>
      <w:r>
        <w:rPr>
          <w:rFonts w:ascii="宋体" w:hAnsi="宋体" w:cs="宋体" w:eastAsia="宋体" w:hint="default"/>
        </w:rPr>
        <w:t> </w:t>
      </w:r>
    </w:p>
    <w:p>
      <w:pPr>
        <w:spacing w:line="343" w:lineRule="auto" w:before="116"/>
        <w:ind w:left="513" w:right="8232" w:hanging="149"/>
        <w:jc w:val="left"/>
        <w:rPr>
          <w:rFonts w:ascii="宋体" w:hAnsi="宋体" w:cs="宋体" w:eastAsia="宋体" w:hint="default"/>
          <w:sz w:val="21"/>
          <w:szCs w:val="21"/>
        </w:rPr>
      </w:pPr>
      <w:r>
        <w:rPr>
          <w:rFonts w:ascii="宋体" w:hAnsi="宋体" w:cs="宋体" w:eastAsia="宋体" w:hint="default"/>
          <w:b/>
          <w:bCs/>
          <w:sz w:val="21"/>
          <w:szCs w:val="21"/>
        </w:rPr>
        <w:t>（二十五）收入</w:t>
      </w:r>
      <w:r>
        <w:rPr>
          <w:rFonts w:ascii="宋体" w:hAnsi="宋体" w:cs="宋体" w:eastAsia="宋体" w:hint="default"/>
          <w:b/>
          <w:bCs/>
          <w:w w:val="99"/>
          <w:sz w:val="21"/>
          <w:szCs w:val="21"/>
        </w:rPr>
        <w:t> </w:t>
      </w:r>
      <w:r>
        <w:rPr>
          <w:rFonts w:ascii="宋体" w:hAnsi="宋体" w:cs="宋体" w:eastAsia="宋体" w:hint="default"/>
          <w:sz w:val="21"/>
          <w:szCs w:val="21"/>
        </w:rPr>
        <w:t>1</w:t>
      </w:r>
      <w:r>
        <w:rPr>
          <w:rFonts w:ascii="宋体" w:hAnsi="宋体" w:cs="宋体" w:eastAsia="宋体" w:hint="default"/>
          <w:sz w:val="21"/>
          <w:szCs w:val="21"/>
        </w:rPr>
        <w:t>、电信服务收入</w:t>
      </w:r>
      <w:r>
        <w:rPr>
          <w:rFonts w:ascii="宋体" w:hAnsi="宋体" w:cs="宋体" w:eastAsia="宋体" w:hint="default"/>
          <w:sz w:val="21"/>
          <w:szCs w:val="21"/>
        </w:rPr>
        <w:t> </w:t>
      </w:r>
    </w:p>
    <w:p>
      <w:pPr>
        <w:pStyle w:val="BodyText"/>
        <w:spacing w:line="240" w:lineRule="auto" w:before="26"/>
        <w:ind w:left="513" w:right="1133"/>
        <w:jc w:val="left"/>
        <w:rPr>
          <w:rFonts w:ascii="宋体" w:hAnsi="宋体" w:cs="宋体" w:eastAsia="宋体" w:hint="default"/>
        </w:rPr>
      </w:pPr>
      <w:r>
        <w:rPr/>
        <w:t>（</w:t>
      </w:r>
      <w:r>
        <w:rPr>
          <w:rFonts w:ascii="宋体" w:hAnsi="宋体" w:cs="宋体" w:eastAsia="宋体" w:hint="default"/>
        </w:rPr>
        <w:t>1</w:t>
      </w:r>
      <w:r>
        <w:rPr/>
        <w:t>）行业短信收入</w:t>
      </w:r>
      <w:r>
        <w:rPr>
          <w:rFonts w:ascii="宋体" w:hAnsi="宋体" w:cs="宋体" w:eastAsia="宋体" w:hint="default"/>
        </w:rPr>
        <w:t> </w:t>
      </w:r>
    </w:p>
    <w:p>
      <w:pPr>
        <w:pStyle w:val="BodyText"/>
        <w:spacing w:line="272" w:lineRule="exact" w:before="146"/>
        <w:ind w:right="1126" w:firstLine="420"/>
        <w:jc w:val="both"/>
        <w:rPr>
          <w:rFonts w:ascii="宋体" w:hAnsi="宋体" w:cs="宋体" w:eastAsia="宋体" w:hint="default"/>
        </w:rPr>
      </w:pPr>
      <w:r>
        <w:rPr>
          <w:spacing w:val="-2"/>
        </w:rPr>
        <w:t>公司系统收到客户提交的短信，内部审核符合国家法律法规规定，将其提交到移动通信运营商平台后</w:t>
      </w:r>
      <w:r>
        <w:rPr>
          <w:w w:val="100"/>
        </w:rPr>
        <w:t> </w:t>
      </w:r>
      <w:r>
        <w:rPr/>
        <w:t>确认收入。</w:t>
      </w:r>
      <w:r>
        <w:rPr>
          <w:rFonts w:ascii="宋体" w:hAnsi="宋体" w:cs="宋体" w:eastAsia="宋体" w:hint="default"/>
        </w:rPr>
        <w:t> </w:t>
      </w:r>
    </w:p>
    <w:p>
      <w:pPr>
        <w:pStyle w:val="BodyText"/>
        <w:spacing w:line="343" w:lineRule="auto" w:before="94"/>
        <w:ind w:left="513" w:right="2896"/>
        <w:jc w:val="left"/>
        <w:rPr>
          <w:rFonts w:ascii="宋体" w:hAnsi="宋体" w:cs="宋体" w:eastAsia="宋体" w:hint="default"/>
        </w:rPr>
      </w:pPr>
      <w:r>
        <w:rPr/>
        <w:t>（</w:t>
      </w:r>
      <w:r>
        <w:rPr>
          <w:rFonts w:ascii="宋体" w:hAnsi="宋体" w:cs="宋体" w:eastAsia="宋体" w:hint="default"/>
        </w:rPr>
        <w:t>2</w:t>
      </w:r>
      <w:r>
        <w:rPr/>
        <w:t>）运营商业务酬金收入</w:t>
      </w:r>
      <w:r>
        <w:rPr>
          <w:rFonts w:ascii="宋体" w:hAnsi="宋体" w:cs="宋体" w:eastAsia="宋体" w:hint="default"/>
          <w:w w:val="100"/>
        </w:rPr>
        <w:t> </w:t>
      </w:r>
      <w:r>
        <w:rPr/>
        <w:t>公司根据与移动通信运营商的合作协议，按约定比例获取业务酬金确认收入。</w:t>
      </w:r>
      <w:r>
        <w:rPr>
          <w:rFonts w:ascii="宋体" w:hAnsi="宋体" w:cs="宋体" w:eastAsia="宋体" w:hint="default"/>
          <w:w w:val="100"/>
        </w:rPr>
        <w:t> </w:t>
      </w:r>
      <w:r>
        <w:rPr>
          <w:rFonts w:ascii="宋体" w:hAnsi="宋体" w:cs="宋体" w:eastAsia="宋体" w:hint="default"/>
        </w:rPr>
        <w:t>2</w:t>
      </w:r>
      <w:r>
        <w:rPr/>
        <w:t>、通信网络收入</w:t>
      </w:r>
      <w:r>
        <w:rPr>
          <w:rFonts w:ascii="宋体" w:hAnsi="宋体" w:cs="宋体" w:eastAsia="宋体" w:hint="default"/>
        </w:rPr>
        <w:t> </w:t>
      </w:r>
    </w:p>
    <w:p>
      <w:pPr>
        <w:pStyle w:val="BodyText"/>
        <w:spacing w:line="343" w:lineRule="auto" w:before="26"/>
        <w:ind w:left="573" w:right="819" w:hanging="60"/>
        <w:jc w:val="left"/>
      </w:pPr>
      <w:r>
        <w:rPr/>
        <w:t>（</w:t>
      </w:r>
      <w:r>
        <w:rPr>
          <w:rFonts w:ascii="宋体" w:hAnsi="宋体" w:cs="宋体" w:eastAsia="宋体" w:hint="default"/>
        </w:rPr>
        <w:t>1</w:t>
      </w:r>
      <w:r>
        <w:rPr/>
        <w:t>）通信网络维护收入</w:t>
      </w:r>
      <w:r>
        <w:rPr>
          <w:rFonts w:ascii="宋体" w:hAnsi="宋体" w:cs="宋体" w:eastAsia="宋体" w:hint="default"/>
          <w:w w:val="100"/>
        </w:rPr>
        <w:t> </w:t>
      </w:r>
      <w:r>
        <w:rPr/>
        <w:t>通信网络维护服务收入主要包括提供通信网络线路、设备、基站及附属设施的日常维护、故障处理、</w:t>
      </w:r>
    </w:p>
    <w:p>
      <w:pPr>
        <w:spacing w:after="0" w:line="343" w:lineRule="auto"/>
        <w:jc w:val="left"/>
        <w:sectPr>
          <w:pgSz w:w="11910" w:h="16840"/>
          <w:pgMar w:header="921" w:footer="725" w:top="1160" w:bottom="920" w:left="980" w:right="0"/>
        </w:sectPr>
      </w:pPr>
    </w:p>
    <w:p>
      <w:pPr>
        <w:spacing w:line="240" w:lineRule="auto" w:before="12"/>
        <w:rPr>
          <w:rFonts w:ascii="宋体" w:hAnsi="宋体" w:cs="宋体" w:eastAsia="宋体" w:hint="default"/>
          <w:sz w:val="15"/>
          <w:szCs w:val="15"/>
        </w:rPr>
      </w:pPr>
    </w:p>
    <w:p>
      <w:pPr>
        <w:pStyle w:val="BodyText"/>
        <w:spacing w:line="237" w:lineRule="auto" w:before="38"/>
        <w:ind w:right="1126"/>
        <w:jc w:val="both"/>
        <w:rPr>
          <w:rFonts w:ascii="宋体" w:hAnsi="宋体" w:cs="宋体" w:eastAsia="宋体" w:hint="default"/>
        </w:rPr>
      </w:pPr>
      <w:r>
        <w:rPr>
          <w:spacing w:val="-2"/>
        </w:rPr>
        <w:t>终端安装、及基站设备调整、扩容等重复性的相关服务；对因各种突发原因造成的通信网络重大故障做出</w:t>
      </w:r>
      <w:r>
        <w:rPr>
          <w:spacing w:val="-44"/>
        </w:rPr>
        <w:t> </w:t>
      </w:r>
      <w:r>
        <w:rPr>
          <w:spacing w:val="-44"/>
        </w:rPr>
      </w:r>
      <w:r>
        <w:rPr>
          <w:spacing w:val="-2"/>
        </w:rPr>
        <w:t>快速响应并在最短时间内给予解决的应急通信保障服务；为重要社会活动或特殊事件提供应急通信保障服</w:t>
      </w:r>
      <w:r>
        <w:rPr>
          <w:spacing w:val="-43"/>
        </w:rPr>
        <w:t> </w:t>
      </w:r>
      <w:r>
        <w:rPr>
          <w:spacing w:val="-43"/>
        </w:rPr>
      </w:r>
      <w:r>
        <w:rPr/>
        <w:t>务。</w:t>
      </w:r>
      <w:r>
        <w:rPr>
          <w:rFonts w:ascii="宋体" w:hAnsi="宋体" w:cs="宋体" w:eastAsia="宋体" w:hint="default"/>
        </w:rPr>
        <w:t> </w:t>
      </w:r>
    </w:p>
    <w:p>
      <w:pPr>
        <w:pStyle w:val="BodyText"/>
        <w:spacing w:line="237" w:lineRule="auto" w:before="119"/>
        <w:ind w:right="1126" w:firstLine="420"/>
        <w:jc w:val="both"/>
        <w:rPr>
          <w:rFonts w:ascii="宋体" w:hAnsi="宋体" w:cs="宋体" w:eastAsia="宋体" w:hint="default"/>
        </w:rPr>
      </w:pPr>
      <w:r>
        <w:rPr>
          <w:spacing w:val="-2"/>
        </w:rPr>
        <w:t>通信网络维护服务收入属于明确约定了服务期限的劳务服务，公司在服务已经提供后，于提供服务的</w:t>
      </w:r>
      <w:r>
        <w:rPr>
          <w:w w:val="100"/>
        </w:rPr>
        <w:t> </w:t>
      </w:r>
      <w:r>
        <w:rPr>
          <w:spacing w:val="-2"/>
        </w:rPr>
        <w:t>当月确认收入。由于在技术服务合同中一般会约定由客户对公司当月的服务根据故障处理指标（如故障处</w:t>
      </w:r>
      <w:r>
        <w:rPr>
          <w:spacing w:val="-43"/>
        </w:rPr>
        <w:t> </w:t>
      </w:r>
      <w:r>
        <w:rPr>
          <w:spacing w:val="-43"/>
        </w:rPr>
      </w:r>
      <w:r>
        <w:rPr>
          <w:spacing w:val="-2"/>
          <w:w w:val="100"/>
        </w:rPr>
        <w:t>理及时性、故障处理平均历时等）、日常巡检、用户满意度（如用户申告障碍率、用户障碍处理及时性、</w:t>
      </w:r>
      <w:r>
        <w:rPr>
          <w:spacing w:val="-94"/>
          <w:w w:val="100"/>
        </w:rPr>
        <w:t> </w:t>
      </w:r>
      <w:r>
        <w:rPr>
          <w:spacing w:val="-94"/>
          <w:w w:val="100"/>
        </w:rPr>
      </w:r>
      <w:r>
        <w:rPr>
          <w:spacing w:val="-4"/>
          <w:w w:val="100"/>
        </w:rPr>
        <w:t>用户障碍修复平均历时等）、综合管理等在次月进行考核，如果考核评分低于合同约定的标准（通常为</w:t>
      </w:r>
      <w:r>
        <w:rPr>
          <w:spacing w:val="-14"/>
          <w:w w:val="100"/>
        </w:rPr>
        <w:t> </w:t>
      </w:r>
      <w:r>
        <w:rPr>
          <w:rFonts w:ascii="宋体" w:hAnsi="宋体" w:cs="宋体" w:eastAsia="宋体" w:hint="default"/>
          <w:w w:val="100"/>
        </w:rPr>
        <w:t>95</w:t>
      </w:r>
      <w:r>
        <w:rPr>
          <w:rFonts w:ascii="宋体" w:hAnsi="宋体" w:cs="宋体" w:eastAsia="宋体" w:hint="default"/>
          <w:spacing w:val="-103"/>
          <w:w w:val="100"/>
        </w:rPr>
        <w:t> </w:t>
      </w:r>
      <w:r>
        <w:rPr>
          <w:spacing w:val="-7"/>
          <w:w w:val="100"/>
        </w:rPr>
        <w:t>分），客户会依据合同按照得分情况扣减结算额，因此在具体业务中，公司在计算确定当月的服务收入时，</w:t>
      </w:r>
      <w:r>
        <w:rPr>
          <w:spacing w:val="-75"/>
          <w:w w:val="100"/>
        </w:rPr>
        <w:t> </w:t>
      </w:r>
      <w:r>
        <w:rPr>
          <w:spacing w:val="-75"/>
          <w:w w:val="100"/>
        </w:rPr>
      </w:r>
      <w:r>
        <w:rPr>
          <w:spacing w:val="-3"/>
          <w:w w:val="100"/>
        </w:rPr>
        <w:t>根据以往的考核得分情况确定一个扣减率计算当月暂估收入（扣减率通常为</w:t>
      </w:r>
      <w:r>
        <w:rPr>
          <w:spacing w:val="-41"/>
          <w:w w:val="100"/>
        </w:rPr>
        <w:t> </w:t>
      </w:r>
      <w:r>
        <w:rPr>
          <w:rFonts w:ascii="宋体" w:hAnsi="宋体" w:cs="宋体" w:eastAsia="宋体" w:hint="default"/>
          <w:spacing w:val="-11"/>
          <w:w w:val="100"/>
        </w:rPr>
        <w:t>0</w:t>
      </w:r>
      <w:r>
        <w:rPr>
          <w:spacing w:val="-11"/>
          <w:w w:val="100"/>
        </w:rPr>
        <w:t>—</w:t>
      </w:r>
      <w:r>
        <w:rPr>
          <w:rFonts w:ascii="宋体" w:hAnsi="宋体" w:cs="宋体" w:eastAsia="宋体" w:hint="default"/>
          <w:spacing w:val="-11"/>
          <w:w w:val="100"/>
        </w:rPr>
        <w:t>3%</w:t>
      </w:r>
      <w:r>
        <w:rPr>
          <w:spacing w:val="-11"/>
          <w:w w:val="100"/>
        </w:rPr>
        <w:t>），在次月实际考评结果</w:t>
      </w:r>
      <w:r>
        <w:rPr>
          <w:spacing w:val="-100"/>
          <w:w w:val="100"/>
        </w:rPr>
        <w:t> </w:t>
      </w:r>
      <w:r>
        <w:rPr>
          <w:spacing w:val="-100"/>
          <w:w w:val="100"/>
        </w:rPr>
      </w:r>
      <w:r>
        <w:rPr/>
        <w:t>确定后，如有差异再根据实际数额进行调整。</w:t>
      </w:r>
      <w:r>
        <w:rPr>
          <w:rFonts w:ascii="宋体" w:hAnsi="宋体" w:cs="宋体" w:eastAsia="宋体" w:hint="default"/>
        </w:rPr>
        <w:t> </w:t>
      </w:r>
    </w:p>
    <w:p>
      <w:pPr>
        <w:pStyle w:val="BodyText"/>
        <w:spacing w:line="390" w:lineRule="atLeast" w:before="4"/>
        <w:ind w:left="573" w:right="1133" w:hanging="60"/>
        <w:jc w:val="left"/>
      </w:pPr>
      <w:r>
        <w:rPr/>
        <w:t>（</w:t>
      </w:r>
      <w:r>
        <w:rPr>
          <w:rFonts w:ascii="宋体" w:hAnsi="宋体" w:cs="宋体" w:eastAsia="宋体" w:hint="default"/>
        </w:rPr>
        <w:t>2</w:t>
      </w:r>
      <w:r>
        <w:rPr/>
        <w:t>）通信网络优化服务收入</w:t>
      </w:r>
      <w:r>
        <w:rPr>
          <w:rFonts w:ascii="宋体" w:hAnsi="宋体" w:cs="宋体" w:eastAsia="宋体" w:hint="default"/>
          <w:w w:val="100"/>
        </w:rPr>
        <w:t> </w:t>
      </w:r>
      <w:r>
        <w:rPr>
          <w:spacing w:val="-2"/>
        </w:rPr>
        <w:t>通信网络优化服务主要是通过设备调整、参数调整、线路的整治等使动态、复杂的通信网络达到最佳</w:t>
      </w:r>
    </w:p>
    <w:p>
      <w:pPr>
        <w:pStyle w:val="BodyText"/>
        <w:spacing w:line="274" w:lineRule="exact"/>
        <w:ind w:right="0"/>
        <w:jc w:val="both"/>
        <w:rPr>
          <w:rFonts w:ascii="宋体" w:hAnsi="宋体" w:cs="宋体" w:eastAsia="宋体" w:hint="default"/>
        </w:rPr>
      </w:pPr>
      <w:r>
        <w:rPr/>
        <w:t>运行状态。</w:t>
      </w:r>
      <w:r>
        <w:rPr>
          <w:rFonts w:ascii="宋体" w:hAnsi="宋体" w:cs="宋体" w:eastAsia="宋体" w:hint="default"/>
        </w:rPr>
        <w:t> </w:t>
      </w:r>
    </w:p>
    <w:p>
      <w:pPr>
        <w:pStyle w:val="BodyText"/>
        <w:spacing w:line="240" w:lineRule="auto" w:before="117"/>
        <w:ind w:right="1126" w:firstLine="420"/>
        <w:jc w:val="both"/>
        <w:rPr>
          <w:rFonts w:ascii="宋体" w:hAnsi="宋体" w:cs="宋体" w:eastAsia="宋体" w:hint="default"/>
        </w:rPr>
      </w:pPr>
      <w:r>
        <w:rPr>
          <w:spacing w:val="-2"/>
        </w:rPr>
        <w:t>由于网络优化服务的服务模式与网络维护的基本相同，因此收入按照网络维护服务收入的确认原则予</w:t>
      </w:r>
      <w:r>
        <w:rPr>
          <w:w w:val="100"/>
        </w:rPr>
        <w:t> </w:t>
      </w:r>
      <w:r>
        <w:rPr/>
        <w:t>以确认。</w:t>
      </w:r>
      <w:r>
        <w:rPr>
          <w:rFonts w:ascii="宋体" w:hAnsi="宋体" w:cs="宋体" w:eastAsia="宋体" w:hint="default"/>
        </w:rPr>
        <w:t> </w:t>
      </w:r>
    </w:p>
    <w:p>
      <w:pPr>
        <w:pStyle w:val="BodyText"/>
        <w:spacing w:line="394" w:lineRule="exact" w:before="46"/>
        <w:ind w:left="573" w:right="1133"/>
        <w:jc w:val="left"/>
      </w:pPr>
      <w:r>
        <w:rPr/>
        <w:t>（</w:t>
      </w:r>
      <w:r>
        <w:rPr>
          <w:rFonts w:ascii="宋体" w:hAnsi="宋体" w:cs="宋体" w:eastAsia="宋体" w:hint="default"/>
        </w:rPr>
        <w:t>3</w:t>
      </w:r>
      <w:r>
        <w:rPr/>
        <w:t>）通信网络工程项目收入</w:t>
      </w:r>
      <w:r>
        <w:rPr>
          <w:rFonts w:ascii="宋体" w:hAnsi="宋体" w:cs="宋体" w:eastAsia="宋体" w:hint="default"/>
          <w:w w:val="100"/>
        </w:rPr>
        <w:t> </w:t>
      </w:r>
      <w:r>
        <w:rPr>
          <w:spacing w:val="-2"/>
        </w:rPr>
        <w:t>对于阶段性可以验工计价的合同，公司在取得对方单位验收后，根据结算审定金额确认收入；对于无</w:t>
      </w:r>
    </w:p>
    <w:p>
      <w:pPr>
        <w:pStyle w:val="BodyText"/>
        <w:spacing w:line="221" w:lineRule="exact"/>
        <w:ind w:right="0"/>
        <w:jc w:val="both"/>
      </w:pPr>
      <w:r>
        <w:rPr/>
        <w:t>法阶段性验工计价的合同，公司在整个项目竣工验收，并取得对方单位确认的验收报告后，根据验收审定</w:t>
      </w:r>
    </w:p>
    <w:p>
      <w:pPr>
        <w:pStyle w:val="BodyText"/>
        <w:spacing w:line="340" w:lineRule="auto"/>
        <w:ind w:left="513" w:right="8232" w:hanging="361"/>
        <w:jc w:val="left"/>
        <w:rPr>
          <w:rFonts w:ascii="宋体" w:hAnsi="宋体" w:cs="宋体" w:eastAsia="宋体" w:hint="default"/>
        </w:rPr>
      </w:pPr>
      <w:r>
        <w:rPr/>
        <w:t>金额确认收入。</w:t>
      </w:r>
      <w:r>
        <w:rPr>
          <w:rFonts w:ascii="宋体" w:hAnsi="宋体" w:cs="宋体" w:eastAsia="宋体" w:hint="default"/>
          <w:w w:val="100"/>
        </w:rPr>
        <w:t> </w:t>
      </w:r>
      <w:r>
        <w:rPr>
          <w:rFonts w:ascii="宋体" w:hAnsi="宋体" w:cs="宋体" w:eastAsia="宋体" w:hint="default"/>
        </w:rPr>
        <w:t>3</w:t>
      </w:r>
      <w:r>
        <w:rPr/>
        <w:t>、提供劳务</w:t>
      </w:r>
      <w:r>
        <w:rPr>
          <w:rFonts w:ascii="宋体" w:hAnsi="宋体" w:cs="宋体" w:eastAsia="宋体" w:hint="default"/>
        </w:rPr>
        <w:t> </w:t>
      </w:r>
    </w:p>
    <w:p>
      <w:pPr>
        <w:pStyle w:val="BodyText"/>
        <w:spacing w:line="240" w:lineRule="auto" w:before="30"/>
        <w:ind w:left="573" w:right="1133"/>
        <w:jc w:val="left"/>
        <w:rPr>
          <w:rFonts w:ascii="宋体" w:hAnsi="宋体" w:cs="宋体" w:eastAsia="宋体" w:hint="default"/>
        </w:rPr>
      </w:pPr>
      <w:r>
        <w:rPr/>
        <w:t>在下列条件均能满足时予以确认：</w:t>
      </w:r>
      <w:r>
        <w:rPr>
          <w:rFonts w:ascii="宋体" w:hAnsi="宋体" w:cs="宋体" w:eastAsia="宋体" w:hint="default"/>
        </w:rPr>
        <w:t> </w:t>
      </w:r>
    </w:p>
    <w:p>
      <w:pPr>
        <w:pStyle w:val="BodyText"/>
        <w:spacing w:line="240" w:lineRule="auto" w:before="116"/>
        <w:ind w:left="573" w:right="1133"/>
        <w:jc w:val="left"/>
        <w:rPr>
          <w:rFonts w:ascii="宋体" w:hAnsi="宋体" w:cs="宋体" w:eastAsia="宋体" w:hint="default"/>
        </w:rPr>
      </w:pPr>
      <w:r>
        <w:rPr/>
        <w:t>①收入的金额能够可靠地计量；</w:t>
      </w:r>
      <w:r>
        <w:rPr>
          <w:rFonts w:ascii="宋体" w:hAnsi="宋体" w:cs="宋体" w:eastAsia="宋体" w:hint="default"/>
        </w:rPr>
        <w:t> </w:t>
      </w:r>
    </w:p>
    <w:p>
      <w:pPr>
        <w:pStyle w:val="BodyText"/>
        <w:spacing w:line="240" w:lineRule="auto" w:before="116"/>
        <w:ind w:left="573" w:right="1133"/>
        <w:jc w:val="left"/>
        <w:rPr>
          <w:rFonts w:ascii="宋体" w:hAnsi="宋体" w:cs="宋体" w:eastAsia="宋体" w:hint="default"/>
        </w:rPr>
      </w:pPr>
      <w:r>
        <w:rPr/>
        <w:t>②相关的经济利益很可能流入企业；</w:t>
      </w:r>
      <w:r>
        <w:rPr>
          <w:rFonts w:ascii="宋体" w:hAnsi="宋体" w:cs="宋体" w:eastAsia="宋体" w:hint="default"/>
        </w:rPr>
        <w:t> </w:t>
      </w:r>
    </w:p>
    <w:p>
      <w:pPr>
        <w:pStyle w:val="BodyText"/>
        <w:spacing w:line="240" w:lineRule="auto" w:before="118"/>
        <w:ind w:left="573" w:right="1133"/>
        <w:jc w:val="left"/>
        <w:rPr>
          <w:rFonts w:ascii="宋体" w:hAnsi="宋体" w:cs="宋体" w:eastAsia="宋体" w:hint="default"/>
        </w:rPr>
      </w:pPr>
      <w:r>
        <w:rPr/>
        <w:t>③交易的完工进度能够可靠地确定；</w:t>
      </w:r>
      <w:r>
        <w:rPr>
          <w:rFonts w:ascii="宋体" w:hAnsi="宋体" w:cs="宋体" w:eastAsia="宋体" w:hint="default"/>
        </w:rPr>
        <w:t> </w:t>
      </w:r>
    </w:p>
    <w:p>
      <w:pPr>
        <w:pStyle w:val="BodyText"/>
        <w:spacing w:line="343" w:lineRule="auto" w:before="116"/>
        <w:ind w:left="513" w:right="5542" w:firstLine="60"/>
        <w:jc w:val="left"/>
        <w:rPr>
          <w:rFonts w:ascii="宋体" w:hAnsi="宋体" w:cs="宋体" w:eastAsia="宋体" w:hint="default"/>
        </w:rPr>
      </w:pPr>
      <w:r>
        <w:rPr/>
        <w:t>④交易中已发生或将发生的成本能够可靠地计量</w:t>
      </w:r>
      <w:r>
        <w:rPr>
          <w:rFonts w:ascii="宋体" w:hAnsi="宋体" w:cs="宋体" w:eastAsia="宋体" w:hint="default"/>
          <w:w w:val="100"/>
        </w:rPr>
        <w:t> </w:t>
      </w:r>
      <w:r>
        <w:rPr>
          <w:rFonts w:ascii="宋体" w:hAnsi="宋体" w:cs="宋体" w:eastAsia="宋体" w:hint="default"/>
        </w:rPr>
        <w:t>4</w:t>
      </w:r>
      <w:r>
        <w:rPr/>
        <w:t>、让渡资产使用权</w:t>
      </w:r>
      <w:r>
        <w:rPr>
          <w:rFonts w:ascii="宋体" w:hAnsi="宋体" w:cs="宋体" w:eastAsia="宋体" w:hint="default"/>
        </w:rPr>
        <w:t> </w:t>
      </w:r>
    </w:p>
    <w:p>
      <w:pPr>
        <w:pStyle w:val="BodyText"/>
        <w:spacing w:line="240" w:lineRule="auto" w:before="26"/>
        <w:ind w:right="1126" w:firstLine="420"/>
        <w:jc w:val="both"/>
        <w:rPr>
          <w:rFonts w:ascii="宋体" w:hAnsi="宋体" w:cs="宋体" w:eastAsia="宋体" w:hint="default"/>
        </w:rPr>
      </w:pPr>
      <w:r>
        <w:rPr>
          <w:spacing w:val="-2"/>
        </w:rPr>
        <w:t>与交易相关的经济利益很可能流入企业，收入的金额能够可靠地计量时，分别下列情况确定让渡资产</w:t>
      </w:r>
      <w:r>
        <w:rPr>
          <w:w w:val="100"/>
        </w:rPr>
        <w:t> </w:t>
      </w:r>
      <w:r>
        <w:rPr/>
        <w:t>使用权收入金额：</w:t>
      </w:r>
      <w:r>
        <w:rPr>
          <w:rFonts w:ascii="宋体" w:hAnsi="宋体" w:cs="宋体" w:eastAsia="宋体" w:hint="default"/>
        </w:rPr>
        <w:t> </w:t>
      </w:r>
    </w:p>
    <w:p>
      <w:pPr>
        <w:pStyle w:val="BodyText"/>
        <w:spacing w:line="240" w:lineRule="auto" w:before="116"/>
        <w:ind w:left="573" w:right="1133"/>
        <w:jc w:val="left"/>
        <w:rPr>
          <w:rFonts w:ascii="宋体" w:hAnsi="宋体" w:cs="宋体" w:eastAsia="宋体" w:hint="default"/>
        </w:rPr>
      </w:pPr>
      <w:r>
        <w:rPr/>
        <w:t>①利息收入金额，按照他人使用本企业货币资金的时间和实际利率计算确定；</w:t>
      </w:r>
      <w:r>
        <w:rPr>
          <w:rFonts w:ascii="宋体" w:hAnsi="宋体" w:cs="宋体" w:eastAsia="宋体" w:hint="default"/>
        </w:rPr>
        <w:t> </w:t>
      </w:r>
    </w:p>
    <w:p>
      <w:pPr>
        <w:pStyle w:val="BodyText"/>
        <w:spacing w:line="340" w:lineRule="auto" w:before="118"/>
        <w:ind w:left="513" w:right="2896" w:firstLine="60"/>
        <w:jc w:val="left"/>
        <w:rPr>
          <w:rFonts w:ascii="宋体" w:hAnsi="宋体" w:cs="宋体" w:eastAsia="宋体" w:hint="default"/>
        </w:rPr>
      </w:pPr>
      <w:r>
        <w:rPr/>
        <w:t>②使用费收入金额，按照有关合同或协议约定的收费时间和方法计算确定。</w:t>
      </w:r>
      <w:r>
        <w:rPr>
          <w:rFonts w:ascii="宋体" w:hAnsi="宋体" w:cs="宋体" w:eastAsia="宋体" w:hint="default"/>
          <w:w w:val="100"/>
        </w:rPr>
        <w:t> </w:t>
      </w:r>
      <w:r>
        <w:rPr>
          <w:rFonts w:ascii="宋体" w:hAnsi="宋体" w:cs="宋体" w:eastAsia="宋体" w:hint="default"/>
        </w:rPr>
        <w:t>5</w:t>
      </w:r>
      <w:r>
        <w:rPr/>
        <w:t>、坐席租赁收入</w:t>
      </w:r>
      <w:r>
        <w:rPr>
          <w:rFonts w:ascii="宋体" w:hAnsi="宋体" w:cs="宋体" w:eastAsia="宋体" w:hint="default"/>
        </w:rPr>
        <w:t> </w:t>
      </w:r>
    </w:p>
    <w:p>
      <w:pPr>
        <w:pStyle w:val="BodyText"/>
        <w:spacing w:line="237" w:lineRule="auto" w:before="33"/>
        <w:ind w:right="1126" w:firstLine="420"/>
        <w:jc w:val="both"/>
        <w:rPr>
          <w:rFonts w:ascii="宋体" w:hAnsi="宋体" w:cs="宋体" w:eastAsia="宋体" w:hint="default"/>
        </w:rPr>
      </w:pPr>
      <w:r>
        <w:rPr>
          <w:spacing w:val="-2"/>
        </w:rPr>
        <w:t>根据公司与客户签订的合作协议，本公司向客户提供办公场地人员坐席租赁服务，并按合同约定的价</w:t>
      </w:r>
      <w:r>
        <w:rPr>
          <w:w w:val="100"/>
        </w:rPr>
        <w:t> </w:t>
      </w:r>
      <w:r>
        <w:rPr>
          <w:spacing w:val="-2"/>
        </w:rPr>
        <w:t>格及坐席使用数量进行结算，公司在当月根据合同约定的价格及坐席使用数量计算确认收入，在次月与客</w:t>
      </w:r>
      <w:r>
        <w:rPr>
          <w:spacing w:val="-44"/>
        </w:rPr>
        <w:t> </w:t>
      </w:r>
      <w:r>
        <w:rPr>
          <w:spacing w:val="-44"/>
        </w:rPr>
      </w:r>
      <w:r>
        <w:rPr/>
        <w:t>户对账后，将对账差异在对账当月进行调整。</w:t>
      </w:r>
      <w:r>
        <w:rPr>
          <w:rFonts w:ascii="宋体" w:hAnsi="宋体" w:cs="宋体" w:eastAsia="宋体" w:hint="default"/>
        </w:rPr>
        <w:t> </w:t>
      </w:r>
    </w:p>
    <w:p>
      <w:pPr>
        <w:pStyle w:val="BodyText"/>
        <w:spacing w:line="240" w:lineRule="auto" w:before="116"/>
        <w:ind w:left="513" w:right="1133"/>
        <w:jc w:val="left"/>
        <w:rPr>
          <w:rFonts w:ascii="宋体" w:hAnsi="宋体" w:cs="宋体" w:eastAsia="宋体" w:hint="default"/>
        </w:rPr>
      </w:pPr>
      <w:r>
        <w:rPr>
          <w:rFonts w:ascii="宋体" w:hAnsi="宋体" w:cs="宋体" w:eastAsia="宋体" w:hint="default"/>
        </w:rPr>
        <w:t>6</w:t>
      </w:r>
      <w:r>
        <w:rPr/>
        <w:t>、金服业务收入</w:t>
      </w:r>
      <w:r>
        <w:rPr>
          <w:rFonts w:ascii="宋体" w:hAnsi="宋体" w:cs="宋体" w:eastAsia="宋体" w:hint="default"/>
        </w:rPr>
        <w:t> </w:t>
      </w:r>
    </w:p>
    <w:p>
      <w:pPr>
        <w:pStyle w:val="BodyText"/>
        <w:spacing w:line="237" w:lineRule="auto" w:before="122"/>
        <w:ind w:right="1021" w:firstLine="420"/>
        <w:jc w:val="both"/>
        <w:rPr>
          <w:rFonts w:ascii="宋体" w:hAnsi="宋体" w:cs="宋体" w:eastAsia="宋体" w:hint="default"/>
        </w:rPr>
      </w:pPr>
      <w:r>
        <w:rPr>
          <w:spacing w:val="-5"/>
        </w:rPr>
        <w:t>根据公司与客户签订的合作协议，由公司提供办公场地及相应的人员，为客户提供商务流程外包服务，</w:t>
      </w:r>
      <w:r>
        <w:rPr>
          <w:w w:val="100"/>
        </w:rPr>
        <w:t> </w:t>
      </w:r>
      <w:r>
        <w:rPr>
          <w:spacing w:val="-5"/>
        </w:rPr>
        <w:t>按约定比例获取服务费，公司在当月根据合同约定的服务费结算方式计算确认收入，在次月与客户对账后，</w:t>
      </w:r>
      <w:r>
        <w:rPr>
          <w:spacing w:val="-4"/>
        </w:rPr>
        <w:t> </w:t>
      </w:r>
      <w:r>
        <w:rPr>
          <w:spacing w:val="-4"/>
        </w:rPr>
      </w:r>
      <w:r>
        <w:rPr/>
        <w:t>将对账差异在对账当月进行调整。</w:t>
      </w:r>
      <w:r>
        <w:rPr>
          <w:rFonts w:ascii="宋体" w:hAnsi="宋体" w:cs="宋体" w:eastAsia="宋体" w:hint="default"/>
        </w:rPr>
        <w:t> </w:t>
      </w:r>
    </w:p>
    <w:p>
      <w:pPr>
        <w:pStyle w:val="BodyText"/>
        <w:spacing w:line="394" w:lineRule="exact" w:before="46"/>
        <w:ind w:left="573" w:right="1133" w:hanging="209"/>
        <w:jc w:val="left"/>
      </w:pPr>
      <w:r>
        <w:rPr>
          <w:rFonts w:ascii="宋体" w:hAnsi="宋体" w:cs="宋体" w:eastAsia="宋体" w:hint="default"/>
          <w:b/>
          <w:bCs/>
        </w:rPr>
        <w:t>（二十六）政府补助</w:t>
      </w:r>
      <w:r>
        <w:rPr>
          <w:rFonts w:ascii="宋体" w:hAnsi="宋体" w:cs="宋体" w:eastAsia="宋体" w:hint="default"/>
          <w:b/>
          <w:bCs/>
          <w:w w:val="99"/>
        </w:rPr>
        <w:t> </w:t>
      </w:r>
      <w:r>
        <w:rPr>
          <w:spacing w:val="-2"/>
        </w:rPr>
        <w:t>政府补助，是公司从政府无偿取得货币性资产或非货币性资产。分为与资产相关的政府补助和与收益</w:t>
      </w:r>
    </w:p>
    <w:p>
      <w:pPr>
        <w:pStyle w:val="BodyText"/>
        <w:spacing w:line="222" w:lineRule="exact"/>
        <w:ind w:right="0"/>
        <w:jc w:val="both"/>
        <w:rPr>
          <w:rFonts w:ascii="宋体" w:hAnsi="宋体" w:cs="宋体" w:eastAsia="宋体" w:hint="default"/>
        </w:rPr>
      </w:pPr>
      <w:r>
        <w:rPr/>
        <w:t>相关的政府补助。</w:t>
      </w:r>
      <w:r>
        <w:rPr>
          <w:rFonts w:ascii="宋体" w:hAnsi="宋体" w:cs="宋体" w:eastAsia="宋体" w:hint="default"/>
        </w:rPr>
        <w:t> </w:t>
      </w:r>
    </w:p>
    <w:p>
      <w:pPr>
        <w:spacing w:after="0" w:line="222" w:lineRule="exact"/>
        <w:jc w:val="both"/>
        <w:rPr>
          <w:rFonts w:ascii="宋体" w:hAnsi="宋体" w:cs="宋体" w:eastAsia="宋体" w:hint="default"/>
        </w:rPr>
        <w:sectPr>
          <w:pgSz w:w="11910" w:h="16840"/>
          <w:pgMar w:header="921" w:footer="725" w:top="1160" w:bottom="920" w:left="980" w:right="0"/>
        </w:sectPr>
      </w:pPr>
    </w:p>
    <w:p>
      <w:pPr>
        <w:spacing w:line="240" w:lineRule="auto" w:before="12"/>
        <w:rPr>
          <w:rFonts w:ascii="宋体" w:hAnsi="宋体" w:cs="宋体" w:eastAsia="宋体" w:hint="default"/>
          <w:sz w:val="15"/>
          <w:szCs w:val="15"/>
        </w:rPr>
      </w:pPr>
    </w:p>
    <w:p>
      <w:pPr>
        <w:pStyle w:val="BodyText"/>
        <w:spacing w:line="240" w:lineRule="auto" w:before="36"/>
        <w:ind w:left="573" w:right="1133"/>
        <w:jc w:val="left"/>
        <w:rPr>
          <w:rFonts w:ascii="宋体" w:hAnsi="宋体" w:cs="宋体" w:eastAsia="宋体" w:hint="default"/>
        </w:rPr>
      </w:pPr>
      <w:r>
        <w:rPr>
          <w:rFonts w:ascii="宋体" w:hAnsi="宋体" w:cs="宋体" w:eastAsia="宋体" w:hint="default"/>
        </w:rPr>
        <w:t>1</w:t>
      </w:r>
      <w:r>
        <w:rPr/>
        <w:t>、与资产相关的政府补助判断依据及会计处理方法</w:t>
      </w:r>
      <w:r>
        <w:rPr>
          <w:rFonts w:ascii="宋体" w:hAnsi="宋体" w:cs="宋体" w:eastAsia="宋体" w:hint="default"/>
        </w:rPr>
        <w:t> </w:t>
      </w:r>
    </w:p>
    <w:p>
      <w:pPr>
        <w:pStyle w:val="BodyText"/>
        <w:spacing w:line="394" w:lineRule="exact" w:before="47"/>
        <w:ind w:left="573" w:right="1133"/>
        <w:jc w:val="left"/>
      </w:pPr>
      <w:r>
        <w:rPr/>
        <w:t>公司取得的、用于购建或以其他方式形成长期资产的政府补助作为与资产相关的政府补助。</w:t>
      </w:r>
      <w:r>
        <w:rPr>
          <w:rFonts w:ascii="宋体" w:hAnsi="宋体" w:cs="宋体" w:eastAsia="宋体" w:hint="default"/>
          <w:w w:val="100"/>
        </w:rPr>
        <w:t> </w:t>
      </w:r>
      <w:r>
        <w:rPr>
          <w:spacing w:val="-2"/>
        </w:rPr>
        <w:t>与资产相关的政府补助，冲减相关资产的账面价值。按照名义金额计量的政府补助，直接计入当期损</w:t>
      </w:r>
    </w:p>
    <w:p>
      <w:pPr>
        <w:pStyle w:val="BodyText"/>
        <w:spacing w:line="222" w:lineRule="exact"/>
        <w:ind w:right="1133"/>
        <w:jc w:val="left"/>
        <w:rPr>
          <w:rFonts w:ascii="宋体" w:hAnsi="宋体" w:cs="宋体" w:eastAsia="宋体" w:hint="default"/>
        </w:rPr>
      </w:pPr>
      <w:r>
        <w:rPr/>
        <w:t>益。</w:t>
      </w:r>
      <w:r>
        <w:rPr>
          <w:rFonts w:ascii="宋体" w:hAnsi="宋体" w:cs="宋体" w:eastAsia="宋体" w:hint="default"/>
        </w:rPr>
        <w:t> </w:t>
      </w:r>
    </w:p>
    <w:p>
      <w:pPr>
        <w:pStyle w:val="BodyText"/>
        <w:spacing w:line="272" w:lineRule="exact" w:before="146"/>
        <w:ind w:right="1126" w:firstLine="420"/>
        <w:jc w:val="both"/>
        <w:rPr>
          <w:rFonts w:ascii="宋体" w:hAnsi="宋体" w:cs="宋体" w:eastAsia="宋体" w:hint="default"/>
        </w:rPr>
      </w:pPr>
      <w:r>
        <w:rPr>
          <w:spacing w:val="-2"/>
        </w:rPr>
        <w:t>相关资产在使用寿命结束前被出售、转让、报废或发生毁损的，将尚未分配的相关递延收益余额转入</w:t>
      </w:r>
      <w:r>
        <w:rPr>
          <w:w w:val="100"/>
        </w:rPr>
        <w:t> </w:t>
      </w:r>
      <w:r>
        <w:rPr/>
        <w:t>资产处置当期的损益。</w:t>
      </w:r>
      <w:r>
        <w:rPr>
          <w:rFonts w:ascii="宋体" w:hAnsi="宋体" w:cs="宋体" w:eastAsia="宋体" w:hint="default"/>
        </w:rPr>
        <w:t> </w:t>
      </w:r>
    </w:p>
    <w:p>
      <w:pPr>
        <w:pStyle w:val="BodyText"/>
        <w:spacing w:line="240" w:lineRule="auto" w:before="94"/>
        <w:ind w:left="573" w:right="1133"/>
        <w:jc w:val="left"/>
        <w:rPr>
          <w:rFonts w:ascii="宋体" w:hAnsi="宋体" w:cs="宋体" w:eastAsia="宋体" w:hint="default"/>
        </w:rPr>
      </w:pPr>
      <w:r>
        <w:rPr>
          <w:rFonts w:ascii="宋体" w:hAnsi="宋体" w:cs="宋体" w:eastAsia="宋体" w:hint="default"/>
        </w:rPr>
        <w:t>2</w:t>
      </w:r>
      <w:r>
        <w:rPr/>
        <w:t>、与收益相关的政府补助判断依据及会计处理方法</w:t>
      </w:r>
      <w:r>
        <w:rPr>
          <w:rFonts w:ascii="宋体" w:hAnsi="宋体" w:cs="宋体" w:eastAsia="宋体" w:hint="default"/>
        </w:rPr>
        <w:t> </w:t>
      </w:r>
    </w:p>
    <w:p>
      <w:pPr>
        <w:pStyle w:val="BodyText"/>
        <w:spacing w:line="240" w:lineRule="auto" w:before="116"/>
        <w:ind w:right="1126" w:firstLine="420"/>
        <w:jc w:val="both"/>
        <w:rPr>
          <w:rFonts w:ascii="宋体" w:hAnsi="宋体" w:cs="宋体" w:eastAsia="宋体" w:hint="default"/>
        </w:rPr>
      </w:pPr>
      <w:r>
        <w:rPr>
          <w:spacing w:val="-2"/>
        </w:rPr>
        <w:t>公司取得的与资产相关之外的其他政府补助作为与收益相关的政府补助。与收益相关的政府补助，分</w:t>
      </w:r>
      <w:r>
        <w:rPr>
          <w:w w:val="100"/>
        </w:rPr>
        <w:t> </w:t>
      </w:r>
      <w:r>
        <w:rPr/>
        <w:t>别下列情况处理：</w:t>
      </w:r>
      <w:r>
        <w:rPr>
          <w:rFonts w:ascii="宋体" w:hAnsi="宋体" w:cs="宋体" w:eastAsia="宋体" w:hint="default"/>
        </w:rPr>
        <w:t> </w:t>
      </w:r>
    </w:p>
    <w:p>
      <w:pPr>
        <w:pStyle w:val="BodyText"/>
        <w:spacing w:line="240" w:lineRule="auto" w:before="116"/>
        <w:ind w:right="1210" w:firstLine="420"/>
        <w:jc w:val="both"/>
        <w:rPr>
          <w:rFonts w:ascii="宋体" w:hAnsi="宋体" w:cs="宋体" w:eastAsia="宋体" w:hint="default"/>
        </w:rPr>
      </w:pPr>
      <w:r>
        <w:rPr>
          <w:spacing w:val="-2"/>
        </w:rPr>
        <w:t>（</w:t>
      </w:r>
      <w:r>
        <w:rPr>
          <w:rFonts w:ascii="宋体" w:hAnsi="宋体" w:cs="宋体" w:eastAsia="宋体" w:hint="default"/>
          <w:spacing w:val="-2"/>
        </w:rPr>
        <w:t>1</w:t>
      </w:r>
      <w:r>
        <w:rPr>
          <w:spacing w:val="-2"/>
        </w:rPr>
        <w:t>）用于补偿公司以后期间的相关成本费用或损失的，确认为递延收益，并在确认相关成本费用或</w:t>
      </w:r>
      <w:r>
        <w:rPr>
          <w:w w:val="100"/>
        </w:rPr>
        <w:t> </w:t>
      </w:r>
      <w:r>
        <w:rPr/>
        <w:t>损失的期间，计入当期损益。</w:t>
      </w:r>
      <w:r>
        <w:rPr>
          <w:rFonts w:ascii="宋体" w:hAnsi="宋体" w:cs="宋体" w:eastAsia="宋体" w:hint="default"/>
        </w:rPr>
        <w:t> </w:t>
      </w:r>
    </w:p>
    <w:p>
      <w:pPr>
        <w:pStyle w:val="BodyText"/>
        <w:spacing w:line="240" w:lineRule="auto" w:before="116"/>
        <w:ind w:left="573" w:right="1133"/>
        <w:jc w:val="left"/>
        <w:rPr>
          <w:rFonts w:ascii="宋体" w:hAnsi="宋体" w:cs="宋体" w:eastAsia="宋体" w:hint="default"/>
        </w:rPr>
      </w:pPr>
      <w:r>
        <w:rPr/>
        <w:t>（</w:t>
      </w:r>
      <w:r>
        <w:rPr>
          <w:rFonts w:ascii="宋体" w:hAnsi="宋体" w:cs="宋体" w:eastAsia="宋体" w:hint="default"/>
        </w:rPr>
        <w:t>2</w:t>
      </w:r>
      <w:r>
        <w:rPr/>
        <w:t>）用于补偿公司已发生的相关成本费用或损失的，直接计入当期损益。</w:t>
      </w:r>
      <w:r>
        <w:rPr>
          <w:rFonts w:ascii="宋体" w:hAnsi="宋体" w:cs="宋体" w:eastAsia="宋体" w:hint="default"/>
        </w:rPr>
        <w:t> </w:t>
      </w:r>
    </w:p>
    <w:p>
      <w:pPr>
        <w:pStyle w:val="BodyText"/>
        <w:spacing w:line="272" w:lineRule="exact" w:before="147"/>
        <w:ind w:right="1133"/>
        <w:jc w:val="left"/>
        <w:rPr>
          <w:rFonts w:ascii="宋体" w:hAnsi="宋体" w:cs="宋体" w:eastAsia="宋体" w:hint="default"/>
        </w:rPr>
      </w:pPr>
      <w:r>
        <w:rPr>
          <w:rFonts w:ascii="宋体" w:hAnsi="宋体" w:cs="宋体" w:eastAsia="宋体" w:hint="default"/>
          <w:w w:val="100"/>
        </w:rPr>
        <w:t>    </w:t>
      </w:r>
      <w:r>
        <w:rPr>
          <w:spacing w:val="-2"/>
        </w:rPr>
        <w:t>对于同时包含与资产相关部分和与收益相关部分的政府补助，区分不同部分分别进行会计处理；难以</w:t>
      </w:r>
      <w:r>
        <w:rPr>
          <w:w w:val="100"/>
        </w:rPr>
        <w:t> </w:t>
      </w:r>
      <w:r>
        <w:rPr/>
        <w:t>区分的，整体归类为与收益相关的政府补助。</w:t>
      </w:r>
      <w:r>
        <w:rPr>
          <w:rFonts w:ascii="宋体" w:hAnsi="宋体" w:cs="宋体" w:eastAsia="宋体" w:hint="default"/>
        </w:rPr>
        <w:t> </w:t>
      </w:r>
    </w:p>
    <w:p>
      <w:pPr>
        <w:pStyle w:val="BodyText"/>
        <w:spacing w:line="272" w:lineRule="exact" w:before="121"/>
        <w:ind w:right="1126" w:firstLine="420"/>
        <w:jc w:val="both"/>
        <w:rPr>
          <w:rFonts w:ascii="宋体" w:hAnsi="宋体" w:cs="宋体" w:eastAsia="宋体" w:hint="default"/>
        </w:rPr>
      </w:pPr>
      <w:r>
        <w:rPr>
          <w:spacing w:val="-2"/>
        </w:rPr>
        <w:t>与公司日常活动相关的政府补助，按照经济业务实质，计入其他收益。与公司日常活动无关的政府补</w:t>
      </w:r>
      <w:r>
        <w:rPr>
          <w:w w:val="100"/>
        </w:rPr>
        <w:t> </w:t>
      </w:r>
      <w:r>
        <w:rPr/>
        <w:t>助，计入营业外收支。</w:t>
      </w:r>
      <w:r>
        <w:rPr>
          <w:rFonts w:ascii="宋体" w:hAnsi="宋体" w:cs="宋体" w:eastAsia="宋体" w:hint="default"/>
        </w:rPr>
        <w:t> </w:t>
      </w:r>
    </w:p>
    <w:p>
      <w:pPr>
        <w:spacing w:line="392" w:lineRule="exact" w:before="25"/>
        <w:ind w:left="573" w:right="1133" w:hanging="421"/>
        <w:jc w:val="left"/>
        <w:rPr>
          <w:rFonts w:ascii="宋体" w:hAnsi="宋体" w:cs="宋体" w:eastAsia="宋体" w:hint="default"/>
          <w:sz w:val="21"/>
          <w:szCs w:val="21"/>
        </w:rPr>
      </w:pPr>
      <w:r>
        <w:rPr>
          <w:rFonts w:ascii="宋体" w:hAnsi="宋体" w:cs="宋体" w:eastAsia="宋体" w:hint="default"/>
          <w:b/>
          <w:bCs/>
          <w:sz w:val="21"/>
          <w:szCs w:val="21"/>
        </w:rPr>
        <w:t>（二十七）递延所得税资产和递延所得税负债</w:t>
      </w:r>
      <w:r>
        <w:rPr>
          <w:rFonts w:ascii="宋体" w:hAnsi="宋体" w:cs="宋体" w:eastAsia="宋体" w:hint="default"/>
          <w:b/>
          <w:bCs/>
          <w:w w:val="99"/>
          <w:sz w:val="21"/>
          <w:szCs w:val="21"/>
        </w:rPr>
        <w:t> </w:t>
      </w:r>
      <w:r>
        <w:rPr>
          <w:rFonts w:ascii="宋体" w:hAnsi="宋体" w:cs="宋体" w:eastAsia="宋体" w:hint="default"/>
          <w:spacing w:val="-2"/>
          <w:sz w:val="21"/>
          <w:szCs w:val="21"/>
        </w:rPr>
        <w:t>对于某些资产、负债项目的账面价值与其计税基础之间的差额，以及未作为资产和负债确认但按照税</w:t>
      </w:r>
    </w:p>
    <w:p>
      <w:pPr>
        <w:pStyle w:val="BodyText"/>
        <w:spacing w:line="223" w:lineRule="exact"/>
        <w:ind w:right="819"/>
        <w:jc w:val="left"/>
      </w:pPr>
      <w:r>
        <w:rPr/>
        <w:t>法规定可以确定其计税基础的项目的账面价值与计税基础之间的差额产生的暂时性差异，采用资产负债表</w:t>
      </w:r>
    </w:p>
    <w:p>
      <w:pPr>
        <w:pStyle w:val="BodyText"/>
        <w:spacing w:line="273" w:lineRule="exact"/>
        <w:ind w:right="1133"/>
        <w:jc w:val="left"/>
        <w:rPr>
          <w:rFonts w:ascii="宋体" w:hAnsi="宋体" w:cs="宋体" w:eastAsia="宋体" w:hint="default"/>
        </w:rPr>
      </w:pPr>
      <w:r>
        <w:rPr/>
        <w:t>债务法确认递延所得税资产及递延所得税负债。</w:t>
      </w:r>
      <w:r>
        <w:rPr>
          <w:rFonts w:ascii="宋体" w:hAnsi="宋体" w:cs="宋体" w:eastAsia="宋体" w:hint="default"/>
        </w:rPr>
        <w:t> </w:t>
      </w:r>
    </w:p>
    <w:p>
      <w:pPr>
        <w:pStyle w:val="BodyText"/>
        <w:spacing w:line="237" w:lineRule="auto" w:before="121"/>
        <w:ind w:right="1126" w:firstLine="420"/>
        <w:jc w:val="both"/>
        <w:rPr>
          <w:rFonts w:ascii="宋体" w:hAnsi="宋体" w:cs="宋体" w:eastAsia="宋体" w:hint="default"/>
        </w:rPr>
      </w:pPr>
      <w:r>
        <w:rPr>
          <w:spacing w:val="-2"/>
        </w:rPr>
        <w:t>一般情况下所有暂时性差异均确认相关的递延所得税。但对于可抵扣暂时性差异，以很可能取得用来</w:t>
      </w:r>
      <w:r>
        <w:rPr>
          <w:w w:val="100"/>
        </w:rPr>
        <w:t> </w:t>
      </w:r>
      <w:r>
        <w:rPr>
          <w:spacing w:val="-2"/>
        </w:rPr>
        <w:t>抵扣可抵扣暂时性差异的应纳税所得额为限，确认相关的递延所得税资产。此外，与商誉的初始确认相关</w:t>
      </w:r>
      <w:r>
        <w:rPr>
          <w:spacing w:val="-43"/>
        </w:rPr>
        <w:t> </w:t>
      </w:r>
      <w:r>
        <w:rPr>
          <w:spacing w:val="-43"/>
        </w:rPr>
      </w:r>
      <w:r>
        <w:rPr>
          <w:spacing w:val="-2"/>
        </w:rPr>
        <w:t>的，以及与既不是企业合并、发生时也不影响会计利润和应纳税所得额</w:t>
      </w:r>
      <w:r>
        <w:rPr>
          <w:rFonts w:ascii="宋体" w:hAnsi="宋体" w:cs="宋体" w:eastAsia="宋体" w:hint="default"/>
          <w:spacing w:val="-2"/>
        </w:rPr>
        <w:t>(</w:t>
      </w:r>
      <w:r>
        <w:rPr>
          <w:spacing w:val="-2"/>
        </w:rPr>
        <w:t>或可抵扣亏损</w:t>
      </w:r>
      <w:r>
        <w:rPr>
          <w:rFonts w:ascii="宋体" w:hAnsi="宋体" w:cs="宋体" w:eastAsia="宋体" w:hint="default"/>
          <w:spacing w:val="-2"/>
        </w:rPr>
        <w:t>)</w:t>
      </w:r>
      <w:r>
        <w:rPr>
          <w:spacing w:val="-2"/>
        </w:rPr>
        <w:t>的交易中产生的资</w:t>
      </w:r>
      <w:r>
        <w:rPr>
          <w:spacing w:val="-48"/>
        </w:rPr>
        <w:t> </w:t>
      </w:r>
      <w:r>
        <w:rPr>
          <w:spacing w:val="-48"/>
        </w:rPr>
      </w:r>
      <w:r>
        <w:rPr/>
        <w:t>产或负债的初始确认有关的暂时性差异，不予确认有关的递延所得税资产或负债。</w:t>
      </w:r>
      <w:r>
        <w:rPr>
          <w:rFonts w:ascii="宋体" w:hAnsi="宋体" w:cs="宋体" w:eastAsia="宋体" w:hint="default"/>
        </w:rPr>
        <w:t> </w:t>
      </w:r>
    </w:p>
    <w:p>
      <w:pPr>
        <w:pStyle w:val="BodyText"/>
        <w:spacing w:line="240" w:lineRule="auto" w:before="117"/>
        <w:ind w:right="1126" w:firstLine="420"/>
        <w:jc w:val="both"/>
        <w:rPr>
          <w:rFonts w:ascii="宋体" w:hAnsi="宋体" w:cs="宋体" w:eastAsia="宋体" w:hint="default"/>
        </w:rPr>
      </w:pPr>
      <w:r>
        <w:rPr>
          <w:spacing w:val="-2"/>
        </w:rPr>
        <w:t>对于能够结转以后年度的可抵扣亏损及税款抵减，以很可能获得用来抵扣可抵扣亏损和税款抵减的未</w:t>
      </w:r>
      <w:r>
        <w:rPr>
          <w:w w:val="100"/>
        </w:rPr>
        <w:t> </w:t>
      </w:r>
      <w:r>
        <w:rPr/>
        <w:t>来应纳税所得额为限，确认相应的递延所得税资产。</w:t>
      </w:r>
      <w:r>
        <w:rPr>
          <w:rFonts w:ascii="宋体" w:hAnsi="宋体" w:cs="宋体" w:eastAsia="宋体" w:hint="default"/>
        </w:rPr>
        <w:t> </w:t>
      </w:r>
    </w:p>
    <w:p>
      <w:pPr>
        <w:pStyle w:val="BodyText"/>
        <w:spacing w:line="237" w:lineRule="auto" w:before="119"/>
        <w:ind w:right="819" w:firstLine="420"/>
        <w:jc w:val="left"/>
        <w:rPr>
          <w:rFonts w:ascii="宋体" w:hAnsi="宋体" w:cs="宋体" w:eastAsia="宋体" w:hint="default"/>
        </w:rPr>
      </w:pPr>
      <w:r>
        <w:rPr>
          <w:spacing w:val="-2"/>
        </w:rPr>
        <w:t>确认与子公司、联营企业及合营企业投资相关的应纳税暂时性差异产生的递延所得税负债，除非本公</w:t>
      </w:r>
      <w:r>
        <w:rPr>
          <w:w w:val="100"/>
        </w:rPr>
        <w:t> </w:t>
      </w:r>
      <w:r>
        <w:rPr/>
        <w:t>司能够控制暂时性差异转回的时间，而且该暂时性差异在可预见的未来很可能不会转回。对于与子公司、</w:t>
      </w:r>
      <w:r>
        <w:rPr>
          <w:spacing w:val="-24"/>
        </w:rPr>
        <w:t> </w:t>
      </w:r>
      <w:r>
        <w:rPr>
          <w:spacing w:val="-24"/>
        </w:rPr>
      </w:r>
      <w:r>
        <w:rPr>
          <w:spacing w:val="-2"/>
        </w:rPr>
        <w:t>联营企业及合营企业投资相关的可抵扣暂时性差异，只有当暂时性差异在可预见的未来很可能转回，且未</w:t>
      </w:r>
      <w:r>
        <w:rPr>
          <w:spacing w:val="-43"/>
        </w:rPr>
        <w:t> </w:t>
      </w:r>
      <w:r>
        <w:rPr>
          <w:spacing w:val="-43"/>
        </w:rPr>
      </w:r>
      <w:r>
        <w:rPr>
          <w:spacing w:val="-2"/>
        </w:rPr>
        <w:t>来很可能获得用来抵扣可抵扣暂时性差异的应纳税所得额时，才确认递延所得税资产。资产负债表日，对</w:t>
      </w:r>
      <w:r>
        <w:rPr>
          <w:spacing w:val="-44"/>
        </w:rPr>
        <w:t> </w:t>
      </w:r>
      <w:r>
        <w:rPr>
          <w:spacing w:val="-44"/>
        </w:rPr>
      </w:r>
      <w:r>
        <w:rPr>
          <w:spacing w:val="-2"/>
        </w:rPr>
        <w:t>于递延所得税资产和递延所得税负债，根据税法规定，按照预期收回相关资产或清偿相关负债期间的适用</w:t>
      </w:r>
      <w:r>
        <w:rPr>
          <w:spacing w:val="-44"/>
        </w:rPr>
        <w:t> </w:t>
      </w:r>
      <w:r>
        <w:rPr>
          <w:spacing w:val="-44"/>
        </w:rPr>
      </w:r>
      <w:r>
        <w:rPr/>
        <w:t>税率计量。</w:t>
      </w:r>
      <w:r>
        <w:rPr>
          <w:rFonts w:ascii="宋体" w:hAnsi="宋体" w:cs="宋体" w:eastAsia="宋体" w:hint="default"/>
        </w:rPr>
        <w:t> </w:t>
      </w:r>
    </w:p>
    <w:p>
      <w:pPr>
        <w:pStyle w:val="BodyText"/>
        <w:spacing w:line="237" w:lineRule="auto" w:before="119"/>
        <w:ind w:right="1126" w:firstLine="420"/>
        <w:jc w:val="both"/>
        <w:rPr>
          <w:rFonts w:ascii="宋体" w:hAnsi="宋体" w:cs="宋体" w:eastAsia="宋体" w:hint="default"/>
        </w:rPr>
      </w:pPr>
      <w:r>
        <w:rPr>
          <w:spacing w:val="2"/>
        </w:rPr>
        <w:t>除与直接计入其他综合收益或股东权益的交易和事项相关的当期所得税和递延所得税计入其他综合</w:t>
      </w:r>
      <w:r>
        <w:rPr>
          <w:w w:val="100"/>
        </w:rPr>
        <w:t> </w:t>
      </w:r>
      <w:r>
        <w:rPr>
          <w:spacing w:val="-2"/>
        </w:rPr>
        <w:t>收益或股东权益，以及企业合并产生的递延所得税调整商誉的账面价值外，其余当期所得税和递延所得税</w:t>
      </w:r>
      <w:r>
        <w:rPr>
          <w:spacing w:val="-43"/>
        </w:rPr>
        <w:t> </w:t>
      </w:r>
      <w:r>
        <w:rPr>
          <w:spacing w:val="-43"/>
        </w:rPr>
      </w:r>
      <w:r>
        <w:rPr/>
        <w:t>费用或收益计入当期损益。</w:t>
      </w:r>
      <w:r>
        <w:rPr>
          <w:rFonts w:ascii="宋体" w:hAnsi="宋体" w:cs="宋体" w:eastAsia="宋体" w:hint="default"/>
        </w:rPr>
        <w:t> </w:t>
      </w:r>
    </w:p>
    <w:p>
      <w:pPr>
        <w:pStyle w:val="BodyText"/>
        <w:spacing w:line="237" w:lineRule="auto" w:before="121"/>
        <w:ind w:right="1126" w:firstLine="420"/>
        <w:jc w:val="both"/>
        <w:rPr>
          <w:rFonts w:ascii="宋体" w:hAnsi="宋体" w:cs="宋体" w:eastAsia="宋体" w:hint="default"/>
        </w:rPr>
      </w:pPr>
      <w:r>
        <w:rPr>
          <w:spacing w:val="-2"/>
        </w:rPr>
        <w:t>资产负债表日，对递延所得税资产的账面价值进行复核，如果未来很可能无法获得足够的应纳税所得</w:t>
      </w:r>
      <w:r>
        <w:rPr>
          <w:w w:val="100"/>
        </w:rPr>
        <w:t> </w:t>
      </w:r>
      <w:r>
        <w:rPr>
          <w:spacing w:val="-2"/>
        </w:rPr>
        <w:t>额用以抵扣递延所得税资产的利益，则减记递延所得税资产的账面价值。在很可能获得足够的应纳税所得</w:t>
      </w:r>
      <w:r>
        <w:rPr>
          <w:spacing w:val="-43"/>
        </w:rPr>
        <w:t> </w:t>
      </w:r>
      <w:r>
        <w:rPr>
          <w:spacing w:val="-43"/>
        </w:rPr>
      </w:r>
      <w:r>
        <w:rPr/>
        <w:t>额时，减记的金额予以转回。</w:t>
      </w:r>
      <w:r>
        <w:rPr>
          <w:rFonts w:ascii="宋体" w:hAnsi="宋体" w:cs="宋体" w:eastAsia="宋体" w:hint="default"/>
        </w:rPr>
        <w:t> </w:t>
      </w:r>
    </w:p>
    <w:p>
      <w:pPr>
        <w:pStyle w:val="BodyText"/>
        <w:spacing w:line="240" w:lineRule="auto" w:before="116"/>
        <w:ind w:right="1126" w:firstLine="420"/>
        <w:jc w:val="both"/>
        <w:rPr>
          <w:rFonts w:ascii="宋体" w:hAnsi="宋体" w:cs="宋体" w:eastAsia="宋体" w:hint="default"/>
        </w:rPr>
      </w:pPr>
      <w:r>
        <w:rPr>
          <w:spacing w:val="-2"/>
        </w:rPr>
        <w:t>当拥有以净额结算的法定权利，且意图以净额结算或取得资产、清偿负债同时进行时，本公司当期所</w:t>
      </w:r>
      <w:r>
        <w:rPr>
          <w:w w:val="100"/>
        </w:rPr>
        <w:t> </w:t>
      </w:r>
      <w:r>
        <w:rPr/>
        <w:t>得税资产及当期所得税负债以抵销后的净额列报。</w:t>
      </w:r>
      <w:r>
        <w:rPr>
          <w:rFonts w:ascii="宋体" w:hAnsi="宋体" w:cs="宋体" w:eastAsia="宋体" w:hint="default"/>
        </w:rPr>
        <w:t> </w:t>
      </w:r>
    </w:p>
    <w:p>
      <w:pPr>
        <w:pStyle w:val="BodyText"/>
        <w:spacing w:line="237" w:lineRule="auto" w:before="119"/>
        <w:ind w:right="1126" w:firstLine="420"/>
        <w:jc w:val="both"/>
      </w:pPr>
      <w:r>
        <w:rPr>
          <w:spacing w:val="-2"/>
        </w:rPr>
        <w:t>当拥有以净额结算当期所得税资产及当期所得税负债的法定权利，且递延所得税资产及递延所得税负</w:t>
      </w:r>
      <w:r>
        <w:rPr>
          <w:w w:val="100"/>
        </w:rPr>
        <w:t> </w:t>
      </w:r>
      <w:r>
        <w:rPr>
          <w:spacing w:val="-2"/>
        </w:rPr>
        <w:t>债是与同一税收征管部门对同一纳税主体征收的所得税相关或者是对不同的纳税主体相关，但在未来每一</w:t>
      </w:r>
      <w:r>
        <w:rPr>
          <w:spacing w:val="-43"/>
        </w:rPr>
        <w:t> </w:t>
      </w:r>
      <w:r>
        <w:rPr>
          <w:spacing w:val="-43"/>
        </w:rPr>
      </w:r>
      <w:r>
        <w:rPr>
          <w:spacing w:val="-2"/>
        </w:rPr>
        <w:t>具有重要性的递延所得税资产及负债转回的期间内，涉及的纳税主体意图以净额结算当期所得税资产和负</w:t>
      </w:r>
    </w:p>
    <w:p>
      <w:pPr>
        <w:spacing w:after="0" w:line="237" w:lineRule="auto"/>
        <w:jc w:val="both"/>
        <w:sectPr>
          <w:pgSz w:w="11910" w:h="16840"/>
          <w:pgMar w:header="921" w:footer="725" w:top="1160" w:bottom="920" w:left="980" w:right="0"/>
        </w:sectPr>
      </w:pPr>
    </w:p>
    <w:p>
      <w:pPr>
        <w:spacing w:line="240" w:lineRule="auto" w:before="12"/>
        <w:rPr>
          <w:rFonts w:ascii="宋体" w:hAnsi="宋体" w:cs="宋体" w:eastAsia="宋体" w:hint="default"/>
          <w:sz w:val="15"/>
          <w:szCs w:val="15"/>
        </w:rPr>
      </w:pPr>
    </w:p>
    <w:p>
      <w:pPr>
        <w:pStyle w:val="BodyText"/>
        <w:spacing w:line="240" w:lineRule="auto" w:before="36"/>
        <w:ind w:right="1133"/>
        <w:jc w:val="left"/>
        <w:rPr>
          <w:rFonts w:ascii="宋体" w:hAnsi="宋体" w:cs="宋体" w:eastAsia="宋体" w:hint="default"/>
        </w:rPr>
      </w:pPr>
      <w:r>
        <w:rPr/>
        <w:t>债或是同时取得资产、清偿负债时，递延所得税资产及递延所得税负债以抵销后的净额列报。</w:t>
      </w:r>
      <w:r>
        <w:rPr>
          <w:rFonts w:ascii="宋体" w:hAnsi="宋体" w:cs="宋体" w:eastAsia="宋体" w:hint="default"/>
        </w:rPr>
        <w:t> </w:t>
      </w:r>
    </w:p>
    <w:p>
      <w:pPr>
        <w:spacing w:line="343" w:lineRule="auto" w:before="116"/>
        <w:ind w:left="573" w:right="7341" w:hanging="421"/>
        <w:jc w:val="left"/>
        <w:rPr>
          <w:rFonts w:ascii="宋体" w:hAnsi="宋体" w:cs="宋体" w:eastAsia="宋体" w:hint="default"/>
          <w:sz w:val="21"/>
          <w:szCs w:val="21"/>
        </w:rPr>
      </w:pPr>
      <w:r>
        <w:rPr>
          <w:rFonts w:ascii="宋体" w:hAnsi="宋体" w:cs="宋体" w:eastAsia="宋体" w:hint="default"/>
          <w:b/>
          <w:bCs/>
          <w:sz w:val="21"/>
          <w:szCs w:val="21"/>
        </w:rPr>
        <w:t>（二十八）租赁</w:t>
      </w:r>
      <w:r>
        <w:rPr>
          <w:rFonts w:ascii="宋体" w:hAnsi="宋体" w:cs="宋体" w:eastAsia="宋体" w:hint="default"/>
          <w:b/>
          <w:bCs/>
          <w:w w:val="99"/>
          <w:sz w:val="21"/>
          <w:szCs w:val="21"/>
        </w:rPr>
        <w:t> </w:t>
      </w:r>
      <w:r>
        <w:rPr>
          <w:rFonts w:ascii="宋体" w:hAnsi="宋体" w:cs="宋体" w:eastAsia="宋体" w:hint="default"/>
          <w:sz w:val="21"/>
          <w:szCs w:val="21"/>
        </w:rPr>
        <w:t>1</w:t>
      </w:r>
      <w:r>
        <w:rPr>
          <w:rFonts w:ascii="宋体" w:hAnsi="宋体" w:cs="宋体" w:eastAsia="宋体" w:hint="default"/>
          <w:sz w:val="21"/>
          <w:szCs w:val="21"/>
        </w:rPr>
        <w:t>、经营租赁会计处理</w:t>
      </w:r>
      <w:r>
        <w:rPr>
          <w:rFonts w:ascii="宋体" w:hAnsi="宋体" w:cs="宋体" w:eastAsia="宋体" w:hint="default"/>
          <w:sz w:val="21"/>
          <w:szCs w:val="21"/>
        </w:rPr>
        <w:t> </w:t>
      </w:r>
    </w:p>
    <w:p>
      <w:pPr>
        <w:pStyle w:val="BodyText"/>
        <w:spacing w:line="240" w:lineRule="auto" w:before="26"/>
        <w:ind w:right="1136" w:firstLine="420"/>
        <w:jc w:val="both"/>
        <w:rPr>
          <w:rFonts w:ascii="宋体" w:hAnsi="宋体" w:cs="宋体" w:eastAsia="宋体" w:hint="default"/>
        </w:rPr>
      </w:pPr>
      <w:r>
        <w:rPr/>
        <w:t>（</w:t>
      </w:r>
      <w:r>
        <w:rPr>
          <w:rFonts w:ascii="宋体" w:hAnsi="宋体" w:cs="宋体" w:eastAsia="宋体" w:hint="default"/>
        </w:rPr>
        <w:t>1</w:t>
      </w:r>
      <w:r>
        <w:rPr/>
        <w:t>）租入资产所支付的租赁费，在不扣除免租期的整个租赁期内，按直线法进行分摊，计入当期费</w:t>
      </w:r>
      <w:r>
        <w:rPr>
          <w:w w:val="100"/>
        </w:rPr>
        <w:t> </w:t>
      </w:r>
      <w:r>
        <w:rPr/>
        <w:t>用。支付的与租赁交易相关的初始直接费用，计入当期费用。</w:t>
      </w:r>
      <w:r>
        <w:rPr>
          <w:rFonts w:ascii="宋体" w:hAnsi="宋体" w:cs="宋体" w:eastAsia="宋体" w:hint="default"/>
        </w:rPr>
        <w:t> </w:t>
      </w:r>
    </w:p>
    <w:p>
      <w:pPr>
        <w:pStyle w:val="BodyText"/>
        <w:spacing w:line="240" w:lineRule="auto" w:before="116"/>
        <w:ind w:right="1126" w:firstLine="420"/>
        <w:jc w:val="both"/>
        <w:rPr>
          <w:rFonts w:ascii="宋体" w:hAnsi="宋体" w:cs="宋体" w:eastAsia="宋体" w:hint="default"/>
        </w:rPr>
      </w:pPr>
      <w:r>
        <w:rPr>
          <w:spacing w:val="-2"/>
        </w:rPr>
        <w:t>资产出租方承担了应由承担的与租赁相关的费用时，将该部分费用从租金总额中扣除，按扣除后的租</w:t>
      </w:r>
      <w:r>
        <w:rPr>
          <w:w w:val="100"/>
        </w:rPr>
        <w:t> </w:t>
      </w:r>
      <w:r>
        <w:rPr/>
        <w:t>金费用在租赁期内分摊，计入当期费用。</w:t>
      </w:r>
      <w:r>
        <w:rPr>
          <w:rFonts w:ascii="宋体" w:hAnsi="宋体" w:cs="宋体" w:eastAsia="宋体" w:hint="default"/>
        </w:rPr>
        <w:t> </w:t>
      </w:r>
    </w:p>
    <w:p>
      <w:pPr>
        <w:pStyle w:val="BodyText"/>
        <w:spacing w:line="237" w:lineRule="auto" w:before="119"/>
        <w:ind w:right="1127" w:firstLine="420"/>
        <w:jc w:val="both"/>
        <w:rPr>
          <w:rFonts w:ascii="宋体" w:hAnsi="宋体" w:cs="宋体" w:eastAsia="宋体" w:hint="default"/>
        </w:rPr>
      </w:pPr>
      <w:r>
        <w:rPr/>
        <w:t>（</w:t>
      </w:r>
      <w:r>
        <w:rPr>
          <w:rFonts w:ascii="宋体" w:hAnsi="宋体" w:cs="宋体" w:eastAsia="宋体" w:hint="default"/>
        </w:rPr>
        <w:t>2</w:t>
      </w:r>
      <w:r>
        <w:rPr/>
        <w:t>）出租资产所收取的租赁费，在不扣除免租期的整个租赁期内，按直线法进行分摊，确认为租赁</w:t>
      </w:r>
      <w:r>
        <w:rPr>
          <w:w w:val="100"/>
        </w:rPr>
        <w:t> </w:t>
      </w:r>
      <w:r>
        <w:rPr>
          <w:spacing w:val="-2"/>
        </w:rPr>
        <w:t>收入。支付的与租赁交易相关的初始直接费用，计入当期费用；如金额较大的，则予以资本化，在整个租</w:t>
      </w:r>
      <w:r>
        <w:rPr>
          <w:spacing w:val="-43"/>
        </w:rPr>
        <w:t> </w:t>
      </w:r>
      <w:r>
        <w:rPr>
          <w:spacing w:val="-43"/>
        </w:rPr>
      </w:r>
      <w:r>
        <w:rPr/>
        <w:t>赁期间内按照与租赁收入确认相同的基础分期计入当期收益。</w:t>
      </w:r>
      <w:r>
        <w:rPr>
          <w:rFonts w:ascii="宋体" w:hAnsi="宋体" w:cs="宋体" w:eastAsia="宋体" w:hint="default"/>
        </w:rPr>
        <w:t> </w:t>
      </w:r>
    </w:p>
    <w:p>
      <w:pPr>
        <w:pStyle w:val="BodyText"/>
        <w:spacing w:line="272" w:lineRule="exact" w:before="146"/>
        <w:ind w:right="1126" w:firstLine="420"/>
        <w:jc w:val="both"/>
        <w:rPr>
          <w:rFonts w:ascii="宋体" w:hAnsi="宋体" w:cs="宋体" w:eastAsia="宋体" w:hint="default"/>
        </w:rPr>
      </w:pPr>
      <w:r>
        <w:rPr>
          <w:spacing w:val="-2"/>
        </w:rPr>
        <w:t>承担了应由承租方承担的与租赁相关的费用时，将该部分费用从租金收入总额中扣除，按扣除后的租</w:t>
      </w:r>
      <w:r>
        <w:rPr>
          <w:w w:val="100"/>
        </w:rPr>
        <w:t> </w:t>
      </w:r>
      <w:r>
        <w:rPr/>
        <w:t>金费用在租赁期内分配。</w:t>
      </w:r>
      <w:r>
        <w:rPr>
          <w:rFonts w:ascii="宋体" w:hAnsi="宋体" w:cs="宋体" w:eastAsia="宋体" w:hint="default"/>
        </w:rPr>
        <w:t> </w:t>
      </w:r>
    </w:p>
    <w:p>
      <w:pPr>
        <w:pStyle w:val="BodyText"/>
        <w:spacing w:line="240" w:lineRule="auto" w:before="94"/>
        <w:ind w:left="573" w:right="1133"/>
        <w:jc w:val="left"/>
        <w:rPr>
          <w:rFonts w:ascii="宋体" w:hAnsi="宋体" w:cs="宋体" w:eastAsia="宋体" w:hint="default"/>
        </w:rPr>
      </w:pPr>
      <w:r>
        <w:rPr>
          <w:rFonts w:ascii="宋体" w:hAnsi="宋体" w:cs="宋体" w:eastAsia="宋体" w:hint="default"/>
        </w:rPr>
        <w:t>2</w:t>
      </w:r>
      <w:r>
        <w:rPr/>
        <w:t>、融资租赁会计处理</w:t>
      </w:r>
      <w:r>
        <w:rPr>
          <w:rFonts w:ascii="宋体" w:hAnsi="宋体" w:cs="宋体" w:eastAsia="宋体" w:hint="default"/>
        </w:rPr>
        <w:t> </w:t>
      </w:r>
    </w:p>
    <w:p>
      <w:pPr>
        <w:pStyle w:val="BodyText"/>
        <w:spacing w:line="240" w:lineRule="auto" w:before="116"/>
        <w:ind w:right="1133" w:firstLine="420"/>
        <w:jc w:val="left"/>
        <w:rPr>
          <w:rFonts w:ascii="宋体" w:hAnsi="宋体" w:cs="宋体" w:eastAsia="宋体" w:hint="default"/>
        </w:rPr>
      </w:pPr>
      <w:r>
        <w:rPr/>
        <w:t>（</w:t>
      </w:r>
      <w:r>
        <w:rPr>
          <w:rFonts w:ascii="宋体" w:hAnsi="宋体" w:cs="宋体" w:eastAsia="宋体" w:hint="default"/>
        </w:rPr>
        <w:t>1</w:t>
      </w:r>
      <w:r>
        <w:rPr/>
        <w:t>）融资租入资产：公司在承租开始日，将租赁资产公允价值与最低租赁付款额现值两者中较低者</w:t>
      </w:r>
      <w:r>
        <w:rPr>
          <w:w w:val="100"/>
        </w:rPr>
        <w:t> </w:t>
      </w:r>
      <w:r>
        <w:rPr>
          <w:spacing w:val="-7"/>
          <w:w w:val="100"/>
        </w:rPr>
        <w:t>作为租入资产的入账价值，将最低租赁付款额作为长期应付款的入账价值，其差额作为未确认的融资费用。</w:t>
      </w:r>
      <w:r>
        <w:rPr>
          <w:rFonts w:ascii="宋体" w:hAnsi="宋体" w:cs="宋体" w:eastAsia="宋体" w:hint="default"/>
          <w:w w:val="100"/>
        </w:rPr>
        <w:t> </w:t>
      </w:r>
    </w:p>
    <w:p>
      <w:pPr>
        <w:pStyle w:val="BodyText"/>
        <w:spacing w:line="240" w:lineRule="auto" w:before="116"/>
        <w:ind w:right="1126" w:firstLine="420"/>
        <w:jc w:val="both"/>
        <w:rPr>
          <w:rFonts w:ascii="宋体" w:hAnsi="宋体" w:cs="宋体" w:eastAsia="宋体" w:hint="default"/>
        </w:rPr>
      </w:pPr>
      <w:r>
        <w:rPr>
          <w:spacing w:val="-2"/>
        </w:rPr>
        <w:t>采用实际利率法对未确认的融资费用，在资产租赁期间内摊销，计入财务费用。公司发生的初始直接</w:t>
      </w:r>
      <w:r>
        <w:rPr>
          <w:w w:val="100"/>
        </w:rPr>
        <w:t> </w:t>
      </w:r>
      <w:r>
        <w:rPr/>
        <w:t>费用，计入租入资产价值。</w:t>
      </w:r>
      <w:r>
        <w:rPr>
          <w:rFonts w:ascii="宋体" w:hAnsi="宋体" w:cs="宋体" w:eastAsia="宋体" w:hint="default"/>
        </w:rPr>
        <w:t> </w:t>
      </w:r>
    </w:p>
    <w:p>
      <w:pPr>
        <w:pStyle w:val="BodyText"/>
        <w:spacing w:line="237" w:lineRule="auto" w:before="119"/>
        <w:ind w:right="1126" w:firstLine="420"/>
        <w:jc w:val="both"/>
        <w:rPr>
          <w:rFonts w:ascii="宋体" w:hAnsi="宋体" w:cs="宋体" w:eastAsia="宋体" w:hint="default"/>
        </w:rPr>
      </w:pPr>
      <w:r>
        <w:rPr/>
        <w:t>（</w:t>
      </w:r>
      <w:r>
        <w:rPr>
          <w:rFonts w:ascii="宋体" w:hAnsi="宋体" w:cs="宋体" w:eastAsia="宋体" w:hint="default"/>
        </w:rPr>
        <w:t>2</w:t>
      </w:r>
      <w:r>
        <w:rPr/>
        <w:t>）融资租出资产：公司在租赁开始日，将应收融资租赁款，未担保余值之和与其现值的差额确认</w:t>
      </w:r>
      <w:r>
        <w:rPr>
          <w:w w:val="100"/>
        </w:rPr>
        <w:t> </w:t>
      </w:r>
      <w:r>
        <w:rPr>
          <w:spacing w:val="-2"/>
        </w:rPr>
        <w:t>为未实现融资收益，在将来收到租金的各期间内确认为租赁收入。公司发生的与出租交易相关的初始直接</w:t>
      </w:r>
      <w:r>
        <w:rPr>
          <w:spacing w:val="-42"/>
        </w:rPr>
        <w:t> </w:t>
      </w:r>
      <w:r>
        <w:rPr>
          <w:spacing w:val="-42"/>
        </w:rPr>
      </w:r>
      <w:r>
        <w:rPr/>
        <w:t>费用，计入应收融资租赁款的初始计量中，并减少租赁期内确认的收益金额。</w:t>
      </w:r>
      <w:r>
        <w:rPr>
          <w:rFonts w:ascii="宋体" w:hAnsi="宋体" w:cs="宋体" w:eastAsia="宋体" w:hint="default"/>
        </w:rPr>
        <w:t> </w:t>
      </w:r>
    </w:p>
    <w:p>
      <w:pPr>
        <w:pStyle w:val="BodyText"/>
        <w:spacing w:line="390" w:lineRule="atLeast" w:before="4"/>
        <w:ind w:left="573" w:right="1133" w:hanging="209"/>
        <w:jc w:val="left"/>
      </w:pPr>
      <w:r>
        <w:rPr>
          <w:rFonts w:ascii="宋体" w:hAnsi="宋体" w:cs="宋体" w:eastAsia="宋体" w:hint="default"/>
          <w:b/>
          <w:bCs/>
        </w:rPr>
        <w:t>（二十九）终止经营</w:t>
      </w:r>
      <w:r>
        <w:rPr>
          <w:rFonts w:ascii="宋体" w:hAnsi="宋体" w:cs="宋体" w:eastAsia="宋体" w:hint="default"/>
          <w:b/>
          <w:bCs/>
          <w:w w:val="99"/>
        </w:rPr>
        <w:t> </w:t>
      </w:r>
      <w:r>
        <w:rPr>
          <w:spacing w:val="-2"/>
        </w:rPr>
        <w:t>终止经营，是指满足下列条件之一的、能够单独区分的组成部分，且该组成部分已经处置或划分为持</w:t>
      </w:r>
    </w:p>
    <w:p>
      <w:pPr>
        <w:pStyle w:val="BodyText"/>
        <w:spacing w:line="271" w:lineRule="exact"/>
        <w:ind w:right="1133"/>
        <w:jc w:val="left"/>
        <w:rPr>
          <w:rFonts w:ascii="宋体" w:hAnsi="宋体" w:cs="宋体" w:eastAsia="宋体" w:hint="default"/>
        </w:rPr>
      </w:pPr>
      <w:r>
        <w:rPr/>
        <w:t>有待售类别：</w:t>
      </w:r>
      <w:r>
        <w:rPr>
          <w:rFonts w:ascii="宋体" w:hAnsi="宋体" w:cs="宋体" w:eastAsia="宋体" w:hint="default"/>
        </w:rPr>
        <w:t> </w:t>
      </w:r>
    </w:p>
    <w:p>
      <w:pPr>
        <w:pStyle w:val="BodyText"/>
        <w:spacing w:line="240" w:lineRule="auto" w:before="119"/>
        <w:ind w:left="580" w:right="1133"/>
        <w:jc w:val="left"/>
        <w:rPr>
          <w:rFonts w:ascii="宋体" w:hAnsi="宋体" w:cs="宋体" w:eastAsia="宋体" w:hint="default"/>
        </w:rPr>
      </w:pPr>
      <w:r>
        <w:rPr>
          <w:rFonts w:ascii="宋体" w:hAnsi="宋体" w:cs="宋体" w:eastAsia="宋体" w:hint="default"/>
        </w:rPr>
        <w:t>1</w:t>
      </w:r>
      <w:r>
        <w:rPr/>
        <w:t>、该组成部分代表一项独立的主要业务或一个单独的主要经营地区；</w:t>
      </w:r>
      <w:r>
        <w:rPr>
          <w:rFonts w:ascii="宋体" w:hAnsi="宋体" w:cs="宋体" w:eastAsia="宋体" w:hint="default"/>
        </w:rPr>
        <w:t> </w:t>
      </w:r>
    </w:p>
    <w:p>
      <w:pPr>
        <w:pStyle w:val="BodyText"/>
        <w:spacing w:line="240" w:lineRule="auto" w:before="116"/>
        <w:ind w:right="1210" w:firstLine="420"/>
        <w:jc w:val="both"/>
        <w:rPr>
          <w:rFonts w:ascii="宋体" w:hAnsi="宋体" w:cs="宋体" w:eastAsia="宋体" w:hint="default"/>
        </w:rPr>
      </w:pPr>
      <w:r>
        <w:rPr>
          <w:rFonts w:ascii="宋体" w:hAnsi="宋体" w:cs="宋体" w:eastAsia="宋体" w:hint="default"/>
          <w:spacing w:val="-2"/>
        </w:rPr>
        <w:t>2</w:t>
      </w:r>
      <w:r>
        <w:rPr>
          <w:spacing w:val="-2"/>
        </w:rPr>
        <w:t>、该组成部分是拟对一项独立的主要业务或一个单独的主要经营地区进行处置的一项相关联计划的</w:t>
      </w:r>
      <w:r>
        <w:rPr>
          <w:w w:val="100"/>
        </w:rPr>
        <w:t> </w:t>
      </w:r>
      <w:r>
        <w:rPr/>
        <w:t>一部分；</w:t>
      </w:r>
      <w:r>
        <w:rPr>
          <w:rFonts w:ascii="宋体" w:hAnsi="宋体" w:cs="宋体" w:eastAsia="宋体" w:hint="default"/>
        </w:rPr>
        <w:t> </w:t>
      </w:r>
    </w:p>
    <w:p>
      <w:pPr>
        <w:pStyle w:val="BodyText"/>
        <w:spacing w:line="240" w:lineRule="auto" w:before="116"/>
        <w:ind w:left="573" w:right="1133"/>
        <w:jc w:val="left"/>
        <w:rPr>
          <w:rFonts w:ascii="宋体" w:hAnsi="宋体" w:cs="宋体" w:eastAsia="宋体" w:hint="default"/>
        </w:rPr>
      </w:pPr>
      <w:r>
        <w:rPr>
          <w:rFonts w:ascii="宋体" w:hAnsi="宋体" w:cs="宋体" w:eastAsia="宋体" w:hint="default"/>
        </w:rPr>
        <w:t>3</w:t>
      </w:r>
      <w:r>
        <w:rPr/>
        <w:t>、该组成部分是专为转售而取得的子公司。</w:t>
      </w:r>
      <w:r>
        <w:rPr>
          <w:rFonts w:ascii="宋体" w:hAnsi="宋体" w:cs="宋体" w:eastAsia="宋体" w:hint="default"/>
        </w:rPr>
        <w:t> </w:t>
      </w:r>
    </w:p>
    <w:p>
      <w:pPr>
        <w:pStyle w:val="BodyText"/>
        <w:spacing w:line="240" w:lineRule="auto" w:before="118"/>
        <w:ind w:left="573" w:right="1133"/>
        <w:jc w:val="left"/>
        <w:rPr>
          <w:rFonts w:ascii="宋体" w:hAnsi="宋体" w:cs="宋体" w:eastAsia="宋体" w:hint="default"/>
        </w:rPr>
      </w:pPr>
      <w:r>
        <w:rPr>
          <w:w w:val="100"/>
        </w:rPr>
        <w:t>符合</w:t>
      </w:r>
      <w:r>
        <w:rPr>
          <w:spacing w:val="-3"/>
          <w:w w:val="100"/>
        </w:rPr>
        <w:t>持</w:t>
      </w:r>
      <w:r>
        <w:rPr>
          <w:w w:val="100"/>
        </w:rPr>
        <w:t>有</w:t>
      </w:r>
      <w:r>
        <w:rPr>
          <w:spacing w:val="-3"/>
          <w:w w:val="100"/>
        </w:rPr>
        <w:t>待</w:t>
      </w:r>
      <w:r>
        <w:rPr>
          <w:w w:val="100"/>
        </w:rPr>
        <w:t>售</w:t>
      </w:r>
      <w:r>
        <w:rPr>
          <w:spacing w:val="-3"/>
          <w:w w:val="100"/>
        </w:rPr>
        <w:t>的</w:t>
      </w:r>
      <w:r>
        <w:rPr>
          <w:w w:val="100"/>
        </w:rPr>
        <w:t>资</w:t>
      </w:r>
      <w:r>
        <w:rPr>
          <w:spacing w:val="-3"/>
          <w:w w:val="100"/>
        </w:rPr>
        <w:t>产</w:t>
      </w:r>
      <w:r>
        <w:rPr>
          <w:w w:val="100"/>
        </w:rPr>
        <w:t>的</w:t>
      </w:r>
      <w:r>
        <w:rPr>
          <w:spacing w:val="-3"/>
          <w:w w:val="100"/>
        </w:rPr>
        <w:t>会</w:t>
      </w:r>
      <w:r>
        <w:rPr>
          <w:w w:val="100"/>
        </w:rPr>
        <w:t>计处</w:t>
      </w:r>
      <w:r>
        <w:rPr>
          <w:spacing w:val="-3"/>
          <w:w w:val="100"/>
        </w:rPr>
        <w:t>理</w:t>
      </w:r>
      <w:r>
        <w:rPr>
          <w:w w:val="100"/>
        </w:rPr>
        <w:t>见</w:t>
      </w:r>
      <w:r>
        <w:rPr>
          <w:spacing w:val="-3"/>
          <w:w w:val="100"/>
        </w:rPr>
        <w:t>本</w:t>
      </w:r>
      <w:r>
        <w:rPr>
          <w:w w:val="100"/>
        </w:rPr>
        <w:t>附</w:t>
      </w:r>
      <w:r>
        <w:rPr>
          <w:spacing w:val="-3"/>
          <w:w w:val="100"/>
        </w:rPr>
        <w:t>注</w:t>
      </w:r>
      <w:r>
        <w:rPr>
          <w:w w:val="100"/>
        </w:rPr>
        <w:t>三</w:t>
      </w:r>
      <w:r>
        <w:rPr>
          <w:spacing w:val="-108"/>
          <w:w w:val="100"/>
        </w:rPr>
        <w:t>、</w:t>
      </w:r>
      <w:r>
        <w:rPr>
          <w:w w:val="100"/>
        </w:rPr>
        <w:t>（</w:t>
      </w:r>
      <w:r>
        <w:rPr>
          <w:spacing w:val="-3"/>
          <w:w w:val="100"/>
        </w:rPr>
        <w:t>十二</w:t>
      </w:r>
      <w:r>
        <w:rPr>
          <w:spacing w:val="-106"/>
          <w:w w:val="100"/>
        </w:rPr>
        <w:t>）</w:t>
      </w:r>
      <w:r>
        <w:rPr>
          <w:spacing w:val="-3"/>
          <w:w w:val="100"/>
        </w:rPr>
        <w:t>。</w:t>
      </w:r>
      <w:r>
        <w:rPr>
          <w:rFonts w:ascii="宋体" w:hAnsi="宋体" w:cs="宋体" w:eastAsia="宋体" w:hint="default"/>
          <w:w w:val="100"/>
        </w:rPr>
        <w:t> </w:t>
      </w:r>
    </w:p>
    <w:p>
      <w:pPr>
        <w:pStyle w:val="Heading3"/>
        <w:spacing w:line="240" w:lineRule="auto" w:before="116"/>
        <w:ind w:left="364" w:right="1133"/>
        <w:jc w:val="left"/>
        <w:rPr>
          <w:rFonts w:ascii="宋体" w:hAnsi="宋体" w:cs="宋体" w:eastAsia="宋体" w:hint="default"/>
          <w:b w:val="0"/>
          <w:bCs w:val="0"/>
        </w:rPr>
      </w:pPr>
      <w:r>
        <w:rPr/>
        <w:t>（三十）股份回购</w:t>
      </w:r>
      <w:r>
        <w:rPr>
          <w:rFonts w:ascii="宋体" w:hAnsi="宋体" w:cs="宋体" w:eastAsia="宋体" w:hint="default"/>
          <w:w w:val="99"/>
        </w:rPr>
        <w:t> </w:t>
      </w:r>
      <w:r>
        <w:rPr>
          <w:rFonts w:ascii="宋体" w:hAnsi="宋体" w:cs="宋体" w:eastAsia="宋体" w:hint="default"/>
          <w:b w:val="0"/>
          <w:bCs w:val="0"/>
        </w:rPr>
      </w:r>
    </w:p>
    <w:p>
      <w:pPr>
        <w:pStyle w:val="BodyText"/>
        <w:spacing w:line="390" w:lineRule="atLeast" w:before="3"/>
        <w:ind w:left="573" w:right="1133"/>
        <w:jc w:val="left"/>
      </w:pPr>
      <w:r>
        <w:rPr/>
        <w:t>为减少注册资本或奖励本公司职工等原因而收购本公司股份时，按实际支付的金额记入库存股。</w:t>
      </w:r>
      <w:r>
        <w:rPr>
          <w:rFonts w:ascii="宋体" w:hAnsi="宋体" w:cs="宋体" w:eastAsia="宋体" w:hint="default"/>
          <w:w w:val="100"/>
        </w:rPr>
        <w:t> </w:t>
      </w:r>
      <w:r>
        <w:rPr>
          <w:spacing w:val="-2"/>
        </w:rPr>
        <w:t>根据以权益结算的股份支付协议将收购的股份奖励给本公司职工时，按奖励库存股账面余额与职工所</w:t>
      </w:r>
    </w:p>
    <w:p>
      <w:pPr>
        <w:pStyle w:val="BodyText"/>
        <w:spacing w:line="274" w:lineRule="exact"/>
        <w:ind w:right="1133"/>
        <w:jc w:val="left"/>
        <w:rPr>
          <w:rFonts w:ascii="宋体" w:hAnsi="宋体" w:cs="宋体" w:eastAsia="宋体" w:hint="default"/>
        </w:rPr>
      </w:pPr>
      <w:r>
        <w:rPr>
          <w:w w:val="100"/>
        </w:rPr>
        <w:t>支付</w:t>
      </w:r>
      <w:r>
        <w:rPr>
          <w:spacing w:val="-3"/>
          <w:w w:val="100"/>
        </w:rPr>
        <w:t>现</w:t>
      </w:r>
      <w:r>
        <w:rPr>
          <w:w w:val="100"/>
        </w:rPr>
        <w:t>金</w:t>
      </w:r>
      <w:r>
        <w:rPr>
          <w:spacing w:val="-3"/>
          <w:w w:val="100"/>
        </w:rPr>
        <w:t>及</w:t>
      </w:r>
      <w:r>
        <w:rPr>
          <w:w w:val="100"/>
        </w:rPr>
        <w:t>授</w:t>
      </w:r>
      <w:r>
        <w:rPr>
          <w:spacing w:val="-3"/>
          <w:w w:val="100"/>
        </w:rPr>
        <w:t>予</w:t>
      </w:r>
      <w:r>
        <w:rPr>
          <w:w w:val="100"/>
        </w:rPr>
        <w:t>权</w:t>
      </w:r>
      <w:r>
        <w:rPr>
          <w:spacing w:val="-3"/>
          <w:w w:val="100"/>
        </w:rPr>
        <w:t>益</w:t>
      </w:r>
      <w:r>
        <w:rPr>
          <w:w w:val="100"/>
        </w:rPr>
        <w:t>工</w:t>
      </w:r>
      <w:r>
        <w:rPr>
          <w:spacing w:val="-3"/>
          <w:w w:val="100"/>
        </w:rPr>
        <w:t>具</w:t>
      </w:r>
      <w:r>
        <w:rPr>
          <w:w w:val="100"/>
        </w:rPr>
        <w:t>时确</w:t>
      </w:r>
      <w:r>
        <w:rPr>
          <w:spacing w:val="-3"/>
          <w:w w:val="100"/>
        </w:rPr>
        <w:t>认</w:t>
      </w:r>
      <w:r>
        <w:rPr>
          <w:w w:val="100"/>
        </w:rPr>
        <w:t>的</w:t>
      </w:r>
      <w:r>
        <w:rPr>
          <w:spacing w:val="-3"/>
          <w:w w:val="100"/>
        </w:rPr>
        <w:t>资</w:t>
      </w:r>
      <w:r>
        <w:rPr>
          <w:w w:val="100"/>
        </w:rPr>
        <w:t>本</w:t>
      </w:r>
      <w:r>
        <w:rPr>
          <w:spacing w:val="-3"/>
          <w:w w:val="100"/>
        </w:rPr>
        <w:t>公</w:t>
      </w:r>
      <w:r>
        <w:rPr>
          <w:w w:val="100"/>
        </w:rPr>
        <w:t>积</w:t>
      </w:r>
      <w:r>
        <w:rPr>
          <w:spacing w:val="-3"/>
          <w:w w:val="100"/>
        </w:rPr>
        <w:t>之</w:t>
      </w:r>
      <w:r>
        <w:rPr>
          <w:w w:val="100"/>
        </w:rPr>
        <w:t>间</w:t>
      </w:r>
      <w:r>
        <w:rPr>
          <w:spacing w:val="-3"/>
          <w:w w:val="100"/>
        </w:rPr>
        <w:t>的</w:t>
      </w:r>
      <w:r>
        <w:rPr>
          <w:w w:val="100"/>
        </w:rPr>
        <w:t>差额</w:t>
      </w:r>
      <w:r>
        <w:rPr>
          <w:spacing w:val="-3"/>
          <w:w w:val="100"/>
        </w:rPr>
        <w:t>，</w:t>
      </w:r>
      <w:r>
        <w:rPr>
          <w:w w:val="100"/>
        </w:rPr>
        <w:t>计</w:t>
      </w:r>
      <w:r>
        <w:rPr>
          <w:spacing w:val="-3"/>
          <w:w w:val="100"/>
        </w:rPr>
        <w:t>入</w:t>
      </w:r>
      <w:r>
        <w:rPr>
          <w:w w:val="100"/>
        </w:rPr>
        <w:t>资</w:t>
      </w:r>
      <w:r>
        <w:rPr>
          <w:spacing w:val="-3"/>
          <w:w w:val="100"/>
        </w:rPr>
        <w:t>本</w:t>
      </w:r>
      <w:r>
        <w:rPr>
          <w:w w:val="100"/>
        </w:rPr>
        <w:t>公</w:t>
      </w:r>
      <w:r>
        <w:rPr>
          <w:spacing w:val="-3"/>
          <w:w w:val="100"/>
        </w:rPr>
        <w:t>积</w:t>
      </w:r>
      <w:r>
        <w:rPr>
          <w:w w:val="100"/>
        </w:rPr>
        <w:t>（</w:t>
      </w:r>
      <w:r>
        <w:rPr>
          <w:spacing w:val="-3"/>
          <w:w w:val="100"/>
        </w:rPr>
        <w:t>股</w:t>
      </w:r>
      <w:r>
        <w:rPr>
          <w:w w:val="100"/>
        </w:rPr>
        <w:t>本溢</w:t>
      </w:r>
      <w:r>
        <w:rPr>
          <w:spacing w:val="-3"/>
          <w:w w:val="100"/>
        </w:rPr>
        <w:t>价</w:t>
      </w:r>
      <w:r>
        <w:rPr>
          <w:spacing w:val="-106"/>
          <w:w w:val="100"/>
        </w:rPr>
        <w:t>）</w:t>
      </w:r>
      <w:r>
        <w:rPr>
          <w:spacing w:val="-3"/>
          <w:w w:val="100"/>
        </w:rPr>
        <w:t>。</w:t>
      </w:r>
      <w:r>
        <w:rPr>
          <w:rFonts w:ascii="宋体" w:hAnsi="宋体" w:cs="宋体" w:eastAsia="宋体" w:hint="default"/>
          <w:w w:val="100"/>
        </w:rPr>
        <w:t> </w:t>
      </w:r>
    </w:p>
    <w:p>
      <w:pPr>
        <w:pStyle w:val="BodyText"/>
        <w:spacing w:line="240" w:lineRule="auto" w:before="116"/>
        <w:ind w:right="1128" w:firstLine="420"/>
        <w:jc w:val="both"/>
        <w:rPr>
          <w:rFonts w:ascii="宋体" w:hAnsi="宋体" w:cs="宋体" w:eastAsia="宋体" w:hint="default"/>
        </w:rPr>
      </w:pPr>
      <w:r>
        <w:rPr>
          <w:spacing w:val="-2"/>
        </w:rPr>
        <w:t>注销库存股时，按所注销库存股面值总额注销股本，按所注销库存股的账面余额，冲减库存股，按其</w:t>
      </w:r>
      <w:r>
        <w:rPr>
          <w:w w:val="100"/>
        </w:rPr>
        <w:t> </w:t>
      </w:r>
      <w:r>
        <w:rPr>
          <w:spacing w:val="-5"/>
          <w:w w:val="100"/>
        </w:rPr>
        <w:t>差额冲减资本公积（股本溢价），股本溢价不足冲减的，调整留存收益。</w:t>
      </w:r>
      <w:r>
        <w:rPr>
          <w:rFonts w:ascii="宋体" w:hAnsi="宋体" w:cs="宋体" w:eastAsia="宋体" w:hint="default"/>
          <w:w w:val="100"/>
        </w:rPr>
        <w:t> </w:t>
      </w:r>
    </w:p>
    <w:p>
      <w:pPr>
        <w:pStyle w:val="BodyText"/>
        <w:spacing w:line="412" w:lineRule="exact" w:before="32"/>
        <w:ind w:left="573" w:right="1133" w:hanging="209"/>
        <w:jc w:val="left"/>
      </w:pPr>
      <w:r>
        <w:rPr>
          <w:rFonts w:ascii="宋体" w:hAnsi="宋体" w:cs="宋体" w:eastAsia="宋体" w:hint="default"/>
          <w:b/>
          <w:bCs/>
        </w:rPr>
        <w:t>（三十一）关联方</w:t>
      </w:r>
      <w:r>
        <w:rPr>
          <w:rFonts w:ascii="宋体" w:hAnsi="宋体" w:cs="宋体" w:eastAsia="宋体" w:hint="default"/>
          <w:b/>
          <w:bCs/>
          <w:w w:val="99"/>
        </w:rPr>
        <w:t> </w:t>
      </w:r>
      <w:r>
        <w:rPr>
          <w:spacing w:val="-2"/>
          <w:position w:val="2"/>
        </w:rPr>
        <w:t>一方控制、共同控制另一方或对另一方施加重大影响，以及两方或两方以上同</w:t>
      </w:r>
      <w:r>
        <w:rPr>
          <w:spacing w:val="-2"/>
        </w:rPr>
        <w:t>受一方控制、共同控制</w:t>
      </w:r>
    </w:p>
    <w:p>
      <w:pPr>
        <w:pStyle w:val="BodyText"/>
        <w:spacing w:line="218" w:lineRule="exact"/>
        <w:ind w:right="819"/>
        <w:jc w:val="left"/>
      </w:pPr>
      <w:r>
        <w:rPr/>
        <w:t>的，构成关联方。关联方可为个人或企业。仅仅同受国家控制而不存在其他关联方关系的企业，不构成的</w:t>
      </w:r>
    </w:p>
    <w:p>
      <w:pPr>
        <w:pStyle w:val="BodyText"/>
        <w:spacing w:line="274" w:lineRule="exact"/>
        <w:ind w:right="1133"/>
        <w:jc w:val="left"/>
        <w:rPr>
          <w:rFonts w:ascii="宋体" w:hAnsi="宋体" w:cs="宋体" w:eastAsia="宋体" w:hint="default"/>
        </w:rPr>
      </w:pPr>
      <w:r>
        <w:rPr/>
        <w:t>关联方。</w:t>
      </w:r>
      <w:r>
        <w:rPr>
          <w:rFonts w:ascii="宋体" w:hAnsi="宋体" w:cs="宋体" w:eastAsia="宋体" w:hint="default"/>
        </w:rPr>
        <w:t> </w:t>
      </w:r>
    </w:p>
    <w:p>
      <w:pPr>
        <w:pStyle w:val="BodyText"/>
        <w:spacing w:line="343" w:lineRule="auto" w:before="116"/>
        <w:ind w:left="573" w:right="7341"/>
        <w:jc w:val="left"/>
        <w:rPr>
          <w:rFonts w:ascii="宋体" w:hAnsi="宋体" w:cs="宋体" w:eastAsia="宋体" w:hint="default"/>
        </w:rPr>
      </w:pPr>
      <w:r>
        <w:rPr/>
        <w:t>本公司关联方包括但不限于：</w:t>
      </w:r>
      <w:r>
        <w:rPr>
          <w:spacing w:val="-102"/>
        </w:rPr>
        <w:t> </w:t>
      </w:r>
      <w:r>
        <w:rPr>
          <w:rFonts w:ascii="宋体" w:hAnsi="宋体" w:cs="宋体" w:eastAsia="宋体" w:hint="default"/>
          <w:spacing w:val="-102"/>
        </w:rPr>
      </w:r>
      <w:r>
        <w:rPr>
          <w:rFonts w:ascii="宋体" w:hAnsi="宋体" w:cs="宋体" w:eastAsia="宋体" w:hint="default"/>
        </w:rPr>
        <w:t>1</w:t>
      </w:r>
      <w:r>
        <w:rPr/>
        <w:t>、母公司；</w:t>
      </w:r>
      <w:r>
        <w:rPr>
          <w:rFonts w:ascii="宋体" w:hAnsi="宋体" w:cs="宋体" w:eastAsia="宋体" w:hint="default"/>
        </w:rPr>
        <w:t> </w:t>
      </w:r>
    </w:p>
    <w:p>
      <w:pPr>
        <w:spacing w:after="0" w:line="343" w:lineRule="auto"/>
        <w:jc w:val="left"/>
        <w:rPr>
          <w:rFonts w:ascii="宋体" w:hAnsi="宋体" w:cs="宋体" w:eastAsia="宋体" w:hint="default"/>
        </w:rPr>
        <w:sectPr>
          <w:pgSz w:w="11910" w:h="16840"/>
          <w:pgMar w:header="921" w:footer="725" w:top="1160" w:bottom="920" w:left="980" w:right="0"/>
        </w:sectPr>
      </w:pPr>
    </w:p>
    <w:p>
      <w:pPr>
        <w:spacing w:line="240" w:lineRule="auto" w:before="12"/>
        <w:rPr>
          <w:rFonts w:ascii="宋体" w:hAnsi="宋体" w:cs="宋体" w:eastAsia="宋体" w:hint="default"/>
          <w:sz w:val="15"/>
          <w:szCs w:val="15"/>
        </w:rPr>
      </w:pPr>
    </w:p>
    <w:p>
      <w:pPr>
        <w:pStyle w:val="BodyText"/>
        <w:spacing w:line="240" w:lineRule="auto" w:before="36"/>
        <w:ind w:left="573" w:right="1133"/>
        <w:jc w:val="left"/>
        <w:rPr>
          <w:rFonts w:ascii="宋体" w:hAnsi="宋体" w:cs="宋体" w:eastAsia="宋体" w:hint="default"/>
        </w:rPr>
      </w:pPr>
      <w:r>
        <w:rPr>
          <w:rFonts w:ascii="宋体" w:hAnsi="宋体" w:cs="宋体" w:eastAsia="宋体" w:hint="default"/>
        </w:rPr>
        <w:t>2</w:t>
      </w:r>
      <w:r>
        <w:rPr/>
        <w:t>、子公司；</w:t>
      </w:r>
      <w:r>
        <w:rPr>
          <w:rFonts w:ascii="宋体" w:hAnsi="宋体" w:cs="宋体" w:eastAsia="宋体" w:hint="default"/>
        </w:rPr>
        <w:t> </w:t>
      </w:r>
    </w:p>
    <w:p>
      <w:pPr>
        <w:pStyle w:val="BodyText"/>
        <w:spacing w:line="240" w:lineRule="auto" w:before="116"/>
        <w:ind w:left="573" w:right="1133"/>
        <w:jc w:val="left"/>
        <w:rPr>
          <w:rFonts w:ascii="宋体" w:hAnsi="宋体" w:cs="宋体" w:eastAsia="宋体" w:hint="default"/>
        </w:rPr>
      </w:pPr>
      <w:r>
        <w:rPr>
          <w:rFonts w:ascii="宋体" w:hAnsi="宋体" w:cs="宋体" w:eastAsia="宋体" w:hint="default"/>
        </w:rPr>
        <w:t>3</w:t>
      </w:r>
      <w:r>
        <w:rPr/>
        <w:t>、受同一母公司控制的其他企业；</w:t>
      </w:r>
      <w:r>
        <w:rPr>
          <w:rFonts w:ascii="宋体" w:hAnsi="宋体" w:cs="宋体" w:eastAsia="宋体" w:hint="default"/>
        </w:rPr>
        <w:t> </w:t>
      </w:r>
    </w:p>
    <w:p>
      <w:pPr>
        <w:pStyle w:val="BodyText"/>
        <w:spacing w:line="240" w:lineRule="auto" w:before="118"/>
        <w:ind w:left="573" w:right="1133"/>
        <w:jc w:val="left"/>
        <w:rPr>
          <w:rFonts w:ascii="宋体" w:hAnsi="宋体" w:cs="宋体" w:eastAsia="宋体" w:hint="default"/>
        </w:rPr>
      </w:pPr>
      <w:r>
        <w:rPr>
          <w:rFonts w:ascii="宋体" w:hAnsi="宋体" w:cs="宋体" w:eastAsia="宋体" w:hint="default"/>
        </w:rPr>
        <w:t>4</w:t>
      </w:r>
      <w:r>
        <w:rPr/>
        <w:t>、实施共同控制的投资方；</w:t>
      </w:r>
      <w:r>
        <w:rPr>
          <w:rFonts w:ascii="宋体" w:hAnsi="宋体" w:cs="宋体" w:eastAsia="宋体" w:hint="default"/>
        </w:rPr>
        <w:t> </w:t>
      </w:r>
    </w:p>
    <w:p>
      <w:pPr>
        <w:pStyle w:val="BodyText"/>
        <w:spacing w:line="240" w:lineRule="auto" w:before="116"/>
        <w:ind w:left="573" w:right="1133"/>
        <w:jc w:val="left"/>
        <w:rPr>
          <w:rFonts w:ascii="宋体" w:hAnsi="宋体" w:cs="宋体" w:eastAsia="宋体" w:hint="default"/>
        </w:rPr>
      </w:pPr>
      <w:r>
        <w:rPr>
          <w:rFonts w:ascii="宋体" w:hAnsi="宋体" w:cs="宋体" w:eastAsia="宋体" w:hint="default"/>
        </w:rPr>
        <w:t>5</w:t>
      </w:r>
      <w:r>
        <w:rPr/>
        <w:t>、施加重大影响的投资方；</w:t>
      </w:r>
      <w:r>
        <w:rPr>
          <w:rFonts w:ascii="宋体" w:hAnsi="宋体" w:cs="宋体" w:eastAsia="宋体" w:hint="default"/>
        </w:rPr>
        <w:t> </w:t>
      </w:r>
    </w:p>
    <w:p>
      <w:pPr>
        <w:pStyle w:val="BodyText"/>
        <w:spacing w:line="240" w:lineRule="auto" w:before="118"/>
        <w:ind w:left="573" w:right="1133"/>
        <w:jc w:val="left"/>
        <w:rPr>
          <w:rFonts w:ascii="宋体" w:hAnsi="宋体" w:cs="宋体" w:eastAsia="宋体" w:hint="default"/>
        </w:rPr>
      </w:pPr>
      <w:r>
        <w:rPr>
          <w:rFonts w:ascii="宋体" w:hAnsi="宋体" w:cs="宋体" w:eastAsia="宋体" w:hint="default"/>
        </w:rPr>
        <w:t>6</w:t>
      </w:r>
      <w:r>
        <w:rPr/>
        <w:t>、合营企业，包括合营企业的子公司；</w:t>
      </w:r>
      <w:r>
        <w:rPr>
          <w:rFonts w:ascii="宋体" w:hAnsi="宋体" w:cs="宋体" w:eastAsia="宋体" w:hint="default"/>
        </w:rPr>
        <w:t> </w:t>
      </w:r>
    </w:p>
    <w:p>
      <w:pPr>
        <w:pStyle w:val="BodyText"/>
        <w:spacing w:line="240" w:lineRule="auto" w:before="116"/>
        <w:ind w:left="573" w:right="1133"/>
        <w:jc w:val="left"/>
        <w:rPr>
          <w:rFonts w:ascii="宋体" w:hAnsi="宋体" w:cs="宋体" w:eastAsia="宋体" w:hint="default"/>
        </w:rPr>
      </w:pPr>
      <w:r>
        <w:rPr>
          <w:rFonts w:ascii="宋体" w:hAnsi="宋体" w:cs="宋体" w:eastAsia="宋体" w:hint="default"/>
        </w:rPr>
        <w:t>7</w:t>
      </w:r>
      <w:r>
        <w:rPr/>
        <w:t>、联营企业，包括联营企业的子公司；</w:t>
      </w:r>
      <w:r>
        <w:rPr>
          <w:rFonts w:ascii="宋体" w:hAnsi="宋体" w:cs="宋体" w:eastAsia="宋体" w:hint="default"/>
        </w:rPr>
        <w:t> </w:t>
      </w:r>
    </w:p>
    <w:p>
      <w:pPr>
        <w:pStyle w:val="BodyText"/>
        <w:spacing w:line="240" w:lineRule="auto" w:before="118"/>
        <w:ind w:left="573" w:right="1133"/>
        <w:jc w:val="left"/>
        <w:rPr>
          <w:rFonts w:ascii="宋体" w:hAnsi="宋体" w:cs="宋体" w:eastAsia="宋体" w:hint="default"/>
        </w:rPr>
      </w:pPr>
      <w:r>
        <w:rPr>
          <w:rFonts w:ascii="宋体" w:hAnsi="宋体" w:cs="宋体" w:eastAsia="宋体" w:hint="default"/>
        </w:rPr>
        <w:t>8</w:t>
      </w:r>
      <w:r>
        <w:rPr/>
        <w:t>、主要投资者个人及与其关系密切的家庭成员</w:t>
      </w:r>
      <w:r>
        <w:rPr>
          <w:spacing w:val="-4"/>
        </w:rPr>
        <w:t> </w:t>
      </w:r>
      <w:r>
        <w:rPr>
          <w:rFonts w:ascii="宋体" w:hAnsi="宋体" w:cs="宋体" w:eastAsia="宋体" w:hint="default"/>
          <w:spacing w:val="-4"/>
        </w:rPr>
      </w:r>
      <w:r>
        <w:rPr>
          <w:spacing w:val="-3"/>
        </w:rPr>
        <w:t>；</w:t>
      </w:r>
      <w:r>
        <w:rPr>
          <w:rFonts w:ascii="宋体" w:hAnsi="宋体" w:cs="宋体" w:eastAsia="宋体" w:hint="default"/>
        </w:rPr>
        <w:t> </w:t>
      </w:r>
    </w:p>
    <w:p>
      <w:pPr>
        <w:pStyle w:val="BodyText"/>
        <w:spacing w:line="240" w:lineRule="auto" w:before="116"/>
        <w:ind w:left="573" w:right="1133"/>
        <w:jc w:val="left"/>
        <w:rPr>
          <w:rFonts w:ascii="宋体" w:hAnsi="宋体" w:cs="宋体" w:eastAsia="宋体" w:hint="default"/>
        </w:rPr>
      </w:pPr>
      <w:r>
        <w:rPr>
          <w:rFonts w:ascii="宋体" w:hAnsi="宋体" w:cs="宋体" w:eastAsia="宋体" w:hint="default"/>
        </w:rPr>
        <w:t>9</w:t>
      </w:r>
      <w:r>
        <w:rPr/>
        <w:t>、本公司或其母公司的关键管理人员及与其关系密切的家庭成员；</w:t>
      </w:r>
      <w:r>
        <w:rPr>
          <w:rFonts w:ascii="宋体" w:hAnsi="宋体" w:cs="宋体" w:eastAsia="宋体" w:hint="default"/>
        </w:rPr>
        <w:t> </w:t>
      </w:r>
    </w:p>
    <w:p>
      <w:pPr>
        <w:pStyle w:val="BodyText"/>
        <w:spacing w:line="240" w:lineRule="auto" w:before="118"/>
        <w:ind w:left="580" w:right="819"/>
        <w:jc w:val="left"/>
        <w:rPr>
          <w:rFonts w:ascii="宋体" w:hAnsi="宋体" w:cs="宋体" w:eastAsia="宋体" w:hint="default"/>
        </w:rPr>
      </w:pPr>
      <w:r>
        <w:rPr>
          <w:rFonts w:ascii="宋体" w:hAnsi="宋体" w:cs="宋体" w:eastAsia="宋体" w:hint="default"/>
          <w:w w:val="100"/>
        </w:rPr>
        <w:t>10</w:t>
      </w:r>
      <w:r>
        <w:rPr>
          <w:w w:val="100"/>
        </w:rPr>
        <w:t>、</w:t>
      </w:r>
      <w:r>
        <w:rPr>
          <w:spacing w:val="-3"/>
          <w:w w:val="100"/>
        </w:rPr>
        <w:t>本</w:t>
      </w:r>
      <w:r>
        <w:rPr>
          <w:w w:val="100"/>
        </w:rPr>
        <w:t>公</w:t>
      </w:r>
      <w:r>
        <w:rPr>
          <w:spacing w:val="-3"/>
          <w:w w:val="100"/>
        </w:rPr>
        <w:t>司</w:t>
      </w:r>
      <w:r>
        <w:rPr>
          <w:w w:val="100"/>
        </w:rPr>
        <w:t>主</w:t>
      </w:r>
      <w:r>
        <w:rPr>
          <w:spacing w:val="-3"/>
          <w:w w:val="100"/>
        </w:rPr>
        <w:t>要</w:t>
      </w:r>
      <w:r>
        <w:rPr>
          <w:w w:val="100"/>
        </w:rPr>
        <w:t>投</w:t>
      </w:r>
      <w:r>
        <w:rPr>
          <w:spacing w:val="-3"/>
          <w:w w:val="100"/>
        </w:rPr>
        <w:t>资</w:t>
      </w:r>
      <w:r>
        <w:rPr>
          <w:w w:val="100"/>
        </w:rPr>
        <w:t>者</w:t>
      </w:r>
      <w:r>
        <w:rPr>
          <w:spacing w:val="-3"/>
          <w:w w:val="100"/>
        </w:rPr>
        <w:t>个</w:t>
      </w:r>
      <w:r>
        <w:rPr>
          <w:w w:val="100"/>
        </w:rPr>
        <w:t>人、</w:t>
      </w:r>
      <w:r>
        <w:rPr>
          <w:spacing w:val="-3"/>
          <w:w w:val="100"/>
        </w:rPr>
        <w:t>关</w:t>
      </w:r>
      <w:r>
        <w:rPr>
          <w:spacing w:val="2"/>
          <w:w w:val="100"/>
        </w:rPr>
        <w:t>键</w:t>
      </w:r>
      <w:r>
        <w:rPr>
          <w:w w:val="100"/>
        </w:rPr>
        <w:t>管</w:t>
      </w:r>
      <w:r>
        <w:rPr>
          <w:spacing w:val="2"/>
          <w:w w:val="100"/>
        </w:rPr>
        <w:t>理</w:t>
      </w:r>
      <w:r>
        <w:rPr>
          <w:w w:val="100"/>
        </w:rPr>
        <w:t>人</w:t>
      </w:r>
      <w:r>
        <w:rPr>
          <w:spacing w:val="2"/>
          <w:w w:val="100"/>
        </w:rPr>
        <w:t>员</w:t>
      </w:r>
      <w:r>
        <w:rPr>
          <w:w w:val="100"/>
        </w:rPr>
        <w:t>或</w:t>
      </w:r>
      <w:r>
        <w:rPr>
          <w:spacing w:val="2"/>
          <w:w w:val="100"/>
        </w:rPr>
        <w:t>与</w:t>
      </w:r>
      <w:r>
        <w:rPr>
          <w:w w:val="100"/>
        </w:rPr>
        <w:t>其</w:t>
      </w:r>
      <w:r>
        <w:rPr>
          <w:spacing w:val="2"/>
          <w:w w:val="100"/>
        </w:rPr>
        <w:t>关系</w:t>
      </w:r>
      <w:r>
        <w:rPr>
          <w:w w:val="100"/>
        </w:rPr>
        <w:t>密</w:t>
      </w:r>
      <w:r>
        <w:rPr>
          <w:spacing w:val="2"/>
          <w:w w:val="100"/>
        </w:rPr>
        <w:t>切</w:t>
      </w:r>
      <w:r>
        <w:rPr>
          <w:w w:val="100"/>
        </w:rPr>
        <w:t>的</w:t>
      </w:r>
      <w:r>
        <w:rPr>
          <w:spacing w:val="2"/>
          <w:w w:val="100"/>
        </w:rPr>
        <w:t>家</w:t>
      </w:r>
      <w:r>
        <w:rPr>
          <w:w w:val="100"/>
        </w:rPr>
        <w:t>庭</w:t>
      </w:r>
      <w:r>
        <w:rPr>
          <w:spacing w:val="2"/>
          <w:w w:val="100"/>
        </w:rPr>
        <w:t>成</w:t>
      </w:r>
      <w:r>
        <w:rPr>
          <w:w w:val="100"/>
        </w:rPr>
        <w:t>员</w:t>
      </w:r>
      <w:r>
        <w:rPr>
          <w:spacing w:val="2"/>
          <w:w w:val="100"/>
        </w:rPr>
        <w:t>控</w:t>
      </w:r>
      <w:r>
        <w:rPr>
          <w:w w:val="100"/>
        </w:rPr>
        <w:t>制</w:t>
      </w:r>
      <w:r>
        <w:rPr>
          <w:spacing w:val="2"/>
          <w:w w:val="100"/>
        </w:rPr>
        <w:t>、共</w:t>
      </w:r>
      <w:r>
        <w:rPr>
          <w:w w:val="100"/>
        </w:rPr>
        <w:t>同</w:t>
      </w:r>
      <w:r>
        <w:rPr>
          <w:spacing w:val="2"/>
          <w:w w:val="100"/>
        </w:rPr>
        <w:t>控</w:t>
      </w:r>
      <w:r>
        <w:rPr>
          <w:w w:val="100"/>
        </w:rPr>
        <w:t>制</w:t>
      </w:r>
      <w:r>
        <w:rPr>
          <w:spacing w:val="2"/>
          <w:w w:val="100"/>
        </w:rPr>
        <w:t>的</w:t>
      </w:r>
      <w:r>
        <w:rPr>
          <w:w w:val="100"/>
        </w:rPr>
        <w:t>其</w:t>
      </w:r>
      <w:r>
        <w:rPr>
          <w:spacing w:val="2"/>
          <w:w w:val="100"/>
        </w:rPr>
        <w:t>他</w:t>
      </w:r>
      <w:r>
        <w:rPr>
          <w:w w:val="100"/>
        </w:rPr>
        <w:t>企</w:t>
      </w:r>
      <w:r>
        <w:rPr>
          <w:spacing w:val="2"/>
          <w:w w:val="100"/>
        </w:rPr>
        <w:t>业</w:t>
      </w:r>
      <w:r>
        <w:rPr>
          <w:spacing w:val="-100"/>
          <w:w w:val="100"/>
        </w:rPr>
        <w:t>。</w:t>
      </w:r>
      <w:r>
        <w:rPr>
          <w:rFonts w:ascii="宋体" w:hAnsi="宋体" w:cs="宋体" w:eastAsia="宋体" w:hint="default"/>
          <w:w w:val="100"/>
        </w:rPr>
        <w:t> </w:t>
      </w:r>
    </w:p>
    <w:p>
      <w:pPr>
        <w:pStyle w:val="BodyText"/>
        <w:spacing w:line="240" w:lineRule="auto" w:before="116"/>
        <w:ind w:right="1133" w:firstLine="420"/>
        <w:jc w:val="left"/>
        <w:rPr>
          <w:rFonts w:ascii="宋体" w:hAnsi="宋体" w:cs="宋体" w:eastAsia="宋体" w:hint="default"/>
        </w:rPr>
      </w:pPr>
      <w:r>
        <w:rPr>
          <w:spacing w:val="-2"/>
        </w:rPr>
        <w:t>除上述按照企业会计准则的有关要求被确定为本公司的关联方以外，根据证监会颁布的《上市公司信</w:t>
      </w:r>
      <w:r>
        <w:rPr>
          <w:w w:val="100"/>
        </w:rPr>
        <w:t> </w:t>
      </w:r>
      <w:r>
        <w:rPr>
          <w:position w:val="1"/>
        </w:rPr>
        <w:t>息披露管理办法》的要求，以下企业或个人  </w:t>
      </w:r>
      <w:r>
        <w:rPr>
          <w:rFonts w:ascii="宋体" w:hAnsi="宋体" w:cs="宋体" w:eastAsia="宋体" w:hint="default"/>
          <w:position w:val="1"/>
        </w:rPr>
        <w:t>(</w:t>
      </w:r>
      <w:r>
        <w:rPr>
          <w:position w:val="1"/>
        </w:rPr>
        <w:t>包括但不限于</w:t>
      </w:r>
      <w:r>
        <w:rPr>
          <w:rFonts w:ascii="宋体" w:hAnsi="宋体" w:cs="宋体" w:eastAsia="宋体" w:hint="default"/>
          <w:position w:val="1"/>
        </w:rPr>
        <w:t>)</w:t>
      </w:r>
      <w:r>
        <w:rPr>
          <w:rFonts w:ascii="宋体" w:hAnsi="宋体" w:cs="宋体" w:eastAsia="宋体" w:hint="default"/>
          <w:spacing w:val="94"/>
          <w:position w:val="1"/>
        </w:rPr>
        <w:t> </w:t>
      </w:r>
      <w:r>
        <w:rPr>
          <w:position w:val="1"/>
        </w:rPr>
        <w:t>也属于本公司的关联方：</w:t>
      </w:r>
      <w:r>
        <w:rPr>
          <w:rFonts w:ascii="宋体" w:hAnsi="宋体" w:cs="宋体" w:eastAsia="宋体" w:hint="default"/>
        </w:rPr>
        <w:t> </w:t>
      </w:r>
    </w:p>
    <w:p>
      <w:pPr>
        <w:pStyle w:val="BodyText"/>
        <w:spacing w:line="240" w:lineRule="auto" w:before="115"/>
        <w:ind w:left="580" w:right="1133"/>
        <w:jc w:val="left"/>
        <w:rPr>
          <w:rFonts w:ascii="宋体" w:hAnsi="宋体" w:cs="宋体" w:eastAsia="宋体" w:hint="default"/>
        </w:rPr>
      </w:pPr>
      <w:r>
        <w:rPr>
          <w:rFonts w:ascii="宋体" w:hAnsi="宋体" w:cs="宋体" w:eastAsia="宋体" w:hint="default"/>
        </w:rPr>
        <w:t>11</w:t>
      </w:r>
      <w:r>
        <w:rPr/>
        <w:t>、持有本公司 </w:t>
      </w:r>
      <w:r>
        <w:rPr>
          <w:rFonts w:ascii="宋体" w:hAnsi="宋体" w:cs="宋体" w:eastAsia="宋体" w:hint="default"/>
        </w:rPr>
        <w:t>5%</w:t>
      </w:r>
      <w:r>
        <w:rPr>
          <w:rFonts w:ascii="宋体" w:hAnsi="宋体" w:cs="宋体" w:eastAsia="宋体" w:hint="default"/>
          <w:spacing w:val="44"/>
        </w:rPr>
        <w:t> </w:t>
      </w:r>
      <w:r>
        <w:rPr/>
        <w:t>以上股份的企业或者一致行动人；</w:t>
      </w:r>
      <w:r>
        <w:rPr>
          <w:rFonts w:ascii="宋体" w:hAnsi="宋体" w:cs="宋体" w:eastAsia="宋体" w:hint="default"/>
        </w:rPr>
        <w:t> </w:t>
      </w:r>
    </w:p>
    <w:p>
      <w:pPr>
        <w:pStyle w:val="BodyText"/>
        <w:spacing w:line="272" w:lineRule="exact" w:before="146"/>
        <w:ind w:right="1133" w:firstLine="420"/>
        <w:jc w:val="left"/>
        <w:rPr>
          <w:rFonts w:ascii="宋体" w:hAnsi="宋体" w:cs="宋体" w:eastAsia="宋体" w:hint="default"/>
        </w:rPr>
      </w:pPr>
      <w:r>
        <w:rPr>
          <w:rFonts w:ascii="宋体" w:hAnsi="宋体" w:cs="宋体" w:eastAsia="宋体" w:hint="default"/>
          <w:spacing w:val="-4"/>
        </w:rPr>
        <w:t>12</w:t>
      </w:r>
      <w:r>
        <w:rPr>
          <w:spacing w:val="-4"/>
        </w:rPr>
        <w:t>、直接或者间接持有本公司 </w:t>
      </w:r>
      <w:r>
        <w:rPr>
          <w:rFonts w:ascii="宋体" w:hAnsi="宋体" w:cs="宋体" w:eastAsia="宋体" w:hint="default"/>
        </w:rPr>
        <w:t>5%</w:t>
      </w:r>
      <w:r>
        <w:rPr>
          <w:rFonts w:ascii="宋体" w:hAnsi="宋体" w:cs="宋体" w:eastAsia="宋体" w:hint="default"/>
          <w:spacing w:val="4"/>
        </w:rPr>
        <w:t> </w:t>
      </w:r>
      <w:r>
        <w:rPr>
          <w:spacing w:val="-3"/>
        </w:rPr>
        <w:t>以上股份的个人及与其关系密切的家庭成员，上市公司监事及与其</w:t>
      </w:r>
      <w:r>
        <w:rPr>
          <w:w w:val="100"/>
        </w:rPr>
        <w:t> </w:t>
      </w:r>
      <w:r>
        <w:rPr/>
        <w:t>关系密切的家庭成员；</w:t>
      </w:r>
      <w:r>
        <w:rPr>
          <w:rFonts w:ascii="宋体" w:hAnsi="宋体" w:cs="宋体" w:eastAsia="宋体" w:hint="default"/>
        </w:rPr>
        <w:t> </w:t>
      </w:r>
    </w:p>
    <w:p>
      <w:pPr>
        <w:pStyle w:val="BodyText"/>
        <w:spacing w:line="272" w:lineRule="exact" w:before="121"/>
        <w:ind w:right="819" w:firstLine="420"/>
        <w:jc w:val="left"/>
        <w:rPr>
          <w:rFonts w:ascii="宋体" w:hAnsi="宋体" w:cs="宋体" w:eastAsia="宋体" w:hint="default"/>
        </w:rPr>
      </w:pPr>
      <w:r>
        <w:rPr>
          <w:rFonts w:ascii="宋体" w:hAnsi="宋体" w:cs="宋体" w:eastAsia="宋体" w:hint="default"/>
          <w:spacing w:val="-3"/>
        </w:rPr>
        <w:t>13</w:t>
      </w:r>
      <w:r>
        <w:rPr>
          <w:spacing w:val="-3"/>
        </w:rPr>
        <w:t>、在过去</w:t>
      </w:r>
      <w:r>
        <w:rPr>
          <w:spacing w:val="-50"/>
        </w:rPr>
        <w:t> </w:t>
      </w:r>
      <w:r>
        <w:rPr>
          <w:rFonts w:ascii="宋体" w:hAnsi="宋体" w:cs="宋体" w:eastAsia="宋体" w:hint="default"/>
        </w:rPr>
        <w:t>12</w:t>
      </w:r>
      <w:r>
        <w:rPr>
          <w:rFonts w:ascii="宋体" w:hAnsi="宋体" w:cs="宋体" w:eastAsia="宋体" w:hint="default"/>
          <w:spacing w:val="-52"/>
        </w:rPr>
        <w:t> </w:t>
      </w:r>
      <w:r>
        <w:rPr/>
        <w:t>个月内或者根据相关协议安排在未来</w:t>
      </w:r>
      <w:r>
        <w:rPr>
          <w:spacing w:val="-52"/>
        </w:rPr>
        <w:t> </w:t>
      </w:r>
      <w:r>
        <w:rPr>
          <w:rFonts w:ascii="宋体" w:hAnsi="宋体" w:cs="宋体" w:eastAsia="宋体" w:hint="default"/>
        </w:rPr>
        <w:t>12</w:t>
      </w:r>
      <w:r>
        <w:rPr>
          <w:rFonts w:ascii="宋体" w:hAnsi="宋体" w:cs="宋体" w:eastAsia="宋体" w:hint="default"/>
          <w:spacing w:val="-50"/>
        </w:rPr>
        <w:t> </w:t>
      </w:r>
      <w:r>
        <w:rPr>
          <w:spacing w:val="-3"/>
        </w:rPr>
        <w:t>月内，存在上述第</w:t>
      </w:r>
      <w:r>
        <w:rPr>
          <w:spacing w:val="-50"/>
        </w:rPr>
        <w:t> </w:t>
      </w:r>
      <w:r>
        <w:rPr>
          <w:rFonts w:ascii="宋体" w:hAnsi="宋体" w:cs="宋体" w:eastAsia="宋体" w:hint="default"/>
          <w:spacing w:val="-4"/>
        </w:rPr>
        <w:t>1</w:t>
      </w:r>
      <w:r>
        <w:rPr>
          <w:spacing w:val="-4"/>
        </w:rPr>
        <w:t>、</w:t>
      </w:r>
      <w:r>
        <w:rPr>
          <w:rFonts w:ascii="宋体" w:hAnsi="宋体" w:cs="宋体" w:eastAsia="宋体" w:hint="default"/>
          <w:spacing w:val="-4"/>
        </w:rPr>
        <w:t>3</w:t>
      </w:r>
      <w:r>
        <w:rPr>
          <w:rFonts w:ascii="宋体" w:hAnsi="宋体" w:cs="宋体" w:eastAsia="宋体" w:hint="default"/>
          <w:spacing w:val="-52"/>
        </w:rPr>
        <w:t> </w:t>
      </w:r>
      <w:r>
        <w:rPr/>
        <w:t>和</w:t>
      </w:r>
      <w:r>
        <w:rPr>
          <w:spacing w:val="-50"/>
        </w:rPr>
        <w:t> </w:t>
      </w:r>
      <w:r>
        <w:rPr>
          <w:rFonts w:ascii="宋体" w:hAnsi="宋体" w:cs="宋体" w:eastAsia="宋体" w:hint="default"/>
        </w:rPr>
        <w:t>11</w:t>
      </w:r>
      <w:r>
        <w:rPr>
          <w:rFonts w:ascii="宋体" w:hAnsi="宋体" w:cs="宋体" w:eastAsia="宋体" w:hint="default"/>
          <w:spacing w:val="-52"/>
        </w:rPr>
        <w:t> </w:t>
      </w:r>
      <w:r>
        <w:rPr/>
        <w:t>项情形之一的企</w:t>
      </w:r>
      <w:r>
        <w:rPr>
          <w:w w:val="100"/>
        </w:rPr>
        <w:t> </w:t>
      </w:r>
      <w:r>
        <w:rPr/>
        <w:t>业；</w:t>
      </w:r>
      <w:r>
        <w:rPr>
          <w:rFonts w:ascii="宋体" w:hAnsi="宋体" w:cs="宋体" w:eastAsia="宋体" w:hint="default"/>
        </w:rPr>
        <w:t> </w:t>
      </w:r>
    </w:p>
    <w:p>
      <w:pPr>
        <w:pStyle w:val="BodyText"/>
        <w:spacing w:line="240" w:lineRule="auto" w:before="94"/>
        <w:ind w:left="573" w:right="819"/>
        <w:jc w:val="left"/>
        <w:rPr>
          <w:rFonts w:ascii="宋体" w:hAnsi="宋体" w:cs="宋体" w:eastAsia="宋体" w:hint="default"/>
        </w:rPr>
      </w:pPr>
      <w:r>
        <w:rPr>
          <w:rFonts w:ascii="宋体" w:hAnsi="宋体" w:cs="宋体" w:eastAsia="宋体" w:hint="default"/>
          <w:w w:val="100"/>
        </w:rPr>
        <w:t>14</w:t>
      </w:r>
      <w:r>
        <w:rPr>
          <w:w w:val="100"/>
        </w:rPr>
        <w:t>、</w:t>
      </w:r>
      <w:r>
        <w:rPr>
          <w:spacing w:val="-3"/>
          <w:w w:val="100"/>
        </w:rPr>
        <w:t>在过</w:t>
      </w:r>
      <w:r>
        <w:rPr>
          <w:w w:val="100"/>
        </w:rPr>
        <w:t>去</w:t>
      </w:r>
      <w:r>
        <w:rPr>
          <w:spacing w:val="-53"/>
        </w:rPr>
        <w:t> </w:t>
      </w:r>
      <w:r>
        <w:rPr>
          <w:rFonts w:ascii="宋体" w:hAnsi="宋体" w:cs="宋体" w:eastAsia="宋体" w:hint="default"/>
          <w:w w:val="100"/>
        </w:rPr>
        <w:t>12</w:t>
      </w:r>
      <w:r>
        <w:rPr>
          <w:rFonts w:ascii="宋体" w:hAnsi="宋体" w:cs="宋体" w:eastAsia="宋体" w:hint="default"/>
          <w:spacing w:val="-55"/>
        </w:rPr>
        <w:t> </w:t>
      </w:r>
      <w:r>
        <w:rPr>
          <w:w w:val="100"/>
        </w:rPr>
        <w:t>个</w:t>
      </w:r>
      <w:r>
        <w:rPr>
          <w:spacing w:val="-3"/>
          <w:w w:val="100"/>
        </w:rPr>
        <w:t>月</w:t>
      </w:r>
      <w:r>
        <w:rPr>
          <w:w w:val="100"/>
        </w:rPr>
        <w:t>内</w:t>
      </w:r>
      <w:r>
        <w:rPr>
          <w:spacing w:val="-3"/>
          <w:w w:val="100"/>
        </w:rPr>
        <w:t>或</w:t>
      </w:r>
      <w:r>
        <w:rPr>
          <w:w w:val="100"/>
        </w:rPr>
        <w:t>者</w:t>
      </w:r>
      <w:r>
        <w:rPr>
          <w:spacing w:val="2"/>
          <w:w w:val="100"/>
        </w:rPr>
        <w:t>根据</w:t>
      </w:r>
      <w:r>
        <w:rPr>
          <w:w w:val="100"/>
        </w:rPr>
        <w:t>相</w:t>
      </w:r>
      <w:r>
        <w:rPr>
          <w:spacing w:val="2"/>
          <w:w w:val="100"/>
        </w:rPr>
        <w:t>关</w:t>
      </w:r>
      <w:r>
        <w:rPr>
          <w:w w:val="100"/>
        </w:rPr>
        <w:t>协</w:t>
      </w:r>
      <w:r>
        <w:rPr>
          <w:spacing w:val="2"/>
          <w:w w:val="100"/>
        </w:rPr>
        <w:t>议</w:t>
      </w:r>
      <w:r>
        <w:rPr>
          <w:w w:val="100"/>
        </w:rPr>
        <w:t>安</w:t>
      </w:r>
      <w:r>
        <w:rPr>
          <w:spacing w:val="2"/>
          <w:w w:val="100"/>
        </w:rPr>
        <w:t>排</w:t>
      </w:r>
      <w:r>
        <w:rPr>
          <w:w w:val="100"/>
        </w:rPr>
        <w:t>在未来</w:t>
      </w:r>
      <w:r>
        <w:rPr>
          <w:spacing w:val="-51"/>
        </w:rPr>
        <w:t> </w:t>
      </w:r>
      <w:r>
        <w:rPr>
          <w:rFonts w:ascii="宋体" w:hAnsi="宋体" w:cs="宋体" w:eastAsia="宋体" w:hint="default"/>
          <w:spacing w:val="2"/>
          <w:w w:val="100"/>
        </w:rPr>
        <w:t>1</w:t>
      </w:r>
      <w:r>
        <w:rPr>
          <w:rFonts w:ascii="宋体" w:hAnsi="宋体" w:cs="宋体" w:eastAsia="宋体" w:hint="default"/>
          <w:w w:val="100"/>
        </w:rPr>
        <w:t>2</w:t>
      </w:r>
      <w:r>
        <w:rPr>
          <w:rFonts w:ascii="宋体" w:hAnsi="宋体" w:cs="宋体" w:eastAsia="宋体" w:hint="default"/>
          <w:spacing w:val="-50"/>
        </w:rPr>
        <w:t> </w:t>
      </w:r>
      <w:r>
        <w:rPr>
          <w:w w:val="100"/>
        </w:rPr>
        <w:t>月</w:t>
      </w:r>
      <w:r>
        <w:rPr>
          <w:spacing w:val="2"/>
          <w:w w:val="100"/>
        </w:rPr>
        <w:t>内</w:t>
      </w:r>
      <w:r>
        <w:rPr>
          <w:w w:val="100"/>
        </w:rPr>
        <w:t>，</w:t>
      </w:r>
      <w:r>
        <w:rPr>
          <w:spacing w:val="2"/>
          <w:w w:val="100"/>
        </w:rPr>
        <w:t>存</w:t>
      </w:r>
      <w:r>
        <w:rPr>
          <w:w w:val="100"/>
        </w:rPr>
        <w:t>在</w:t>
      </w:r>
      <w:r>
        <w:rPr>
          <w:spacing w:val="2"/>
          <w:w w:val="100"/>
        </w:rPr>
        <w:t>上</w:t>
      </w:r>
      <w:r>
        <w:rPr>
          <w:w w:val="100"/>
        </w:rPr>
        <w:t>述第</w:t>
      </w:r>
      <w:r>
        <w:rPr>
          <w:spacing w:val="-49"/>
        </w:rPr>
        <w:t> </w:t>
      </w:r>
      <w:r>
        <w:rPr>
          <w:rFonts w:ascii="宋体" w:hAnsi="宋体" w:cs="宋体" w:eastAsia="宋体" w:hint="default"/>
          <w:spacing w:val="2"/>
          <w:w w:val="100"/>
        </w:rPr>
        <w:t>9</w:t>
      </w:r>
      <w:r>
        <w:rPr>
          <w:w w:val="100"/>
        </w:rPr>
        <w:t>、</w:t>
      </w:r>
      <w:r>
        <w:rPr>
          <w:rFonts w:ascii="宋体" w:hAnsi="宋体" w:cs="宋体" w:eastAsia="宋体" w:hint="default"/>
          <w:w w:val="100"/>
        </w:rPr>
        <w:t>12</w:t>
      </w:r>
      <w:r>
        <w:rPr>
          <w:rFonts w:ascii="宋体" w:hAnsi="宋体" w:cs="宋体" w:eastAsia="宋体" w:hint="default"/>
          <w:spacing w:val="-50"/>
        </w:rPr>
        <w:t> </w:t>
      </w:r>
      <w:r>
        <w:rPr>
          <w:spacing w:val="2"/>
          <w:w w:val="100"/>
        </w:rPr>
        <w:t>项</w:t>
      </w:r>
      <w:r>
        <w:rPr>
          <w:w w:val="100"/>
        </w:rPr>
        <w:t>情</w:t>
      </w:r>
      <w:r>
        <w:rPr>
          <w:spacing w:val="2"/>
          <w:w w:val="100"/>
        </w:rPr>
        <w:t>形</w:t>
      </w:r>
      <w:r>
        <w:rPr>
          <w:w w:val="100"/>
        </w:rPr>
        <w:t>之</w:t>
      </w:r>
      <w:r>
        <w:rPr>
          <w:spacing w:val="2"/>
          <w:w w:val="100"/>
        </w:rPr>
        <w:t>一</w:t>
      </w:r>
      <w:r>
        <w:rPr>
          <w:w w:val="100"/>
        </w:rPr>
        <w:t>的</w:t>
      </w:r>
      <w:r>
        <w:rPr>
          <w:spacing w:val="2"/>
          <w:w w:val="100"/>
        </w:rPr>
        <w:t>个</w:t>
      </w:r>
      <w:r>
        <w:rPr>
          <w:w w:val="100"/>
        </w:rPr>
        <w:t>人</w:t>
      </w:r>
      <w:r>
        <w:rPr>
          <w:spacing w:val="-102"/>
          <w:w w:val="100"/>
        </w:rPr>
        <w:t>；</w:t>
      </w:r>
      <w:r>
        <w:rPr>
          <w:rFonts w:ascii="宋体" w:hAnsi="宋体" w:cs="宋体" w:eastAsia="宋体" w:hint="default"/>
          <w:spacing w:val="-3"/>
          <w:w w:val="100"/>
        </w:rPr>
        <w:t> </w:t>
      </w:r>
      <w:r>
        <w:rPr>
          <w:rFonts w:ascii="宋体" w:hAnsi="宋体" w:cs="宋体" w:eastAsia="宋体" w:hint="default"/>
          <w:w w:val="100"/>
          <w:position w:val="1"/>
        </w:rPr>
        <w:t> </w:t>
      </w:r>
      <w:r>
        <w:rPr>
          <w:rFonts w:ascii="宋体" w:hAnsi="宋体" w:cs="宋体" w:eastAsia="宋体" w:hint="default"/>
          <w:w w:val="100"/>
        </w:rPr>
      </w:r>
    </w:p>
    <w:p>
      <w:pPr>
        <w:pStyle w:val="BodyText"/>
        <w:spacing w:line="240" w:lineRule="auto" w:before="116"/>
        <w:ind w:right="1125" w:firstLine="420"/>
        <w:jc w:val="left"/>
        <w:rPr>
          <w:rFonts w:ascii="宋体" w:hAnsi="宋体" w:cs="宋体" w:eastAsia="宋体" w:hint="default"/>
        </w:rPr>
      </w:pPr>
      <w:r>
        <w:rPr>
          <w:rFonts w:ascii="宋体" w:hAnsi="宋体" w:cs="宋体" w:eastAsia="宋体" w:hint="default"/>
        </w:rPr>
        <w:t>15</w:t>
      </w:r>
      <w:r>
        <w:rPr/>
        <w:t>、由上述第</w:t>
      </w:r>
      <w:r>
        <w:rPr>
          <w:spacing w:val="-36"/>
        </w:rPr>
        <w:t> </w:t>
      </w:r>
      <w:r>
        <w:rPr>
          <w:rFonts w:ascii="宋体" w:hAnsi="宋体" w:cs="宋体" w:eastAsia="宋体" w:hint="default"/>
        </w:rPr>
        <w:t>9</w:t>
      </w:r>
      <w:r>
        <w:rPr/>
        <w:t>、</w:t>
      </w:r>
      <w:r>
        <w:rPr>
          <w:rFonts w:ascii="宋体" w:hAnsi="宋体" w:cs="宋体" w:eastAsia="宋体" w:hint="default"/>
        </w:rPr>
        <w:t>12</w:t>
      </w:r>
      <w:r>
        <w:rPr>
          <w:rFonts w:ascii="宋体" w:hAnsi="宋体" w:cs="宋体" w:eastAsia="宋体" w:hint="default"/>
          <w:spacing w:val="-35"/>
        </w:rPr>
        <w:t> </w:t>
      </w:r>
      <w:r>
        <w:rPr/>
        <w:t>和</w:t>
      </w:r>
      <w:r>
        <w:rPr>
          <w:spacing w:val="-33"/>
        </w:rPr>
        <w:t> </w:t>
      </w:r>
      <w:r>
        <w:rPr>
          <w:rFonts w:ascii="宋体" w:hAnsi="宋体" w:cs="宋体" w:eastAsia="宋体" w:hint="default"/>
        </w:rPr>
        <w:t>14</w:t>
      </w:r>
      <w:r>
        <w:rPr>
          <w:rFonts w:ascii="宋体" w:hAnsi="宋体" w:cs="宋体" w:eastAsia="宋体" w:hint="default"/>
          <w:spacing w:val="-32"/>
        </w:rPr>
        <w:t> </w:t>
      </w:r>
      <w:r>
        <w:rPr/>
        <w:t>项直接或者间接控制的、或者担任董事、高级管理人员的，除本公司及其</w:t>
      </w:r>
      <w:r>
        <w:rPr>
          <w:w w:val="100"/>
        </w:rPr>
        <w:t> </w:t>
      </w:r>
      <w:r>
        <w:rPr/>
        <w:t>控股子公司以外的企业。</w:t>
      </w:r>
      <w:r>
        <w:rPr>
          <w:rFonts w:ascii="宋体" w:hAnsi="宋体" w:cs="宋体" w:eastAsia="宋体" w:hint="default"/>
          <w:position w:val="1"/>
        </w:rPr>
        <w:t> </w:t>
      </w:r>
      <w:r>
        <w:rPr>
          <w:rFonts w:ascii="宋体" w:hAnsi="宋体" w:cs="宋体" w:eastAsia="宋体" w:hint="default"/>
        </w:rPr>
      </w:r>
    </w:p>
    <w:p>
      <w:pPr>
        <w:pStyle w:val="BodyText"/>
        <w:spacing w:line="394" w:lineRule="exact" w:before="46"/>
        <w:ind w:left="573" w:right="819" w:hanging="209"/>
        <w:jc w:val="left"/>
      </w:pPr>
      <w:r>
        <w:rPr>
          <w:rFonts w:ascii="宋体" w:hAnsi="宋体" w:cs="宋体" w:eastAsia="宋体" w:hint="default"/>
          <w:b/>
          <w:bCs/>
        </w:rPr>
        <w:t>（三十二）分部报告</w:t>
      </w:r>
      <w:r>
        <w:rPr>
          <w:rFonts w:ascii="宋体" w:hAnsi="宋体" w:cs="宋体" w:eastAsia="宋体" w:hint="default"/>
          <w:b/>
          <w:bCs/>
          <w:w w:val="99"/>
        </w:rPr>
        <w:t> </w:t>
      </w:r>
      <w:r>
        <w:rPr/>
        <w:t>以内部组织结构、管理要求、内部报告制度为依据确定经营分部，以经营分部为基础确定报告分部。</w:t>
      </w:r>
    </w:p>
    <w:p>
      <w:pPr>
        <w:pStyle w:val="BodyText"/>
        <w:spacing w:line="222" w:lineRule="exact"/>
        <w:ind w:right="1133"/>
        <w:jc w:val="left"/>
        <w:rPr>
          <w:rFonts w:ascii="宋体" w:hAnsi="宋体" w:cs="宋体" w:eastAsia="宋体" w:hint="default"/>
        </w:rPr>
      </w:pPr>
      <w:r>
        <w:rPr/>
        <w:t>经营分部，是指公司内同时满足下列条件的组成部分：</w:t>
      </w:r>
      <w:r>
        <w:rPr>
          <w:rFonts w:ascii="宋体" w:hAnsi="宋体" w:cs="宋体" w:eastAsia="宋体" w:hint="default"/>
        </w:rPr>
        <w:t> </w:t>
      </w:r>
    </w:p>
    <w:p>
      <w:pPr>
        <w:pStyle w:val="BodyText"/>
        <w:spacing w:line="240" w:lineRule="auto" w:before="116"/>
        <w:ind w:left="688" w:right="1133"/>
        <w:jc w:val="left"/>
        <w:rPr>
          <w:rFonts w:ascii="宋体" w:hAnsi="宋体" w:cs="宋体" w:eastAsia="宋体" w:hint="default"/>
        </w:rPr>
      </w:pPr>
      <w:r>
        <w:rPr>
          <w:rFonts w:ascii="宋体" w:hAnsi="宋体" w:cs="宋体" w:eastAsia="宋体" w:hint="default"/>
        </w:rPr>
        <w:t>1</w:t>
      </w:r>
      <w:r>
        <w:rPr/>
        <w:t>、该组成部分能够在日常活动中产生收入、发生费用；</w:t>
      </w:r>
      <w:r>
        <w:rPr>
          <w:rFonts w:ascii="宋体" w:hAnsi="宋体" w:cs="宋体" w:eastAsia="宋体" w:hint="default"/>
        </w:rPr>
        <w:t> </w:t>
      </w:r>
    </w:p>
    <w:p>
      <w:pPr>
        <w:pStyle w:val="BodyText"/>
        <w:spacing w:line="240" w:lineRule="auto" w:before="118"/>
        <w:ind w:left="688" w:right="1133"/>
        <w:jc w:val="left"/>
        <w:rPr>
          <w:rFonts w:ascii="宋体" w:hAnsi="宋体" w:cs="宋体" w:eastAsia="宋体" w:hint="default"/>
        </w:rPr>
      </w:pPr>
      <w:r>
        <w:rPr>
          <w:rFonts w:ascii="宋体" w:hAnsi="宋体" w:cs="宋体" w:eastAsia="宋体" w:hint="default"/>
        </w:rPr>
        <w:t>2</w:t>
      </w:r>
      <w:r>
        <w:rPr/>
        <w:t>、公司管理层能够定期评价该组成部分的经营成果，以决定向其配置资源、评价其业绩；</w:t>
      </w:r>
      <w:r>
        <w:rPr>
          <w:rFonts w:ascii="宋体" w:hAnsi="宋体" w:cs="宋体" w:eastAsia="宋体" w:hint="default"/>
        </w:rPr>
        <w:t> </w:t>
      </w:r>
    </w:p>
    <w:p>
      <w:pPr>
        <w:pStyle w:val="BodyText"/>
        <w:spacing w:line="240" w:lineRule="auto" w:before="116"/>
        <w:ind w:left="688" w:right="1133"/>
        <w:jc w:val="left"/>
        <w:rPr>
          <w:rFonts w:ascii="宋体" w:hAnsi="宋体" w:cs="宋体" w:eastAsia="宋体" w:hint="default"/>
        </w:rPr>
      </w:pPr>
      <w:r>
        <w:rPr>
          <w:rFonts w:ascii="宋体" w:hAnsi="宋体" w:cs="宋体" w:eastAsia="宋体" w:hint="default"/>
        </w:rPr>
        <w:t>3</w:t>
      </w:r>
      <w:r>
        <w:rPr/>
        <w:t>、公司能够取得该组成部分的财务状况、经营成果和现金流量等有关会计信息。</w:t>
      </w:r>
      <w:r>
        <w:rPr>
          <w:rFonts w:ascii="宋体" w:hAnsi="宋体" w:cs="宋体" w:eastAsia="宋体" w:hint="default"/>
        </w:rPr>
        <w:t> </w:t>
      </w:r>
    </w:p>
    <w:p>
      <w:pPr>
        <w:pStyle w:val="BodyText"/>
        <w:spacing w:line="272" w:lineRule="exact" w:before="146"/>
        <w:ind w:right="1133" w:firstLine="420"/>
        <w:jc w:val="left"/>
        <w:rPr>
          <w:rFonts w:ascii="宋体" w:hAnsi="宋体" w:cs="宋体" w:eastAsia="宋体" w:hint="default"/>
        </w:rPr>
      </w:pPr>
      <w:r>
        <w:rPr>
          <w:spacing w:val="-2"/>
        </w:rPr>
        <w:t>如果两个或多个经营分部存在相似经济特征且同时在以下方面具有相同或相似性的，可以合并为一个</w:t>
      </w:r>
      <w:r>
        <w:rPr>
          <w:w w:val="100"/>
        </w:rPr>
        <w:t> </w:t>
      </w:r>
      <w:r>
        <w:rPr/>
        <w:t>经营分部：</w:t>
      </w:r>
      <w:r>
        <w:rPr>
          <w:rFonts w:ascii="宋体" w:hAnsi="宋体" w:cs="宋体" w:eastAsia="宋体" w:hint="default"/>
        </w:rPr>
        <w:t> </w:t>
      </w:r>
    </w:p>
    <w:p>
      <w:pPr>
        <w:pStyle w:val="BodyText"/>
        <w:spacing w:line="240" w:lineRule="auto" w:before="94"/>
        <w:ind w:left="580" w:right="1133"/>
        <w:jc w:val="left"/>
        <w:rPr>
          <w:rFonts w:ascii="宋体" w:hAnsi="宋体" w:cs="宋体" w:eastAsia="宋体" w:hint="default"/>
        </w:rPr>
      </w:pPr>
      <w:r>
        <w:rPr/>
        <w:t>（</w:t>
      </w:r>
      <w:r>
        <w:rPr>
          <w:rFonts w:ascii="宋体" w:hAnsi="宋体" w:cs="宋体" w:eastAsia="宋体" w:hint="default"/>
        </w:rPr>
        <w:t>1</w:t>
      </w:r>
      <w:r>
        <w:rPr/>
        <w:t>）各单项产品或劳务的性质；</w:t>
      </w:r>
      <w:r>
        <w:rPr>
          <w:rFonts w:ascii="宋体" w:hAnsi="宋体" w:cs="宋体" w:eastAsia="宋体" w:hint="default"/>
        </w:rPr>
        <w:t> </w:t>
      </w:r>
    </w:p>
    <w:p>
      <w:pPr>
        <w:pStyle w:val="BodyText"/>
        <w:spacing w:line="240" w:lineRule="auto" w:before="116"/>
        <w:ind w:left="573" w:right="1133"/>
        <w:jc w:val="left"/>
        <w:rPr>
          <w:rFonts w:ascii="宋体" w:hAnsi="宋体" w:cs="宋体" w:eastAsia="宋体" w:hint="default"/>
        </w:rPr>
      </w:pPr>
      <w:r>
        <w:rPr/>
        <w:t>（</w:t>
      </w:r>
      <w:r>
        <w:rPr>
          <w:rFonts w:ascii="宋体" w:hAnsi="宋体" w:cs="宋体" w:eastAsia="宋体" w:hint="default"/>
        </w:rPr>
        <w:t>2</w:t>
      </w:r>
      <w:r>
        <w:rPr/>
        <w:t>）生产过程的性质；</w:t>
      </w:r>
      <w:r>
        <w:rPr>
          <w:rFonts w:ascii="宋体" w:hAnsi="宋体" w:cs="宋体" w:eastAsia="宋体" w:hint="default"/>
        </w:rPr>
        <w:t> </w:t>
      </w:r>
    </w:p>
    <w:p>
      <w:pPr>
        <w:pStyle w:val="BodyText"/>
        <w:spacing w:line="240" w:lineRule="auto" w:before="118"/>
        <w:ind w:left="580" w:right="1133"/>
        <w:jc w:val="left"/>
        <w:rPr>
          <w:rFonts w:ascii="宋体" w:hAnsi="宋体" w:cs="宋体" w:eastAsia="宋体" w:hint="default"/>
        </w:rPr>
      </w:pPr>
      <w:r>
        <w:rPr/>
        <w:t>（</w:t>
      </w:r>
      <w:r>
        <w:rPr>
          <w:rFonts w:ascii="宋体" w:hAnsi="宋体" w:cs="宋体" w:eastAsia="宋体" w:hint="default"/>
        </w:rPr>
        <w:t>3</w:t>
      </w:r>
      <w:r>
        <w:rPr/>
        <w:t>）产品或劳务的客户类型；</w:t>
      </w:r>
      <w:r>
        <w:rPr>
          <w:rFonts w:ascii="宋体" w:hAnsi="宋体" w:cs="宋体" w:eastAsia="宋体" w:hint="default"/>
        </w:rPr>
        <w:t> </w:t>
      </w:r>
    </w:p>
    <w:p>
      <w:pPr>
        <w:pStyle w:val="BodyText"/>
        <w:spacing w:line="240" w:lineRule="auto" w:before="116"/>
        <w:ind w:left="580" w:right="1133"/>
        <w:jc w:val="left"/>
        <w:rPr>
          <w:rFonts w:ascii="宋体" w:hAnsi="宋体" w:cs="宋体" w:eastAsia="宋体" w:hint="default"/>
        </w:rPr>
      </w:pPr>
      <w:r>
        <w:rPr/>
        <w:t>（</w:t>
      </w:r>
      <w:r>
        <w:rPr>
          <w:rFonts w:ascii="宋体" w:hAnsi="宋体" w:cs="宋体" w:eastAsia="宋体" w:hint="default"/>
        </w:rPr>
        <w:t>4</w:t>
      </w:r>
      <w:r>
        <w:rPr/>
        <w:t>）销售产品或提供劳务的方式；</w:t>
      </w:r>
      <w:r>
        <w:rPr>
          <w:rFonts w:ascii="宋体" w:hAnsi="宋体" w:cs="宋体" w:eastAsia="宋体" w:hint="default"/>
        </w:rPr>
        <w:t> </w:t>
      </w:r>
    </w:p>
    <w:p>
      <w:pPr>
        <w:pStyle w:val="BodyText"/>
        <w:spacing w:line="240" w:lineRule="auto" w:before="118"/>
        <w:ind w:left="580" w:right="1133"/>
        <w:jc w:val="left"/>
        <w:rPr>
          <w:rFonts w:ascii="宋体" w:hAnsi="宋体" w:cs="宋体" w:eastAsia="宋体" w:hint="default"/>
        </w:rPr>
      </w:pPr>
      <w:r>
        <w:rPr/>
        <w:t>（</w:t>
      </w:r>
      <w:r>
        <w:rPr>
          <w:rFonts w:ascii="宋体" w:hAnsi="宋体" w:cs="宋体" w:eastAsia="宋体" w:hint="default"/>
        </w:rPr>
        <w:t>5</w:t>
      </w:r>
      <w:r>
        <w:rPr/>
        <w:t>）生产产品及提供劳务受法律、行政法规的影响。</w:t>
      </w:r>
      <w:r>
        <w:rPr>
          <w:rFonts w:ascii="宋体" w:hAnsi="宋体" w:cs="宋体" w:eastAsia="宋体" w:hint="default"/>
        </w:rPr>
        <w:t> </w:t>
      </w:r>
    </w:p>
    <w:p>
      <w:pPr>
        <w:pStyle w:val="Heading3"/>
        <w:spacing w:line="343" w:lineRule="auto" w:before="117"/>
        <w:ind w:left="575" w:right="5542" w:hanging="212"/>
        <w:jc w:val="left"/>
        <w:rPr>
          <w:rFonts w:ascii="宋体" w:hAnsi="宋体" w:cs="宋体" w:eastAsia="宋体" w:hint="default"/>
          <w:b w:val="0"/>
          <w:bCs w:val="0"/>
        </w:rPr>
      </w:pPr>
      <w:r>
        <w:rPr/>
        <w:t>（三十三）其他重要的会计政策、会计估计</w:t>
      </w:r>
      <w:r>
        <w:rPr>
          <w:rFonts w:ascii="宋体" w:hAnsi="宋体" w:cs="宋体" w:eastAsia="宋体" w:hint="default"/>
          <w:w w:val="99"/>
        </w:rPr>
        <w:t> </w:t>
      </w:r>
      <w:r>
        <w:rPr>
          <w:rFonts w:ascii="宋体" w:hAnsi="宋体" w:cs="宋体" w:eastAsia="宋体" w:hint="default"/>
        </w:rPr>
        <w:t>1</w:t>
      </w:r>
      <w:r>
        <w:rPr/>
        <w:t>、其他重要会计政策</w:t>
      </w:r>
      <w:r>
        <w:rPr>
          <w:rFonts w:ascii="宋体" w:hAnsi="宋体" w:cs="宋体" w:eastAsia="宋体" w:hint="default"/>
          <w:w w:val="99"/>
        </w:rPr>
        <w:t> </w:t>
      </w:r>
      <w:r>
        <w:rPr>
          <w:rFonts w:ascii="宋体" w:hAnsi="宋体" w:cs="宋体" w:eastAsia="宋体" w:hint="default"/>
          <w:b w:val="0"/>
          <w:bCs w:val="0"/>
        </w:rPr>
      </w:r>
    </w:p>
    <w:p>
      <w:pPr>
        <w:spacing w:line="343" w:lineRule="auto" w:before="26"/>
        <w:ind w:left="575" w:right="8232" w:hanging="3"/>
        <w:jc w:val="left"/>
        <w:rPr>
          <w:rFonts w:ascii="宋体" w:hAnsi="宋体" w:cs="宋体" w:eastAsia="宋体" w:hint="default"/>
          <w:sz w:val="21"/>
          <w:szCs w:val="21"/>
        </w:rPr>
      </w:pPr>
      <w:r>
        <w:rPr>
          <w:rFonts w:ascii="宋体" w:hAnsi="宋体" w:cs="宋体" w:eastAsia="宋体" w:hint="default"/>
          <w:sz w:val="21"/>
          <w:szCs w:val="21"/>
        </w:rPr>
        <w:t>无。</w:t>
      </w:r>
      <w:r>
        <w:rPr>
          <w:rFonts w:ascii="宋体" w:hAnsi="宋体" w:cs="宋体" w:eastAsia="宋体" w:hint="default"/>
          <w:w w:val="100"/>
          <w:sz w:val="21"/>
          <w:szCs w:val="21"/>
        </w:rPr>
        <w:t> </w:t>
      </w:r>
      <w:r>
        <w:rPr>
          <w:rFonts w:ascii="宋体" w:hAnsi="宋体" w:cs="宋体" w:eastAsia="宋体" w:hint="default"/>
          <w:b/>
          <w:bCs/>
          <w:sz w:val="21"/>
          <w:szCs w:val="21"/>
        </w:rPr>
        <w:t>2</w:t>
      </w:r>
      <w:r>
        <w:rPr>
          <w:rFonts w:ascii="宋体" w:hAnsi="宋体" w:cs="宋体" w:eastAsia="宋体" w:hint="default"/>
          <w:b/>
          <w:bCs/>
          <w:sz w:val="21"/>
          <w:szCs w:val="21"/>
        </w:rPr>
        <w:t>、其他重要会计估计</w:t>
      </w:r>
      <w:r>
        <w:rPr>
          <w:rFonts w:ascii="宋体" w:hAnsi="宋体" w:cs="宋体" w:eastAsia="宋体" w:hint="default"/>
          <w:b/>
          <w:bCs/>
          <w:w w:val="99"/>
          <w:sz w:val="21"/>
          <w:szCs w:val="21"/>
        </w:rPr>
        <w:t> </w:t>
      </w:r>
      <w:r>
        <w:rPr>
          <w:rFonts w:ascii="宋体" w:hAnsi="宋体" w:cs="宋体" w:eastAsia="宋体" w:hint="default"/>
          <w:sz w:val="21"/>
          <w:szCs w:val="21"/>
        </w:rPr>
      </w:r>
    </w:p>
    <w:p>
      <w:pPr>
        <w:pStyle w:val="BodyText"/>
        <w:spacing w:line="240" w:lineRule="auto" w:before="26"/>
        <w:ind w:right="819" w:firstLine="420"/>
        <w:jc w:val="left"/>
      </w:pPr>
      <w:r>
        <w:rPr>
          <w:spacing w:val="-2"/>
        </w:rPr>
        <w:t>本公司在运用上述会计政策过程中，由于经营活动内在的不确定性，本公司需要对无法准确计量的报</w:t>
      </w:r>
      <w:r>
        <w:rPr>
          <w:w w:val="100"/>
        </w:rPr>
        <w:t> </w:t>
      </w:r>
      <w:r>
        <w:rPr/>
        <w:t>表项目的账面价值进行判断、估计和假设。这些判断、估计和假设是基于本公司管理层过去的历史经验，</w:t>
      </w:r>
    </w:p>
    <w:p>
      <w:pPr>
        <w:spacing w:after="0" w:line="240" w:lineRule="auto"/>
        <w:jc w:val="left"/>
        <w:sectPr>
          <w:pgSz w:w="11910" w:h="16840"/>
          <w:pgMar w:header="921" w:footer="725" w:top="1160" w:bottom="920" w:left="980" w:right="0"/>
        </w:sectPr>
      </w:pPr>
    </w:p>
    <w:p>
      <w:pPr>
        <w:spacing w:line="240" w:lineRule="auto" w:before="12"/>
        <w:rPr>
          <w:rFonts w:ascii="宋体" w:hAnsi="宋体" w:cs="宋体" w:eastAsia="宋体" w:hint="default"/>
          <w:sz w:val="15"/>
          <w:szCs w:val="15"/>
        </w:rPr>
      </w:pPr>
    </w:p>
    <w:p>
      <w:pPr>
        <w:pStyle w:val="BodyText"/>
        <w:spacing w:line="240" w:lineRule="auto" w:before="36"/>
        <w:ind w:right="0"/>
        <w:jc w:val="both"/>
        <w:rPr>
          <w:rFonts w:ascii="宋体" w:hAnsi="宋体" w:cs="宋体" w:eastAsia="宋体" w:hint="default"/>
        </w:rPr>
      </w:pPr>
      <w:r>
        <w:rPr/>
        <w:t>并在考虑其他相关因素的基础上作出的。实际的结果可能与本公司的估计存在差异。</w:t>
      </w:r>
      <w:r>
        <w:rPr>
          <w:rFonts w:ascii="宋体" w:hAnsi="宋体" w:cs="宋体" w:eastAsia="宋体" w:hint="default"/>
          <w:spacing w:val="-3"/>
        </w:rPr>
        <w:t> </w:t>
      </w:r>
      <w:r>
        <w:rPr>
          <w:rFonts w:ascii="宋体" w:hAnsi="宋体" w:cs="宋体" w:eastAsia="宋体" w:hint="default"/>
        </w:rPr>
        <w:t> </w:t>
      </w:r>
    </w:p>
    <w:p>
      <w:pPr>
        <w:pStyle w:val="BodyText"/>
        <w:spacing w:line="237" w:lineRule="auto" w:before="119"/>
        <w:ind w:right="1126" w:firstLine="420"/>
        <w:jc w:val="both"/>
        <w:rPr>
          <w:rFonts w:ascii="宋体" w:hAnsi="宋体" w:cs="宋体" w:eastAsia="宋体" w:hint="default"/>
        </w:rPr>
      </w:pPr>
      <w:r>
        <w:rPr>
          <w:spacing w:val="-2"/>
        </w:rPr>
        <w:t>本公司对前述判断、估计和假设在持续经营的基础上进行定期复核，会计估计的变更仅影响变更当期</w:t>
      </w:r>
      <w:r>
        <w:rPr>
          <w:w w:val="100"/>
        </w:rPr>
        <w:t> </w:t>
      </w:r>
      <w:r>
        <w:rPr>
          <w:spacing w:val="-2"/>
        </w:rPr>
        <w:t>的，其影响数在变更当期予以确认；既影响变更当期又影响未来期间的，其影响数在变更当期和未来期间</w:t>
      </w:r>
      <w:r>
        <w:rPr>
          <w:spacing w:val="-44"/>
        </w:rPr>
        <w:t> </w:t>
      </w:r>
      <w:r>
        <w:rPr>
          <w:spacing w:val="-44"/>
        </w:rPr>
      </w:r>
      <w:r>
        <w:rPr/>
        <w:t>予以确认。</w:t>
      </w:r>
      <w:r>
        <w:rPr>
          <w:rFonts w:ascii="宋体" w:hAnsi="宋体" w:cs="宋体" w:eastAsia="宋体" w:hint="default"/>
        </w:rPr>
        <w:t> </w:t>
      </w:r>
    </w:p>
    <w:p>
      <w:pPr>
        <w:pStyle w:val="BodyText"/>
        <w:spacing w:line="272" w:lineRule="exact" w:before="146"/>
        <w:ind w:right="1126" w:firstLine="420"/>
        <w:jc w:val="both"/>
        <w:rPr>
          <w:rFonts w:ascii="宋体" w:hAnsi="宋体" w:cs="宋体" w:eastAsia="宋体" w:hint="default"/>
        </w:rPr>
      </w:pPr>
      <w:r>
        <w:rPr>
          <w:spacing w:val="-2"/>
        </w:rPr>
        <w:t>资产负债表日，会计估计中很可能导致未来期间资产、负债账面价值作出重大调整的关键假设和不确</w:t>
      </w:r>
      <w:r>
        <w:rPr>
          <w:w w:val="100"/>
        </w:rPr>
        <w:t> </w:t>
      </w:r>
      <w:r>
        <w:rPr/>
        <w:t>定性主要有：</w:t>
      </w:r>
      <w:r>
        <w:rPr>
          <w:rFonts w:ascii="宋体" w:hAnsi="宋体" w:cs="宋体" w:eastAsia="宋体" w:hint="default"/>
          <w:spacing w:val="-3"/>
        </w:rPr>
        <w:t> </w:t>
      </w:r>
      <w:r>
        <w:rPr>
          <w:rFonts w:ascii="宋体" w:hAnsi="宋体" w:cs="宋体" w:eastAsia="宋体" w:hint="default"/>
        </w:rPr>
        <w:t> </w:t>
      </w:r>
    </w:p>
    <w:p>
      <w:pPr>
        <w:pStyle w:val="BodyText"/>
        <w:spacing w:line="392" w:lineRule="exact" w:before="25"/>
        <w:ind w:left="573" w:right="1133"/>
        <w:jc w:val="left"/>
      </w:pPr>
      <w:r>
        <w:rPr>
          <w:rFonts w:ascii="宋体" w:hAnsi="宋体" w:cs="宋体" w:eastAsia="宋体" w:hint="default"/>
          <w:b/>
          <w:bCs/>
        </w:rPr>
        <w:t>（</w:t>
      </w:r>
      <w:r>
        <w:rPr>
          <w:rFonts w:ascii="宋体" w:hAnsi="宋体" w:cs="宋体" w:eastAsia="宋体" w:hint="default"/>
          <w:b/>
          <w:bCs/>
        </w:rPr>
        <w:t>1</w:t>
      </w:r>
      <w:r>
        <w:rPr>
          <w:rFonts w:ascii="宋体" w:hAnsi="宋体" w:cs="宋体" w:eastAsia="宋体" w:hint="default"/>
          <w:b/>
          <w:bCs/>
        </w:rPr>
        <w:t>）所得税</w:t>
      </w:r>
      <w:r>
        <w:rPr>
          <w:rFonts w:ascii="宋体" w:hAnsi="宋体" w:cs="宋体" w:eastAsia="宋体" w:hint="default"/>
          <w:b/>
          <w:bCs/>
          <w:w w:val="99"/>
        </w:rPr>
        <w:t> </w:t>
      </w:r>
      <w:r>
        <w:rPr>
          <w:spacing w:val="-2"/>
        </w:rPr>
        <w:t>本公司在多个地区缴纳企业所得税。在正常的经营活动中，部分交易和事项其最终的税务处理和计算</w:t>
      </w:r>
    </w:p>
    <w:p>
      <w:pPr>
        <w:pStyle w:val="BodyText"/>
        <w:spacing w:line="223" w:lineRule="exact"/>
        <w:ind w:right="0"/>
        <w:jc w:val="both"/>
      </w:pPr>
      <w:r>
        <w:rPr/>
        <w:t>存在一定的不确定性，在计提各个地区的所得税费用时，本公司需要作出重大判断。部分项目是否能够在</w:t>
      </w:r>
    </w:p>
    <w:p>
      <w:pPr>
        <w:pStyle w:val="BodyText"/>
        <w:spacing w:line="237" w:lineRule="auto"/>
        <w:ind w:right="1126"/>
        <w:jc w:val="both"/>
        <w:rPr>
          <w:rFonts w:ascii="宋体" w:hAnsi="宋体" w:cs="宋体" w:eastAsia="宋体" w:hint="default"/>
        </w:rPr>
      </w:pPr>
      <w:r>
        <w:rPr>
          <w:spacing w:val="-2"/>
        </w:rPr>
        <w:t>税前列支需要税收主管机关的审批，如果这些税务事项的最终认定结果与最初入账的金额存在差异，该差</w:t>
      </w:r>
      <w:r>
        <w:rPr>
          <w:spacing w:val="-42"/>
        </w:rPr>
        <w:t> </w:t>
      </w:r>
      <w:r>
        <w:rPr>
          <w:spacing w:val="-42"/>
        </w:rPr>
      </w:r>
      <w:r>
        <w:rPr>
          <w:spacing w:val="-2"/>
        </w:rPr>
        <w:t>异将对作出上述最终认定期间的所得税费用和递延所得税的金额产生影响。此外，递延所得税资产的转回</w:t>
      </w:r>
      <w:r>
        <w:rPr>
          <w:spacing w:val="-42"/>
        </w:rPr>
        <w:t> </w:t>
      </w:r>
      <w:r>
        <w:rPr>
          <w:spacing w:val="-42"/>
        </w:rPr>
      </w:r>
      <w:r>
        <w:rPr>
          <w:spacing w:val="-2"/>
        </w:rPr>
        <w:t>取决于本公司于未来年度是否能够产生足够的应纳税所得额用来抵扣可抵扣暂时性差异。若未来的盈利能</w:t>
      </w:r>
      <w:r>
        <w:rPr>
          <w:spacing w:val="-43"/>
        </w:rPr>
        <w:t> </w:t>
      </w:r>
      <w:r>
        <w:rPr>
          <w:spacing w:val="-43"/>
        </w:rPr>
      </w:r>
      <w:r>
        <w:rPr>
          <w:spacing w:val="-2"/>
        </w:rPr>
        <w:t>力偏离相关估计，则须对递延所得税资产的价值作出调整，因而可能对本公司的财务状况及经营业绩产生</w:t>
      </w:r>
      <w:r>
        <w:rPr>
          <w:spacing w:val="-44"/>
        </w:rPr>
        <w:t> </w:t>
      </w:r>
      <w:r>
        <w:rPr>
          <w:spacing w:val="-44"/>
        </w:rPr>
      </w:r>
      <w:r>
        <w:rPr/>
        <w:t>影响。</w:t>
      </w:r>
      <w:r>
        <w:rPr>
          <w:rFonts w:ascii="宋体" w:hAnsi="宋体" w:cs="宋体" w:eastAsia="宋体" w:hint="default"/>
          <w:spacing w:val="-3"/>
        </w:rPr>
        <w:t> </w:t>
      </w:r>
      <w:r>
        <w:rPr>
          <w:rFonts w:ascii="宋体" w:hAnsi="宋体" w:cs="宋体" w:eastAsia="宋体" w:hint="default"/>
        </w:rPr>
        <w:t> </w:t>
      </w:r>
    </w:p>
    <w:p>
      <w:pPr>
        <w:pStyle w:val="BodyText"/>
        <w:spacing w:line="390" w:lineRule="atLeast" w:before="4"/>
        <w:ind w:left="573" w:right="1133"/>
        <w:jc w:val="left"/>
      </w:pPr>
      <w:r>
        <w:rPr>
          <w:rFonts w:ascii="宋体" w:hAnsi="宋体" w:cs="宋体" w:eastAsia="宋体" w:hint="default"/>
          <w:b/>
          <w:bCs/>
        </w:rPr>
        <w:t>（</w:t>
      </w:r>
      <w:r>
        <w:rPr>
          <w:rFonts w:ascii="宋体" w:hAnsi="宋体" w:cs="宋体" w:eastAsia="宋体" w:hint="default"/>
          <w:b/>
          <w:bCs/>
        </w:rPr>
        <w:t>2</w:t>
      </w:r>
      <w:r>
        <w:rPr>
          <w:rFonts w:ascii="宋体" w:hAnsi="宋体" w:cs="宋体" w:eastAsia="宋体" w:hint="default"/>
          <w:b/>
          <w:bCs/>
        </w:rPr>
        <w:t>）折旧和摊销</w:t>
      </w:r>
      <w:r>
        <w:rPr>
          <w:rFonts w:ascii="宋体" w:hAnsi="宋体" w:cs="宋体" w:eastAsia="宋体" w:hint="default"/>
          <w:b/>
          <w:bCs/>
          <w:w w:val="99"/>
        </w:rPr>
        <w:t> </w:t>
      </w:r>
      <w:r>
        <w:rPr>
          <w:spacing w:val="-2"/>
        </w:rPr>
        <w:t>本公司对投资性房地产、固定资产和无形资产在考虑其残值后，在使用寿命内按直线法计提折旧和摊</w:t>
      </w:r>
    </w:p>
    <w:p>
      <w:pPr>
        <w:pStyle w:val="BodyText"/>
        <w:spacing w:line="237" w:lineRule="auto" w:before="1"/>
        <w:ind w:right="1126"/>
        <w:jc w:val="both"/>
        <w:rPr>
          <w:rFonts w:ascii="宋体" w:hAnsi="宋体" w:cs="宋体" w:eastAsia="宋体" w:hint="default"/>
        </w:rPr>
      </w:pPr>
      <w:r>
        <w:rPr>
          <w:spacing w:val="-2"/>
        </w:rPr>
        <w:t>销。本公司定期复核使用寿命，以决定将计入每个报告期的折旧和摊销费用数额。使用寿命是本公司根据</w:t>
      </w:r>
      <w:r>
        <w:rPr>
          <w:spacing w:val="-44"/>
        </w:rPr>
        <w:t> </w:t>
      </w:r>
      <w:r>
        <w:rPr>
          <w:spacing w:val="-44"/>
        </w:rPr>
      </w:r>
      <w:r>
        <w:rPr>
          <w:spacing w:val="-2"/>
        </w:rPr>
        <w:t>对同类资产的以往经验并结合预期的技术更新而确定的。如果以前的估计发生重大变化，则会在未来期间</w:t>
      </w:r>
      <w:r>
        <w:rPr>
          <w:spacing w:val="-43"/>
        </w:rPr>
        <w:t> </w:t>
      </w:r>
      <w:r>
        <w:rPr>
          <w:spacing w:val="-43"/>
        </w:rPr>
      </w:r>
      <w:r>
        <w:rPr/>
        <w:t>对折旧和摊销费用进行调整。</w:t>
      </w:r>
      <w:r>
        <w:rPr>
          <w:rFonts w:ascii="宋体" w:hAnsi="宋体" w:cs="宋体" w:eastAsia="宋体" w:hint="default"/>
          <w:spacing w:val="-3"/>
        </w:rPr>
        <w:t> </w:t>
      </w:r>
      <w:r>
        <w:rPr>
          <w:rFonts w:ascii="宋体" w:hAnsi="宋体" w:cs="宋体" w:eastAsia="宋体" w:hint="default"/>
        </w:rPr>
        <w:t> </w:t>
      </w:r>
    </w:p>
    <w:p>
      <w:pPr>
        <w:spacing w:line="394" w:lineRule="exact" w:before="46"/>
        <w:ind w:left="573" w:right="113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3</w:t>
      </w:r>
      <w:r>
        <w:rPr>
          <w:rFonts w:ascii="宋体" w:hAnsi="宋体" w:cs="宋体" w:eastAsia="宋体" w:hint="default"/>
          <w:b/>
          <w:bCs/>
          <w:sz w:val="21"/>
          <w:szCs w:val="21"/>
        </w:rPr>
        <w:t>）固定资产的可使用年限</w:t>
      </w:r>
      <w:r>
        <w:rPr>
          <w:rFonts w:ascii="宋体" w:hAnsi="宋体" w:cs="宋体" w:eastAsia="宋体" w:hint="default"/>
          <w:b/>
          <w:bCs/>
          <w:w w:val="99"/>
          <w:sz w:val="21"/>
          <w:szCs w:val="21"/>
        </w:rPr>
        <w:t> </w:t>
      </w:r>
      <w:r>
        <w:rPr>
          <w:rFonts w:ascii="宋体" w:hAnsi="宋体" w:cs="宋体" w:eastAsia="宋体" w:hint="default"/>
          <w:spacing w:val="-2"/>
          <w:sz w:val="21"/>
          <w:szCs w:val="21"/>
        </w:rPr>
        <w:t>本公司的管理层对固定资产可使用年限做出估计。此类估计以相似性质及功能的固定资产在以往年度</w:t>
      </w:r>
    </w:p>
    <w:p>
      <w:pPr>
        <w:pStyle w:val="BodyText"/>
        <w:spacing w:line="220" w:lineRule="exact"/>
        <w:ind w:right="0"/>
        <w:jc w:val="both"/>
      </w:pPr>
      <w:r>
        <w:rPr/>
        <w:t>的实际可使用年限的历史经验为基准。可使用年限与以前估计的使用年限不同时，管理层将对固定资产的</w:t>
      </w:r>
    </w:p>
    <w:p>
      <w:pPr>
        <w:pStyle w:val="BodyText"/>
        <w:spacing w:line="237" w:lineRule="auto"/>
        <w:ind w:right="819"/>
        <w:jc w:val="left"/>
        <w:rPr>
          <w:rFonts w:ascii="宋体" w:hAnsi="宋体" w:cs="宋体" w:eastAsia="宋体" w:hint="default"/>
        </w:rPr>
      </w:pPr>
      <w:r>
        <w:rPr>
          <w:spacing w:val="-2"/>
        </w:rPr>
        <w:t>预计使用年限进行相应的调整，或者当报废或出售技术落后相关设备时相应地冲销或冲减相应的固定资产。</w:t>
      </w:r>
      <w:r>
        <w:rPr>
          <w:spacing w:val="-43"/>
        </w:rPr>
        <w:t> </w:t>
      </w:r>
      <w:r>
        <w:rPr>
          <w:spacing w:val="-43"/>
        </w:rPr>
      </w:r>
      <w:r>
        <w:rPr/>
        <w:t>因此，根据现有经验进行估计的结果可能与下一会计期间实际结果有所不同，因而可能导致对资产负债表</w:t>
      </w:r>
      <w:r>
        <w:rPr>
          <w:w w:val="100"/>
        </w:rPr>
        <w:t> </w:t>
      </w:r>
      <w:r>
        <w:rPr/>
        <w:t>中的固定资产账面价值和折旧费用的重大调整。</w:t>
      </w:r>
      <w:r>
        <w:rPr>
          <w:rFonts w:ascii="宋体" w:hAnsi="宋体" w:cs="宋体" w:eastAsia="宋体" w:hint="default"/>
        </w:rPr>
        <w:t> </w:t>
      </w:r>
      <w:r>
        <w:rPr>
          <w:rFonts w:ascii="宋体" w:hAnsi="宋体" w:cs="宋体" w:eastAsia="宋体" w:hint="default"/>
          <w:spacing w:val="-3"/>
        </w:rPr>
        <w:t> </w:t>
      </w:r>
      <w:r>
        <w:rPr>
          <w:rFonts w:ascii="宋体" w:hAnsi="宋体" w:cs="宋体" w:eastAsia="宋体" w:hint="default"/>
        </w:rPr>
        <w:t> </w:t>
      </w:r>
    </w:p>
    <w:p>
      <w:pPr>
        <w:spacing w:line="390" w:lineRule="atLeast" w:before="4"/>
        <w:ind w:left="573" w:right="1133" w:firstLine="2"/>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4</w:t>
      </w:r>
      <w:r>
        <w:rPr>
          <w:rFonts w:ascii="宋体" w:hAnsi="宋体" w:cs="宋体" w:eastAsia="宋体" w:hint="default"/>
          <w:b/>
          <w:bCs/>
          <w:sz w:val="21"/>
          <w:szCs w:val="21"/>
        </w:rPr>
        <w:t>）非金融长期资产减值</w:t>
      </w:r>
      <w:r>
        <w:rPr>
          <w:rFonts w:ascii="宋体" w:hAnsi="宋体" w:cs="宋体" w:eastAsia="宋体" w:hint="default"/>
          <w:b/>
          <w:bCs/>
          <w:w w:val="99"/>
          <w:sz w:val="21"/>
          <w:szCs w:val="21"/>
        </w:rPr>
        <w:t> </w:t>
      </w:r>
      <w:r>
        <w:rPr>
          <w:rFonts w:ascii="宋体" w:hAnsi="宋体" w:cs="宋体" w:eastAsia="宋体" w:hint="default"/>
          <w:spacing w:val="-2"/>
          <w:sz w:val="21"/>
          <w:szCs w:val="21"/>
        </w:rPr>
        <w:t>本公司在资产负债表日对非金融资产进行减值评估，以确定资产可收回金额是否下跌至低于其账面价</w:t>
      </w:r>
    </w:p>
    <w:p>
      <w:pPr>
        <w:pStyle w:val="BodyText"/>
        <w:spacing w:line="274" w:lineRule="exact"/>
        <w:ind w:right="0"/>
        <w:jc w:val="both"/>
        <w:rPr>
          <w:rFonts w:ascii="宋体" w:hAnsi="宋体" w:cs="宋体" w:eastAsia="宋体" w:hint="default"/>
        </w:rPr>
      </w:pPr>
      <w:r>
        <w:rPr/>
        <w:t>值。如果情况显示该资产的账面价值超过其可收回金额，其差额确认为减值损失。</w:t>
      </w:r>
      <w:r>
        <w:rPr>
          <w:rFonts w:ascii="宋体" w:hAnsi="宋体" w:cs="宋体" w:eastAsia="宋体" w:hint="default"/>
          <w:spacing w:val="-3"/>
        </w:rPr>
        <w:t> </w:t>
      </w:r>
      <w:r>
        <w:rPr>
          <w:rFonts w:ascii="宋体" w:hAnsi="宋体" w:cs="宋体" w:eastAsia="宋体" w:hint="default"/>
        </w:rPr>
        <w:t> </w:t>
      </w:r>
    </w:p>
    <w:p>
      <w:pPr>
        <w:pStyle w:val="BodyText"/>
        <w:spacing w:line="237" w:lineRule="auto" w:before="119"/>
        <w:ind w:right="1126" w:firstLine="420"/>
        <w:jc w:val="both"/>
        <w:rPr>
          <w:rFonts w:ascii="宋体" w:hAnsi="宋体" w:cs="宋体" w:eastAsia="宋体" w:hint="default"/>
        </w:rPr>
      </w:pPr>
      <w:r>
        <w:rPr>
          <w:spacing w:val="-3"/>
        </w:rPr>
        <w:t>可收回金额是资产（或资产组）的公允价值减去处置费用后的净额与资产（或资产组）预计未来现金</w:t>
      </w:r>
      <w:r>
        <w:rPr>
          <w:w w:val="100"/>
        </w:rPr>
        <w:t> </w:t>
      </w:r>
      <w:r>
        <w:rPr>
          <w:spacing w:val="-7"/>
        </w:rPr>
        <w:t>流量的现值两者之间的较高者。在预计未来现金流量现值时，需要对该资产（或资产组）未来可使用寿命、</w:t>
      </w:r>
      <w:r>
        <w:rPr>
          <w:spacing w:val="-21"/>
        </w:rPr>
        <w:t> </w:t>
      </w:r>
      <w:r>
        <w:rPr>
          <w:spacing w:val="-21"/>
        </w:rPr>
      </w:r>
      <w:r>
        <w:rPr>
          <w:spacing w:val="-2"/>
        </w:rPr>
        <w:t>生产产品的产量、售价、相关经营成本以及计算现值时使用的折现率等做出重大判断。本公司在估计可收</w:t>
      </w:r>
      <w:r>
        <w:rPr>
          <w:spacing w:val="-44"/>
        </w:rPr>
        <w:t> </w:t>
      </w:r>
      <w:r>
        <w:rPr>
          <w:spacing w:val="-44"/>
        </w:rPr>
      </w:r>
      <w:r>
        <w:rPr>
          <w:spacing w:val="-2"/>
        </w:rPr>
        <w:t>回金额时会采用所有能够获得的相关资料，包括根据合理和可支持的假设所作出的有关产量、售价和相关</w:t>
      </w:r>
      <w:r>
        <w:rPr>
          <w:spacing w:val="-44"/>
        </w:rPr>
        <w:t> </w:t>
      </w:r>
      <w:r>
        <w:rPr>
          <w:spacing w:val="-44"/>
        </w:rPr>
      </w:r>
      <w:r>
        <w:rPr>
          <w:spacing w:val="-2"/>
        </w:rPr>
        <w:t>经营成本等的预测。倘若未来事项与该等估计不符，可收回金额将需要作出修订，这些修订可能会对本公</w:t>
      </w:r>
      <w:r>
        <w:rPr>
          <w:spacing w:val="-44"/>
        </w:rPr>
        <w:t> </w:t>
      </w:r>
      <w:r>
        <w:rPr>
          <w:spacing w:val="-44"/>
        </w:rPr>
      </w:r>
      <w:r>
        <w:rPr/>
        <w:t>司的经营业绩或者财务状况产生影响。</w:t>
      </w:r>
      <w:r>
        <w:rPr>
          <w:rFonts w:ascii="宋体" w:hAnsi="宋体" w:cs="宋体" w:eastAsia="宋体" w:hint="default"/>
        </w:rPr>
        <w:t> </w:t>
      </w:r>
      <w:r>
        <w:rPr>
          <w:rFonts w:ascii="宋体" w:hAnsi="宋体" w:cs="宋体" w:eastAsia="宋体" w:hint="default"/>
          <w:spacing w:val="-3"/>
        </w:rPr>
        <w:t> </w:t>
      </w:r>
      <w:r>
        <w:rPr>
          <w:rFonts w:ascii="宋体" w:hAnsi="宋体" w:cs="宋体" w:eastAsia="宋体" w:hint="default"/>
        </w:rPr>
        <w:t> </w:t>
      </w:r>
    </w:p>
    <w:p>
      <w:pPr>
        <w:pStyle w:val="BodyText"/>
        <w:spacing w:line="394" w:lineRule="exact" w:before="46"/>
        <w:ind w:left="573" w:right="1133"/>
        <w:jc w:val="left"/>
      </w:pPr>
      <w:r>
        <w:rPr>
          <w:rFonts w:ascii="宋体" w:hAnsi="宋体" w:cs="宋体" w:eastAsia="宋体" w:hint="default"/>
          <w:b/>
          <w:bCs/>
        </w:rPr>
        <w:t>（</w:t>
      </w:r>
      <w:r>
        <w:rPr>
          <w:rFonts w:ascii="宋体" w:hAnsi="宋体" w:cs="宋体" w:eastAsia="宋体" w:hint="default"/>
          <w:b/>
          <w:bCs/>
        </w:rPr>
        <w:t>5</w:t>
      </w:r>
      <w:r>
        <w:rPr>
          <w:rFonts w:ascii="宋体" w:hAnsi="宋体" w:cs="宋体" w:eastAsia="宋体" w:hint="default"/>
          <w:b/>
          <w:bCs/>
        </w:rPr>
        <w:t>）存货跌价准备</w:t>
      </w:r>
      <w:r>
        <w:rPr>
          <w:rFonts w:ascii="宋体" w:hAnsi="宋体" w:cs="宋体" w:eastAsia="宋体" w:hint="default"/>
          <w:b/>
          <w:bCs/>
          <w:w w:val="99"/>
        </w:rPr>
        <w:t> </w:t>
      </w:r>
      <w:r>
        <w:rPr>
          <w:spacing w:val="-2"/>
        </w:rPr>
        <w:t>本公司根据存货会计政策，按照成本与可变现净值孰低计量，对成本高于可变现净值及陈旧和滞销的</w:t>
      </w:r>
    </w:p>
    <w:p>
      <w:pPr>
        <w:pStyle w:val="BodyText"/>
        <w:spacing w:line="222" w:lineRule="exact"/>
        <w:ind w:right="0"/>
        <w:jc w:val="both"/>
      </w:pPr>
      <w:r>
        <w:rPr/>
        <w:t>存货，计提存货跌价准备。存货减值至可变现净值是基于评估存货的可售性及其可变现净值。鉴定存货减</w:t>
      </w:r>
    </w:p>
    <w:p>
      <w:pPr>
        <w:pStyle w:val="BodyText"/>
        <w:spacing w:line="237" w:lineRule="auto" w:before="2"/>
        <w:ind w:right="1126"/>
        <w:jc w:val="both"/>
        <w:rPr>
          <w:rFonts w:ascii="宋体" w:hAnsi="宋体" w:cs="宋体" w:eastAsia="宋体" w:hint="default"/>
        </w:rPr>
      </w:pPr>
      <w:r>
        <w:rPr>
          <w:spacing w:val="-2"/>
        </w:rPr>
        <w:t>值要求管理层在取得确凿证据，并且考虑持有存货的目的、资产负债表日后事项的影响等因素的基础上作</w:t>
      </w:r>
      <w:r>
        <w:rPr>
          <w:spacing w:val="-43"/>
        </w:rPr>
        <w:t> </w:t>
      </w:r>
      <w:r>
        <w:rPr>
          <w:spacing w:val="-43"/>
        </w:rPr>
      </w:r>
      <w:r>
        <w:rPr>
          <w:spacing w:val="-2"/>
        </w:rPr>
        <w:t>出判断和估计。实际的结果与原先估计的差异将在估计被改变的期间影响存货的账面价值及存货跌价准备</w:t>
      </w:r>
      <w:r>
        <w:rPr>
          <w:spacing w:val="-43"/>
        </w:rPr>
        <w:t> </w:t>
      </w:r>
      <w:r>
        <w:rPr>
          <w:spacing w:val="-43"/>
        </w:rPr>
      </w:r>
      <w:r>
        <w:rPr/>
        <w:t>的计提或转回。</w:t>
      </w:r>
      <w:r>
        <w:rPr>
          <w:rFonts w:ascii="宋体" w:hAnsi="宋体" w:cs="宋体" w:eastAsia="宋体" w:hint="default"/>
        </w:rPr>
        <w:t> </w:t>
      </w:r>
    </w:p>
    <w:p>
      <w:pPr>
        <w:spacing w:line="394" w:lineRule="exact" w:before="46"/>
        <w:ind w:left="573" w:right="1133"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6</w:t>
      </w:r>
      <w:r>
        <w:rPr>
          <w:rFonts w:ascii="宋体" w:hAnsi="宋体" w:cs="宋体" w:eastAsia="宋体" w:hint="default"/>
          <w:b/>
          <w:bCs/>
          <w:sz w:val="21"/>
          <w:szCs w:val="21"/>
        </w:rPr>
        <w:t>）商誉估计的减值准备</w:t>
      </w:r>
      <w:r>
        <w:rPr>
          <w:rFonts w:ascii="宋体" w:hAnsi="宋体" w:cs="宋体" w:eastAsia="宋体" w:hint="default"/>
          <w:b/>
          <w:bCs/>
          <w:w w:val="99"/>
          <w:sz w:val="21"/>
          <w:szCs w:val="21"/>
        </w:rPr>
        <w:t> </w:t>
      </w:r>
      <w:r>
        <w:rPr>
          <w:rFonts w:ascii="宋体" w:hAnsi="宋体" w:cs="宋体" w:eastAsia="宋体" w:hint="default"/>
          <w:spacing w:val="-2"/>
          <w:sz w:val="21"/>
          <w:szCs w:val="21"/>
        </w:rPr>
        <w:t>在决定商誉是否要减值时，需要估计商誉分摊至现金产出单元后的使用价值。商誉按使用价值的计算</w:t>
      </w:r>
    </w:p>
    <w:p>
      <w:pPr>
        <w:pStyle w:val="BodyText"/>
        <w:spacing w:line="220" w:lineRule="exact"/>
        <w:ind w:right="0"/>
        <w:jc w:val="both"/>
      </w:pPr>
      <w:r>
        <w:rPr/>
        <w:t>需要本公司估计通过现金产出单元所产生的未来现金流和适当的贴现率以计算现值。该预测是管理层根据</w:t>
      </w:r>
    </w:p>
    <w:p>
      <w:pPr>
        <w:pStyle w:val="BodyText"/>
        <w:spacing w:line="273" w:lineRule="exact"/>
        <w:ind w:right="0"/>
        <w:jc w:val="both"/>
        <w:rPr>
          <w:rFonts w:ascii="宋体" w:hAnsi="宋体" w:cs="宋体" w:eastAsia="宋体" w:hint="default"/>
        </w:rPr>
      </w:pPr>
      <w:r>
        <w:rPr/>
        <w:t>过往经验及对市场发展之预测来估计。</w:t>
      </w:r>
      <w:r>
        <w:rPr>
          <w:rFonts w:ascii="宋体" w:hAnsi="宋体" w:cs="宋体" w:eastAsia="宋体" w:hint="default"/>
        </w:rPr>
        <w:t> </w:t>
      </w:r>
    </w:p>
    <w:p>
      <w:pPr>
        <w:spacing w:after="0" w:line="273" w:lineRule="exact"/>
        <w:jc w:val="both"/>
        <w:rPr>
          <w:rFonts w:ascii="宋体" w:hAnsi="宋体" w:cs="宋体" w:eastAsia="宋体" w:hint="default"/>
        </w:rPr>
        <w:sectPr>
          <w:pgSz w:w="11910" w:h="16840"/>
          <w:pgMar w:header="921" w:footer="725" w:top="1160" w:bottom="920" w:left="980" w:right="0"/>
        </w:sectPr>
      </w:pPr>
    </w:p>
    <w:p>
      <w:pPr>
        <w:spacing w:line="240" w:lineRule="auto" w:before="12"/>
        <w:rPr>
          <w:rFonts w:ascii="宋体" w:hAnsi="宋体" w:cs="宋体" w:eastAsia="宋体" w:hint="default"/>
          <w:sz w:val="15"/>
          <w:szCs w:val="15"/>
        </w:rPr>
      </w:pPr>
    </w:p>
    <w:p>
      <w:pPr>
        <w:spacing w:line="343" w:lineRule="auto" w:before="36"/>
        <w:ind w:left="573" w:right="5542" w:hanging="421"/>
        <w:jc w:val="left"/>
        <w:rPr>
          <w:rFonts w:ascii="宋体" w:hAnsi="宋体" w:cs="宋体" w:eastAsia="宋体" w:hint="default"/>
          <w:sz w:val="21"/>
          <w:szCs w:val="21"/>
        </w:rPr>
      </w:pPr>
      <w:r>
        <w:rPr>
          <w:rFonts w:ascii="宋体" w:hAnsi="宋体" w:cs="宋体" w:eastAsia="宋体" w:hint="default"/>
          <w:b/>
          <w:bCs/>
          <w:sz w:val="21"/>
          <w:szCs w:val="21"/>
        </w:rPr>
        <w:t>四、重要会计政策和会计估计的变更</w:t>
      </w:r>
      <w:r>
        <w:rPr>
          <w:rFonts w:ascii="宋体" w:hAnsi="宋体" w:cs="宋体" w:eastAsia="宋体" w:hint="default"/>
          <w:b/>
          <w:bCs/>
          <w:w w:val="99"/>
          <w:sz w:val="21"/>
          <w:szCs w:val="21"/>
        </w:rPr>
        <w:t> </w:t>
      </w:r>
      <w:r>
        <w:rPr>
          <w:rFonts w:ascii="宋体" w:hAnsi="宋体" w:cs="宋体" w:eastAsia="宋体" w:hint="default"/>
          <w:sz w:val="21"/>
          <w:szCs w:val="21"/>
        </w:rPr>
        <w:t>1</w:t>
      </w:r>
      <w:r>
        <w:rPr>
          <w:rFonts w:ascii="宋体" w:hAnsi="宋体" w:cs="宋体" w:eastAsia="宋体" w:hint="default"/>
          <w:sz w:val="21"/>
          <w:szCs w:val="21"/>
        </w:rPr>
        <w:t>、重要会计政策变更</w:t>
      </w:r>
      <w:r>
        <w:rPr>
          <w:rFonts w:ascii="宋体" w:hAnsi="宋体" w:cs="宋体" w:eastAsia="宋体" w:hint="default"/>
          <w:sz w:val="21"/>
          <w:szCs w:val="21"/>
        </w:rPr>
        <w:t> </w:t>
      </w:r>
    </w:p>
    <w:p>
      <w:pPr>
        <w:pStyle w:val="BodyText"/>
        <w:spacing w:line="240" w:lineRule="auto" w:before="28"/>
        <w:ind w:left="573" w:right="1133"/>
        <w:jc w:val="left"/>
        <w:rPr>
          <w:rFonts w:ascii="宋体" w:hAnsi="宋体" w:cs="宋体" w:eastAsia="宋体" w:hint="default"/>
        </w:rPr>
      </w:pPr>
      <w:r>
        <w:rPr>
          <w:rFonts w:ascii="宋体" w:hAnsi="宋体" w:cs="宋体" w:eastAsia="宋体" w:hint="default"/>
        </w:rPr>
        <w:t>1</w:t>
      </w:r>
      <w:r>
        <w:rPr/>
        <w:t>）执行新金融工具准则导致的会计政策变更及影响</w:t>
      </w:r>
      <w:r>
        <w:rPr>
          <w:rFonts w:ascii="宋体" w:hAnsi="宋体" w:cs="宋体" w:eastAsia="宋体" w:hint="default"/>
        </w:rPr>
        <w:t> </w:t>
      </w:r>
    </w:p>
    <w:p>
      <w:pPr>
        <w:pStyle w:val="BodyText"/>
        <w:spacing w:line="274" w:lineRule="exact" w:before="116"/>
        <w:ind w:left="573" w:right="819"/>
        <w:jc w:val="left"/>
      </w:pPr>
      <w:r>
        <w:rPr/>
        <w:t>公司经</w:t>
      </w:r>
      <w:r>
        <w:rPr>
          <w:spacing w:val="-47"/>
        </w:rPr>
        <w:t> </w:t>
      </w:r>
      <w:r>
        <w:rPr>
          <w:rFonts w:ascii="宋体" w:hAnsi="宋体" w:cs="宋体" w:eastAsia="宋体" w:hint="default"/>
        </w:rPr>
        <w:t>2019</w:t>
      </w:r>
      <w:r>
        <w:rPr>
          <w:rFonts w:ascii="宋体" w:hAnsi="宋体" w:cs="宋体" w:eastAsia="宋体" w:hint="default"/>
          <w:spacing w:val="-49"/>
        </w:rPr>
        <w:t> </w:t>
      </w:r>
      <w:r>
        <w:rPr/>
        <w:t>年</w:t>
      </w:r>
      <w:r>
        <w:rPr>
          <w:spacing w:val="-46"/>
        </w:rPr>
        <w:t> </w:t>
      </w:r>
      <w:r>
        <w:rPr>
          <w:rFonts w:ascii="宋体" w:hAnsi="宋体" w:cs="宋体" w:eastAsia="宋体" w:hint="default"/>
        </w:rPr>
        <w:t>8</w:t>
      </w:r>
      <w:r>
        <w:rPr>
          <w:rFonts w:ascii="宋体" w:hAnsi="宋体" w:cs="宋体" w:eastAsia="宋体" w:hint="default"/>
          <w:spacing w:val="-49"/>
        </w:rPr>
        <w:t> </w:t>
      </w:r>
      <w:r>
        <w:rPr/>
        <w:t>月</w:t>
      </w:r>
      <w:r>
        <w:rPr>
          <w:spacing w:val="-46"/>
        </w:rPr>
        <w:t> </w:t>
      </w:r>
      <w:r>
        <w:rPr>
          <w:rFonts w:ascii="宋体" w:hAnsi="宋体" w:cs="宋体" w:eastAsia="宋体" w:hint="default"/>
        </w:rPr>
        <w:t>23</w:t>
      </w:r>
      <w:r>
        <w:rPr>
          <w:rFonts w:ascii="宋体" w:hAnsi="宋体" w:cs="宋体" w:eastAsia="宋体" w:hint="default"/>
          <w:spacing w:val="-46"/>
        </w:rPr>
        <w:t> </w:t>
      </w:r>
      <w:r>
        <w:rPr/>
        <w:t>日召开的第七届第十一次董事会会议审议通过，于</w:t>
      </w:r>
      <w:r>
        <w:rPr>
          <w:spacing w:val="-46"/>
        </w:rPr>
        <w:t> </w:t>
      </w:r>
      <w:r>
        <w:rPr>
          <w:rFonts w:ascii="宋体" w:hAnsi="宋体" w:cs="宋体" w:eastAsia="宋体" w:hint="default"/>
        </w:rPr>
        <w:t>2019</w:t>
      </w:r>
      <w:r>
        <w:rPr>
          <w:rFonts w:ascii="宋体" w:hAnsi="宋体" w:cs="宋体" w:eastAsia="宋体" w:hint="default"/>
          <w:spacing w:val="-47"/>
        </w:rPr>
        <w:t> </w:t>
      </w:r>
      <w:r>
        <w:rPr/>
        <w:t>年</w:t>
      </w:r>
      <w:r>
        <w:rPr>
          <w:spacing w:val="-49"/>
        </w:rPr>
        <w:t> </w:t>
      </w:r>
      <w:r>
        <w:rPr>
          <w:rFonts w:ascii="宋体" w:hAnsi="宋体" w:cs="宋体" w:eastAsia="宋体" w:hint="default"/>
        </w:rPr>
        <w:t>1</w:t>
      </w:r>
      <w:r>
        <w:rPr>
          <w:rFonts w:ascii="宋体" w:hAnsi="宋体" w:cs="宋体" w:eastAsia="宋体" w:hint="default"/>
          <w:spacing w:val="-49"/>
        </w:rPr>
        <w:t> </w:t>
      </w:r>
      <w:r>
        <w:rPr/>
        <w:t>月</w:t>
      </w:r>
      <w:r>
        <w:rPr>
          <w:spacing w:val="-46"/>
        </w:rPr>
        <w:t> </w:t>
      </w:r>
      <w:r>
        <w:rPr>
          <w:rFonts w:ascii="宋体" w:hAnsi="宋体" w:cs="宋体" w:eastAsia="宋体" w:hint="default"/>
        </w:rPr>
        <w:t>1</w:t>
      </w:r>
      <w:r>
        <w:rPr>
          <w:rFonts w:ascii="宋体" w:hAnsi="宋体" w:cs="宋体" w:eastAsia="宋体" w:hint="default"/>
          <w:spacing w:val="-49"/>
        </w:rPr>
        <w:t> </w:t>
      </w:r>
      <w:r>
        <w:rPr/>
        <w:t>日开始执行</w:t>
      </w:r>
    </w:p>
    <w:p>
      <w:pPr>
        <w:pStyle w:val="BodyText"/>
        <w:spacing w:line="272" w:lineRule="exact"/>
        <w:ind w:right="0"/>
        <w:jc w:val="both"/>
        <w:rPr>
          <w:rFonts w:ascii="宋体" w:hAnsi="宋体" w:cs="宋体" w:eastAsia="宋体" w:hint="default"/>
        </w:rPr>
      </w:pPr>
      <w:r>
        <w:rPr>
          <w:w w:val="100"/>
        </w:rPr>
        <w:t>财政</w:t>
      </w:r>
      <w:r>
        <w:rPr>
          <w:spacing w:val="-3"/>
          <w:w w:val="100"/>
        </w:rPr>
        <w:t>部</w:t>
      </w:r>
      <w:r>
        <w:rPr>
          <w:w w:val="100"/>
        </w:rPr>
        <w:t>于</w:t>
      </w:r>
      <w:r>
        <w:rPr>
          <w:spacing w:val="-74"/>
        </w:rPr>
        <w:t> </w:t>
      </w:r>
      <w:r>
        <w:rPr>
          <w:rFonts w:ascii="宋体" w:hAnsi="宋体" w:cs="宋体" w:eastAsia="宋体" w:hint="default"/>
          <w:w w:val="100"/>
        </w:rPr>
        <w:t>20</w:t>
      </w:r>
      <w:r>
        <w:rPr>
          <w:rFonts w:ascii="宋体" w:hAnsi="宋体" w:cs="宋体" w:eastAsia="宋体" w:hint="default"/>
          <w:spacing w:val="-3"/>
          <w:w w:val="100"/>
        </w:rPr>
        <w:t>1</w:t>
      </w:r>
      <w:r>
        <w:rPr>
          <w:rFonts w:ascii="宋体" w:hAnsi="宋体" w:cs="宋体" w:eastAsia="宋体" w:hint="default"/>
          <w:w w:val="100"/>
        </w:rPr>
        <w:t>7</w:t>
      </w:r>
      <w:r>
        <w:rPr>
          <w:rFonts w:ascii="宋体" w:hAnsi="宋体" w:cs="宋体" w:eastAsia="宋体" w:hint="default"/>
          <w:spacing w:val="-74"/>
        </w:rPr>
        <w:t> </w:t>
      </w:r>
      <w:r>
        <w:rPr>
          <w:w w:val="100"/>
        </w:rPr>
        <w:t>年</w:t>
      </w:r>
      <w:r>
        <w:rPr>
          <w:spacing w:val="-72"/>
        </w:rPr>
        <w:t> </w:t>
      </w:r>
      <w:r>
        <w:rPr>
          <w:rFonts w:ascii="宋体" w:hAnsi="宋体" w:cs="宋体" w:eastAsia="宋体" w:hint="default"/>
          <w:w w:val="100"/>
        </w:rPr>
        <w:t>3</w:t>
      </w:r>
      <w:r>
        <w:rPr>
          <w:rFonts w:ascii="宋体" w:hAnsi="宋体" w:cs="宋体" w:eastAsia="宋体" w:hint="default"/>
          <w:spacing w:val="-74"/>
        </w:rPr>
        <w:t> </w:t>
      </w:r>
      <w:r>
        <w:rPr>
          <w:w w:val="100"/>
        </w:rPr>
        <w:t>月</w:t>
      </w:r>
      <w:r>
        <w:rPr>
          <w:spacing w:val="-74"/>
        </w:rPr>
        <w:t> </w:t>
      </w:r>
      <w:r>
        <w:rPr>
          <w:rFonts w:ascii="宋体" w:hAnsi="宋体" w:cs="宋体" w:eastAsia="宋体" w:hint="default"/>
          <w:w w:val="100"/>
        </w:rPr>
        <w:t>31</w:t>
      </w:r>
      <w:r>
        <w:rPr>
          <w:rFonts w:ascii="宋体" w:hAnsi="宋体" w:cs="宋体" w:eastAsia="宋体" w:hint="default"/>
          <w:spacing w:val="-74"/>
        </w:rPr>
        <w:t> </w:t>
      </w:r>
      <w:r>
        <w:rPr>
          <w:spacing w:val="-3"/>
          <w:w w:val="100"/>
        </w:rPr>
        <w:t>日</w:t>
      </w:r>
      <w:r>
        <w:rPr>
          <w:w w:val="100"/>
        </w:rPr>
        <w:t>发布</w:t>
      </w:r>
      <w:r>
        <w:rPr>
          <w:spacing w:val="-108"/>
          <w:w w:val="100"/>
        </w:rPr>
        <w:t>的</w:t>
      </w:r>
      <w:r>
        <w:rPr>
          <w:w w:val="100"/>
        </w:rPr>
        <w:t>《</w:t>
      </w:r>
      <w:r>
        <w:rPr>
          <w:spacing w:val="-3"/>
          <w:w w:val="100"/>
        </w:rPr>
        <w:t>企</w:t>
      </w:r>
      <w:r>
        <w:rPr>
          <w:w w:val="100"/>
        </w:rPr>
        <w:t>业</w:t>
      </w:r>
      <w:r>
        <w:rPr>
          <w:spacing w:val="-3"/>
          <w:w w:val="100"/>
        </w:rPr>
        <w:t>会</w:t>
      </w:r>
      <w:r>
        <w:rPr>
          <w:w w:val="100"/>
        </w:rPr>
        <w:t>计</w:t>
      </w:r>
      <w:r>
        <w:rPr>
          <w:spacing w:val="-3"/>
          <w:w w:val="100"/>
        </w:rPr>
        <w:t>准则</w:t>
      </w:r>
      <w:r>
        <w:rPr>
          <w:w w:val="100"/>
        </w:rPr>
        <w:t>第</w:t>
      </w:r>
      <w:r>
        <w:rPr>
          <w:spacing w:val="-72"/>
        </w:rPr>
        <w:t> </w:t>
      </w:r>
      <w:r>
        <w:rPr>
          <w:rFonts w:ascii="宋体" w:hAnsi="宋体" w:cs="宋体" w:eastAsia="宋体" w:hint="default"/>
          <w:spacing w:val="-3"/>
          <w:w w:val="100"/>
        </w:rPr>
        <w:t>2</w:t>
      </w:r>
      <w:r>
        <w:rPr>
          <w:rFonts w:ascii="宋体" w:hAnsi="宋体" w:cs="宋体" w:eastAsia="宋体" w:hint="default"/>
          <w:w w:val="100"/>
        </w:rPr>
        <w:t>2</w:t>
      </w:r>
      <w:r>
        <w:rPr>
          <w:rFonts w:ascii="宋体" w:hAnsi="宋体" w:cs="宋体" w:eastAsia="宋体" w:hint="default"/>
          <w:spacing w:val="-72"/>
        </w:rPr>
        <w:t> </w:t>
      </w:r>
      <w:r>
        <w:rPr>
          <w:spacing w:val="-3"/>
          <w:w w:val="100"/>
        </w:rPr>
        <w:t>号</w:t>
      </w:r>
      <w:r>
        <w:rPr>
          <w:w w:val="100"/>
        </w:rPr>
        <w:t>金</w:t>
      </w:r>
      <w:r>
        <w:rPr>
          <w:spacing w:val="-3"/>
          <w:w w:val="100"/>
        </w:rPr>
        <w:t>融</w:t>
      </w:r>
      <w:r>
        <w:rPr>
          <w:w w:val="100"/>
        </w:rPr>
        <w:t>工</w:t>
      </w:r>
      <w:r>
        <w:rPr>
          <w:spacing w:val="-3"/>
          <w:w w:val="100"/>
        </w:rPr>
        <w:t>具</w:t>
      </w:r>
      <w:r>
        <w:rPr>
          <w:w w:val="100"/>
        </w:rPr>
        <w:t>确</w:t>
      </w:r>
      <w:r>
        <w:rPr>
          <w:spacing w:val="-3"/>
          <w:w w:val="100"/>
        </w:rPr>
        <w:t>认</w:t>
      </w:r>
      <w:r>
        <w:rPr>
          <w:w w:val="100"/>
        </w:rPr>
        <w:t>和</w:t>
      </w:r>
      <w:r>
        <w:rPr>
          <w:spacing w:val="-3"/>
          <w:w w:val="100"/>
        </w:rPr>
        <w:t>计</w:t>
      </w:r>
      <w:r>
        <w:rPr>
          <w:w w:val="100"/>
        </w:rPr>
        <w:t>量</w:t>
      </w:r>
      <w:r>
        <w:rPr>
          <w:rFonts w:ascii="宋体" w:hAnsi="宋体" w:cs="宋体" w:eastAsia="宋体" w:hint="default"/>
          <w:w w:val="100"/>
        </w:rPr>
        <w:t>(</w:t>
      </w:r>
      <w:r>
        <w:rPr>
          <w:rFonts w:ascii="宋体" w:hAnsi="宋体" w:cs="宋体" w:eastAsia="宋体" w:hint="default"/>
          <w:spacing w:val="-3"/>
          <w:w w:val="100"/>
        </w:rPr>
        <w:t>2</w:t>
      </w:r>
      <w:r>
        <w:rPr>
          <w:rFonts w:ascii="宋体" w:hAnsi="宋体" w:cs="宋体" w:eastAsia="宋体" w:hint="default"/>
          <w:w w:val="100"/>
        </w:rPr>
        <w:t>017</w:t>
      </w:r>
      <w:r>
        <w:rPr>
          <w:rFonts w:ascii="宋体" w:hAnsi="宋体" w:cs="宋体" w:eastAsia="宋体" w:hint="default"/>
          <w:spacing w:val="-74"/>
        </w:rPr>
        <w:t> </w:t>
      </w:r>
      <w:r>
        <w:rPr>
          <w:w w:val="100"/>
        </w:rPr>
        <w:t>年</w:t>
      </w:r>
      <w:r>
        <w:rPr>
          <w:spacing w:val="-3"/>
          <w:w w:val="100"/>
        </w:rPr>
        <w:t>修</w:t>
      </w:r>
      <w:r>
        <w:rPr>
          <w:spacing w:val="-1"/>
          <w:w w:val="100"/>
        </w:rPr>
        <w:t>订</w:t>
      </w:r>
      <w:r>
        <w:rPr>
          <w:rFonts w:ascii="宋体" w:hAnsi="宋体" w:cs="宋体" w:eastAsia="宋体" w:hint="default"/>
          <w:w w:val="100"/>
        </w:rPr>
        <w:t>)</w:t>
      </w:r>
      <w:r>
        <w:rPr>
          <w:spacing w:val="-106"/>
          <w:w w:val="100"/>
        </w:rPr>
        <w:t>》</w:t>
      </w:r>
      <w:r>
        <w:rPr>
          <w:rFonts w:ascii="宋体" w:hAnsi="宋体" w:cs="宋体" w:eastAsia="宋体" w:hint="default"/>
          <w:spacing w:val="-3"/>
          <w:w w:val="100"/>
        </w:rPr>
        <w:t>(</w:t>
      </w:r>
      <w:r>
        <w:rPr>
          <w:w w:val="100"/>
        </w:rPr>
        <w:t>财</w:t>
      </w:r>
      <w:r>
        <w:rPr>
          <w:spacing w:val="-3"/>
          <w:w w:val="100"/>
        </w:rPr>
        <w:t>会</w:t>
      </w:r>
      <w:r>
        <w:rPr>
          <w:rFonts w:ascii="宋体" w:hAnsi="宋体" w:cs="宋体" w:eastAsia="宋体" w:hint="default"/>
          <w:w w:val="100"/>
        </w:rPr>
        <w:t>(20</w:t>
      </w:r>
      <w:r>
        <w:rPr>
          <w:rFonts w:ascii="宋体" w:hAnsi="宋体" w:cs="宋体" w:eastAsia="宋体" w:hint="default"/>
          <w:spacing w:val="-3"/>
          <w:w w:val="100"/>
        </w:rPr>
        <w:t>1</w:t>
      </w:r>
      <w:r>
        <w:rPr>
          <w:rFonts w:ascii="宋体" w:hAnsi="宋体" w:cs="宋体" w:eastAsia="宋体" w:hint="default"/>
          <w:w w:val="100"/>
        </w:rPr>
        <w:t>7)7</w:t>
      </w:r>
    </w:p>
    <w:p>
      <w:pPr>
        <w:pStyle w:val="BodyText"/>
        <w:spacing w:line="272" w:lineRule="exact"/>
        <w:ind w:right="0"/>
        <w:jc w:val="both"/>
        <w:rPr>
          <w:rFonts w:ascii="宋体" w:hAnsi="宋体" w:cs="宋体" w:eastAsia="宋体" w:hint="default"/>
        </w:rPr>
      </w:pPr>
      <w:r>
        <w:rPr/>
        <w:t>号</w:t>
      </w:r>
      <w:r>
        <w:rPr>
          <w:rFonts w:ascii="宋体" w:hAnsi="宋体" w:cs="宋体" w:eastAsia="宋体" w:hint="default"/>
        </w:rPr>
        <w:t>)</w:t>
      </w:r>
      <w:r>
        <w:rPr/>
        <w:t>、《企业会计准则第</w:t>
      </w:r>
      <w:r>
        <w:rPr>
          <w:spacing w:val="-29"/>
        </w:rPr>
        <w:t> </w:t>
      </w:r>
      <w:r>
        <w:rPr>
          <w:rFonts w:ascii="宋体" w:hAnsi="宋体" w:cs="宋体" w:eastAsia="宋体" w:hint="default"/>
        </w:rPr>
        <w:t>23</w:t>
      </w:r>
      <w:r>
        <w:rPr>
          <w:rFonts w:ascii="宋体" w:hAnsi="宋体" w:cs="宋体" w:eastAsia="宋体" w:hint="default"/>
          <w:spacing w:val="-28"/>
        </w:rPr>
        <w:t> </w:t>
      </w:r>
      <w:r>
        <w:rPr/>
        <w:t>号一金融资产转移</w:t>
      </w:r>
      <w:r>
        <w:rPr>
          <w:rFonts w:ascii="宋体" w:hAnsi="宋体" w:cs="宋体" w:eastAsia="宋体" w:hint="default"/>
        </w:rPr>
        <w:t>(2017</w:t>
      </w:r>
      <w:r>
        <w:rPr>
          <w:rFonts w:ascii="宋体" w:hAnsi="宋体" w:cs="宋体" w:eastAsia="宋体" w:hint="default"/>
          <w:spacing w:val="-28"/>
        </w:rPr>
        <w:t> </w:t>
      </w:r>
      <w:r>
        <w:rPr/>
        <w:t>年修订</w:t>
      </w:r>
      <w:r>
        <w:rPr>
          <w:rFonts w:ascii="宋体" w:hAnsi="宋体" w:cs="宋体" w:eastAsia="宋体" w:hint="default"/>
        </w:rPr>
        <w:t>)</w:t>
      </w:r>
      <w:r>
        <w:rPr/>
        <w:t>》</w:t>
      </w:r>
      <w:r>
        <w:rPr>
          <w:rFonts w:ascii="宋体" w:hAnsi="宋体" w:cs="宋体" w:eastAsia="宋体" w:hint="default"/>
        </w:rPr>
        <w:t>(</w:t>
      </w:r>
      <w:r>
        <w:rPr/>
        <w:t>财会</w:t>
      </w:r>
      <w:r>
        <w:rPr>
          <w:rFonts w:ascii="宋体" w:hAnsi="宋体" w:cs="宋体" w:eastAsia="宋体" w:hint="default"/>
        </w:rPr>
        <w:t>(2017)8</w:t>
      </w:r>
      <w:r>
        <w:rPr>
          <w:rFonts w:ascii="宋体" w:hAnsi="宋体" w:cs="宋体" w:eastAsia="宋体" w:hint="default"/>
          <w:spacing w:val="-28"/>
        </w:rPr>
        <w:t> </w:t>
      </w:r>
      <w:r>
        <w:rPr/>
        <w:t>号</w:t>
      </w:r>
      <w:r>
        <w:rPr>
          <w:rFonts w:ascii="宋体" w:hAnsi="宋体" w:cs="宋体" w:eastAsia="宋体" w:hint="default"/>
        </w:rPr>
        <w:t>)</w:t>
      </w:r>
      <w:r>
        <w:rPr/>
        <w:t>、《企业会计准则第</w:t>
      </w:r>
      <w:r>
        <w:rPr>
          <w:spacing w:val="-28"/>
        </w:rPr>
        <w:t> </w:t>
      </w:r>
      <w:r>
        <w:rPr>
          <w:rFonts w:ascii="宋体" w:hAnsi="宋体" w:cs="宋体" w:eastAsia="宋体" w:hint="default"/>
        </w:rPr>
        <w:t>24</w:t>
      </w:r>
    </w:p>
    <w:p>
      <w:pPr>
        <w:pStyle w:val="BodyText"/>
        <w:spacing w:line="237" w:lineRule="auto" w:before="2"/>
        <w:ind w:right="1131"/>
        <w:jc w:val="both"/>
        <w:rPr>
          <w:rFonts w:ascii="宋体" w:hAnsi="宋体" w:cs="宋体" w:eastAsia="宋体" w:hint="default"/>
        </w:rPr>
      </w:pPr>
      <w:r>
        <w:rPr/>
        <w:t>号套期会计</w:t>
      </w:r>
      <w:r>
        <w:rPr>
          <w:rFonts w:ascii="宋体" w:hAnsi="宋体" w:cs="宋体" w:eastAsia="宋体" w:hint="default"/>
        </w:rPr>
        <w:t>(2017</w:t>
      </w:r>
      <w:r>
        <w:rPr>
          <w:rFonts w:ascii="宋体" w:hAnsi="宋体" w:cs="宋体" w:eastAsia="宋体" w:hint="default"/>
          <w:spacing w:val="-50"/>
        </w:rPr>
        <w:t> </w:t>
      </w:r>
      <w:r>
        <w:rPr/>
        <w:t>年修订</w:t>
      </w:r>
      <w:r>
        <w:rPr>
          <w:rFonts w:ascii="宋体" w:hAnsi="宋体" w:cs="宋体" w:eastAsia="宋体" w:hint="default"/>
        </w:rPr>
        <w:t>)(</w:t>
      </w:r>
      <w:r>
        <w:rPr/>
        <w:t>财会</w:t>
      </w:r>
      <w:r>
        <w:rPr>
          <w:rFonts w:ascii="宋体" w:hAnsi="宋体" w:cs="宋体" w:eastAsia="宋体" w:hint="default"/>
        </w:rPr>
        <w:t>(2017)9</w:t>
      </w:r>
      <w:r>
        <w:rPr>
          <w:rFonts w:ascii="宋体" w:hAnsi="宋体" w:cs="宋体" w:eastAsia="宋体" w:hint="default"/>
          <w:spacing w:val="-52"/>
        </w:rPr>
        <w:t> </w:t>
      </w:r>
      <w:r>
        <w:rPr>
          <w:spacing w:val="-4"/>
        </w:rPr>
        <w:t>号</w:t>
      </w:r>
      <w:r>
        <w:rPr>
          <w:rFonts w:ascii="宋体" w:hAnsi="宋体" w:cs="宋体" w:eastAsia="宋体" w:hint="default"/>
          <w:spacing w:val="-4"/>
        </w:rPr>
        <w:t>)</w:t>
      </w:r>
      <w:r>
        <w:rPr>
          <w:spacing w:val="-4"/>
        </w:rPr>
        <w:t>，以及于</w:t>
      </w:r>
      <w:r>
        <w:rPr>
          <w:spacing w:val="-50"/>
        </w:rPr>
        <w:t> </w:t>
      </w:r>
      <w:r>
        <w:rPr>
          <w:rFonts w:ascii="宋体" w:hAnsi="宋体" w:cs="宋体" w:eastAsia="宋体" w:hint="default"/>
        </w:rPr>
        <w:t>2017</w:t>
      </w:r>
      <w:r>
        <w:rPr>
          <w:rFonts w:ascii="宋体" w:hAnsi="宋体" w:cs="宋体" w:eastAsia="宋体" w:hint="default"/>
          <w:spacing w:val="-50"/>
        </w:rPr>
        <w:t> </w:t>
      </w:r>
      <w:r>
        <w:rPr/>
        <w:t>年</w:t>
      </w:r>
      <w:r>
        <w:rPr>
          <w:spacing w:val="-52"/>
        </w:rPr>
        <w:t> </w:t>
      </w:r>
      <w:r>
        <w:rPr>
          <w:rFonts w:ascii="宋体" w:hAnsi="宋体" w:cs="宋体" w:eastAsia="宋体" w:hint="default"/>
        </w:rPr>
        <w:t>5</w:t>
      </w:r>
      <w:r>
        <w:rPr>
          <w:rFonts w:ascii="宋体" w:hAnsi="宋体" w:cs="宋体" w:eastAsia="宋体" w:hint="default"/>
          <w:spacing w:val="-50"/>
        </w:rPr>
        <w:t> </w:t>
      </w:r>
      <w:r>
        <w:rPr/>
        <w:t>月</w:t>
      </w:r>
      <w:r>
        <w:rPr>
          <w:spacing w:val="-52"/>
        </w:rPr>
        <w:t> </w:t>
      </w:r>
      <w:r>
        <w:rPr>
          <w:rFonts w:ascii="宋体" w:hAnsi="宋体" w:cs="宋体" w:eastAsia="宋体" w:hint="default"/>
        </w:rPr>
        <w:t>2</w:t>
      </w:r>
      <w:r>
        <w:rPr>
          <w:rFonts w:ascii="宋体" w:hAnsi="宋体" w:cs="宋体" w:eastAsia="宋体" w:hint="default"/>
          <w:spacing w:val="-50"/>
        </w:rPr>
        <w:t> </w:t>
      </w:r>
      <w:r>
        <w:rPr>
          <w:spacing w:val="-3"/>
        </w:rPr>
        <w:t>日发布了《企业会计准则第</w:t>
      </w:r>
      <w:r>
        <w:rPr>
          <w:spacing w:val="-50"/>
        </w:rPr>
        <w:t> </w:t>
      </w:r>
      <w:r>
        <w:rPr>
          <w:rFonts w:ascii="宋体" w:hAnsi="宋体" w:cs="宋体" w:eastAsia="宋体" w:hint="default"/>
        </w:rPr>
        <w:t>37</w:t>
      </w:r>
      <w:r>
        <w:rPr>
          <w:rFonts w:ascii="宋体" w:hAnsi="宋体" w:cs="宋体" w:eastAsia="宋体" w:hint="default"/>
          <w:spacing w:val="-52"/>
        </w:rPr>
        <w:t> </w:t>
      </w:r>
      <w:r>
        <w:rPr/>
        <w:t>号金融</w:t>
      </w:r>
      <w:r>
        <w:rPr>
          <w:w w:val="100"/>
        </w:rPr>
        <w:t> </w:t>
      </w:r>
      <w:r>
        <w:rPr/>
        <w:t>工具列报</w:t>
      </w:r>
      <w:r>
        <w:rPr>
          <w:rFonts w:ascii="宋体" w:hAnsi="宋体" w:cs="宋体" w:eastAsia="宋体" w:hint="default"/>
        </w:rPr>
        <w:t>(2017</w:t>
      </w:r>
      <w:r>
        <w:rPr>
          <w:rFonts w:ascii="宋体" w:hAnsi="宋体" w:cs="宋体" w:eastAsia="宋体" w:hint="default"/>
          <w:spacing w:val="-40"/>
        </w:rPr>
        <w:t> </w:t>
      </w:r>
      <w:r>
        <w:rPr>
          <w:spacing w:val="-5"/>
        </w:rPr>
        <w:t>年修订</w:t>
      </w:r>
      <w:r>
        <w:rPr>
          <w:rFonts w:ascii="宋体" w:hAnsi="宋体" w:cs="宋体" w:eastAsia="宋体" w:hint="default"/>
          <w:spacing w:val="-5"/>
        </w:rPr>
        <w:t>)</w:t>
      </w:r>
      <w:r>
        <w:rPr>
          <w:spacing w:val="-5"/>
        </w:rPr>
        <w:t>》</w:t>
      </w:r>
      <w:r>
        <w:rPr>
          <w:rFonts w:ascii="宋体" w:hAnsi="宋体" w:cs="宋体" w:eastAsia="宋体" w:hint="default"/>
          <w:spacing w:val="-5"/>
        </w:rPr>
        <w:t>(</w:t>
      </w:r>
      <w:r>
        <w:rPr>
          <w:spacing w:val="-5"/>
        </w:rPr>
        <w:t>财会</w:t>
      </w:r>
      <w:r>
        <w:rPr>
          <w:rFonts w:ascii="宋体" w:hAnsi="宋体" w:cs="宋体" w:eastAsia="宋体" w:hint="default"/>
          <w:spacing w:val="-5"/>
        </w:rPr>
        <w:t>(2017)14</w:t>
      </w:r>
      <w:r>
        <w:rPr>
          <w:rFonts w:ascii="宋体" w:hAnsi="宋体" w:cs="宋体" w:eastAsia="宋体" w:hint="default"/>
          <w:spacing w:val="-40"/>
        </w:rPr>
        <w:t> </w:t>
      </w:r>
      <w:r>
        <w:rPr>
          <w:spacing w:val="-6"/>
        </w:rPr>
        <w:t>号</w:t>
      </w:r>
      <w:r>
        <w:rPr>
          <w:rFonts w:ascii="宋体" w:hAnsi="宋体" w:cs="宋体" w:eastAsia="宋体" w:hint="default"/>
          <w:spacing w:val="-6"/>
        </w:rPr>
        <w:t>)(</w:t>
      </w:r>
      <w:r>
        <w:rPr>
          <w:spacing w:val="-6"/>
        </w:rPr>
        <w:t>上述准则统称新金融工具准则“</w:t>
      </w:r>
      <w:r>
        <w:rPr>
          <w:rFonts w:ascii="宋体" w:hAnsi="宋体" w:cs="宋体" w:eastAsia="宋体" w:hint="default"/>
          <w:spacing w:val="-6"/>
        </w:rPr>
        <w:t>)</w:t>
      </w:r>
      <w:r>
        <w:rPr>
          <w:spacing w:val="-6"/>
        </w:rPr>
        <w:t>，要求境内上市企业自</w:t>
      </w:r>
      <w:r>
        <w:rPr>
          <w:spacing w:val="-36"/>
        </w:rPr>
        <w:t> </w:t>
      </w:r>
      <w:r>
        <w:rPr>
          <w:rFonts w:ascii="宋体" w:hAnsi="宋体" w:cs="宋体" w:eastAsia="宋体" w:hint="default"/>
        </w:rPr>
        <w:t>2019</w:t>
      </w:r>
      <w:r>
        <w:rPr>
          <w:rFonts w:ascii="宋体" w:hAnsi="宋体" w:cs="宋体" w:eastAsia="宋体" w:hint="default"/>
          <w:spacing w:val="-97"/>
        </w:rPr>
        <w:t> </w:t>
      </w:r>
      <w:r>
        <w:rPr>
          <w:rFonts w:ascii="宋体" w:hAnsi="宋体" w:cs="宋体" w:eastAsia="宋体" w:hint="default"/>
          <w:spacing w:val="-97"/>
        </w:rPr>
      </w:r>
      <w:r>
        <w:rPr/>
        <w:t>年</w:t>
      </w:r>
      <w:r>
        <w:rPr>
          <w:spacing w:val="-53"/>
        </w:rPr>
        <w:t> </w:t>
      </w:r>
      <w:r>
        <w:rPr>
          <w:rFonts w:ascii="宋体" w:hAnsi="宋体" w:cs="宋体" w:eastAsia="宋体" w:hint="default"/>
        </w:rPr>
        <w:t>1</w:t>
      </w:r>
      <w:r>
        <w:rPr>
          <w:rFonts w:ascii="宋体" w:hAnsi="宋体" w:cs="宋体" w:eastAsia="宋体" w:hint="default"/>
          <w:spacing w:val="-56"/>
        </w:rPr>
        <w:t> </w:t>
      </w:r>
      <w:r>
        <w:rPr/>
        <w:t>月</w:t>
      </w:r>
      <w:r>
        <w:rPr>
          <w:spacing w:val="-54"/>
        </w:rPr>
        <w:t> </w:t>
      </w:r>
      <w:r>
        <w:rPr>
          <w:rFonts w:ascii="宋体" w:hAnsi="宋体" w:cs="宋体" w:eastAsia="宋体" w:hint="default"/>
        </w:rPr>
        <w:t>1</w:t>
      </w:r>
      <w:r>
        <w:rPr>
          <w:rFonts w:ascii="宋体" w:hAnsi="宋体" w:cs="宋体" w:eastAsia="宋体" w:hint="default"/>
          <w:spacing w:val="-54"/>
        </w:rPr>
        <w:t> </w:t>
      </w:r>
      <w:r>
        <w:rPr/>
        <w:t>日起执行新金融工具的准则。</w:t>
      </w:r>
      <w:r>
        <w:rPr>
          <w:rFonts w:ascii="宋体" w:hAnsi="宋体" w:cs="宋体" w:eastAsia="宋体" w:hint="default"/>
        </w:rPr>
        <w:t> </w:t>
      </w:r>
    </w:p>
    <w:p>
      <w:pPr>
        <w:pStyle w:val="BodyText"/>
        <w:spacing w:line="237" w:lineRule="auto" w:before="119"/>
        <w:ind w:right="819" w:firstLine="420"/>
        <w:jc w:val="left"/>
        <w:rPr>
          <w:rFonts w:ascii="宋体" w:hAnsi="宋体" w:cs="宋体" w:eastAsia="宋体" w:hint="default"/>
        </w:rPr>
      </w:pPr>
      <w:r>
        <w:rPr/>
        <w:t>在新金融工具准则下所有已确认金融资产，其后续均按摊余成本或公允价值计量。在新金融工具准则</w:t>
      </w:r>
      <w:r>
        <w:rPr>
          <w:w w:val="100"/>
        </w:rPr>
        <w:t> </w:t>
      </w:r>
      <w:r>
        <w:rPr>
          <w:spacing w:val="-2"/>
        </w:rPr>
        <w:t>施行日，以公司该日既有事实和情况为基础评估管理金融资产的业务模式、以金融资产初始确认时的事实</w:t>
      </w:r>
      <w:r>
        <w:rPr>
          <w:spacing w:val="-43"/>
        </w:rPr>
        <w:t> </w:t>
      </w:r>
      <w:r>
        <w:rPr>
          <w:spacing w:val="-43"/>
        </w:rPr>
      </w:r>
      <w:r>
        <w:rPr>
          <w:spacing w:val="-5"/>
        </w:rPr>
        <w:t>和情况为基础评估该金融资产上的合同现金流量特征，将金融资产分为三类：以摊余成本计量的金融资产、</w:t>
      </w:r>
      <w:r>
        <w:rPr>
          <w:spacing w:val="-4"/>
        </w:rPr>
        <w:t> </w:t>
      </w:r>
      <w:r>
        <w:rPr>
          <w:spacing w:val="-4"/>
        </w:rPr>
      </w:r>
      <w:r>
        <w:rPr>
          <w:spacing w:val="2"/>
        </w:rPr>
        <w:t>以公允价值计量且其变动计入其他综合收益的金融资产和以公允价值计量且其变动计入当期损益的金融</w:t>
      </w:r>
      <w:r>
        <w:rPr>
          <w:spacing w:val="-24"/>
        </w:rPr>
        <w:t> </w:t>
      </w:r>
      <w:r>
        <w:rPr>
          <w:spacing w:val="-24"/>
        </w:rPr>
      </w:r>
      <w:r>
        <w:rPr>
          <w:spacing w:val="-7"/>
        </w:rPr>
        <w:t>资产。其中，对于以公允价值计量且其变动计入其他综合收益的权益工具投资，当该金融资产终止确认时，</w:t>
      </w:r>
      <w:r>
        <w:rPr>
          <w:spacing w:val="-19"/>
        </w:rPr>
        <w:t> </w:t>
      </w:r>
      <w:r>
        <w:rPr>
          <w:spacing w:val="-19"/>
        </w:rPr>
      </w:r>
      <w:r>
        <w:rPr/>
        <w:t>之前计入其他综合收益的累计利得或损失将从其他综合收益转入留存收益，不计入当期损益。</w:t>
      </w:r>
      <w:r>
        <w:rPr>
          <w:rFonts w:ascii="宋体" w:hAnsi="宋体" w:cs="宋体" w:eastAsia="宋体" w:hint="default"/>
        </w:rPr>
        <w:t> </w:t>
      </w:r>
    </w:p>
    <w:p>
      <w:pPr>
        <w:pStyle w:val="BodyText"/>
        <w:spacing w:line="237" w:lineRule="auto" w:before="119"/>
        <w:ind w:right="1126" w:firstLine="420"/>
        <w:jc w:val="both"/>
        <w:rPr>
          <w:rFonts w:ascii="宋体" w:hAnsi="宋体" w:cs="宋体" w:eastAsia="宋体" w:hint="default"/>
        </w:rPr>
      </w:pPr>
      <w:r>
        <w:rPr>
          <w:spacing w:val="-2"/>
        </w:rPr>
        <w:t>在新金融工具准则下，本公司以预期信用损失为基础，对以摊余成本计量的金融资产、以公允价值计</w:t>
      </w:r>
      <w:r>
        <w:rPr>
          <w:w w:val="100"/>
        </w:rPr>
        <w:t> </w:t>
      </w:r>
      <w:r>
        <w:rPr>
          <w:spacing w:val="-2"/>
        </w:rPr>
        <w:t>量且其变动计入其他综合收益的债务工具投资、租赁应收款、合同资产及财务担保合同计提减值准备并确</w:t>
      </w:r>
      <w:r>
        <w:rPr>
          <w:spacing w:val="-43"/>
        </w:rPr>
        <w:t> </w:t>
      </w:r>
      <w:r>
        <w:rPr>
          <w:spacing w:val="-43"/>
        </w:rPr>
      </w:r>
      <w:r>
        <w:rPr/>
        <w:t>认信用减值损失。</w:t>
      </w:r>
      <w:r>
        <w:rPr>
          <w:rFonts w:ascii="宋体" w:hAnsi="宋体" w:cs="宋体" w:eastAsia="宋体" w:hint="default"/>
        </w:rPr>
        <w:t> </w:t>
      </w:r>
    </w:p>
    <w:p>
      <w:pPr>
        <w:pStyle w:val="BodyText"/>
        <w:spacing w:line="237" w:lineRule="auto" w:before="121"/>
        <w:ind w:right="1126" w:firstLine="420"/>
        <w:jc w:val="both"/>
        <w:rPr>
          <w:rFonts w:ascii="宋体" w:hAnsi="宋体" w:cs="宋体" w:eastAsia="宋体" w:hint="default"/>
        </w:rPr>
      </w:pPr>
      <w:r>
        <w:rPr>
          <w:spacing w:val="-2"/>
        </w:rPr>
        <w:t>本公司追溯应用新金融工具准则，但对于分类和计量</w:t>
      </w:r>
      <w:r>
        <w:rPr>
          <w:rFonts w:ascii="宋体" w:hAnsi="宋体" w:cs="宋体" w:eastAsia="宋体" w:hint="default"/>
          <w:spacing w:val="-2"/>
        </w:rPr>
        <w:t>(</w:t>
      </w:r>
      <w:r>
        <w:rPr>
          <w:spacing w:val="-2"/>
        </w:rPr>
        <w:t>含减值</w:t>
      </w:r>
      <w:r>
        <w:rPr>
          <w:rFonts w:ascii="宋体" w:hAnsi="宋体" w:cs="宋体" w:eastAsia="宋体" w:hint="default"/>
          <w:spacing w:val="-2"/>
        </w:rPr>
        <w:t>)</w:t>
      </w:r>
      <w:r>
        <w:rPr>
          <w:spacing w:val="-2"/>
        </w:rPr>
        <w:t>涉及前期比较财务报表数据与新金融工</w:t>
      </w:r>
      <w:r>
        <w:rPr>
          <w:w w:val="100"/>
        </w:rPr>
        <w:t> </w:t>
      </w:r>
      <w:r>
        <w:rPr>
          <w:spacing w:val="-4"/>
        </w:rPr>
        <w:t>具准则不一致的，本公司不进行重述。因此，对于首次执行该准则的累积影响数，</w:t>
      </w:r>
      <w:r>
        <w:rPr>
          <w:rFonts w:ascii="宋体" w:hAnsi="宋体" w:cs="宋体" w:eastAsia="宋体" w:hint="default"/>
          <w:spacing w:val="-4"/>
        </w:rPr>
        <w:t>2018 </w:t>
      </w:r>
      <w:r>
        <w:rPr/>
        <w:t>年度的财务报表未</w:t>
      </w:r>
      <w:r>
        <w:rPr>
          <w:spacing w:val="-77"/>
        </w:rPr>
        <w:t> </w:t>
      </w:r>
      <w:r>
        <w:rPr>
          <w:spacing w:val="-77"/>
        </w:rPr>
      </w:r>
      <w:r>
        <w:rPr/>
        <w:t>予重述。</w:t>
      </w:r>
      <w:r>
        <w:rPr>
          <w:rFonts w:ascii="宋体" w:hAnsi="宋体" w:cs="宋体" w:eastAsia="宋体" w:hint="default"/>
        </w:rPr>
        <w:t> </w:t>
      </w:r>
    </w:p>
    <w:p>
      <w:pPr>
        <w:pStyle w:val="BodyText"/>
        <w:spacing w:line="272" w:lineRule="exact" w:before="144"/>
        <w:ind w:right="1126" w:firstLine="420"/>
        <w:jc w:val="both"/>
        <w:rPr>
          <w:rFonts w:ascii="宋体" w:hAnsi="宋体" w:cs="宋体" w:eastAsia="宋体" w:hint="default"/>
        </w:rPr>
      </w:pPr>
      <w:r>
        <w:rPr/>
        <w:t>执行新金融工具准则对本公司 </w:t>
      </w:r>
      <w:r>
        <w:rPr>
          <w:rFonts w:ascii="宋体" w:hAnsi="宋体" w:cs="宋体" w:eastAsia="宋体" w:hint="default"/>
        </w:rPr>
        <w:t>2019</w:t>
      </w:r>
      <w:r>
        <w:rPr>
          <w:rFonts w:ascii="宋体" w:hAnsi="宋体" w:cs="宋体" w:eastAsia="宋体" w:hint="default"/>
          <w:spacing w:val="-29"/>
        </w:rPr>
        <w:t> </w:t>
      </w:r>
      <w:r>
        <w:rPr/>
        <w:t>年年初留存收益或其他综合收益以及财务报表其他相关项目无影</w:t>
      </w:r>
      <w:r>
        <w:rPr>
          <w:w w:val="100"/>
        </w:rPr>
        <w:t> </w:t>
      </w:r>
      <w:r>
        <w:rPr/>
        <w:t>响。</w:t>
      </w:r>
      <w:r>
        <w:rPr>
          <w:rFonts w:ascii="宋体" w:hAnsi="宋体" w:cs="宋体" w:eastAsia="宋体" w:hint="default"/>
        </w:rPr>
        <w:t> </w:t>
      </w:r>
    </w:p>
    <w:p>
      <w:pPr>
        <w:pStyle w:val="BodyText"/>
        <w:spacing w:line="240" w:lineRule="auto" w:before="94"/>
        <w:ind w:left="573" w:right="1133"/>
        <w:jc w:val="left"/>
        <w:rPr>
          <w:rFonts w:ascii="宋体" w:hAnsi="宋体" w:cs="宋体" w:eastAsia="宋体" w:hint="default"/>
        </w:rPr>
      </w:pPr>
      <w:r>
        <w:rPr>
          <w:rFonts w:ascii="宋体" w:hAnsi="宋体" w:cs="宋体" w:eastAsia="宋体" w:hint="default"/>
        </w:rPr>
        <w:t>2</w:t>
      </w:r>
      <w:r>
        <w:rPr/>
        <w:t>）财务报表格式变更及影响</w:t>
      </w:r>
      <w:r>
        <w:rPr>
          <w:rFonts w:ascii="宋体" w:hAnsi="宋体" w:cs="宋体" w:eastAsia="宋体" w:hint="default"/>
        </w:rPr>
        <w:t> </w:t>
      </w:r>
    </w:p>
    <w:p>
      <w:pPr>
        <w:pStyle w:val="BodyText"/>
        <w:spacing w:line="237" w:lineRule="auto" w:before="119"/>
        <w:ind w:right="1126" w:firstLine="420"/>
        <w:jc w:val="both"/>
        <w:rPr>
          <w:rFonts w:ascii="宋体" w:hAnsi="宋体" w:cs="宋体" w:eastAsia="宋体" w:hint="default"/>
        </w:rPr>
      </w:pPr>
      <w:r>
        <w:rPr>
          <w:spacing w:val="-2"/>
        </w:rPr>
        <w:t>公司经第七届第十一次会议和第七届第十三次董事会会议审议通过，财政部分别发布了《关于修订印</w:t>
      </w:r>
      <w:r>
        <w:rPr>
          <w:w w:val="100"/>
        </w:rPr>
        <w:t> </w:t>
      </w:r>
      <w:r>
        <w:rPr/>
        <w:t>发 </w:t>
      </w:r>
      <w:r>
        <w:rPr>
          <w:rFonts w:ascii="宋体" w:hAnsi="宋体" w:cs="宋体" w:eastAsia="宋体" w:hint="default"/>
        </w:rPr>
        <w:t>2019 </w:t>
      </w:r>
      <w:r>
        <w:rPr/>
        <w:t>年度一般企业财务报表格式的通知》（财会〔</w:t>
      </w:r>
      <w:r>
        <w:rPr>
          <w:rFonts w:ascii="宋体" w:hAnsi="宋体" w:cs="宋体" w:eastAsia="宋体" w:hint="default"/>
        </w:rPr>
        <w:t>2019</w:t>
      </w:r>
      <w:r>
        <w:rPr/>
        <w:t>〕</w:t>
      </w:r>
      <w:r>
        <w:rPr>
          <w:rFonts w:ascii="宋体" w:hAnsi="宋体" w:cs="宋体" w:eastAsia="宋体" w:hint="default"/>
        </w:rPr>
        <w:t>6</w:t>
      </w:r>
      <w:r>
        <w:rPr>
          <w:rFonts w:ascii="宋体" w:hAnsi="宋体" w:cs="宋体" w:eastAsia="宋体" w:hint="default"/>
          <w:spacing w:val="18"/>
        </w:rPr>
        <w:t> </w:t>
      </w:r>
      <w:r>
        <w:rPr>
          <w:spacing w:val="-3"/>
        </w:rPr>
        <w:t>号）及《关于修订印发《合并财务报表格</w:t>
      </w:r>
      <w:r>
        <w:rPr>
          <w:w w:val="100"/>
        </w:rPr>
        <w:t> </w:t>
      </w:r>
      <w:r>
        <w:rPr/>
        <w:t>式（</w:t>
      </w:r>
      <w:r>
        <w:rPr>
          <w:rFonts w:ascii="宋体" w:hAnsi="宋体" w:cs="宋体" w:eastAsia="宋体" w:hint="default"/>
        </w:rPr>
        <w:t>2019</w:t>
      </w:r>
      <w:r>
        <w:rPr>
          <w:rFonts w:ascii="宋体" w:hAnsi="宋体" w:cs="宋体" w:eastAsia="宋体" w:hint="default"/>
          <w:spacing w:val="6"/>
        </w:rPr>
        <w:t> </w:t>
      </w:r>
      <w:r>
        <w:rPr>
          <w:spacing w:val="-3"/>
        </w:rPr>
        <w:t>版）》的通知》（财会【</w:t>
      </w:r>
      <w:r>
        <w:rPr>
          <w:rFonts w:ascii="宋体" w:hAnsi="宋体" w:cs="宋体" w:eastAsia="宋体" w:hint="default"/>
          <w:spacing w:val="-3"/>
        </w:rPr>
        <w:t>2019</w:t>
      </w:r>
      <w:r>
        <w:rPr>
          <w:spacing w:val="-3"/>
        </w:rPr>
        <w:t>】</w:t>
      </w:r>
      <w:r>
        <w:rPr>
          <w:rFonts w:ascii="宋体" w:hAnsi="宋体" w:cs="宋体" w:eastAsia="宋体" w:hint="default"/>
          <w:spacing w:val="-3"/>
        </w:rPr>
        <w:t>16</w:t>
      </w:r>
      <w:r>
        <w:rPr>
          <w:rFonts w:ascii="宋体" w:hAnsi="宋体" w:cs="宋体" w:eastAsia="宋体" w:hint="default"/>
          <w:spacing w:val="9"/>
        </w:rPr>
        <w:t> </w:t>
      </w:r>
      <w:r>
        <w:rPr/>
        <w:t>号）的规定调整企业财务报表格式并相应追溯调整了比较期</w:t>
      </w:r>
      <w:r>
        <w:rPr>
          <w:spacing w:val="-103"/>
        </w:rPr>
        <w:t> </w:t>
      </w:r>
      <w:r>
        <w:rPr>
          <w:spacing w:val="-103"/>
        </w:rPr>
      </w:r>
      <w:r>
        <w:rPr/>
        <w:t>间财务报表，该会计政策变更对合并及公司净利润和股东权益无影响。对财务报表项目影响如下：</w:t>
      </w:r>
      <w:r>
        <w:rPr>
          <w:rFonts w:ascii="宋体" w:hAnsi="宋体" w:cs="宋体" w:eastAsia="宋体" w:hint="default"/>
        </w:rPr>
        <w:t> </w:t>
      </w:r>
    </w:p>
    <w:p>
      <w:pPr>
        <w:spacing w:line="240" w:lineRule="auto" w:before="7"/>
        <w:rPr>
          <w:rFonts w:ascii="宋体" w:hAnsi="宋体" w:cs="宋体" w:eastAsia="宋体" w:hint="default"/>
          <w:sz w:val="11"/>
          <w:szCs w:val="11"/>
        </w:rPr>
      </w:pPr>
    </w:p>
    <w:tbl>
      <w:tblPr>
        <w:tblW w:w="0" w:type="auto"/>
        <w:jc w:val="left"/>
        <w:tblInd w:w="148" w:type="dxa"/>
        <w:tblLayout w:type="fixed"/>
        <w:tblCellMar>
          <w:top w:w="0" w:type="dxa"/>
          <w:left w:w="0" w:type="dxa"/>
          <w:bottom w:w="0" w:type="dxa"/>
          <w:right w:w="0" w:type="dxa"/>
        </w:tblCellMar>
        <w:tblLook w:val="01E0"/>
      </w:tblPr>
      <w:tblGrid>
        <w:gridCol w:w="2554"/>
        <w:gridCol w:w="2413"/>
        <w:gridCol w:w="1841"/>
        <w:gridCol w:w="2782"/>
      </w:tblGrid>
      <w:tr>
        <w:trPr>
          <w:trHeight w:val="398" w:hRule="exact"/>
        </w:trPr>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88" w:right="0"/>
              <w:jc w:val="center"/>
              <w:rPr>
                <w:rFonts w:ascii="宋体" w:hAnsi="宋体" w:cs="宋体" w:eastAsia="宋体" w:hint="default"/>
                <w:sz w:val="18"/>
                <w:szCs w:val="18"/>
              </w:rPr>
            </w:pPr>
            <w:r>
              <w:rPr>
                <w:rFonts w:ascii="宋体" w:hAnsi="宋体" w:cs="宋体" w:eastAsia="宋体" w:hint="default"/>
                <w:b/>
                <w:bCs/>
                <w:sz w:val="18"/>
                <w:szCs w:val="18"/>
              </w:rPr>
              <w:t>项目</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24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408" w:right="0"/>
              <w:jc w:val="left"/>
              <w:rPr>
                <w:rFonts w:ascii="宋体" w:hAnsi="宋体" w:cs="宋体" w:eastAsia="宋体" w:hint="default"/>
                <w:sz w:val="18"/>
                <w:szCs w:val="18"/>
              </w:rPr>
            </w:pPr>
            <w:r>
              <w:rPr>
                <w:rFonts w:ascii="宋体" w:hAnsi="宋体" w:cs="宋体" w:eastAsia="宋体" w:hint="default"/>
                <w:b/>
                <w:bCs/>
                <w:spacing w:val="1"/>
                <w:w w:val="99"/>
                <w:sz w:val="18"/>
                <w:szCs w:val="18"/>
              </w:rPr>
              <w:t> </w:t>
            </w:r>
            <w:r>
              <w:rPr>
                <w:rFonts w:ascii="宋体" w:hAnsi="宋体" w:cs="宋体" w:eastAsia="宋体" w:hint="default"/>
                <w:b/>
                <w:bCs/>
                <w:sz w:val="18"/>
                <w:szCs w:val="18"/>
              </w:rPr>
              <w:t>2018</w:t>
            </w:r>
            <w:r>
              <w:rPr>
                <w:rFonts w:ascii="宋体" w:hAnsi="宋体" w:cs="宋体" w:eastAsia="宋体" w:hint="default"/>
                <w:b/>
                <w:bCs/>
                <w:spacing w:val="-46"/>
                <w:sz w:val="18"/>
                <w:szCs w:val="18"/>
              </w:rPr>
              <w:t> </w:t>
            </w:r>
            <w:r>
              <w:rPr>
                <w:rFonts w:ascii="宋体" w:hAnsi="宋体" w:cs="宋体" w:eastAsia="宋体" w:hint="default"/>
                <w:b/>
                <w:bCs/>
                <w:sz w:val="18"/>
                <w:szCs w:val="18"/>
              </w:rPr>
              <w:t>年</w:t>
            </w:r>
            <w:r>
              <w:rPr>
                <w:rFonts w:ascii="宋体" w:hAnsi="宋体" w:cs="宋体" w:eastAsia="宋体" w:hint="default"/>
                <w:b/>
                <w:bCs/>
                <w:spacing w:val="-48"/>
                <w:sz w:val="18"/>
                <w:szCs w:val="18"/>
              </w:rPr>
              <w:t> </w:t>
            </w:r>
            <w:r>
              <w:rPr>
                <w:rFonts w:ascii="宋体" w:hAnsi="宋体" w:cs="宋体" w:eastAsia="宋体" w:hint="default"/>
                <w:b/>
                <w:bCs/>
                <w:sz w:val="18"/>
                <w:szCs w:val="18"/>
              </w:rPr>
              <w:t>12</w:t>
            </w:r>
            <w:r>
              <w:rPr>
                <w:rFonts w:ascii="宋体" w:hAnsi="宋体" w:cs="宋体" w:eastAsia="宋体" w:hint="default"/>
                <w:b/>
                <w:bCs/>
                <w:spacing w:val="-46"/>
                <w:sz w:val="18"/>
                <w:szCs w:val="18"/>
              </w:rPr>
              <w:t> </w:t>
            </w:r>
            <w:r>
              <w:rPr>
                <w:rFonts w:ascii="宋体" w:hAnsi="宋体" w:cs="宋体" w:eastAsia="宋体" w:hint="default"/>
                <w:b/>
                <w:bCs/>
                <w:sz w:val="18"/>
                <w:szCs w:val="18"/>
              </w:rPr>
              <w:t>月</w:t>
            </w:r>
            <w:r>
              <w:rPr>
                <w:rFonts w:ascii="宋体" w:hAnsi="宋体" w:cs="宋体" w:eastAsia="宋体" w:hint="default"/>
                <w:b/>
                <w:bCs/>
                <w:spacing w:val="-48"/>
                <w:sz w:val="18"/>
                <w:szCs w:val="18"/>
              </w:rPr>
              <w:t> </w:t>
            </w:r>
            <w:r>
              <w:rPr>
                <w:rFonts w:ascii="宋体" w:hAnsi="宋体" w:cs="宋体" w:eastAsia="宋体" w:hint="default"/>
                <w:b/>
                <w:bCs/>
                <w:sz w:val="18"/>
                <w:szCs w:val="18"/>
              </w:rPr>
              <w:t>31</w:t>
            </w:r>
            <w:r>
              <w:rPr>
                <w:rFonts w:ascii="宋体" w:hAnsi="宋体" w:cs="宋体" w:eastAsia="宋体" w:hint="default"/>
                <w:b/>
                <w:bCs/>
                <w:spacing w:val="-46"/>
                <w:sz w:val="18"/>
                <w:szCs w:val="18"/>
              </w:rPr>
              <w:t> </w:t>
            </w:r>
            <w:r>
              <w:rPr>
                <w:rFonts w:ascii="宋体" w:hAnsi="宋体" w:cs="宋体" w:eastAsia="宋体" w:hint="default"/>
                <w:b/>
                <w:bCs/>
                <w:sz w:val="18"/>
                <w:szCs w:val="18"/>
              </w:rPr>
              <w:t>日</w:t>
            </w:r>
            <w:r>
              <w:rPr>
                <w:rFonts w:ascii="宋体" w:hAnsi="宋体" w:cs="宋体" w:eastAsia="宋体" w:hint="default"/>
                <w:b/>
                <w:bCs/>
                <w:spacing w:val="-2"/>
                <w:w w:val="99"/>
                <w:sz w:val="18"/>
                <w:szCs w:val="18"/>
              </w:rPr>
              <w:t> </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259" w:right="0"/>
              <w:jc w:val="left"/>
              <w:rPr>
                <w:rFonts w:ascii="宋体" w:hAnsi="宋体" w:cs="宋体" w:eastAsia="宋体" w:hint="default"/>
                <w:sz w:val="18"/>
                <w:szCs w:val="18"/>
              </w:rPr>
            </w:pPr>
            <w:r>
              <w:rPr>
                <w:rFonts w:ascii="宋体" w:hAnsi="宋体" w:cs="宋体" w:eastAsia="宋体" w:hint="default"/>
                <w:b/>
                <w:bCs/>
                <w:sz w:val="18"/>
                <w:szCs w:val="18"/>
              </w:rPr>
              <w:t>2019</w:t>
            </w:r>
            <w:r>
              <w:rPr>
                <w:rFonts w:ascii="宋体" w:hAnsi="宋体" w:cs="宋体" w:eastAsia="宋体" w:hint="default"/>
                <w:b/>
                <w:bCs/>
                <w:spacing w:val="-45"/>
                <w:sz w:val="18"/>
                <w:szCs w:val="18"/>
              </w:rPr>
              <w:t> </w:t>
            </w:r>
            <w:r>
              <w:rPr>
                <w:rFonts w:ascii="宋体" w:hAnsi="宋体" w:cs="宋体" w:eastAsia="宋体" w:hint="default"/>
                <w:b/>
                <w:bCs/>
                <w:sz w:val="18"/>
                <w:szCs w:val="18"/>
              </w:rPr>
              <w:t>年</w:t>
            </w:r>
            <w:r>
              <w:rPr>
                <w:rFonts w:ascii="宋体" w:hAnsi="宋体" w:cs="宋体" w:eastAsia="宋体" w:hint="default"/>
                <w:b/>
                <w:bCs/>
                <w:spacing w:val="-47"/>
                <w:sz w:val="18"/>
                <w:szCs w:val="18"/>
              </w:rPr>
              <w:t> </w:t>
            </w:r>
            <w:r>
              <w:rPr>
                <w:rFonts w:ascii="宋体" w:hAnsi="宋体" w:cs="宋体" w:eastAsia="宋体" w:hint="default"/>
                <w:b/>
                <w:bCs/>
                <w:sz w:val="18"/>
                <w:szCs w:val="18"/>
              </w:rPr>
              <w:t>1</w:t>
            </w:r>
            <w:r>
              <w:rPr>
                <w:rFonts w:ascii="宋体" w:hAnsi="宋体" w:cs="宋体" w:eastAsia="宋体" w:hint="default"/>
                <w:b/>
                <w:bCs/>
                <w:spacing w:val="-45"/>
                <w:sz w:val="18"/>
                <w:szCs w:val="18"/>
              </w:rPr>
              <w:t> </w:t>
            </w:r>
            <w:r>
              <w:rPr>
                <w:rFonts w:ascii="宋体" w:hAnsi="宋体" w:cs="宋体" w:eastAsia="宋体" w:hint="default"/>
                <w:b/>
                <w:bCs/>
                <w:sz w:val="18"/>
                <w:szCs w:val="18"/>
              </w:rPr>
              <w:t>月</w:t>
            </w:r>
            <w:r>
              <w:rPr>
                <w:rFonts w:ascii="宋体" w:hAnsi="宋体" w:cs="宋体" w:eastAsia="宋体" w:hint="default"/>
                <w:b/>
                <w:bCs/>
                <w:spacing w:val="-49"/>
                <w:sz w:val="18"/>
                <w:szCs w:val="18"/>
              </w:rPr>
              <w:t> </w:t>
            </w:r>
            <w:r>
              <w:rPr>
                <w:rFonts w:ascii="宋体" w:hAnsi="宋体" w:cs="宋体" w:eastAsia="宋体" w:hint="default"/>
                <w:b/>
                <w:bCs/>
                <w:sz w:val="18"/>
                <w:szCs w:val="18"/>
              </w:rPr>
              <w:t>1</w:t>
            </w:r>
            <w:r>
              <w:rPr>
                <w:rFonts w:ascii="宋体" w:hAnsi="宋体" w:cs="宋体" w:eastAsia="宋体" w:hint="default"/>
                <w:b/>
                <w:bCs/>
                <w:spacing w:val="-45"/>
                <w:sz w:val="18"/>
                <w:szCs w:val="18"/>
              </w:rPr>
              <w:t> </w:t>
            </w:r>
            <w:r>
              <w:rPr>
                <w:rFonts w:ascii="宋体" w:hAnsi="宋体" w:cs="宋体" w:eastAsia="宋体" w:hint="default"/>
                <w:b/>
                <w:bCs/>
                <w:sz w:val="18"/>
                <w:szCs w:val="18"/>
              </w:rPr>
              <w:t>日</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2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87" w:right="0"/>
              <w:jc w:val="center"/>
              <w:rPr>
                <w:rFonts w:ascii="宋体" w:hAnsi="宋体" w:cs="宋体" w:eastAsia="宋体" w:hint="default"/>
                <w:sz w:val="18"/>
                <w:szCs w:val="18"/>
              </w:rPr>
            </w:pPr>
            <w:r>
              <w:rPr>
                <w:rFonts w:ascii="宋体" w:hAnsi="宋体" w:cs="宋体" w:eastAsia="宋体" w:hint="default"/>
                <w:b/>
                <w:bCs/>
                <w:sz w:val="18"/>
                <w:szCs w:val="18"/>
              </w:rPr>
              <w:t>调整数</w:t>
            </w:r>
            <w:r>
              <w:rPr>
                <w:rFonts w:ascii="宋体" w:hAnsi="宋体" w:cs="宋体" w:eastAsia="宋体" w:hint="default"/>
                <w:b/>
                <w:bCs/>
                <w:w w:val="99"/>
                <w:sz w:val="18"/>
                <w:szCs w:val="18"/>
              </w:rPr>
              <w:t> </w:t>
            </w:r>
            <w:r>
              <w:rPr>
                <w:rFonts w:ascii="宋体" w:hAnsi="宋体" w:cs="宋体" w:eastAsia="宋体" w:hint="default"/>
                <w:sz w:val="18"/>
                <w:szCs w:val="18"/>
              </w:rPr>
            </w:r>
          </w:p>
        </w:tc>
      </w:tr>
      <w:tr>
        <w:trPr>
          <w:trHeight w:val="396" w:hRule="exact"/>
        </w:trPr>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18"/>
                <w:szCs w:val="18"/>
              </w:rPr>
            </w:pPr>
            <w:r>
              <w:rPr>
                <w:rFonts w:ascii="宋体" w:hAnsi="宋体" w:cs="宋体" w:eastAsia="宋体" w:hint="default"/>
                <w:sz w:val="18"/>
                <w:szCs w:val="18"/>
              </w:rPr>
              <w:t>应收票据及应收账款</w:t>
            </w:r>
            <w:r>
              <w:rPr>
                <w:rFonts w:ascii="宋体" w:hAnsi="宋体" w:cs="宋体" w:eastAsia="宋体" w:hint="default"/>
                <w:sz w:val="18"/>
                <w:szCs w:val="18"/>
              </w:rPr>
              <w:t> </w:t>
            </w:r>
          </w:p>
        </w:tc>
        <w:tc>
          <w:tcPr>
            <w:tcW w:w="24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pacing w:val="-1"/>
                <w:sz w:val="18"/>
              </w:rPr>
              <w:t>1,064,241,627.49 </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z w:val="18"/>
              </w:rPr>
              <w:t> </w:t>
            </w:r>
          </w:p>
        </w:tc>
        <w:tc>
          <w:tcPr>
            <w:tcW w:w="2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hAnsi="宋体" w:cs="宋体" w:eastAsia="宋体" w:hint="default"/>
                <w:spacing w:val="-1"/>
                <w:sz w:val="18"/>
                <w:szCs w:val="18"/>
              </w:rPr>
              <w:t>－</w:t>
            </w:r>
            <w:r>
              <w:rPr>
                <w:rFonts w:ascii="宋体" w:hAnsi="宋体" w:cs="宋体" w:eastAsia="宋体" w:hint="default"/>
                <w:spacing w:val="-1"/>
                <w:sz w:val="18"/>
                <w:szCs w:val="18"/>
              </w:rPr>
              <w:t>1,064,241,627.49 </w:t>
            </w:r>
          </w:p>
        </w:tc>
      </w:tr>
      <w:tr>
        <w:trPr>
          <w:trHeight w:val="398" w:hRule="exact"/>
        </w:trPr>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18"/>
                <w:szCs w:val="18"/>
              </w:rPr>
            </w:pPr>
            <w:r>
              <w:rPr>
                <w:rFonts w:ascii="宋体" w:hAnsi="宋体" w:cs="宋体" w:eastAsia="宋体" w:hint="default"/>
                <w:sz w:val="18"/>
                <w:szCs w:val="18"/>
              </w:rPr>
              <w:t>应收票据</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24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z w:val="18"/>
              </w:rPr>
              <w:t> </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pacing w:val="-1"/>
                <w:sz w:val="18"/>
              </w:rPr>
              <w:t>10,215,000.00 </w:t>
            </w:r>
          </w:p>
        </w:tc>
        <w:tc>
          <w:tcPr>
            <w:tcW w:w="2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pacing w:val="-1"/>
                <w:sz w:val="18"/>
              </w:rPr>
              <w:t>10,215,000.00</w:t>
            </w:r>
            <w:r>
              <w:rPr>
                <w:rFonts w:ascii="宋体"/>
                <w:sz w:val="18"/>
              </w:rPr>
              <w:t> </w:t>
            </w:r>
          </w:p>
        </w:tc>
      </w:tr>
      <w:tr>
        <w:trPr>
          <w:trHeight w:val="396" w:hRule="exact"/>
        </w:trPr>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18"/>
                <w:szCs w:val="18"/>
              </w:rPr>
            </w:pPr>
            <w:r>
              <w:rPr>
                <w:rFonts w:ascii="宋体" w:hAnsi="宋体" w:cs="宋体" w:eastAsia="宋体" w:hint="default"/>
                <w:sz w:val="18"/>
                <w:szCs w:val="18"/>
              </w:rPr>
              <w:t>应收账款</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24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z w:val="18"/>
              </w:rPr>
              <w:t> </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pacing w:val="-1"/>
                <w:sz w:val="18"/>
              </w:rPr>
              <w:t>1,054,026,627.49 </w:t>
            </w:r>
          </w:p>
        </w:tc>
        <w:tc>
          <w:tcPr>
            <w:tcW w:w="2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pacing w:val="-1"/>
                <w:sz w:val="18"/>
              </w:rPr>
              <w:t>1,054,026,627.49 </w:t>
            </w:r>
          </w:p>
        </w:tc>
      </w:tr>
      <w:tr>
        <w:trPr>
          <w:trHeight w:val="396" w:hRule="exact"/>
        </w:trPr>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18"/>
                <w:szCs w:val="18"/>
              </w:rPr>
            </w:pPr>
            <w:r>
              <w:rPr>
                <w:rFonts w:ascii="宋体" w:hAnsi="宋体" w:cs="宋体" w:eastAsia="宋体" w:hint="default"/>
                <w:sz w:val="18"/>
                <w:szCs w:val="18"/>
              </w:rPr>
              <w:t>应付票据及应付账款</w:t>
            </w:r>
            <w:r>
              <w:rPr>
                <w:rFonts w:ascii="宋体" w:hAnsi="宋体" w:cs="宋体" w:eastAsia="宋体" w:hint="default"/>
                <w:sz w:val="18"/>
                <w:szCs w:val="18"/>
              </w:rPr>
              <w:t> </w:t>
            </w:r>
          </w:p>
        </w:tc>
        <w:tc>
          <w:tcPr>
            <w:tcW w:w="24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pacing w:val="-1"/>
                <w:sz w:val="18"/>
              </w:rPr>
              <w:t>398,707,944.61 </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z w:val="18"/>
              </w:rPr>
              <w:t> </w:t>
            </w:r>
          </w:p>
        </w:tc>
        <w:tc>
          <w:tcPr>
            <w:tcW w:w="2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hAnsi="宋体" w:cs="宋体" w:eastAsia="宋体" w:hint="default"/>
                <w:spacing w:val="-1"/>
                <w:sz w:val="18"/>
                <w:szCs w:val="18"/>
              </w:rPr>
              <w:t>－</w:t>
            </w:r>
            <w:r>
              <w:rPr>
                <w:rFonts w:ascii="宋体" w:hAnsi="宋体" w:cs="宋体" w:eastAsia="宋体" w:hint="default"/>
                <w:spacing w:val="-1"/>
                <w:sz w:val="18"/>
                <w:szCs w:val="18"/>
              </w:rPr>
              <w:t>398,707,944.61 </w:t>
            </w:r>
          </w:p>
        </w:tc>
      </w:tr>
      <w:tr>
        <w:trPr>
          <w:trHeight w:val="398" w:hRule="exact"/>
        </w:trPr>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103" w:right="0"/>
              <w:jc w:val="left"/>
              <w:rPr>
                <w:rFonts w:ascii="宋体" w:hAnsi="宋体" w:cs="宋体" w:eastAsia="宋体" w:hint="default"/>
                <w:sz w:val="18"/>
                <w:szCs w:val="18"/>
              </w:rPr>
            </w:pPr>
            <w:r>
              <w:rPr>
                <w:rFonts w:ascii="宋体" w:hAnsi="宋体" w:cs="宋体" w:eastAsia="宋体" w:hint="default"/>
                <w:sz w:val="18"/>
                <w:szCs w:val="18"/>
              </w:rPr>
              <w:t>应付票据</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24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1"/>
              <w:jc w:val="right"/>
              <w:rPr>
                <w:rFonts w:ascii="宋体" w:hAnsi="宋体" w:cs="宋体" w:eastAsia="宋体" w:hint="default"/>
                <w:sz w:val="18"/>
                <w:szCs w:val="18"/>
              </w:rPr>
            </w:pPr>
            <w:r>
              <w:rPr>
                <w:rFonts w:ascii="宋体"/>
                <w:sz w:val="18"/>
              </w:rPr>
              <w:t> </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1"/>
              <w:jc w:val="right"/>
              <w:rPr>
                <w:rFonts w:ascii="宋体" w:hAnsi="宋体" w:cs="宋体" w:eastAsia="宋体" w:hint="default"/>
                <w:sz w:val="18"/>
                <w:szCs w:val="18"/>
              </w:rPr>
            </w:pPr>
            <w:r>
              <w:rPr>
                <w:rFonts w:ascii="宋体"/>
                <w:sz w:val="18"/>
              </w:rPr>
              <w:t> </w:t>
            </w:r>
          </w:p>
        </w:tc>
        <w:tc>
          <w:tcPr>
            <w:tcW w:w="2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1"/>
              <w:jc w:val="right"/>
              <w:rPr>
                <w:rFonts w:ascii="宋体" w:hAnsi="宋体" w:cs="宋体" w:eastAsia="宋体" w:hint="default"/>
                <w:sz w:val="18"/>
                <w:szCs w:val="18"/>
              </w:rPr>
            </w:pPr>
            <w:r>
              <w:rPr>
                <w:rFonts w:ascii="宋体"/>
                <w:sz w:val="18"/>
              </w:rPr>
              <w:t> </w:t>
            </w:r>
          </w:p>
        </w:tc>
      </w:tr>
      <w:tr>
        <w:trPr>
          <w:trHeight w:val="396" w:hRule="exact"/>
        </w:trPr>
        <w:tc>
          <w:tcPr>
            <w:tcW w:w="25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18"/>
                <w:szCs w:val="18"/>
              </w:rPr>
            </w:pPr>
            <w:r>
              <w:rPr>
                <w:rFonts w:ascii="宋体" w:hAnsi="宋体" w:cs="宋体" w:eastAsia="宋体" w:hint="default"/>
                <w:sz w:val="18"/>
                <w:szCs w:val="18"/>
              </w:rPr>
              <w:t>应付账款</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24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z w:val="18"/>
              </w:rPr>
              <w:t> </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pacing w:val="-1"/>
                <w:sz w:val="18"/>
              </w:rPr>
              <w:t>398,707,944.61 </w:t>
            </w:r>
          </w:p>
        </w:tc>
        <w:tc>
          <w:tcPr>
            <w:tcW w:w="2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pacing w:val="-1"/>
                <w:sz w:val="18"/>
              </w:rPr>
              <w:t>398,707,944.61 </w:t>
            </w:r>
          </w:p>
        </w:tc>
      </w:tr>
    </w:tbl>
    <w:p>
      <w:pPr>
        <w:pStyle w:val="BodyText"/>
        <w:spacing w:line="240" w:lineRule="auto" w:before="86"/>
        <w:ind w:left="573" w:right="1133"/>
        <w:jc w:val="left"/>
        <w:rPr>
          <w:rFonts w:ascii="宋体" w:hAnsi="宋体" w:cs="宋体" w:eastAsia="宋体" w:hint="default"/>
        </w:rPr>
      </w:pPr>
      <w:r>
        <w:rPr>
          <w:rFonts w:ascii="宋体" w:hAnsi="宋体" w:cs="宋体" w:eastAsia="宋体" w:hint="default"/>
        </w:rPr>
        <w:t>3</w:t>
      </w:r>
      <w:r>
        <w:rPr/>
        <w:t>）债务重组政策变更及响</w:t>
      </w:r>
      <w:r>
        <w:rPr>
          <w:rFonts w:ascii="宋体" w:hAnsi="宋体" w:cs="宋体" w:eastAsia="宋体" w:hint="default"/>
        </w:rPr>
        <w:t> </w:t>
      </w:r>
    </w:p>
    <w:p>
      <w:pPr>
        <w:pStyle w:val="BodyText"/>
        <w:spacing w:line="237" w:lineRule="auto" w:before="121"/>
        <w:ind w:right="1022" w:firstLine="420"/>
        <w:jc w:val="left"/>
        <w:rPr>
          <w:rFonts w:ascii="宋体" w:hAnsi="宋体" w:cs="宋体" w:eastAsia="宋体" w:hint="default"/>
        </w:rPr>
      </w:pPr>
      <w:r>
        <w:rPr/>
        <w:t>财政部于</w:t>
      </w:r>
      <w:r>
        <w:rPr>
          <w:spacing w:val="-49"/>
        </w:rPr>
        <w:t> </w:t>
      </w:r>
      <w:r>
        <w:rPr>
          <w:rFonts w:ascii="宋体" w:hAnsi="宋体" w:cs="宋体" w:eastAsia="宋体" w:hint="default"/>
        </w:rPr>
        <w:t>2019</w:t>
      </w:r>
      <w:r>
        <w:rPr>
          <w:rFonts w:ascii="宋体" w:hAnsi="宋体" w:cs="宋体" w:eastAsia="宋体" w:hint="default"/>
          <w:spacing w:val="-52"/>
        </w:rPr>
        <w:t> </w:t>
      </w:r>
      <w:r>
        <w:rPr/>
        <w:t>年</w:t>
      </w:r>
      <w:r>
        <w:rPr>
          <w:spacing w:val="-49"/>
        </w:rPr>
        <w:t> </w:t>
      </w:r>
      <w:r>
        <w:rPr>
          <w:rFonts w:ascii="宋体" w:hAnsi="宋体" w:cs="宋体" w:eastAsia="宋体" w:hint="default"/>
        </w:rPr>
        <w:t>5</w:t>
      </w:r>
      <w:r>
        <w:rPr>
          <w:rFonts w:ascii="宋体" w:hAnsi="宋体" w:cs="宋体" w:eastAsia="宋体" w:hint="default"/>
          <w:spacing w:val="-49"/>
        </w:rPr>
        <w:t> </w:t>
      </w:r>
      <w:r>
        <w:rPr/>
        <w:t>月</w:t>
      </w:r>
      <w:r>
        <w:rPr>
          <w:spacing w:val="-49"/>
        </w:rPr>
        <w:t> </w:t>
      </w:r>
      <w:r>
        <w:rPr>
          <w:rFonts w:ascii="宋体" w:hAnsi="宋体" w:cs="宋体" w:eastAsia="宋体" w:hint="default"/>
        </w:rPr>
        <w:t>16</w:t>
      </w:r>
      <w:r>
        <w:rPr>
          <w:rFonts w:ascii="宋体" w:hAnsi="宋体" w:cs="宋体" w:eastAsia="宋体" w:hint="default"/>
          <w:spacing w:val="-52"/>
        </w:rPr>
        <w:t> </w:t>
      </w:r>
      <w:r>
        <w:rPr/>
        <w:t>日颁布修订的《企业会计准则第</w:t>
      </w:r>
      <w:r>
        <w:rPr>
          <w:spacing w:val="-49"/>
        </w:rPr>
        <w:t> </w:t>
      </w:r>
      <w:r>
        <w:rPr>
          <w:rFonts w:ascii="宋体" w:hAnsi="宋体" w:cs="宋体" w:eastAsia="宋体" w:hint="default"/>
        </w:rPr>
        <w:t>12</w:t>
      </w:r>
      <w:r>
        <w:rPr>
          <w:rFonts w:ascii="宋体" w:hAnsi="宋体" w:cs="宋体" w:eastAsia="宋体" w:hint="default"/>
          <w:spacing w:val="-52"/>
        </w:rPr>
        <w:t> </w:t>
      </w:r>
      <w:r>
        <w:rPr/>
        <w:t>号——债务重组》（财会</w:t>
      </w:r>
      <w:r>
        <w:rPr>
          <w:rFonts w:ascii="宋体" w:hAnsi="宋体" w:cs="宋体" w:eastAsia="宋体" w:hint="default"/>
        </w:rPr>
        <w:t>[2019]9</w:t>
      </w:r>
      <w:r>
        <w:rPr>
          <w:rFonts w:ascii="宋体" w:hAnsi="宋体" w:cs="宋体" w:eastAsia="宋体" w:hint="default"/>
          <w:spacing w:val="-52"/>
        </w:rPr>
        <w:t> </w:t>
      </w:r>
      <w:r>
        <w:rPr/>
        <w:t>号），</w:t>
      </w:r>
      <w:r>
        <w:rPr>
          <w:w w:val="100"/>
        </w:rPr>
        <w:t> </w:t>
      </w:r>
      <w:r>
        <w:rPr/>
        <w:t>自</w:t>
      </w:r>
      <w:r>
        <w:rPr>
          <w:spacing w:val="-50"/>
        </w:rPr>
        <w:t> </w:t>
      </w:r>
      <w:r>
        <w:rPr>
          <w:rFonts w:ascii="宋体" w:hAnsi="宋体" w:cs="宋体" w:eastAsia="宋体" w:hint="default"/>
        </w:rPr>
        <w:t>2019</w:t>
      </w:r>
      <w:r>
        <w:rPr>
          <w:rFonts w:ascii="宋体" w:hAnsi="宋体" w:cs="宋体" w:eastAsia="宋体" w:hint="default"/>
          <w:spacing w:val="-51"/>
        </w:rPr>
        <w:t> </w:t>
      </w:r>
      <w:r>
        <w:rPr/>
        <w:t>年</w:t>
      </w:r>
      <w:r>
        <w:rPr>
          <w:spacing w:val="-53"/>
        </w:rPr>
        <w:t> </w:t>
      </w:r>
      <w:r>
        <w:rPr>
          <w:rFonts w:ascii="宋体" w:hAnsi="宋体" w:cs="宋体" w:eastAsia="宋体" w:hint="default"/>
        </w:rPr>
        <w:t>6</w:t>
      </w:r>
      <w:r>
        <w:rPr>
          <w:rFonts w:ascii="宋体" w:hAnsi="宋体" w:cs="宋体" w:eastAsia="宋体" w:hint="default"/>
          <w:spacing w:val="-51"/>
        </w:rPr>
        <w:t> </w:t>
      </w:r>
      <w:r>
        <w:rPr/>
        <w:t>月</w:t>
      </w:r>
      <w:r>
        <w:rPr>
          <w:spacing w:val="-53"/>
        </w:rPr>
        <w:t> </w:t>
      </w:r>
      <w:r>
        <w:rPr>
          <w:rFonts w:ascii="宋体" w:hAnsi="宋体" w:cs="宋体" w:eastAsia="宋体" w:hint="default"/>
        </w:rPr>
        <w:t>17</w:t>
      </w:r>
      <w:r>
        <w:rPr>
          <w:rFonts w:ascii="宋体" w:hAnsi="宋体" w:cs="宋体" w:eastAsia="宋体" w:hint="default"/>
          <w:spacing w:val="-51"/>
        </w:rPr>
        <w:t> </w:t>
      </w:r>
      <w:r>
        <w:rPr>
          <w:spacing w:val="-7"/>
        </w:rPr>
        <w:t>日起施行。对于</w:t>
      </w:r>
      <w:r>
        <w:rPr>
          <w:spacing w:val="-50"/>
        </w:rPr>
        <w:t> </w:t>
      </w:r>
      <w:r>
        <w:rPr>
          <w:rFonts w:ascii="宋体" w:hAnsi="宋体" w:cs="宋体" w:eastAsia="宋体" w:hint="default"/>
        </w:rPr>
        <w:t>2019</w:t>
      </w:r>
      <w:r>
        <w:rPr>
          <w:rFonts w:ascii="宋体" w:hAnsi="宋体" w:cs="宋体" w:eastAsia="宋体" w:hint="default"/>
          <w:spacing w:val="5"/>
        </w:rPr>
        <w:t> </w:t>
      </w:r>
      <w:r>
        <w:rPr/>
        <w:t>年</w:t>
      </w:r>
      <w:r>
        <w:rPr>
          <w:spacing w:val="-53"/>
        </w:rPr>
        <w:t> </w:t>
      </w:r>
      <w:r>
        <w:rPr>
          <w:rFonts w:ascii="宋体" w:hAnsi="宋体" w:cs="宋体" w:eastAsia="宋体" w:hint="default"/>
        </w:rPr>
        <w:t>1</w:t>
      </w:r>
      <w:r>
        <w:rPr>
          <w:rFonts w:ascii="宋体" w:hAnsi="宋体" w:cs="宋体" w:eastAsia="宋体" w:hint="default"/>
          <w:spacing w:val="3"/>
        </w:rPr>
        <w:t> </w:t>
      </w:r>
      <w:r>
        <w:rPr/>
        <w:t>月</w:t>
      </w:r>
      <w:r>
        <w:rPr>
          <w:spacing w:val="-51"/>
        </w:rPr>
        <w:t> </w:t>
      </w:r>
      <w:r>
        <w:rPr>
          <w:rFonts w:ascii="宋体" w:hAnsi="宋体" w:cs="宋体" w:eastAsia="宋体" w:hint="default"/>
        </w:rPr>
        <w:t>1</w:t>
      </w:r>
      <w:r>
        <w:rPr>
          <w:rFonts w:ascii="宋体" w:hAnsi="宋体" w:cs="宋体" w:eastAsia="宋体" w:hint="default"/>
          <w:spacing w:val="3"/>
        </w:rPr>
        <w:t> </w:t>
      </w:r>
      <w:r>
        <w:rPr>
          <w:spacing w:val="-3"/>
        </w:rPr>
        <w:t>日至施行日之间发生的债务重组，应根据修订后的准则</w:t>
      </w:r>
      <w:r>
        <w:rPr>
          <w:spacing w:val="-98"/>
        </w:rPr>
        <w:t> </w:t>
      </w:r>
      <w:r>
        <w:rPr>
          <w:spacing w:val="-98"/>
        </w:rPr>
      </w:r>
      <w:r>
        <w:rPr/>
        <w:t>进行调整。对</w:t>
      </w:r>
      <w:r>
        <w:rPr>
          <w:spacing w:val="-53"/>
        </w:rPr>
        <w:t> </w:t>
      </w:r>
      <w:r>
        <w:rPr>
          <w:rFonts w:ascii="宋体" w:hAnsi="宋体" w:cs="宋体" w:eastAsia="宋体" w:hint="default"/>
        </w:rPr>
        <w:t>2019</w:t>
      </w:r>
      <w:r>
        <w:rPr>
          <w:rFonts w:ascii="宋体" w:hAnsi="宋体" w:cs="宋体" w:eastAsia="宋体" w:hint="default"/>
          <w:spacing w:val="-3"/>
        </w:rPr>
        <w:t> </w:t>
      </w:r>
      <w:r>
        <w:rPr/>
        <w:t>年</w:t>
      </w:r>
      <w:r>
        <w:rPr>
          <w:spacing w:val="-54"/>
        </w:rPr>
        <w:t> </w:t>
      </w:r>
      <w:r>
        <w:rPr>
          <w:rFonts w:ascii="宋体" w:hAnsi="宋体" w:cs="宋体" w:eastAsia="宋体" w:hint="default"/>
        </w:rPr>
        <w:t>1</w:t>
      </w:r>
      <w:r>
        <w:rPr>
          <w:rFonts w:ascii="宋体" w:hAnsi="宋体" w:cs="宋体" w:eastAsia="宋体" w:hint="default"/>
          <w:spacing w:val="-3"/>
        </w:rPr>
        <w:t> </w:t>
      </w:r>
      <w:r>
        <w:rPr/>
        <w:t>月</w:t>
      </w:r>
      <w:r>
        <w:rPr>
          <w:spacing w:val="-54"/>
        </w:rPr>
        <w:t> </w:t>
      </w:r>
      <w:r>
        <w:rPr>
          <w:rFonts w:ascii="宋体" w:hAnsi="宋体" w:cs="宋体" w:eastAsia="宋体" w:hint="default"/>
        </w:rPr>
        <w:t>1</w:t>
      </w:r>
      <w:r>
        <w:rPr>
          <w:rFonts w:ascii="宋体" w:hAnsi="宋体" w:cs="宋体" w:eastAsia="宋体" w:hint="default"/>
          <w:spacing w:val="-3"/>
        </w:rPr>
        <w:t> </w:t>
      </w:r>
      <w:r>
        <w:rPr/>
        <w:t>日之前发生的债务重组，不需要追溯调整。</w:t>
      </w:r>
      <w:r>
        <w:rPr>
          <w:rFonts w:ascii="宋体" w:hAnsi="宋体" w:cs="宋体" w:eastAsia="宋体" w:hint="default"/>
        </w:rPr>
        <w:t> </w:t>
      </w:r>
    </w:p>
    <w:p>
      <w:pPr>
        <w:pStyle w:val="BodyText"/>
        <w:spacing w:line="274" w:lineRule="exact" w:before="116"/>
        <w:ind w:left="573" w:right="819"/>
        <w:jc w:val="left"/>
      </w:pPr>
      <w:r>
        <w:rPr/>
        <w:t>上述会计政策变更导致公司 </w:t>
      </w:r>
      <w:r>
        <w:rPr>
          <w:rFonts w:ascii="宋体" w:hAnsi="宋体" w:cs="宋体" w:eastAsia="宋体" w:hint="default"/>
        </w:rPr>
        <w:t>2019</w:t>
      </w:r>
      <w:r>
        <w:rPr>
          <w:rFonts w:ascii="宋体" w:hAnsi="宋体" w:cs="宋体" w:eastAsia="宋体" w:hint="default"/>
          <w:spacing w:val="-29"/>
        </w:rPr>
        <w:t> </w:t>
      </w:r>
      <w:r>
        <w:rPr/>
        <w:t>年长期应收款项目的债务重组损失列报由营业外支出变更至投资收</w:t>
      </w:r>
    </w:p>
    <w:p>
      <w:pPr>
        <w:pStyle w:val="BodyText"/>
        <w:spacing w:line="272" w:lineRule="exact"/>
        <w:ind w:right="819"/>
        <w:jc w:val="left"/>
      </w:pPr>
      <w:r>
        <w:rPr>
          <w:spacing w:val="-3"/>
        </w:rPr>
        <w:t>益，营业外支出项目减少</w:t>
      </w:r>
      <w:r>
        <w:rPr>
          <w:spacing w:val="-52"/>
        </w:rPr>
        <w:t> </w:t>
      </w:r>
      <w:r>
        <w:rPr>
          <w:rFonts w:ascii="宋体" w:hAnsi="宋体" w:cs="宋体" w:eastAsia="宋体" w:hint="default"/>
        </w:rPr>
        <w:t>32,945,187.07</w:t>
      </w:r>
      <w:r>
        <w:rPr>
          <w:rFonts w:ascii="宋体" w:hAnsi="宋体" w:cs="宋体" w:eastAsia="宋体" w:hint="default"/>
          <w:spacing w:val="-52"/>
        </w:rPr>
        <w:t> </w:t>
      </w:r>
      <w:r>
        <w:rPr/>
        <w:t>元，投资收益－以摊余成本计量的金融资产终止确认收益项目减</w:t>
      </w:r>
    </w:p>
    <w:p>
      <w:pPr>
        <w:pStyle w:val="BodyText"/>
        <w:spacing w:line="273" w:lineRule="exact"/>
        <w:ind w:right="1133"/>
        <w:jc w:val="left"/>
        <w:rPr>
          <w:rFonts w:ascii="宋体" w:hAnsi="宋体" w:cs="宋体" w:eastAsia="宋体" w:hint="default"/>
        </w:rPr>
      </w:pPr>
      <w:r>
        <w:rPr/>
        <w:t>少</w:t>
      </w:r>
      <w:r>
        <w:rPr>
          <w:spacing w:val="-51"/>
        </w:rPr>
        <w:t> </w:t>
      </w:r>
      <w:r>
        <w:rPr>
          <w:rFonts w:ascii="宋体" w:hAnsi="宋体" w:cs="宋体" w:eastAsia="宋体" w:hint="default"/>
        </w:rPr>
        <w:t>32,945,187.07</w:t>
      </w:r>
      <w:r>
        <w:rPr>
          <w:rFonts w:ascii="宋体" w:hAnsi="宋体" w:cs="宋体" w:eastAsia="宋体" w:hint="default"/>
          <w:spacing w:val="-52"/>
        </w:rPr>
        <w:t> </w:t>
      </w:r>
      <w:r>
        <w:rPr>
          <w:spacing w:val="-3"/>
        </w:rPr>
        <w:t>元。</w:t>
      </w:r>
      <w:r>
        <w:rPr>
          <w:rFonts w:ascii="宋体" w:hAnsi="宋体" w:cs="宋体" w:eastAsia="宋体" w:hint="default"/>
        </w:rPr>
        <w:t> </w:t>
      </w:r>
    </w:p>
    <w:p>
      <w:pPr>
        <w:spacing w:after="0" w:line="273" w:lineRule="exact"/>
        <w:jc w:val="left"/>
        <w:rPr>
          <w:rFonts w:ascii="宋体" w:hAnsi="宋体" w:cs="宋体" w:eastAsia="宋体" w:hint="default"/>
        </w:rPr>
        <w:sectPr>
          <w:pgSz w:w="11910" w:h="16840"/>
          <w:pgMar w:header="921" w:footer="725" w:top="1160" w:bottom="920" w:left="980" w:right="0"/>
        </w:sectPr>
      </w:pPr>
    </w:p>
    <w:p>
      <w:pPr>
        <w:spacing w:line="240" w:lineRule="auto" w:before="12"/>
        <w:rPr>
          <w:rFonts w:ascii="宋体" w:hAnsi="宋体" w:cs="宋体" w:eastAsia="宋体" w:hint="default"/>
          <w:sz w:val="15"/>
          <w:szCs w:val="15"/>
        </w:rPr>
      </w:pPr>
    </w:p>
    <w:p>
      <w:pPr>
        <w:pStyle w:val="BodyText"/>
        <w:spacing w:line="240" w:lineRule="auto" w:before="36"/>
        <w:ind w:left="573" w:right="1133"/>
        <w:jc w:val="left"/>
        <w:rPr>
          <w:rFonts w:ascii="宋体" w:hAnsi="宋体" w:cs="宋体" w:eastAsia="宋体" w:hint="default"/>
        </w:rPr>
      </w:pPr>
      <w:r>
        <w:rPr>
          <w:rFonts w:ascii="宋体" w:hAnsi="宋体" w:cs="宋体" w:eastAsia="宋体" w:hint="default"/>
        </w:rPr>
        <w:t>4</w:t>
      </w:r>
      <w:r>
        <w:rPr/>
        <w:t>）非货币性资产交换会计政策变更及影响</w:t>
      </w:r>
      <w:r>
        <w:rPr>
          <w:rFonts w:ascii="宋体" w:hAnsi="宋体" w:cs="宋体" w:eastAsia="宋体" w:hint="default"/>
        </w:rPr>
        <w:t> </w:t>
      </w:r>
    </w:p>
    <w:p>
      <w:pPr>
        <w:pStyle w:val="BodyText"/>
        <w:spacing w:line="237" w:lineRule="auto" w:before="119"/>
        <w:ind w:right="1126" w:firstLine="420"/>
        <w:jc w:val="both"/>
        <w:rPr>
          <w:rFonts w:ascii="宋体" w:hAnsi="宋体" w:cs="宋体" w:eastAsia="宋体" w:hint="default"/>
        </w:rPr>
      </w:pPr>
      <w:r>
        <w:rPr/>
        <w:t>财政部于</w:t>
      </w:r>
      <w:r>
        <w:rPr>
          <w:spacing w:val="-56"/>
        </w:rPr>
        <w:t> </w:t>
      </w:r>
      <w:r>
        <w:rPr>
          <w:rFonts w:ascii="宋体" w:hAnsi="宋体" w:cs="宋体" w:eastAsia="宋体" w:hint="default"/>
        </w:rPr>
        <w:t>2019</w:t>
      </w:r>
      <w:r>
        <w:rPr>
          <w:rFonts w:ascii="宋体" w:hAnsi="宋体" w:cs="宋体" w:eastAsia="宋体" w:hint="default"/>
          <w:spacing w:val="-58"/>
        </w:rPr>
        <w:t> </w:t>
      </w:r>
      <w:r>
        <w:rPr/>
        <w:t>年</w:t>
      </w:r>
      <w:r>
        <w:rPr>
          <w:spacing w:val="-56"/>
        </w:rPr>
        <w:t> </w:t>
      </w:r>
      <w:r>
        <w:rPr>
          <w:rFonts w:ascii="宋体" w:hAnsi="宋体" w:cs="宋体" w:eastAsia="宋体" w:hint="default"/>
        </w:rPr>
        <w:t>5</w:t>
      </w:r>
      <w:r>
        <w:rPr>
          <w:rFonts w:ascii="宋体" w:hAnsi="宋体" w:cs="宋体" w:eastAsia="宋体" w:hint="default"/>
          <w:spacing w:val="-58"/>
        </w:rPr>
        <w:t> </w:t>
      </w:r>
      <w:r>
        <w:rPr/>
        <w:t>月</w:t>
      </w:r>
      <w:r>
        <w:rPr>
          <w:spacing w:val="-56"/>
        </w:rPr>
        <w:t> </w:t>
      </w:r>
      <w:r>
        <w:rPr>
          <w:rFonts w:ascii="宋体" w:hAnsi="宋体" w:cs="宋体" w:eastAsia="宋体" w:hint="default"/>
        </w:rPr>
        <w:t>9</w:t>
      </w:r>
      <w:r>
        <w:rPr>
          <w:rFonts w:ascii="宋体" w:hAnsi="宋体" w:cs="宋体" w:eastAsia="宋体" w:hint="default"/>
          <w:spacing w:val="-58"/>
        </w:rPr>
        <w:t> </w:t>
      </w:r>
      <w:r>
        <w:rPr/>
        <w:t>日颁布修订的《企业会计准则第</w:t>
      </w:r>
      <w:r>
        <w:rPr>
          <w:spacing w:val="-55"/>
        </w:rPr>
        <w:t> </w:t>
      </w:r>
      <w:r>
        <w:rPr>
          <w:rFonts w:ascii="宋体" w:hAnsi="宋体" w:cs="宋体" w:eastAsia="宋体" w:hint="default"/>
        </w:rPr>
        <w:t>7</w:t>
      </w:r>
      <w:r>
        <w:rPr>
          <w:rFonts w:ascii="宋体" w:hAnsi="宋体" w:cs="宋体" w:eastAsia="宋体" w:hint="default"/>
          <w:spacing w:val="-58"/>
        </w:rPr>
        <w:t> </w:t>
      </w:r>
      <w:r>
        <w:rPr/>
        <w:t>号——非货币性资产交换》（财会</w:t>
      </w:r>
      <w:r>
        <w:rPr>
          <w:rFonts w:ascii="宋体" w:hAnsi="宋体" w:cs="宋体" w:eastAsia="宋体" w:hint="default"/>
        </w:rPr>
        <w:t>[2019]8</w:t>
      </w:r>
      <w:r>
        <w:rPr>
          <w:rFonts w:ascii="宋体" w:hAnsi="宋体" w:cs="宋体" w:eastAsia="宋体" w:hint="default"/>
          <w:w w:val="100"/>
        </w:rPr>
        <w:t> </w:t>
      </w:r>
      <w:r>
        <w:rPr>
          <w:spacing w:val="-11"/>
        </w:rPr>
        <w:t>号），自</w:t>
      </w:r>
      <w:r>
        <w:rPr>
          <w:spacing w:val="-48"/>
        </w:rPr>
        <w:t> </w:t>
      </w:r>
      <w:r>
        <w:rPr>
          <w:rFonts w:ascii="宋体" w:hAnsi="宋体" w:cs="宋体" w:eastAsia="宋体" w:hint="default"/>
        </w:rPr>
        <w:t>2019</w:t>
      </w:r>
      <w:r>
        <w:rPr>
          <w:rFonts w:ascii="宋体" w:hAnsi="宋体" w:cs="宋体" w:eastAsia="宋体" w:hint="default"/>
          <w:spacing w:val="-49"/>
        </w:rPr>
        <w:t> </w:t>
      </w:r>
      <w:r>
        <w:rPr/>
        <w:t>年</w:t>
      </w:r>
      <w:r>
        <w:rPr>
          <w:spacing w:val="-51"/>
        </w:rPr>
        <w:t> </w:t>
      </w:r>
      <w:r>
        <w:rPr>
          <w:rFonts w:ascii="宋体" w:hAnsi="宋体" w:cs="宋体" w:eastAsia="宋体" w:hint="default"/>
        </w:rPr>
        <w:t>6</w:t>
      </w:r>
      <w:r>
        <w:rPr>
          <w:rFonts w:ascii="宋体" w:hAnsi="宋体" w:cs="宋体" w:eastAsia="宋体" w:hint="default"/>
          <w:spacing w:val="-49"/>
        </w:rPr>
        <w:t> </w:t>
      </w:r>
      <w:r>
        <w:rPr/>
        <w:t>月</w:t>
      </w:r>
      <w:r>
        <w:rPr>
          <w:spacing w:val="-51"/>
        </w:rPr>
        <w:t> </w:t>
      </w:r>
      <w:r>
        <w:rPr>
          <w:rFonts w:ascii="宋体" w:hAnsi="宋体" w:cs="宋体" w:eastAsia="宋体" w:hint="default"/>
        </w:rPr>
        <w:t>10</w:t>
      </w:r>
      <w:r>
        <w:rPr>
          <w:rFonts w:ascii="宋体" w:hAnsi="宋体" w:cs="宋体" w:eastAsia="宋体" w:hint="default"/>
          <w:spacing w:val="-51"/>
        </w:rPr>
        <w:t> </w:t>
      </w:r>
      <w:r>
        <w:rPr>
          <w:spacing w:val="-4"/>
        </w:rPr>
        <w:t>日起施行。对于</w:t>
      </w:r>
      <w:r>
        <w:rPr>
          <w:spacing w:val="-51"/>
        </w:rPr>
        <w:t> </w:t>
      </w:r>
      <w:r>
        <w:rPr>
          <w:rFonts w:ascii="宋体" w:hAnsi="宋体" w:cs="宋体" w:eastAsia="宋体" w:hint="default"/>
        </w:rPr>
        <w:t>2019</w:t>
      </w:r>
      <w:r>
        <w:rPr>
          <w:rFonts w:ascii="宋体" w:hAnsi="宋体" w:cs="宋体" w:eastAsia="宋体" w:hint="default"/>
          <w:spacing w:val="8"/>
        </w:rPr>
        <w:t> </w:t>
      </w:r>
      <w:r>
        <w:rPr/>
        <w:t>年</w:t>
      </w:r>
      <w:r>
        <w:rPr>
          <w:spacing w:val="-49"/>
        </w:rPr>
        <w:t> </w:t>
      </w:r>
      <w:r>
        <w:rPr>
          <w:rFonts w:ascii="宋体" w:hAnsi="宋体" w:cs="宋体" w:eastAsia="宋体" w:hint="default"/>
          <w:spacing w:val="-3"/>
        </w:rPr>
        <w:t>1</w:t>
      </w:r>
      <w:r>
        <w:rPr>
          <w:rFonts w:ascii="宋体" w:hAnsi="宋体" w:cs="宋体" w:eastAsia="宋体" w:hint="default"/>
          <w:spacing w:val="9"/>
        </w:rPr>
        <w:t> </w:t>
      </w:r>
      <w:r>
        <w:rPr/>
        <w:t>月</w:t>
      </w:r>
      <w:r>
        <w:rPr>
          <w:spacing w:val="-49"/>
        </w:rPr>
        <w:t> </w:t>
      </w:r>
      <w:r>
        <w:rPr>
          <w:rFonts w:ascii="宋体" w:hAnsi="宋体" w:cs="宋体" w:eastAsia="宋体" w:hint="default"/>
        </w:rPr>
        <w:t>1</w:t>
      </w:r>
      <w:r>
        <w:rPr>
          <w:rFonts w:ascii="宋体" w:hAnsi="宋体" w:cs="宋体" w:eastAsia="宋体" w:hint="default"/>
          <w:spacing w:val="6"/>
        </w:rPr>
        <w:t> </w:t>
      </w:r>
      <w:r>
        <w:rPr>
          <w:spacing w:val="-3"/>
        </w:rPr>
        <w:t>日至施行日之间发生的非货币性资产交换，应根</w:t>
      </w:r>
      <w:r>
        <w:rPr>
          <w:spacing w:val="-103"/>
        </w:rPr>
        <w:t> </w:t>
      </w:r>
      <w:r>
        <w:rPr>
          <w:spacing w:val="-103"/>
        </w:rPr>
      </w:r>
      <w:r>
        <w:rPr/>
        <w:t>据修订后的准则进行调整。对</w:t>
      </w:r>
      <w:r>
        <w:rPr>
          <w:spacing w:val="-54"/>
        </w:rPr>
        <w:t> </w:t>
      </w:r>
      <w:r>
        <w:rPr>
          <w:rFonts w:ascii="宋体" w:hAnsi="宋体" w:cs="宋体" w:eastAsia="宋体" w:hint="default"/>
        </w:rPr>
        <w:t>2019</w:t>
      </w:r>
      <w:r>
        <w:rPr>
          <w:rFonts w:ascii="宋体" w:hAnsi="宋体" w:cs="宋体" w:eastAsia="宋体" w:hint="default"/>
          <w:spacing w:val="-3"/>
        </w:rPr>
        <w:t> </w:t>
      </w:r>
      <w:r>
        <w:rPr/>
        <w:t>年</w:t>
      </w:r>
      <w:r>
        <w:rPr>
          <w:spacing w:val="-54"/>
        </w:rPr>
        <w:t> </w:t>
      </w:r>
      <w:r>
        <w:rPr>
          <w:rFonts w:ascii="宋体" w:hAnsi="宋体" w:cs="宋体" w:eastAsia="宋体" w:hint="default"/>
        </w:rPr>
        <w:t>1</w:t>
      </w:r>
      <w:r>
        <w:rPr>
          <w:rFonts w:ascii="宋体" w:hAnsi="宋体" w:cs="宋体" w:eastAsia="宋体" w:hint="default"/>
          <w:spacing w:val="-4"/>
        </w:rPr>
        <w:t> </w:t>
      </w:r>
      <w:r>
        <w:rPr/>
        <w:t>月</w:t>
      </w:r>
      <w:r>
        <w:rPr>
          <w:spacing w:val="-54"/>
        </w:rPr>
        <w:t> </w:t>
      </w:r>
      <w:r>
        <w:rPr>
          <w:rFonts w:ascii="宋体" w:hAnsi="宋体" w:cs="宋体" w:eastAsia="宋体" w:hint="default"/>
          <w:spacing w:val="-3"/>
        </w:rPr>
        <w:t>1</w:t>
      </w:r>
      <w:r>
        <w:rPr>
          <w:rFonts w:ascii="宋体" w:hAnsi="宋体" w:cs="宋体" w:eastAsia="宋体" w:hint="default"/>
          <w:spacing w:val="-1"/>
        </w:rPr>
        <w:t> </w:t>
      </w:r>
      <w:r>
        <w:rPr/>
        <w:t>日之前发生的非货币性资产交换，不需要追溯调整。</w:t>
      </w:r>
      <w:r>
        <w:rPr>
          <w:rFonts w:ascii="宋体" w:hAnsi="宋体" w:cs="宋体" w:eastAsia="宋体" w:hint="default"/>
        </w:rPr>
        <w:t> </w:t>
      </w:r>
    </w:p>
    <w:p>
      <w:pPr>
        <w:pStyle w:val="BodyText"/>
        <w:spacing w:line="343" w:lineRule="auto" w:before="119"/>
        <w:ind w:left="573" w:right="5542"/>
        <w:jc w:val="left"/>
        <w:rPr>
          <w:rFonts w:ascii="宋体" w:hAnsi="宋体" w:cs="宋体" w:eastAsia="宋体" w:hint="default"/>
        </w:rPr>
      </w:pPr>
      <w:r>
        <w:rPr/>
        <w:t>上述会计政策变更对公司无影响、</w:t>
      </w:r>
      <w:r>
        <w:rPr>
          <w:rFonts w:ascii="宋体" w:hAnsi="宋体" w:cs="宋体" w:eastAsia="宋体" w:hint="default"/>
          <w:w w:val="100"/>
        </w:rPr>
        <w:t> </w:t>
      </w:r>
      <w:r>
        <w:rPr>
          <w:rFonts w:ascii="宋体" w:hAnsi="宋体" w:cs="宋体" w:eastAsia="宋体" w:hint="default"/>
        </w:rPr>
        <w:t>2</w:t>
      </w:r>
      <w:r>
        <w:rPr/>
        <w:t>、重要会计估计变更</w:t>
      </w:r>
      <w:r>
        <w:rPr>
          <w:rFonts w:ascii="宋体" w:hAnsi="宋体" w:cs="宋体" w:eastAsia="宋体" w:hint="default"/>
          <w:w w:val="100"/>
        </w:rPr>
        <w:t> </w:t>
      </w:r>
      <w:r>
        <w:rPr/>
        <w:t>本公司报告期内未发生重要会计估计变更。</w:t>
      </w:r>
      <w:r>
        <w:rPr>
          <w:rFonts w:ascii="宋体" w:hAnsi="宋体" w:cs="宋体" w:eastAsia="宋体" w:hint="default"/>
        </w:rPr>
        <w:t> </w:t>
      </w:r>
    </w:p>
    <w:p>
      <w:pPr>
        <w:pStyle w:val="Heading3"/>
        <w:spacing w:line="240" w:lineRule="auto" w:before="26"/>
        <w:ind w:right="1133"/>
        <w:jc w:val="left"/>
        <w:rPr>
          <w:rFonts w:ascii="宋体" w:hAnsi="宋体" w:cs="宋体" w:eastAsia="宋体" w:hint="default"/>
          <w:b w:val="0"/>
          <w:bCs w:val="0"/>
        </w:rPr>
      </w:pPr>
      <w:r>
        <w:rPr/>
        <w:t>五、税项</w:t>
      </w:r>
      <w:r>
        <w:rPr>
          <w:rFonts w:ascii="宋体" w:hAnsi="宋体" w:cs="宋体" w:eastAsia="宋体" w:hint="default"/>
          <w:w w:val="99"/>
        </w:rPr>
        <w:t> </w:t>
      </w:r>
      <w:r>
        <w:rPr>
          <w:rFonts w:ascii="宋体" w:hAnsi="宋体" w:cs="宋体" w:eastAsia="宋体" w:hint="default"/>
          <w:b w:val="0"/>
          <w:bCs w:val="0"/>
        </w:rPr>
      </w:r>
    </w:p>
    <w:p>
      <w:pPr>
        <w:pStyle w:val="BodyText"/>
        <w:spacing w:line="340" w:lineRule="auto" w:before="118"/>
        <w:ind w:left="573" w:right="5542" w:hanging="209"/>
        <w:jc w:val="left"/>
        <w:rPr>
          <w:rFonts w:ascii="宋体" w:hAnsi="宋体" w:cs="宋体" w:eastAsia="宋体" w:hint="default"/>
        </w:rPr>
      </w:pPr>
      <w:r>
        <w:rPr/>
        <w:t>（一）主要税种及税率</w:t>
      </w:r>
      <w:r>
        <w:rPr>
          <w:rFonts w:ascii="宋体" w:hAnsi="宋体" w:cs="宋体" w:eastAsia="宋体" w:hint="default"/>
          <w:w w:val="100"/>
        </w:rPr>
        <w:t> </w:t>
      </w:r>
      <w:r>
        <w:rPr/>
        <w:t>本公司本年度适用的主要税种及其税率列示如下：</w:t>
      </w:r>
      <w:r>
        <w:rPr>
          <w:rFonts w:ascii="宋体" w:hAnsi="宋体" w:cs="宋体" w:eastAsia="宋体" w:hint="default"/>
        </w:rPr>
        <w:t> </w:t>
      </w:r>
    </w:p>
    <w:p>
      <w:pPr>
        <w:spacing w:line="240" w:lineRule="auto" w:before="12"/>
        <w:rPr>
          <w:rFonts w:ascii="宋体" w:hAnsi="宋体" w:cs="宋体" w:eastAsia="宋体" w:hint="default"/>
          <w:sz w:val="4"/>
          <w:szCs w:val="4"/>
        </w:rPr>
      </w:pPr>
    </w:p>
    <w:tbl>
      <w:tblPr>
        <w:tblW w:w="0" w:type="auto"/>
        <w:jc w:val="left"/>
        <w:tblInd w:w="179" w:type="dxa"/>
        <w:tblLayout w:type="fixed"/>
        <w:tblCellMar>
          <w:top w:w="0" w:type="dxa"/>
          <w:left w:w="0" w:type="dxa"/>
          <w:bottom w:w="0" w:type="dxa"/>
          <w:right w:w="0" w:type="dxa"/>
        </w:tblCellMar>
        <w:tblLook w:val="01E0"/>
      </w:tblPr>
      <w:tblGrid>
        <w:gridCol w:w="2184"/>
        <w:gridCol w:w="3205"/>
        <w:gridCol w:w="4189"/>
      </w:tblGrid>
      <w:tr>
        <w:trPr>
          <w:trHeight w:val="338" w:hRule="exact"/>
        </w:trPr>
        <w:tc>
          <w:tcPr>
            <w:tcW w:w="2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90" w:right="0"/>
              <w:jc w:val="center"/>
              <w:rPr>
                <w:rFonts w:ascii="宋体" w:hAnsi="宋体" w:cs="宋体" w:eastAsia="宋体" w:hint="default"/>
                <w:sz w:val="18"/>
                <w:szCs w:val="18"/>
              </w:rPr>
            </w:pPr>
            <w:r>
              <w:rPr>
                <w:rFonts w:ascii="宋体" w:hAnsi="宋体" w:cs="宋体" w:eastAsia="宋体" w:hint="default"/>
                <w:sz w:val="18"/>
                <w:szCs w:val="18"/>
              </w:rPr>
              <w:t>税种</w:t>
            </w:r>
            <w:r>
              <w:rPr>
                <w:rFonts w:ascii="宋体" w:hAnsi="宋体" w:cs="宋体" w:eastAsia="宋体" w:hint="default"/>
                <w:sz w:val="18"/>
                <w:szCs w:val="18"/>
              </w:rPr>
              <w:t> </w:t>
            </w:r>
          </w:p>
        </w:tc>
        <w:tc>
          <w:tcPr>
            <w:tcW w:w="3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88" w:right="0"/>
              <w:jc w:val="center"/>
              <w:rPr>
                <w:rFonts w:ascii="宋体" w:hAnsi="宋体" w:cs="宋体" w:eastAsia="宋体" w:hint="default"/>
                <w:sz w:val="18"/>
                <w:szCs w:val="18"/>
              </w:rPr>
            </w:pPr>
            <w:r>
              <w:rPr>
                <w:rFonts w:ascii="宋体" w:hAnsi="宋体" w:cs="宋体" w:eastAsia="宋体" w:hint="default"/>
                <w:sz w:val="18"/>
                <w:szCs w:val="18"/>
              </w:rPr>
              <w:t>计税依据</w:t>
            </w:r>
            <w:r>
              <w:rPr>
                <w:rFonts w:ascii="宋体" w:hAnsi="宋体" w:cs="宋体" w:eastAsia="宋体" w:hint="default"/>
                <w:sz w:val="18"/>
                <w:szCs w:val="18"/>
              </w:rPr>
              <w:t> </w:t>
            </w:r>
          </w:p>
        </w:tc>
        <w:tc>
          <w:tcPr>
            <w:tcW w:w="4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87" w:right="0"/>
              <w:jc w:val="center"/>
              <w:rPr>
                <w:rFonts w:ascii="宋体" w:hAnsi="宋体" w:cs="宋体" w:eastAsia="宋体" w:hint="default"/>
                <w:sz w:val="18"/>
                <w:szCs w:val="18"/>
              </w:rPr>
            </w:pPr>
            <w:r>
              <w:rPr>
                <w:rFonts w:ascii="宋体" w:hAnsi="宋体" w:cs="宋体" w:eastAsia="宋体" w:hint="default"/>
                <w:sz w:val="18"/>
                <w:szCs w:val="18"/>
              </w:rPr>
              <w:t>税率或征收率（</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 </w:t>
            </w:r>
          </w:p>
        </w:tc>
      </w:tr>
      <w:tr>
        <w:trPr>
          <w:trHeight w:val="239" w:hRule="exact"/>
        </w:trPr>
        <w:tc>
          <w:tcPr>
            <w:tcW w:w="2184" w:type="dxa"/>
            <w:tcBorders>
              <w:top w:val="single" w:sz="4" w:space="0" w:color="000000"/>
              <w:left w:val="single" w:sz="4" w:space="0" w:color="000000"/>
              <w:bottom w:val="nil" w:sz="6" w:space="0" w:color="auto"/>
              <w:right w:val="single" w:sz="4" w:space="0" w:color="000000"/>
            </w:tcBorders>
          </w:tcPr>
          <w:p>
            <w:pPr/>
          </w:p>
        </w:tc>
        <w:tc>
          <w:tcPr>
            <w:tcW w:w="3205" w:type="dxa"/>
            <w:tcBorders>
              <w:top w:val="single" w:sz="4" w:space="0" w:color="000000"/>
              <w:left w:val="single" w:sz="4" w:space="0" w:color="000000"/>
              <w:bottom w:val="nil" w:sz="6" w:space="0" w:color="auto"/>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pacing w:val="-5"/>
                <w:sz w:val="18"/>
                <w:szCs w:val="18"/>
              </w:rPr>
              <w:t>按应税销售收入计算销项税，并扣除当</w:t>
            </w:r>
          </w:p>
        </w:tc>
        <w:tc>
          <w:tcPr>
            <w:tcW w:w="4189" w:type="dxa"/>
            <w:tcBorders>
              <w:top w:val="single" w:sz="4" w:space="0" w:color="000000"/>
              <w:left w:val="single" w:sz="4" w:space="0" w:color="000000"/>
              <w:bottom w:val="nil" w:sz="6" w:space="0" w:color="auto"/>
              <w:right w:val="single" w:sz="4" w:space="0" w:color="000000"/>
            </w:tcBorders>
          </w:tcPr>
          <w:p>
            <w:pPr/>
          </w:p>
        </w:tc>
      </w:tr>
      <w:tr>
        <w:trPr>
          <w:trHeight w:val="233" w:hRule="exact"/>
        </w:trPr>
        <w:tc>
          <w:tcPr>
            <w:tcW w:w="2184"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z w:val="18"/>
                <w:szCs w:val="18"/>
              </w:rPr>
              <w:t>增值税</w:t>
            </w:r>
            <w:r>
              <w:rPr>
                <w:rFonts w:ascii="宋体" w:hAnsi="宋体" w:cs="宋体" w:eastAsia="宋体" w:hint="default"/>
                <w:sz w:val="18"/>
                <w:szCs w:val="18"/>
              </w:rPr>
              <w:t> </w:t>
            </w:r>
          </w:p>
        </w:tc>
        <w:tc>
          <w:tcPr>
            <w:tcW w:w="3205"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103" w:right="0"/>
              <w:jc w:val="left"/>
              <w:rPr>
                <w:rFonts w:ascii="宋体" w:hAnsi="宋体" w:cs="宋体" w:eastAsia="宋体" w:hint="default"/>
                <w:sz w:val="18"/>
                <w:szCs w:val="18"/>
              </w:rPr>
            </w:pPr>
            <w:r>
              <w:rPr>
                <w:rFonts w:ascii="宋体" w:hAnsi="宋体" w:cs="宋体" w:eastAsia="宋体" w:hint="default"/>
                <w:spacing w:val="7"/>
                <w:sz w:val="18"/>
                <w:szCs w:val="18"/>
              </w:rPr>
              <w:t>期允许抵扣的进项税额后的差额计缴</w:t>
            </w:r>
            <w:r>
              <w:rPr>
                <w:rFonts w:ascii="宋体" w:hAnsi="宋体" w:cs="宋体" w:eastAsia="宋体" w:hint="default"/>
                <w:sz w:val="18"/>
                <w:szCs w:val="18"/>
              </w:rPr>
            </w:r>
          </w:p>
        </w:tc>
        <w:tc>
          <w:tcPr>
            <w:tcW w:w="4189" w:type="dxa"/>
            <w:tcBorders>
              <w:top w:val="nil" w:sz="6" w:space="0" w:color="auto"/>
              <w:left w:val="single" w:sz="4" w:space="0" w:color="000000"/>
              <w:bottom w:val="nil" w:sz="6" w:space="0" w:color="auto"/>
              <w:right w:val="single" w:sz="4" w:space="0" w:color="000000"/>
            </w:tcBorders>
          </w:tcPr>
          <w:p>
            <w:pPr>
              <w:pStyle w:val="TableParagraph"/>
              <w:spacing w:line="207" w:lineRule="exact"/>
              <w:ind w:left="87" w:right="0"/>
              <w:jc w:val="center"/>
              <w:rPr>
                <w:rFonts w:ascii="宋体" w:hAnsi="宋体" w:cs="宋体" w:eastAsia="宋体" w:hint="default"/>
                <w:sz w:val="18"/>
                <w:szCs w:val="18"/>
              </w:rPr>
            </w:pPr>
            <w:r>
              <w:rPr>
                <w:rFonts w:ascii="宋体" w:hAnsi="宋体" w:cs="宋体" w:eastAsia="宋体" w:hint="default"/>
                <w:sz w:val="18"/>
                <w:szCs w:val="18"/>
              </w:rPr>
              <w:t>16%</w:t>
            </w:r>
            <w:r>
              <w:rPr>
                <w:rFonts w:ascii="宋体" w:hAnsi="宋体" w:cs="宋体" w:eastAsia="宋体" w:hint="default"/>
                <w:sz w:val="18"/>
                <w:szCs w:val="18"/>
              </w:rPr>
              <w:t>、</w:t>
            </w:r>
            <w:r>
              <w:rPr>
                <w:rFonts w:ascii="宋体" w:hAnsi="宋体" w:cs="宋体" w:eastAsia="宋体" w:hint="default"/>
                <w:sz w:val="18"/>
                <w:szCs w:val="18"/>
              </w:rPr>
              <w:t>13%</w:t>
            </w:r>
            <w:r>
              <w:rPr>
                <w:rFonts w:ascii="宋体" w:hAnsi="宋体" w:cs="宋体" w:eastAsia="宋体" w:hint="default"/>
                <w:sz w:val="18"/>
                <w:szCs w:val="18"/>
              </w:rPr>
              <w:t>、</w:t>
            </w:r>
            <w:r>
              <w:rPr>
                <w:rFonts w:ascii="宋体" w:hAnsi="宋体" w:cs="宋体" w:eastAsia="宋体" w:hint="default"/>
                <w:sz w:val="18"/>
                <w:szCs w:val="18"/>
              </w:rPr>
              <w:t>10%</w:t>
            </w:r>
            <w:r>
              <w:rPr>
                <w:rFonts w:ascii="宋体" w:hAnsi="宋体" w:cs="宋体" w:eastAsia="宋体" w:hint="default"/>
                <w:sz w:val="18"/>
                <w:szCs w:val="18"/>
              </w:rPr>
              <w:t>、</w:t>
            </w:r>
            <w:r>
              <w:rPr>
                <w:rFonts w:ascii="宋体" w:hAnsi="宋体" w:cs="宋体" w:eastAsia="宋体" w:hint="default"/>
                <w:sz w:val="18"/>
                <w:szCs w:val="18"/>
              </w:rPr>
              <w:t>9%</w:t>
            </w:r>
            <w:r>
              <w:rPr>
                <w:rFonts w:ascii="宋体" w:hAnsi="宋体" w:cs="宋体" w:eastAsia="宋体" w:hint="default"/>
                <w:sz w:val="18"/>
                <w:szCs w:val="18"/>
              </w:rPr>
              <w:t>、</w:t>
            </w:r>
            <w:r>
              <w:rPr>
                <w:rFonts w:ascii="宋体" w:hAnsi="宋体" w:cs="宋体" w:eastAsia="宋体" w:hint="default"/>
                <w:sz w:val="18"/>
                <w:szCs w:val="18"/>
              </w:rPr>
              <w:t>6%</w:t>
            </w:r>
            <w:r>
              <w:rPr>
                <w:rFonts w:ascii="宋体" w:hAnsi="宋体" w:cs="宋体" w:eastAsia="宋体" w:hint="default"/>
                <w:sz w:val="18"/>
                <w:szCs w:val="18"/>
              </w:rPr>
              <w:t>、</w:t>
            </w:r>
            <w:r>
              <w:rPr>
                <w:rFonts w:ascii="宋体" w:hAnsi="宋体" w:cs="宋体" w:eastAsia="宋体" w:hint="default"/>
                <w:sz w:val="18"/>
                <w:szCs w:val="18"/>
              </w:rPr>
              <w:t>3% </w:t>
            </w:r>
          </w:p>
        </w:tc>
      </w:tr>
      <w:tr>
        <w:trPr>
          <w:trHeight w:val="239" w:hRule="exact"/>
        </w:trPr>
        <w:tc>
          <w:tcPr>
            <w:tcW w:w="2184" w:type="dxa"/>
            <w:tcBorders>
              <w:top w:val="nil" w:sz="6" w:space="0" w:color="auto"/>
              <w:left w:val="single" w:sz="4" w:space="0" w:color="000000"/>
              <w:bottom w:val="single" w:sz="4" w:space="0" w:color="000000"/>
              <w:right w:val="single" w:sz="4" w:space="0" w:color="000000"/>
            </w:tcBorders>
          </w:tcPr>
          <w:p>
            <w:pPr/>
          </w:p>
        </w:tc>
        <w:tc>
          <w:tcPr>
            <w:tcW w:w="3205"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z w:val="18"/>
                <w:szCs w:val="18"/>
              </w:rPr>
              <w:t>增值税</w:t>
            </w:r>
            <w:r>
              <w:rPr>
                <w:rFonts w:ascii="宋体" w:hAnsi="宋体" w:cs="宋体" w:eastAsia="宋体" w:hint="default"/>
                <w:sz w:val="18"/>
                <w:szCs w:val="18"/>
              </w:rPr>
              <w:t> </w:t>
            </w:r>
          </w:p>
        </w:tc>
        <w:tc>
          <w:tcPr>
            <w:tcW w:w="4189" w:type="dxa"/>
            <w:tcBorders>
              <w:top w:val="nil" w:sz="6" w:space="0" w:color="auto"/>
              <w:left w:val="single" w:sz="4" w:space="0" w:color="000000"/>
              <w:bottom w:val="single" w:sz="4" w:space="0" w:color="000000"/>
              <w:right w:val="single" w:sz="4" w:space="0" w:color="000000"/>
            </w:tcBorders>
          </w:tcPr>
          <w:p>
            <w:pPr/>
          </w:p>
        </w:tc>
      </w:tr>
      <w:tr>
        <w:trPr>
          <w:trHeight w:val="341" w:hRule="exact"/>
        </w:trPr>
        <w:tc>
          <w:tcPr>
            <w:tcW w:w="2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城市维护建设税</w:t>
            </w:r>
            <w:r>
              <w:rPr>
                <w:rFonts w:ascii="宋体" w:hAnsi="宋体" w:cs="宋体" w:eastAsia="宋体" w:hint="default"/>
                <w:sz w:val="18"/>
                <w:szCs w:val="18"/>
              </w:rPr>
              <w:t> </w:t>
            </w:r>
          </w:p>
        </w:tc>
        <w:tc>
          <w:tcPr>
            <w:tcW w:w="3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实缴流转金额</w:t>
            </w:r>
            <w:r>
              <w:rPr>
                <w:rFonts w:ascii="宋体" w:hAnsi="宋体" w:cs="宋体" w:eastAsia="宋体" w:hint="default"/>
                <w:sz w:val="18"/>
                <w:szCs w:val="18"/>
              </w:rPr>
              <w:t> </w:t>
            </w:r>
          </w:p>
        </w:tc>
        <w:tc>
          <w:tcPr>
            <w:tcW w:w="4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89" w:right="0"/>
              <w:jc w:val="center"/>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z w:val="18"/>
                <w:szCs w:val="18"/>
              </w:rPr>
              <w:t>、</w:t>
            </w:r>
            <w:r>
              <w:rPr>
                <w:rFonts w:ascii="宋体" w:hAnsi="宋体" w:cs="宋体" w:eastAsia="宋体" w:hint="default"/>
                <w:sz w:val="18"/>
                <w:szCs w:val="18"/>
              </w:rPr>
              <w:t>7% </w:t>
            </w:r>
          </w:p>
        </w:tc>
      </w:tr>
      <w:tr>
        <w:trPr>
          <w:trHeight w:val="341" w:hRule="exact"/>
        </w:trPr>
        <w:tc>
          <w:tcPr>
            <w:tcW w:w="2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教育费附加</w:t>
            </w:r>
            <w:r>
              <w:rPr>
                <w:rFonts w:ascii="宋体" w:hAnsi="宋体" w:cs="宋体" w:eastAsia="宋体" w:hint="default"/>
                <w:sz w:val="18"/>
                <w:szCs w:val="18"/>
              </w:rPr>
              <w:t> </w:t>
            </w:r>
          </w:p>
        </w:tc>
        <w:tc>
          <w:tcPr>
            <w:tcW w:w="3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实缴流转金额</w:t>
            </w:r>
            <w:r>
              <w:rPr>
                <w:rFonts w:ascii="宋体" w:hAnsi="宋体" w:cs="宋体" w:eastAsia="宋体" w:hint="default"/>
                <w:sz w:val="18"/>
                <w:szCs w:val="18"/>
              </w:rPr>
              <w:t> </w:t>
            </w:r>
          </w:p>
        </w:tc>
        <w:tc>
          <w:tcPr>
            <w:tcW w:w="4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89" w:right="0"/>
              <w:jc w:val="center"/>
              <w:rPr>
                <w:rFonts w:ascii="宋体" w:hAnsi="宋体" w:cs="宋体" w:eastAsia="宋体" w:hint="default"/>
                <w:sz w:val="18"/>
                <w:szCs w:val="18"/>
              </w:rPr>
            </w:pPr>
            <w:r>
              <w:rPr>
                <w:rFonts w:ascii="宋体"/>
                <w:sz w:val="18"/>
              </w:rPr>
              <w:t>3% </w:t>
            </w:r>
          </w:p>
        </w:tc>
      </w:tr>
      <w:tr>
        <w:trPr>
          <w:trHeight w:val="338" w:hRule="exact"/>
        </w:trPr>
        <w:tc>
          <w:tcPr>
            <w:tcW w:w="2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地方教育费附加</w:t>
            </w:r>
            <w:r>
              <w:rPr>
                <w:rFonts w:ascii="宋体" w:hAnsi="宋体" w:cs="宋体" w:eastAsia="宋体" w:hint="default"/>
                <w:sz w:val="18"/>
                <w:szCs w:val="18"/>
              </w:rPr>
              <w:t> </w:t>
            </w:r>
          </w:p>
        </w:tc>
        <w:tc>
          <w:tcPr>
            <w:tcW w:w="3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实缴流转金额</w:t>
            </w:r>
            <w:r>
              <w:rPr>
                <w:rFonts w:ascii="宋体" w:hAnsi="宋体" w:cs="宋体" w:eastAsia="宋体" w:hint="default"/>
                <w:sz w:val="18"/>
                <w:szCs w:val="18"/>
              </w:rPr>
              <w:t> </w:t>
            </w:r>
          </w:p>
        </w:tc>
        <w:tc>
          <w:tcPr>
            <w:tcW w:w="4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89" w:right="0"/>
              <w:jc w:val="center"/>
              <w:rPr>
                <w:rFonts w:ascii="宋体" w:hAnsi="宋体" w:cs="宋体" w:eastAsia="宋体" w:hint="default"/>
                <w:sz w:val="18"/>
                <w:szCs w:val="18"/>
              </w:rPr>
            </w:pPr>
            <w:r>
              <w:rPr>
                <w:rFonts w:ascii="宋体"/>
                <w:sz w:val="18"/>
              </w:rPr>
              <w:t>2% </w:t>
            </w:r>
          </w:p>
        </w:tc>
      </w:tr>
      <w:tr>
        <w:trPr>
          <w:trHeight w:val="341" w:hRule="exact"/>
        </w:trPr>
        <w:tc>
          <w:tcPr>
            <w:tcW w:w="2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企业所得税</w:t>
            </w:r>
            <w:r>
              <w:rPr>
                <w:rFonts w:ascii="宋体" w:hAnsi="宋体" w:cs="宋体" w:eastAsia="宋体" w:hint="default"/>
                <w:sz w:val="18"/>
                <w:szCs w:val="18"/>
              </w:rPr>
              <w:t> </w:t>
            </w:r>
          </w:p>
        </w:tc>
        <w:tc>
          <w:tcPr>
            <w:tcW w:w="3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应纳税所得额</w:t>
            </w:r>
            <w:r>
              <w:rPr>
                <w:rFonts w:ascii="宋体" w:hAnsi="宋体" w:cs="宋体" w:eastAsia="宋体" w:hint="default"/>
                <w:sz w:val="18"/>
                <w:szCs w:val="18"/>
              </w:rPr>
              <w:t> </w:t>
            </w:r>
          </w:p>
        </w:tc>
        <w:tc>
          <w:tcPr>
            <w:tcW w:w="4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87" w:right="0"/>
              <w:jc w:val="center"/>
              <w:rPr>
                <w:rFonts w:ascii="宋体" w:hAnsi="宋体" w:cs="宋体" w:eastAsia="宋体" w:hint="default"/>
                <w:sz w:val="18"/>
                <w:szCs w:val="18"/>
              </w:rPr>
            </w:pPr>
            <w:r>
              <w:rPr>
                <w:rFonts w:ascii="宋体" w:hAnsi="宋体" w:cs="宋体" w:eastAsia="宋体" w:hint="default"/>
                <w:sz w:val="18"/>
                <w:szCs w:val="18"/>
              </w:rPr>
              <w:t>25%</w:t>
            </w:r>
            <w:r>
              <w:rPr>
                <w:rFonts w:ascii="宋体" w:hAnsi="宋体" w:cs="宋体" w:eastAsia="宋体" w:hint="default"/>
                <w:sz w:val="18"/>
                <w:szCs w:val="18"/>
              </w:rPr>
              <w:t>、</w:t>
            </w:r>
            <w:r>
              <w:rPr>
                <w:rFonts w:ascii="宋体" w:hAnsi="宋体" w:cs="宋体" w:eastAsia="宋体" w:hint="default"/>
                <w:sz w:val="18"/>
                <w:szCs w:val="18"/>
              </w:rPr>
              <w:t>20%</w:t>
            </w:r>
            <w:r>
              <w:rPr>
                <w:rFonts w:ascii="宋体" w:hAnsi="宋体" w:cs="宋体" w:eastAsia="宋体" w:hint="default"/>
                <w:sz w:val="18"/>
                <w:szCs w:val="18"/>
              </w:rPr>
              <w:t>、</w:t>
            </w:r>
            <w:r>
              <w:rPr>
                <w:rFonts w:ascii="宋体" w:hAnsi="宋体" w:cs="宋体" w:eastAsia="宋体" w:hint="default"/>
                <w:sz w:val="18"/>
                <w:szCs w:val="18"/>
              </w:rPr>
              <w:t>15% </w:t>
            </w:r>
          </w:p>
        </w:tc>
      </w:tr>
    </w:tbl>
    <w:p>
      <w:pPr>
        <w:pStyle w:val="BodyText"/>
        <w:spacing w:line="240" w:lineRule="auto" w:before="86"/>
        <w:ind w:left="573" w:right="1133"/>
        <w:jc w:val="left"/>
        <w:rPr>
          <w:rFonts w:ascii="宋体" w:hAnsi="宋体" w:cs="宋体" w:eastAsia="宋体" w:hint="default"/>
        </w:rPr>
      </w:pPr>
      <w:r>
        <w:rPr/>
        <w:t>主要纳税主体企业所得税税率</w:t>
      </w:r>
      <w:r>
        <w:rPr>
          <w:rFonts w:ascii="宋体" w:hAnsi="宋体" w:cs="宋体" w:eastAsia="宋体" w:hint="default"/>
        </w:rPr>
        <w:t> </w:t>
      </w:r>
    </w:p>
    <w:p>
      <w:pPr>
        <w:spacing w:line="240" w:lineRule="auto" w:before="9"/>
        <w:rPr>
          <w:rFonts w:ascii="宋体" w:hAnsi="宋体" w:cs="宋体" w:eastAsia="宋体" w:hint="default"/>
          <w:sz w:val="11"/>
          <w:szCs w:val="11"/>
        </w:rPr>
      </w:pPr>
    </w:p>
    <w:tbl>
      <w:tblPr>
        <w:tblW w:w="0" w:type="auto"/>
        <w:jc w:val="left"/>
        <w:tblInd w:w="160" w:type="dxa"/>
        <w:tblLayout w:type="fixed"/>
        <w:tblCellMar>
          <w:top w:w="0" w:type="dxa"/>
          <w:left w:w="0" w:type="dxa"/>
          <w:bottom w:w="0" w:type="dxa"/>
          <w:right w:w="0" w:type="dxa"/>
        </w:tblCellMar>
        <w:tblLook w:val="01E0"/>
      </w:tblPr>
      <w:tblGrid>
        <w:gridCol w:w="3956"/>
        <w:gridCol w:w="5672"/>
      </w:tblGrid>
      <w:tr>
        <w:trPr>
          <w:trHeight w:val="338" w:hRule="exact"/>
        </w:trPr>
        <w:tc>
          <w:tcPr>
            <w:tcW w:w="395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89" w:right="0"/>
              <w:jc w:val="center"/>
              <w:rPr>
                <w:rFonts w:ascii="宋体" w:hAnsi="宋体" w:cs="宋体" w:eastAsia="宋体" w:hint="default"/>
                <w:sz w:val="18"/>
                <w:szCs w:val="18"/>
              </w:rPr>
            </w:pPr>
            <w:r>
              <w:rPr>
                <w:rFonts w:ascii="宋体" w:hAnsi="宋体" w:cs="宋体" w:eastAsia="宋体" w:hint="default"/>
                <w:sz w:val="18"/>
                <w:szCs w:val="18"/>
              </w:rPr>
              <w:t>纳税主体名称</w:t>
            </w:r>
            <w:r>
              <w:rPr>
                <w:rFonts w:ascii="宋体" w:hAnsi="宋体" w:cs="宋体" w:eastAsia="宋体" w:hint="default"/>
                <w:sz w:val="18"/>
                <w:szCs w:val="18"/>
              </w:rPr>
              <w:t> </w:t>
            </w:r>
          </w:p>
        </w:tc>
        <w:tc>
          <w:tcPr>
            <w:tcW w:w="567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89" w:right="0"/>
              <w:jc w:val="center"/>
              <w:rPr>
                <w:rFonts w:ascii="宋体" w:hAnsi="宋体" w:cs="宋体" w:eastAsia="宋体" w:hint="default"/>
                <w:sz w:val="18"/>
                <w:szCs w:val="18"/>
              </w:rPr>
            </w:pPr>
            <w:r>
              <w:rPr>
                <w:rFonts w:ascii="宋体" w:hAnsi="宋体" w:cs="宋体" w:eastAsia="宋体" w:hint="default"/>
                <w:sz w:val="18"/>
                <w:szCs w:val="18"/>
              </w:rPr>
              <w:t>所得税税率（</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 </w:t>
            </w:r>
          </w:p>
        </w:tc>
      </w:tr>
      <w:tr>
        <w:trPr>
          <w:trHeight w:val="341" w:hRule="exact"/>
        </w:trPr>
        <w:tc>
          <w:tcPr>
            <w:tcW w:w="3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中嘉博创信息技术股份有限公司</w:t>
            </w:r>
            <w:r>
              <w:rPr>
                <w:rFonts w:ascii="宋体" w:hAnsi="宋体" w:cs="宋体" w:eastAsia="宋体" w:hint="default"/>
                <w:sz w:val="18"/>
                <w:szCs w:val="18"/>
              </w:rPr>
              <w:t> </w:t>
            </w:r>
          </w:p>
        </w:tc>
        <w:tc>
          <w:tcPr>
            <w:tcW w:w="5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92" w:right="0"/>
              <w:jc w:val="center"/>
              <w:rPr>
                <w:rFonts w:ascii="宋体" w:hAnsi="宋体" w:cs="宋体" w:eastAsia="宋体" w:hint="default"/>
                <w:sz w:val="18"/>
                <w:szCs w:val="18"/>
              </w:rPr>
            </w:pPr>
            <w:r>
              <w:rPr>
                <w:rFonts w:ascii="宋体"/>
                <w:sz w:val="18"/>
              </w:rPr>
              <w:t>25.00 </w:t>
            </w:r>
          </w:p>
        </w:tc>
      </w:tr>
      <w:tr>
        <w:trPr>
          <w:trHeight w:val="341" w:hRule="exact"/>
        </w:trPr>
        <w:tc>
          <w:tcPr>
            <w:tcW w:w="3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北京创世漫道科技有限公司</w:t>
            </w:r>
            <w:r>
              <w:rPr>
                <w:rFonts w:ascii="宋体" w:hAnsi="宋体" w:cs="宋体" w:eastAsia="宋体" w:hint="default"/>
                <w:sz w:val="18"/>
                <w:szCs w:val="18"/>
              </w:rPr>
              <w:t> </w:t>
            </w:r>
          </w:p>
        </w:tc>
        <w:tc>
          <w:tcPr>
            <w:tcW w:w="5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92" w:right="0"/>
              <w:jc w:val="center"/>
              <w:rPr>
                <w:rFonts w:ascii="宋体" w:hAnsi="宋体" w:cs="宋体" w:eastAsia="宋体" w:hint="default"/>
                <w:sz w:val="18"/>
                <w:szCs w:val="18"/>
              </w:rPr>
            </w:pPr>
            <w:r>
              <w:rPr>
                <w:rFonts w:ascii="宋体"/>
                <w:sz w:val="18"/>
              </w:rPr>
              <w:t>15.00 </w:t>
            </w:r>
          </w:p>
        </w:tc>
      </w:tr>
      <w:tr>
        <w:trPr>
          <w:trHeight w:val="338" w:hRule="exact"/>
        </w:trPr>
        <w:tc>
          <w:tcPr>
            <w:tcW w:w="3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北京中天嘉华信息技术有限公司</w:t>
            </w:r>
            <w:r>
              <w:rPr>
                <w:rFonts w:ascii="宋体" w:hAnsi="宋体" w:cs="宋体" w:eastAsia="宋体" w:hint="default"/>
                <w:sz w:val="18"/>
                <w:szCs w:val="18"/>
              </w:rPr>
              <w:t> </w:t>
            </w:r>
          </w:p>
        </w:tc>
        <w:tc>
          <w:tcPr>
            <w:tcW w:w="5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92" w:right="0"/>
              <w:jc w:val="center"/>
              <w:rPr>
                <w:rFonts w:ascii="宋体" w:hAnsi="宋体" w:cs="宋体" w:eastAsia="宋体" w:hint="default"/>
                <w:sz w:val="18"/>
                <w:szCs w:val="18"/>
              </w:rPr>
            </w:pPr>
            <w:r>
              <w:rPr>
                <w:rFonts w:ascii="宋体"/>
                <w:sz w:val="18"/>
              </w:rPr>
              <w:t>15.00 </w:t>
            </w:r>
          </w:p>
        </w:tc>
      </w:tr>
      <w:tr>
        <w:trPr>
          <w:trHeight w:val="341" w:hRule="exact"/>
        </w:trPr>
        <w:tc>
          <w:tcPr>
            <w:tcW w:w="39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广东长实通信科技有限公司</w:t>
            </w:r>
            <w:r>
              <w:rPr>
                <w:rFonts w:ascii="宋体" w:hAnsi="宋体" w:cs="宋体" w:eastAsia="宋体" w:hint="default"/>
                <w:sz w:val="18"/>
                <w:szCs w:val="18"/>
              </w:rPr>
              <w:t> </w:t>
            </w:r>
          </w:p>
        </w:tc>
        <w:tc>
          <w:tcPr>
            <w:tcW w:w="56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92" w:right="0"/>
              <w:jc w:val="center"/>
              <w:rPr>
                <w:rFonts w:ascii="宋体" w:hAnsi="宋体" w:cs="宋体" w:eastAsia="宋体" w:hint="default"/>
                <w:sz w:val="18"/>
                <w:szCs w:val="18"/>
              </w:rPr>
            </w:pPr>
            <w:r>
              <w:rPr>
                <w:rFonts w:ascii="宋体"/>
                <w:sz w:val="18"/>
              </w:rPr>
              <w:t>15.00 </w:t>
            </w:r>
          </w:p>
        </w:tc>
      </w:tr>
    </w:tbl>
    <w:p>
      <w:pPr>
        <w:pStyle w:val="BodyText"/>
        <w:spacing w:line="343" w:lineRule="auto" w:before="86"/>
        <w:ind w:left="573" w:right="7341" w:hanging="209"/>
        <w:jc w:val="left"/>
        <w:rPr>
          <w:rFonts w:ascii="宋体" w:hAnsi="宋体" w:cs="宋体" w:eastAsia="宋体" w:hint="default"/>
        </w:rPr>
      </w:pPr>
      <w:r>
        <w:rPr/>
        <w:t>（二）税收优惠及批文</w:t>
      </w:r>
      <w:r>
        <w:rPr>
          <w:rFonts w:ascii="宋体" w:hAnsi="宋体" w:cs="宋体" w:eastAsia="宋体" w:hint="default"/>
          <w:w w:val="100"/>
        </w:rPr>
        <w:t> </w:t>
      </w:r>
      <w:r>
        <w:rPr>
          <w:rFonts w:ascii="宋体" w:hAnsi="宋体" w:cs="宋体" w:eastAsia="宋体" w:hint="default"/>
        </w:rPr>
        <w:t>1</w:t>
      </w:r>
      <w:r>
        <w:rPr/>
        <w:t>、企业所得税</w:t>
      </w:r>
      <w:r>
        <w:rPr>
          <w:rFonts w:ascii="宋体" w:hAnsi="宋体" w:cs="宋体" w:eastAsia="宋体" w:hint="default"/>
        </w:rPr>
        <w:t> </w:t>
      </w:r>
    </w:p>
    <w:p>
      <w:pPr>
        <w:pStyle w:val="BodyText"/>
        <w:spacing w:line="237" w:lineRule="auto" w:before="28"/>
        <w:ind w:right="1133" w:firstLine="420"/>
        <w:jc w:val="left"/>
        <w:rPr>
          <w:rFonts w:ascii="宋体" w:hAnsi="宋体" w:cs="宋体" w:eastAsia="宋体" w:hint="default"/>
        </w:rPr>
      </w:pPr>
      <w:r>
        <w:rPr>
          <w:spacing w:val="-2"/>
          <w:w w:val="100"/>
        </w:rPr>
        <w:t>本公司之子公司长实通信</w:t>
      </w:r>
      <w:r>
        <w:rPr>
          <w:spacing w:val="-60"/>
          <w:w w:val="100"/>
        </w:rPr>
        <w:t> </w:t>
      </w:r>
      <w:r>
        <w:rPr>
          <w:rFonts w:ascii="宋体" w:hAnsi="宋体" w:cs="宋体" w:eastAsia="宋体" w:hint="default"/>
          <w:w w:val="100"/>
        </w:rPr>
        <w:t>2018</w:t>
      </w:r>
      <w:r>
        <w:rPr>
          <w:rFonts w:ascii="宋体" w:hAnsi="宋体" w:cs="宋体" w:eastAsia="宋体" w:hint="default"/>
          <w:spacing w:val="-57"/>
          <w:w w:val="100"/>
        </w:rPr>
        <w:t> </w:t>
      </w:r>
      <w:r>
        <w:rPr>
          <w:w w:val="100"/>
        </w:rPr>
        <w:t>年</w:t>
      </w:r>
      <w:r>
        <w:rPr>
          <w:spacing w:val="-57"/>
          <w:w w:val="100"/>
        </w:rPr>
        <w:t> </w:t>
      </w:r>
      <w:r>
        <w:rPr>
          <w:rFonts w:ascii="宋体" w:hAnsi="宋体" w:cs="宋体" w:eastAsia="宋体" w:hint="default"/>
          <w:w w:val="100"/>
        </w:rPr>
        <w:t>11</w:t>
      </w:r>
      <w:r>
        <w:rPr>
          <w:rFonts w:ascii="宋体" w:hAnsi="宋体" w:cs="宋体" w:eastAsia="宋体" w:hint="default"/>
          <w:spacing w:val="-57"/>
          <w:w w:val="100"/>
        </w:rPr>
        <w:t> </w:t>
      </w:r>
      <w:r>
        <w:rPr>
          <w:w w:val="100"/>
        </w:rPr>
        <w:t>月</w:t>
      </w:r>
      <w:r>
        <w:rPr>
          <w:spacing w:val="-57"/>
          <w:w w:val="100"/>
        </w:rPr>
        <w:t> </w:t>
      </w:r>
      <w:r>
        <w:rPr>
          <w:rFonts w:ascii="宋体" w:hAnsi="宋体" w:cs="宋体" w:eastAsia="宋体" w:hint="default"/>
          <w:w w:val="100"/>
        </w:rPr>
        <w:t>28</w:t>
      </w:r>
      <w:r>
        <w:rPr>
          <w:rFonts w:ascii="宋体" w:hAnsi="宋体" w:cs="宋体" w:eastAsia="宋体" w:hint="default"/>
          <w:spacing w:val="-60"/>
          <w:w w:val="100"/>
        </w:rPr>
        <w:t> </w:t>
      </w:r>
      <w:r>
        <w:rPr>
          <w:spacing w:val="-19"/>
          <w:w w:val="100"/>
        </w:rPr>
        <w:t>日获得《高新技术企业证书》（证书编号：</w:t>
      </w:r>
      <w:r>
        <w:rPr>
          <w:rFonts w:ascii="宋体" w:hAnsi="宋体" w:cs="宋体" w:eastAsia="宋体" w:hint="default"/>
          <w:spacing w:val="-19"/>
          <w:w w:val="100"/>
        </w:rPr>
        <w:t>GR201844001831</w:t>
      </w:r>
      <w:r>
        <w:rPr>
          <w:spacing w:val="-19"/>
          <w:w w:val="100"/>
        </w:rPr>
        <w:t>），</w:t>
      </w:r>
      <w:r>
        <w:rPr>
          <w:spacing w:val="-108"/>
          <w:w w:val="100"/>
        </w:rPr>
        <w:t> </w:t>
      </w:r>
      <w:r>
        <w:rPr>
          <w:spacing w:val="-2"/>
        </w:rPr>
        <w:t>有效期三年。根据《中华人民共和国企业所得税法》的规定，长实通信本报告期内享受高新技术企业减按</w:t>
      </w:r>
      <w:r>
        <w:rPr>
          <w:spacing w:val="-44"/>
        </w:rPr>
        <w:t> </w:t>
      </w:r>
      <w:r>
        <w:rPr>
          <w:spacing w:val="-44"/>
        </w:rPr>
      </w:r>
      <w:r>
        <w:rPr>
          <w:rFonts w:ascii="宋体" w:hAnsi="宋体" w:cs="宋体" w:eastAsia="宋体" w:hint="default"/>
        </w:rPr>
        <w:t>15%</w:t>
      </w:r>
      <w:r>
        <w:rPr/>
        <w:t>优惠税率征收企业所得税的政策。</w:t>
      </w:r>
      <w:r>
        <w:rPr>
          <w:rFonts w:ascii="宋体" w:hAnsi="宋体" w:cs="宋体" w:eastAsia="宋体" w:hint="default"/>
        </w:rPr>
        <w:t> </w:t>
      </w:r>
    </w:p>
    <w:p>
      <w:pPr>
        <w:pStyle w:val="BodyText"/>
        <w:spacing w:line="237" w:lineRule="auto" w:before="121"/>
        <w:ind w:right="819" w:firstLine="420"/>
        <w:jc w:val="left"/>
        <w:rPr>
          <w:rFonts w:ascii="宋体" w:hAnsi="宋体" w:cs="宋体" w:eastAsia="宋体" w:hint="default"/>
        </w:rPr>
      </w:pPr>
      <w:r>
        <w:rPr>
          <w:spacing w:val="-2"/>
          <w:w w:val="100"/>
        </w:rPr>
        <w:t>本公司之子公司创世漫道于</w:t>
      </w:r>
      <w:r>
        <w:rPr>
          <w:spacing w:val="-74"/>
          <w:w w:val="100"/>
        </w:rPr>
        <w:t> </w:t>
      </w:r>
      <w:r>
        <w:rPr>
          <w:rFonts w:ascii="宋体" w:hAnsi="宋体" w:cs="宋体" w:eastAsia="宋体" w:hint="default"/>
          <w:w w:val="100"/>
        </w:rPr>
        <w:t>2019</w:t>
      </w:r>
      <w:r>
        <w:rPr>
          <w:rFonts w:ascii="宋体" w:hAnsi="宋体" w:cs="宋体" w:eastAsia="宋体" w:hint="default"/>
          <w:spacing w:val="-77"/>
          <w:w w:val="100"/>
        </w:rPr>
        <w:t> </w:t>
      </w:r>
      <w:r>
        <w:rPr>
          <w:w w:val="100"/>
        </w:rPr>
        <w:t>年</w:t>
      </w:r>
      <w:r>
        <w:rPr>
          <w:spacing w:val="-74"/>
          <w:w w:val="100"/>
        </w:rPr>
        <w:t> </w:t>
      </w:r>
      <w:r>
        <w:rPr>
          <w:rFonts w:ascii="宋体" w:hAnsi="宋体" w:cs="宋体" w:eastAsia="宋体" w:hint="default"/>
          <w:w w:val="100"/>
        </w:rPr>
        <w:t>10</w:t>
      </w:r>
      <w:r>
        <w:rPr>
          <w:rFonts w:ascii="宋体" w:hAnsi="宋体" w:cs="宋体" w:eastAsia="宋体" w:hint="default"/>
          <w:spacing w:val="-77"/>
          <w:w w:val="100"/>
        </w:rPr>
        <w:t> </w:t>
      </w:r>
      <w:r>
        <w:rPr>
          <w:w w:val="100"/>
        </w:rPr>
        <w:t>月</w:t>
      </w:r>
      <w:r>
        <w:rPr>
          <w:spacing w:val="-74"/>
          <w:w w:val="100"/>
        </w:rPr>
        <w:t> </w:t>
      </w:r>
      <w:r>
        <w:rPr>
          <w:rFonts w:ascii="宋体" w:hAnsi="宋体" w:cs="宋体" w:eastAsia="宋体" w:hint="default"/>
          <w:w w:val="100"/>
        </w:rPr>
        <w:t>15</w:t>
      </w:r>
      <w:r>
        <w:rPr>
          <w:rFonts w:ascii="宋体" w:hAnsi="宋体" w:cs="宋体" w:eastAsia="宋体" w:hint="default"/>
          <w:spacing w:val="-77"/>
          <w:w w:val="100"/>
        </w:rPr>
        <w:t> </w:t>
      </w:r>
      <w:r>
        <w:rPr>
          <w:spacing w:val="-10"/>
          <w:w w:val="100"/>
        </w:rPr>
        <w:t>日获得《高新技术企业证书》</w:t>
      </w:r>
      <w:r>
        <w:rPr>
          <w:rFonts w:ascii="宋体" w:hAnsi="宋体" w:cs="宋体" w:eastAsia="宋体" w:hint="default"/>
          <w:spacing w:val="-10"/>
          <w:w w:val="100"/>
        </w:rPr>
        <w:t>(</w:t>
      </w:r>
      <w:r>
        <w:rPr>
          <w:spacing w:val="-10"/>
          <w:w w:val="100"/>
        </w:rPr>
        <w:t>证书编号：</w:t>
      </w:r>
      <w:r>
        <w:rPr>
          <w:rFonts w:ascii="宋体" w:hAnsi="宋体" w:cs="宋体" w:eastAsia="宋体" w:hint="default"/>
          <w:spacing w:val="-10"/>
          <w:w w:val="100"/>
        </w:rPr>
        <w:t>GR201911001660)</w:t>
      </w:r>
      <w:r>
        <w:rPr>
          <w:spacing w:val="-10"/>
          <w:w w:val="100"/>
        </w:rPr>
        <w:t>，</w:t>
      </w:r>
      <w:r>
        <w:rPr>
          <w:w w:val="100"/>
        </w:rPr>
        <w:t> </w:t>
      </w:r>
      <w:r>
        <w:rPr>
          <w:spacing w:val="-2"/>
        </w:rPr>
        <w:t>有效期三年。根据《中华人民共和国企业所得税法》的规定，创世漫道本报告期内享受高新技术企业减按</w:t>
      </w:r>
      <w:r>
        <w:rPr>
          <w:spacing w:val="-44"/>
        </w:rPr>
        <w:t> </w:t>
      </w:r>
      <w:r>
        <w:rPr>
          <w:spacing w:val="-44"/>
        </w:rPr>
      </w:r>
      <w:r>
        <w:rPr>
          <w:rFonts w:ascii="宋体" w:hAnsi="宋体" w:cs="宋体" w:eastAsia="宋体" w:hint="default"/>
        </w:rPr>
        <w:t>15%</w:t>
      </w:r>
      <w:r>
        <w:rPr/>
        <w:t>优惠税率征收企业所得税的政策。</w:t>
      </w:r>
      <w:r>
        <w:rPr>
          <w:rFonts w:ascii="宋体" w:hAnsi="宋体" w:cs="宋体" w:eastAsia="宋体" w:hint="default"/>
        </w:rPr>
        <w:t> </w:t>
      </w:r>
    </w:p>
    <w:p>
      <w:pPr>
        <w:pStyle w:val="BodyText"/>
        <w:spacing w:line="237" w:lineRule="auto" w:before="119"/>
        <w:ind w:right="1133" w:firstLine="420"/>
        <w:jc w:val="left"/>
        <w:rPr>
          <w:rFonts w:ascii="宋体" w:hAnsi="宋体" w:cs="宋体" w:eastAsia="宋体" w:hint="default"/>
        </w:rPr>
      </w:pPr>
      <w:r>
        <w:rPr>
          <w:spacing w:val="-2"/>
          <w:w w:val="100"/>
        </w:rPr>
        <w:t>本公司之子公司嘉华信息</w:t>
      </w:r>
      <w:r>
        <w:rPr>
          <w:spacing w:val="-54"/>
          <w:w w:val="100"/>
        </w:rPr>
        <w:t> </w:t>
      </w:r>
      <w:r>
        <w:rPr>
          <w:rFonts w:ascii="宋体" w:hAnsi="宋体" w:cs="宋体" w:eastAsia="宋体" w:hint="default"/>
          <w:w w:val="100"/>
        </w:rPr>
        <w:t>2019</w:t>
      </w:r>
      <w:r>
        <w:rPr>
          <w:rFonts w:ascii="宋体" w:hAnsi="宋体" w:cs="宋体" w:eastAsia="宋体" w:hint="default"/>
          <w:spacing w:val="-53"/>
          <w:w w:val="100"/>
        </w:rPr>
        <w:t> </w:t>
      </w:r>
      <w:r>
        <w:rPr>
          <w:w w:val="100"/>
        </w:rPr>
        <w:t>年</w:t>
      </w:r>
      <w:r>
        <w:rPr>
          <w:spacing w:val="-51"/>
          <w:w w:val="100"/>
        </w:rPr>
        <w:t> </w:t>
      </w:r>
      <w:r>
        <w:rPr>
          <w:rFonts w:ascii="宋体" w:hAnsi="宋体" w:cs="宋体" w:eastAsia="宋体" w:hint="default"/>
          <w:w w:val="100"/>
        </w:rPr>
        <w:t>12</w:t>
      </w:r>
      <w:r>
        <w:rPr>
          <w:rFonts w:ascii="宋体" w:hAnsi="宋体" w:cs="宋体" w:eastAsia="宋体" w:hint="default"/>
          <w:spacing w:val="-53"/>
          <w:w w:val="100"/>
        </w:rPr>
        <w:t> </w:t>
      </w:r>
      <w:r>
        <w:rPr>
          <w:w w:val="100"/>
        </w:rPr>
        <w:t>月</w:t>
      </w:r>
      <w:r>
        <w:rPr>
          <w:spacing w:val="-51"/>
          <w:w w:val="100"/>
        </w:rPr>
        <w:t> </w:t>
      </w:r>
      <w:r>
        <w:rPr>
          <w:rFonts w:ascii="宋体" w:hAnsi="宋体" w:cs="宋体" w:eastAsia="宋体" w:hint="default"/>
          <w:w w:val="100"/>
        </w:rPr>
        <w:t>2</w:t>
      </w:r>
      <w:r>
        <w:rPr>
          <w:rFonts w:ascii="宋体" w:hAnsi="宋体" w:cs="宋体" w:eastAsia="宋体" w:hint="default"/>
          <w:spacing w:val="-53"/>
          <w:w w:val="100"/>
        </w:rPr>
        <w:t> </w:t>
      </w:r>
      <w:r>
        <w:rPr>
          <w:spacing w:val="-17"/>
          <w:w w:val="100"/>
        </w:rPr>
        <w:t>日获得《高新技术企业证书》（证书编号：</w:t>
      </w:r>
      <w:r>
        <w:rPr>
          <w:rFonts w:ascii="宋体" w:hAnsi="宋体" w:cs="宋体" w:eastAsia="宋体" w:hint="default"/>
          <w:spacing w:val="-17"/>
          <w:w w:val="100"/>
        </w:rPr>
        <w:t>GR201911008033</w:t>
      </w:r>
      <w:r>
        <w:rPr>
          <w:spacing w:val="-17"/>
          <w:w w:val="100"/>
        </w:rPr>
        <w:t>），</w:t>
      </w:r>
      <w:r>
        <w:rPr>
          <w:spacing w:val="-89"/>
          <w:w w:val="100"/>
        </w:rPr>
        <w:t> </w:t>
      </w:r>
      <w:r>
        <w:rPr>
          <w:spacing w:val="-2"/>
        </w:rPr>
        <w:t>有效期三年。根据《中华人民共和国企业所得税法》的规定，嘉华信息本报告期内享受高新技术企业减按</w:t>
      </w:r>
      <w:r>
        <w:rPr>
          <w:spacing w:val="-44"/>
        </w:rPr>
        <w:t> </w:t>
      </w:r>
      <w:r>
        <w:rPr>
          <w:spacing w:val="-44"/>
        </w:rPr>
      </w:r>
      <w:r>
        <w:rPr>
          <w:rFonts w:ascii="宋体" w:hAnsi="宋体" w:cs="宋体" w:eastAsia="宋体" w:hint="default"/>
        </w:rPr>
        <w:t>15%</w:t>
      </w:r>
      <w:r>
        <w:rPr/>
        <w:t>优惠税率征收企业所得税的政策。</w:t>
      </w:r>
      <w:r>
        <w:rPr>
          <w:rFonts w:ascii="宋体" w:hAnsi="宋体" w:cs="宋体" w:eastAsia="宋体" w:hint="default"/>
        </w:rPr>
        <w:t> </w:t>
      </w:r>
    </w:p>
    <w:p>
      <w:pPr>
        <w:pStyle w:val="BodyText"/>
        <w:spacing w:line="274" w:lineRule="exact" w:before="116"/>
        <w:ind w:left="573" w:right="819"/>
        <w:jc w:val="left"/>
      </w:pPr>
      <w:r>
        <w:rPr>
          <w:spacing w:val="-3"/>
        </w:rPr>
        <w:t>本公司之孙公司北京东方博星科技有限责任公司（以下简称“东方博星”）于</w:t>
      </w:r>
      <w:r>
        <w:rPr>
          <w:spacing w:val="-41"/>
        </w:rPr>
        <w:t> </w:t>
      </w:r>
      <w:r>
        <w:rPr>
          <w:rFonts w:ascii="宋体" w:hAnsi="宋体" w:cs="宋体" w:eastAsia="宋体" w:hint="default"/>
        </w:rPr>
        <w:t>2018</w:t>
      </w:r>
      <w:r>
        <w:rPr>
          <w:rFonts w:ascii="宋体" w:hAnsi="宋体" w:cs="宋体" w:eastAsia="宋体" w:hint="default"/>
          <w:spacing w:val="-41"/>
        </w:rPr>
        <w:t> </w:t>
      </w:r>
      <w:r>
        <w:rPr/>
        <w:t>年</w:t>
      </w:r>
      <w:r>
        <w:rPr>
          <w:spacing w:val="-42"/>
        </w:rPr>
        <w:t> </w:t>
      </w:r>
      <w:r>
        <w:rPr>
          <w:rFonts w:ascii="宋体" w:hAnsi="宋体" w:cs="宋体" w:eastAsia="宋体" w:hint="default"/>
        </w:rPr>
        <w:t>9</w:t>
      </w:r>
      <w:r>
        <w:rPr>
          <w:rFonts w:ascii="宋体" w:hAnsi="宋体" w:cs="宋体" w:eastAsia="宋体" w:hint="default"/>
          <w:spacing w:val="-41"/>
        </w:rPr>
        <w:t> </w:t>
      </w:r>
      <w:r>
        <w:rPr/>
        <w:t>月</w:t>
      </w:r>
      <w:r>
        <w:rPr>
          <w:spacing w:val="-43"/>
        </w:rPr>
        <w:t> </w:t>
      </w:r>
      <w:r>
        <w:rPr>
          <w:rFonts w:ascii="宋体" w:hAnsi="宋体" w:cs="宋体" w:eastAsia="宋体" w:hint="default"/>
        </w:rPr>
        <w:t>10</w:t>
      </w:r>
      <w:r>
        <w:rPr>
          <w:rFonts w:ascii="宋体" w:hAnsi="宋体" w:cs="宋体" w:eastAsia="宋体" w:hint="default"/>
          <w:spacing w:val="-41"/>
        </w:rPr>
        <w:t> </w:t>
      </w:r>
      <w:r>
        <w:rPr/>
        <w:t>日获得</w:t>
      </w:r>
    </w:p>
    <w:p>
      <w:pPr>
        <w:pStyle w:val="BodyText"/>
        <w:spacing w:line="272" w:lineRule="exact" w:before="27"/>
        <w:ind w:right="1133"/>
        <w:jc w:val="left"/>
        <w:rPr>
          <w:rFonts w:ascii="宋体" w:hAnsi="宋体" w:cs="宋体" w:eastAsia="宋体" w:hint="default"/>
        </w:rPr>
      </w:pPr>
      <w:r>
        <w:rPr/>
        <w:t>《高新技术企业证书》</w:t>
      </w:r>
      <w:r>
        <w:rPr>
          <w:rFonts w:ascii="宋体" w:hAnsi="宋体" w:cs="宋体" w:eastAsia="宋体" w:hint="default"/>
        </w:rPr>
        <w:t>(</w:t>
      </w:r>
      <w:r>
        <w:rPr/>
        <w:t>证书编号：</w:t>
      </w:r>
      <w:r>
        <w:rPr>
          <w:rFonts w:ascii="宋体" w:hAnsi="宋体" w:cs="宋体" w:eastAsia="宋体" w:hint="default"/>
        </w:rPr>
        <w:t>GR201811003256</w:t>
      </w:r>
      <w:r>
        <w:rPr/>
        <w:t>），有效期三年。根据《中华人民共和国企业所得税</w:t>
      </w:r>
      <w:r>
        <w:rPr>
          <w:spacing w:val="-29"/>
        </w:rPr>
        <w:t> </w:t>
      </w:r>
      <w:r>
        <w:rPr>
          <w:spacing w:val="-29"/>
        </w:rPr>
      </w:r>
      <w:r>
        <w:rPr>
          <w:spacing w:val="-2"/>
        </w:rPr>
        <w:t>法》的规定，东方博星本报告期内享受高新技术企业减按</w:t>
      </w:r>
      <w:r>
        <w:rPr>
          <w:spacing w:val="27"/>
        </w:rPr>
        <w:t> </w:t>
      </w:r>
      <w:r>
        <w:rPr>
          <w:rFonts w:ascii="宋体" w:hAnsi="宋体" w:cs="宋体" w:eastAsia="宋体" w:hint="default"/>
          <w:spacing w:val="-2"/>
        </w:rPr>
        <w:t>15%</w:t>
      </w:r>
      <w:r>
        <w:rPr>
          <w:spacing w:val="-2"/>
        </w:rPr>
        <w:t>优惠税率征收企业所得税的政策。</w:t>
      </w:r>
      <w:r>
        <w:rPr>
          <w:rFonts w:ascii="宋体" w:hAnsi="宋体" w:cs="宋体" w:eastAsia="宋体" w:hint="default"/>
        </w:rPr>
        <w:t> </w:t>
      </w:r>
    </w:p>
    <w:p>
      <w:pPr>
        <w:pStyle w:val="BodyText"/>
        <w:spacing w:line="237" w:lineRule="auto" w:before="96"/>
        <w:ind w:right="1126" w:firstLine="420"/>
        <w:jc w:val="both"/>
        <w:rPr>
          <w:rFonts w:ascii="宋体" w:hAnsi="宋体" w:cs="宋体" w:eastAsia="宋体" w:hint="default"/>
        </w:rPr>
      </w:pPr>
      <w:r>
        <w:rPr>
          <w:spacing w:val="-3"/>
        </w:rPr>
        <w:t>本公司之孙公司南京石鼓文信息技术有限公司（以下简称“南京石鼓文”）于 </w:t>
      </w:r>
      <w:r>
        <w:rPr>
          <w:rFonts w:ascii="宋体" w:hAnsi="宋体" w:cs="宋体" w:eastAsia="宋体" w:hint="default"/>
          <w:spacing w:val="-3"/>
        </w:rPr>
      </w:r>
      <w:r>
        <w:rPr>
          <w:rFonts w:ascii="宋体" w:hAnsi="宋体" w:cs="宋体" w:eastAsia="宋体" w:hint="default"/>
        </w:rPr>
        <w:t>2018 </w:t>
      </w:r>
      <w:r>
        <w:rPr/>
        <w:t>年 </w:t>
      </w:r>
      <w:r>
        <w:rPr>
          <w:rFonts w:ascii="宋体" w:hAnsi="宋体" w:cs="宋体" w:eastAsia="宋体" w:hint="default"/>
        </w:rPr>
        <w:t>11 </w:t>
      </w:r>
      <w:r>
        <w:rPr/>
        <w:t>月 </w:t>
      </w:r>
      <w:r>
        <w:rPr>
          <w:rFonts w:ascii="宋体" w:hAnsi="宋体" w:cs="宋体" w:eastAsia="宋体" w:hint="default"/>
        </w:rPr>
        <w:t>30</w:t>
      </w:r>
      <w:r>
        <w:rPr>
          <w:rFonts w:ascii="宋体" w:hAnsi="宋体" w:cs="宋体" w:eastAsia="宋体" w:hint="default"/>
          <w:spacing w:val="70"/>
        </w:rPr>
        <w:t> </w:t>
      </w:r>
      <w:r>
        <w:rPr/>
        <w:t>日</w:t>
      </w:r>
      <w:r>
        <w:rPr>
          <w:w w:val="100"/>
        </w:rPr>
        <w:t> </w:t>
      </w:r>
      <w:r>
        <w:rPr>
          <w:spacing w:val="-2"/>
        </w:rPr>
        <w:t>获得《高新技术企业证书》（</w:t>
      </w:r>
      <w:r>
        <w:rPr>
          <w:rFonts w:ascii="宋体" w:hAnsi="宋体" w:cs="宋体" w:eastAsia="宋体" w:hint="default"/>
          <w:spacing w:val="-2"/>
        </w:rPr>
        <w:t>GR201832007275</w:t>
      </w:r>
      <w:r>
        <w:rPr>
          <w:spacing w:val="-2"/>
        </w:rPr>
        <w:t>），有效期三年。根据《中华人民共和国企业所得税法》的</w:t>
      </w:r>
      <w:r>
        <w:rPr>
          <w:spacing w:val="-31"/>
        </w:rPr>
        <w:t> </w:t>
      </w:r>
      <w:r>
        <w:rPr>
          <w:spacing w:val="-31"/>
        </w:rPr>
      </w:r>
      <w:r>
        <w:rPr/>
        <w:t>规定，南京石鼓文本报告期内享受高新技术企业减按</w:t>
      </w:r>
      <w:r>
        <w:rPr>
          <w:spacing w:val="-5"/>
        </w:rPr>
        <w:t> </w:t>
      </w:r>
      <w:r>
        <w:rPr>
          <w:rFonts w:ascii="宋体" w:hAnsi="宋体" w:cs="宋体" w:eastAsia="宋体" w:hint="default"/>
          <w:spacing w:val="-5"/>
        </w:rPr>
      </w:r>
      <w:r>
        <w:rPr>
          <w:rFonts w:ascii="宋体" w:hAnsi="宋体" w:cs="宋体" w:eastAsia="宋体" w:hint="default"/>
        </w:rPr>
        <w:t>15%</w:t>
      </w:r>
      <w:r>
        <w:rPr/>
        <w:t>优惠税率征收企业所得税的政策。</w:t>
      </w:r>
      <w:r>
        <w:rPr>
          <w:rFonts w:ascii="宋体" w:hAnsi="宋体" w:cs="宋体" w:eastAsia="宋体" w:hint="default"/>
        </w:rPr>
        <w:t> </w:t>
      </w:r>
    </w:p>
    <w:p>
      <w:pPr>
        <w:spacing w:after="0" w:line="237" w:lineRule="auto"/>
        <w:jc w:val="both"/>
        <w:rPr>
          <w:rFonts w:ascii="宋体" w:hAnsi="宋体" w:cs="宋体" w:eastAsia="宋体" w:hint="default"/>
        </w:rPr>
        <w:sectPr>
          <w:pgSz w:w="11910" w:h="16840"/>
          <w:pgMar w:header="921" w:footer="725" w:top="1160" w:bottom="920" w:left="980" w:right="0"/>
        </w:sectPr>
      </w:pPr>
    </w:p>
    <w:p>
      <w:pPr>
        <w:spacing w:line="240" w:lineRule="auto" w:before="12"/>
        <w:rPr>
          <w:rFonts w:ascii="宋体" w:hAnsi="宋体" w:cs="宋体" w:eastAsia="宋体" w:hint="default"/>
          <w:sz w:val="15"/>
          <w:szCs w:val="15"/>
        </w:rPr>
      </w:pPr>
    </w:p>
    <w:p>
      <w:pPr>
        <w:pStyle w:val="BodyText"/>
        <w:spacing w:line="237" w:lineRule="auto" w:before="38"/>
        <w:ind w:right="1126" w:firstLine="420"/>
        <w:jc w:val="both"/>
      </w:pPr>
      <w:r>
        <w:rPr/>
        <w:t>本公司之孙公司新疆漫道通信科技有限公司（以下简称“新疆漫道”）于</w:t>
      </w:r>
      <w:r>
        <w:rPr>
          <w:spacing w:val="-41"/>
        </w:rPr>
        <w:t> </w:t>
      </w:r>
      <w:r>
        <w:rPr>
          <w:rFonts w:ascii="宋体" w:hAnsi="宋体" w:cs="宋体" w:eastAsia="宋体" w:hint="default"/>
        </w:rPr>
        <w:t>2017</w:t>
      </w:r>
      <w:r>
        <w:rPr>
          <w:rFonts w:ascii="宋体" w:hAnsi="宋体" w:cs="宋体" w:eastAsia="宋体" w:hint="default"/>
          <w:spacing w:val="-42"/>
        </w:rPr>
        <w:t> </w:t>
      </w:r>
      <w:r>
        <w:rPr/>
        <w:t>年</w:t>
      </w:r>
      <w:r>
        <w:rPr>
          <w:spacing w:val="-39"/>
        </w:rPr>
        <w:t> </w:t>
      </w:r>
      <w:r>
        <w:rPr>
          <w:rFonts w:ascii="宋体" w:hAnsi="宋体" w:cs="宋体" w:eastAsia="宋体" w:hint="default"/>
        </w:rPr>
        <w:t>5</w:t>
      </w:r>
      <w:r>
        <w:rPr>
          <w:rFonts w:ascii="宋体" w:hAnsi="宋体" w:cs="宋体" w:eastAsia="宋体" w:hint="default"/>
          <w:spacing w:val="-42"/>
        </w:rPr>
        <w:t> </w:t>
      </w:r>
      <w:r>
        <w:rPr/>
        <w:t>月</w:t>
      </w:r>
      <w:r>
        <w:rPr>
          <w:spacing w:val="-41"/>
        </w:rPr>
        <w:t> </w:t>
      </w:r>
      <w:r>
        <w:rPr>
          <w:rFonts w:ascii="宋体" w:hAnsi="宋体" w:cs="宋体" w:eastAsia="宋体" w:hint="default"/>
        </w:rPr>
        <w:t>9</w:t>
      </w:r>
      <w:r>
        <w:rPr>
          <w:rFonts w:ascii="宋体" w:hAnsi="宋体" w:cs="宋体" w:eastAsia="宋体" w:hint="default"/>
          <w:spacing w:val="-39"/>
        </w:rPr>
        <w:t> </w:t>
      </w:r>
      <w:r>
        <w:rPr/>
        <w:t>日取得了霍</w:t>
      </w:r>
      <w:r>
        <w:rPr>
          <w:w w:val="100"/>
        </w:rPr>
        <w:t> </w:t>
      </w:r>
      <w:r>
        <w:rPr>
          <w:spacing w:val="-2"/>
        </w:rPr>
        <w:t>尔果斯经济开发区国家税务局签发的《企业所得税优惠事项备案表》，依据《财政部国家税务总局关于新</w:t>
      </w:r>
      <w:r>
        <w:rPr>
          <w:spacing w:val="-47"/>
        </w:rPr>
        <w:t> </w:t>
      </w:r>
      <w:r>
        <w:rPr>
          <w:spacing w:val="-47"/>
        </w:rPr>
      </w:r>
      <w:r>
        <w:rPr>
          <w:spacing w:val="-3"/>
        </w:rPr>
        <w:t>疆喀什霍尔果斯两个特殊经济开发区企业所得税优惠政策的通知》财税</w:t>
      </w:r>
      <w:r>
        <w:rPr>
          <w:rFonts w:ascii="宋体" w:hAnsi="宋体" w:cs="宋体" w:eastAsia="宋体" w:hint="default"/>
          <w:spacing w:val="-3"/>
        </w:rPr>
        <w:t>[2011]112</w:t>
      </w:r>
      <w:r>
        <w:rPr>
          <w:rFonts w:ascii="宋体" w:hAnsi="宋体" w:cs="宋体" w:eastAsia="宋体" w:hint="default"/>
          <w:spacing w:val="-43"/>
        </w:rPr>
        <w:t> </w:t>
      </w:r>
      <w:r>
        <w:rPr>
          <w:spacing w:val="-13"/>
        </w:rPr>
        <w:t>号，自</w:t>
      </w:r>
      <w:r>
        <w:rPr>
          <w:spacing w:val="-41"/>
        </w:rPr>
        <w:t> </w:t>
      </w:r>
      <w:r>
        <w:rPr>
          <w:rFonts w:ascii="宋体" w:hAnsi="宋体" w:cs="宋体" w:eastAsia="宋体" w:hint="default"/>
        </w:rPr>
        <w:t>2017</w:t>
      </w:r>
      <w:r>
        <w:rPr>
          <w:rFonts w:ascii="宋体" w:hAnsi="宋体" w:cs="宋体" w:eastAsia="宋体" w:hint="default"/>
          <w:spacing w:val="-43"/>
        </w:rPr>
        <w:t> </w:t>
      </w:r>
      <w:r>
        <w:rPr/>
        <w:t>年</w:t>
      </w:r>
      <w:r>
        <w:rPr>
          <w:spacing w:val="-41"/>
        </w:rPr>
        <w:t> </w:t>
      </w:r>
      <w:r>
        <w:rPr>
          <w:rFonts w:ascii="宋体" w:hAnsi="宋体" w:cs="宋体" w:eastAsia="宋体" w:hint="default"/>
        </w:rPr>
        <w:t>1</w:t>
      </w:r>
      <w:r>
        <w:rPr>
          <w:rFonts w:ascii="宋体" w:hAnsi="宋体" w:cs="宋体" w:eastAsia="宋体" w:hint="default"/>
          <w:spacing w:val="-43"/>
        </w:rPr>
        <w:t> </w:t>
      </w:r>
      <w:r>
        <w:rPr/>
        <w:t>月</w:t>
      </w:r>
      <w:r>
        <w:rPr>
          <w:spacing w:val="-41"/>
        </w:rPr>
        <w:t> </w:t>
      </w:r>
      <w:r>
        <w:rPr>
          <w:rFonts w:ascii="宋体" w:hAnsi="宋体" w:cs="宋体" w:eastAsia="宋体" w:hint="default"/>
        </w:rPr>
        <w:t>1</w:t>
      </w:r>
      <w:r>
        <w:rPr>
          <w:rFonts w:ascii="宋体" w:hAnsi="宋体" w:cs="宋体" w:eastAsia="宋体" w:hint="default"/>
          <w:spacing w:val="-46"/>
        </w:rPr>
        <w:t> </w:t>
      </w:r>
      <w:r>
        <w:rPr/>
        <w:t>日</w:t>
      </w:r>
    </w:p>
    <w:p>
      <w:pPr>
        <w:pStyle w:val="BodyText"/>
        <w:spacing w:line="271" w:lineRule="exact"/>
        <w:ind w:right="0"/>
        <w:jc w:val="both"/>
        <w:rPr>
          <w:rFonts w:ascii="宋体" w:hAnsi="宋体" w:cs="宋体" w:eastAsia="宋体" w:hint="default"/>
        </w:rPr>
      </w:pPr>
      <w:r>
        <w:rPr/>
        <w:t>至</w:t>
      </w:r>
      <w:r>
        <w:rPr>
          <w:spacing w:val="-52"/>
        </w:rPr>
        <w:t> </w:t>
      </w:r>
      <w:r>
        <w:rPr>
          <w:rFonts w:ascii="宋体" w:hAnsi="宋体" w:cs="宋体" w:eastAsia="宋体" w:hint="default"/>
        </w:rPr>
        <w:t>2020</w:t>
      </w:r>
      <w:r>
        <w:rPr>
          <w:rFonts w:ascii="宋体" w:hAnsi="宋体" w:cs="宋体" w:eastAsia="宋体" w:hint="default"/>
          <w:spacing w:val="-53"/>
        </w:rPr>
        <w:t> </w:t>
      </w:r>
      <w:r>
        <w:rPr/>
        <w:t>年</w:t>
      </w:r>
      <w:r>
        <w:rPr>
          <w:spacing w:val="-55"/>
        </w:rPr>
        <w:t> </w:t>
      </w:r>
      <w:r>
        <w:rPr>
          <w:rFonts w:ascii="宋体" w:hAnsi="宋体" w:cs="宋体" w:eastAsia="宋体" w:hint="default"/>
        </w:rPr>
        <w:t>12</w:t>
      </w:r>
      <w:r>
        <w:rPr>
          <w:rFonts w:ascii="宋体" w:hAnsi="宋体" w:cs="宋体" w:eastAsia="宋体" w:hint="default"/>
          <w:spacing w:val="-55"/>
        </w:rPr>
        <w:t> </w:t>
      </w:r>
      <w:r>
        <w:rPr/>
        <w:t>月</w:t>
      </w:r>
      <w:r>
        <w:rPr>
          <w:spacing w:val="-53"/>
        </w:rPr>
        <w:t> </w:t>
      </w:r>
      <w:r>
        <w:rPr>
          <w:rFonts w:ascii="宋体" w:hAnsi="宋体" w:cs="宋体" w:eastAsia="宋体" w:hint="default"/>
        </w:rPr>
        <w:t>31</w:t>
      </w:r>
      <w:r>
        <w:rPr>
          <w:rFonts w:ascii="宋体" w:hAnsi="宋体" w:cs="宋体" w:eastAsia="宋体" w:hint="default"/>
          <w:spacing w:val="-55"/>
        </w:rPr>
        <w:t> </w:t>
      </w:r>
      <w:r>
        <w:rPr/>
        <w:t>日免征企业所得税。</w:t>
      </w:r>
      <w:r>
        <w:rPr>
          <w:rFonts w:ascii="宋体" w:hAnsi="宋体" w:cs="宋体" w:eastAsia="宋体" w:hint="default"/>
        </w:rPr>
        <w:t> </w:t>
      </w:r>
    </w:p>
    <w:p>
      <w:pPr>
        <w:pStyle w:val="BodyText"/>
        <w:spacing w:line="273" w:lineRule="exact" w:before="118"/>
        <w:ind w:left="573" w:right="819"/>
        <w:jc w:val="left"/>
      </w:pPr>
      <w:r>
        <w:rPr/>
        <w:t>本公司之孙公司茌平长云通信科技有限公司（以下简称“茌平长云”）、清远长实云谷科技有限公司</w:t>
      </w:r>
    </w:p>
    <w:p>
      <w:pPr>
        <w:pStyle w:val="BodyText"/>
        <w:spacing w:line="237" w:lineRule="auto"/>
        <w:ind w:right="1126"/>
        <w:jc w:val="both"/>
        <w:rPr>
          <w:rFonts w:ascii="宋体" w:hAnsi="宋体" w:cs="宋体" w:eastAsia="宋体" w:hint="default"/>
        </w:rPr>
      </w:pPr>
      <w:r>
        <w:rPr>
          <w:spacing w:val="-2"/>
        </w:rPr>
        <w:t>（以下简称“清远长实”）及华赢融资租赁（深圳）有限公司（以下简称“深圳华赢”）属于中小型微利</w:t>
      </w:r>
      <w:r>
        <w:rPr>
          <w:spacing w:val="-44"/>
        </w:rPr>
        <w:t> </w:t>
      </w:r>
      <w:r>
        <w:rPr>
          <w:spacing w:val="-44"/>
        </w:rPr>
      </w:r>
      <w:r>
        <w:rPr/>
        <w:t>企业。依据国家相关规定，对小型微利企业年应纳税所得额不超过</w:t>
      </w:r>
      <w:r>
        <w:rPr>
          <w:spacing w:val="-47"/>
        </w:rPr>
        <w:t> </w:t>
      </w:r>
      <w:r>
        <w:rPr>
          <w:rFonts w:ascii="宋体" w:hAnsi="宋体" w:cs="宋体" w:eastAsia="宋体" w:hint="default"/>
        </w:rPr>
        <w:t>100</w:t>
      </w:r>
      <w:r>
        <w:rPr>
          <w:rFonts w:ascii="宋体" w:hAnsi="宋体" w:cs="宋体" w:eastAsia="宋体" w:hint="default"/>
          <w:spacing w:val="-45"/>
        </w:rPr>
        <w:t> </w:t>
      </w:r>
      <w:r>
        <w:rPr/>
        <w:t>万元的部分，减按</w:t>
      </w:r>
      <w:r>
        <w:rPr>
          <w:spacing w:val="-45"/>
        </w:rPr>
        <w:t> </w:t>
      </w:r>
      <w:r>
        <w:rPr>
          <w:rFonts w:ascii="宋体" w:hAnsi="宋体" w:cs="宋体" w:eastAsia="宋体" w:hint="default"/>
        </w:rPr>
        <w:t>25%</w:t>
      </w:r>
      <w:r>
        <w:rPr/>
        <w:t>计入应纳税</w:t>
      </w:r>
      <w:r>
        <w:rPr>
          <w:w w:val="100"/>
        </w:rPr>
        <w:t> </w:t>
      </w:r>
      <w:r>
        <w:rPr/>
        <w:t>所得额，按</w:t>
      </w:r>
      <w:r>
        <w:rPr>
          <w:spacing w:val="-49"/>
        </w:rPr>
        <w:t> </w:t>
      </w:r>
      <w:r>
        <w:rPr>
          <w:rFonts w:ascii="宋体" w:hAnsi="宋体" w:cs="宋体" w:eastAsia="宋体" w:hint="default"/>
        </w:rPr>
        <w:t>20%</w:t>
      </w:r>
      <w:r>
        <w:rPr/>
        <w:t>的税率缴纳企业所得税；对年应纳税所得额超过</w:t>
      </w:r>
      <w:r>
        <w:rPr>
          <w:spacing w:val="-49"/>
        </w:rPr>
        <w:t> </w:t>
      </w:r>
      <w:r>
        <w:rPr>
          <w:rFonts w:ascii="宋体" w:hAnsi="宋体" w:cs="宋体" w:eastAsia="宋体" w:hint="default"/>
        </w:rPr>
        <w:t>100</w:t>
      </w:r>
      <w:r>
        <w:rPr>
          <w:rFonts w:ascii="宋体" w:hAnsi="宋体" w:cs="宋体" w:eastAsia="宋体" w:hint="default"/>
          <w:spacing w:val="-49"/>
        </w:rPr>
        <w:t> </w:t>
      </w:r>
      <w:r>
        <w:rPr/>
        <w:t>万元但不超过</w:t>
      </w:r>
      <w:r>
        <w:rPr>
          <w:spacing w:val="-49"/>
        </w:rPr>
        <w:t> </w:t>
      </w:r>
      <w:r>
        <w:rPr>
          <w:rFonts w:ascii="宋体" w:hAnsi="宋体" w:cs="宋体" w:eastAsia="宋体" w:hint="default"/>
        </w:rPr>
        <w:t>300</w:t>
      </w:r>
      <w:r>
        <w:rPr>
          <w:rFonts w:ascii="宋体" w:hAnsi="宋体" w:cs="宋体" w:eastAsia="宋体" w:hint="default"/>
          <w:spacing w:val="-49"/>
        </w:rPr>
        <w:t> </w:t>
      </w:r>
      <w:r>
        <w:rPr/>
        <w:t>万元的部分，减按</w:t>
      </w:r>
      <w:r>
        <w:rPr>
          <w:w w:val="100"/>
        </w:rPr>
        <w:t> </w:t>
      </w:r>
      <w:r>
        <w:rPr>
          <w:rFonts w:ascii="宋体" w:hAnsi="宋体" w:cs="宋体" w:eastAsia="宋体" w:hint="default"/>
        </w:rPr>
        <w:t>50%</w:t>
      </w:r>
      <w:r>
        <w:rPr/>
        <w:t>计入应纳税所得额，按</w:t>
      </w:r>
      <w:r>
        <w:rPr>
          <w:spacing w:val="-58"/>
        </w:rPr>
        <w:t> </w:t>
      </w:r>
      <w:r>
        <w:rPr>
          <w:rFonts w:ascii="宋体" w:hAnsi="宋体" w:cs="宋体" w:eastAsia="宋体" w:hint="default"/>
        </w:rPr>
        <w:t>20%</w:t>
      </w:r>
      <w:r>
        <w:rPr/>
        <w:t>的税率缴纳企业所得税。</w:t>
      </w:r>
      <w:r>
        <w:rPr>
          <w:rFonts w:ascii="宋体" w:hAnsi="宋体" w:cs="宋体" w:eastAsia="宋体" w:hint="default"/>
        </w:rPr>
        <w:t> </w:t>
      </w:r>
    </w:p>
    <w:p>
      <w:pPr>
        <w:spacing w:line="394" w:lineRule="exact" w:before="46"/>
        <w:ind w:left="573" w:right="1133" w:firstLine="2"/>
        <w:jc w:val="left"/>
        <w:rPr>
          <w:rFonts w:ascii="宋体" w:hAnsi="宋体" w:cs="宋体" w:eastAsia="宋体" w:hint="default"/>
          <w:sz w:val="21"/>
          <w:szCs w:val="21"/>
        </w:rPr>
      </w:pPr>
      <w:r>
        <w:rPr>
          <w:rFonts w:ascii="宋体" w:hAnsi="宋体" w:cs="宋体" w:eastAsia="宋体" w:hint="default"/>
          <w:b/>
          <w:bCs/>
          <w:sz w:val="21"/>
          <w:szCs w:val="21"/>
        </w:rPr>
        <w:t>六、合并财务报表主要项目注释</w:t>
      </w:r>
      <w:r>
        <w:rPr>
          <w:rFonts w:ascii="宋体" w:hAnsi="宋体" w:cs="宋体" w:eastAsia="宋体" w:hint="default"/>
          <w:b/>
          <w:bCs/>
          <w:w w:val="99"/>
          <w:sz w:val="21"/>
          <w:szCs w:val="21"/>
        </w:rPr>
        <w:t> </w:t>
      </w:r>
      <w:r>
        <w:rPr>
          <w:rFonts w:ascii="宋体" w:hAnsi="宋体" w:cs="宋体" w:eastAsia="宋体" w:hint="default"/>
          <w:spacing w:val="-2"/>
          <w:sz w:val="21"/>
          <w:szCs w:val="21"/>
        </w:rPr>
        <w:t>以下注释项目（包括母公司财务报表主要项目注释）金额单位若未特别注明者均为人民币元；除非特</w:t>
      </w:r>
    </w:p>
    <w:p>
      <w:pPr>
        <w:pStyle w:val="BodyText"/>
        <w:spacing w:line="221" w:lineRule="exact"/>
        <w:ind w:right="0"/>
        <w:jc w:val="both"/>
      </w:pPr>
      <w:r>
        <w:rPr>
          <w:w w:val="100"/>
        </w:rPr>
        <w:t>别指</w:t>
      </w:r>
      <w:r>
        <w:rPr>
          <w:spacing w:val="-2"/>
          <w:w w:val="100"/>
        </w:rPr>
        <w:t>出</w:t>
      </w:r>
      <w:r>
        <w:rPr>
          <w:spacing w:val="-106"/>
          <w:w w:val="100"/>
        </w:rPr>
        <w:t>，</w:t>
      </w:r>
      <w:r>
        <w:rPr>
          <w:spacing w:val="-3"/>
          <w:w w:val="100"/>
        </w:rPr>
        <w:t>“</w:t>
      </w:r>
      <w:r>
        <w:rPr>
          <w:w w:val="100"/>
        </w:rPr>
        <w:t>期</w:t>
      </w:r>
      <w:r>
        <w:rPr>
          <w:spacing w:val="-3"/>
          <w:w w:val="100"/>
        </w:rPr>
        <w:t>末</w:t>
      </w:r>
      <w:r>
        <w:rPr>
          <w:w w:val="100"/>
        </w:rPr>
        <w:t>”指</w:t>
      </w:r>
      <w:r>
        <w:rPr>
          <w:spacing w:val="-55"/>
        </w:rPr>
        <w:t> </w:t>
      </w:r>
      <w:r>
        <w:rPr>
          <w:rFonts w:ascii="宋体" w:hAnsi="宋体" w:cs="宋体" w:eastAsia="宋体" w:hint="default"/>
          <w:w w:val="100"/>
        </w:rPr>
        <w:t>2019</w:t>
      </w:r>
      <w:r>
        <w:rPr>
          <w:rFonts w:ascii="宋体" w:hAnsi="宋体" w:cs="宋体" w:eastAsia="宋体" w:hint="default"/>
          <w:spacing w:val="-55"/>
        </w:rPr>
        <w:t> </w:t>
      </w:r>
      <w:r>
        <w:rPr>
          <w:w w:val="100"/>
        </w:rPr>
        <w:t>年</w:t>
      </w:r>
      <w:r>
        <w:rPr>
          <w:spacing w:val="-53"/>
        </w:rPr>
        <w:t> </w:t>
      </w:r>
      <w:r>
        <w:rPr>
          <w:rFonts w:ascii="宋体" w:hAnsi="宋体" w:cs="宋体" w:eastAsia="宋体" w:hint="default"/>
          <w:w w:val="100"/>
        </w:rPr>
        <w:t>12</w:t>
      </w:r>
      <w:r>
        <w:rPr>
          <w:rFonts w:ascii="宋体" w:hAnsi="宋体" w:cs="宋体" w:eastAsia="宋体" w:hint="default"/>
          <w:spacing w:val="-55"/>
        </w:rPr>
        <w:t> </w:t>
      </w:r>
      <w:r>
        <w:rPr>
          <w:w w:val="100"/>
        </w:rPr>
        <w:t>月</w:t>
      </w:r>
      <w:r>
        <w:rPr>
          <w:spacing w:val="-52"/>
        </w:rPr>
        <w:t> </w:t>
      </w:r>
      <w:r>
        <w:rPr>
          <w:rFonts w:ascii="宋体" w:hAnsi="宋体" w:cs="宋体" w:eastAsia="宋体" w:hint="default"/>
          <w:w w:val="100"/>
        </w:rPr>
        <w:t>31</w:t>
      </w:r>
      <w:r>
        <w:rPr>
          <w:rFonts w:ascii="宋体" w:hAnsi="宋体" w:cs="宋体" w:eastAsia="宋体" w:hint="default"/>
          <w:spacing w:val="-55"/>
        </w:rPr>
        <w:t> </w:t>
      </w:r>
      <w:r>
        <w:rPr>
          <w:w w:val="100"/>
        </w:rPr>
        <w:t>日</w:t>
      </w:r>
      <w:r>
        <w:rPr>
          <w:spacing w:val="-108"/>
          <w:w w:val="100"/>
        </w:rPr>
        <w:t>，</w:t>
      </w:r>
      <w:r>
        <w:rPr>
          <w:w w:val="100"/>
        </w:rPr>
        <w:t>“</w:t>
      </w:r>
      <w:r>
        <w:rPr>
          <w:spacing w:val="-3"/>
          <w:w w:val="100"/>
        </w:rPr>
        <w:t>期</w:t>
      </w:r>
      <w:r>
        <w:rPr>
          <w:w w:val="100"/>
        </w:rPr>
        <w:t>初</w:t>
      </w:r>
      <w:r>
        <w:rPr>
          <w:spacing w:val="-3"/>
          <w:w w:val="100"/>
        </w:rPr>
        <w:t>”</w:t>
      </w:r>
      <w:r>
        <w:rPr>
          <w:w w:val="100"/>
        </w:rPr>
        <w:t>指</w:t>
      </w:r>
      <w:r>
        <w:rPr>
          <w:spacing w:val="-53"/>
        </w:rPr>
        <w:t> </w:t>
      </w:r>
      <w:r>
        <w:rPr>
          <w:rFonts w:ascii="宋体" w:hAnsi="宋体" w:cs="宋体" w:eastAsia="宋体" w:hint="default"/>
          <w:w w:val="100"/>
        </w:rPr>
        <w:t>20</w:t>
      </w:r>
      <w:r>
        <w:rPr>
          <w:rFonts w:ascii="宋体" w:hAnsi="宋体" w:cs="宋体" w:eastAsia="宋体" w:hint="default"/>
          <w:spacing w:val="-3"/>
          <w:w w:val="100"/>
        </w:rPr>
        <w:t>1</w:t>
      </w:r>
      <w:r>
        <w:rPr>
          <w:rFonts w:ascii="宋体" w:hAnsi="宋体" w:cs="宋体" w:eastAsia="宋体" w:hint="default"/>
          <w:w w:val="100"/>
        </w:rPr>
        <w:t>9</w:t>
      </w:r>
      <w:r>
        <w:rPr>
          <w:rFonts w:ascii="宋体" w:hAnsi="宋体" w:cs="宋体" w:eastAsia="宋体" w:hint="default"/>
          <w:spacing w:val="-53"/>
        </w:rPr>
        <w:t> </w:t>
      </w:r>
      <w:r>
        <w:rPr>
          <w:w w:val="100"/>
        </w:rPr>
        <w:t>年</w:t>
      </w:r>
      <w:r>
        <w:rPr>
          <w:spacing w:val="-55"/>
        </w:rPr>
        <w:t> </w:t>
      </w:r>
      <w:r>
        <w:rPr>
          <w:rFonts w:ascii="宋体" w:hAnsi="宋体" w:cs="宋体" w:eastAsia="宋体" w:hint="default"/>
          <w:w w:val="100"/>
        </w:rPr>
        <w:t>1</w:t>
      </w:r>
      <w:r>
        <w:rPr>
          <w:rFonts w:ascii="宋体" w:hAnsi="宋体" w:cs="宋体" w:eastAsia="宋体" w:hint="default"/>
          <w:spacing w:val="-52"/>
        </w:rPr>
        <w:t> </w:t>
      </w:r>
      <w:r>
        <w:rPr>
          <w:w w:val="100"/>
        </w:rPr>
        <w:t>月</w:t>
      </w:r>
      <w:r>
        <w:rPr>
          <w:spacing w:val="-55"/>
        </w:rPr>
        <w:t> </w:t>
      </w:r>
      <w:r>
        <w:rPr>
          <w:rFonts w:ascii="宋体" w:hAnsi="宋体" w:cs="宋体" w:eastAsia="宋体" w:hint="default"/>
          <w:w w:val="100"/>
        </w:rPr>
        <w:t>1</w:t>
      </w:r>
      <w:r>
        <w:rPr>
          <w:rFonts w:ascii="宋体" w:hAnsi="宋体" w:cs="宋体" w:eastAsia="宋体" w:hint="default"/>
          <w:spacing w:val="-53"/>
        </w:rPr>
        <w:t> </w:t>
      </w:r>
      <w:r>
        <w:rPr>
          <w:spacing w:val="-3"/>
          <w:w w:val="100"/>
        </w:rPr>
        <w:t>日</w:t>
      </w:r>
      <w:r>
        <w:rPr>
          <w:w w:val="100"/>
        </w:rPr>
        <w:t>，</w:t>
      </w:r>
      <w:r>
        <w:rPr>
          <w:spacing w:val="-3"/>
          <w:w w:val="100"/>
        </w:rPr>
        <w:t>“本</w:t>
      </w:r>
      <w:r>
        <w:rPr>
          <w:w w:val="100"/>
        </w:rPr>
        <w:t>期</w:t>
      </w:r>
      <w:r>
        <w:rPr>
          <w:spacing w:val="-3"/>
          <w:w w:val="100"/>
        </w:rPr>
        <w:t>”</w:t>
      </w:r>
      <w:r>
        <w:rPr>
          <w:w w:val="100"/>
        </w:rPr>
        <w:t>指</w:t>
      </w:r>
      <w:r>
        <w:rPr>
          <w:spacing w:val="-53"/>
        </w:rPr>
        <w:t> </w:t>
      </w:r>
      <w:r>
        <w:rPr>
          <w:rFonts w:ascii="宋体" w:hAnsi="宋体" w:cs="宋体" w:eastAsia="宋体" w:hint="default"/>
          <w:w w:val="100"/>
        </w:rPr>
        <w:t>20</w:t>
      </w:r>
      <w:r>
        <w:rPr>
          <w:rFonts w:ascii="宋体" w:hAnsi="宋体" w:cs="宋体" w:eastAsia="宋体" w:hint="default"/>
          <w:spacing w:val="-3"/>
          <w:w w:val="100"/>
        </w:rPr>
        <w:t>1</w:t>
      </w:r>
      <w:r>
        <w:rPr>
          <w:rFonts w:ascii="宋体" w:hAnsi="宋体" w:cs="宋体" w:eastAsia="宋体" w:hint="default"/>
          <w:w w:val="100"/>
        </w:rPr>
        <w:t>9</w:t>
      </w:r>
      <w:r>
        <w:rPr>
          <w:rFonts w:ascii="宋体" w:hAnsi="宋体" w:cs="宋体" w:eastAsia="宋体" w:hint="default"/>
          <w:spacing w:val="-53"/>
        </w:rPr>
        <w:t> </w:t>
      </w:r>
      <w:r>
        <w:rPr>
          <w:spacing w:val="-3"/>
          <w:w w:val="100"/>
        </w:rPr>
        <w:t>年</w:t>
      </w:r>
      <w:r>
        <w:rPr>
          <w:w w:val="100"/>
        </w:rPr>
        <w:t>度</w:t>
      </w:r>
      <w:r>
        <w:rPr>
          <w:spacing w:val="-3"/>
          <w:w w:val="100"/>
        </w:rPr>
        <w:t>，</w:t>
      </w:r>
      <w:r>
        <w:rPr>
          <w:w w:val="100"/>
        </w:rPr>
        <w:t>“</w:t>
      </w:r>
      <w:r>
        <w:rPr>
          <w:spacing w:val="-3"/>
          <w:w w:val="100"/>
        </w:rPr>
        <w:t>上期</w:t>
      </w:r>
      <w:r>
        <w:rPr>
          <w:w w:val="100"/>
        </w:rPr>
        <w:t>”</w:t>
      </w:r>
    </w:p>
    <w:p>
      <w:pPr>
        <w:pStyle w:val="BodyText"/>
        <w:spacing w:line="274" w:lineRule="exact"/>
        <w:ind w:right="0"/>
        <w:jc w:val="both"/>
        <w:rPr>
          <w:rFonts w:ascii="宋体" w:hAnsi="宋体" w:cs="宋体" w:eastAsia="宋体" w:hint="default"/>
        </w:rPr>
      </w:pPr>
      <w:r>
        <w:rPr/>
        <w:t>指</w:t>
      </w:r>
      <w:r>
        <w:rPr>
          <w:spacing w:val="-53"/>
        </w:rPr>
        <w:t> </w:t>
      </w:r>
      <w:r>
        <w:rPr>
          <w:rFonts w:ascii="宋体" w:hAnsi="宋体" w:cs="宋体" w:eastAsia="宋体" w:hint="default"/>
        </w:rPr>
        <w:t>2018</w:t>
      </w:r>
      <w:r>
        <w:rPr>
          <w:rFonts w:ascii="宋体" w:hAnsi="宋体" w:cs="宋体" w:eastAsia="宋体" w:hint="default"/>
          <w:spacing w:val="-54"/>
        </w:rPr>
        <w:t> </w:t>
      </w:r>
      <w:r>
        <w:rPr/>
        <w:t>年度。</w:t>
      </w:r>
      <w:r>
        <w:rPr>
          <w:rFonts w:ascii="宋体" w:hAnsi="宋体" w:cs="宋体" w:eastAsia="宋体" w:hint="default"/>
        </w:rPr>
        <w:t> </w:t>
      </w:r>
    </w:p>
    <w:p>
      <w:pPr>
        <w:pStyle w:val="Heading3"/>
        <w:spacing w:line="240" w:lineRule="auto" w:before="117"/>
        <w:ind w:left="364" w:right="1133"/>
        <w:jc w:val="left"/>
        <w:rPr>
          <w:rFonts w:ascii="宋体" w:hAnsi="宋体" w:cs="宋体" w:eastAsia="宋体" w:hint="default"/>
          <w:b w:val="0"/>
          <w:bCs w:val="0"/>
        </w:rPr>
      </w:pPr>
      <w:r>
        <w:rPr/>
        <w:t>（一）货币资金</w:t>
      </w:r>
      <w:r>
        <w:rPr>
          <w:rFonts w:ascii="宋体" w:hAnsi="宋体" w:cs="宋体" w:eastAsia="宋体" w:hint="default"/>
          <w:w w:val="99"/>
        </w:rPr>
        <w:t> </w:t>
      </w:r>
      <w:r>
        <w:rPr>
          <w:rFonts w:ascii="宋体" w:hAnsi="宋体" w:cs="宋体" w:eastAsia="宋体" w:hint="default"/>
          <w:b w:val="0"/>
          <w:bCs w:val="0"/>
        </w:rPr>
      </w:r>
    </w:p>
    <w:p>
      <w:pPr>
        <w:spacing w:line="240" w:lineRule="auto" w:before="9"/>
        <w:rPr>
          <w:rFonts w:ascii="宋体" w:hAnsi="宋体" w:cs="宋体" w:eastAsia="宋体" w:hint="default"/>
          <w:b/>
          <w:bCs/>
          <w:sz w:val="11"/>
          <w:szCs w:val="11"/>
        </w:rPr>
      </w:pPr>
    </w:p>
    <w:tbl>
      <w:tblPr>
        <w:tblW w:w="0" w:type="auto"/>
        <w:jc w:val="left"/>
        <w:tblInd w:w="160" w:type="dxa"/>
        <w:tblLayout w:type="fixed"/>
        <w:tblCellMar>
          <w:top w:w="0" w:type="dxa"/>
          <w:left w:w="0" w:type="dxa"/>
          <w:bottom w:w="0" w:type="dxa"/>
          <w:right w:w="0" w:type="dxa"/>
        </w:tblCellMar>
        <w:tblLook w:val="01E0"/>
      </w:tblPr>
      <w:tblGrid>
        <w:gridCol w:w="4249"/>
        <w:gridCol w:w="2451"/>
        <w:gridCol w:w="2943"/>
      </w:tblGrid>
      <w:tr>
        <w:trPr>
          <w:trHeight w:val="338" w:hRule="exact"/>
        </w:trPr>
        <w:tc>
          <w:tcPr>
            <w:tcW w:w="42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89"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2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861"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89" w:right="0"/>
              <w:jc w:val="center"/>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r>
      <w:tr>
        <w:trPr>
          <w:trHeight w:val="341" w:hRule="exact"/>
        </w:trPr>
        <w:tc>
          <w:tcPr>
            <w:tcW w:w="424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库存现金</w:t>
            </w:r>
            <w:r>
              <w:rPr>
                <w:rFonts w:ascii="宋体" w:hAnsi="宋体" w:cs="宋体" w:eastAsia="宋体" w:hint="default"/>
                <w:sz w:val="18"/>
                <w:szCs w:val="18"/>
              </w:rPr>
              <w:t> </w:t>
            </w:r>
          </w:p>
        </w:tc>
        <w:tc>
          <w:tcPr>
            <w:tcW w:w="2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1"/>
              <w:jc w:val="right"/>
              <w:rPr>
                <w:rFonts w:ascii="宋体" w:hAnsi="宋体" w:cs="宋体" w:eastAsia="宋体" w:hint="default"/>
                <w:sz w:val="18"/>
                <w:szCs w:val="18"/>
              </w:rPr>
            </w:pPr>
            <w:r>
              <w:rPr>
                <w:rFonts w:ascii="宋体"/>
                <w:spacing w:val="-1"/>
                <w:sz w:val="18"/>
              </w:rPr>
              <w:t>148,088.52</w:t>
            </w:r>
            <w:r>
              <w:rPr>
                <w:rFonts w:ascii="宋体"/>
                <w:sz w:val="18"/>
              </w:rPr>
              <w:t> </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1"/>
              <w:jc w:val="right"/>
              <w:rPr>
                <w:rFonts w:ascii="宋体" w:hAnsi="宋体" w:cs="宋体" w:eastAsia="宋体" w:hint="default"/>
                <w:sz w:val="18"/>
                <w:szCs w:val="18"/>
              </w:rPr>
            </w:pPr>
            <w:r>
              <w:rPr>
                <w:rFonts w:ascii="宋体"/>
                <w:spacing w:val="-1"/>
                <w:sz w:val="18"/>
              </w:rPr>
              <w:t>136,954.25</w:t>
            </w:r>
            <w:r>
              <w:rPr>
                <w:rFonts w:ascii="宋体"/>
                <w:sz w:val="18"/>
              </w:rPr>
              <w:t> </w:t>
            </w:r>
          </w:p>
        </w:tc>
      </w:tr>
      <w:tr>
        <w:trPr>
          <w:trHeight w:val="341" w:hRule="exact"/>
        </w:trPr>
        <w:tc>
          <w:tcPr>
            <w:tcW w:w="424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银行存款</w:t>
            </w:r>
            <w:r>
              <w:rPr>
                <w:rFonts w:ascii="宋体" w:hAnsi="宋体" w:cs="宋体" w:eastAsia="宋体" w:hint="default"/>
                <w:sz w:val="18"/>
                <w:szCs w:val="18"/>
              </w:rPr>
              <w:t> </w:t>
            </w:r>
          </w:p>
        </w:tc>
        <w:tc>
          <w:tcPr>
            <w:tcW w:w="2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1"/>
              <w:jc w:val="right"/>
              <w:rPr>
                <w:rFonts w:ascii="宋体" w:hAnsi="宋体" w:cs="宋体" w:eastAsia="宋体" w:hint="default"/>
                <w:sz w:val="18"/>
                <w:szCs w:val="18"/>
              </w:rPr>
            </w:pPr>
            <w:r>
              <w:rPr>
                <w:rFonts w:ascii="宋体"/>
                <w:spacing w:val="-1"/>
                <w:sz w:val="18"/>
              </w:rPr>
              <w:t>805,135,659.09 </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1"/>
              <w:jc w:val="right"/>
              <w:rPr>
                <w:rFonts w:ascii="宋体" w:hAnsi="宋体" w:cs="宋体" w:eastAsia="宋体" w:hint="default"/>
                <w:sz w:val="18"/>
                <w:szCs w:val="18"/>
              </w:rPr>
            </w:pPr>
            <w:r>
              <w:rPr>
                <w:rFonts w:ascii="宋体"/>
                <w:spacing w:val="-1"/>
                <w:sz w:val="18"/>
              </w:rPr>
              <w:t>677,920,480.45 </w:t>
            </w:r>
          </w:p>
        </w:tc>
      </w:tr>
      <w:tr>
        <w:trPr>
          <w:trHeight w:val="338" w:hRule="exact"/>
        </w:trPr>
        <w:tc>
          <w:tcPr>
            <w:tcW w:w="424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其他货币资金</w:t>
            </w:r>
            <w:r>
              <w:rPr>
                <w:rFonts w:ascii="宋体" w:hAnsi="宋体" w:cs="宋体" w:eastAsia="宋体" w:hint="default"/>
                <w:sz w:val="18"/>
                <w:szCs w:val="18"/>
              </w:rPr>
              <w:t> </w:t>
            </w:r>
          </w:p>
        </w:tc>
        <w:tc>
          <w:tcPr>
            <w:tcW w:w="2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1"/>
              <w:jc w:val="right"/>
              <w:rPr>
                <w:rFonts w:ascii="宋体" w:hAnsi="宋体" w:cs="宋体" w:eastAsia="宋体" w:hint="default"/>
                <w:sz w:val="18"/>
                <w:szCs w:val="18"/>
              </w:rPr>
            </w:pPr>
            <w:r>
              <w:rPr>
                <w:rFonts w:ascii="宋体"/>
                <w:spacing w:val="-1"/>
                <w:sz w:val="18"/>
              </w:rPr>
              <w:t>24,852,203.54 </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1"/>
              <w:jc w:val="right"/>
              <w:rPr>
                <w:rFonts w:ascii="宋体" w:hAnsi="宋体" w:cs="宋体" w:eastAsia="宋体" w:hint="default"/>
                <w:sz w:val="18"/>
                <w:szCs w:val="18"/>
              </w:rPr>
            </w:pPr>
            <w:r>
              <w:rPr>
                <w:rFonts w:ascii="宋体"/>
                <w:spacing w:val="-1"/>
                <w:sz w:val="18"/>
              </w:rPr>
              <w:t>15,219,191.60</w:t>
            </w:r>
            <w:r>
              <w:rPr>
                <w:rFonts w:ascii="宋体"/>
                <w:sz w:val="18"/>
              </w:rPr>
              <w:t> </w:t>
            </w:r>
          </w:p>
        </w:tc>
      </w:tr>
      <w:tr>
        <w:trPr>
          <w:trHeight w:val="341" w:hRule="exact"/>
        </w:trPr>
        <w:tc>
          <w:tcPr>
            <w:tcW w:w="4249"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89"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2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1"/>
              <w:jc w:val="right"/>
              <w:rPr>
                <w:rFonts w:ascii="宋体" w:hAnsi="宋体" w:cs="宋体" w:eastAsia="宋体" w:hint="default"/>
                <w:sz w:val="18"/>
                <w:szCs w:val="18"/>
              </w:rPr>
            </w:pPr>
            <w:r>
              <w:rPr>
                <w:rFonts w:ascii="宋体"/>
                <w:spacing w:val="-1"/>
                <w:sz w:val="18"/>
              </w:rPr>
              <w:t>830,135,951.15 </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1"/>
              <w:jc w:val="right"/>
              <w:rPr>
                <w:rFonts w:ascii="宋体" w:hAnsi="宋体" w:cs="宋体" w:eastAsia="宋体" w:hint="default"/>
                <w:sz w:val="18"/>
                <w:szCs w:val="18"/>
              </w:rPr>
            </w:pPr>
            <w:r>
              <w:rPr>
                <w:rFonts w:ascii="宋体"/>
                <w:spacing w:val="-1"/>
                <w:sz w:val="18"/>
              </w:rPr>
              <w:t>693,276,626.30 </w:t>
            </w:r>
          </w:p>
        </w:tc>
      </w:tr>
      <w:tr>
        <w:trPr>
          <w:trHeight w:val="341" w:hRule="exact"/>
        </w:trPr>
        <w:tc>
          <w:tcPr>
            <w:tcW w:w="424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3" w:right="0"/>
              <w:jc w:val="left"/>
              <w:rPr>
                <w:rFonts w:ascii="宋体" w:hAnsi="宋体" w:cs="宋体" w:eastAsia="宋体" w:hint="default"/>
                <w:sz w:val="18"/>
                <w:szCs w:val="18"/>
              </w:rPr>
            </w:pPr>
            <w:r>
              <w:rPr>
                <w:rFonts w:ascii="宋体" w:hAnsi="宋体" w:cs="宋体" w:eastAsia="宋体" w:hint="default"/>
                <w:sz w:val="18"/>
                <w:szCs w:val="18"/>
              </w:rPr>
              <w:t>其中：存放在境外的款项总额</w:t>
            </w:r>
            <w:r>
              <w:rPr>
                <w:rFonts w:ascii="宋体" w:hAnsi="宋体" w:cs="宋体" w:eastAsia="宋体" w:hint="default"/>
                <w:sz w:val="18"/>
                <w:szCs w:val="18"/>
              </w:rPr>
              <w:t> </w:t>
            </w:r>
          </w:p>
        </w:tc>
        <w:tc>
          <w:tcPr>
            <w:tcW w:w="2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1"/>
              <w:jc w:val="right"/>
              <w:rPr>
                <w:rFonts w:ascii="宋体" w:hAnsi="宋体" w:cs="宋体" w:eastAsia="宋体" w:hint="default"/>
                <w:sz w:val="18"/>
                <w:szCs w:val="18"/>
              </w:rPr>
            </w:pPr>
            <w:r>
              <w:rPr>
                <w:rFonts w:ascii="宋体"/>
                <w:sz w:val="18"/>
              </w:rPr>
              <w:t>- </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1"/>
              <w:jc w:val="right"/>
              <w:rPr>
                <w:rFonts w:ascii="宋体" w:hAnsi="宋体" w:cs="宋体" w:eastAsia="宋体" w:hint="default"/>
                <w:sz w:val="18"/>
                <w:szCs w:val="18"/>
              </w:rPr>
            </w:pPr>
            <w:r>
              <w:rPr>
                <w:rFonts w:ascii="宋体"/>
                <w:sz w:val="18"/>
              </w:rPr>
              <w:t>- </w:t>
            </w:r>
          </w:p>
        </w:tc>
      </w:tr>
    </w:tbl>
    <w:p>
      <w:pPr>
        <w:pStyle w:val="BodyText"/>
        <w:spacing w:line="240" w:lineRule="auto" w:before="86"/>
        <w:ind w:left="573" w:right="1133"/>
        <w:jc w:val="left"/>
        <w:rPr>
          <w:rFonts w:ascii="宋体" w:hAnsi="宋体" w:cs="宋体" w:eastAsia="宋体" w:hint="default"/>
        </w:rPr>
      </w:pPr>
      <w:r>
        <w:rPr/>
        <w:t>说明：期末其他货币资金中存出投资款</w:t>
      </w:r>
      <w:r>
        <w:rPr>
          <w:spacing w:val="-54"/>
        </w:rPr>
        <w:t> </w:t>
      </w:r>
      <w:r>
        <w:rPr>
          <w:rFonts w:ascii="宋体" w:hAnsi="宋体" w:cs="宋体" w:eastAsia="宋体" w:hint="default"/>
        </w:rPr>
        <w:t>12,686.71</w:t>
      </w:r>
      <w:r>
        <w:rPr>
          <w:rFonts w:ascii="宋体" w:hAnsi="宋体" w:cs="宋体" w:eastAsia="宋体" w:hint="default"/>
          <w:spacing w:val="-56"/>
        </w:rPr>
        <w:t> </w:t>
      </w:r>
      <w:r>
        <w:rPr/>
        <w:t>元，保证金等受限资金</w:t>
      </w:r>
      <w:r>
        <w:rPr>
          <w:spacing w:val="-54"/>
        </w:rPr>
        <w:t> </w:t>
      </w:r>
      <w:r>
        <w:rPr>
          <w:rFonts w:ascii="宋体" w:hAnsi="宋体" w:cs="宋体" w:eastAsia="宋体" w:hint="default"/>
        </w:rPr>
        <w:t>24,839,516.83</w:t>
      </w:r>
      <w:r>
        <w:rPr>
          <w:rFonts w:ascii="宋体" w:hAnsi="宋体" w:cs="宋体" w:eastAsia="宋体" w:hint="default"/>
          <w:spacing w:val="-53"/>
        </w:rPr>
        <w:t> </w:t>
      </w:r>
      <w:r>
        <w:rPr>
          <w:spacing w:val="-3"/>
        </w:rPr>
        <w:t>元。</w:t>
      </w:r>
      <w:r>
        <w:rPr>
          <w:rFonts w:ascii="宋体" w:hAnsi="宋体" w:cs="宋体" w:eastAsia="宋体" w:hint="default"/>
        </w:rPr>
        <w:t> </w:t>
      </w:r>
    </w:p>
    <w:p>
      <w:pPr>
        <w:spacing w:line="343" w:lineRule="auto" w:before="116"/>
        <w:ind w:left="573" w:right="7341" w:hanging="68"/>
        <w:jc w:val="left"/>
        <w:rPr>
          <w:rFonts w:ascii="宋体" w:hAnsi="宋体" w:cs="宋体" w:eastAsia="宋体" w:hint="default"/>
          <w:sz w:val="21"/>
          <w:szCs w:val="21"/>
        </w:rPr>
      </w:pPr>
      <w:r>
        <w:rPr>
          <w:rFonts w:ascii="宋体" w:hAnsi="宋体" w:cs="宋体" w:eastAsia="宋体" w:hint="default"/>
          <w:b/>
          <w:bCs/>
          <w:sz w:val="21"/>
          <w:szCs w:val="21"/>
        </w:rPr>
        <w:t>（二）应收票据</w:t>
      </w:r>
      <w:r>
        <w:rPr>
          <w:rFonts w:ascii="宋体" w:hAnsi="宋体" w:cs="宋体" w:eastAsia="宋体" w:hint="default"/>
          <w:b/>
          <w:bCs/>
          <w:w w:val="99"/>
          <w:sz w:val="21"/>
          <w:szCs w:val="21"/>
        </w:rPr>
        <w:t> </w:t>
      </w:r>
      <w:r>
        <w:rPr>
          <w:rFonts w:ascii="宋体" w:hAnsi="宋体" w:cs="宋体" w:eastAsia="宋体" w:hint="default"/>
          <w:sz w:val="21"/>
          <w:szCs w:val="21"/>
        </w:rPr>
        <w:t>1</w:t>
      </w:r>
      <w:r>
        <w:rPr>
          <w:rFonts w:ascii="宋体" w:hAnsi="宋体" w:cs="宋体" w:eastAsia="宋体" w:hint="default"/>
          <w:sz w:val="21"/>
          <w:szCs w:val="21"/>
        </w:rPr>
        <w:t>、应收票据分类列示</w:t>
      </w:r>
      <w:r>
        <w:rPr>
          <w:rFonts w:ascii="宋体" w:hAnsi="宋体" w:cs="宋体" w:eastAsia="宋体" w:hint="default"/>
          <w:sz w:val="21"/>
          <w:szCs w:val="21"/>
        </w:rPr>
        <w:t> </w:t>
      </w:r>
    </w:p>
    <w:p>
      <w:pPr>
        <w:spacing w:line="240" w:lineRule="auto" w:before="8"/>
        <w:rPr>
          <w:rFonts w:ascii="宋体" w:hAnsi="宋体" w:cs="宋体" w:eastAsia="宋体" w:hint="default"/>
          <w:sz w:val="4"/>
          <w:szCs w:val="4"/>
        </w:rPr>
      </w:pPr>
    </w:p>
    <w:tbl>
      <w:tblPr>
        <w:tblW w:w="0" w:type="auto"/>
        <w:jc w:val="left"/>
        <w:tblInd w:w="155" w:type="dxa"/>
        <w:tblLayout w:type="fixed"/>
        <w:tblCellMar>
          <w:top w:w="0" w:type="dxa"/>
          <w:left w:w="0" w:type="dxa"/>
          <w:bottom w:w="0" w:type="dxa"/>
          <w:right w:w="0" w:type="dxa"/>
        </w:tblCellMar>
        <w:tblLook w:val="01E0"/>
      </w:tblPr>
      <w:tblGrid>
        <w:gridCol w:w="3210"/>
        <w:gridCol w:w="3209"/>
        <w:gridCol w:w="3207"/>
      </w:tblGrid>
      <w:tr>
        <w:trPr>
          <w:trHeight w:val="341" w:hRule="exact"/>
        </w:trPr>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329"/>
              <w:jc w:val="right"/>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32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87"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c>
          <w:tcPr>
            <w:tcW w:w="3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89" w:right="0"/>
              <w:jc w:val="center"/>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r>
      <w:tr>
        <w:trPr>
          <w:trHeight w:val="341" w:hRule="exact"/>
        </w:trPr>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银行承兑票据</w:t>
            </w:r>
            <w:r>
              <w:rPr>
                <w:rFonts w:ascii="宋体" w:hAnsi="宋体" w:cs="宋体" w:eastAsia="宋体" w:hint="default"/>
                <w:sz w:val="18"/>
                <w:szCs w:val="18"/>
              </w:rPr>
              <w:t> </w:t>
            </w:r>
          </w:p>
        </w:tc>
        <w:tc>
          <w:tcPr>
            <w:tcW w:w="32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z w:val="18"/>
              </w:rPr>
              <w:t> </w:t>
            </w:r>
            <w:r>
              <w:rPr>
                <w:rFonts w:ascii="宋体"/>
                <w:spacing w:val="-1"/>
                <w:sz w:val="18"/>
              </w:rPr>
              <w:t>158,100.00</w:t>
            </w:r>
            <w:r>
              <w:rPr>
                <w:rFonts w:ascii="宋体"/>
                <w:sz w:val="18"/>
              </w:rPr>
              <w:t> </w:t>
            </w:r>
          </w:p>
        </w:tc>
        <w:tc>
          <w:tcPr>
            <w:tcW w:w="3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8"/>
              <w:jc w:val="right"/>
              <w:rPr>
                <w:rFonts w:ascii="宋体" w:hAnsi="宋体" w:cs="宋体" w:eastAsia="宋体" w:hint="default"/>
                <w:sz w:val="18"/>
                <w:szCs w:val="18"/>
              </w:rPr>
            </w:pPr>
            <w:r>
              <w:rPr>
                <w:rFonts w:ascii="宋体"/>
                <w:spacing w:val="-1"/>
                <w:sz w:val="18"/>
              </w:rPr>
              <w:t>1,000,000.00</w:t>
            </w:r>
            <w:r>
              <w:rPr>
                <w:rFonts w:ascii="宋体"/>
                <w:sz w:val="18"/>
              </w:rPr>
              <w:t> </w:t>
            </w:r>
          </w:p>
        </w:tc>
      </w:tr>
      <w:tr>
        <w:trPr>
          <w:trHeight w:val="338" w:hRule="exact"/>
        </w:trPr>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left="103" w:right="0"/>
              <w:jc w:val="left"/>
              <w:rPr>
                <w:rFonts w:ascii="宋体" w:hAnsi="宋体" w:cs="宋体" w:eastAsia="宋体" w:hint="default"/>
                <w:sz w:val="18"/>
                <w:szCs w:val="18"/>
              </w:rPr>
            </w:pPr>
            <w:r>
              <w:rPr>
                <w:rFonts w:ascii="宋体" w:hAnsi="宋体" w:cs="宋体" w:eastAsia="宋体" w:hint="default"/>
                <w:sz w:val="18"/>
                <w:szCs w:val="18"/>
              </w:rPr>
              <w:t>商业承兑票据</w:t>
            </w:r>
            <w:r>
              <w:rPr>
                <w:rFonts w:ascii="宋体" w:hAnsi="宋体" w:cs="宋体" w:eastAsia="宋体" w:hint="default"/>
                <w:sz w:val="18"/>
                <w:szCs w:val="18"/>
              </w:rPr>
              <w:t> </w:t>
            </w:r>
          </w:p>
        </w:tc>
        <w:tc>
          <w:tcPr>
            <w:tcW w:w="32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z w:val="18"/>
              </w:rPr>
              <w:t> </w:t>
            </w:r>
            <w:r>
              <w:rPr>
                <w:rFonts w:ascii="宋体"/>
                <w:spacing w:val="-1"/>
                <w:sz w:val="18"/>
              </w:rPr>
              <w:t>459,324.12</w:t>
            </w:r>
            <w:r>
              <w:rPr>
                <w:rFonts w:ascii="宋体"/>
                <w:sz w:val="18"/>
              </w:rPr>
              <w:t> </w:t>
            </w:r>
          </w:p>
        </w:tc>
        <w:tc>
          <w:tcPr>
            <w:tcW w:w="3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8"/>
              <w:jc w:val="right"/>
              <w:rPr>
                <w:rFonts w:ascii="宋体" w:hAnsi="宋体" w:cs="宋体" w:eastAsia="宋体" w:hint="default"/>
                <w:sz w:val="18"/>
                <w:szCs w:val="18"/>
              </w:rPr>
            </w:pPr>
            <w:r>
              <w:rPr>
                <w:rFonts w:ascii="宋体"/>
                <w:spacing w:val="-1"/>
                <w:sz w:val="18"/>
              </w:rPr>
              <w:t>9,700,000.00</w:t>
            </w:r>
            <w:r>
              <w:rPr>
                <w:rFonts w:ascii="宋体"/>
                <w:sz w:val="18"/>
              </w:rPr>
              <w:t> </w:t>
            </w:r>
          </w:p>
        </w:tc>
      </w:tr>
      <w:tr>
        <w:trPr>
          <w:trHeight w:val="341" w:hRule="exact"/>
        </w:trPr>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减：坏账准备</w:t>
            </w:r>
            <w:r>
              <w:rPr>
                <w:rFonts w:ascii="宋体" w:hAnsi="宋体" w:cs="宋体" w:eastAsia="宋体" w:hint="default"/>
                <w:sz w:val="18"/>
                <w:szCs w:val="18"/>
              </w:rPr>
              <w:t> </w:t>
            </w:r>
          </w:p>
        </w:tc>
        <w:tc>
          <w:tcPr>
            <w:tcW w:w="32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2"/>
                <w:sz w:val="18"/>
              </w:rPr>
              <w:t> </w:t>
            </w:r>
            <w:r>
              <w:rPr>
                <w:rFonts w:ascii="宋体"/>
                <w:spacing w:val="-1"/>
                <w:sz w:val="18"/>
              </w:rPr>
              <w:t>22,966.21</w:t>
            </w:r>
            <w:r>
              <w:rPr>
                <w:rFonts w:ascii="宋体"/>
                <w:sz w:val="18"/>
              </w:rPr>
              <w:t> </w:t>
            </w:r>
          </w:p>
        </w:tc>
        <w:tc>
          <w:tcPr>
            <w:tcW w:w="3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0"/>
              <w:ind w:right="8"/>
              <w:jc w:val="right"/>
              <w:rPr>
                <w:rFonts w:ascii="宋体" w:hAnsi="宋体" w:cs="宋体" w:eastAsia="宋体" w:hint="default"/>
                <w:sz w:val="18"/>
                <w:szCs w:val="18"/>
              </w:rPr>
            </w:pPr>
            <w:r>
              <w:rPr>
                <w:rFonts w:ascii="宋体"/>
                <w:spacing w:val="-1"/>
                <w:sz w:val="18"/>
              </w:rPr>
              <w:t>485,000.00</w:t>
            </w:r>
            <w:r>
              <w:rPr>
                <w:rFonts w:ascii="宋体"/>
                <w:sz w:val="18"/>
              </w:rPr>
              <w:t> </w:t>
            </w:r>
          </w:p>
        </w:tc>
      </w:tr>
      <w:tr>
        <w:trPr>
          <w:trHeight w:val="341" w:hRule="exact"/>
        </w:trPr>
        <w:tc>
          <w:tcPr>
            <w:tcW w:w="32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329"/>
              <w:jc w:val="righ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32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z w:val="18"/>
              </w:rPr>
              <w:t> </w:t>
            </w:r>
            <w:r>
              <w:rPr>
                <w:rFonts w:ascii="宋体"/>
                <w:spacing w:val="-1"/>
                <w:sz w:val="18"/>
              </w:rPr>
              <w:t>594,457.91</w:t>
            </w:r>
            <w:r>
              <w:rPr>
                <w:rFonts w:ascii="宋体"/>
                <w:sz w:val="18"/>
              </w:rPr>
              <w:t> </w:t>
            </w:r>
          </w:p>
        </w:tc>
        <w:tc>
          <w:tcPr>
            <w:tcW w:w="3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
              <w:ind w:right="8"/>
              <w:jc w:val="right"/>
              <w:rPr>
                <w:rFonts w:ascii="宋体" w:hAnsi="宋体" w:cs="宋体" w:eastAsia="宋体" w:hint="default"/>
                <w:sz w:val="18"/>
                <w:szCs w:val="18"/>
              </w:rPr>
            </w:pPr>
            <w:r>
              <w:rPr>
                <w:rFonts w:ascii="宋体"/>
                <w:spacing w:val="-1"/>
                <w:sz w:val="18"/>
              </w:rPr>
              <w:t>10,215,000.00</w:t>
            </w:r>
            <w:r>
              <w:rPr>
                <w:rFonts w:ascii="宋体"/>
                <w:sz w:val="18"/>
              </w:rPr>
              <w:t> </w:t>
            </w:r>
          </w:p>
        </w:tc>
      </w:tr>
    </w:tbl>
    <w:p>
      <w:pPr>
        <w:pStyle w:val="BodyText"/>
        <w:spacing w:line="240" w:lineRule="auto" w:before="86"/>
        <w:ind w:left="573" w:right="1133"/>
        <w:jc w:val="left"/>
        <w:rPr>
          <w:rFonts w:ascii="宋体" w:hAnsi="宋体" w:cs="宋体" w:eastAsia="宋体" w:hint="default"/>
        </w:rPr>
      </w:pPr>
      <w:r>
        <w:rPr>
          <w:rFonts w:ascii="宋体" w:hAnsi="宋体" w:cs="宋体" w:eastAsia="宋体" w:hint="default"/>
        </w:rPr>
        <w:t>2</w:t>
      </w:r>
      <w:r>
        <w:rPr/>
        <w:t>、期末公司已质押的应收票据</w:t>
      </w:r>
      <w:r>
        <w:rPr>
          <w:rFonts w:ascii="宋体" w:hAnsi="宋体" w:cs="宋体" w:eastAsia="宋体" w:hint="default"/>
        </w:rPr>
        <w:t> </w:t>
      </w:r>
    </w:p>
    <w:p>
      <w:pPr>
        <w:pStyle w:val="BodyText"/>
        <w:spacing w:line="343" w:lineRule="auto" w:before="116"/>
        <w:ind w:left="573" w:right="3968"/>
        <w:jc w:val="left"/>
        <w:rPr>
          <w:rFonts w:ascii="宋体" w:hAnsi="宋体" w:cs="宋体" w:eastAsia="宋体" w:hint="default"/>
        </w:rPr>
      </w:pPr>
      <w:r>
        <w:rPr/>
        <w:t>无。</w:t>
      </w:r>
      <w:r>
        <w:rPr>
          <w:rFonts w:ascii="宋体" w:hAnsi="宋体" w:cs="宋体" w:eastAsia="宋体" w:hint="default"/>
          <w:w w:val="100"/>
        </w:rPr>
        <w:t> </w:t>
      </w:r>
      <w:r>
        <w:rPr>
          <w:rFonts w:ascii="宋体" w:hAnsi="宋体" w:cs="宋体" w:eastAsia="宋体" w:hint="default"/>
        </w:rPr>
        <w:t>3</w:t>
      </w:r>
      <w:r>
        <w:rPr/>
        <w:t>、期末公司已背书或贴现且在资产负债表日尚未到期的应收票据</w:t>
      </w:r>
      <w:r>
        <w:rPr>
          <w:rFonts w:ascii="宋体" w:hAnsi="宋体" w:cs="宋体" w:eastAsia="宋体" w:hint="default"/>
          <w:w w:val="100"/>
        </w:rPr>
        <w:t> </w:t>
      </w:r>
      <w:r>
        <w:rPr/>
        <w:t>无。</w:t>
      </w:r>
      <w:r>
        <w:rPr>
          <w:rFonts w:ascii="宋体" w:hAnsi="宋体" w:cs="宋体" w:eastAsia="宋体" w:hint="default"/>
        </w:rPr>
        <w:t> </w:t>
      </w:r>
    </w:p>
    <w:p>
      <w:pPr>
        <w:pStyle w:val="BodyText"/>
        <w:spacing w:line="240" w:lineRule="auto" w:before="28"/>
        <w:ind w:left="573" w:right="1133"/>
        <w:jc w:val="left"/>
        <w:rPr>
          <w:rFonts w:ascii="宋体" w:hAnsi="宋体" w:cs="宋体" w:eastAsia="宋体" w:hint="default"/>
        </w:rPr>
      </w:pPr>
      <w:r>
        <w:rPr>
          <w:rFonts w:ascii="宋体" w:hAnsi="宋体" w:cs="宋体" w:eastAsia="宋体" w:hint="default"/>
        </w:rPr>
        <w:t>4</w:t>
      </w:r>
      <w:r>
        <w:rPr/>
        <w:t>、期末公司因出票人未履约而将其转应收账款的票据</w:t>
      </w:r>
      <w:r>
        <w:rPr>
          <w:rFonts w:ascii="宋体" w:hAnsi="宋体" w:cs="宋体" w:eastAsia="宋体" w:hint="default"/>
        </w:rPr>
        <w:t> </w:t>
      </w:r>
    </w:p>
    <w:p>
      <w:pPr>
        <w:pStyle w:val="BodyText"/>
        <w:spacing w:line="343" w:lineRule="auto" w:before="117"/>
        <w:ind w:left="573" w:right="7341"/>
        <w:jc w:val="left"/>
        <w:rPr>
          <w:rFonts w:ascii="宋体" w:hAnsi="宋体" w:cs="宋体" w:eastAsia="宋体" w:hint="default"/>
        </w:rPr>
      </w:pPr>
      <w:r>
        <w:rPr/>
        <w:t>无。</w:t>
      </w:r>
      <w:r>
        <w:rPr>
          <w:rFonts w:ascii="宋体" w:hAnsi="宋体" w:cs="宋体" w:eastAsia="宋体" w:hint="default"/>
          <w:w w:val="100"/>
        </w:rPr>
        <w:t> </w:t>
      </w:r>
      <w:r>
        <w:rPr>
          <w:rFonts w:ascii="宋体" w:hAnsi="宋体" w:cs="宋体" w:eastAsia="宋体" w:hint="default"/>
        </w:rPr>
        <w:t>5</w:t>
      </w:r>
      <w:r>
        <w:rPr/>
        <w:t>、按坏账计提方法分类披露</w:t>
      </w:r>
      <w:r>
        <w:rPr>
          <w:rFonts w:ascii="宋体" w:hAnsi="宋体" w:cs="宋体" w:eastAsia="宋体" w:hint="default"/>
        </w:rPr>
        <w:t> </w:t>
      </w:r>
    </w:p>
    <w:p>
      <w:pPr>
        <w:spacing w:line="240" w:lineRule="auto" w:before="8"/>
        <w:rPr>
          <w:rFonts w:ascii="宋体" w:hAnsi="宋体" w:cs="宋体" w:eastAsia="宋体" w:hint="default"/>
          <w:sz w:val="4"/>
          <w:szCs w:val="4"/>
        </w:rPr>
      </w:pPr>
    </w:p>
    <w:tbl>
      <w:tblPr>
        <w:tblW w:w="0" w:type="auto"/>
        <w:jc w:val="left"/>
        <w:tblInd w:w="145" w:type="dxa"/>
        <w:tblLayout w:type="fixed"/>
        <w:tblCellMar>
          <w:top w:w="0" w:type="dxa"/>
          <w:left w:w="0" w:type="dxa"/>
          <w:bottom w:w="0" w:type="dxa"/>
          <w:right w:w="0" w:type="dxa"/>
        </w:tblCellMar>
        <w:tblLook w:val="01E0"/>
      </w:tblPr>
      <w:tblGrid>
        <w:gridCol w:w="1841"/>
        <w:gridCol w:w="1561"/>
        <w:gridCol w:w="1560"/>
        <w:gridCol w:w="1419"/>
        <w:gridCol w:w="1135"/>
        <w:gridCol w:w="2113"/>
      </w:tblGrid>
      <w:tr>
        <w:trPr>
          <w:trHeight w:val="398" w:hRule="exact"/>
        </w:trPr>
        <w:tc>
          <w:tcPr>
            <w:tcW w:w="184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left="92" w:right="0"/>
              <w:jc w:val="center"/>
              <w:rPr>
                <w:rFonts w:ascii="宋体" w:hAnsi="宋体" w:cs="宋体" w:eastAsia="宋体" w:hint="default"/>
                <w:sz w:val="18"/>
                <w:szCs w:val="18"/>
              </w:rPr>
            </w:pPr>
            <w:r>
              <w:rPr>
                <w:rFonts w:ascii="宋体" w:hAnsi="宋体" w:cs="宋体" w:eastAsia="宋体" w:hint="default"/>
                <w:sz w:val="18"/>
                <w:szCs w:val="18"/>
              </w:rPr>
              <w:t>类别</w:t>
            </w:r>
            <w:r>
              <w:rPr>
                <w:rFonts w:ascii="宋体" w:hAnsi="宋体" w:cs="宋体" w:eastAsia="宋体" w:hint="default"/>
                <w:sz w:val="18"/>
                <w:szCs w:val="18"/>
              </w:rPr>
              <w:t> </w:t>
            </w:r>
          </w:p>
        </w:tc>
        <w:tc>
          <w:tcPr>
            <w:tcW w:w="7787"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4"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r>
      <w:tr>
        <w:trPr>
          <w:trHeight w:val="396" w:hRule="exact"/>
        </w:trPr>
        <w:tc>
          <w:tcPr>
            <w:tcW w:w="1841" w:type="dxa"/>
            <w:vMerge/>
            <w:tcBorders>
              <w:left w:val="single" w:sz="4" w:space="0" w:color="000000"/>
              <w:right w:val="single" w:sz="4" w:space="0" w:color="000000"/>
            </w:tcBorders>
          </w:tcPr>
          <w:p>
            <w:pPr/>
          </w:p>
        </w:tc>
        <w:tc>
          <w:tcPr>
            <w:tcW w:w="312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5" w:right="0"/>
              <w:jc w:val="center"/>
              <w:rPr>
                <w:rFonts w:ascii="宋体" w:hAnsi="宋体" w:cs="宋体" w:eastAsia="宋体" w:hint="default"/>
                <w:sz w:val="18"/>
                <w:szCs w:val="18"/>
              </w:rPr>
            </w:pPr>
            <w:r>
              <w:rPr>
                <w:rFonts w:ascii="宋体" w:hAnsi="宋体" w:cs="宋体" w:eastAsia="宋体" w:hint="default"/>
                <w:sz w:val="18"/>
                <w:szCs w:val="18"/>
              </w:rPr>
              <w:t>账面余额</w:t>
            </w:r>
            <w:r>
              <w:rPr>
                <w:rFonts w:ascii="宋体" w:hAnsi="宋体" w:cs="宋体" w:eastAsia="宋体" w:hint="default"/>
                <w:sz w:val="18"/>
                <w:szCs w:val="18"/>
              </w:rPr>
              <w:t> </w:t>
            </w:r>
          </w:p>
        </w:tc>
        <w:tc>
          <w:tcPr>
            <w:tcW w:w="255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14" w:right="0"/>
              <w:jc w:val="left"/>
              <w:rPr>
                <w:rFonts w:ascii="宋体" w:hAnsi="宋体" w:cs="宋体" w:eastAsia="宋体" w:hint="default"/>
                <w:sz w:val="18"/>
                <w:szCs w:val="18"/>
              </w:rPr>
            </w:pPr>
            <w:r>
              <w:rPr>
                <w:rFonts w:ascii="宋体" w:hAnsi="宋体" w:cs="宋体" w:eastAsia="宋体" w:hint="default"/>
                <w:sz w:val="18"/>
                <w:szCs w:val="18"/>
              </w:rPr>
              <w:t>坏账准备</w:t>
            </w:r>
            <w:r>
              <w:rPr>
                <w:rFonts w:ascii="宋体" w:hAnsi="宋体" w:cs="宋体" w:eastAsia="宋体" w:hint="default"/>
                <w:sz w:val="18"/>
                <w:szCs w:val="18"/>
              </w:rPr>
              <w:t> </w:t>
            </w:r>
          </w:p>
        </w:tc>
        <w:tc>
          <w:tcPr>
            <w:tcW w:w="2113" w:type="dxa"/>
            <w:vMerge w:val="restart"/>
            <w:tcBorders>
              <w:top w:val="single" w:sz="4" w:space="0" w:color="000000"/>
              <w:left w:val="single" w:sz="4" w:space="0" w:color="000000"/>
              <w:right w:val="single" w:sz="4" w:space="0" w:color="000000"/>
            </w:tcBorders>
          </w:tcPr>
          <w:p>
            <w:pPr>
              <w:pStyle w:val="TableParagraph"/>
              <w:spacing w:line="232" w:lineRule="exact" w:before="153"/>
              <w:ind w:left="871" w:right="779"/>
              <w:jc w:val="center"/>
              <w:rPr>
                <w:rFonts w:ascii="宋体" w:hAnsi="宋体" w:cs="宋体" w:eastAsia="宋体" w:hint="default"/>
                <w:sz w:val="18"/>
                <w:szCs w:val="18"/>
              </w:rPr>
            </w:pPr>
            <w:r>
              <w:rPr>
                <w:rFonts w:ascii="宋体" w:hAnsi="宋体" w:cs="宋体" w:eastAsia="宋体" w:hint="default"/>
                <w:sz w:val="18"/>
                <w:szCs w:val="18"/>
              </w:rPr>
              <w:t>账面</w:t>
            </w:r>
            <w:r>
              <w:rPr>
                <w:rFonts w:ascii="宋体" w:hAnsi="宋体" w:cs="宋体" w:eastAsia="宋体" w:hint="default"/>
                <w:sz w:val="18"/>
                <w:szCs w:val="18"/>
              </w:rPr>
              <w:t> </w:t>
            </w:r>
            <w:r>
              <w:rPr>
                <w:rFonts w:ascii="宋体" w:hAnsi="宋体" w:cs="宋体" w:eastAsia="宋体" w:hint="default"/>
                <w:sz w:val="18"/>
                <w:szCs w:val="18"/>
              </w:rPr>
              <w:t>价值</w:t>
            </w:r>
            <w:r>
              <w:rPr>
                <w:rFonts w:ascii="宋体" w:hAnsi="宋体" w:cs="宋体" w:eastAsia="宋体" w:hint="default"/>
                <w:sz w:val="18"/>
                <w:szCs w:val="18"/>
              </w:rPr>
              <w:t> </w:t>
            </w:r>
          </w:p>
        </w:tc>
      </w:tr>
      <w:tr>
        <w:trPr>
          <w:trHeight w:val="396" w:hRule="exact"/>
        </w:trPr>
        <w:tc>
          <w:tcPr>
            <w:tcW w:w="1841" w:type="dxa"/>
            <w:vMerge/>
            <w:tcBorders>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597" w:right="0"/>
              <w:jc w:val="left"/>
              <w:rPr>
                <w:rFonts w:ascii="宋体" w:hAnsi="宋体" w:cs="宋体" w:eastAsia="宋体" w:hint="default"/>
                <w:sz w:val="18"/>
                <w:szCs w:val="18"/>
              </w:rPr>
            </w:pPr>
            <w:r>
              <w:rPr>
                <w:rFonts w:ascii="宋体" w:hAnsi="宋体" w:cs="宋体" w:eastAsia="宋体" w:hint="default"/>
                <w:sz w:val="18"/>
                <w:szCs w:val="18"/>
              </w:rPr>
              <w:t>金额</w:t>
            </w:r>
            <w:r>
              <w:rPr>
                <w:rFonts w:ascii="宋体" w:hAnsi="宋体" w:cs="宋体" w:eastAsia="宋体" w:hint="default"/>
                <w:sz w:val="18"/>
                <w:szCs w:val="18"/>
              </w:rPr>
              <w:t>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369"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pacing w:val="-2"/>
                <w:sz w:val="18"/>
                <w:szCs w:val="18"/>
              </w:rPr>
              <w:t> </w:t>
            </w:r>
            <w:r>
              <w:rPr>
                <w:rFonts w:ascii="宋体" w:hAnsi="宋体" w:cs="宋体" w:eastAsia="宋体" w:hint="default"/>
                <w:sz w:val="18"/>
                <w:szCs w:val="18"/>
              </w:rPr>
              <w:t> </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525" w:right="0"/>
              <w:jc w:val="left"/>
              <w:rPr>
                <w:rFonts w:ascii="宋体" w:hAnsi="宋体" w:cs="宋体" w:eastAsia="宋体" w:hint="default"/>
                <w:sz w:val="18"/>
                <w:szCs w:val="18"/>
              </w:rPr>
            </w:pPr>
            <w:r>
              <w:rPr>
                <w:rFonts w:ascii="宋体" w:hAnsi="宋体" w:cs="宋体" w:eastAsia="宋体" w:hint="default"/>
                <w:sz w:val="18"/>
                <w:szCs w:val="18"/>
              </w:rPr>
              <w:t>金额</w:t>
            </w:r>
            <w:r>
              <w:rPr>
                <w:rFonts w:ascii="宋体" w:hAnsi="宋体" w:cs="宋体" w:eastAsia="宋体" w:hint="default"/>
                <w:sz w:val="18"/>
                <w:szCs w:val="18"/>
              </w:rPr>
              <w:t> </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58"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 </w:t>
            </w:r>
          </w:p>
        </w:tc>
        <w:tc>
          <w:tcPr>
            <w:tcW w:w="2113" w:type="dxa"/>
            <w:vMerge/>
            <w:tcBorders>
              <w:left w:val="single" w:sz="4" w:space="0" w:color="000000"/>
              <w:bottom w:val="single" w:sz="4" w:space="0" w:color="000000"/>
              <w:right w:val="single" w:sz="4" w:space="0" w:color="000000"/>
            </w:tcBorders>
          </w:tcPr>
          <w:p>
            <w:pPr/>
          </w:p>
        </w:tc>
      </w:tr>
      <w:tr>
        <w:trPr>
          <w:trHeight w:val="398" w:hRule="exact"/>
        </w:trPr>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按单项计提坏账准备</w:t>
            </w:r>
            <w:r>
              <w:rPr>
                <w:rFonts w:ascii="宋体" w:hAnsi="宋体" w:cs="宋体" w:eastAsia="宋体" w:hint="default"/>
                <w:sz w:val="18"/>
                <w:szCs w:val="18"/>
              </w:rPr>
              <w:t> </w:t>
            </w:r>
          </w:p>
        </w:tc>
        <w:tc>
          <w:tcPr>
            <w:tcW w:w="1561"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2113"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921" w:footer="725" w:top="1160" w:bottom="920" w:left="980" w:right="0"/>
        </w:sectPr>
      </w:pPr>
    </w:p>
    <w:p>
      <w:pPr>
        <w:spacing w:line="240" w:lineRule="auto" w:before="4"/>
        <w:rPr>
          <w:rFonts w:ascii="宋体" w:hAnsi="宋体" w:cs="宋体" w:eastAsia="宋体" w:hint="default"/>
          <w:sz w:val="21"/>
          <w:szCs w:val="21"/>
        </w:rPr>
      </w:pPr>
    </w:p>
    <w:tbl>
      <w:tblPr>
        <w:tblW w:w="0" w:type="auto"/>
        <w:jc w:val="left"/>
        <w:tblInd w:w="145" w:type="dxa"/>
        <w:tblLayout w:type="fixed"/>
        <w:tblCellMar>
          <w:top w:w="0" w:type="dxa"/>
          <w:left w:w="0" w:type="dxa"/>
          <w:bottom w:w="0" w:type="dxa"/>
          <w:right w:w="0" w:type="dxa"/>
        </w:tblCellMar>
        <w:tblLook w:val="01E0"/>
      </w:tblPr>
      <w:tblGrid>
        <w:gridCol w:w="1841"/>
        <w:gridCol w:w="1561"/>
        <w:gridCol w:w="1560"/>
        <w:gridCol w:w="1419"/>
        <w:gridCol w:w="1135"/>
        <w:gridCol w:w="2113"/>
      </w:tblGrid>
      <w:tr>
        <w:trPr>
          <w:trHeight w:val="396" w:hRule="exact"/>
        </w:trPr>
        <w:tc>
          <w:tcPr>
            <w:tcW w:w="184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92" w:right="0"/>
              <w:jc w:val="center"/>
              <w:rPr>
                <w:rFonts w:ascii="宋体" w:hAnsi="宋体" w:cs="宋体" w:eastAsia="宋体" w:hint="default"/>
                <w:sz w:val="18"/>
                <w:szCs w:val="18"/>
              </w:rPr>
            </w:pPr>
            <w:r>
              <w:rPr>
                <w:rFonts w:ascii="宋体" w:hAnsi="宋体" w:cs="宋体" w:eastAsia="宋体" w:hint="default"/>
                <w:sz w:val="18"/>
                <w:szCs w:val="18"/>
              </w:rPr>
              <w:t>类别</w:t>
            </w:r>
            <w:r>
              <w:rPr>
                <w:rFonts w:ascii="宋体" w:hAnsi="宋体" w:cs="宋体" w:eastAsia="宋体" w:hint="default"/>
                <w:sz w:val="18"/>
                <w:szCs w:val="18"/>
              </w:rPr>
              <w:t> </w:t>
            </w:r>
          </w:p>
        </w:tc>
        <w:tc>
          <w:tcPr>
            <w:tcW w:w="7787"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4"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r>
      <w:tr>
        <w:trPr>
          <w:trHeight w:val="399" w:hRule="exact"/>
        </w:trPr>
        <w:tc>
          <w:tcPr>
            <w:tcW w:w="1841" w:type="dxa"/>
            <w:vMerge/>
            <w:tcBorders>
              <w:left w:val="single" w:sz="4" w:space="0" w:color="000000"/>
              <w:right w:val="single" w:sz="4" w:space="0" w:color="000000"/>
            </w:tcBorders>
          </w:tcPr>
          <w:p>
            <w:pPr/>
          </w:p>
        </w:tc>
        <w:tc>
          <w:tcPr>
            <w:tcW w:w="312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5" w:right="0"/>
              <w:jc w:val="center"/>
              <w:rPr>
                <w:rFonts w:ascii="宋体" w:hAnsi="宋体" w:cs="宋体" w:eastAsia="宋体" w:hint="default"/>
                <w:sz w:val="18"/>
                <w:szCs w:val="18"/>
              </w:rPr>
            </w:pPr>
            <w:r>
              <w:rPr>
                <w:rFonts w:ascii="宋体" w:hAnsi="宋体" w:cs="宋体" w:eastAsia="宋体" w:hint="default"/>
                <w:sz w:val="18"/>
                <w:szCs w:val="18"/>
              </w:rPr>
              <w:t>账面余额</w:t>
            </w:r>
            <w:r>
              <w:rPr>
                <w:rFonts w:ascii="宋体" w:hAnsi="宋体" w:cs="宋体" w:eastAsia="宋体" w:hint="default"/>
                <w:sz w:val="18"/>
                <w:szCs w:val="18"/>
              </w:rPr>
              <w:t> </w:t>
            </w:r>
          </w:p>
        </w:tc>
        <w:tc>
          <w:tcPr>
            <w:tcW w:w="255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14" w:right="0"/>
              <w:jc w:val="left"/>
              <w:rPr>
                <w:rFonts w:ascii="宋体" w:hAnsi="宋体" w:cs="宋体" w:eastAsia="宋体" w:hint="default"/>
                <w:sz w:val="18"/>
                <w:szCs w:val="18"/>
              </w:rPr>
            </w:pPr>
            <w:r>
              <w:rPr>
                <w:rFonts w:ascii="宋体" w:hAnsi="宋体" w:cs="宋体" w:eastAsia="宋体" w:hint="default"/>
                <w:sz w:val="18"/>
                <w:szCs w:val="18"/>
              </w:rPr>
              <w:t>坏账准备</w:t>
            </w:r>
            <w:r>
              <w:rPr>
                <w:rFonts w:ascii="宋体" w:hAnsi="宋体" w:cs="宋体" w:eastAsia="宋体" w:hint="default"/>
                <w:sz w:val="18"/>
                <w:szCs w:val="18"/>
              </w:rPr>
              <w:t> </w:t>
            </w:r>
          </w:p>
        </w:tc>
        <w:tc>
          <w:tcPr>
            <w:tcW w:w="2113" w:type="dxa"/>
            <w:vMerge w:val="restart"/>
            <w:tcBorders>
              <w:top w:val="single" w:sz="4" w:space="0" w:color="000000"/>
              <w:left w:val="single" w:sz="4" w:space="0" w:color="000000"/>
              <w:right w:val="single" w:sz="4" w:space="0" w:color="000000"/>
            </w:tcBorders>
          </w:tcPr>
          <w:p>
            <w:pPr>
              <w:pStyle w:val="TableParagraph"/>
              <w:spacing w:line="232" w:lineRule="exact" w:before="155"/>
              <w:ind w:left="871" w:right="779"/>
              <w:jc w:val="center"/>
              <w:rPr>
                <w:rFonts w:ascii="宋体" w:hAnsi="宋体" w:cs="宋体" w:eastAsia="宋体" w:hint="default"/>
                <w:sz w:val="18"/>
                <w:szCs w:val="18"/>
              </w:rPr>
            </w:pPr>
            <w:r>
              <w:rPr>
                <w:rFonts w:ascii="宋体" w:hAnsi="宋体" w:cs="宋体" w:eastAsia="宋体" w:hint="default"/>
                <w:sz w:val="18"/>
                <w:szCs w:val="18"/>
              </w:rPr>
              <w:t>账面</w:t>
            </w:r>
            <w:r>
              <w:rPr>
                <w:rFonts w:ascii="宋体" w:hAnsi="宋体" w:cs="宋体" w:eastAsia="宋体" w:hint="default"/>
                <w:sz w:val="18"/>
                <w:szCs w:val="18"/>
              </w:rPr>
              <w:t> </w:t>
            </w:r>
            <w:r>
              <w:rPr>
                <w:rFonts w:ascii="宋体" w:hAnsi="宋体" w:cs="宋体" w:eastAsia="宋体" w:hint="default"/>
                <w:sz w:val="18"/>
                <w:szCs w:val="18"/>
              </w:rPr>
              <w:t>价值</w:t>
            </w:r>
            <w:r>
              <w:rPr>
                <w:rFonts w:ascii="宋体" w:hAnsi="宋体" w:cs="宋体" w:eastAsia="宋体" w:hint="default"/>
                <w:sz w:val="18"/>
                <w:szCs w:val="18"/>
              </w:rPr>
              <w:t> </w:t>
            </w:r>
          </w:p>
        </w:tc>
      </w:tr>
      <w:tr>
        <w:trPr>
          <w:trHeight w:val="396" w:hRule="exact"/>
        </w:trPr>
        <w:tc>
          <w:tcPr>
            <w:tcW w:w="1841" w:type="dxa"/>
            <w:vMerge/>
            <w:tcBorders>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597" w:right="0"/>
              <w:jc w:val="left"/>
              <w:rPr>
                <w:rFonts w:ascii="宋体" w:hAnsi="宋体" w:cs="宋体" w:eastAsia="宋体" w:hint="default"/>
                <w:sz w:val="18"/>
                <w:szCs w:val="18"/>
              </w:rPr>
            </w:pPr>
            <w:r>
              <w:rPr>
                <w:rFonts w:ascii="宋体" w:hAnsi="宋体" w:cs="宋体" w:eastAsia="宋体" w:hint="default"/>
                <w:sz w:val="18"/>
                <w:szCs w:val="18"/>
              </w:rPr>
              <w:t>金额</w:t>
            </w:r>
            <w:r>
              <w:rPr>
                <w:rFonts w:ascii="宋体" w:hAnsi="宋体" w:cs="宋体" w:eastAsia="宋体" w:hint="default"/>
                <w:sz w:val="18"/>
                <w:szCs w:val="18"/>
              </w:rPr>
              <w:t>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369"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pacing w:val="-2"/>
                <w:sz w:val="18"/>
                <w:szCs w:val="18"/>
              </w:rPr>
              <w:t> </w:t>
            </w:r>
            <w:r>
              <w:rPr>
                <w:rFonts w:ascii="宋体" w:hAnsi="宋体" w:cs="宋体" w:eastAsia="宋体" w:hint="default"/>
                <w:sz w:val="18"/>
                <w:szCs w:val="18"/>
              </w:rPr>
              <w:t> </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525" w:right="0"/>
              <w:jc w:val="left"/>
              <w:rPr>
                <w:rFonts w:ascii="宋体" w:hAnsi="宋体" w:cs="宋体" w:eastAsia="宋体" w:hint="default"/>
                <w:sz w:val="18"/>
                <w:szCs w:val="18"/>
              </w:rPr>
            </w:pPr>
            <w:r>
              <w:rPr>
                <w:rFonts w:ascii="宋体" w:hAnsi="宋体" w:cs="宋体" w:eastAsia="宋体" w:hint="default"/>
                <w:sz w:val="18"/>
                <w:szCs w:val="18"/>
              </w:rPr>
              <w:t>金额</w:t>
            </w:r>
            <w:r>
              <w:rPr>
                <w:rFonts w:ascii="宋体" w:hAnsi="宋体" w:cs="宋体" w:eastAsia="宋体" w:hint="default"/>
                <w:sz w:val="18"/>
                <w:szCs w:val="18"/>
              </w:rPr>
              <w:t> </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65"/>
              <w:jc w:val="right"/>
              <w:rPr>
                <w:rFonts w:ascii="宋体" w:hAnsi="宋体" w:cs="宋体" w:eastAsia="宋体" w:hint="default"/>
                <w:sz w:val="18"/>
                <w:szCs w:val="18"/>
              </w:rPr>
            </w:pPr>
            <w:r>
              <w:rPr>
                <w:rFonts w:ascii="宋体" w:hAnsi="宋体" w:cs="宋体" w:eastAsia="宋体" w:hint="default"/>
                <w:sz w:val="18"/>
                <w:szCs w:val="18"/>
              </w:rPr>
              <w:t>比例（</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 </w:t>
            </w:r>
          </w:p>
        </w:tc>
        <w:tc>
          <w:tcPr>
            <w:tcW w:w="2113" w:type="dxa"/>
            <w:vMerge/>
            <w:tcBorders>
              <w:left w:val="single" w:sz="4" w:space="0" w:color="000000"/>
              <w:bottom w:val="single" w:sz="4" w:space="0" w:color="000000"/>
              <w:right w:val="single" w:sz="4" w:space="0" w:color="000000"/>
            </w:tcBorders>
          </w:tcPr>
          <w:p>
            <w:pPr/>
          </w:p>
        </w:tc>
      </w:tr>
      <w:tr>
        <w:trPr>
          <w:trHeight w:val="398" w:hRule="exact"/>
        </w:trPr>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6" w:right="0"/>
              <w:jc w:val="left"/>
              <w:rPr>
                <w:rFonts w:ascii="宋体" w:hAnsi="宋体" w:cs="宋体" w:eastAsia="宋体" w:hint="default"/>
                <w:sz w:val="18"/>
                <w:szCs w:val="18"/>
              </w:rPr>
            </w:pPr>
            <w:r>
              <w:rPr>
                <w:rFonts w:ascii="宋体" w:hAnsi="宋体" w:cs="宋体" w:eastAsia="宋体" w:hint="default"/>
                <w:sz w:val="18"/>
                <w:szCs w:val="18"/>
              </w:rPr>
              <w:t>按组合计提坏账准备</w:t>
            </w:r>
            <w:r>
              <w:rPr>
                <w:rFonts w:ascii="宋体" w:hAnsi="宋体" w:cs="宋体" w:eastAsia="宋体" w:hint="default"/>
                <w:sz w:val="18"/>
                <w:szCs w:val="18"/>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626" w:right="0"/>
              <w:jc w:val="left"/>
              <w:rPr>
                <w:rFonts w:ascii="宋体" w:hAnsi="宋体" w:cs="宋体" w:eastAsia="宋体" w:hint="default"/>
                <w:sz w:val="18"/>
                <w:szCs w:val="18"/>
              </w:rPr>
            </w:pPr>
            <w:r>
              <w:rPr>
                <w:rFonts w:ascii="宋体"/>
                <w:sz w:val="18"/>
              </w:rPr>
              <w:t>617,424.12</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1"/>
              <w:jc w:val="right"/>
              <w:rPr>
                <w:rFonts w:ascii="宋体" w:hAnsi="宋体" w:cs="宋体" w:eastAsia="宋体" w:hint="default"/>
                <w:sz w:val="18"/>
                <w:szCs w:val="18"/>
              </w:rPr>
            </w:pPr>
            <w:r>
              <w:rPr>
                <w:rFonts w:ascii="宋体"/>
                <w:spacing w:val="-1"/>
                <w:sz w:val="18"/>
              </w:rPr>
              <w:t>100.00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573" w:right="0"/>
              <w:jc w:val="left"/>
              <w:rPr>
                <w:rFonts w:ascii="宋体" w:hAnsi="宋体" w:cs="宋体" w:eastAsia="宋体" w:hint="default"/>
                <w:sz w:val="18"/>
                <w:szCs w:val="18"/>
              </w:rPr>
            </w:pPr>
            <w:r>
              <w:rPr>
                <w:rFonts w:ascii="宋体"/>
                <w:sz w:val="18"/>
              </w:rPr>
              <w:t>22,966.21</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3"/>
              <w:jc w:val="right"/>
              <w:rPr>
                <w:rFonts w:ascii="宋体" w:hAnsi="宋体" w:cs="宋体" w:eastAsia="宋体" w:hint="default"/>
                <w:sz w:val="18"/>
                <w:szCs w:val="18"/>
              </w:rPr>
            </w:pPr>
            <w:r>
              <w:rPr>
                <w:rFonts w:ascii="宋体"/>
                <w:spacing w:val="-1"/>
                <w:sz w:val="18"/>
              </w:rPr>
              <w:t>3.72</w:t>
            </w:r>
            <w:r>
              <w:rPr>
                <w:rFonts w:ascii="宋体"/>
                <w:sz w:val="18"/>
              </w:rPr>
            </w:r>
          </w:p>
        </w:tc>
        <w:tc>
          <w:tcPr>
            <w:tcW w:w="21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4"/>
              <w:jc w:val="right"/>
              <w:rPr>
                <w:rFonts w:ascii="宋体" w:hAnsi="宋体" w:cs="宋体" w:eastAsia="宋体" w:hint="default"/>
                <w:sz w:val="18"/>
                <w:szCs w:val="18"/>
              </w:rPr>
            </w:pPr>
            <w:r>
              <w:rPr>
                <w:rFonts w:ascii="宋体"/>
                <w:spacing w:val="-1"/>
                <w:sz w:val="18"/>
              </w:rPr>
              <w:t>594,457.91</w:t>
            </w:r>
          </w:p>
        </w:tc>
      </w:tr>
      <w:tr>
        <w:trPr>
          <w:trHeight w:val="396" w:hRule="exact"/>
        </w:trPr>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6" w:right="0"/>
              <w:jc w:val="left"/>
              <w:rPr>
                <w:rFonts w:ascii="宋体" w:hAnsi="宋体" w:cs="宋体" w:eastAsia="宋体" w:hint="default"/>
                <w:sz w:val="18"/>
                <w:szCs w:val="18"/>
              </w:rPr>
            </w:pPr>
            <w:r>
              <w:rPr>
                <w:rFonts w:ascii="宋体" w:hAnsi="宋体" w:cs="宋体" w:eastAsia="宋体" w:hint="default"/>
                <w:sz w:val="18"/>
                <w:szCs w:val="18"/>
              </w:rPr>
              <w:t>其中：银行承兑汇票</w:t>
            </w:r>
            <w:r>
              <w:rPr>
                <w:rFonts w:ascii="宋体" w:hAnsi="宋体" w:cs="宋体" w:eastAsia="宋体" w:hint="default"/>
                <w:sz w:val="18"/>
                <w:szCs w:val="18"/>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626" w:right="0"/>
              <w:jc w:val="left"/>
              <w:rPr>
                <w:rFonts w:ascii="宋体" w:hAnsi="宋体" w:cs="宋体" w:eastAsia="宋体" w:hint="default"/>
                <w:sz w:val="18"/>
                <w:szCs w:val="18"/>
              </w:rPr>
            </w:pPr>
            <w:r>
              <w:rPr>
                <w:rFonts w:ascii="宋体"/>
                <w:sz w:val="18"/>
              </w:rPr>
              <w:t>158,100.00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1"/>
              <w:jc w:val="right"/>
              <w:rPr>
                <w:rFonts w:ascii="宋体" w:hAnsi="宋体" w:cs="宋体" w:eastAsia="宋体" w:hint="default"/>
                <w:sz w:val="18"/>
                <w:szCs w:val="18"/>
              </w:rPr>
            </w:pPr>
            <w:r>
              <w:rPr>
                <w:rFonts w:ascii="宋体"/>
                <w:sz w:val="18"/>
              </w:rPr>
              <w:t>25.61</w:t>
            </w:r>
          </w:p>
        </w:tc>
        <w:tc>
          <w:tcPr>
            <w:tcW w:w="1419" w:type="dxa"/>
            <w:tcBorders>
              <w:top w:val="single" w:sz="4" w:space="0" w:color="000000"/>
              <w:left w:val="single" w:sz="4" w:space="0" w:color="000000"/>
              <w:bottom w:val="single" w:sz="4" w:space="0" w:color="000000"/>
              <w:right w:val="single" w:sz="4" w:space="0" w:color="000000"/>
            </w:tcBorders>
          </w:tcPr>
          <w:p>
            <w:pPr/>
          </w:p>
        </w:tc>
        <w:tc>
          <w:tcPr>
            <w:tcW w:w="1135" w:type="dxa"/>
            <w:tcBorders>
              <w:top w:val="single" w:sz="4" w:space="0" w:color="000000"/>
              <w:left w:val="single" w:sz="4" w:space="0" w:color="000000"/>
              <w:bottom w:val="single" w:sz="4" w:space="0" w:color="000000"/>
              <w:right w:val="single" w:sz="4" w:space="0" w:color="000000"/>
            </w:tcBorders>
          </w:tcPr>
          <w:p>
            <w:pPr/>
          </w:p>
        </w:tc>
        <w:tc>
          <w:tcPr>
            <w:tcW w:w="21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4"/>
              <w:jc w:val="right"/>
              <w:rPr>
                <w:rFonts w:ascii="宋体" w:hAnsi="宋体" w:cs="宋体" w:eastAsia="宋体" w:hint="default"/>
                <w:sz w:val="18"/>
                <w:szCs w:val="18"/>
              </w:rPr>
            </w:pPr>
            <w:r>
              <w:rPr>
                <w:rFonts w:ascii="宋体"/>
                <w:spacing w:val="-1"/>
                <w:sz w:val="18"/>
              </w:rPr>
              <w:t>158,100.00</w:t>
            </w:r>
          </w:p>
        </w:tc>
      </w:tr>
      <w:tr>
        <w:trPr>
          <w:trHeight w:val="398" w:hRule="exact"/>
        </w:trPr>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6" w:right="0"/>
              <w:jc w:val="left"/>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商业承兑汇票</w:t>
            </w:r>
            <w:r>
              <w:rPr>
                <w:rFonts w:ascii="宋体" w:hAnsi="宋体" w:cs="宋体" w:eastAsia="宋体" w:hint="default"/>
                <w:sz w:val="18"/>
                <w:szCs w:val="18"/>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626" w:right="0"/>
              <w:jc w:val="left"/>
              <w:rPr>
                <w:rFonts w:ascii="宋体" w:hAnsi="宋体" w:cs="宋体" w:eastAsia="宋体" w:hint="default"/>
                <w:sz w:val="18"/>
                <w:szCs w:val="18"/>
              </w:rPr>
            </w:pPr>
            <w:r>
              <w:rPr>
                <w:rFonts w:ascii="宋体"/>
                <w:sz w:val="18"/>
              </w:rPr>
              <w:t>459,324.12</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1"/>
              <w:jc w:val="right"/>
              <w:rPr>
                <w:rFonts w:ascii="宋体" w:hAnsi="宋体" w:cs="宋体" w:eastAsia="宋体" w:hint="default"/>
                <w:sz w:val="18"/>
                <w:szCs w:val="18"/>
              </w:rPr>
            </w:pPr>
            <w:r>
              <w:rPr>
                <w:rFonts w:ascii="宋体"/>
                <w:sz w:val="18"/>
              </w:rPr>
              <w:t>74.39</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573" w:right="0"/>
              <w:jc w:val="left"/>
              <w:rPr>
                <w:rFonts w:ascii="宋体" w:hAnsi="宋体" w:cs="宋体" w:eastAsia="宋体" w:hint="default"/>
                <w:sz w:val="18"/>
                <w:szCs w:val="18"/>
              </w:rPr>
            </w:pPr>
            <w:r>
              <w:rPr>
                <w:rFonts w:ascii="宋体"/>
                <w:sz w:val="18"/>
              </w:rPr>
              <w:t>22,966.21</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0"/>
              <w:jc w:val="right"/>
              <w:rPr>
                <w:rFonts w:ascii="宋体" w:hAnsi="宋体" w:cs="宋体" w:eastAsia="宋体" w:hint="default"/>
                <w:sz w:val="18"/>
                <w:szCs w:val="18"/>
              </w:rPr>
            </w:pPr>
            <w:r>
              <w:rPr>
                <w:rFonts w:ascii="宋体"/>
                <w:sz w:val="18"/>
              </w:rPr>
              <w:t>5.00</w:t>
            </w:r>
          </w:p>
        </w:tc>
        <w:tc>
          <w:tcPr>
            <w:tcW w:w="21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4"/>
              <w:jc w:val="right"/>
              <w:rPr>
                <w:rFonts w:ascii="宋体" w:hAnsi="宋体" w:cs="宋体" w:eastAsia="宋体" w:hint="default"/>
                <w:sz w:val="18"/>
                <w:szCs w:val="18"/>
              </w:rPr>
            </w:pPr>
            <w:r>
              <w:rPr>
                <w:rFonts w:ascii="宋体"/>
                <w:spacing w:val="-1"/>
                <w:sz w:val="18"/>
              </w:rPr>
              <w:t>436,357.91</w:t>
            </w:r>
          </w:p>
        </w:tc>
      </w:tr>
      <w:tr>
        <w:trPr>
          <w:trHeight w:val="396" w:hRule="exact"/>
        </w:trPr>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2"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626" w:right="0"/>
              <w:jc w:val="left"/>
              <w:rPr>
                <w:rFonts w:ascii="宋体" w:hAnsi="宋体" w:cs="宋体" w:eastAsia="宋体" w:hint="default"/>
                <w:sz w:val="18"/>
                <w:szCs w:val="18"/>
              </w:rPr>
            </w:pPr>
            <w:r>
              <w:rPr>
                <w:rFonts w:ascii="宋体"/>
                <w:sz w:val="18"/>
              </w:rPr>
              <w:t>617,424.12</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1"/>
              <w:jc w:val="right"/>
              <w:rPr>
                <w:rFonts w:ascii="宋体" w:hAnsi="宋体" w:cs="宋体" w:eastAsia="宋体" w:hint="default"/>
                <w:sz w:val="18"/>
                <w:szCs w:val="18"/>
              </w:rPr>
            </w:pPr>
            <w:r>
              <w:rPr>
                <w:rFonts w:ascii="宋体"/>
                <w:spacing w:val="-1"/>
                <w:sz w:val="18"/>
              </w:rPr>
              <w:t>100.00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573" w:right="0"/>
              <w:jc w:val="left"/>
              <w:rPr>
                <w:rFonts w:ascii="宋体" w:hAnsi="宋体" w:cs="宋体" w:eastAsia="宋体" w:hint="default"/>
                <w:sz w:val="18"/>
                <w:szCs w:val="18"/>
              </w:rPr>
            </w:pPr>
            <w:r>
              <w:rPr>
                <w:rFonts w:ascii="宋体"/>
                <w:sz w:val="18"/>
              </w:rPr>
              <w:t>22,966.21</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3"/>
              <w:jc w:val="right"/>
              <w:rPr>
                <w:rFonts w:ascii="宋体" w:hAnsi="宋体" w:cs="宋体" w:eastAsia="宋体" w:hint="default"/>
                <w:sz w:val="18"/>
                <w:szCs w:val="18"/>
              </w:rPr>
            </w:pPr>
            <w:r>
              <w:rPr>
                <w:rFonts w:ascii="宋体"/>
                <w:spacing w:val="-1"/>
                <w:sz w:val="18"/>
              </w:rPr>
              <w:t>3.72</w:t>
            </w:r>
            <w:r>
              <w:rPr>
                <w:rFonts w:ascii="宋体"/>
                <w:sz w:val="18"/>
              </w:rPr>
            </w:r>
          </w:p>
        </w:tc>
        <w:tc>
          <w:tcPr>
            <w:tcW w:w="21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4"/>
              <w:jc w:val="right"/>
              <w:rPr>
                <w:rFonts w:ascii="宋体" w:hAnsi="宋体" w:cs="宋体" w:eastAsia="宋体" w:hint="default"/>
                <w:sz w:val="18"/>
                <w:szCs w:val="18"/>
              </w:rPr>
            </w:pPr>
            <w:r>
              <w:rPr>
                <w:rFonts w:ascii="宋体"/>
                <w:spacing w:val="-1"/>
                <w:sz w:val="18"/>
              </w:rPr>
              <w:t>594,457.91</w:t>
            </w:r>
          </w:p>
        </w:tc>
      </w:tr>
    </w:tbl>
    <w:p>
      <w:pPr>
        <w:pStyle w:val="BodyText"/>
        <w:spacing w:line="240" w:lineRule="auto" w:before="86"/>
        <w:ind w:left="573" w:right="1133"/>
        <w:jc w:val="left"/>
        <w:rPr>
          <w:rFonts w:ascii="宋体" w:hAnsi="宋体" w:cs="宋体" w:eastAsia="宋体" w:hint="default"/>
        </w:rPr>
      </w:pPr>
      <w:r>
        <w:rPr/>
        <w:t>续表</w:t>
      </w:r>
      <w:r>
        <w:rPr>
          <w:rFonts w:ascii="宋体" w:hAnsi="宋体" w:cs="宋体" w:eastAsia="宋体" w:hint="default"/>
        </w:rPr>
        <w:t> </w:t>
      </w:r>
    </w:p>
    <w:p>
      <w:pPr>
        <w:spacing w:line="240" w:lineRule="auto" w:before="9"/>
        <w:rPr>
          <w:rFonts w:ascii="宋体" w:hAnsi="宋体" w:cs="宋体" w:eastAsia="宋体" w:hint="default"/>
          <w:sz w:val="11"/>
          <w:szCs w:val="11"/>
        </w:rPr>
      </w:pPr>
    </w:p>
    <w:tbl>
      <w:tblPr>
        <w:tblW w:w="0" w:type="auto"/>
        <w:jc w:val="left"/>
        <w:tblInd w:w="145" w:type="dxa"/>
        <w:tblLayout w:type="fixed"/>
        <w:tblCellMar>
          <w:top w:w="0" w:type="dxa"/>
          <w:left w:w="0" w:type="dxa"/>
          <w:bottom w:w="0" w:type="dxa"/>
          <w:right w:w="0" w:type="dxa"/>
        </w:tblCellMar>
        <w:tblLook w:val="01E0"/>
      </w:tblPr>
      <w:tblGrid>
        <w:gridCol w:w="1844"/>
        <w:gridCol w:w="1558"/>
        <w:gridCol w:w="1560"/>
        <w:gridCol w:w="1421"/>
        <w:gridCol w:w="989"/>
        <w:gridCol w:w="2242"/>
      </w:tblGrid>
      <w:tr>
        <w:trPr>
          <w:trHeight w:val="396" w:hRule="exact"/>
        </w:trPr>
        <w:tc>
          <w:tcPr>
            <w:tcW w:w="184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90" w:right="0"/>
              <w:jc w:val="center"/>
              <w:rPr>
                <w:rFonts w:ascii="宋体" w:hAnsi="宋体" w:cs="宋体" w:eastAsia="宋体" w:hint="default"/>
                <w:sz w:val="18"/>
                <w:szCs w:val="18"/>
              </w:rPr>
            </w:pPr>
            <w:r>
              <w:rPr>
                <w:rFonts w:ascii="宋体" w:hAnsi="宋体" w:cs="宋体" w:eastAsia="宋体" w:hint="default"/>
                <w:sz w:val="18"/>
                <w:szCs w:val="18"/>
              </w:rPr>
              <w:t>类别</w:t>
            </w:r>
            <w:r>
              <w:rPr>
                <w:rFonts w:ascii="宋体" w:hAnsi="宋体" w:cs="宋体" w:eastAsia="宋体" w:hint="default"/>
                <w:sz w:val="18"/>
                <w:szCs w:val="18"/>
              </w:rPr>
              <w:t> </w:t>
            </w:r>
          </w:p>
        </w:tc>
        <w:tc>
          <w:tcPr>
            <w:tcW w:w="7770"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7" w:right="0"/>
              <w:jc w:val="center"/>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r>
      <w:tr>
        <w:trPr>
          <w:trHeight w:val="396" w:hRule="exact"/>
        </w:trPr>
        <w:tc>
          <w:tcPr>
            <w:tcW w:w="1844" w:type="dxa"/>
            <w:vMerge/>
            <w:tcBorders>
              <w:left w:val="single" w:sz="4" w:space="0" w:color="000000"/>
              <w:right w:val="single" w:sz="4" w:space="0" w:color="000000"/>
            </w:tcBorders>
          </w:tcPr>
          <w:p>
            <w:pPr/>
          </w:p>
        </w:tc>
        <w:tc>
          <w:tcPr>
            <w:tcW w:w="311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8" w:right="0"/>
              <w:jc w:val="center"/>
              <w:rPr>
                <w:rFonts w:ascii="宋体" w:hAnsi="宋体" w:cs="宋体" w:eastAsia="宋体" w:hint="default"/>
                <w:sz w:val="18"/>
                <w:szCs w:val="18"/>
              </w:rPr>
            </w:pPr>
            <w:r>
              <w:rPr>
                <w:rFonts w:ascii="宋体" w:hAnsi="宋体" w:cs="宋体" w:eastAsia="宋体" w:hint="default"/>
                <w:sz w:val="18"/>
                <w:szCs w:val="18"/>
              </w:rPr>
              <w:t>账面余额</w:t>
            </w:r>
            <w:r>
              <w:rPr>
                <w:rFonts w:ascii="宋体" w:hAnsi="宋体" w:cs="宋体" w:eastAsia="宋体" w:hint="default"/>
                <w:sz w:val="18"/>
                <w:szCs w:val="18"/>
              </w:rPr>
              <w:t> </w:t>
            </w:r>
          </w:p>
        </w:tc>
        <w:tc>
          <w:tcPr>
            <w:tcW w:w="241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40" w:right="0"/>
              <w:jc w:val="left"/>
              <w:rPr>
                <w:rFonts w:ascii="宋体" w:hAnsi="宋体" w:cs="宋体" w:eastAsia="宋体" w:hint="default"/>
                <w:sz w:val="18"/>
                <w:szCs w:val="18"/>
              </w:rPr>
            </w:pPr>
            <w:r>
              <w:rPr>
                <w:rFonts w:ascii="宋体" w:hAnsi="宋体" w:cs="宋体" w:eastAsia="宋体" w:hint="default"/>
                <w:sz w:val="18"/>
                <w:szCs w:val="18"/>
              </w:rPr>
              <w:t>坏账准备</w:t>
            </w:r>
            <w:r>
              <w:rPr>
                <w:rFonts w:ascii="宋体" w:hAnsi="宋体" w:cs="宋体" w:eastAsia="宋体" w:hint="default"/>
                <w:sz w:val="18"/>
                <w:szCs w:val="18"/>
              </w:rPr>
              <w:t> </w:t>
            </w:r>
          </w:p>
        </w:tc>
        <w:tc>
          <w:tcPr>
            <w:tcW w:w="2242" w:type="dxa"/>
            <w:vMerge w:val="restart"/>
            <w:tcBorders>
              <w:top w:val="single" w:sz="4" w:space="0" w:color="000000"/>
              <w:left w:val="single" w:sz="4" w:space="0" w:color="000000"/>
              <w:right w:val="single" w:sz="4" w:space="0" w:color="000000"/>
            </w:tcBorders>
          </w:tcPr>
          <w:p>
            <w:pPr>
              <w:pStyle w:val="TableParagraph"/>
              <w:spacing w:line="234" w:lineRule="exact" w:before="151"/>
              <w:ind w:left="936" w:right="845"/>
              <w:jc w:val="center"/>
              <w:rPr>
                <w:rFonts w:ascii="宋体" w:hAnsi="宋体" w:cs="宋体" w:eastAsia="宋体" w:hint="default"/>
                <w:sz w:val="18"/>
                <w:szCs w:val="18"/>
              </w:rPr>
            </w:pPr>
            <w:r>
              <w:rPr>
                <w:rFonts w:ascii="宋体" w:hAnsi="宋体" w:cs="宋体" w:eastAsia="宋体" w:hint="default"/>
                <w:sz w:val="18"/>
                <w:szCs w:val="18"/>
              </w:rPr>
              <w:t>账面</w:t>
            </w:r>
            <w:r>
              <w:rPr>
                <w:rFonts w:ascii="宋体" w:hAnsi="宋体" w:cs="宋体" w:eastAsia="宋体" w:hint="default"/>
                <w:sz w:val="18"/>
                <w:szCs w:val="18"/>
              </w:rPr>
              <w:t> </w:t>
            </w:r>
            <w:r>
              <w:rPr>
                <w:rFonts w:ascii="宋体" w:hAnsi="宋体" w:cs="宋体" w:eastAsia="宋体" w:hint="default"/>
                <w:sz w:val="18"/>
                <w:szCs w:val="18"/>
              </w:rPr>
              <w:t>价值</w:t>
            </w:r>
            <w:r>
              <w:rPr>
                <w:rFonts w:ascii="宋体" w:hAnsi="宋体" w:cs="宋体" w:eastAsia="宋体" w:hint="default"/>
                <w:sz w:val="18"/>
                <w:szCs w:val="18"/>
              </w:rPr>
              <w:t> </w:t>
            </w:r>
          </w:p>
        </w:tc>
      </w:tr>
      <w:tr>
        <w:trPr>
          <w:trHeight w:val="399" w:hRule="exact"/>
        </w:trPr>
        <w:tc>
          <w:tcPr>
            <w:tcW w:w="1844" w:type="dxa"/>
            <w:vMerge/>
            <w:tcBorders>
              <w:left w:val="single" w:sz="4" w:space="0" w:color="000000"/>
              <w:bottom w:val="single" w:sz="4" w:space="0" w:color="000000"/>
              <w:right w:val="single" w:sz="4" w:space="0" w:color="000000"/>
            </w:tcBorders>
          </w:tcPr>
          <w:p>
            <w:pP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95" w:right="0"/>
              <w:jc w:val="left"/>
              <w:rPr>
                <w:rFonts w:ascii="宋体" w:hAnsi="宋体" w:cs="宋体" w:eastAsia="宋体" w:hint="default"/>
                <w:sz w:val="18"/>
                <w:szCs w:val="18"/>
              </w:rPr>
            </w:pPr>
            <w:r>
              <w:rPr>
                <w:rFonts w:ascii="宋体" w:hAnsi="宋体" w:cs="宋体" w:eastAsia="宋体" w:hint="default"/>
                <w:sz w:val="18"/>
                <w:szCs w:val="18"/>
              </w:rPr>
              <w:t>金额</w:t>
            </w:r>
            <w:r>
              <w:rPr>
                <w:rFonts w:ascii="宋体" w:hAnsi="宋体" w:cs="宋体" w:eastAsia="宋体" w:hint="default"/>
                <w:sz w:val="18"/>
                <w:szCs w:val="18"/>
              </w:rPr>
              <w:t>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71"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 </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25" w:right="0"/>
              <w:jc w:val="left"/>
              <w:rPr>
                <w:rFonts w:ascii="宋体" w:hAnsi="宋体" w:cs="宋体" w:eastAsia="宋体" w:hint="default"/>
                <w:sz w:val="18"/>
                <w:szCs w:val="18"/>
              </w:rPr>
            </w:pPr>
            <w:r>
              <w:rPr>
                <w:rFonts w:ascii="宋体" w:hAnsi="宋体" w:cs="宋体" w:eastAsia="宋体" w:hint="default"/>
                <w:sz w:val="18"/>
                <w:szCs w:val="18"/>
              </w:rPr>
              <w:t>金额</w:t>
            </w:r>
            <w:r>
              <w:rPr>
                <w:rFonts w:ascii="宋体" w:hAnsi="宋体" w:cs="宋体" w:eastAsia="宋体" w:hint="default"/>
                <w:sz w:val="18"/>
                <w:szCs w:val="18"/>
              </w:rPr>
              <w:t> </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7"/>
              <w:jc w:val="right"/>
              <w:rPr>
                <w:rFonts w:ascii="宋体" w:hAnsi="宋体" w:cs="宋体" w:eastAsia="宋体" w:hint="default"/>
                <w:sz w:val="18"/>
                <w:szCs w:val="18"/>
              </w:rPr>
            </w:pPr>
            <w:r>
              <w:rPr>
                <w:rFonts w:ascii="宋体" w:hAnsi="宋体" w:cs="宋体" w:eastAsia="宋体" w:hint="default"/>
                <w:sz w:val="18"/>
                <w:szCs w:val="18"/>
              </w:rPr>
              <w:t>比例（</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 </w:t>
            </w:r>
          </w:p>
        </w:tc>
        <w:tc>
          <w:tcPr>
            <w:tcW w:w="2242" w:type="dxa"/>
            <w:vMerge/>
            <w:tcBorders>
              <w:left w:val="single" w:sz="4" w:space="0" w:color="000000"/>
              <w:bottom w:val="single" w:sz="4" w:space="0" w:color="000000"/>
              <w:right w:val="single" w:sz="4" w:space="0" w:color="000000"/>
            </w:tcBorders>
          </w:tcPr>
          <w:p>
            <w:pPr/>
          </w:p>
        </w:tc>
      </w:tr>
      <w:tr>
        <w:trPr>
          <w:trHeight w:val="396"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6" w:right="0"/>
              <w:jc w:val="left"/>
              <w:rPr>
                <w:rFonts w:ascii="宋体" w:hAnsi="宋体" w:cs="宋体" w:eastAsia="宋体" w:hint="default"/>
                <w:sz w:val="18"/>
                <w:szCs w:val="18"/>
              </w:rPr>
            </w:pPr>
            <w:r>
              <w:rPr>
                <w:rFonts w:ascii="宋体" w:hAnsi="宋体" w:cs="宋体" w:eastAsia="宋体" w:hint="default"/>
                <w:sz w:val="18"/>
                <w:szCs w:val="18"/>
              </w:rPr>
              <w:t>按单项计提坏账准备</w:t>
            </w:r>
            <w:r>
              <w:rPr>
                <w:rFonts w:ascii="宋体" w:hAnsi="宋体" w:cs="宋体" w:eastAsia="宋体" w:hint="default"/>
                <w:sz w:val="18"/>
                <w:szCs w:val="18"/>
              </w:rPr>
              <w:t> </w:t>
            </w:r>
          </w:p>
        </w:tc>
        <w:tc>
          <w:tcPr>
            <w:tcW w:w="1558" w:type="dxa"/>
            <w:tcBorders>
              <w:top w:val="single" w:sz="4" w:space="0" w:color="000000"/>
              <w:left w:val="single" w:sz="4" w:space="0" w:color="000000"/>
              <w:bottom w:val="single" w:sz="4" w:space="0" w:color="000000"/>
              <w:right w:val="single" w:sz="4" w:space="0" w:color="000000"/>
            </w:tcBorders>
          </w:tcPr>
          <w:p>
            <w:pPr/>
          </w:p>
        </w:tc>
        <w:tc>
          <w:tcPr>
            <w:tcW w:w="1560"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2242"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6" w:right="0"/>
              <w:jc w:val="left"/>
              <w:rPr>
                <w:rFonts w:ascii="宋体" w:hAnsi="宋体" w:cs="宋体" w:eastAsia="宋体" w:hint="default"/>
                <w:sz w:val="18"/>
                <w:szCs w:val="18"/>
              </w:rPr>
            </w:pPr>
            <w:r>
              <w:rPr>
                <w:rFonts w:ascii="宋体" w:hAnsi="宋体" w:cs="宋体" w:eastAsia="宋体" w:hint="default"/>
                <w:sz w:val="18"/>
                <w:szCs w:val="18"/>
              </w:rPr>
              <w:t>按组合计提坏账准备</w:t>
            </w:r>
            <w:r>
              <w:rPr>
                <w:rFonts w:ascii="宋体" w:hAnsi="宋体" w:cs="宋体" w:eastAsia="宋体" w:hint="default"/>
                <w:sz w:val="18"/>
                <w:szCs w:val="18"/>
              </w:rPr>
              <w:t> </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2"/>
              <w:jc w:val="right"/>
              <w:rPr>
                <w:rFonts w:ascii="宋体" w:hAnsi="宋体" w:cs="宋体" w:eastAsia="宋体" w:hint="default"/>
                <w:sz w:val="18"/>
                <w:szCs w:val="18"/>
              </w:rPr>
            </w:pPr>
            <w:r>
              <w:rPr>
                <w:rFonts w:ascii="宋体"/>
                <w:spacing w:val="-1"/>
                <w:sz w:val="18"/>
              </w:rPr>
              <w:t>10,700,000.00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1"/>
              <w:jc w:val="right"/>
              <w:rPr>
                <w:rFonts w:ascii="宋体" w:hAnsi="宋体" w:cs="宋体" w:eastAsia="宋体" w:hint="default"/>
                <w:sz w:val="18"/>
                <w:szCs w:val="18"/>
              </w:rPr>
            </w:pPr>
            <w:r>
              <w:rPr>
                <w:rFonts w:ascii="宋体"/>
                <w:spacing w:val="-1"/>
                <w:sz w:val="18"/>
              </w:rPr>
              <w:t>100.00</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484" w:right="0"/>
              <w:jc w:val="left"/>
              <w:rPr>
                <w:rFonts w:ascii="宋体" w:hAnsi="宋体" w:cs="宋体" w:eastAsia="宋体" w:hint="default"/>
                <w:sz w:val="18"/>
                <w:szCs w:val="18"/>
              </w:rPr>
            </w:pPr>
            <w:r>
              <w:rPr>
                <w:rFonts w:ascii="宋体"/>
                <w:sz w:val="18"/>
              </w:rPr>
              <w:t>485,000.00</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3"/>
              <w:jc w:val="right"/>
              <w:rPr>
                <w:rFonts w:ascii="宋体" w:hAnsi="宋体" w:cs="宋体" w:eastAsia="宋体" w:hint="default"/>
                <w:sz w:val="18"/>
                <w:szCs w:val="18"/>
              </w:rPr>
            </w:pPr>
            <w:r>
              <w:rPr>
                <w:rFonts w:ascii="宋体"/>
                <w:spacing w:val="-1"/>
                <w:sz w:val="18"/>
              </w:rPr>
              <w:t>4.53</w:t>
            </w:r>
            <w:r>
              <w:rPr>
                <w:rFonts w:ascii="宋体"/>
                <w:sz w:val="18"/>
              </w:rPr>
            </w:r>
          </w:p>
        </w:tc>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4"/>
              <w:jc w:val="right"/>
              <w:rPr>
                <w:rFonts w:ascii="宋体" w:hAnsi="宋体" w:cs="宋体" w:eastAsia="宋体" w:hint="default"/>
                <w:sz w:val="18"/>
                <w:szCs w:val="18"/>
              </w:rPr>
            </w:pPr>
            <w:r>
              <w:rPr>
                <w:rFonts w:ascii="宋体"/>
                <w:spacing w:val="-1"/>
                <w:sz w:val="18"/>
              </w:rPr>
              <w:t>10,215,000.00</w:t>
            </w:r>
          </w:p>
        </w:tc>
      </w:tr>
      <w:tr>
        <w:trPr>
          <w:trHeight w:val="396"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6" w:right="0"/>
              <w:jc w:val="left"/>
              <w:rPr>
                <w:rFonts w:ascii="宋体" w:hAnsi="宋体" w:cs="宋体" w:eastAsia="宋体" w:hint="default"/>
                <w:sz w:val="18"/>
                <w:szCs w:val="18"/>
              </w:rPr>
            </w:pPr>
            <w:r>
              <w:rPr>
                <w:rFonts w:ascii="宋体" w:hAnsi="宋体" w:cs="宋体" w:eastAsia="宋体" w:hint="default"/>
                <w:sz w:val="18"/>
                <w:szCs w:val="18"/>
              </w:rPr>
              <w:t>其中：银行承兑汇票</w:t>
            </w:r>
            <w:r>
              <w:rPr>
                <w:rFonts w:ascii="宋体" w:hAnsi="宋体" w:cs="宋体" w:eastAsia="宋体" w:hint="default"/>
                <w:sz w:val="18"/>
                <w:szCs w:val="18"/>
              </w:rPr>
              <w:t> </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2"/>
              <w:jc w:val="right"/>
              <w:rPr>
                <w:rFonts w:ascii="宋体" w:hAnsi="宋体" w:cs="宋体" w:eastAsia="宋体" w:hint="default"/>
                <w:sz w:val="18"/>
                <w:szCs w:val="18"/>
              </w:rPr>
            </w:pPr>
            <w:r>
              <w:rPr>
                <w:rFonts w:ascii="宋体"/>
                <w:spacing w:val="-1"/>
                <w:sz w:val="18"/>
              </w:rPr>
              <w:t>1,000,000.00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1"/>
              <w:jc w:val="right"/>
              <w:rPr>
                <w:rFonts w:ascii="宋体" w:hAnsi="宋体" w:cs="宋体" w:eastAsia="宋体" w:hint="default"/>
                <w:sz w:val="18"/>
                <w:szCs w:val="18"/>
              </w:rPr>
            </w:pPr>
            <w:r>
              <w:rPr>
                <w:rFonts w:ascii="宋体"/>
                <w:sz w:val="18"/>
              </w:rPr>
              <w:t>9.35</w:t>
            </w:r>
          </w:p>
        </w:tc>
        <w:tc>
          <w:tcPr>
            <w:tcW w:w="1421" w:type="dxa"/>
            <w:tcBorders>
              <w:top w:val="single" w:sz="4" w:space="0" w:color="000000"/>
              <w:left w:val="single" w:sz="4" w:space="0" w:color="000000"/>
              <w:bottom w:val="single" w:sz="4" w:space="0" w:color="000000"/>
              <w:right w:val="single" w:sz="4" w:space="0" w:color="000000"/>
            </w:tcBorders>
          </w:tcPr>
          <w:p>
            <w:pPr/>
          </w:p>
        </w:tc>
        <w:tc>
          <w:tcPr>
            <w:tcW w:w="989" w:type="dxa"/>
            <w:tcBorders>
              <w:top w:val="single" w:sz="4" w:space="0" w:color="000000"/>
              <w:left w:val="single" w:sz="4" w:space="0" w:color="000000"/>
              <w:bottom w:val="single" w:sz="4" w:space="0" w:color="000000"/>
              <w:right w:val="single" w:sz="4" w:space="0" w:color="000000"/>
            </w:tcBorders>
          </w:tcPr>
          <w:p>
            <w:pPr/>
          </w:p>
        </w:tc>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4"/>
              <w:jc w:val="right"/>
              <w:rPr>
                <w:rFonts w:ascii="宋体" w:hAnsi="宋体" w:cs="宋体" w:eastAsia="宋体" w:hint="default"/>
                <w:sz w:val="18"/>
                <w:szCs w:val="18"/>
              </w:rPr>
            </w:pPr>
            <w:r>
              <w:rPr>
                <w:rFonts w:ascii="宋体"/>
                <w:spacing w:val="-1"/>
                <w:sz w:val="18"/>
              </w:rPr>
              <w:t>1,000,000.00</w:t>
            </w:r>
          </w:p>
        </w:tc>
      </w:tr>
      <w:tr>
        <w:trPr>
          <w:trHeight w:val="396"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6" w:right="0"/>
              <w:jc w:val="left"/>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商业承兑汇票</w:t>
            </w:r>
            <w:r>
              <w:rPr>
                <w:rFonts w:ascii="宋体" w:hAnsi="宋体" w:cs="宋体" w:eastAsia="宋体" w:hint="default"/>
                <w:sz w:val="18"/>
                <w:szCs w:val="18"/>
              </w:rPr>
              <w:t> </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2"/>
              <w:jc w:val="right"/>
              <w:rPr>
                <w:rFonts w:ascii="宋体" w:hAnsi="宋体" w:cs="宋体" w:eastAsia="宋体" w:hint="default"/>
                <w:sz w:val="18"/>
                <w:szCs w:val="18"/>
              </w:rPr>
            </w:pPr>
            <w:r>
              <w:rPr>
                <w:rFonts w:ascii="宋体"/>
                <w:spacing w:val="-1"/>
                <w:sz w:val="18"/>
              </w:rPr>
              <w:t>9,700,000.00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1"/>
              <w:jc w:val="right"/>
              <w:rPr>
                <w:rFonts w:ascii="宋体" w:hAnsi="宋体" w:cs="宋体" w:eastAsia="宋体" w:hint="default"/>
                <w:sz w:val="18"/>
                <w:szCs w:val="18"/>
              </w:rPr>
            </w:pPr>
            <w:r>
              <w:rPr>
                <w:rFonts w:ascii="宋体"/>
                <w:sz w:val="18"/>
              </w:rPr>
              <w:t>90.65</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484" w:right="0"/>
              <w:jc w:val="left"/>
              <w:rPr>
                <w:rFonts w:ascii="宋体" w:hAnsi="宋体" w:cs="宋体" w:eastAsia="宋体" w:hint="default"/>
                <w:sz w:val="18"/>
                <w:szCs w:val="18"/>
              </w:rPr>
            </w:pPr>
            <w:r>
              <w:rPr>
                <w:rFonts w:ascii="宋体"/>
                <w:sz w:val="18"/>
              </w:rPr>
              <w:t>485,000.00</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3"/>
              <w:jc w:val="right"/>
              <w:rPr>
                <w:rFonts w:ascii="宋体" w:hAnsi="宋体" w:cs="宋体" w:eastAsia="宋体" w:hint="default"/>
                <w:sz w:val="18"/>
                <w:szCs w:val="18"/>
              </w:rPr>
            </w:pPr>
            <w:r>
              <w:rPr>
                <w:rFonts w:ascii="宋体"/>
                <w:spacing w:val="-1"/>
                <w:sz w:val="18"/>
              </w:rPr>
              <w:t>5.00</w:t>
            </w:r>
            <w:r>
              <w:rPr>
                <w:rFonts w:ascii="宋体"/>
                <w:sz w:val="18"/>
              </w:rPr>
            </w:r>
          </w:p>
        </w:tc>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4"/>
              <w:jc w:val="right"/>
              <w:rPr>
                <w:rFonts w:ascii="宋体" w:hAnsi="宋体" w:cs="宋体" w:eastAsia="宋体" w:hint="default"/>
                <w:sz w:val="18"/>
                <w:szCs w:val="18"/>
              </w:rPr>
            </w:pPr>
            <w:r>
              <w:rPr>
                <w:rFonts w:ascii="宋体"/>
                <w:spacing w:val="-1"/>
                <w:sz w:val="18"/>
              </w:rPr>
              <w:t>9,215,000.00</w:t>
            </w:r>
          </w:p>
        </w:tc>
      </w:tr>
      <w:tr>
        <w:trPr>
          <w:trHeight w:val="398" w:hRule="exact"/>
        </w:trPr>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0"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宋体" w:hAnsi="宋体" w:cs="宋体" w:eastAsia="宋体" w:hint="default"/>
                <w:sz w:val="18"/>
                <w:szCs w:val="18"/>
              </w:rPr>
            </w:pPr>
            <w:r>
              <w:rPr>
                <w:rFonts w:ascii="宋体"/>
                <w:spacing w:val="-1"/>
                <w:sz w:val="18"/>
              </w:rPr>
              <w:t>10,700,000.00</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pacing w:val="-1"/>
                <w:sz w:val="18"/>
              </w:rPr>
              <w:t>100.00</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84" w:right="0"/>
              <w:jc w:val="left"/>
              <w:rPr>
                <w:rFonts w:ascii="宋体" w:hAnsi="宋体" w:cs="宋体" w:eastAsia="宋体" w:hint="default"/>
                <w:sz w:val="18"/>
                <w:szCs w:val="18"/>
              </w:rPr>
            </w:pPr>
            <w:r>
              <w:rPr>
                <w:rFonts w:ascii="宋体"/>
                <w:sz w:val="18"/>
              </w:rPr>
              <w:t>485,000.00</w:t>
            </w:r>
          </w:p>
        </w:tc>
        <w:tc>
          <w:tcPr>
            <w:tcW w:w="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宋体" w:hAnsi="宋体" w:cs="宋体" w:eastAsia="宋体" w:hint="default"/>
                <w:sz w:val="18"/>
                <w:szCs w:val="18"/>
              </w:rPr>
            </w:pPr>
            <w:r>
              <w:rPr>
                <w:rFonts w:ascii="宋体"/>
                <w:spacing w:val="-1"/>
                <w:sz w:val="18"/>
              </w:rPr>
              <w:t>4.53</w:t>
            </w:r>
            <w:r>
              <w:rPr>
                <w:rFonts w:ascii="宋体"/>
                <w:sz w:val="18"/>
              </w:rPr>
            </w:r>
          </w:p>
        </w:tc>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right"/>
              <w:rPr>
                <w:rFonts w:ascii="宋体" w:hAnsi="宋体" w:cs="宋体" w:eastAsia="宋体" w:hint="default"/>
                <w:sz w:val="18"/>
                <w:szCs w:val="18"/>
              </w:rPr>
            </w:pPr>
            <w:r>
              <w:rPr>
                <w:rFonts w:ascii="宋体"/>
                <w:spacing w:val="-1"/>
                <w:sz w:val="18"/>
              </w:rPr>
              <w:t>10,215,000.00</w:t>
            </w:r>
          </w:p>
        </w:tc>
      </w:tr>
    </w:tbl>
    <w:p>
      <w:pPr>
        <w:pStyle w:val="BodyText"/>
        <w:spacing w:line="343" w:lineRule="auto" w:before="86"/>
        <w:ind w:left="784" w:right="7341" w:hanging="212"/>
        <w:jc w:val="left"/>
        <w:rPr>
          <w:rFonts w:ascii="宋体" w:hAnsi="宋体" w:cs="宋体" w:eastAsia="宋体" w:hint="default"/>
        </w:rPr>
      </w:pPr>
      <w:r>
        <w:rPr/>
        <w:t>（</w:t>
      </w:r>
      <w:r>
        <w:rPr>
          <w:rFonts w:ascii="宋体" w:hAnsi="宋体" w:cs="宋体" w:eastAsia="宋体" w:hint="default"/>
        </w:rPr>
        <w:t>1</w:t>
      </w:r>
      <w:r>
        <w:rPr/>
        <w:t>）按单项计提坏账准备：</w:t>
      </w:r>
      <w:r>
        <w:rPr>
          <w:rFonts w:ascii="宋体" w:hAnsi="宋体" w:cs="宋体" w:eastAsia="宋体" w:hint="default"/>
          <w:w w:val="100"/>
        </w:rPr>
        <w:t> </w:t>
      </w:r>
      <w:r>
        <w:rPr/>
        <w:t>无。</w:t>
      </w:r>
      <w:r>
        <w:rPr>
          <w:rFonts w:ascii="宋体" w:hAnsi="宋体" w:cs="宋体" w:eastAsia="宋体" w:hint="default"/>
        </w:rPr>
        <w:t> </w:t>
      </w:r>
    </w:p>
    <w:p>
      <w:pPr>
        <w:pStyle w:val="BodyText"/>
        <w:spacing w:line="343" w:lineRule="auto" w:before="26"/>
        <w:ind w:left="784" w:right="7341" w:hanging="212"/>
        <w:jc w:val="left"/>
        <w:rPr>
          <w:rFonts w:ascii="宋体" w:hAnsi="宋体" w:cs="宋体" w:eastAsia="宋体" w:hint="default"/>
        </w:rPr>
      </w:pPr>
      <w:r>
        <w:rPr/>
        <w:t>（</w:t>
      </w:r>
      <w:r>
        <w:rPr>
          <w:rFonts w:ascii="宋体" w:hAnsi="宋体" w:cs="宋体" w:eastAsia="宋体" w:hint="default"/>
        </w:rPr>
        <w:t>2</w:t>
      </w:r>
      <w:r>
        <w:rPr/>
        <w:t>）按组合计提坏账准备：</w:t>
      </w:r>
      <w:r>
        <w:rPr>
          <w:rFonts w:ascii="宋体" w:hAnsi="宋体" w:cs="宋体" w:eastAsia="宋体" w:hint="default"/>
          <w:w w:val="100"/>
        </w:rPr>
        <w:t> </w:t>
      </w:r>
      <w:r>
        <w:rPr/>
        <w:t>组合计提项目：</w:t>
      </w:r>
      <w:r>
        <w:rPr>
          <w:rFonts w:ascii="宋体" w:hAnsi="宋体" w:cs="宋体" w:eastAsia="宋体" w:hint="default"/>
        </w:rPr>
        <w:t> </w:t>
      </w:r>
    </w:p>
    <w:p>
      <w:pPr>
        <w:spacing w:line="240" w:lineRule="auto" w:before="8"/>
        <w:rPr>
          <w:rFonts w:ascii="宋体" w:hAnsi="宋体" w:cs="宋体" w:eastAsia="宋体" w:hint="default"/>
          <w:sz w:val="4"/>
          <w:szCs w:val="4"/>
        </w:rPr>
      </w:pPr>
    </w:p>
    <w:tbl>
      <w:tblPr>
        <w:tblW w:w="0" w:type="auto"/>
        <w:jc w:val="left"/>
        <w:tblInd w:w="148" w:type="dxa"/>
        <w:tblLayout w:type="fixed"/>
        <w:tblCellMar>
          <w:top w:w="0" w:type="dxa"/>
          <w:left w:w="0" w:type="dxa"/>
          <w:bottom w:w="0" w:type="dxa"/>
          <w:right w:w="0" w:type="dxa"/>
        </w:tblCellMar>
        <w:tblLook w:val="01E0"/>
      </w:tblPr>
      <w:tblGrid>
        <w:gridCol w:w="3121"/>
        <w:gridCol w:w="1982"/>
        <w:gridCol w:w="1985"/>
        <w:gridCol w:w="2525"/>
      </w:tblGrid>
      <w:tr>
        <w:trPr>
          <w:trHeight w:val="396" w:hRule="exact"/>
        </w:trPr>
        <w:tc>
          <w:tcPr>
            <w:tcW w:w="3121"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89" w:right="0"/>
              <w:jc w:val="center"/>
              <w:rPr>
                <w:rFonts w:ascii="宋体" w:hAnsi="宋体" w:cs="宋体" w:eastAsia="宋体" w:hint="default"/>
                <w:sz w:val="18"/>
                <w:szCs w:val="18"/>
              </w:rPr>
            </w:pPr>
            <w:r>
              <w:rPr>
                <w:rFonts w:ascii="宋体" w:hAnsi="宋体" w:cs="宋体" w:eastAsia="宋体" w:hint="default"/>
                <w:sz w:val="18"/>
                <w:szCs w:val="18"/>
              </w:rPr>
              <w:t>名称</w:t>
            </w:r>
            <w:r>
              <w:rPr>
                <w:rFonts w:ascii="宋体" w:hAnsi="宋体" w:cs="宋体" w:eastAsia="宋体" w:hint="default"/>
                <w:sz w:val="18"/>
                <w:szCs w:val="18"/>
              </w:rPr>
              <w:t> </w:t>
            </w:r>
          </w:p>
        </w:tc>
        <w:tc>
          <w:tcPr>
            <w:tcW w:w="6493"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447"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r>
      <w:tr>
        <w:trPr>
          <w:trHeight w:val="398" w:hRule="exact"/>
        </w:trPr>
        <w:tc>
          <w:tcPr>
            <w:tcW w:w="3121" w:type="dxa"/>
            <w:vMerge/>
            <w:tcBorders>
              <w:left w:val="single" w:sz="4" w:space="0" w:color="000000"/>
              <w:bottom w:val="single" w:sz="4" w:space="0" w:color="000000"/>
              <w:right w:val="single" w:sz="4" w:space="0" w:color="000000"/>
            </w:tcBorders>
          </w:tcPr>
          <w:p>
            <w:pP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626" w:right="0"/>
              <w:jc w:val="left"/>
              <w:rPr>
                <w:rFonts w:ascii="宋体" w:hAnsi="宋体" w:cs="宋体" w:eastAsia="宋体" w:hint="default"/>
                <w:sz w:val="18"/>
                <w:szCs w:val="18"/>
              </w:rPr>
            </w:pPr>
            <w:r>
              <w:rPr>
                <w:rFonts w:ascii="宋体" w:hAnsi="宋体" w:cs="宋体" w:eastAsia="宋体" w:hint="default"/>
                <w:sz w:val="18"/>
                <w:szCs w:val="18"/>
              </w:rPr>
              <w:t>账面余额</w:t>
            </w:r>
            <w:r>
              <w:rPr>
                <w:rFonts w:ascii="宋体" w:hAnsi="宋体" w:cs="宋体" w:eastAsia="宋体" w:hint="default"/>
                <w:sz w:val="18"/>
                <w:szCs w:val="18"/>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629" w:right="0"/>
              <w:jc w:val="left"/>
              <w:rPr>
                <w:rFonts w:ascii="宋体" w:hAnsi="宋体" w:cs="宋体" w:eastAsia="宋体" w:hint="default"/>
                <w:sz w:val="18"/>
                <w:szCs w:val="18"/>
              </w:rPr>
            </w:pPr>
            <w:r>
              <w:rPr>
                <w:rFonts w:ascii="宋体" w:hAnsi="宋体" w:cs="宋体" w:eastAsia="宋体" w:hint="default"/>
                <w:sz w:val="18"/>
                <w:szCs w:val="18"/>
              </w:rPr>
              <w:t>坏账准备</w:t>
            </w:r>
            <w:r>
              <w:rPr>
                <w:rFonts w:ascii="宋体" w:hAnsi="宋体" w:cs="宋体" w:eastAsia="宋体" w:hint="default"/>
                <w:sz w:val="18"/>
                <w:szCs w:val="18"/>
              </w:rPr>
              <w:t> </w:t>
            </w:r>
          </w:p>
        </w:tc>
        <w:tc>
          <w:tcPr>
            <w:tcW w:w="2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674" w:right="0"/>
              <w:jc w:val="left"/>
              <w:rPr>
                <w:rFonts w:ascii="宋体" w:hAnsi="宋体" w:cs="宋体" w:eastAsia="宋体" w:hint="default"/>
                <w:sz w:val="18"/>
                <w:szCs w:val="18"/>
              </w:rPr>
            </w:pPr>
            <w:r>
              <w:rPr>
                <w:rFonts w:ascii="宋体" w:hAnsi="宋体" w:cs="宋体" w:eastAsia="宋体" w:hint="default"/>
                <w:sz w:val="18"/>
                <w:szCs w:val="18"/>
              </w:rPr>
              <w:t>计提比例（</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 </w:t>
            </w:r>
          </w:p>
        </w:tc>
      </w:tr>
      <w:tr>
        <w:trPr>
          <w:trHeight w:val="396" w:hRule="exact"/>
        </w:trPr>
        <w:tc>
          <w:tcPr>
            <w:tcW w:w="3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商业承兑汇票</w:t>
            </w:r>
            <w:r>
              <w:rPr>
                <w:rFonts w:ascii="宋体" w:hAnsi="宋体" w:cs="宋体" w:eastAsia="宋体" w:hint="default"/>
                <w:sz w:val="18"/>
                <w:szCs w:val="18"/>
              </w:rPr>
              <w:t> </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459,324.12</w:t>
            </w:r>
            <w:r>
              <w:rPr>
                <w:rFonts w:ascii="宋体"/>
                <w:sz w:val="18"/>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22,966.21</w:t>
            </w:r>
            <w:r>
              <w:rPr>
                <w:rFonts w:ascii="宋体"/>
                <w:sz w:val="18"/>
              </w:rPr>
              <w:t> </w:t>
            </w:r>
          </w:p>
        </w:tc>
        <w:tc>
          <w:tcPr>
            <w:tcW w:w="2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5.00</w:t>
            </w:r>
            <w:r>
              <w:rPr>
                <w:rFonts w:ascii="宋体"/>
                <w:sz w:val="18"/>
              </w:rPr>
              <w:t> </w:t>
            </w:r>
          </w:p>
        </w:tc>
      </w:tr>
      <w:tr>
        <w:trPr>
          <w:trHeight w:val="398" w:hRule="exact"/>
        </w:trPr>
        <w:tc>
          <w:tcPr>
            <w:tcW w:w="3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9"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459,324.12</w:t>
            </w:r>
            <w:r>
              <w:rPr>
                <w:rFonts w:ascii="宋体"/>
                <w:sz w:val="18"/>
              </w:rPr>
              <w:t> </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22,966.21</w:t>
            </w:r>
            <w:r>
              <w:rPr>
                <w:rFonts w:ascii="宋体"/>
                <w:sz w:val="18"/>
              </w:rPr>
              <w:t> </w:t>
            </w:r>
          </w:p>
        </w:tc>
        <w:tc>
          <w:tcPr>
            <w:tcW w:w="2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2" w:right="0"/>
              <w:jc w:val="center"/>
              <w:rPr>
                <w:rFonts w:ascii="宋体" w:hAnsi="宋体" w:cs="宋体" w:eastAsia="宋体" w:hint="default"/>
                <w:sz w:val="18"/>
                <w:szCs w:val="18"/>
              </w:rPr>
            </w:pPr>
            <w:r>
              <w:rPr>
                <w:rFonts w:ascii="宋体"/>
                <w:sz w:val="18"/>
              </w:rPr>
              <w:t>-- </w:t>
            </w:r>
          </w:p>
        </w:tc>
      </w:tr>
    </w:tbl>
    <w:p>
      <w:pPr>
        <w:pStyle w:val="BodyText"/>
        <w:spacing w:line="240" w:lineRule="auto" w:before="86"/>
        <w:ind w:left="784" w:right="1133"/>
        <w:jc w:val="left"/>
        <w:rPr>
          <w:rFonts w:ascii="宋体" w:hAnsi="宋体" w:cs="宋体" w:eastAsia="宋体" w:hint="default"/>
        </w:rPr>
      </w:pPr>
      <w:r>
        <w:rPr>
          <w:rFonts w:ascii="宋体" w:hAnsi="宋体" w:cs="宋体" w:eastAsia="宋体" w:hint="default"/>
        </w:rPr>
        <w:t>6</w:t>
      </w:r>
      <w:r>
        <w:rPr/>
        <w:t>、本期计提、收回或转回的坏账准备情况</w:t>
      </w:r>
      <w:r>
        <w:rPr>
          <w:rFonts w:ascii="宋体" w:hAnsi="宋体" w:cs="宋体" w:eastAsia="宋体" w:hint="default"/>
        </w:rPr>
        <w:t> </w:t>
      </w:r>
    </w:p>
    <w:p>
      <w:pPr>
        <w:spacing w:line="240" w:lineRule="auto" w:before="7"/>
        <w:rPr>
          <w:rFonts w:ascii="宋体" w:hAnsi="宋体" w:cs="宋体" w:eastAsia="宋体" w:hint="default"/>
          <w:sz w:val="11"/>
          <w:szCs w:val="11"/>
        </w:rPr>
      </w:pPr>
    </w:p>
    <w:tbl>
      <w:tblPr>
        <w:tblW w:w="0" w:type="auto"/>
        <w:jc w:val="left"/>
        <w:tblInd w:w="148" w:type="dxa"/>
        <w:tblLayout w:type="fixed"/>
        <w:tblCellMar>
          <w:top w:w="0" w:type="dxa"/>
          <w:left w:w="0" w:type="dxa"/>
          <w:bottom w:w="0" w:type="dxa"/>
          <w:right w:w="0" w:type="dxa"/>
        </w:tblCellMar>
        <w:tblLook w:val="01E0"/>
      </w:tblPr>
      <w:tblGrid>
        <w:gridCol w:w="1560"/>
        <w:gridCol w:w="1417"/>
        <w:gridCol w:w="1418"/>
        <w:gridCol w:w="1560"/>
        <w:gridCol w:w="1558"/>
        <w:gridCol w:w="2101"/>
      </w:tblGrid>
      <w:tr>
        <w:trPr>
          <w:trHeight w:val="398" w:hRule="exact"/>
        </w:trPr>
        <w:tc>
          <w:tcPr>
            <w:tcW w:w="1560"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595" w:right="0"/>
              <w:jc w:val="left"/>
              <w:rPr>
                <w:rFonts w:ascii="宋体" w:hAnsi="宋体" w:cs="宋体" w:eastAsia="宋体" w:hint="default"/>
                <w:sz w:val="18"/>
                <w:szCs w:val="18"/>
              </w:rPr>
            </w:pPr>
            <w:r>
              <w:rPr>
                <w:rFonts w:ascii="宋体" w:hAnsi="宋体" w:cs="宋体" w:eastAsia="宋体" w:hint="default"/>
                <w:sz w:val="18"/>
                <w:szCs w:val="18"/>
              </w:rPr>
              <w:t>类别</w:t>
            </w:r>
            <w:r>
              <w:rPr>
                <w:rFonts w:ascii="宋体" w:hAnsi="宋体" w:cs="宋体" w:eastAsia="宋体" w:hint="default"/>
                <w:sz w:val="18"/>
                <w:szCs w:val="18"/>
              </w:rPr>
              <w:t> </w:t>
            </w:r>
          </w:p>
        </w:tc>
        <w:tc>
          <w:tcPr>
            <w:tcW w:w="1417"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c>
          <w:tcPr>
            <w:tcW w:w="453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4" w:right="0"/>
              <w:jc w:val="center"/>
              <w:rPr>
                <w:rFonts w:ascii="宋体" w:hAnsi="宋体" w:cs="宋体" w:eastAsia="宋体" w:hint="default"/>
                <w:sz w:val="18"/>
                <w:szCs w:val="18"/>
              </w:rPr>
            </w:pPr>
            <w:r>
              <w:rPr>
                <w:rFonts w:ascii="宋体" w:hAnsi="宋体" w:cs="宋体" w:eastAsia="宋体" w:hint="default"/>
                <w:sz w:val="18"/>
                <w:szCs w:val="18"/>
              </w:rPr>
              <w:t>本期变动金额</w:t>
            </w:r>
            <w:r>
              <w:rPr>
                <w:rFonts w:ascii="宋体" w:hAnsi="宋体" w:cs="宋体" w:eastAsia="宋体" w:hint="default"/>
                <w:sz w:val="18"/>
                <w:szCs w:val="18"/>
              </w:rPr>
              <w:t> </w:t>
            </w:r>
          </w:p>
        </w:tc>
        <w:tc>
          <w:tcPr>
            <w:tcW w:w="2101"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686"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r>
      <w:tr>
        <w:trPr>
          <w:trHeight w:val="396" w:hRule="exact"/>
        </w:trPr>
        <w:tc>
          <w:tcPr>
            <w:tcW w:w="1560" w:type="dxa"/>
            <w:vMerge/>
            <w:tcBorders>
              <w:left w:val="single" w:sz="4" w:space="0" w:color="000000"/>
              <w:bottom w:val="single" w:sz="4" w:space="0" w:color="000000"/>
              <w:right w:val="single" w:sz="4" w:space="0" w:color="000000"/>
            </w:tcBorders>
          </w:tcPr>
          <w:p>
            <w:pPr/>
          </w:p>
        </w:tc>
        <w:tc>
          <w:tcPr>
            <w:tcW w:w="1417" w:type="dxa"/>
            <w:vMerge/>
            <w:tcBorders>
              <w:left w:val="single" w:sz="4" w:space="0" w:color="000000"/>
              <w:bottom w:val="single" w:sz="4" w:space="0" w:color="000000"/>
              <w:right w:val="single" w:sz="4" w:space="0" w:color="000000"/>
            </w:tcBorders>
          </w:tcPr>
          <w:p>
            <w:pP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525" w:right="0"/>
              <w:jc w:val="left"/>
              <w:rPr>
                <w:rFonts w:ascii="宋体" w:hAnsi="宋体" w:cs="宋体" w:eastAsia="宋体" w:hint="default"/>
                <w:sz w:val="18"/>
                <w:szCs w:val="18"/>
              </w:rPr>
            </w:pPr>
            <w:r>
              <w:rPr>
                <w:rFonts w:ascii="宋体" w:hAnsi="宋体" w:cs="宋体" w:eastAsia="宋体" w:hint="default"/>
                <w:sz w:val="18"/>
                <w:szCs w:val="18"/>
              </w:rPr>
              <w:t>计提</w:t>
            </w:r>
            <w:r>
              <w:rPr>
                <w:rFonts w:ascii="宋体" w:hAnsi="宋体" w:cs="宋体" w:eastAsia="宋体" w:hint="default"/>
                <w:sz w:val="18"/>
                <w:szCs w:val="18"/>
              </w:rPr>
              <w:t>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33"/>
              <w:jc w:val="right"/>
              <w:rPr>
                <w:rFonts w:ascii="宋体" w:hAnsi="宋体" w:cs="宋体" w:eastAsia="宋体" w:hint="default"/>
                <w:sz w:val="18"/>
                <w:szCs w:val="18"/>
              </w:rPr>
            </w:pPr>
            <w:r>
              <w:rPr>
                <w:rFonts w:ascii="宋体" w:hAnsi="宋体" w:cs="宋体" w:eastAsia="宋体" w:hint="default"/>
                <w:sz w:val="18"/>
                <w:szCs w:val="18"/>
              </w:rPr>
              <w:t>收回或转回</w:t>
            </w:r>
            <w:r>
              <w:rPr>
                <w:rFonts w:ascii="宋体" w:hAnsi="宋体" w:cs="宋体" w:eastAsia="宋体" w:hint="default"/>
                <w:sz w:val="18"/>
                <w:szCs w:val="18"/>
              </w:rPr>
              <w:t> </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324" w:right="0"/>
              <w:jc w:val="left"/>
              <w:rPr>
                <w:rFonts w:ascii="宋体" w:hAnsi="宋体" w:cs="宋体" w:eastAsia="宋体" w:hint="default"/>
                <w:sz w:val="18"/>
                <w:szCs w:val="18"/>
              </w:rPr>
            </w:pPr>
            <w:r>
              <w:rPr>
                <w:rFonts w:ascii="宋体" w:hAnsi="宋体" w:cs="宋体" w:eastAsia="宋体" w:hint="default"/>
                <w:sz w:val="18"/>
                <w:szCs w:val="18"/>
              </w:rPr>
              <w:t>转销或核销</w:t>
            </w:r>
            <w:r>
              <w:rPr>
                <w:rFonts w:ascii="宋体" w:hAnsi="宋体" w:cs="宋体" w:eastAsia="宋体" w:hint="default"/>
                <w:sz w:val="18"/>
                <w:szCs w:val="18"/>
              </w:rPr>
              <w:t> </w:t>
            </w:r>
          </w:p>
        </w:tc>
        <w:tc>
          <w:tcPr>
            <w:tcW w:w="2101" w:type="dxa"/>
            <w:vMerge/>
            <w:tcBorders>
              <w:left w:val="single" w:sz="4" w:space="0" w:color="000000"/>
              <w:bottom w:val="single" w:sz="4" w:space="0" w:color="000000"/>
              <w:right w:val="single" w:sz="4" w:space="0" w:color="000000"/>
            </w:tcBorders>
          </w:tcPr>
          <w:p>
            <w:pPr/>
          </w:p>
        </w:tc>
      </w:tr>
      <w:tr>
        <w:trPr>
          <w:trHeight w:val="398"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商业承兑汇票</w:t>
            </w:r>
            <w:r>
              <w:rPr>
                <w:rFonts w:ascii="宋体" w:hAnsi="宋体" w:cs="宋体" w:eastAsia="宋体" w:hint="default"/>
                <w:sz w:val="18"/>
                <w:szCs w:val="18"/>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485,000.00</w:t>
            </w:r>
            <w:r>
              <w:rPr>
                <w:rFonts w:ascii="宋体"/>
                <w:sz w:val="18"/>
              </w:rPr>
              <w:t> </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z w:val="18"/>
              </w:rPr>
              <w:t>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3"/>
              <w:ind w:right="233"/>
              <w:jc w:val="right"/>
              <w:rPr>
                <w:rFonts w:ascii="宋体" w:hAnsi="宋体" w:cs="宋体" w:eastAsia="宋体" w:hint="default"/>
                <w:sz w:val="18"/>
                <w:szCs w:val="18"/>
              </w:rPr>
            </w:pPr>
            <w:r>
              <w:rPr>
                <w:rFonts w:ascii="宋体"/>
                <w:spacing w:val="-1"/>
                <w:sz w:val="18"/>
              </w:rPr>
              <w:t>462,033.79 </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z w:val="18"/>
              </w:rPr>
              <w:t> </w:t>
            </w:r>
          </w:p>
        </w:tc>
        <w:tc>
          <w:tcPr>
            <w:tcW w:w="2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22,966.21</w:t>
            </w:r>
            <w:r>
              <w:rPr>
                <w:rFonts w:ascii="宋体"/>
                <w:sz w:val="18"/>
              </w:rPr>
              <w:t> </w:t>
            </w:r>
          </w:p>
        </w:tc>
      </w:tr>
      <w:tr>
        <w:trPr>
          <w:trHeight w:val="397"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595" w:right="0"/>
              <w:jc w:val="lef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4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485,000.00</w:t>
            </w:r>
            <w:r>
              <w:rPr>
                <w:rFonts w:ascii="宋体"/>
                <w:sz w:val="18"/>
              </w:rPr>
              <w:t> </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z w:val="18"/>
              </w:rPr>
              <w:t> </w:t>
            </w:r>
          </w:p>
        </w:tc>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4"/>
              <w:ind w:right="233"/>
              <w:jc w:val="right"/>
              <w:rPr>
                <w:rFonts w:ascii="宋体" w:hAnsi="宋体" w:cs="宋体" w:eastAsia="宋体" w:hint="default"/>
                <w:sz w:val="18"/>
                <w:szCs w:val="18"/>
              </w:rPr>
            </w:pPr>
            <w:r>
              <w:rPr>
                <w:rFonts w:ascii="宋体"/>
                <w:spacing w:val="-1"/>
                <w:sz w:val="18"/>
              </w:rPr>
              <w:t>462,033.79 </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z w:val="18"/>
              </w:rPr>
              <w:t> </w:t>
            </w:r>
          </w:p>
        </w:tc>
        <w:tc>
          <w:tcPr>
            <w:tcW w:w="21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22,966.21</w:t>
            </w:r>
            <w:r>
              <w:rPr>
                <w:rFonts w:ascii="宋体"/>
                <w:sz w:val="18"/>
              </w:rPr>
              <w:t> </w:t>
            </w:r>
          </w:p>
        </w:tc>
      </w:tr>
    </w:tbl>
    <w:p>
      <w:pPr>
        <w:pStyle w:val="BodyText"/>
        <w:spacing w:line="240" w:lineRule="auto" w:before="86"/>
        <w:ind w:left="784" w:right="1133"/>
        <w:jc w:val="left"/>
        <w:rPr>
          <w:rFonts w:ascii="宋体" w:hAnsi="宋体" w:cs="宋体" w:eastAsia="宋体" w:hint="default"/>
        </w:rPr>
      </w:pPr>
      <w:r>
        <w:rPr>
          <w:rFonts w:ascii="宋体" w:hAnsi="宋体" w:cs="宋体" w:eastAsia="宋体" w:hint="default"/>
        </w:rPr>
        <w:t>7</w:t>
      </w:r>
      <w:r>
        <w:rPr/>
        <w:t>、本期实际核销的应收票据情况</w:t>
      </w:r>
      <w:r>
        <w:rPr>
          <w:rFonts w:ascii="宋体" w:hAnsi="宋体" w:cs="宋体" w:eastAsia="宋体" w:hint="default"/>
        </w:rPr>
        <w:t> </w:t>
      </w:r>
    </w:p>
    <w:p>
      <w:pPr>
        <w:pStyle w:val="BodyText"/>
        <w:spacing w:line="240" w:lineRule="auto" w:before="118"/>
        <w:ind w:left="784" w:right="1133"/>
        <w:jc w:val="left"/>
        <w:rPr>
          <w:rFonts w:ascii="宋体" w:hAnsi="宋体" w:cs="宋体" w:eastAsia="宋体" w:hint="default"/>
        </w:rPr>
      </w:pPr>
      <w:r>
        <w:rPr/>
        <w:t>无。</w:t>
      </w:r>
      <w:r>
        <w:rPr>
          <w:rFonts w:ascii="宋体" w:hAnsi="宋体" w:cs="宋体" w:eastAsia="宋体" w:hint="default"/>
        </w:rPr>
        <w:t> </w:t>
      </w:r>
    </w:p>
    <w:p>
      <w:pPr>
        <w:spacing w:line="343" w:lineRule="auto" w:before="116"/>
        <w:ind w:left="784" w:right="8232" w:hanging="279"/>
        <w:jc w:val="left"/>
        <w:rPr>
          <w:rFonts w:ascii="宋体" w:hAnsi="宋体" w:cs="宋体" w:eastAsia="宋体" w:hint="default"/>
          <w:sz w:val="21"/>
          <w:szCs w:val="21"/>
        </w:rPr>
      </w:pPr>
      <w:r>
        <w:rPr>
          <w:rFonts w:ascii="宋体" w:hAnsi="宋体" w:cs="宋体" w:eastAsia="宋体" w:hint="default"/>
          <w:b/>
          <w:bCs/>
          <w:sz w:val="21"/>
          <w:szCs w:val="21"/>
        </w:rPr>
        <w:t>（三）应收账款</w:t>
      </w:r>
      <w:r>
        <w:rPr>
          <w:rFonts w:ascii="宋体" w:hAnsi="宋体" w:cs="宋体" w:eastAsia="宋体" w:hint="default"/>
          <w:b/>
          <w:bCs/>
          <w:w w:val="99"/>
          <w:sz w:val="21"/>
          <w:szCs w:val="21"/>
        </w:rPr>
        <w:t> </w:t>
      </w:r>
      <w:r>
        <w:rPr>
          <w:rFonts w:ascii="宋体" w:hAnsi="宋体" w:cs="宋体" w:eastAsia="宋体" w:hint="default"/>
          <w:sz w:val="21"/>
          <w:szCs w:val="21"/>
        </w:rPr>
        <w:t>1</w:t>
      </w:r>
      <w:r>
        <w:rPr>
          <w:rFonts w:ascii="宋体" w:hAnsi="宋体" w:cs="宋体" w:eastAsia="宋体" w:hint="default"/>
          <w:sz w:val="21"/>
          <w:szCs w:val="21"/>
        </w:rPr>
        <w:t>、按账龄披露</w:t>
      </w:r>
      <w:r>
        <w:rPr>
          <w:rFonts w:ascii="宋体" w:hAnsi="宋体" w:cs="宋体" w:eastAsia="宋体" w:hint="default"/>
          <w:sz w:val="21"/>
          <w:szCs w:val="21"/>
        </w:rPr>
        <w:t> </w:t>
      </w:r>
    </w:p>
    <w:p>
      <w:pPr>
        <w:spacing w:after="0" w:line="343" w:lineRule="auto"/>
        <w:jc w:val="left"/>
        <w:rPr>
          <w:rFonts w:ascii="宋体" w:hAnsi="宋体" w:cs="宋体" w:eastAsia="宋体" w:hint="default"/>
          <w:sz w:val="21"/>
          <w:szCs w:val="21"/>
        </w:rPr>
        <w:sectPr>
          <w:pgSz w:w="11910" w:h="16840"/>
          <w:pgMar w:header="921" w:footer="725" w:top="1160" w:bottom="920" w:left="980" w:right="0"/>
        </w:sectPr>
      </w:pPr>
    </w:p>
    <w:p>
      <w:pPr>
        <w:spacing w:line="240" w:lineRule="auto" w:before="4"/>
        <w:rPr>
          <w:rFonts w:ascii="宋体" w:hAnsi="宋体" w:cs="宋体" w:eastAsia="宋体" w:hint="default"/>
          <w:sz w:val="21"/>
          <w:szCs w:val="21"/>
        </w:rPr>
      </w:pPr>
    </w:p>
    <w:tbl>
      <w:tblPr>
        <w:tblW w:w="0" w:type="auto"/>
        <w:jc w:val="left"/>
        <w:tblInd w:w="160" w:type="dxa"/>
        <w:tblLayout w:type="fixed"/>
        <w:tblCellMar>
          <w:top w:w="0" w:type="dxa"/>
          <w:left w:w="0" w:type="dxa"/>
          <w:bottom w:w="0" w:type="dxa"/>
          <w:right w:w="0" w:type="dxa"/>
        </w:tblCellMar>
        <w:tblLook w:val="01E0"/>
      </w:tblPr>
      <w:tblGrid>
        <w:gridCol w:w="2844"/>
        <w:gridCol w:w="6731"/>
      </w:tblGrid>
      <w:tr>
        <w:trPr>
          <w:trHeight w:val="396" w:hRule="exact"/>
        </w:trPr>
        <w:tc>
          <w:tcPr>
            <w:tcW w:w="2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46"/>
              <w:jc w:val="right"/>
              <w:rPr>
                <w:rFonts w:ascii="宋体" w:hAnsi="宋体" w:cs="宋体" w:eastAsia="宋体" w:hint="default"/>
                <w:sz w:val="18"/>
                <w:szCs w:val="18"/>
              </w:rPr>
            </w:pPr>
            <w:r>
              <w:rPr>
                <w:rFonts w:ascii="宋体" w:hAnsi="宋体" w:cs="宋体" w:eastAsia="宋体" w:hint="default"/>
                <w:sz w:val="18"/>
                <w:szCs w:val="18"/>
              </w:rPr>
              <w:t>账龄</w:t>
            </w:r>
            <w:r>
              <w:rPr>
                <w:rFonts w:ascii="宋体" w:hAnsi="宋体" w:cs="宋体" w:eastAsia="宋体" w:hint="default"/>
                <w:sz w:val="18"/>
                <w:szCs w:val="18"/>
              </w:rPr>
              <w:t> </w:t>
            </w:r>
          </w:p>
        </w:tc>
        <w:tc>
          <w:tcPr>
            <w:tcW w:w="67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0"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r>
      <w:tr>
        <w:trPr>
          <w:trHeight w:val="399" w:hRule="exact"/>
        </w:trPr>
        <w:tc>
          <w:tcPr>
            <w:tcW w:w="2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r>
              <w:rPr>
                <w:rFonts w:ascii="宋体" w:hAnsi="宋体" w:cs="宋体" w:eastAsia="宋体" w:hint="default"/>
                <w:sz w:val="18"/>
                <w:szCs w:val="18"/>
              </w:rPr>
              <w:t> </w:t>
            </w:r>
          </w:p>
        </w:tc>
        <w:tc>
          <w:tcPr>
            <w:tcW w:w="67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878,914,276.36 </w:t>
            </w:r>
          </w:p>
        </w:tc>
      </w:tr>
      <w:tr>
        <w:trPr>
          <w:trHeight w:val="396" w:hRule="exact"/>
        </w:trPr>
        <w:tc>
          <w:tcPr>
            <w:tcW w:w="2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3"/>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宋体" w:hAnsi="宋体" w:cs="宋体" w:eastAsia="宋体" w:hint="default"/>
                <w:sz w:val="18"/>
                <w:szCs w:val="18"/>
              </w:rPr>
              <w:t>2</w:t>
            </w:r>
            <w:r>
              <w:rPr>
                <w:rFonts w:ascii="宋体" w:hAnsi="宋体" w:cs="宋体" w:eastAsia="宋体" w:hint="default"/>
                <w:spacing w:val="-44"/>
                <w:sz w:val="18"/>
                <w:szCs w:val="18"/>
              </w:rPr>
              <w:t> </w:t>
            </w:r>
            <w:r>
              <w:rPr>
                <w:rFonts w:ascii="宋体" w:hAnsi="宋体" w:cs="宋体" w:eastAsia="宋体" w:hint="default"/>
                <w:spacing w:val="-3"/>
                <w:sz w:val="18"/>
                <w:szCs w:val="18"/>
              </w:rPr>
              <w:t>年</w:t>
            </w:r>
            <w:r>
              <w:rPr>
                <w:rFonts w:ascii="宋体" w:hAnsi="宋体" w:cs="宋体" w:eastAsia="宋体" w:hint="default"/>
                <w:sz w:val="18"/>
                <w:szCs w:val="18"/>
              </w:rPr>
              <w:t> </w:t>
            </w:r>
          </w:p>
        </w:tc>
        <w:tc>
          <w:tcPr>
            <w:tcW w:w="67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112,128,559.54 </w:t>
            </w:r>
          </w:p>
        </w:tc>
      </w:tr>
      <w:tr>
        <w:trPr>
          <w:trHeight w:val="398" w:hRule="exact"/>
        </w:trPr>
        <w:tc>
          <w:tcPr>
            <w:tcW w:w="2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pacing w:val="-43"/>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宋体" w:hAnsi="宋体" w:cs="宋体" w:eastAsia="宋体" w:hint="default"/>
                <w:sz w:val="18"/>
                <w:szCs w:val="18"/>
              </w:rPr>
              <w:t>3</w:t>
            </w:r>
            <w:r>
              <w:rPr>
                <w:rFonts w:ascii="宋体" w:hAnsi="宋体" w:cs="宋体" w:eastAsia="宋体" w:hint="default"/>
                <w:spacing w:val="-44"/>
                <w:sz w:val="18"/>
                <w:szCs w:val="18"/>
              </w:rPr>
              <w:t> </w:t>
            </w:r>
            <w:r>
              <w:rPr>
                <w:rFonts w:ascii="宋体" w:hAnsi="宋体" w:cs="宋体" w:eastAsia="宋体" w:hint="default"/>
                <w:spacing w:val="-3"/>
                <w:sz w:val="18"/>
                <w:szCs w:val="18"/>
              </w:rPr>
              <w:t>年</w:t>
            </w:r>
            <w:r>
              <w:rPr>
                <w:rFonts w:ascii="宋体" w:hAnsi="宋体" w:cs="宋体" w:eastAsia="宋体" w:hint="default"/>
                <w:sz w:val="18"/>
                <w:szCs w:val="18"/>
              </w:rPr>
              <w:t> </w:t>
            </w:r>
          </w:p>
        </w:tc>
        <w:tc>
          <w:tcPr>
            <w:tcW w:w="67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45,482,661.27</w:t>
            </w:r>
            <w:r>
              <w:rPr>
                <w:rFonts w:ascii="宋体"/>
                <w:sz w:val="18"/>
              </w:rPr>
              <w:t> </w:t>
            </w:r>
          </w:p>
        </w:tc>
      </w:tr>
      <w:tr>
        <w:trPr>
          <w:trHeight w:val="396" w:hRule="exact"/>
        </w:trPr>
        <w:tc>
          <w:tcPr>
            <w:tcW w:w="2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3"/>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宋体" w:hAnsi="宋体" w:cs="宋体" w:eastAsia="宋体" w:hint="default"/>
                <w:sz w:val="18"/>
                <w:szCs w:val="18"/>
              </w:rPr>
              <w:t>4</w:t>
            </w:r>
            <w:r>
              <w:rPr>
                <w:rFonts w:ascii="宋体" w:hAnsi="宋体" w:cs="宋体" w:eastAsia="宋体" w:hint="default"/>
                <w:spacing w:val="-44"/>
                <w:sz w:val="18"/>
                <w:szCs w:val="18"/>
              </w:rPr>
              <w:t> </w:t>
            </w:r>
            <w:r>
              <w:rPr>
                <w:rFonts w:ascii="宋体" w:hAnsi="宋体" w:cs="宋体" w:eastAsia="宋体" w:hint="default"/>
                <w:spacing w:val="-3"/>
                <w:sz w:val="18"/>
                <w:szCs w:val="18"/>
              </w:rPr>
              <w:t>年</w:t>
            </w:r>
            <w:r>
              <w:rPr>
                <w:rFonts w:ascii="宋体" w:hAnsi="宋体" w:cs="宋体" w:eastAsia="宋体" w:hint="default"/>
                <w:sz w:val="18"/>
                <w:szCs w:val="18"/>
              </w:rPr>
              <w:t> </w:t>
            </w:r>
          </w:p>
        </w:tc>
        <w:tc>
          <w:tcPr>
            <w:tcW w:w="67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6,322,428.31</w:t>
            </w:r>
            <w:r>
              <w:rPr>
                <w:rFonts w:ascii="宋体"/>
                <w:sz w:val="18"/>
              </w:rPr>
              <w:t> </w:t>
            </w:r>
          </w:p>
        </w:tc>
      </w:tr>
      <w:tr>
        <w:trPr>
          <w:trHeight w:val="398" w:hRule="exact"/>
        </w:trPr>
        <w:tc>
          <w:tcPr>
            <w:tcW w:w="2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pacing w:val="-43"/>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宋体" w:hAnsi="宋体" w:cs="宋体" w:eastAsia="宋体" w:hint="default"/>
                <w:sz w:val="18"/>
                <w:szCs w:val="18"/>
              </w:rPr>
              <w:t>5</w:t>
            </w:r>
            <w:r>
              <w:rPr>
                <w:rFonts w:ascii="宋体" w:hAnsi="宋体" w:cs="宋体" w:eastAsia="宋体" w:hint="default"/>
                <w:spacing w:val="-44"/>
                <w:sz w:val="18"/>
                <w:szCs w:val="18"/>
              </w:rPr>
              <w:t> </w:t>
            </w:r>
            <w:r>
              <w:rPr>
                <w:rFonts w:ascii="宋体" w:hAnsi="宋体" w:cs="宋体" w:eastAsia="宋体" w:hint="default"/>
                <w:spacing w:val="-3"/>
                <w:sz w:val="18"/>
                <w:szCs w:val="18"/>
              </w:rPr>
              <w:t>年</w:t>
            </w:r>
            <w:r>
              <w:rPr>
                <w:rFonts w:ascii="宋体" w:hAnsi="宋体" w:cs="宋体" w:eastAsia="宋体" w:hint="default"/>
                <w:sz w:val="18"/>
                <w:szCs w:val="18"/>
              </w:rPr>
              <w:t> </w:t>
            </w:r>
          </w:p>
        </w:tc>
        <w:tc>
          <w:tcPr>
            <w:tcW w:w="67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4,508,260.85</w:t>
            </w:r>
            <w:r>
              <w:rPr>
                <w:rFonts w:ascii="宋体"/>
                <w:sz w:val="18"/>
              </w:rPr>
              <w:t> </w:t>
            </w:r>
          </w:p>
        </w:tc>
      </w:tr>
      <w:tr>
        <w:trPr>
          <w:trHeight w:val="396" w:hRule="exact"/>
        </w:trPr>
        <w:tc>
          <w:tcPr>
            <w:tcW w:w="2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pacing w:val="-46"/>
                <w:sz w:val="18"/>
                <w:szCs w:val="18"/>
              </w:rPr>
              <w:t> </w:t>
            </w:r>
            <w:r>
              <w:rPr>
                <w:rFonts w:ascii="宋体" w:hAnsi="宋体" w:cs="宋体" w:eastAsia="宋体" w:hint="default"/>
                <w:sz w:val="18"/>
                <w:szCs w:val="18"/>
              </w:rPr>
              <w:t>年以上</w:t>
            </w:r>
            <w:r>
              <w:rPr>
                <w:rFonts w:ascii="宋体" w:hAnsi="宋体" w:cs="宋体" w:eastAsia="宋体" w:hint="default"/>
                <w:sz w:val="18"/>
                <w:szCs w:val="18"/>
              </w:rPr>
              <w:t> </w:t>
            </w:r>
          </w:p>
        </w:tc>
        <w:tc>
          <w:tcPr>
            <w:tcW w:w="67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1,285,464.52</w:t>
            </w:r>
            <w:r>
              <w:rPr>
                <w:rFonts w:ascii="宋体"/>
                <w:sz w:val="18"/>
              </w:rPr>
              <w:t> </w:t>
            </w:r>
          </w:p>
        </w:tc>
      </w:tr>
      <w:tr>
        <w:trPr>
          <w:trHeight w:val="396" w:hRule="exact"/>
        </w:trPr>
        <w:tc>
          <w:tcPr>
            <w:tcW w:w="2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46"/>
              <w:jc w:val="right"/>
              <w:rPr>
                <w:rFonts w:ascii="宋体" w:hAnsi="宋体" w:cs="宋体" w:eastAsia="宋体" w:hint="default"/>
                <w:sz w:val="18"/>
                <w:szCs w:val="18"/>
              </w:rPr>
            </w:pPr>
            <w:r>
              <w:rPr>
                <w:rFonts w:ascii="宋体" w:hAnsi="宋体" w:cs="宋体" w:eastAsia="宋体" w:hint="default"/>
                <w:sz w:val="18"/>
                <w:szCs w:val="18"/>
              </w:rPr>
              <w:t>小计</w:t>
            </w:r>
            <w:r>
              <w:rPr>
                <w:rFonts w:ascii="宋体" w:hAnsi="宋体" w:cs="宋体" w:eastAsia="宋体" w:hint="default"/>
                <w:sz w:val="18"/>
                <w:szCs w:val="18"/>
              </w:rPr>
              <w:t> </w:t>
            </w:r>
          </w:p>
        </w:tc>
        <w:tc>
          <w:tcPr>
            <w:tcW w:w="67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1,048,641,650.85 </w:t>
            </w:r>
          </w:p>
        </w:tc>
      </w:tr>
      <w:tr>
        <w:trPr>
          <w:trHeight w:val="398" w:hRule="exact"/>
        </w:trPr>
        <w:tc>
          <w:tcPr>
            <w:tcW w:w="2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减：坏账准备</w:t>
            </w:r>
            <w:r>
              <w:rPr>
                <w:rFonts w:ascii="宋体" w:hAnsi="宋体" w:cs="宋体" w:eastAsia="宋体" w:hint="default"/>
                <w:sz w:val="18"/>
                <w:szCs w:val="18"/>
              </w:rPr>
              <w:t> </w:t>
            </w:r>
          </w:p>
        </w:tc>
        <w:tc>
          <w:tcPr>
            <w:tcW w:w="67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158,722,186.03 </w:t>
            </w:r>
          </w:p>
        </w:tc>
      </w:tr>
      <w:tr>
        <w:trPr>
          <w:trHeight w:val="396" w:hRule="exact"/>
        </w:trPr>
        <w:tc>
          <w:tcPr>
            <w:tcW w:w="2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46"/>
              <w:jc w:val="righ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67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889,919,464.82 </w:t>
            </w:r>
          </w:p>
        </w:tc>
      </w:tr>
    </w:tbl>
    <w:p>
      <w:pPr>
        <w:pStyle w:val="BodyText"/>
        <w:spacing w:line="240" w:lineRule="auto" w:before="86"/>
        <w:ind w:left="573" w:right="1133"/>
        <w:jc w:val="left"/>
        <w:rPr>
          <w:rFonts w:ascii="宋体" w:hAnsi="宋体" w:cs="宋体" w:eastAsia="宋体" w:hint="default"/>
        </w:rPr>
      </w:pPr>
      <w:r>
        <w:rPr>
          <w:rFonts w:ascii="宋体" w:hAnsi="宋体" w:cs="宋体" w:eastAsia="宋体" w:hint="default"/>
        </w:rPr>
        <w:t>2</w:t>
      </w:r>
      <w:r>
        <w:rPr/>
        <w:t>、按坏账计提方法分类披露</w:t>
      </w:r>
      <w:r>
        <w:rPr>
          <w:rFonts w:ascii="宋体" w:hAnsi="宋体" w:cs="宋体" w:eastAsia="宋体" w:hint="default"/>
        </w:rPr>
        <w:t> </w:t>
      </w:r>
    </w:p>
    <w:p>
      <w:pPr>
        <w:spacing w:line="240" w:lineRule="auto" w:before="9"/>
        <w:rPr>
          <w:rFonts w:ascii="宋体" w:hAnsi="宋体" w:cs="宋体" w:eastAsia="宋体" w:hint="default"/>
          <w:sz w:val="11"/>
          <w:szCs w:val="11"/>
        </w:rPr>
      </w:pPr>
    </w:p>
    <w:tbl>
      <w:tblPr>
        <w:tblW w:w="0" w:type="auto"/>
        <w:jc w:val="left"/>
        <w:tblInd w:w="183" w:type="dxa"/>
        <w:tblLayout w:type="fixed"/>
        <w:tblCellMar>
          <w:top w:w="0" w:type="dxa"/>
          <w:left w:w="0" w:type="dxa"/>
          <w:bottom w:w="0" w:type="dxa"/>
          <w:right w:w="0" w:type="dxa"/>
        </w:tblCellMar>
        <w:tblLook w:val="01E0"/>
      </w:tblPr>
      <w:tblGrid>
        <w:gridCol w:w="2196"/>
        <w:gridCol w:w="1503"/>
        <w:gridCol w:w="1198"/>
        <w:gridCol w:w="1323"/>
        <w:gridCol w:w="1217"/>
        <w:gridCol w:w="2113"/>
      </w:tblGrid>
      <w:tr>
        <w:trPr>
          <w:trHeight w:val="396" w:hRule="exact"/>
        </w:trPr>
        <w:tc>
          <w:tcPr>
            <w:tcW w:w="219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92" w:right="0"/>
              <w:jc w:val="center"/>
              <w:rPr>
                <w:rFonts w:ascii="宋体" w:hAnsi="宋体" w:cs="宋体" w:eastAsia="宋体" w:hint="default"/>
                <w:sz w:val="18"/>
                <w:szCs w:val="18"/>
              </w:rPr>
            </w:pPr>
            <w:r>
              <w:rPr>
                <w:rFonts w:ascii="宋体" w:hAnsi="宋体" w:cs="宋体" w:eastAsia="宋体" w:hint="default"/>
                <w:sz w:val="18"/>
                <w:szCs w:val="18"/>
              </w:rPr>
              <w:t>类别</w:t>
            </w:r>
            <w:r>
              <w:rPr>
                <w:rFonts w:ascii="宋体" w:hAnsi="宋体" w:cs="宋体" w:eastAsia="宋体" w:hint="default"/>
                <w:sz w:val="18"/>
                <w:szCs w:val="18"/>
              </w:rPr>
              <w:t> </w:t>
            </w:r>
          </w:p>
        </w:tc>
        <w:tc>
          <w:tcPr>
            <w:tcW w:w="7353"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2"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r>
      <w:tr>
        <w:trPr>
          <w:trHeight w:val="398" w:hRule="exact"/>
        </w:trPr>
        <w:tc>
          <w:tcPr>
            <w:tcW w:w="2196" w:type="dxa"/>
            <w:vMerge/>
            <w:tcBorders>
              <w:left w:val="single" w:sz="4" w:space="0" w:color="000000"/>
              <w:right w:val="single" w:sz="4" w:space="0" w:color="000000"/>
            </w:tcBorders>
          </w:tcPr>
          <w:p>
            <w:pPr/>
          </w:p>
        </w:tc>
        <w:tc>
          <w:tcPr>
            <w:tcW w:w="270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86" w:right="0"/>
              <w:jc w:val="left"/>
              <w:rPr>
                <w:rFonts w:ascii="宋体" w:hAnsi="宋体" w:cs="宋体" w:eastAsia="宋体" w:hint="default"/>
                <w:sz w:val="18"/>
                <w:szCs w:val="18"/>
              </w:rPr>
            </w:pPr>
            <w:r>
              <w:rPr>
                <w:rFonts w:ascii="宋体" w:hAnsi="宋体" w:cs="宋体" w:eastAsia="宋体" w:hint="default"/>
                <w:sz w:val="18"/>
                <w:szCs w:val="18"/>
              </w:rPr>
              <w:t>账面余额</w:t>
            </w:r>
            <w:r>
              <w:rPr>
                <w:rFonts w:ascii="宋体" w:hAnsi="宋体" w:cs="宋体" w:eastAsia="宋体" w:hint="default"/>
                <w:sz w:val="18"/>
                <w:szCs w:val="18"/>
              </w:rPr>
              <w:t> </w:t>
            </w:r>
          </w:p>
        </w:tc>
        <w:tc>
          <w:tcPr>
            <w:tcW w:w="25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05" w:right="0"/>
              <w:jc w:val="left"/>
              <w:rPr>
                <w:rFonts w:ascii="宋体" w:hAnsi="宋体" w:cs="宋体" w:eastAsia="宋体" w:hint="default"/>
                <w:sz w:val="18"/>
                <w:szCs w:val="18"/>
              </w:rPr>
            </w:pPr>
            <w:r>
              <w:rPr>
                <w:rFonts w:ascii="宋体" w:hAnsi="宋体" w:cs="宋体" w:eastAsia="宋体" w:hint="default"/>
                <w:sz w:val="18"/>
                <w:szCs w:val="18"/>
              </w:rPr>
              <w:t>坏账准备</w:t>
            </w:r>
            <w:r>
              <w:rPr>
                <w:rFonts w:ascii="宋体" w:hAnsi="宋体" w:cs="宋体" w:eastAsia="宋体" w:hint="default"/>
                <w:sz w:val="18"/>
                <w:szCs w:val="18"/>
              </w:rPr>
              <w:t> </w:t>
            </w:r>
          </w:p>
        </w:tc>
        <w:tc>
          <w:tcPr>
            <w:tcW w:w="2113" w:type="dxa"/>
            <w:vMerge w:val="restart"/>
            <w:tcBorders>
              <w:top w:val="single" w:sz="4" w:space="0" w:color="000000"/>
              <w:left w:val="single" w:sz="4" w:space="0" w:color="000000"/>
              <w:right w:val="single" w:sz="4" w:space="0" w:color="000000"/>
            </w:tcBorders>
          </w:tcPr>
          <w:p>
            <w:pPr>
              <w:pStyle w:val="TableParagraph"/>
              <w:spacing w:line="240" w:lineRule="auto" w:before="128"/>
              <w:ind w:left="874" w:right="776"/>
              <w:jc w:val="center"/>
              <w:rPr>
                <w:rFonts w:ascii="宋体" w:hAnsi="宋体" w:cs="宋体" w:eastAsia="宋体" w:hint="default"/>
                <w:sz w:val="18"/>
                <w:szCs w:val="18"/>
              </w:rPr>
            </w:pPr>
            <w:r>
              <w:rPr>
                <w:rFonts w:ascii="宋体" w:hAnsi="宋体" w:cs="宋体" w:eastAsia="宋体" w:hint="default"/>
                <w:sz w:val="18"/>
                <w:szCs w:val="18"/>
              </w:rPr>
              <w:t>账面</w:t>
            </w:r>
            <w:r>
              <w:rPr>
                <w:rFonts w:ascii="宋体" w:hAnsi="宋体" w:cs="宋体" w:eastAsia="宋体" w:hint="default"/>
                <w:sz w:val="18"/>
                <w:szCs w:val="18"/>
              </w:rPr>
              <w:t> </w:t>
            </w:r>
            <w:r>
              <w:rPr>
                <w:rFonts w:ascii="宋体" w:hAnsi="宋体" w:cs="宋体" w:eastAsia="宋体" w:hint="default"/>
                <w:sz w:val="18"/>
                <w:szCs w:val="18"/>
              </w:rPr>
              <w:t>价值</w:t>
            </w:r>
            <w:r>
              <w:rPr>
                <w:rFonts w:ascii="宋体" w:hAnsi="宋体" w:cs="宋体" w:eastAsia="宋体" w:hint="default"/>
                <w:sz w:val="18"/>
                <w:szCs w:val="18"/>
              </w:rPr>
              <w:t> </w:t>
            </w:r>
          </w:p>
        </w:tc>
      </w:tr>
      <w:tr>
        <w:trPr>
          <w:trHeight w:val="396" w:hRule="exact"/>
        </w:trPr>
        <w:tc>
          <w:tcPr>
            <w:tcW w:w="2196" w:type="dxa"/>
            <w:vMerge/>
            <w:tcBorders>
              <w:left w:val="single" w:sz="4" w:space="0" w:color="000000"/>
              <w:bottom w:val="single" w:sz="4" w:space="0" w:color="000000"/>
              <w:right w:val="single" w:sz="4" w:space="0" w:color="000000"/>
            </w:tcBorders>
          </w:tcPr>
          <w:p>
            <w:pP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568" w:right="0"/>
              <w:jc w:val="left"/>
              <w:rPr>
                <w:rFonts w:ascii="宋体" w:hAnsi="宋体" w:cs="宋体" w:eastAsia="宋体" w:hint="default"/>
                <w:sz w:val="18"/>
                <w:szCs w:val="18"/>
              </w:rPr>
            </w:pPr>
            <w:r>
              <w:rPr>
                <w:rFonts w:ascii="宋体" w:hAnsi="宋体" w:cs="宋体" w:eastAsia="宋体" w:hint="default"/>
                <w:sz w:val="18"/>
                <w:szCs w:val="18"/>
              </w:rPr>
              <w:t>金额</w:t>
            </w:r>
            <w:r>
              <w:rPr>
                <w:rFonts w:ascii="宋体" w:hAnsi="宋体" w:cs="宋体" w:eastAsia="宋体" w:hint="default"/>
                <w:sz w:val="18"/>
                <w:szCs w:val="18"/>
              </w:rPr>
              <w:t> </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6"/>
              <w:jc w:val="right"/>
              <w:rPr>
                <w:rFonts w:ascii="宋体" w:hAnsi="宋体" w:cs="宋体" w:eastAsia="宋体" w:hint="default"/>
                <w:sz w:val="18"/>
                <w:szCs w:val="18"/>
              </w:rPr>
            </w:pPr>
            <w:r>
              <w:rPr>
                <w:rFonts w:ascii="宋体" w:hAnsi="宋体" w:cs="宋体" w:eastAsia="宋体" w:hint="default"/>
                <w:sz w:val="18"/>
                <w:szCs w:val="18"/>
              </w:rPr>
              <w:t>比例（</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pacing w:val="-2"/>
                <w:sz w:val="18"/>
                <w:szCs w:val="18"/>
              </w:rPr>
              <w:t> </w:t>
            </w:r>
            <w:r>
              <w:rPr>
                <w:rFonts w:ascii="宋体" w:hAnsi="宋体" w:cs="宋体" w:eastAsia="宋体" w:hint="default"/>
                <w:sz w:val="18"/>
                <w:szCs w:val="18"/>
              </w:rPr>
              <w:t> </w:t>
            </w:r>
          </w:p>
        </w:tc>
        <w:tc>
          <w:tcPr>
            <w:tcW w:w="1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7" w:right="0"/>
              <w:jc w:val="center"/>
              <w:rPr>
                <w:rFonts w:ascii="宋体" w:hAnsi="宋体" w:cs="宋体" w:eastAsia="宋体" w:hint="default"/>
                <w:sz w:val="18"/>
                <w:szCs w:val="18"/>
              </w:rPr>
            </w:pPr>
            <w:r>
              <w:rPr>
                <w:rFonts w:ascii="宋体" w:hAnsi="宋体" w:cs="宋体" w:eastAsia="宋体" w:hint="default"/>
                <w:sz w:val="18"/>
                <w:szCs w:val="18"/>
              </w:rPr>
              <w:t>金额</w:t>
            </w:r>
            <w:r>
              <w:rPr>
                <w:rFonts w:ascii="宋体" w:hAnsi="宋体" w:cs="宋体" w:eastAsia="宋体" w:hint="default"/>
                <w:sz w:val="18"/>
                <w:szCs w:val="18"/>
              </w:rPr>
              <w:t> </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7"/>
              <w:jc w:val="right"/>
              <w:rPr>
                <w:rFonts w:ascii="宋体" w:hAnsi="宋体" w:cs="宋体" w:eastAsia="宋体" w:hint="default"/>
                <w:sz w:val="18"/>
                <w:szCs w:val="18"/>
              </w:rPr>
            </w:pPr>
            <w:r>
              <w:rPr>
                <w:rFonts w:ascii="宋体" w:hAnsi="宋体" w:cs="宋体" w:eastAsia="宋体" w:hint="default"/>
                <w:sz w:val="18"/>
                <w:szCs w:val="18"/>
              </w:rPr>
              <w:t>计提比例（</w:t>
            </w:r>
            <w:r>
              <w:rPr>
                <w:rFonts w:ascii="宋体" w:hAnsi="宋体" w:cs="宋体" w:eastAsia="宋体" w:hint="default"/>
                <w:sz w:val="18"/>
                <w:szCs w:val="18"/>
              </w:rPr>
              <w:t>%</w:t>
            </w:r>
            <w:r>
              <w:rPr>
                <w:rFonts w:ascii="宋体" w:hAnsi="宋体" w:cs="宋体" w:eastAsia="宋体" w:hint="default"/>
                <w:sz w:val="18"/>
                <w:szCs w:val="18"/>
              </w:rPr>
              <w:t>）</w:t>
            </w:r>
          </w:p>
        </w:tc>
        <w:tc>
          <w:tcPr>
            <w:tcW w:w="2113" w:type="dxa"/>
            <w:vMerge/>
            <w:tcBorders>
              <w:left w:val="single" w:sz="4" w:space="0" w:color="000000"/>
              <w:bottom w:val="single" w:sz="4" w:space="0" w:color="000000"/>
              <w:right w:val="single" w:sz="4" w:space="0" w:color="000000"/>
            </w:tcBorders>
          </w:tcPr>
          <w:p>
            <w:pPr/>
          </w:p>
        </w:tc>
      </w:tr>
      <w:tr>
        <w:trPr>
          <w:trHeight w:val="396" w:hRule="exact"/>
        </w:trPr>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8" w:right="0"/>
              <w:jc w:val="left"/>
              <w:rPr>
                <w:rFonts w:ascii="宋体" w:hAnsi="宋体" w:cs="宋体" w:eastAsia="宋体" w:hint="default"/>
                <w:sz w:val="18"/>
                <w:szCs w:val="18"/>
              </w:rPr>
            </w:pPr>
            <w:r>
              <w:rPr>
                <w:rFonts w:ascii="宋体" w:hAnsi="宋体" w:cs="宋体" w:eastAsia="宋体" w:hint="default"/>
                <w:sz w:val="18"/>
                <w:szCs w:val="18"/>
              </w:rPr>
              <w:t>按单项计提坏账准备</w:t>
            </w:r>
            <w:r>
              <w:rPr>
                <w:rFonts w:ascii="宋体" w:hAnsi="宋体" w:cs="宋体" w:eastAsia="宋体" w:hint="default"/>
                <w:sz w:val="18"/>
                <w:szCs w:val="18"/>
              </w:rPr>
              <w:t> </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2"/>
              <w:jc w:val="right"/>
              <w:rPr>
                <w:rFonts w:ascii="宋体" w:hAnsi="宋体" w:cs="宋体" w:eastAsia="宋体" w:hint="default"/>
                <w:sz w:val="18"/>
                <w:szCs w:val="18"/>
              </w:rPr>
            </w:pPr>
            <w:r>
              <w:rPr>
                <w:rFonts w:ascii="宋体"/>
                <w:spacing w:val="-1"/>
                <w:sz w:val="18"/>
              </w:rPr>
              <w:t>93,684,995.02</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3"/>
              <w:jc w:val="right"/>
              <w:rPr>
                <w:rFonts w:ascii="宋体" w:hAnsi="宋体" w:cs="宋体" w:eastAsia="宋体" w:hint="default"/>
                <w:sz w:val="18"/>
                <w:szCs w:val="18"/>
              </w:rPr>
            </w:pPr>
            <w:r>
              <w:rPr>
                <w:rFonts w:ascii="宋体"/>
                <w:sz w:val="18"/>
              </w:rPr>
              <w:t>8.93</w:t>
            </w:r>
          </w:p>
        </w:tc>
        <w:tc>
          <w:tcPr>
            <w:tcW w:w="1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8" w:right="0"/>
              <w:jc w:val="center"/>
              <w:rPr>
                <w:rFonts w:ascii="宋体" w:hAnsi="宋体" w:cs="宋体" w:eastAsia="宋体" w:hint="default"/>
                <w:sz w:val="18"/>
                <w:szCs w:val="18"/>
              </w:rPr>
            </w:pPr>
            <w:r>
              <w:rPr>
                <w:rFonts w:ascii="宋体"/>
                <w:sz w:val="18"/>
              </w:rPr>
              <w:t>88,893,206.36</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1"/>
              <w:jc w:val="right"/>
              <w:rPr>
                <w:rFonts w:ascii="宋体" w:hAnsi="宋体" w:cs="宋体" w:eastAsia="宋体" w:hint="default"/>
                <w:sz w:val="18"/>
                <w:szCs w:val="18"/>
              </w:rPr>
            </w:pPr>
            <w:r>
              <w:rPr>
                <w:rFonts w:ascii="宋体"/>
                <w:sz w:val="18"/>
              </w:rPr>
              <w:t>94.89</w:t>
            </w:r>
          </w:p>
        </w:tc>
        <w:tc>
          <w:tcPr>
            <w:tcW w:w="21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1"/>
              <w:jc w:val="right"/>
              <w:rPr>
                <w:rFonts w:ascii="宋体" w:hAnsi="宋体" w:cs="宋体" w:eastAsia="宋体" w:hint="default"/>
                <w:sz w:val="18"/>
                <w:szCs w:val="18"/>
              </w:rPr>
            </w:pPr>
            <w:r>
              <w:rPr>
                <w:rFonts w:ascii="宋体"/>
                <w:spacing w:val="-1"/>
                <w:sz w:val="18"/>
              </w:rPr>
              <w:t>4,791,788.66</w:t>
            </w:r>
          </w:p>
        </w:tc>
      </w:tr>
      <w:tr>
        <w:trPr>
          <w:trHeight w:val="478" w:hRule="exact"/>
        </w:trPr>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28" w:right="0"/>
              <w:jc w:val="left"/>
              <w:rPr>
                <w:rFonts w:ascii="宋体" w:hAnsi="宋体" w:cs="宋体" w:eastAsia="宋体" w:hint="default"/>
                <w:sz w:val="18"/>
                <w:szCs w:val="18"/>
              </w:rPr>
            </w:pPr>
            <w:r>
              <w:rPr>
                <w:rFonts w:ascii="宋体" w:hAnsi="宋体" w:cs="宋体" w:eastAsia="宋体" w:hint="default"/>
                <w:spacing w:val="-3"/>
                <w:sz w:val="18"/>
                <w:szCs w:val="18"/>
              </w:rPr>
              <w:t>其中：个别认定计提坏账准</w:t>
            </w:r>
          </w:p>
          <w:p>
            <w:pPr>
              <w:pStyle w:val="TableParagraph"/>
              <w:spacing w:line="234" w:lineRule="exact"/>
              <w:ind w:left="28" w:right="0"/>
              <w:jc w:val="left"/>
              <w:rPr>
                <w:rFonts w:ascii="宋体" w:hAnsi="宋体" w:cs="宋体" w:eastAsia="宋体" w:hint="default"/>
                <w:sz w:val="18"/>
                <w:szCs w:val="18"/>
              </w:rPr>
            </w:pPr>
            <w:r>
              <w:rPr>
                <w:rFonts w:ascii="宋体" w:hAnsi="宋体" w:cs="宋体" w:eastAsia="宋体" w:hint="default"/>
                <w:sz w:val="18"/>
                <w:szCs w:val="18"/>
              </w:rPr>
              <w:t>备的应收账款</w:t>
            </w:r>
            <w:r>
              <w:rPr>
                <w:rFonts w:ascii="宋体" w:hAnsi="宋体" w:cs="宋体" w:eastAsia="宋体" w:hint="default"/>
                <w:sz w:val="18"/>
                <w:szCs w:val="18"/>
              </w:rPr>
              <w:t> </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2"/>
              <w:jc w:val="right"/>
              <w:rPr>
                <w:rFonts w:ascii="宋体" w:hAnsi="宋体" w:cs="宋体" w:eastAsia="宋体" w:hint="default"/>
                <w:sz w:val="18"/>
                <w:szCs w:val="18"/>
              </w:rPr>
            </w:pPr>
            <w:r>
              <w:rPr>
                <w:rFonts w:ascii="宋体"/>
                <w:spacing w:val="-1"/>
                <w:sz w:val="18"/>
              </w:rPr>
              <w:t>93,684,995.02</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3"/>
              <w:jc w:val="right"/>
              <w:rPr>
                <w:rFonts w:ascii="宋体" w:hAnsi="宋体" w:cs="宋体" w:eastAsia="宋体" w:hint="default"/>
                <w:sz w:val="18"/>
                <w:szCs w:val="18"/>
              </w:rPr>
            </w:pPr>
            <w:r>
              <w:rPr>
                <w:rFonts w:ascii="宋体"/>
                <w:sz w:val="18"/>
              </w:rPr>
              <w:t>8.93</w:t>
            </w:r>
          </w:p>
        </w:tc>
        <w:tc>
          <w:tcPr>
            <w:tcW w:w="1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88" w:right="0"/>
              <w:jc w:val="center"/>
              <w:rPr>
                <w:rFonts w:ascii="宋体" w:hAnsi="宋体" w:cs="宋体" w:eastAsia="宋体" w:hint="default"/>
                <w:sz w:val="18"/>
                <w:szCs w:val="18"/>
              </w:rPr>
            </w:pPr>
            <w:r>
              <w:rPr>
                <w:rFonts w:ascii="宋体"/>
                <w:sz w:val="18"/>
              </w:rPr>
              <w:t>88,893,206.36</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1"/>
              <w:jc w:val="right"/>
              <w:rPr>
                <w:rFonts w:ascii="宋体" w:hAnsi="宋体" w:cs="宋体" w:eastAsia="宋体" w:hint="default"/>
                <w:sz w:val="18"/>
                <w:szCs w:val="18"/>
              </w:rPr>
            </w:pPr>
            <w:r>
              <w:rPr>
                <w:rFonts w:ascii="宋体"/>
                <w:sz w:val="18"/>
              </w:rPr>
              <w:t>94.89</w:t>
            </w:r>
          </w:p>
        </w:tc>
        <w:tc>
          <w:tcPr>
            <w:tcW w:w="21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1"/>
              <w:jc w:val="right"/>
              <w:rPr>
                <w:rFonts w:ascii="宋体" w:hAnsi="宋体" w:cs="宋体" w:eastAsia="宋体" w:hint="default"/>
                <w:sz w:val="18"/>
                <w:szCs w:val="18"/>
              </w:rPr>
            </w:pPr>
            <w:r>
              <w:rPr>
                <w:rFonts w:ascii="宋体"/>
                <w:spacing w:val="-1"/>
                <w:sz w:val="18"/>
              </w:rPr>
              <w:t>4,791,788.66</w:t>
            </w:r>
          </w:p>
        </w:tc>
      </w:tr>
      <w:tr>
        <w:trPr>
          <w:trHeight w:val="398" w:hRule="exact"/>
        </w:trPr>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8" w:right="0"/>
              <w:jc w:val="left"/>
              <w:rPr>
                <w:rFonts w:ascii="宋体" w:hAnsi="宋体" w:cs="宋体" w:eastAsia="宋体" w:hint="default"/>
                <w:sz w:val="18"/>
                <w:szCs w:val="18"/>
              </w:rPr>
            </w:pPr>
            <w:r>
              <w:rPr>
                <w:rFonts w:ascii="宋体" w:hAnsi="宋体" w:cs="宋体" w:eastAsia="宋体" w:hint="default"/>
                <w:sz w:val="18"/>
                <w:szCs w:val="18"/>
              </w:rPr>
              <w:t>按组合计提坏账准备</w:t>
            </w:r>
            <w:r>
              <w:rPr>
                <w:rFonts w:ascii="宋体" w:hAnsi="宋体" w:cs="宋体" w:eastAsia="宋体" w:hint="default"/>
                <w:sz w:val="18"/>
                <w:szCs w:val="18"/>
              </w:rPr>
              <w:t> </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6"/>
              <w:jc w:val="right"/>
              <w:rPr>
                <w:rFonts w:ascii="宋体" w:hAnsi="宋体" w:cs="宋体" w:eastAsia="宋体" w:hint="default"/>
                <w:sz w:val="18"/>
                <w:szCs w:val="18"/>
              </w:rPr>
            </w:pPr>
            <w:r>
              <w:rPr>
                <w:rFonts w:ascii="宋体"/>
                <w:spacing w:val="-1"/>
                <w:sz w:val="18"/>
              </w:rPr>
              <w:t>954,956,655.83</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1"/>
              <w:jc w:val="right"/>
              <w:rPr>
                <w:rFonts w:ascii="宋体" w:hAnsi="宋体" w:cs="宋体" w:eastAsia="宋体" w:hint="default"/>
                <w:sz w:val="18"/>
                <w:szCs w:val="18"/>
              </w:rPr>
            </w:pPr>
            <w:r>
              <w:rPr>
                <w:rFonts w:ascii="宋体"/>
                <w:sz w:val="18"/>
              </w:rPr>
              <w:t>91.07</w:t>
            </w:r>
          </w:p>
        </w:tc>
        <w:tc>
          <w:tcPr>
            <w:tcW w:w="1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8" w:right="0"/>
              <w:jc w:val="center"/>
              <w:rPr>
                <w:rFonts w:ascii="宋体" w:hAnsi="宋体" w:cs="宋体" w:eastAsia="宋体" w:hint="default"/>
                <w:sz w:val="18"/>
                <w:szCs w:val="18"/>
              </w:rPr>
            </w:pPr>
            <w:r>
              <w:rPr>
                <w:rFonts w:ascii="宋体"/>
                <w:sz w:val="18"/>
              </w:rPr>
              <w:t>69,828,979.67</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1"/>
              <w:jc w:val="right"/>
              <w:rPr>
                <w:rFonts w:ascii="宋体" w:hAnsi="宋体" w:cs="宋体" w:eastAsia="宋体" w:hint="default"/>
                <w:sz w:val="18"/>
                <w:szCs w:val="18"/>
              </w:rPr>
            </w:pPr>
            <w:r>
              <w:rPr>
                <w:rFonts w:ascii="宋体"/>
                <w:sz w:val="18"/>
              </w:rPr>
              <w:t>7.31</w:t>
            </w:r>
          </w:p>
        </w:tc>
        <w:tc>
          <w:tcPr>
            <w:tcW w:w="21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4"/>
              <w:jc w:val="right"/>
              <w:rPr>
                <w:rFonts w:ascii="宋体" w:hAnsi="宋体" w:cs="宋体" w:eastAsia="宋体" w:hint="default"/>
                <w:sz w:val="18"/>
                <w:szCs w:val="18"/>
              </w:rPr>
            </w:pPr>
            <w:r>
              <w:rPr>
                <w:rFonts w:ascii="宋体"/>
                <w:spacing w:val="-1"/>
                <w:sz w:val="18"/>
              </w:rPr>
              <w:t>885,127,676.16</w:t>
            </w:r>
          </w:p>
        </w:tc>
      </w:tr>
      <w:tr>
        <w:trPr>
          <w:trHeight w:val="396" w:hRule="exact"/>
        </w:trPr>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8" w:right="0"/>
              <w:jc w:val="left"/>
              <w:rPr>
                <w:rFonts w:ascii="宋体" w:hAnsi="宋体" w:cs="宋体" w:eastAsia="宋体" w:hint="default"/>
                <w:sz w:val="18"/>
                <w:szCs w:val="18"/>
              </w:rPr>
            </w:pPr>
            <w:r>
              <w:rPr>
                <w:rFonts w:ascii="宋体" w:hAnsi="宋体" w:cs="宋体" w:eastAsia="宋体" w:hint="default"/>
                <w:sz w:val="18"/>
                <w:szCs w:val="18"/>
              </w:rPr>
              <w:t>其中：账龄组合</w:t>
            </w:r>
            <w:r>
              <w:rPr>
                <w:rFonts w:ascii="宋体" w:hAnsi="宋体" w:cs="宋体" w:eastAsia="宋体" w:hint="default"/>
                <w:sz w:val="18"/>
                <w:szCs w:val="18"/>
              </w:rPr>
              <w:t> </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6"/>
              <w:jc w:val="right"/>
              <w:rPr>
                <w:rFonts w:ascii="宋体" w:hAnsi="宋体" w:cs="宋体" w:eastAsia="宋体" w:hint="default"/>
                <w:sz w:val="18"/>
                <w:szCs w:val="18"/>
              </w:rPr>
            </w:pPr>
            <w:r>
              <w:rPr>
                <w:rFonts w:ascii="宋体"/>
                <w:spacing w:val="-1"/>
                <w:sz w:val="18"/>
              </w:rPr>
              <w:t>954,956,655.83</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1"/>
              <w:jc w:val="right"/>
              <w:rPr>
                <w:rFonts w:ascii="宋体" w:hAnsi="宋体" w:cs="宋体" w:eastAsia="宋体" w:hint="default"/>
                <w:sz w:val="18"/>
                <w:szCs w:val="18"/>
              </w:rPr>
            </w:pPr>
            <w:r>
              <w:rPr>
                <w:rFonts w:ascii="宋体"/>
                <w:sz w:val="18"/>
              </w:rPr>
              <w:t>91.07</w:t>
            </w:r>
          </w:p>
        </w:tc>
        <w:tc>
          <w:tcPr>
            <w:tcW w:w="1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8" w:right="0"/>
              <w:jc w:val="center"/>
              <w:rPr>
                <w:rFonts w:ascii="宋体" w:hAnsi="宋体" w:cs="宋体" w:eastAsia="宋体" w:hint="default"/>
                <w:sz w:val="18"/>
                <w:szCs w:val="18"/>
              </w:rPr>
            </w:pPr>
            <w:r>
              <w:rPr>
                <w:rFonts w:ascii="宋体"/>
                <w:sz w:val="18"/>
              </w:rPr>
              <w:t>69,828,979.67</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1"/>
              <w:jc w:val="right"/>
              <w:rPr>
                <w:rFonts w:ascii="宋体" w:hAnsi="宋体" w:cs="宋体" w:eastAsia="宋体" w:hint="default"/>
                <w:sz w:val="18"/>
                <w:szCs w:val="18"/>
              </w:rPr>
            </w:pPr>
            <w:r>
              <w:rPr>
                <w:rFonts w:ascii="宋体"/>
                <w:sz w:val="18"/>
              </w:rPr>
              <w:t>7.31</w:t>
            </w:r>
          </w:p>
        </w:tc>
        <w:tc>
          <w:tcPr>
            <w:tcW w:w="21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4"/>
              <w:jc w:val="right"/>
              <w:rPr>
                <w:rFonts w:ascii="宋体" w:hAnsi="宋体" w:cs="宋体" w:eastAsia="宋体" w:hint="default"/>
                <w:sz w:val="18"/>
                <w:szCs w:val="18"/>
              </w:rPr>
            </w:pPr>
            <w:r>
              <w:rPr>
                <w:rFonts w:ascii="宋体"/>
                <w:spacing w:val="-1"/>
                <w:sz w:val="18"/>
              </w:rPr>
              <w:t>885,127,676.16</w:t>
            </w:r>
          </w:p>
        </w:tc>
      </w:tr>
      <w:tr>
        <w:trPr>
          <w:trHeight w:val="398" w:hRule="exact"/>
        </w:trPr>
        <w:tc>
          <w:tcPr>
            <w:tcW w:w="2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2"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5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2"/>
              <w:jc w:val="right"/>
              <w:rPr>
                <w:rFonts w:ascii="宋体" w:hAnsi="宋体" w:cs="宋体" w:eastAsia="宋体" w:hint="default"/>
                <w:sz w:val="18"/>
                <w:szCs w:val="18"/>
              </w:rPr>
            </w:pPr>
            <w:r>
              <w:rPr>
                <w:rFonts w:ascii="宋体"/>
                <w:spacing w:val="-1"/>
                <w:sz w:val="18"/>
              </w:rPr>
              <w:t>1,048,641,650.85</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3"/>
              <w:jc w:val="right"/>
              <w:rPr>
                <w:rFonts w:ascii="宋体" w:hAnsi="宋体" w:cs="宋体" w:eastAsia="宋体" w:hint="default"/>
                <w:sz w:val="18"/>
                <w:szCs w:val="18"/>
              </w:rPr>
            </w:pPr>
            <w:r>
              <w:rPr>
                <w:rFonts w:ascii="宋体"/>
                <w:spacing w:val="-1"/>
                <w:sz w:val="18"/>
              </w:rPr>
              <w:t>100.00</w:t>
            </w:r>
          </w:p>
        </w:tc>
        <w:tc>
          <w:tcPr>
            <w:tcW w:w="1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0"/>
              <w:jc w:val="center"/>
              <w:rPr>
                <w:rFonts w:ascii="宋体" w:hAnsi="宋体" w:cs="宋体" w:eastAsia="宋体" w:hint="default"/>
                <w:sz w:val="18"/>
                <w:szCs w:val="18"/>
              </w:rPr>
            </w:pPr>
            <w:r>
              <w:rPr>
                <w:rFonts w:ascii="宋体"/>
                <w:sz w:val="18"/>
              </w:rPr>
              <w:t>158,722,186.03</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1"/>
              <w:jc w:val="right"/>
              <w:rPr>
                <w:rFonts w:ascii="宋体" w:hAnsi="宋体" w:cs="宋体" w:eastAsia="宋体" w:hint="default"/>
                <w:sz w:val="18"/>
                <w:szCs w:val="18"/>
              </w:rPr>
            </w:pPr>
            <w:r>
              <w:rPr>
                <w:rFonts w:ascii="宋体"/>
                <w:sz w:val="18"/>
              </w:rPr>
              <w:t>15.14</w:t>
            </w:r>
          </w:p>
        </w:tc>
        <w:tc>
          <w:tcPr>
            <w:tcW w:w="21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4"/>
              <w:jc w:val="right"/>
              <w:rPr>
                <w:rFonts w:ascii="宋体" w:hAnsi="宋体" w:cs="宋体" w:eastAsia="宋体" w:hint="default"/>
                <w:sz w:val="18"/>
                <w:szCs w:val="18"/>
              </w:rPr>
            </w:pPr>
            <w:r>
              <w:rPr>
                <w:rFonts w:ascii="宋体"/>
                <w:spacing w:val="-1"/>
                <w:sz w:val="18"/>
              </w:rPr>
              <w:t>889,919,464.82</w:t>
            </w:r>
          </w:p>
        </w:tc>
      </w:tr>
    </w:tbl>
    <w:p>
      <w:pPr>
        <w:pStyle w:val="BodyText"/>
        <w:spacing w:line="240" w:lineRule="auto" w:before="86"/>
        <w:ind w:left="573" w:right="1133"/>
        <w:jc w:val="left"/>
        <w:rPr>
          <w:rFonts w:ascii="宋体" w:hAnsi="宋体" w:cs="宋体" w:eastAsia="宋体" w:hint="default"/>
        </w:rPr>
      </w:pPr>
      <w:r>
        <w:rPr/>
        <w:t>续表</w:t>
      </w:r>
      <w:r>
        <w:rPr>
          <w:rFonts w:ascii="宋体" w:hAnsi="宋体" w:cs="宋体" w:eastAsia="宋体" w:hint="default"/>
        </w:rPr>
        <w:t> </w:t>
      </w:r>
    </w:p>
    <w:p>
      <w:pPr>
        <w:spacing w:line="240" w:lineRule="auto" w:before="7"/>
        <w:rPr>
          <w:rFonts w:ascii="宋体" w:hAnsi="宋体" w:cs="宋体" w:eastAsia="宋体" w:hint="default"/>
          <w:sz w:val="11"/>
          <w:szCs w:val="11"/>
        </w:rPr>
      </w:pPr>
    </w:p>
    <w:tbl>
      <w:tblPr>
        <w:tblW w:w="0" w:type="auto"/>
        <w:jc w:val="left"/>
        <w:tblInd w:w="183" w:type="dxa"/>
        <w:tblLayout w:type="fixed"/>
        <w:tblCellMar>
          <w:top w:w="0" w:type="dxa"/>
          <w:left w:w="0" w:type="dxa"/>
          <w:bottom w:w="0" w:type="dxa"/>
          <w:right w:w="0" w:type="dxa"/>
        </w:tblCellMar>
        <w:tblLook w:val="01E0"/>
      </w:tblPr>
      <w:tblGrid>
        <w:gridCol w:w="2151"/>
        <w:gridCol w:w="1635"/>
        <w:gridCol w:w="934"/>
        <w:gridCol w:w="1320"/>
        <w:gridCol w:w="1217"/>
        <w:gridCol w:w="2278"/>
      </w:tblGrid>
      <w:tr>
        <w:trPr>
          <w:trHeight w:val="396" w:hRule="exact"/>
        </w:trPr>
        <w:tc>
          <w:tcPr>
            <w:tcW w:w="215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left="95" w:right="0"/>
              <w:jc w:val="center"/>
              <w:rPr>
                <w:rFonts w:ascii="宋体" w:hAnsi="宋体" w:cs="宋体" w:eastAsia="宋体" w:hint="default"/>
                <w:sz w:val="18"/>
                <w:szCs w:val="18"/>
              </w:rPr>
            </w:pPr>
            <w:r>
              <w:rPr>
                <w:rFonts w:ascii="宋体" w:hAnsi="宋体" w:cs="宋体" w:eastAsia="宋体" w:hint="default"/>
                <w:sz w:val="18"/>
                <w:szCs w:val="18"/>
              </w:rPr>
              <w:t>类别</w:t>
            </w:r>
            <w:r>
              <w:rPr>
                <w:rFonts w:ascii="宋体" w:hAnsi="宋体" w:cs="宋体" w:eastAsia="宋体" w:hint="default"/>
                <w:sz w:val="18"/>
                <w:szCs w:val="18"/>
              </w:rPr>
              <w:t> </w:t>
            </w:r>
          </w:p>
        </w:tc>
        <w:tc>
          <w:tcPr>
            <w:tcW w:w="7384"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4" w:right="0"/>
              <w:jc w:val="center"/>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r>
      <w:tr>
        <w:trPr>
          <w:trHeight w:val="398" w:hRule="exact"/>
        </w:trPr>
        <w:tc>
          <w:tcPr>
            <w:tcW w:w="2151" w:type="dxa"/>
            <w:vMerge/>
            <w:tcBorders>
              <w:left w:val="single" w:sz="4" w:space="0" w:color="000000"/>
              <w:right w:val="single" w:sz="4" w:space="0" w:color="000000"/>
            </w:tcBorders>
          </w:tcPr>
          <w:p>
            <w:pPr/>
          </w:p>
        </w:tc>
        <w:tc>
          <w:tcPr>
            <w:tcW w:w="25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22" w:right="0"/>
              <w:jc w:val="left"/>
              <w:rPr>
                <w:rFonts w:ascii="宋体" w:hAnsi="宋体" w:cs="宋体" w:eastAsia="宋体" w:hint="default"/>
                <w:sz w:val="18"/>
                <w:szCs w:val="18"/>
              </w:rPr>
            </w:pPr>
            <w:r>
              <w:rPr>
                <w:rFonts w:ascii="宋体" w:hAnsi="宋体" w:cs="宋体" w:eastAsia="宋体" w:hint="default"/>
                <w:sz w:val="18"/>
                <w:szCs w:val="18"/>
              </w:rPr>
              <w:t>账面余额</w:t>
            </w:r>
            <w:r>
              <w:rPr>
                <w:rFonts w:ascii="宋体" w:hAnsi="宋体" w:cs="宋体" w:eastAsia="宋体" w:hint="default"/>
                <w:sz w:val="18"/>
                <w:szCs w:val="18"/>
              </w:rPr>
              <w:t> </w:t>
            </w:r>
          </w:p>
        </w:tc>
        <w:tc>
          <w:tcPr>
            <w:tcW w:w="253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05" w:right="0"/>
              <w:jc w:val="left"/>
              <w:rPr>
                <w:rFonts w:ascii="宋体" w:hAnsi="宋体" w:cs="宋体" w:eastAsia="宋体" w:hint="default"/>
                <w:sz w:val="18"/>
                <w:szCs w:val="18"/>
              </w:rPr>
            </w:pPr>
            <w:r>
              <w:rPr>
                <w:rFonts w:ascii="宋体" w:hAnsi="宋体" w:cs="宋体" w:eastAsia="宋体" w:hint="default"/>
                <w:sz w:val="18"/>
                <w:szCs w:val="18"/>
              </w:rPr>
              <w:t>坏账准备</w:t>
            </w:r>
            <w:r>
              <w:rPr>
                <w:rFonts w:ascii="宋体" w:hAnsi="宋体" w:cs="宋体" w:eastAsia="宋体" w:hint="default"/>
                <w:sz w:val="18"/>
                <w:szCs w:val="18"/>
              </w:rPr>
              <w:t> </w:t>
            </w:r>
          </w:p>
        </w:tc>
        <w:tc>
          <w:tcPr>
            <w:tcW w:w="2278" w:type="dxa"/>
            <w:vMerge w:val="restart"/>
            <w:tcBorders>
              <w:top w:val="single" w:sz="4" w:space="0" w:color="000000"/>
              <w:left w:val="single" w:sz="4" w:space="0" w:color="000000"/>
              <w:right w:val="single" w:sz="4" w:space="0" w:color="000000"/>
            </w:tcBorders>
          </w:tcPr>
          <w:p>
            <w:pPr>
              <w:pStyle w:val="TableParagraph"/>
              <w:spacing w:line="232" w:lineRule="exact" w:before="155"/>
              <w:ind w:left="955" w:right="860"/>
              <w:jc w:val="center"/>
              <w:rPr>
                <w:rFonts w:ascii="宋体" w:hAnsi="宋体" w:cs="宋体" w:eastAsia="宋体" w:hint="default"/>
                <w:sz w:val="18"/>
                <w:szCs w:val="18"/>
              </w:rPr>
            </w:pPr>
            <w:r>
              <w:rPr>
                <w:rFonts w:ascii="宋体" w:hAnsi="宋体" w:cs="宋体" w:eastAsia="宋体" w:hint="default"/>
                <w:sz w:val="18"/>
                <w:szCs w:val="18"/>
              </w:rPr>
              <w:t>账面</w:t>
            </w:r>
            <w:r>
              <w:rPr>
                <w:rFonts w:ascii="宋体" w:hAnsi="宋体" w:cs="宋体" w:eastAsia="宋体" w:hint="default"/>
                <w:sz w:val="18"/>
                <w:szCs w:val="18"/>
              </w:rPr>
              <w:t> </w:t>
            </w:r>
            <w:r>
              <w:rPr>
                <w:rFonts w:ascii="宋体" w:hAnsi="宋体" w:cs="宋体" w:eastAsia="宋体" w:hint="default"/>
                <w:sz w:val="18"/>
                <w:szCs w:val="18"/>
              </w:rPr>
              <w:t>价值</w:t>
            </w:r>
            <w:r>
              <w:rPr>
                <w:rFonts w:ascii="宋体" w:hAnsi="宋体" w:cs="宋体" w:eastAsia="宋体" w:hint="default"/>
                <w:sz w:val="18"/>
                <w:szCs w:val="18"/>
              </w:rPr>
              <w:t> </w:t>
            </w:r>
          </w:p>
        </w:tc>
      </w:tr>
      <w:tr>
        <w:trPr>
          <w:trHeight w:val="396" w:hRule="exact"/>
        </w:trPr>
        <w:tc>
          <w:tcPr>
            <w:tcW w:w="2151" w:type="dxa"/>
            <w:vMerge/>
            <w:tcBorders>
              <w:left w:val="single" w:sz="4" w:space="0" w:color="000000"/>
              <w:bottom w:val="single" w:sz="4" w:space="0" w:color="000000"/>
              <w:right w:val="single" w:sz="4" w:space="0" w:color="000000"/>
            </w:tcBorders>
          </w:tcPr>
          <w:p>
            <w:pP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633" w:right="0"/>
              <w:jc w:val="left"/>
              <w:rPr>
                <w:rFonts w:ascii="宋体" w:hAnsi="宋体" w:cs="宋体" w:eastAsia="宋体" w:hint="default"/>
                <w:sz w:val="18"/>
                <w:szCs w:val="18"/>
              </w:rPr>
            </w:pPr>
            <w:r>
              <w:rPr>
                <w:rFonts w:ascii="宋体" w:hAnsi="宋体" w:cs="宋体" w:eastAsia="宋体" w:hint="default"/>
                <w:sz w:val="18"/>
                <w:szCs w:val="18"/>
              </w:rPr>
              <w:t>金额</w:t>
            </w:r>
            <w:r>
              <w:rPr>
                <w:rFonts w:ascii="宋体" w:hAnsi="宋体" w:cs="宋体" w:eastAsia="宋体" w:hint="default"/>
                <w:sz w:val="18"/>
                <w:szCs w:val="18"/>
              </w:rPr>
              <w:t> </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35"/>
              <w:jc w:val="right"/>
              <w:rPr>
                <w:rFonts w:ascii="宋体" w:hAnsi="宋体" w:cs="宋体" w:eastAsia="宋体" w:hint="default"/>
                <w:sz w:val="18"/>
                <w:szCs w:val="18"/>
              </w:rPr>
            </w:pPr>
            <w:r>
              <w:rPr>
                <w:rFonts w:ascii="宋体" w:hAnsi="宋体" w:cs="宋体" w:eastAsia="宋体" w:hint="default"/>
                <w:sz w:val="18"/>
                <w:szCs w:val="18"/>
              </w:rPr>
              <w:t>比例（</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 </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4" w:right="0"/>
              <w:jc w:val="center"/>
              <w:rPr>
                <w:rFonts w:ascii="宋体" w:hAnsi="宋体" w:cs="宋体" w:eastAsia="宋体" w:hint="default"/>
                <w:sz w:val="18"/>
                <w:szCs w:val="18"/>
              </w:rPr>
            </w:pPr>
            <w:r>
              <w:rPr>
                <w:rFonts w:ascii="宋体" w:hAnsi="宋体" w:cs="宋体" w:eastAsia="宋体" w:hint="default"/>
                <w:sz w:val="18"/>
                <w:szCs w:val="18"/>
              </w:rPr>
              <w:t>金额</w:t>
            </w:r>
            <w:r>
              <w:rPr>
                <w:rFonts w:ascii="宋体" w:hAnsi="宋体" w:cs="宋体" w:eastAsia="宋体" w:hint="default"/>
                <w:sz w:val="18"/>
                <w:szCs w:val="18"/>
              </w:rPr>
              <w:t> </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7"/>
              <w:jc w:val="right"/>
              <w:rPr>
                <w:rFonts w:ascii="宋体" w:hAnsi="宋体" w:cs="宋体" w:eastAsia="宋体" w:hint="default"/>
                <w:sz w:val="18"/>
                <w:szCs w:val="18"/>
              </w:rPr>
            </w:pPr>
            <w:r>
              <w:rPr>
                <w:rFonts w:ascii="宋体" w:hAnsi="宋体" w:cs="宋体" w:eastAsia="宋体" w:hint="default"/>
                <w:sz w:val="18"/>
                <w:szCs w:val="18"/>
              </w:rPr>
              <w:t>计提比例（</w:t>
            </w:r>
            <w:r>
              <w:rPr>
                <w:rFonts w:ascii="宋体" w:hAnsi="宋体" w:cs="宋体" w:eastAsia="宋体" w:hint="default"/>
                <w:sz w:val="18"/>
                <w:szCs w:val="18"/>
              </w:rPr>
              <w:t>%</w:t>
            </w:r>
            <w:r>
              <w:rPr>
                <w:rFonts w:ascii="宋体" w:hAnsi="宋体" w:cs="宋体" w:eastAsia="宋体" w:hint="default"/>
                <w:sz w:val="18"/>
                <w:szCs w:val="18"/>
              </w:rPr>
              <w:t>）</w:t>
            </w:r>
          </w:p>
        </w:tc>
        <w:tc>
          <w:tcPr>
            <w:tcW w:w="2278" w:type="dxa"/>
            <w:vMerge/>
            <w:tcBorders>
              <w:left w:val="single" w:sz="4" w:space="0" w:color="000000"/>
              <w:bottom w:val="single" w:sz="4" w:space="0" w:color="000000"/>
              <w:right w:val="single" w:sz="4" w:space="0" w:color="000000"/>
            </w:tcBorders>
          </w:tcPr>
          <w:p>
            <w:pPr/>
          </w:p>
        </w:tc>
      </w:tr>
      <w:tr>
        <w:trPr>
          <w:trHeight w:val="398" w:hRule="exact"/>
        </w:trPr>
        <w:tc>
          <w:tcPr>
            <w:tcW w:w="2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8" w:right="0"/>
              <w:jc w:val="left"/>
              <w:rPr>
                <w:rFonts w:ascii="宋体" w:hAnsi="宋体" w:cs="宋体" w:eastAsia="宋体" w:hint="default"/>
                <w:sz w:val="18"/>
                <w:szCs w:val="18"/>
              </w:rPr>
            </w:pPr>
            <w:r>
              <w:rPr>
                <w:rFonts w:ascii="宋体" w:hAnsi="宋体" w:cs="宋体" w:eastAsia="宋体" w:hint="default"/>
                <w:sz w:val="18"/>
                <w:szCs w:val="18"/>
              </w:rPr>
              <w:t>按单项计提坏账准备</w:t>
            </w:r>
            <w:r>
              <w:rPr>
                <w:rFonts w:ascii="宋体" w:hAnsi="宋体" w:cs="宋体" w:eastAsia="宋体" w:hint="default"/>
                <w:sz w:val="18"/>
                <w:szCs w:val="18"/>
              </w:rPr>
              <w:t> </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2"/>
              <w:jc w:val="right"/>
              <w:rPr>
                <w:rFonts w:ascii="宋体" w:hAnsi="宋体" w:cs="宋体" w:eastAsia="宋体" w:hint="default"/>
                <w:sz w:val="18"/>
                <w:szCs w:val="18"/>
              </w:rPr>
            </w:pPr>
            <w:r>
              <w:rPr>
                <w:rFonts w:ascii="宋体"/>
                <w:spacing w:val="-1"/>
                <w:sz w:val="18"/>
              </w:rPr>
              <w:t>15,288,455.54</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1"/>
              <w:jc w:val="right"/>
              <w:rPr>
                <w:rFonts w:ascii="宋体" w:hAnsi="宋体" w:cs="宋体" w:eastAsia="宋体" w:hint="default"/>
                <w:sz w:val="18"/>
                <w:szCs w:val="18"/>
              </w:rPr>
            </w:pPr>
            <w:r>
              <w:rPr>
                <w:rFonts w:ascii="宋体"/>
                <w:sz w:val="18"/>
              </w:rPr>
              <w:t>1.35</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0" w:right="0"/>
              <w:jc w:val="center"/>
              <w:rPr>
                <w:rFonts w:ascii="宋体" w:hAnsi="宋体" w:cs="宋体" w:eastAsia="宋体" w:hint="default"/>
                <w:sz w:val="18"/>
                <w:szCs w:val="18"/>
              </w:rPr>
            </w:pPr>
            <w:r>
              <w:rPr>
                <w:rFonts w:ascii="宋体"/>
                <w:sz w:val="18"/>
              </w:rPr>
              <w:t>14,061,026.66</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1"/>
              <w:jc w:val="right"/>
              <w:rPr>
                <w:rFonts w:ascii="宋体" w:hAnsi="宋体" w:cs="宋体" w:eastAsia="宋体" w:hint="default"/>
                <w:sz w:val="18"/>
                <w:szCs w:val="18"/>
              </w:rPr>
            </w:pPr>
            <w:r>
              <w:rPr>
                <w:rFonts w:ascii="宋体"/>
                <w:sz w:val="18"/>
              </w:rPr>
              <w:t>91.97</w:t>
            </w:r>
          </w:p>
        </w:tc>
        <w:tc>
          <w:tcPr>
            <w:tcW w:w="2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1"/>
              <w:jc w:val="right"/>
              <w:rPr>
                <w:rFonts w:ascii="宋体" w:hAnsi="宋体" w:cs="宋体" w:eastAsia="宋体" w:hint="default"/>
                <w:sz w:val="18"/>
                <w:szCs w:val="18"/>
              </w:rPr>
            </w:pPr>
            <w:r>
              <w:rPr>
                <w:rFonts w:ascii="宋体"/>
                <w:spacing w:val="-1"/>
                <w:sz w:val="18"/>
              </w:rPr>
              <w:t>1,227,428.88</w:t>
            </w:r>
          </w:p>
        </w:tc>
      </w:tr>
      <w:tr>
        <w:trPr>
          <w:trHeight w:val="475" w:hRule="exact"/>
        </w:trPr>
        <w:tc>
          <w:tcPr>
            <w:tcW w:w="2151"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8" w:right="0"/>
              <w:jc w:val="left"/>
              <w:rPr>
                <w:rFonts w:ascii="宋体" w:hAnsi="宋体" w:cs="宋体" w:eastAsia="宋体" w:hint="default"/>
                <w:sz w:val="18"/>
                <w:szCs w:val="18"/>
              </w:rPr>
            </w:pPr>
            <w:r>
              <w:rPr>
                <w:rFonts w:ascii="宋体" w:hAnsi="宋体" w:cs="宋体" w:eastAsia="宋体" w:hint="default"/>
                <w:spacing w:val="-6"/>
                <w:sz w:val="18"/>
                <w:szCs w:val="18"/>
              </w:rPr>
              <w:t>其中：个别认定计提坏账准</w:t>
            </w:r>
          </w:p>
          <w:p>
            <w:pPr>
              <w:pStyle w:val="TableParagraph"/>
              <w:spacing w:line="234" w:lineRule="exact"/>
              <w:ind w:left="28" w:right="0"/>
              <w:jc w:val="left"/>
              <w:rPr>
                <w:rFonts w:ascii="宋体" w:hAnsi="宋体" w:cs="宋体" w:eastAsia="宋体" w:hint="default"/>
                <w:sz w:val="18"/>
                <w:szCs w:val="18"/>
              </w:rPr>
            </w:pPr>
            <w:r>
              <w:rPr>
                <w:rFonts w:ascii="宋体" w:hAnsi="宋体" w:cs="宋体" w:eastAsia="宋体" w:hint="default"/>
                <w:sz w:val="18"/>
                <w:szCs w:val="18"/>
              </w:rPr>
              <w:t>备的应收账款</w:t>
            </w:r>
            <w:r>
              <w:rPr>
                <w:rFonts w:ascii="宋体" w:hAnsi="宋体" w:cs="宋体" w:eastAsia="宋体" w:hint="default"/>
                <w:sz w:val="18"/>
                <w:szCs w:val="18"/>
              </w:rPr>
              <w:t> </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2"/>
              <w:jc w:val="right"/>
              <w:rPr>
                <w:rFonts w:ascii="宋体" w:hAnsi="宋体" w:cs="宋体" w:eastAsia="宋体" w:hint="default"/>
                <w:sz w:val="18"/>
                <w:szCs w:val="18"/>
              </w:rPr>
            </w:pPr>
            <w:r>
              <w:rPr>
                <w:rFonts w:ascii="宋体"/>
                <w:spacing w:val="-1"/>
                <w:sz w:val="18"/>
              </w:rPr>
              <w:t>15,288,455.54</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1"/>
              <w:jc w:val="right"/>
              <w:rPr>
                <w:rFonts w:ascii="宋体" w:hAnsi="宋体" w:cs="宋体" w:eastAsia="宋体" w:hint="default"/>
                <w:sz w:val="18"/>
                <w:szCs w:val="18"/>
              </w:rPr>
            </w:pPr>
            <w:r>
              <w:rPr>
                <w:rFonts w:ascii="宋体"/>
                <w:sz w:val="18"/>
              </w:rPr>
              <w:t>1.35</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90" w:right="0"/>
              <w:jc w:val="center"/>
              <w:rPr>
                <w:rFonts w:ascii="宋体" w:hAnsi="宋体" w:cs="宋体" w:eastAsia="宋体" w:hint="default"/>
                <w:sz w:val="18"/>
                <w:szCs w:val="18"/>
              </w:rPr>
            </w:pPr>
            <w:r>
              <w:rPr>
                <w:rFonts w:ascii="宋体"/>
                <w:sz w:val="18"/>
              </w:rPr>
              <w:t>14,061,026.66</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1"/>
              <w:jc w:val="right"/>
              <w:rPr>
                <w:rFonts w:ascii="宋体" w:hAnsi="宋体" w:cs="宋体" w:eastAsia="宋体" w:hint="default"/>
                <w:sz w:val="18"/>
                <w:szCs w:val="18"/>
              </w:rPr>
            </w:pPr>
            <w:r>
              <w:rPr>
                <w:rFonts w:ascii="宋体"/>
                <w:sz w:val="18"/>
              </w:rPr>
              <w:t>91.97</w:t>
            </w:r>
          </w:p>
        </w:tc>
        <w:tc>
          <w:tcPr>
            <w:tcW w:w="2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1"/>
              <w:jc w:val="right"/>
              <w:rPr>
                <w:rFonts w:ascii="宋体" w:hAnsi="宋体" w:cs="宋体" w:eastAsia="宋体" w:hint="default"/>
                <w:sz w:val="18"/>
                <w:szCs w:val="18"/>
              </w:rPr>
            </w:pPr>
            <w:r>
              <w:rPr>
                <w:rFonts w:ascii="宋体"/>
                <w:spacing w:val="-1"/>
                <w:sz w:val="18"/>
              </w:rPr>
              <w:t>1,227,428.88</w:t>
            </w:r>
          </w:p>
        </w:tc>
      </w:tr>
      <w:tr>
        <w:trPr>
          <w:trHeight w:val="398" w:hRule="exact"/>
        </w:trPr>
        <w:tc>
          <w:tcPr>
            <w:tcW w:w="2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8" w:right="0"/>
              <w:jc w:val="left"/>
              <w:rPr>
                <w:rFonts w:ascii="宋体" w:hAnsi="宋体" w:cs="宋体" w:eastAsia="宋体" w:hint="default"/>
                <w:sz w:val="18"/>
                <w:szCs w:val="18"/>
              </w:rPr>
            </w:pPr>
            <w:r>
              <w:rPr>
                <w:rFonts w:ascii="宋体" w:hAnsi="宋体" w:cs="宋体" w:eastAsia="宋体" w:hint="default"/>
                <w:sz w:val="18"/>
                <w:szCs w:val="18"/>
              </w:rPr>
              <w:t>按组合计提坏账准备</w:t>
            </w:r>
            <w:r>
              <w:rPr>
                <w:rFonts w:ascii="宋体" w:hAnsi="宋体" w:cs="宋体" w:eastAsia="宋体" w:hint="default"/>
                <w:sz w:val="18"/>
                <w:szCs w:val="18"/>
              </w:rPr>
              <w:t> </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宋体" w:hAnsi="宋体" w:cs="宋体" w:eastAsia="宋体" w:hint="default"/>
                <w:sz w:val="18"/>
                <w:szCs w:val="18"/>
              </w:rPr>
            </w:pPr>
            <w:r>
              <w:rPr>
                <w:rFonts w:ascii="宋体"/>
                <w:spacing w:val="-1"/>
                <w:sz w:val="18"/>
              </w:rPr>
              <w:t>1,116,725,326.20</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z w:val="18"/>
              </w:rPr>
              <w:t>98.65</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0" w:right="0"/>
              <w:jc w:val="center"/>
              <w:rPr>
                <w:rFonts w:ascii="宋体" w:hAnsi="宋体" w:cs="宋体" w:eastAsia="宋体" w:hint="default"/>
                <w:sz w:val="18"/>
                <w:szCs w:val="18"/>
              </w:rPr>
            </w:pPr>
            <w:r>
              <w:rPr>
                <w:rFonts w:ascii="宋体"/>
                <w:sz w:val="18"/>
              </w:rPr>
              <w:t>63,926,127.59</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z w:val="18"/>
              </w:rPr>
              <w:t>5.72</w:t>
            </w:r>
          </w:p>
        </w:tc>
        <w:tc>
          <w:tcPr>
            <w:tcW w:w="2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宋体" w:hAnsi="宋体" w:cs="宋体" w:eastAsia="宋体" w:hint="default"/>
                <w:sz w:val="18"/>
                <w:szCs w:val="18"/>
              </w:rPr>
            </w:pPr>
            <w:r>
              <w:rPr>
                <w:rFonts w:ascii="宋体"/>
                <w:spacing w:val="-1"/>
                <w:sz w:val="18"/>
              </w:rPr>
              <w:t>1,052,799,198.61</w:t>
            </w:r>
          </w:p>
        </w:tc>
      </w:tr>
      <w:tr>
        <w:trPr>
          <w:trHeight w:val="396" w:hRule="exact"/>
        </w:trPr>
        <w:tc>
          <w:tcPr>
            <w:tcW w:w="2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8" w:right="0"/>
              <w:jc w:val="left"/>
              <w:rPr>
                <w:rFonts w:ascii="宋体" w:hAnsi="宋体" w:cs="宋体" w:eastAsia="宋体" w:hint="default"/>
                <w:sz w:val="18"/>
                <w:szCs w:val="18"/>
              </w:rPr>
            </w:pPr>
            <w:r>
              <w:rPr>
                <w:rFonts w:ascii="宋体" w:hAnsi="宋体" w:cs="宋体" w:eastAsia="宋体" w:hint="default"/>
                <w:sz w:val="18"/>
                <w:szCs w:val="18"/>
              </w:rPr>
              <w:t>其中：账龄组合</w:t>
            </w:r>
            <w:r>
              <w:rPr>
                <w:rFonts w:ascii="宋体" w:hAnsi="宋体" w:cs="宋体" w:eastAsia="宋体" w:hint="default"/>
                <w:sz w:val="18"/>
                <w:szCs w:val="18"/>
              </w:rPr>
              <w:t> </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2"/>
              <w:jc w:val="right"/>
              <w:rPr>
                <w:rFonts w:ascii="宋体" w:hAnsi="宋体" w:cs="宋体" w:eastAsia="宋体" w:hint="default"/>
                <w:sz w:val="18"/>
                <w:szCs w:val="18"/>
              </w:rPr>
            </w:pPr>
            <w:r>
              <w:rPr>
                <w:rFonts w:ascii="宋体"/>
                <w:spacing w:val="-1"/>
                <w:sz w:val="18"/>
              </w:rPr>
              <w:t>1,116,725,326.20</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1"/>
              <w:jc w:val="right"/>
              <w:rPr>
                <w:rFonts w:ascii="宋体" w:hAnsi="宋体" w:cs="宋体" w:eastAsia="宋体" w:hint="default"/>
                <w:sz w:val="18"/>
                <w:szCs w:val="18"/>
              </w:rPr>
            </w:pPr>
            <w:r>
              <w:rPr>
                <w:rFonts w:ascii="宋体"/>
                <w:sz w:val="18"/>
              </w:rPr>
              <w:t>98.65</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0" w:right="0"/>
              <w:jc w:val="center"/>
              <w:rPr>
                <w:rFonts w:ascii="宋体" w:hAnsi="宋体" w:cs="宋体" w:eastAsia="宋体" w:hint="default"/>
                <w:sz w:val="18"/>
                <w:szCs w:val="18"/>
              </w:rPr>
            </w:pPr>
            <w:r>
              <w:rPr>
                <w:rFonts w:ascii="宋体"/>
                <w:sz w:val="18"/>
              </w:rPr>
              <w:t>63,926,127.59</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1"/>
              <w:jc w:val="right"/>
              <w:rPr>
                <w:rFonts w:ascii="宋体" w:hAnsi="宋体" w:cs="宋体" w:eastAsia="宋体" w:hint="default"/>
                <w:sz w:val="18"/>
                <w:szCs w:val="18"/>
              </w:rPr>
            </w:pPr>
            <w:r>
              <w:rPr>
                <w:rFonts w:ascii="宋体"/>
                <w:sz w:val="18"/>
              </w:rPr>
              <w:t>5.72</w:t>
            </w:r>
          </w:p>
        </w:tc>
        <w:tc>
          <w:tcPr>
            <w:tcW w:w="2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2"/>
              <w:jc w:val="right"/>
              <w:rPr>
                <w:rFonts w:ascii="宋体" w:hAnsi="宋体" w:cs="宋体" w:eastAsia="宋体" w:hint="default"/>
                <w:sz w:val="18"/>
                <w:szCs w:val="18"/>
              </w:rPr>
            </w:pPr>
            <w:r>
              <w:rPr>
                <w:rFonts w:ascii="宋体"/>
                <w:spacing w:val="-1"/>
                <w:sz w:val="18"/>
              </w:rPr>
              <w:t>1,052,799,198.61</w:t>
            </w:r>
          </w:p>
        </w:tc>
      </w:tr>
      <w:tr>
        <w:trPr>
          <w:trHeight w:val="398" w:hRule="exact"/>
        </w:trPr>
        <w:tc>
          <w:tcPr>
            <w:tcW w:w="21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5"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2"/>
              <w:jc w:val="right"/>
              <w:rPr>
                <w:rFonts w:ascii="宋体" w:hAnsi="宋体" w:cs="宋体" w:eastAsia="宋体" w:hint="default"/>
                <w:sz w:val="18"/>
                <w:szCs w:val="18"/>
              </w:rPr>
            </w:pPr>
            <w:r>
              <w:rPr>
                <w:rFonts w:ascii="宋体"/>
                <w:spacing w:val="-1"/>
                <w:sz w:val="18"/>
              </w:rPr>
              <w:t>1,132,013,781.74</w:t>
            </w:r>
          </w:p>
        </w:tc>
        <w:tc>
          <w:tcPr>
            <w:tcW w:w="9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1"/>
              <w:jc w:val="right"/>
              <w:rPr>
                <w:rFonts w:ascii="宋体" w:hAnsi="宋体" w:cs="宋体" w:eastAsia="宋体" w:hint="default"/>
                <w:sz w:val="18"/>
                <w:szCs w:val="18"/>
              </w:rPr>
            </w:pPr>
            <w:r>
              <w:rPr>
                <w:rFonts w:ascii="宋体"/>
                <w:spacing w:val="-1"/>
                <w:sz w:val="18"/>
              </w:rPr>
              <w:t>100.00</w:t>
            </w:r>
          </w:p>
        </w:tc>
        <w:tc>
          <w:tcPr>
            <w:tcW w:w="13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0" w:right="0"/>
              <w:jc w:val="center"/>
              <w:rPr>
                <w:rFonts w:ascii="宋体" w:hAnsi="宋体" w:cs="宋体" w:eastAsia="宋体" w:hint="default"/>
                <w:sz w:val="18"/>
                <w:szCs w:val="18"/>
              </w:rPr>
            </w:pPr>
            <w:r>
              <w:rPr>
                <w:rFonts w:ascii="宋体"/>
                <w:sz w:val="18"/>
              </w:rPr>
              <w:t>77,987,154.25</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1"/>
              <w:jc w:val="right"/>
              <w:rPr>
                <w:rFonts w:ascii="宋体" w:hAnsi="宋体" w:cs="宋体" w:eastAsia="宋体" w:hint="default"/>
                <w:sz w:val="18"/>
                <w:szCs w:val="18"/>
              </w:rPr>
            </w:pPr>
            <w:r>
              <w:rPr>
                <w:rFonts w:ascii="宋体"/>
                <w:sz w:val="18"/>
              </w:rPr>
              <w:t>6.89</w:t>
            </w:r>
          </w:p>
        </w:tc>
        <w:tc>
          <w:tcPr>
            <w:tcW w:w="2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2"/>
              <w:jc w:val="right"/>
              <w:rPr>
                <w:rFonts w:ascii="宋体" w:hAnsi="宋体" w:cs="宋体" w:eastAsia="宋体" w:hint="default"/>
                <w:sz w:val="18"/>
                <w:szCs w:val="18"/>
              </w:rPr>
            </w:pPr>
            <w:r>
              <w:rPr>
                <w:rFonts w:ascii="宋体"/>
                <w:spacing w:val="-1"/>
                <w:sz w:val="18"/>
              </w:rPr>
              <w:t>1,054,026,627.49</w:t>
            </w:r>
          </w:p>
        </w:tc>
      </w:tr>
    </w:tbl>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6"/>
          <w:szCs w:val="16"/>
        </w:rPr>
      </w:pPr>
    </w:p>
    <w:p>
      <w:pPr>
        <w:pStyle w:val="BodyText"/>
        <w:spacing w:line="240" w:lineRule="auto"/>
        <w:ind w:left="573" w:right="1133"/>
        <w:jc w:val="left"/>
        <w:rPr>
          <w:rFonts w:ascii="宋体" w:hAnsi="宋体" w:cs="宋体" w:eastAsia="宋体" w:hint="default"/>
        </w:rPr>
      </w:pPr>
      <w:r>
        <w:rPr>
          <w:rFonts w:ascii="宋体" w:hAnsi="宋体" w:cs="宋体" w:eastAsia="宋体" w:hint="default"/>
        </w:rPr>
        <w:t>(1)</w:t>
      </w:r>
      <w:r>
        <w:rPr/>
        <w:t>按单项计提坏账准备：</w:t>
      </w:r>
      <w:r>
        <w:rPr>
          <w:rFonts w:ascii="宋体" w:hAnsi="宋体" w:cs="宋体" w:eastAsia="宋体" w:hint="default"/>
        </w:rPr>
        <w:t> </w:t>
      </w:r>
    </w:p>
    <w:p>
      <w:pPr>
        <w:spacing w:line="240" w:lineRule="auto" w:before="9"/>
        <w:rPr>
          <w:rFonts w:ascii="宋体" w:hAnsi="宋体" w:cs="宋体" w:eastAsia="宋体" w:hint="default"/>
          <w:sz w:val="11"/>
          <w:szCs w:val="11"/>
        </w:rPr>
      </w:pPr>
    </w:p>
    <w:tbl>
      <w:tblPr>
        <w:tblW w:w="0" w:type="auto"/>
        <w:jc w:val="left"/>
        <w:tblInd w:w="215" w:type="dxa"/>
        <w:tblLayout w:type="fixed"/>
        <w:tblCellMar>
          <w:top w:w="0" w:type="dxa"/>
          <w:left w:w="0" w:type="dxa"/>
          <w:bottom w:w="0" w:type="dxa"/>
          <w:right w:w="0" w:type="dxa"/>
        </w:tblCellMar>
        <w:tblLook w:val="01E0"/>
      </w:tblPr>
      <w:tblGrid>
        <w:gridCol w:w="2482"/>
        <w:gridCol w:w="1460"/>
        <w:gridCol w:w="1404"/>
        <w:gridCol w:w="1008"/>
        <w:gridCol w:w="3154"/>
      </w:tblGrid>
      <w:tr>
        <w:trPr>
          <w:trHeight w:val="566" w:hRule="exact"/>
        </w:trPr>
        <w:tc>
          <w:tcPr>
            <w:tcW w:w="2482"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2"/>
                <w:szCs w:val="22"/>
              </w:rPr>
            </w:pPr>
          </w:p>
          <w:p>
            <w:pPr>
              <w:pStyle w:val="TableParagraph"/>
              <w:spacing w:line="234" w:lineRule="exact"/>
              <w:ind w:left="876" w:right="0"/>
              <w:jc w:val="left"/>
              <w:rPr>
                <w:rFonts w:ascii="宋体" w:hAnsi="宋体" w:cs="宋体" w:eastAsia="宋体" w:hint="default"/>
                <w:sz w:val="18"/>
                <w:szCs w:val="18"/>
              </w:rPr>
            </w:pPr>
            <w:r>
              <w:rPr>
                <w:rFonts w:ascii="宋体" w:hAnsi="宋体" w:cs="宋体" w:eastAsia="宋体" w:hint="default"/>
                <w:sz w:val="18"/>
                <w:szCs w:val="18"/>
              </w:rPr>
              <w:t>应收账款</w:t>
            </w:r>
            <w:r>
              <w:rPr>
                <w:rFonts w:ascii="宋体" w:hAnsi="宋体" w:cs="宋体" w:eastAsia="宋体" w:hint="default"/>
                <w:sz w:val="18"/>
                <w:szCs w:val="18"/>
              </w:rPr>
              <w:t> </w:t>
            </w:r>
          </w:p>
          <w:p>
            <w:pPr>
              <w:pStyle w:val="TableParagraph"/>
              <w:spacing w:line="234" w:lineRule="exact"/>
              <w:ind w:left="787" w:right="0"/>
              <w:jc w:val="left"/>
              <w:rPr>
                <w:rFonts w:ascii="宋体" w:hAnsi="宋体" w:cs="宋体" w:eastAsia="宋体" w:hint="default"/>
                <w:sz w:val="18"/>
                <w:szCs w:val="18"/>
              </w:rPr>
            </w:pPr>
            <w:r>
              <w:rPr>
                <w:rFonts w:ascii="宋体" w:hAnsi="宋体" w:cs="宋体" w:eastAsia="宋体" w:hint="default"/>
                <w:sz w:val="18"/>
                <w:szCs w:val="18"/>
              </w:rPr>
              <w:t>（按单位）</w:t>
            </w:r>
            <w:r>
              <w:rPr>
                <w:rFonts w:ascii="宋体" w:hAnsi="宋体" w:cs="宋体" w:eastAsia="宋体" w:hint="default"/>
                <w:sz w:val="18"/>
                <w:szCs w:val="18"/>
              </w:rPr>
              <w:t> </w:t>
            </w:r>
          </w:p>
        </w:tc>
        <w:tc>
          <w:tcPr>
            <w:tcW w:w="7026"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448"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r>
      <w:tr>
        <w:trPr>
          <w:trHeight w:val="566" w:hRule="exact"/>
        </w:trPr>
        <w:tc>
          <w:tcPr>
            <w:tcW w:w="2482" w:type="dxa"/>
            <w:vMerge/>
            <w:tcBorders>
              <w:left w:val="single" w:sz="4" w:space="0" w:color="000000"/>
              <w:bottom w:val="single" w:sz="4" w:space="0" w:color="000000"/>
              <w:right w:val="single" w:sz="4" w:space="0" w:color="000000"/>
            </w:tcBorders>
          </w:tcPr>
          <w:p>
            <w:pP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365" w:right="0"/>
              <w:jc w:val="left"/>
              <w:rPr>
                <w:rFonts w:ascii="宋体" w:hAnsi="宋体" w:cs="宋体" w:eastAsia="宋体" w:hint="default"/>
                <w:sz w:val="18"/>
                <w:szCs w:val="18"/>
              </w:rPr>
            </w:pPr>
            <w:r>
              <w:rPr>
                <w:rFonts w:ascii="宋体" w:hAnsi="宋体" w:cs="宋体" w:eastAsia="宋体" w:hint="default"/>
                <w:sz w:val="18"/>
                <w:szCs w:val="18"/>
              </w:rPr>
              <w:t>账面余额</w:t>
            </w:r>
            <w:r>
              <w:rPr>
                <w:rFonts w:ascii="宋体" w:hAnsi="宋体" w:cs="宋体" w:eastAsia="宋体" w:hint="default"/>
                <w:sz w:val="18"/>
                <w:szCs w:val="18"/>
              </w:rPr>
              <w:t> </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335" w:right="0"/>
              <w:jc w:val="left"/>
              <w:rPr>
                <w:rFonts w:ascii="宋体" w:hAnsi="宋体" w:cs="宋体" w:eastAsia="宋体" w:hint="default"/>
                <w:sz w:val="18"/>
                <w:szCs w:val="18"/>
              </w:rPr>
            </w:pPr>
            <w:r>
              <w:rPr>
                <w:rFonts w:ascii="宋体" w:hAnsi="宋体" w:cs="宋体" w:eastAsia="宋体" w:hint="default"/>
                <w:sz w:val="18"/>
                <w:szCs w:val="18"/>
              </w:rPr>
              <w:t>坏账准备</w:t>
            </w:r>
            <w:r>
              <w:rPr>
                <w:rFonts w:ascii="宋体" w:hAnsi="宋体" w:cs="宋体" w:eastAsia="宋体" w:hint="default"/>
                <w:sz w:val="18"/>
                <w:szCs w:val="18"/>
              </w:rPr>
              <w:t> </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before="15"/>
              <w:ind w:right="0"/>
              <w:jc w:val="center"/>
              <w:rPr>
                <w:rFonts w:ascii="宋体" w:hAnsi="宋体" w:cs="宋体" w:eastAsia="宋体" w:hint="default"/>
                <w:sz w:val="18"/>
                <w:szCs w:val="18"/>
              </w:rPr>
            </w:pPr>
            <w:r>
              <w:rPr>
                <w:rFonts w:ascii="宋体" w:hAnsi="宋体" w:cs="宋体" w:eastAsia="宋体" w:hint="default"/>
                <w:sz w:val="18"/>
                <w:szCs w:val="18"/>
              </w:rPr>
              <w:t>计提比例</w:t>
            </w:r>
          </w:p>
          <w:p>
            <w:pPr>
              <w:pStyle w:val="TableParagraph"/>
              <w:spacing w:line="234" w:lineRule="exact"/>
              <w:ind w:left="90" w:right="0"/>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 </w:t>
            </w:r>
          </w:p>
        </w:tc>
        <w:tc>
          <w:tcPr>
            <w:tcW w:w="3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90" w:right="0"/>
              <w:jc w:val="center"/>
              <w:rPr>
                <w:rFonts w:ascii="宋体" w:hAnsi="宋体" w:cs="宋体" w:eastAsia="宋体" w:hint="default"/>
                <w:sz w:val="18"/>
                <w:szCs w:val="18"/>
              </w:rPr>
            </w:pPr>
            <w:r>
              <w:rPr>
                <w:rFonts w:ascii="宋体" w:hAnsi="宋体" w:cs="宋体" w:eastAsia="宋体" w:hint="default"/>
                <w:sz w:val="18"/>
                <w:szCs w:val="18"/>
              </w:rPr>
              <w:t>计提理由</w:t>
            </w:r>
            <w:r>
              <w:rPr>
                <w:rFonts w:ascii="宋体" w:hAnsi="宋体" w:cs="宋体" w:eastAsia="宋体" w:hint="default"/>
                <w:sz w:val="18"/>
                <w:szCs w:val="18"/>
              </w:rPr>
              <w:t> </w:t>
            </w:r>
          </w:p>
        </w:tc>
      </w:tr>
    </w:tbl>
    <w:p>
      <w:pPr>
        <w:spacing w:after="0" w:line="240" w:lineRule="auto"/>
        <w:jc w:val="center"/>
        <w:rPr>
          <w:rFonts w:ascii="宋体" w:hAnsi="宋体" w:cs="宋体" w:eastAsia="宋体" w:hint="default"/>
          <w:sz w:val="18"/>
          <w:szCs w:val="18"/>
        </w:rPr>
        <w:sectPr>
          <w:pgSz w:w="11910" w:h="16840"/>
          <w:pgMar w:header="921" w:footer="725" w:top="1160" w:bottom="920" w:left="980" w:right="0"/>
        </w:sectPr>
      </w:pPr>
    </w:p>
    <w:p>
      <w:pPr>
        <w:spacing w:line="240" w:lineRule="auto" w:before="4"/>
        <w:rPr>
          <w:rFonts w:ascii="宋体" w:hAnsi="宋体" w:cs="宋体" w:eastAsia="宋体" w:hint="default"/>
          <w:sz w:val="21"/>
          <w:szCs w:val="21"/>
        </w:rPr>
      </w:pPr>
    </w:p>
    <w:tbl>
      <w:tblPr>
        <w:tblW w:w="0" w:type="auto"/>
        <w:jc w:val="left"/>
        <w:tblInd w:w="215" w:type="dxa"/>
        <w:tblLayout w:type="fixed"/>
        <w:tblCellMar>
          <w:top w:w="0" w:type="dxa"/>
          <w:left w:w="0" w:type="dxa"/>
          <w:bottom w:w="0" w:type="dxa"/>
          <w:right w:w="0" w:type="dxa"/>
        </w:tblCellMar>
        <w:tblLook w:val="01E0"/>
      </w:tblPr>
      <w:tblGrid>
        <w:gridCol w:w="2482"/>
        <w:gridCol w:w="1460"/>
        <w:gridCol w:w="1404"/>
        <w:gridCol w:w="1008"/>
        <w:gridCol w:w="3154"/>
      </w:tblGrid>
      <w:tr>
        <w:trPr>
          <w:trHeight w:val="567" w:hRule="exact"/>
        </w:trPr>
        <w:tc>
          <w:tcPr>
            <w:tcW w:w="2482"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22"/>
                <w:szCs w:val="22"/>
              </w:rPr>
            </w:pPr>
          </w:p>
          <w:p>
            <w:pPr>
              <w:pStyle w:val="TableParagraph"/>
              <w:spacing w:line="234" w:lineRule="exact"/>
              <w:ind w:left="876" w:right="0"/>
              <w:jc w:val="left"/>
              <w:rPr>
                <w:rFonts w:ascii="宋体" w:hAnsi="宋体" w:cs="宋体" w:eastAsia="宋体" w:hint="default"/>
                <w:sz w:val="18"/>
                <w:szCs w:val="18"/>
              </w:rPr>
            </w:pPr>
            <w:r>
              <w:rPr>
                <w:rFonts w:ascii="宋体" w:hAnsi="宋体" w:cs="宋体" w:eastAsia="宋体" w:hint="default"/>
                <w:sz w:val="18"/>
                <w:szCs w:val="18"/>
              </w:rPr>
              <w:t>应收账款</w:t>
            </w:r>
            <w:r>
              <w:rPr>
                <w:rFonts w:ascii="宋体" w:hAnsi="宋体" w:cs="宋体" w:eastAsia="宋体" w:hint="default"/>
                <w:sz w:val="18"/>
                <w:szCs w:val="18"/>
              </w:rPr>
              <w:t> </w:t>
            </w:r>
          </w:p>
          <w:p>
            <w:pPr>
              <w:pStyle w:val="TableParagraph"/>
              <w:spacing w:line="234" w:lineRule="exact"/>
              <w:ind w:left="787" w:right="0"/>
              <w:jc w:val="left"/>
              <w:rPr>
                <w:rFonts w:ascii="宋体" w:hAnsi="宋体" w:cs="宋体" w:eastAsia="宋体" w:hint="default"/>
                <w:sz w:val="18"/>
                <w:szCs w:val="18"/>
              </w:rPr>
            </w:pPr>
            <w:r>
              <w:rPr>
                <w:rFonts w:ascii="宋体" w:hAnsi="宋体" w:cs="宋体" w:eastAsia="宋体" w:hint="default"/>
                <w:sz w:val="18"/>
                <w:szCs w:val="18"/>
              </w:rPr>
              <w:t>（按单位）</w:t>
            </w:r>
            <w:r>
              <w:rPr>
                <w:rFonts w:ascii="宋体" w:hAnsi="宋体" w:cs="宋体" w:eastAsia="宋体" w:hint="default"/>
                <w:sz w:val="18"/>
                <w:szCs w:val="18"/>
              </w:rPr>
              <w:t> </w:t>
            </w:r>
          </w:p>
        </w:tc>
        <w:tc>
          <w:tcPr>
            <w:tcW w:w="7026"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448"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r>
      <w:tr>
        <w:trPr>
          <w:trHeight w:val="569" w:hRule="exact"/>
        </w:trPr>
        <w:tc>
          <w:tcPr>
            <w:tcW w:w="2482" w:type="dxa"/>
            <w:vMerge/>
            <w:tcBorders>
              <w:left w:val="single" w:sz="4" w:space="0" w:color="000000"/>
              <w:bottom w:val="single" w:sz="4" w:space="0" w:color="000000"/>
              <w:right w:val="single" w:sz="4" w:space="0" w:color="000000"/>
            </w:tcBorders>
          </w:tcPr>
          <w:p>
            <w:pP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365" w:right="0"/>
              <w:jc w:val="left"/>
              <w:rPr>
                <w:rFonts w:ascii="宋体" w:hAnsi="宋体" w:cs="宋体" w:eastAsia="宋体" w:hint="default"/>
                <w:sz w:val="18"/>
                <w:szCs w:val="18"/>
              </w:rPr>
            </w:pPr>
            <w:r>
              <w:rPr>
                <w:rFonts w:ascii="宋体" w:hAnsi="宋体" w:cs="宋体" w:eastAsia="宋体" w:hint="default"/>
                <w:sz w:val="18"/>
                <w:szCs w:val="18"/>
              </w:rPr>
              <w:t>账面余额</w:t>
            </w:r>
            <w:r>
              <w:rPr>
                <w:rFonts w:ascii="宋体" w:hAnsi="宋体" w:cs="宋体" w:eastAsia="宋体" w:hint="default"/>
                <w:sz w:val="18"/>
                <w:szCs w:val="18"/>
              </w:rPr>
              <w:t> </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335" w:right="0"/>
              <w:jc w:val="left"/>
              <w:rPr>
                <w:rFonts w:ascii="宋体" w:hAnsi="宋体" w:cs="宋体" w:eastAsia="宋体" w:hint="default"/>
                <w:sz w:val="18"/>
                <w:szCs w:val="18"/>
              </w:rPr>
            </w:pPr>
            <w:r>
              <w:rPr>
                <w:rFonts w:ascii="宋体" w:hAnsi="宋体" w:cs="宋体" w:eastAsia="宋体" w:hint="default"/>
                <w:sz w:val="18"/>
                <w:szCs w:val="18"/>
              </w:rPr>
              <w:t>坏账准备</w:t>
            </w:r>
            <w:r>
              <w:rPr>
                <w:rFonts w:ascii="宋体" w:hAnsi="宋体" w:cs="宋体" w:eastAsia="宋体" w:hint="default"/>
                <w:sz w:val="18"/>
                <w:szCs w:val="18"/>
              </w:rPr>
              <w:t> </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before="15"/>
              <w:ind w:right="0"/>
              <w:jc w:val="center"/>
              <w:rPr>
                <w:rFonts w:ascii="宋体" w:hAnsi="宋体" w:cs="宋体" w:eastAsia="宋体" w:hint="default"/>
                <w:sz w:val="18"/>
                <w:szCs w:val="18"/>
              </w:rPr>
            </w:pPr>
            <w:r>
              <w:rPr>
                <w:rFonts w:ascii="宋体" w:hAnsi="宋体" w:cs="宋体" w:eastAsia="宋体" w:hint="default"/>
                <w:sz w:val="18"/>
                <w:szCs w:val="18"/>
              </w:rPr>
              <w:t>计提比例</w:t>
            </w:r>
          </w:p>
          <w:p>
            <w:pPr>
              <w:pStyle w:val="TableParagraph"/>
              <w:spacing w:line="234" w:lineRule="exact"/>
              <w:ind w:left="90" w:right="0"/>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 </w:t>
            </w:r>
          </w:p>
        </w:tc>
        <w:tc>
          <w:tcPr>
            <w:tcW w:w="3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90" w:right="0"/>
              <w:jc w:val="center"/>
              <w:rPr>
                <w:rFonts w:ascii="宋体" w:hAnsi="宋体" w:cs="宋体" w:eastAsia="宋体" w:hint="default"/>
                <w:sz w:val="18"/>
                <w:szCs w:val="18"/>
              </w:rPr>
            </w:pPr>
            <w:r>
              <w:rPr>
                <w:rFonts w:ascii="宋体" w:hAnsi="宋体" w:cs="宋体" w:eastAsia="宋体" w:hint="default"/>
                <w:sz w:val="18"/>
                <w:szCs w:val="18"/>
              </w:rPr>
              <w:t>计提理由</w:t>
            </w:r>
            <w:r>
              <w:rPr>
                <w:rFonts w:ascii="宋体" w:hAnsi="宋体" w:cs="宋体" w:eastAsia="宋体" w:hint="default"/>
                <w:sz w:val="18"/>
                <w:szCs w:val="18"/>
              </w:rPr>
              <w:t> </w:t>
            </w:r>
          </w:p>
        </w:tc>
      </w:tr>
      <w:tr>
        <w:trPr>
          <w:trHeight w:val="622" w:hRule="exact"/>
        </w:trPr>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66"/>
              <w:ind w:left="105" w:right="89"/>
              <w:jc w:val="left"/>
              <w:rPr>
                <w:rFonts w:ascii="宋体" w:hAnsi="宋体" w:cs="宋体" w:eastAsia="宋体" w:hint="default"/>
                <w:sz w:val="18"/>
                <w:szCs w:val="18"/>
              </w:rPr>
            </w:pPr>
            <w:r>
              <w:rPr>
                <w:rFonts w:ascii="宋体" w:hAnsi="宋体" w:cs="宋体" w:eastAsia="宋体" w:hint="default"/>
                <w:spacing w:val="9"/>
                <w:sz w:val="18"/>
                <w:szCs w:val="18"/>
              </w:rPr>
              <w:t>吉林省昊展商务信息技术有 </w:t>
            </w:r>
            <w:r>
              <w:rPr>
                <w:rFonts w:ascii="宋体" w:hAnsi="宋体" w:cs="宋体" w:eastAsia="宋体" w:hint="default"/>
                <w:sz w:val="18"/>
                <w:szCs w:val="18"/>
              </w:rPr>
              <w:t>限公司</w:t>
            </w:r>
            <w:r>
              <w:rPr>
                <w:rFonts w:ascii="宋体" w:hAnsi="宋体" w:cs="宋体" w:eastAsia="宋体" w:hint="default"/>
                <w:sz w:val="18"/>
                <w:szCs w:val="18"/>
              </w:rPr>
              <w:t> </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11"/>
              <w:jc w:val="right"/>
              <w:rPr>
                <w:rFonts w:ascii="宋体" w:hAnsi="宋体" w:cs="宋体" w:eastAsia="宋体" w:hint="default"/>
                <w:sz w:val="18"/>
                <w:szCs w:val="18"/>
              </w:rPr>
            </w:pPr>
            <w:r>
              <w:rPr>
                <w:rFonts w:ascii="宋体"/>
                <w:spacing w:val="-1"/>
                <w:sz w:val="18"/>
              </w:rPr>
              <w:t>1,607,922.25 </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11"/>
              <w:jc w:val="right"/>
              <w:rPr>
                <w:rFonts w:ascii="宋体" w:hAnsi="宋体" w:cs="宋体" w:eastAsia="宋体" w:hint="default"/>
                <w:sz w:val="18"/>
                <w:szCs w:val="18"/>
              </w:rPr>
            </w:pPr>
            <w:r>
              <w:rPr>
                <w:rFonts w:ascii="宋体"/>
                <w:spacing w:val="-1"/>
                <w:sz w:val="18"/>
              </w:rPr>
              <w:t>1,607,922.25</w:t>
            </w:r>
            <w:r>
              <w:rPr>
                <w:rFonts w:ascii="宋体"/>
                <w:sz w:val="18"/>
              </w:rPr>
              <w:t> </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9"/>
              <w:ind w:right="11"/>
              <w:jc w:val="right"/>
              <w:rPr>
                <w:rFonts w:ascii="宋体" w:hAnsi="宋体" w:cs="宋体" w:eastAsia="宋体" w:hint="default"/>
                <w:sz w:val="18"/>
                <w:szCs w:val="18"/>
              </w:rPr>
            </w:pPr>
            <w:r>
              <w:rPr>
                <w:rFonts w:ascii="宋体"/>
                <w:spacing w:val="-1"/>
                <w:sz w:val="18"/>
              </w:rPr>
              <w:t>100.00</w:t>
            </w:r>
            <w:r>
              <w:rPr>
                <w:rFonts w:ascii="宋体"/>
                <w:sz w:val="18"/>
              </w:rPr>
              <w:t> </w:t>
            </w:r>
          </w:p>
        </w:tc>
        <w:tc>
          <w:tcPr>
            <w:tcW w:w="3154"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66"/>
              <w:ind w:left="105" w:right="65"/>
              <w:jc w:val="left"/>
              <w:rPr>
                <w:rFonts w:ascii="宋体" w:hAnsi="宋体" w:cs="宋体" w:eastAsia="宋体" w:hint="default"/>
                <w:sz w:val="18"/>
                <w:szCs w:val="18"/>
              </w:rPr>
            </w:pPr>
            <w:r>
              <w:rPr>
                <w:rFonts w:ascii="宋体" w:hAnsi="宋体" w:cs="宋体" w:eastAsia="宋体" w:hint="default"/>
                <w:sz w:val="18"/>
                <w:szCs w:val="18"/>
              </w:rPr>
              <w:t>结合</w:t>
            </w:r>
            <w:r>
              <w:rPr>
                <w:rFonts w:ascii="宋体" w:hAnsi="宋体" w:cs="宋体" w:eastAsia="宋体" w:hint="default"/>
                <w:spacing w:val="-47"/>
                <w:sz w:val="18"/>
                <w:szCs w:val="18"/>
              </w:rPr>
              <w:t> </w:t>
            </w:r>
            <w:r>
              <w:rPr>
                <w:rFonts w:ascii="宋体" w:hAnsi="宋体" w:cs="宋体" w:eastAsia="宋体" w:hint="default"/>
                <w:sz w:val="18"/>
                <w:szCs w:val="18"/>
              </w:rPr>
              <w:t>2017</w:t>
            </w:r>
            <w:r>
              <w:rPr>
                <w:rFonts w:ascii="宋体" w:hAnsi="宋体" w:cs="宋体" w:eastAsia="宋体" w:hint="default"/>
                <w:spacing w:val="-45"/>
                <w:sz w:val="18"/>
                <w:szCs w:val="18"/>
              </w:rPr>
              <w:t> </w:t>
            </w:r>
            <w:r>
              <w:rPr>
                <w:rFonts w:ascii="宋体" w:hAnsi="宋体" w:cs="宋体" w:eastAsia="宋体" w:hint="default"/>
                <w:sz w:val="18"/>
                <w:szCs w:val="18"/>
              </w:rPr>
              <w:t>年双方签订的和解协议书， 根据预期现金流量缺口现值确定。</w:t>
            </w:r>
            <w:r>
              <w:rPr>
                <w:rFonts w:ascii="宋体" w:hAnsi="宋体" w:cs="宋体" w:eastAsia="宋体" w:hint="default"/>
                <w:sz w:val="18"/>
                <w:szCs w:val="18"/>
              </w:rPr>
              <w:t> </w:t>
            </w:r>
          </w:p>
        </w:tc>
      </w:tr>
      <w:tr>
        <w:trPr>
          <w:trHeight w:val="586" w:hRule="exact"/>
        </w:trPr>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49"/>
              <w:ind w:left="105" w:right="101"/>
              <w:jc w:val="left"/>
              <w:rPr>
                <w:rFonts w:ascii="宋体" w:hAnsi="宋体" w:cs="宋体" w:eastAsia="宋体" w:hint="default"/>
                <w:sz w:val="18"/>
                <w:szCs w:val="18"/>
              </w:rPr>
            </w:pPr>
            <w:r>
              <w:rPr>
                <w:rFonts w:ascii="宋体" w:hAnsi="宋体" w:cs="宋体" w:eastAsia="宋体" w:hint="default"/>
                <w:spacing w:val="-6"/>
                <w:sz w:val="18"/>
                <w:szCs w:val="18"/>
              </w:rPr>
              <w:t>乐视网信息技术（北京）股份</w:t>
            </w:r>
            <w:r>
              <w:rPr>
                <w:rFonts w:ascii="宋体" w:hAnsi="宋体" w:cs="宋体" w:eastAsia="宋体" w:hint="default"/>
                <w:sz w:val="18"/>
                <w:szCs w:val="18"/>
              </w:rPr>
              <w:t> 有限公司</w:t>
            </w:r>
            <w:r>
              <w:rPr>
                <w:rFonts w:ascii="宋体" w:hAnsi="宋体" w:cs="宋体" w:eastAsia="宋体" w:hint="default"/>
                <w:sz w:val="18"/>
                <w:szCs w:val="18"/>
              </w:rPr>
              <w:t> </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11"/>
              <w:jc w:val="right"/>
              <w:rPr>
                <w:rFonts w:ascii="宋体" w:hAnsi="宋体" w:cs="宋体" w:eastAsia="宋体" w:hint="default"/>
                <w:sz w:val="18"/>
                <w:szCs w:val="18"/>
              </w:rPr>
            </w:pPr>
            <w:r>
              <w:rPr>
                <w:rFonts w:ascii="宋体"/>
                <w:spacing w:val="-1"/>
                <w:sz w:val="18"/>
              </w:rPr>
              <w:t>1,407,132.96 </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11"/>
              <w:jc w:val="right"/>
              <w:rPr>
                <w:rFonts w:ascii="宋体" w:hAnsi="宋体" w:cs="宋体" w:eastAsia="宋体" w:hint="default"/>
                <w:sz w:val="18"/>
                <w:szCs w:val="18"/>
              </w:rPr>
            </w:pPr>
            <w:r>
              <w:rPr>
                <w:rFonts w:ascii="宋体"/>
                <w:spacing w:val="-1"/>
                <w:sz w:val="18"/>
              </w:rPr>
              <w:t>1,407,132.96</w:t>
            </w:r>
            <w:r>
              <w:rPr>
                <w:rFonts w:ascii="宋体"/>
                <w:sz w:val="18"/>
              </w:rPr>
              <w:t> </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11"/>
              <w:jc w:val="right"/>
              <w:rPr>
                <w:rFonts w:ascii="宋体" w:hAnsi="宋体" w:cs="宋体" w:eastAsia="宋体" w:hint="default"/>
                <w:sz w:val="18"/>
                <w:szCs w:val="18"/>
              </w:rPr>
            </w:pPr>
            <w:r>
              <w:rPr>
                <w:rFonts w:ascii="宋体"/>
                <w:spacing w:val="-1"/>
                <w:sz w:val="18"/>
              </w:rPr>
              <w:t>100.00</w:t>
            </w:r>
            <w:r>
              <w:rPr>
                <w:rFonts w:ascii="宋体"/>
                <w:sz w:val="18"/>
              </w:rPr>
              <w:t> </w:t>
            </w:r>
          </w:p>
        </w:tc>
        <w:tc>
          <w:tcPr>
            <w:tcW w:w="3154"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49"/>
              <w:ind w:left="105" w:right="158"/>
              <w:jc w:val="left"/>
              <w:rPr>
                <w:rFonts w:ascii="宋体" w:hAnsi="宋体" w:cs="宋体" w:eastAsia="宋体" w:hint="default"/>
                <w:sz w:val="18"/>
                <w:szCs w:val="18"/>
              </w:rPr>
            </w:pPr>
            <w:r>
              <w:rPr>
                <w:rFonts w:ascii="宋体" w:hAnsi="宋体" w:cs="宋体" w:eastAsia="宋体" w:hint="default"/>
                <w:sz w:val="18"/>
                <w:szCs w:val="18"/>
              </w:rPr>
              <w:t>乐视网拖欠供应商款项、资金断裂， 根据预期现金流量缺口现值确定。</w:t>
            </w:r>
            <w:r>
              <w:rPr>
                <w:rFonts w:ascii="宋体" w:hAnsi="宋体" w:cs="宋体" w:eastAsia="宋体" w:hint="default"/>
                <w:sz w:val="18"/>
                <w:szCs w:val="18"/>
              </w:rPr>
              <w:t> </w:t>
            </w:r>
          </w:p>
        </w:tc>
      </w:tr>
      <w:tr>
        <w:trPr>
          <w:trHeight w:val="569" w:hRule="exact"/>
        </w:trPr>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40"/>
              <w:ind w:left="105" w:right="101"/>
              <w:jc w:val="left"/>
              <w:rPr>
                <w:rFonts w:ascii="宋体" w:hAnsi="宋体" w:cs="宋体" w:eastAsia="宋体" w:hint="default"/>
                <w:sz w:val="18"/>
                <w:szCs w:val="18"/>
              </w:rPr>
            </w:pPr>
            <w:r>
              <w:rPr>
                <w:rFonts w:ascii="宋体" w:hAnsi="宋体" w:cs="宋体" w:eastAsia="宋体" w:hint="default"/>
                <w:spacing w:val="-6"/>
                <w:sz w:val="18"/>
                <w:szCs w:val="18"/>
              </w:rPr>
              <w:t>智行唯道（北京）信息技术有</w:t>
            </w:r>
            <w:r>
              <w:rPr>
                <w:rFonts w:ascii="宋体" w:hAnsi="宋体" w:cs="宋体" w:eastAsia="宋体" w:hint="default"/>
                <w:sz w:val="18"/>
                <w:szCs w:val="18"/>
              </w:rPr>
              <w:t> 限公司</w:t>
            </w:r>
            <w:r>
              <w:rPr>
                <w:rFonts w:ascii="宋体" w:hAnsi="宋体" w:cs="宋体" w:eastAsia="宋体" w:hint="default"/>
                <w:sz w:val="18"/>
                <w:szCs w:val="18"/>
              </w:rPr>
              <w:t> </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11"/>
              <w:jc w:val="right"/>
              <w:rPr>
                <w:rFonts w:ascii="宋体" w:hAnsi="宋体" w:cs="宋体" w:eastAsia="宋体" w:hint="default"/>
                <w:sz w:val="18"/>
                <w:szCs w:val="18"/>
              </w:rPr>
            </w:pPr>
            <w:r>
              <w:rPr>
                <w:rFonts w:ascii="宋体"/>
                <w:spacing w:val="-1"/>
                <w:sz w:val="18"/>
              </w:rPr>
              <w:t>12,207,727.86 </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11"/>
              <w:jc w:val="right"/>
              <w:rPr>
                <w:rFonts w:ascii="宋体" w:hAnsi="宋体" w:cs="宋体" w:eastAsia="宋体" w:hint="default"/>
                <w:sz w:val="18"/>
                <w:szCs w:val="18"/>
              </w:rPr>
            </w:pPr>
            <w:r>
              <w:rPr>
                <w:rFonts w:ascii="宋体"/>
                <w:spacing w:val="-1"/>
                <w:sz w:val="18"/>
              </w:rPr>
              <w:t>12,207,727.86</w:t>
            </w:r>
            <w:r>
              <w:rPr>
                <w:rFonts w:ascii="宋体"/>
                <w:sz w:val="18"/>
              </w:rPr>
              <w:t> </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11"/>
              <w:jc w:val="right"/>
              <w:rPr>
                <w:rFonts w:ascii="宋体" w:hAnsi="宋体" w:cs="宋体" w:eastAsia="宋体" w:hint="default"/>
                <w:sz w:val="18"/>
                <w:szCs w:val="18"/>
              </w:rPr>
            </w:pPr>
            <w:r>
              <w:rPr>
                <w:rFonts w:ascii="宋体"/>
                <w:spacing w:val="-1"/>
                <w:sz w:val="18"/>
              </w:rPr>
              <w:t>100.00</w:t>
            </w:r>
            <w:r>
              <w:rPr>
                <w:rFonts w:ascii="宋体"/>
                <w:sz w:val="18"/>
              </w:rPr>
              <w:t> </w:t>
            </w:r>
          </w:p>
        </w:tc>
        <w:tc>
          <w:tcPr>
            <w:tcW w:w="3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105" w:right="0"/>
              <w:jc w:val="left"/>
              <w:rPr>
                <w:rFonts w:ascii="宋体" w:hAnsi="宋体" w:cs="宋体" w:eastAsia="宋体" w:hint="default"/>
                <w:sz w:val="18"/>
                <w:szCs w:val="18"/>
              </w:rPr>
            </w:pPr>
            <w:r>
              <w:rPr>
                <w:rFonts w:ascii="宋体" w:hAnsi="宋体" w:cs="宋体" w:eastAsia="宋体" w:hint="default"/>
                <w:sz w:val="18"/>
                <w:szCs w:val="18"/>
              </w:rPr>
              <w:t>根据预期现金流量缺口现值确定。</w:t>
            </w:r>
            <w:r>
              <w:rPr>
                <w:rFonts w:ascii="宋体" w:hAnsi="宋体" w:cs="宋体" w:eastAsia="宋体" w:hint="default"/>
                <w:sz w:val="18"/>
                <w:szCs w:val="18"/>
              </w:rPr>
              <w:t> </w:t>
            </w:r>
          </w:p>
        </w:tc>
      </w:tr>
      <w:tr>
        <w:trPr>
          <w:trHeight w:val="566" w:hRule="exact"/>
        </w:trPr>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5" w:right="89"/>
              <w:jc w:val="left"/>
              <w:rPr>
                <w:rFonts w:ascii="宋体" w:hAnsi="宋体" w:cs="宋体" w:eastAsia="宋体" w:hint="default"/>
                <w:sz w:val="18"/>
                <w:szCs w:val="18"/>
              </w:rPr>
            </w:pPr>
            <w:r>
              <w:rPr>
                <w:rFonts w:ascii="宋体" w:hAnsi="宋体" w:cs="宋体" w:eastAsia="宋体" w:hint="default"/>
                <w:spacing w:val="9"/>
                <w:sz w:val="18"/>
                <w:szCs w:val="18"/>
              </w:rPr>
              <w:t>中国电信股份有限公司广东 </w:t>
            </w:r>
            <w:r>
              <w:rPr>
                <w:rFonts w:ascii="宋体" w:hAnsi="宋体" w:cs="宋体" w:eastAsia="宋体" w:hint="default"/>
                <w:sz w:val="18"/>
                <w:szCs w:val="18"/>
              </w:rPr>
              <w:t>号百信息服务分公司</w:t>
            </w:r>
            <w:r>
              <w:rPr>
                <w:rFonts w:ascii="宋体" w:hAnsi="宋体" w:cs="宋体" w:eastAsia="宋体" w:hint="default"/>
                <w:sz w:val="18"/>
                <w:szCs w:val="18"/>
              </w:rPr>
              <w:t> </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right="11"/>
              <w:jc w:val="right"/>
              <w:rPr>
                <w:rFonts w:ascii="宋体" w:hAnsi="宋体" w:cs="宋体" w:eastAsia="宋体" w:hint="default"/>
                <w:sz w:val="18"/>
                <w:szCs w:val="18"/>
              </w:rPr>
            </w:pPr>
            <w:r>
              <w:rPr>
                <w:rFonts w:ascii="宋体"/>
                <w:spacing w:val="-1"/>
                <w:sz w:val="18"/>
              </w:rPr>
              <w:t>729,143.87</w:t>
            </w:r>
            <w:r>
              <w:rPr>
                <w:rFonts w:ascii="宋体"/>
                <w:sz w:val="18"/>
              </w:rPr>
              <w:t> </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right="11"/>
              <w:jc w:val="right"/>
              <w:rPr>
                <w:rFonts w:ascii="宋体" w:hAnsi="宋体" w:cs="宋体" w:eastAsia="宋体" w:hint="default"/>
                <w:sz w:val="18"/>
                <w:szCs w:val="18"/>
              </w:rPr>
            </w:pPr>
            <w:r>
              <w:rPr>
                <w:rFonts w:ascii="宋体"/>
                <w:spacing w:val="-1"/>
                <w:sz w:val="18"/>
              </w:rPr>
              <w:t>656,229.48</w:t>
            </w:r>
            <w:r>
              <w:rPr>
                <w:rFonts w:ascii="宋体"/>
                <w:sz w:val="18"/>
              </w:rPr>
              <w:t> </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right="11"/>
              <w:jc w:val="right"/>
              <w:rPr>
                <w:rFonts w:ascii="宋体" w:hAnsi="宋体" w:cs="宋体" w:eastAsia="宋体" w:hint="default"/>
                <w:sz w:val="18"/>
                <w:szCs w:val="18"/>
              </w:rPr>
            </w:pPr>
            <w:r>
              <w:rPr>
                <w:rFonts w:ascii="宋体"/>
                <w:sz w:val="18"/>
              </w:rPr>
              <w:t>90.00 </w:t>
            </w:r>
          </w:p>
        </w:tc>
        <w:tc>
          <w:tcPr>
            <w:tcW w:w="3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left="105" w:right="0"/>
              <w:jc w:val="left"/>
              <w:rPr>
                <w:rFonts w:ascii="宋体" w:hAnsi="宋体" w:cs="宋体" w:eastAsia="宋体" w:hint="default"/>
                <w:sz w:val="18"/>
                <w:szCs w:val="18"/>
              </w:rPr>
            </w:pPr>
            <w:r>
              <w:rPr>
                <w:rFonts w:ascii="宋体" w:hAnsi="宋体" w:cs="宋体" w:eastAsia="宋体" w:hint="default"/>
                <w:sz w:val="18"/>
                <w:szCs w:val="18"/>
              </w:rPr>
              <w:t>根据预期现金流量缺口现值确定。</w:t>
            </w:r>
            <w:r>
              <w:rPr>
                <w:rFonts w:ascii="宋体" w:hAnsi="宋体" w:cs="宋体" w:eastAsia="宋体" w:hint="default"/>
                <w:sz w:val="18"/>
                <w:szCs w:val="18"/>
              </w:rPr>
              <w:t> </w:t>
            </w:r>
          </w:p>
        </w:tc>
      </w:tr>
      <w:tr>
        <w:trPr>
          <w:trHeight w:val="566" w:hRule="exact"/>
        </w:trPr>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40"/>
              <w:ind w:left="105" w:right="89"/>
              <w:jc w:val="left"/>
              <w:rPr>
                <w:rFonts w:ascii="宋体" w:hAnsi="宋体" w:cs="宋体" w:eastAsia="宋体" w:hint="default"/>
                <w:sz w:val="18"/>
                <w:szCs w:val="18"/>
              </w:rPr>
            </w:pPr>
            <w:r>
              <w:rPr>
                <w:rFonts w:ascii="宋体" w:hAnsi="宋体" w:cs="宋体" w:eastAsia="宋体" w:hint="default"/>
                <w:spacing w:val="9"/>
                <w:sz w:val="18"/>
                <w:szCs w:val="18"/>
              </w:rPr>
              <w:t>平潭综合实验区仁安通信科 </w:t>
            </w:r>
            <w:r>
              <w:rPr>
                <w:rFonts w:ascii="宋体" w:hAnsi="宋体" w:cs="宋体" w:eastAsia="宋体" w:hint="default"/>
                <w:sz w:val="18"/>
                <w:szCs w:val="18"/>
              </w:rPr>
              <w:t>技有限责任公司</w:t>
            </w:r>
            <w:r>
              <w:rPr>
                <w:rFonts w:ascii="宋体" w:hAnsi="宋体" w:cs="宋体" w:eastAsia="宋体" w:hint="default"/>
                <w:sz w:val="18"/>
                <w:szCs w:val="18"/>
              </w:rPr>
              <w:t> </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right="11"/>
              <w:jc w:val="right"/>
              <w:rPr>
                <w:rFonts w:ascii="宋体" w:hAnsi="宋体" w:cs="宋体" w:eastAsia="宋体" w:hint="default"/>
                <w:sz w:val="18"/>
                <w:szCs w:val="18"/>
              </w:rPr>
            </w:pPr>
            <w:r>
              <w:rPr>
                <w:rFonts w:ascii="宋体"/>
                <w:spacing w:val="-1"/>
                <w:sz w:val="18"/>
              </w:rPr>
              <w:t>16,020,000.00 </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right="11"/>
              <w:jc w:val="right"/>
              <w:rPr>
                <w:rFonts w:ascii="宋体" w:hAnsi="宋体" w:cs="宋体" w:eastAsia="宋体" w:hint="default"/>
                <w:sz w:val="18"/>
                <w:szCs w:val="18"/>
              </w:rPr>
            </w:pPr>
            <w:r>
              <w:rPr>
                <w:rFonts w:ascii="宋体"/>
                <w:spacing w:val="-1"/>
                <w:sz w:val="18"/>
              </w:rPr>
              <w:t>14,220,000.00</w:t>
            </w:r>
            <w:r>
              <w:rPr>
                <w:rFonts w:ascii="宋体"/>
                <w:sz w:val="18"/>
              </w:rPr>
              <w:t> </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0"/>
              <w:ind w:right="11"/>
              <w:jc w:val="right"/>
              <w:rPr>
                <w:rFonts w:ascii="宋体" w:hAnsi="宋体" w:cs="宋体" w:eastAsia="宋体" w:hint="default"/>
                <w:sz w:val="18"/>
                <w:szCs w:val="18"/>
              </w:rPr>
            </w:pPr>
            <w:r>
              <w:rPr>
                <w:rFonts w:ascii="宋体"/>
                <w:sz w:val="18"/>
              </w:rPr>
              <w:t>88.76 </w:t>
            </w:r>
          </w:p>
        </w:tc>
        <w:tc>
          <w:tcPr>
            <w:tcW w:w="315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5" w:right="0"/>
              <w:jc w:val="left"/>
              <w:rPr>
                <w:rFonts w:ascii="宋体" w:hAnsi="宋体" w:cs="宋体" w:eastAsia="宋体" w:hint="default"/>
                <w:sz w:val="18"/>
                <w:szCs w:val="18"/>
              </w:rPr>
            </w:pPr>
            <w:r>
              <w:rPr>
                <w:rFonts w:ascii="宋体" w:hAnsi="宋体" w:cs="宋体" w:eastAsia="宋体" w:hint="default"/>
                <w:sz w:val="18"/>
                <w:szCs w:val="18"/>
              </w:rPr>
              <w:t>根据预期现金流量缺口现值确定。</w:t>
            </w:r>
            <w:r>
              <w:rPr>
                <w:rFonts w:ascii="宋体" w:hAnsi="宋体" w:cs="宋体" w:eastAsia="宋体" w:hint="default"/>
                <w:sz w:val="18"/>
                <w:szCs w:val="18"/>
              </w:rPr>
              <w:t> </w:t>
            </w:r>
          </w:p>
        </w:tc>
      </w:tr>
      <w:tr>
        <w:trPr>
          <w:trHeight w:val="567" w:hRule="exact"/>
        </w:trPr>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34" w:lineRule="exact" w:before="16"/>
              <w:ind w:left="105" w:right="0"/>
              <w:jc w:val="left"/>
              <w:rPr>
                <w:rFonts w:ascii="宋体" w:hAnsi="宋体" w:cs="宋体" w:eastAsia="宋体" w:hint="default"/>
                <w:sz w:val="18"/>
                <w:szCs w:val="18"/>
              </w:rPr>
            </w:pPr>
            <w:r>
              <w:rPr>
                <w:rFonts w:ascii="宋体" w:hAnsi="宋体" w:cs="宋体" w:eastAsia="宋体" w:hint="default"/>
                <w:sz w:val="18"/>
                <w:szCs w:val="18"/>
              </w:rPr>
              <w:t>无锡腾讯科技有限公司等</w:t>
            </w:r>
            <w:r>
              <w:rPr>
                <w:rFonts w:ascii="宋体" w:hAnsi="宋体" w:cs="宋体" w:eastAsia="宋体" w:hint="default"/>
                <w:spacing w:val="10"/>
                <w:sz w:val="18"/>
                <w:szCs w:val="18"/>
              </w:rPr>
              <w:t> </w:t>
            </w:r>
            <w:r>
              <w:rPr>
                <w:rFonts w:ascii="宋体" w:hAnsi="宋体" w:cs="宋体" w:eastAsia="宋体" w:hint="default"/>
                <w:sz w:val="18"/>
                <w:szCs w:val="18"/>
              </w:rPr>
              <w:t>16</w:t>
            </w:r>
          </w:p>
          <w:p>
            <w:pPr>
              <w:pStyle w:val="TableParagraph"/>
              <w:spacing w:line="234" w:lineRule="exact"/>
              <w:ind w:left="105" w:right="0"/>
              <w:jc w:val="left"/>
              <w:rPr>
                <w:rFonts w:ascii="宋体" w:hAnsi="宋体" w:cs="宋体" w:eastAsia="宋体" w:hint="default"/>
                <w:sz w:val="18"/>
                <w:szCs w:val="18"/>
              </w:rPr>
            </w:pPr>
            <w:r>
              <w:rPr>
                <w:rFonts w:ascii="宋体" w:hAnsi="宋体" w:cs="宋体" w:eastAsia="宋体" w:hint="default"/>
                <w:sz w:val="18"/>
                <w:szCs w:val="18"/>
              </w:rPr>
              <w:t>家</w:t>
            </w:r>
            <w:r>
              <w:rPr>
                <w:rFonts w:ascii="宋体" w:hAnsi="宋体" w:cs="宋体" w:eastAsia="宋体" w:hint="default"/>
                <w:sz w:val="18"/>
                <w:szCs w:val="18"/>
              </w:rPr>
              <w:t> </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11"/>
              <w:jc w:val="right"/>
              <w:rPr>
                <w:rFonts w:ascii="宋体" w:hAnsi="宋体" w:cs="宋体" w:eastAsia="宋体" w:hint="default"/>
                <w:sz w:val="18"/>
                <w:szCs w:val="18"/>
              </w:rPr>
            </w:pPr>
            <w:r>
              <w:rPr>
                <w:rFonts w:ascii="宋体"/>
                <w:spacing w:val="-1"/>
                <w:sz w:val="18"/>
              </w:rPr>
              <w:t>2,038,668.08 </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11"/>
              <w:jc w:val="right"/>
              <w:rPr>
                <w:rFonts w:ascii="宋体" w:hAnsi="宋体" w:cs="宋体" w:eastAsia="宋体" w:hint="default"/>
                <w:sz w:val="18"/>
                <w:szCs w:val="18"/>
              </w:rPr>
            </w:pPr>
            <w:r>
              <w:rPr>
                <w:rFonts w:ascii="宋体"/>
                <w:spacing w:val="-1"/>
                <w:sz w:val="18"/>
              </w:rPr>
              <w:t>1,519,793.81</w:t>
            </w:r>
            <w:r>
              <w:rPr>
                <w:rFonts w:ascii="宋体"/>
                <w:sz w:val="18"/>
              </w:rPr>
              <w:t> </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11"/>
              <w:jc w:val="right"/>
              <w:rPr>
                <w:rFonts w:ascii="宋体" w:hAnsi="宋体" w:cs="宋体" w:eastAsia="宋体" w:hint="default"/>
                <w:sz w:val="18"/>
                <w:szCs w:val="18"/>
              </w:rPr>
            </w:pPr>
            <w:r>
              <w:rPr>
                <w:rFonts w:ascii="宋体"/>
                <w:sz w:val="18"/>
              </w:rPr>
              <w:t>74.55 </w:t>
            </w:r>
          </w:p>
        </w:tc>
        <w:tc>
          <w:tcPr>
            <w:tcW w:w="315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105" w:right="0"/>
              <w:jc w:val="left"/>
              <w:rPr>
                <w:rFonts w:ascii="宋体" w:hAnsi="宋体" w:cs="宋体" w:eastAsia="宋体" w:hint="default"/>
                <w:sz w:val="18"/>
                <w:szCs w:val="18"/>
              </w:rPr>
            </w:pPr>
            <w:r>
              <w:rPr>
                <w:rFonts w:ascii="宋体" w:hAnsi="宋体" w:cs="宋体" w:eastAsia="宋体" w:hint="default"/>
                <w:sz w:val="18"/>
                <w:szCs w:val="18"/>
              </w:rPr>
              <w:t>根据预期现金流量缺口现值确定。</w:t>
            </w:r>
            <w:r>
              <w:rPr>
                <w:rFonts w:ascii="宋体" w:hAnsi="宋体" w:cs="宋体" w:eastAsia="宋体" w:hint="default"/>
                <w:sz w:val="18"/>
                <w:szCs w:val="18"/>
              </w:rPr>
              <w:t> </w:t>
            </w:r>
          </w:p>
        </w:tc>
      </w:tr>
      <w:tr>
        <w:trPr>
          <w:trHeight w:val="569" w:hRule="exact"/>
        </w:trPr>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40"/>
              <w:ind w:left="105" w:right="89"/>
              <w:jc w:val="left"/>
              <w:rPr>
                <w:rFonts w:ascii="宋体" w:hAnsi="宋体" w:cs="宋体" w:eastAsia="宋体" w:hint="default"/>
                <w:sz w:val="18"/>
                <w:szCs w:val="18"/>
              </w:rPr>
            </w:pPr>
            <w:r>
              <w:rPr>
                <w:rFonts w:ascii="宋体" w:hAnsi="宋体" w:cs="宋体" w:eastAsia="宋体" w:hint="default"/>
                <w:spacing w:val="9"/>
                <w:sz w:val="18"/>
                <w:szCs w:val="18"/>
              </w:rPr>
              <w:t>北京泰盛亚德数字科技有限 </w:t>
            </w:r>
            <w:r>
              <w:rPr>
                <w:rFonts w:ascii="宋体" w:hAnsi="宋体" w:cs="宋体" w:eastAsia="宋体" w:hint="default"/>
                <w:sz w:val="18"/>
                <w:szCs w:val="18"/>
              </w:rPr>
              <w:t>公司</w:t>
            </w:r>
            <w:r>
              <w:rPr>
                <w:rFonts w:ascii="宋体" w:hAnsi="宋体" w:cs="宋体" w:eastAsia="宋体" w:hint="default"/>
                <w:sz w:val="18"/>
                <w:szCs w:val="18"/>
              </w:rPr>
              <w:t> </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11"/>
              <w:jc w:val="right"/>
              <w:rPr>
                <w:rFonts w:ascii="宋体" w:hAnsi="宋体" w:cs="宋体" w:eastAsia="宋体" w:hint="default"/>
                <w:sz w:val="18"/>
                <w:szCs w:val="18"/>
              </w:rPr>
            </w:pPr>
            <w:r>
              <w:rPr>
                <w:rFonts w:ascii="宋体"/>
                <w:spacing w:val="-1"/>
                <w:sz w:val="18"/>
              </w:rPr>
              <w:t>34,400,000.00 </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11"/>
              <w:jc w:val="right"/>
              <w:rPr>
                <w:rFonts w:ascii="宋体" w:hAnsi="宋体" w:cs="宋体" w:eastAsia="宋体" w:hint="default"/>
                <w:sz w:val="18"/>
                <w:szCs w:val="18"/>
              </w:rPr>
            </w:pPr>
            <w:r>
              <w:rPr>
                <w:rFonts w:ascii="宋体"/>
                <w:spacing w:val="-1"/>
                <w:sz w:val="18"/>
              </w:rPr>
              <w:t>34,400,000.00</w:t>
            </w:r>
            <w:r>
              <w:rPr>
                <w:rFonts w:ascii="宋体"/>
                <w:sz w:val="18"/>
              </w:rPr>
              <w:t> </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11"/>
              <w:jc w:val="right"/>
              <w:rPr>
                <w:rFonts w:ascii="宋体" w:hAnsi="宋体" w:cs="宋体" w:eastAsia="宋体" w:hint="default"/>
                <w:sz w:val="18"/>
                <w:szCs w:val="18"/>
              </w:rPr>
            </w:pPr>
            <w:r>
              <w:rPr>
                <w:rFonts w:ascii="宋体"/>
                <w:spacing w:val="-1"/>
                <w:sz w:val="18"/>
              </w:rPr>
              <w:t>100.00</w:t>
            </w:r>
            <w:r>
              <w:rPr>
                <w:rFonts w:ascii="宋体"/>
                <w:sz w:val="18"/>
              </w:rPr>
              <w:t> </w:t>
            </w:r>
          </w:p>
        </w:tc>
        <w:tc>
          <w:tcPr>
            <w:tcW w:w="315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5" w:right="0"/>
              <w:jc w:val="left"/>
              <w:rPr>
                <w:rFonts w:ascii="宋体" w:hAnsi="宋体" w:cs="宋体" w:eastAsia="宋体" w:hint="default"/>
                <w:sz w:val="18"/>
                <w:szCs w:val="18"/>
              </w:rPr>
            </w:pPr>
            <w:r>
              <w:rPr>
                <w:rFonts w:ascii="宋体" w:hAnsi="宋体" w:cs="宋体" w:eastAsia="宋体" w:hint="default"/>
                <w:sz w:val="18"/>
                <w:szCs w:val="18"/>
              </w:rPr>
              <w:t>根据预期现金流量缺口现值确定。</w:t>
            </w:r>
            <w:r>
              <w:rPr>
                <w:rFonts w:ascii="宋体" w:hAnsi="宋体" w:cs="宋体" w:eastAsia="宋体" w:hint="default"/>
                <w:sz w:val="18"/>
                <w:szCs w:val="18"/>
              </w:rPr>
              <w:t> </w:t>
            </w:r>
          </w:p>
        </w:tc>
      </w:tr>
      <w:tr>
        <w:trPr>
          <w:trHeight w:val="396" w:hRule="exact"/>
        </w:trPr>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5" w:right="0"/>
              <w:jc w:val="left"/>
              <w:rPr>
                <w:rFonts w:ascii="宋体" w:hAnsi="宋体" w:cs="宋体" w:eastAsia="宋体" w:hint="default"/>
                <w:sz w:val="18"/>
                <w:szCs w:val="18"/>
              </w:rPr>
            </w:pPr>
            <w:r>
              <w:rPr>
                <w:rFonts w:ascii="宋体" w:hAnsi="宋体" w:cs="宋体" w:eastAsia="宋体" w:hint="default"/>
                <w:sz w:val="18"/>
                <w:szCs w:val="18"/>
              </w:rPr>
              <w:t>四川通达铁路工程有限公司</w:t>
            </w:r>
            <w:r>
              <w:rPr>
                <w:rFonts w:ascii="宋体" w:hAnsi="宋体" w:cs="宋体" w:eastAsia="宋体" w:hint="default"/>
                <w:sz w:val="18"/>
                <w:szCs w:val="18"/>
              </w:rPr>
              <w:t> </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2,074,400.00 </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2,074,400.00</w:t>
            </w:r>
            <w:r>
              <w:rPr>
                <w:rFonts w:ascii="宋体"/>
                <w:sz w:val="18"/>
              </w:rPr>
              <w:t> </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100.00</w:t>
            </w:r>
            <w:r>
              <w:rPr>
                <w:rFonts w:ascii="宋体"/>
                <w:sz w:val="18"/>
              </w:rPr>
              <w:t> </w:t>
            </w:r>
          </w:p>
        </w:tc>
        <w:tc>
          <w:tcPr>
            <w:tcW w:w="315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5" w:right="0"/>
              <w:jc w:val="left"/>
              <w:rPr>
                <w:rFonts w:ascii="宋体" w:hAnsi="宋体" w:cs="宋体" w:eastAsia="宋体" w:hint="default"/>
                <w:sz w:val="18"/>
                <w:szCs w:val="18"/>
              </w:rPr>
            </w:pPr>
            <w:r>
              <w:rPr>
                <w:rFonts w:ascii="宋体" w:hAnsi="宋体" w:cs="宋体" w:eastAsia="宋体" w:hint="default"/>
                <w:sz w:val="18"/>
                <w:szCs w:val="18"/>
              </w:rPr>
              <w:t>根据预期现金流量缺口现值确定。</w:t>
            </w:r>
            <w:r>
              <w:rPr>
                <w:rFonts w:ascii="宋体" w:hAnsi="宋体" w:cs="宋体" w:eastAsia="宋体" w:hint="default"/>
                <w:sz w:val="18"/>
                <w:szCs w:val="18"/>
              </w:rPr>
              <w:t> </w:t>
            </w:r>
          </w:p>
        </w:tc>
      </w:tr>
      <w:tr>
        <w:trPr>
          <w:trHeight w:val="396" w:hRule="exact"/>
        </w:trPr>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5" w:right="0"/>
              <w:jc w:val="left"/>
              <w:rPr>
                <w:rFonts w:ascii="宋体" w:hAnsi="宋体" w:cs="宋体" w:eastAsia="宋体" w:hint="default"/>
                <w:sz w:val="18"/>
                <w:szCs w:val="18"/>
              </w:rPr>
            </w:pPr>
            <w:r>
              <w:rPr>
                <w:rFonts w:ascii="宋体" w:hAnsi="宋体" w:cs="宋体" w:eastAsia="宋体" w:hint="default"/>
                <w:sz w:val="18"/>
                <w:szCs w:val="18"/>
              </w:rPr>
              <w:t>深圳市创飞高科技有限公司</w:t>
            </w:r>
            <w:r>
              <w:rPr>
                <w:rFonts w:ascii="宋体" w:hAnsi="宋体" w:cs="宋体" w:eastAsia="宋体" w:hint="default"/>
                <w:sz w:val="18"/>
                <w:szCs w:val="18"/>
              </w:rPr>
              <w:t> </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23,200,000.00 </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20,800,000.00</w:t>
            </w:r>
            <w:r>
              <w:rPr>
                <w:rFonts w:ascii="宋体"/>
                <w:sz w:val="18"/>
              </w:rPr>
              <w:t> </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89.66 </w:t>
            </w:r>
          </w:p>
        </w:tc>
        <w:tc>
          <w:tcPr>
            <w:tcW w:w="315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5" w:right="0"/>
              <w:jc w:val="left"/>
              <w:rPr>
                <w:rFonts w:ascii="宋体" w:hAnsi="宋体" w:cs="宋体" w:eastAsia="宋体" w:hint="default"/>
                <w:sz w:val="18"/>
                <w:szCs w:val="18"/>
              </w:rPr>
            </w:pPr>
            <w:r>
              <w:rPr>
                <w:rFonts w:ascii="宋体" w:hAnsi="宋体" w:cs="宋体" w:eastAsia="宋体" w:hint="default"/>
                <w:sz w:val="18"/>
                <w:szCs w:val="18"/>
              </w:rPr>
              <w:t>根据预期现金流量缺口现值确定。</w:t>
            </w:r>
            <w:r>
              <w:rPr>
                <w:rFonts w:ascii="宋体" w:hAnsi="宋体" w:cs="宋体" w:eastAsia="宋体" w:hint="default"/>
                <w:sz w:val="18"/>
                <w:szCs w:val="18"/>
              </w:rPr>
              <w:t> </w:t>
            </w:r>
          </w:p>
        </w:tc>
      </w:tr>
      <w:tr>
        <w:trPr>
          <w:trHeight w:val="398" w:hRule="exact"/>
        </w:trPr>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0"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93,684,995.02 </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88,893,206.36</w:t>
            </w:r>
            <w:r>
              <w:rPr>
                <w:rFonts w:ascii="宋体"/>
                <w:sz w:val="18"/>
              </w:rPr>
              <w:t> </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 </w:t>
            </w:r>
          </w:p>
        </w:tc>
        <w:tc>
          <w:tcPr>
            <w:tcW w:w="31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78" w:right="0"/>
              <w:jc w:val="center"/>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w:t>
            </w:r>
            <w:r>
              <w:rPr>
                <w:rFonts w:ascii="宋体" w:hAnsi="宋体" w:cs="宋体" w:eastAsia="宋体" w:hint="default"/>
                <w:spacing w:val="-2"/>
                <w:sz w:val="18"/>
                <w:szCs w:val="18"/>
              </w:rPr>
              <w:t> </w:t>
            </w:r>
            <w:r>
              <w:rPr>
                <w:rFonts w:ascii="宋体" w:hAnsi="宋体" w:cs="宋体" w:eastAsia="宋体" w:hint="default"/>
                <w:sz w:val="18"/>
                <w:szCs w:val="18"/>
              </w:rPr>
              <w:t> </w:t>
            </w:r>
          </w:p>
        </w:tc>
      </w:tr>
    </w:tbl>
    <w:p>
      <w:pPr>
        <w:pStyle w:val="BodyText"/>
        <w:spacing w:line="237" w:lineRule="auto" w:before="88"/>
        <w:ind w:right="1126" w:firstLine="420"/>
        <w:jc w:val="both"/>
        <w:rPr>
          <w:rFonts w:ascii="宋体" w:hAnsi="宋体" w:cs="宋体" w:eastAsia="宋体" w:hint="default"/>
        </w:rPr>
      </w:pPr>
      <w:r>
        <w:rPr>
          <w:spacing w:val="-2"/>
        </w:rPr>
        <w:t>按单项计提坏账准备的说明：资产负债表日，管理层结合当前状况以及对未来经济状况的预测，对大</w:t>
      </w:r>
      <w:r>
        <w:rPr>
          <w:w w:val="100"/>
        </w:rPr>
        <w:t> </w:t>
      </w:r>
      <w:r>
        <w:rPr>
          <w:spacing w:val="-2"/>
        </w:rPr>
        <w:t>额应收款项进行逐一分析，通过违约风险敞口和整个存续期预期信用损失率，计算预期信用损失，以此为</w:t>
      </w:r>
      <w:r>
        <w:rPr>
          <w:spacing w:val="-44"/>
        </w:rPr>
        <w:t> </w:t>
      </w:r>
      <w:r>
        <w:rPr>
          <w:spacing w:val="-44"/>
        </w:rPr>
      </w:r>
      <w:r>
        <w:rPr/>
        <w:t>基础计提坏账准备。</w:t>
      </w:r>
      <w:r>
        <w:rPr>
          <w:rFonts w:ascii="宋体" w:hAnsi="宋体" w:cs="宋体" w:eastAsia="宋体" w:hint="default"/>
        </w:rPr>
        <w:t> </w:t>
      </w:r>
    </w:p>
    <w:p>
      <w:pPr>
        <w:pStyle w:val="BodyText"/>
        <w:spacing w:line="240" w:lineRule="auto" w:before="116"/>
        <w:ind w:left="364" w:right="1133"/>
        <w:jc w:val="left"/>
        <w:rPr>
          <w:rFonts w:ascii="宋体" w:hAnsi="宋体" w:cs="宋体" w:eastAsia="宋体" w:hint="default"/>
        </w:rPr>
      </w:pPr>
      <w:r>
        <w:rPr/>
        <w:t>（</w:t>
      </w:r>
      <w:r>
        <w:rPr>
          <w:rFonts w:ascii="宋体" w:hAnsi="宋体" w:cs="宋体" w:eastAsia="宋体" w:hint="default"/>
        </w:rPr>
        <w:t>2</w:t>
      </w:r>
      <w:r>
        <w:rPr/>
        <w:t>）按账齢组合计提坏账准备：</w:t>
      </w:r>
      <w:r>
        <w:rPr>
          <w:rFonts w:ascii="宋体" w:hAnsi="宋体" w:cs="宋体" w:eastAsia="宋体" w:hint="default"/>
        </w:rPr>
        <w:t> </w:t>
      </w:r>
    </w:p>
    <w:p>
      <w:pPr>
        <w:spacing w:line="240" w:lineRule="auto" w:before="9"/>
        <w:rPr>
          <w:rFonts w:ascii="宋体" w:hAnsi="宋体" w:cs="宋体" w:eastAsia="宋体" w:hint="default"/>
          <w:sz w:val="11"/>
          <w:szCs w:val="11"/>
        </w:rPr>
      </w:pPr>
    </w:p>
    <w:tbl>
      <w:tblPr>
        <w:tblW w:w="0" w:type="auto"/>
        <w:jc w:val="left"/>
        <w:tblInd w:w="198" w:type="dxa"/>
        <w:tblLayout w:type="fixed"/>
        <w:tblCellMar>
          <w:top w:w="0" w:type="dxa"/>
          <w:left w:w="0" w:type="dxa"/>
          <w:bottom w:w="0" w:type="dxa"/>
          <w:right w:w="0" w:type="dxa"/>
        </w:tblCellMar>
        <w:tblLook w:val="01E0"/>
      </w:tblPr>
      <w:tblGrid>
        <w:gridCol w:w="3068"/>
        <w:gridCol w:w="1982"/>
        <w:gridCol w:w="1988"/>
        <w:gridCol w:w="2482"/>
      </w:tblGrid>
      <w:tr>
        <w:trPr>
          <w:trHeight w:val="396" w:hRule="exact"/>
        </w:trPr>
        <w:tc>
          <w:tcPr>
            <w:tcW w:w="3068"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94" w:right="0"/>
              <w:jc w:val="center"/>
              <w:rPr>
                <w:rFonts w:ascii="宋体" w:hAnsi="宋体" w:cs="宋体" w:eastAsia="宋体" w:hint="default"/>
                <w:sz w:val="18"/>
                <w:szCs w:val="18"/>
              </w:rPr>
            </w:pPr>
            <w:r>
              <w:rPr>
                <w:rFonts w:ascii="宋体" w:hAnsi="宋体" w:cs="宋体" w:eastAsia="宋体" w:hint="default"/>
                <w:sz w:val="18"/>
                <w:szCs w:val="18"/>
              </w:rPr>
              <w:t>名称</w:t>
            </w:r>
            <w:r>
              <w:rPr>
                <w:rFonts w:ascii="宋体" w:hAnsi="宋体" w:cs="宋体" w:eastAsia="宋体" w:hint="default"/>
                <w:sz w:val="18"/>
                <w:szCs w:val="18"/>
              </w:rPr>
              <w:t> </w:t>
            </w:r>
          </w:p>
        </w:tc>
        <w:tc>
          <w:tcPr>
            <w:tcW w:w="645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449"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r>
      <w:tr>
        <w:trPr>
          <w:trHeight w:val="398" w:hRule="exact"/>
        </w:trPr>
        <w:tc>
          <w:tcPr>
            <w:tcW w:w="3068" w:type="dxa"/>
            <w:vMerge/>
            <w:tcBorders>
              <w:left w:val="single" w:sz="4" w:space="0" w:color="000000"/>
              <w:bottom w:val="single" w:sz="4" w:space="0" w:color="000000"/>
              <w:right w:val="single" w:sz="4" w:space="0" w:color="000000"/>
            </w:tcBorders>
          </w:tcPr>
          <w:p>
            <w:pP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626" w:right="0"/>
              <w:jc w:val="left"/>
              <w:rPr>
                <w:rFonts w:ascii="宋体" w:hAnsi="宋体" w:cs="宋体" w:eastAsia="宋体" w:hint="default"/>
                <w:sz w:val="18"/>
                <w:szCs w:val="18"/>
              </w:rPr>
            </w:pPr>
            <w:r>
              <w:rPr>
                <w:rFonts w:ascii="宋体" w:hAnsi="宋体" w:cs="宋体" w:eastAsia="宋体" w:hint="default"/>
                <w:sz w:val="18"/>
                <w:szCs w:val="18"/>
              </w:rPr>
              <w:t>账面余额</w:t>
            </w:r>
            <w:r>
              <w:rPr>
                <w:rFonts w:ascii="宋体" w:hAnsi="宋体" w:cs="宋体" w:eastAsia="宋体" w:hint="default"/>
                <w:sz w:val="18"/>
                <w:szCs w:val="18"/>
              </w:rPr>
              <w:t> </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629" w:right="0"/>
              <w:jc w:val="left"/>
              <w:rPr>
                <w:rFonts w:ascii="宋体" w:hAnsi="宋体" w:cs="宋体" w:eastAsia="宋体" w:hint="default"/>
                <w:sz w:val="18"/>
                <w:szCs w:val="18"/>
              </w:rPr>
            </w:pPr>
            <w:r>
              <w:rPr>
                <w:rFonts w:ascii="宋体" w:hAnsi="宋体" w:cs="宋体" w:eastAsia="宋体" w:hint="default"/>
                <w:sz w:val="18"/>
                <w:szCs w:val="18"/>
              </w:rPr>
              <w:t>坏账准备</w:t>
            </w:r>
            <w:r>
              <w:rPr>
                <w:rFonts w:ascii="宋体" w:hAnsi="宋体" w:cs="宋体" w:eastAsia="宋体" w:hint="default"/>
                <w:sz w:val="18"/>
                <w:szCs w:val="18"/>
              </w:rPr>
              <w:t> </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650" w:right="0"/>
              <w:jc w:val="left"/>
              <w:rPr>
                <w:rFonts w:ascii="宋体" w:hAnsi="宋体" w:cs="宋体" w:eastAsia="宋体" w:hint="default"/>
                <w:sz w:val="18"/>
                <w:szCs w:val="18"/>
              </w:rPr>
            </w:pPr>
            <w:r>
              <w:rPr>
                <w:rFonts w:ascii="宋体" w:hAnsi="宋体" w:cs="宋体" w:eastAsia="宋体" w:hint="default"/>
                <w:sz w:val="18"/>
                <w:szCs w:val="18"/>
              </w:rPr>
              <w:t>计提比例（</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 </w:t>
            </w:r>
          </w:p>
        </w:tc>
      </w:tr>
      <w:tr>
        <w:trPr>
          <w:trHeight w:val="396" w:hRule="exact"/>
        </w:trPr>
        <w:tc>
          <w:tcPr>
            <w:tcW w:w="3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5"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年内</w:t>
            </w:r>
            <w:r>
              <w:rPr>
                <w:rFonts w:ascii="宋体" w:hAnsi="宋体" w:cs="宋体" w:eastAsia="宋体" w:hint="default"/>
                <w:sz w:val="18"/>
                <w:szCs w:val="18"/>
              </w:rPr>
              <w:t> </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
              <w:jc w:val="right"/>
              <w:rPr>
                <w:rFonts w:ascii="宋体" w:hAnsi="宋体" w:cs="宋体" w:eastAsia="宋体" w:hint="default"/>
                <w:sz w:val="18"/>
                <w:szCs w:val="18"/>
              </w:rPr>
            </w:pPr>
            <w:r>
              <w:rPr>
                <w:rFonts w:ascii="宋体"/>
                <w:spacing w:val="-1"/>
                <w:sz w:val="18"/>
              </w:rPr>
              <w:t>806,267,546.68</w:t>
            </w:r>
            <w:r>
              <w:rPr>
                <w:rFonts w:ascii="宋体"/>
                <w:sz w:val="18"/>
              </w:rPr>
              <w:t> </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
              <w:jc w:val="right"/>
              <w:rPr>
                <w:rFonts w:ascii="宋体" w:hAnsi="宋体" w:cs="宋体" w:eastAsia="宋体" w:hint="default"/>
                <w:sz w:val="18"/>
                <w:szCs w:val="18"/>
              </w:rPr>
            </w:pPr>
            <w:r>
              <w:rPr>
                <w:rFonts w:ascii="宋体"/>
                <w:spacing w:val="-1"/>
                <w:sz w:val="18"/>
              </w:rPr>
              <w:t>40,313,377.33</w:t>
            </w:r>
            <w:r>
              <w:rPr>
                <w:rFonts w:ascii="宋体"/>
                <w:sz w:val="18"/>
              </w:rPr>
              <w:t> </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9"/>
              <w:jc w:val="right"/>
              <w:rPr>
                <w:rFonts w:ascii="宋体" w:hAnsi="宋体" w:cs="宋体" w:eastAsia="宋体" w:hint="default"/>
                <w:sz w:val="18"/>
                <w:szCs w:val="18"/>
              </w:rPr>
            </w:pPr>
            <w:r>
              <w:rPr>
                <w:rFonts w:ascii="宋体"/>
                <w:sz w:val="18"/>
              </w:rPr>
              <w:t>5.00 </w:t>
            </w:r>
          </w:p>
        </w:tc>
      </w:tr>
      <w:tr>
        <w:trPr>
          <w:trHeight w:val="398" w:hRule="exact"/>
        </w:trPr>
        <w:tc>
          <w:tcPr>
            <w:tcW w:w="3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5"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3"/>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宋体" w:hAnsi="宋体" w:cs="宋体" w:eastAsia="宋体" w:hint="default"/>
                <w:sz w:val="18"/>
                <w:szCs w:val="18"/>
              </w:rPr>
              <w:t>2</w:t>
            </w:r>
            <w:r>
              <w:rPr>
                <w:rFonts w:ascii="宋体" w:hAnsi="宋体" w:cs="宋体" w:eastAsia="宋体" w:hint="default"/>
                <w:spacing w:val="-44"/>
                <w:sz w:val="18"/>
                <w:szCs w:val="18"/>
              </w:rPr>
              <w:t> </w:t>
            </w:r>
            <w:r>
              <w:rPr>
                <w:rFonts w:ascii="宋体" w:hAnsi="宋体" w:cs="宋体" w:eastAsia="宋体" w:hint="default"/>
                <w:spacing w:val="-3"/>
                <w:sz w:val="18"/>
                <w:szCs w:val="18"/>
              </w:rPr>
              <w:t>年</w:t>
            </w:r>
            <w:r>
              <w:rPr>
                <w:rFonts w:ascii="宋体" w:hAnsi="宋体" w:cs="宋体" w:eastAsia="宋体" w:hint="default"/>
                <w:sz w:val="18"/>
                <w:szCs w:val="18"/>
              </w:rPr>
              <w:t> </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
              <w:jc w:val="right"/>
              <w:rPr>
                <w:rFonts w:ascii="宋体" w:hAnsi="宋体" w:cs="宋体" w:eastAsia="宋体" w:hint="default"/>
                <w:sz w:val="18"/>
                <w:szCs w:val="18"/>
              </w:rPr>
            </w:pPr>
            <w:r>
              <w:rPr>
                <w:rFonts w:ascii="宋体"/>
                <w:spacing w:val="-1"/>
                <w:sz w:val="18"/>
              </w:rPr>
              <w:t>109,935,689.08</w:t>
            </w:r>
            <w:r>
              <w:rPr>
                <w:rFonts w:ascii="宋体"/>
                <w:sz w:val="18"/>
              </w:rPr>
              <w:t> </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
              <w:jc w:val="right"/>
              <w:rPr>
                <w:rFonts w:ascii="宋体" w:hAnsi="宋体" w:cs="宋体" w:eastAsia="宋体" w:hint="default"/>
                <w:sz w:val="18"/>
                <w:szCs w:val="18"/>
              </w:rPr>
            </w:pPr>
            <w:r>
              <w:rPr>
                <w:rFonts w:ascii="宋体"/>
                <w:spacing w:val="-1"/>
                <w:sz w:val="18"/>
              </w:rPr>
              <w:t>10,993,568.91</w:t>
            </w:r>
            <w:r>
              <w:rPr>
                <w:rFonts w:ascii="宋体"/>
                <w:sz w:val="18"/>
              </w:rPr>
              <w:t> </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9"/>
              <w:jc w:val="right"/>
              <w:rPr>
                <w:rFonts w:ascii="宋体" w:hAnsi="宋体" w:cs="宋体" w:eastAsia="宋体" w:hint="default"/>
                <w:sz w:val="18"/>
                <w:szCs w:val="18"/>
              </w:rPr>
            </w:pPr>
            <w:r>
              <w:rPr>
                <w:rFonts w:ascii="宋体"/>
                <w:spacing w:val="-1"/>
                <w:sz w:val="18"/>
              </w:rPr>
              <w:t>10.00</w:t>
            </w:r>
            <w:r>
              <w:rPr>
                <w:rFonts w:ascii="宋体"/>
                <w:sz w:val="18"/>
              </w:rPr>
              <w:t> </w:t>
            </w:r>
          </w:p>
        </w:tc>
      </w:tr>
      <w:tr>
        <w:trPr>
          <w:trHeight w:val="396" w:hRule="exact"/>
        </w:trPr>
        <w:tc>
          <w:tcPr>
            <w:tcW w:w="3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5"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pacing w:val="-43"/>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宋体" w:hAnsi="宋体" w:cs="宋体" w:eastAsia="宋体" w:hint="default"/>
                <w:sz w:val="18"/>
                <w:szCs w:val="18"/>
              </w:rPr>
              <w:t>3</w:t>
            </w:r>
            <w:r>
              <w:rPr>
                <w:rFonts w:ascii="宋体" w:hAnsi="宋体" w:cs="宋体" w:eastAsia="宋体" w:hint="default"/>
                <w:spacing w:val="-44"/>
                <w:sz w:val="18"/>
                <w:szCs w:val="18"/>
              </w:rPr>
              <w:t> </w:t>
            </w:r>
            <w:r>
              <w:rPr>
                <w:rFonts w:ascii="宋体" w:hAnsi="宋体" w:cs="宋体" w:eastAsia="宋体" w:hint="default"/>
                <w:spacing w:val="-3"/>
                <w:sz w:val="18"/>
                <w:szCs w:val="18"/>
              </w:rPr>
              <w:t>年</w:t>
            </w:r>
            <w:r>
              <w:rPr>
                <w:rFonts w:ascii="宋体" w:hAnsi="宋体" w:cs="宋体" w:eastAsia="宋体" w:hint="default"/>
                <w:sz w:val="18"/>
                <w:szCs w:val="18"/>
              </w:rPr>
              <w:t> </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31,201,756.57</w:t>
            </w:r>
            <w:r>
              <w:rPr>
                <w:rFonts w:ascii="宋体"/>
                <w:sz w:val="18"/>
              </w:rPr>
              <w:t> </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
              <w:jc w:val="right"/>
              <w:rPr>
                <w:rFonts w:ascii="宋体" w:hAnsi="宋体" w:cs="宋体" w:eastAsia="宋体" w:hint="default"/>
                <w:sz w:val="18"/>
                <w:szCs w:val="18"/>
              </w:rPr>
            </w:pPr>
            <w:r>
              <w:rPr>
                <w:rFonts w:ascii="宋体"/>
                <w:spacing w:val="-1"/>
                <w:sz w:val="18"/>
              </w:rPr>
              <w:t>12,480,702.63</w:t>
            </w:r>
            <w:r>
              <w:rPr>
                <w:rFonts w:ascii="宋体"/>
                <w:sz w:val="18"/>
              </w:rPr>
              <w:t> </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z w:val="18"/>
              </w:rPr>
              <w:t>40.00 </w:t>
            </w:r>
          </w:p>
        </w:tc>
      </w:tr>
      <w:tr>
        <w:trPr>
          <w:trHeight w:val="396" w:hRule="exact"/>
        </w:trPr>
        <w:tc>
          <w:tcPr>
            <w:tcW w:w="3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5"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3"/>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宋体" w:hAnsi="宋体" w:cs="宋体" w:eastAsia="宋体" w:hint="default"/>
                <w:sz w:val="18"/>
                <w:szCs w:val="18"/>
              </w:rPr>
              <w:t>4</w:t>
            </w:r>
            <w:r>
              <w:rPr>
                <w:rFonts w:ascii="宋体" w:hAnsi="宋体" w:cs="宋体" w:eastAsia="宋体" w:hint="default"/>
                <w:spacing w:val="-44"/>
                <w:sz w:val="18"/>
                <w:szCs w:val="18"/>
              </w:rPr>
              <w:t> </w:t>
            </w:r>
            <w:r>
              <w:rPr>
                <w:rFonts w:ascii="宋体" w:hAnsi="宋体" w:cs="宋体" w:eastAsia="宋体" w:hint="default"/>
                <w:spacing w:val="-3"/>
                <w:sz w:val="18"/>
                <w:szCs w:val="18"/>
              </w:rPr>
              <w:t>年</w:t>
            </w:r>
            <w:r>
              <w:rPr>
                <w:rFonts w:ascii="宋体" w:hAnsi="宋体" w:cs="宋体" w:eastAsia="宋体" w:hint="default"/>
                <w:sz w:val="18"/>
                <w:szCs w:val="18"/>
              </w:rPr>
              <w:t> </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9"/>
              <w:jc w:val="right"/>
              <w:rPr>
                <w:rFonts w:ascii="宋体" w:hAnsi="宋体" w:cs="宋体" w:eastAsia="宋体" w:hint="default"/>
                <w:sz w:val="18"/>
                <w:szCs w:val="18"/>
              </w:rPr>
            </w:pPr>
            <w:r>
              <w:rPr>
                <w:rFonts w:ascii="宋体"/>
                <w:spacing w:val="-1"/>
                <w:sz w:val="18"/>
              </w:rPr>
              <w:t>4,563,099.29</w:t>
            </w:r>
            <w:r>
              <w:rPr>
                <w:rFonts w:ascii="宋体"/>
                <w:sz w:val="18"/>
              </w:rPr>
              <w:t> </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
              <w:jc w:val="right"/>
              <w:rPr>
                <w:rFonts w:ascii="宋体" w:hAnsi="宋体" w:cs="宋体" w:eastAsia="宋体" w:hint="default"/>
                <w:sz w:val="18"/>
                <w:szCs w:val="18"/>
              </w:rPr>
            </w:pPr>
            <w:r>
              <w:rPr>
                <w:rFonts w:ascii="宋体"/>
                <w:spacing w:val="-1"/>
                <w:sz w:val="18"/>
              </w:rPr>
              <w:t>3,650,479.43</w:t>
            </w:r>
            <w:r>
              <w:rPr>
                <w:rFonts w:ascii="宋体"/>
                <w:sz w:val="18"/>
              </w:rPr>
              <w:t> </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9"/>
              <w:jc w:val="right"/>
              <w:rPr>
                <w:rFonts w:ascii="宋体" w:hAnsi="宋体" w:cs="宋体" w:eastAsia="宋体" w:hint="default"/>
                <w:sz w:val="18"/>
                <w:szCs w:val="18"/>
              </w:rPr>
            </w:pPr>
            <w:r>
              <w:rPr>
                <w:rFonts w:ascii="宋体"/>
                <w:spacing w:val="-1"/>
                <w:sz w:val="18"/>
              </w:rPr>
              <w:t>80.00</w:t>
            </w:r>
            <w:r>
              <w:rPr>
                <w:rFonts w:ascii="宋体"/>
                <w:sz w:val="18"/>
              </w:rPr>
              <w:t> </w:t>
            </w:r>
          </w:p>
        </w:tc>
      </w:tr>
      <w:tr>
        <w:trPr>
          <w:trHeight w:val="398" w:hRule="exact"/>
        </w:trPr>
        <w:tc>
          <w:tcPr>
            <w:tcW w:w="3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5"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pacing w:val="-43"/>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宋体" w:hAnsi="宋体" w:cs="宋体" w:eastAsia="宋体" w:hint="default"/>
                <w:sz w:val="18"/>
                <w:szCs w:val="18"/>
              </w:rPr>
              <w:t>5</w:t>
            </w:r>
            <w:r>
              <w:rPr>
                <w:rFonts w:ascii="宋体" w:hAnsi="宋体" w:cs="宋体" w:eastAsia="宋体" w:hint="default"/>
                <w:spacing w:val="-44"/>
                <w:sz w:val="18"/>
                <w:szCs w:val="18"/>
              </w:rPr>
              <w:t> </w:t>
            </w:r>
            <w:r>
              <w:rPr>
                <w:rFonts w:ascii="宋体" w:hAnsi="宋体" w:cs="宋体" w:eastAsia="宋体" w:hint="default"/>
                <w:spacing w:val="-3"/>
                <w:sz w:val="18"/>
                <w:szCs w:val="18"/>
              </w:rPr>
              <w:t>年</w:t>
            </w:r>
            <w:r>
              <w:rPr>
                <w:rFonts w:ascii="宋体" w:hAnsi="宋体" w:cs="宋体" w:eastAsia="宋体" w:hint="default"/>
                <w:sz w:val="18"/>
                <w:szCs w:val="18"/>
              </w:rPr>
              <w:t> </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9"/>
              <w:jc w:val="right"/>
              <w:rPr>
                <w:rFonts w:ascii="宋体" w:hAnsi="宋体" w:cs="宋体" w:eastAsia="宋体" w:hint="default"/>
                <w:sz w:val="18"/>
                <w:szCs w:val="18"/>
              </w:rPr>
            </w:pPr>
            <w:r>
              <w:rPr>
                <w:rFonts w:ascii="宋体"/>
                <w:spacing w:val="-1"/>
                <w:sz w:val="18"/>
              </w:rPr>
              <w:t>2,675,048.23</w:t>
            </w:r>
            <w:r>
              <w:rPr>
                <w:rFonts w:ascii="宋体"/>
                <w:sz w:val="18"/>
              </w:rPr>
              <w:t> </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
              <w:jc w:val="right"/>
              <w:rPr>
                <w:rFonts w:ascii="宋体" w:hAnsi="宋体" w:cs="宋体" w:eastAsia="宋体" w:hint="default"/>
                <w:sz w:val="18"/>
                <w:szCs w:val="18"/>
              </w:rPr>
            </w:pPr>
            <w:r>
              <w:rPr>
                <w:rFonts w:ascii="宋体"/>
                <w:spacing w:val="-1"/>
                <w:sz w:val="18"/>
              </w:rPr>
              <w:t>2,140,038.58</w:t>
            </w:r>
            <w:r>
              <w:rPr>
                <w:rFonts w:ascii="宋体"/>
                <w:sz w:val="18"/>
              </w:rPr>
              <w:t> </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9"/>
              <w:jc w:val="right"/>
              <w:rPr>
                <w:rFonts w:ascii="宋体" w:hAnsi="宋体" w:cs="宋体" w:eastAsia="宋体" w:hint="default"/>
                <w:sz w:val="18"/>
                <w:szCs w:val="18"/>
              </w:rPr>
            </w:pPr>
            <w:r>
              <w:rPr>
                <w:rFonts w:ascii="宋体"/>
                <w:spacing w:val="-1"/>
                <w:sz w:val="18"/>
              </w:rPr>
              <w:t>80.00</w:t>
            </w:r>
            <w:r>
              <w:rPr>
                <w:rFonts w:ascii="宋体"/>
                <w:sz w:val="18"/>
              </w:rPr>
              <w:t> </w:t>
            </w:r>
          </w:p>
        </w:tc>
      </w:tr>
      <w:tr>
        <w:trPr>
          <w:trHeight w:val="396" w:hRule="exact"/>
        </w:trPr>
        <w:tc>
          <w:tcPr>
            <w:tcW w:w="3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5" w:right="0"/>
              <w:jc w:val="left"/>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pacing w:val="-46"/>
                <w:sz w:val="18"/>
                <w:szCs w:val="18"/>
              </w:rPr>
              <w:t> </w:t>
            </w:r>
            <w:r>
              <w:rPr>
                <w:rFonts w:ascii="宋体" w:hAnsi="宋体" w:cs="宋体" w:eastAsia="宋体" w:hint="default"/>
                <w:sz w:val="18"/>
                <w:szCs w:val="18"/>
              </w:rPr>
              <w:t>年以上</w:t>
            </w:r>
            <w:r>
              <w:rPr>
                <w:rFonts w:ascii="宋体" w:hAnsi="宋体" w:cs="宋体" w:eastAsia="宋体" w:hint="default"/>
                <w:sz w:val="18"/>
                <w:szCs w:val="18"/>
              </w:rPr>
              <w:t> </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9"/>
              <w:jc w:val="right"/>
              <w:rPr>
                <w:rFonts w:ascii="宋体" w:hAnsi="宋体" w:cs="宋体" w:eastAsia="宋体" w:hint="default"/>
                <w:sz w:val="18"/>
                <w:szCs w:val="18"/>
              </w:rPr>
            </w:pPr>
            <w:r>
              <w:rPr>
                <w:rFonts w:ascii="宋体"/>
                <w:spacing w:val="-1"/>
                <w:sz w:val="18"/>
              </w:rPr>
              <w:t>313,515.98</w:t>
            </w:r>
            <w:r>
              <w:rPr>
                <w:rFonts w:ascii="宋体"/>
                <w:sz w:val="18"/>
              </w:rPr>
              <w:t> </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
              <w:jc w:val="right"/>
              <w:rPr>
                <w:rFonts w:ascii="宋体" w:hAnsi="宋体" w:cs="宋体" w:eastAsia="宋体" w:hint="default"/>
                <w:sz w:val="18"/>
                <w:szCs w:val="18"/>
              </w:rPr>
            </w:pPr>
            <w:r>
              <w:rPr>
                <w:rFonts w:ascii="宋体"/>
                <w:spacing w:val="-1"/>
                <w:sz w:val="18"/>
              </w:rPr>
              <w:t>250,812.79</w:t>
            </w:r>
            <w:r>
              <w:rPr>
                <w:rFonts w:ascii="宋体"/>
                <w:sz w:val="18"/>
              </w:rPr>
              <w:t> </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9"/>
              <w:jc w:val="right"/>
              <w:rPr>
                <w:rFonts w:ascii="宋体" w:hAnsi="宋体" w:cs="宋体" w:eastAsia="宋体" w:hint="default"/>
                <w:sz w:val="18"/>
                <w:szCs w:val="18"/>
              </w:rPr>
            </w:pPr>
            <w:r>
              <w:rPr>
                <w:rFonts w:ascii="宋体"/>
                <w:spacing w:val="-1"/>
                <w:sz w:val="18"/>
              </w:rPr>
              <w:t>80.00</w:t>
            </w:r>
            <w:r>
              <w:rPr>
                <w:rFonts w:ascii="宋体"/>
                <w:sz w:val="18"/>
              </w:rPr>
              <w:t> </w:t>
            </w:r>
          </w:p>
        </w:tc>
      </w:tr>
      <w:tr>
        <w:trPr>
          <w:trHeight w:val="398" w:hRule="exact"/>
        </w:trPr>
        <w:tc>
          <w:tcPr>
            <w:tcW w:w="3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4"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
              <w:jc w:val="right"/>
              <w:rPr>
                <w:rFonts w:ascii="宋体" w:hAnsi="宋体" w:cs="宋体" w:eastAsia="宋体" w:hint="default"/>
                <w:sz w:val="18"/>
                <w:szCs w:val="18"/>
              </w:rPr>
            </w:pPr>
            <w:r>
              <w:rPr>
                <w:rFonts w:ascii="宋体"/>
                <w:spacing w:val="-1"/>
                <w:sz w:val="18"/>
              </w:rPr>
              <w:t>954,956,655.83</w:t>
            </w:r>
            <w:r>
              <w:rPr>
                <w:rFonts w:ascii="宋体"/>
                <w:sz w:val="18"/>
              </w:rPr>
              <w:t> </w:t>
            </w:r>
          </w:p>
        </w:tc>
        <w:tc>
          <w:tcPr>
            <w:tcW w:w="19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
              <w:jc w:val="right"/>
              <w:rPr>
                <w:rFonts w:ascii="宋体" w:hAnsi="宋体" w:cs="宋体" w:eastAsia="宋体" w:hint="default"/>
                <w:sz w:val="18"/>
                <w:szCs w:val="18"/>
              </w:rPr>
            </w:pPr>
            <w:r>
              <w:rPr>
                <w:rFonts w:ascii="宋体"/>
                <w:spacing w:val="-1"/>
                <w:sz w:val="18"/>
              </w:rPr>
              <w:t>69,828,979.67</w:t>
            </w:r>
            <w:r>
              <w:rPr>
                <w:rFonts w:ascii="宋体"/>
                <w:sz w:val="18"/>
              </w:rPr>
              <w:t> </w:t>
            </w:r>
          </w:p>
        </w:tc>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9" w:right="0"/>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 </w:t>
            </w:r>
          </w:p>
        </w:tc>
      </w:tr>
    </w:tbl>
    <w:p>
      <w:pPr>
        <w:pStyle w:val="BodyText"/>
        <w:spacing w:line="240" w:lineRule="auto" w:before="86"/>
        <w:ind w:left="573" w:right="1133"/>
        <w:jc w:val="left"/>
        <w:rPr>
          <w:rFonts w:ascii="宋体" w:hAnsi="宋体" w:cs="宋体" w:eastAsia="宋体" w:hint="default"/>
        </w:rPr>
      </w:pPr>
      <w:r>
        <w:rPr>
          <w:rFonts w:ascii="宋体" w:hAnsi="宋体" w:cs="宋体" w:eastAsia="宋体" w:hint="default"/>
        </w:rPr>
        <w:t>3</w:t>
      </w:r>
      <w:r>
        <w:rPr/>
        <w:t>、本期计提、收回或转回的坏账准备情况</w:t>
      </w:r>
      <w:r>
        <w:rPr>
          <w:rFonts w:ascii="宋体" w:hAnsi="宋体" w:cs="宋体" w:eastAsia="宋体" w:hint="default"/>
        </w:rPr>
        <w:t> </w:t>
      </w:r>
    </w:p>
    <w:p>
      <w:pPr>
        <w:spacing w:line="240" w:lineRule="auto" w:before="7"/>
        <w:rPr>
          <w:rFonts w:ascii="宋体" w:hAnsi="宋体" w:cs="宋体" w:eastAsia="宋体" w:hint="default"/>
          <w:sz w:val="11"/>
          <w:szCs w:val="11"/>
        </w:rPr>
      </w:pPr>
    </w:p>
    <w:tbl>
      <w:tblPr>
        <w:tblW w:w="0" w:type="auto"/>
        <w:jc w:val="left"/>
        <w:tblInd w:w="227" w:type="dxa"/>
        <w:tblLayout w:type="fixed"/>
        <w:tblCellMar>
          <w:top w:w="0" w:type="dxa"/>
          <w:left w:w="0" w:type="dxa"/>
          <w:bottom w:w="0" w:type="dxa"/>
          <w:right w:w="0" w:type="dxa"/>
        </w:tblCellMar>
        <w:tblLook w:val="01E0"/>
      </w:tblPr>
      <w:tblGrid>
        <w:gridCol w:w="1896"/>
        <w:gridCol w:w="1460"/>
        <w:gridCol w:w="1404"/>
        <w:gridCol w:w="1188"/>
        <w:gridCol w:w="1130"/>
        <w:gridCol w:w="941"/>
        <w:gridCol w:w="1529"/>
      </w:tblGrid>
      <w:tr>
        <w:trPr>
          <w:trHeight w:val="245" w:hRule="exact"/>
        </w:trPr>
        <w:tc>
          <w:tcPr>
            <w:tcW w:w="1896" w:type="dxa"/>
            <w:vMerge w:val="restart"/>
            <w:tcBorders>
              <w:top w:val="single" w:sz="4" w:space="0" w:color="000000"/>
              <w:left w:val="single" w:sz="4" w:space="0" w:color="000000"/>
              <w:right w:val="single" w:sz="4" w:space="0" w:color="000000"/>
            </w:tcBorders>
          </w:tcPr>
          <w:p>
            <w:pPr>
              <w:pStyle w:val="TableParagraph"/>
              <w:spacing w:line="240" w:lineRule="auto" w:before="92"/>
              <w:ind w:left="95" w:right="0"/>
              <w:jc w:val="center"/>
              <w:rPr>
                <w:rFonts w:ascii="宋体" w:hAnsi="宋体" w:cs="宋体" w:eastAsia="宋体" w:hint="default"/>
                <w:sz w:val="18"/>
                <w:szCs w:val="18"/>
              </w:rPr>
            </w:pPr>
            <w:r>
              <w:rPr>
                <w:rFonts w:ascii="宋体" w:hAnsi="宋体" w:cs="宋体" w:eastAsia="宋体" w:hint="default"/>
                <w:sz w:val="18"/>
                <w:szCs w:val="18"/>
              </w:rPr>
              <w:t>类别</w:t>
            </w:r>
            <w:r>
              <w:rPr>
                <w:rFonts w:ascii="宋体" w:hAnsi="宋体" w:cs="宋体" w:eastAsia="宋体" w:hint="default"/>
                <w:sz w:val="18"/>
                <w:szCs w:val="18"/>
              </w:rPr>
              <w:t> </w:t>
            </w:r>
          </w:p>
        </w:tc>
        <w:tc>
          <w:tcPr>
            <w:tcW w:w="1460" w:type="dxa"/>
            <w:vMerge w:val="restart"/>
            <w:tcBorders>
              <w:top w:val="single" w:sz="4" w:space="0" w:color="000000"/>
              <w:left w:val="single" w:sz="4" w:space="0" w:color="000000"/>
              <w:right w:val="single" w:sz="4" w:space="0" w:color="000000"/>
            </w:tcBorders>
          </w:tcPr>
          <w:p>
            <w:pPr>
              <w:pStyle w:val="TableParagraph"/>
              <w:spacing w:line="240" w:lineRule="auto" w:before="92"/>
              <w:ind w:left="367"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c>
          <w:tcPr>
            <w:tcW w:w="4664" w:type="dxa"/>
            <w:gridSpan w:val="4"/>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92" w:right="0"/>
              <w:jc w:val="center"/>
              <w:rPr>
                <w:rFonts w:ascii="宋体" w:hAnsi="宋体" w:cs="宋体" w:eastAsia="宋体" w:hint="default"/>
                <w:sz w:val="18"/>
                <w:szCs w:val="18"/>
              </w:rPr>
            </w:pPr>
            <w:r>
              <w:rPr>
                <w:rFonts w:ascii="宋体" w:hAnsi="宋体" w:cs="宋体" w:eastAsia="宋体" w:hint="default"/>
                <w:sz w:val="18"/>
                <w:szCs w:val="18"/>
              </w:rPr>
              <w:t>本期变动金额</w:t>
            </w:r>
            <w:r>
              <w:rPr>
                <w:rFonts w:ascii="宋体" w:hAnsi="宋体" w:cs="宋体" w:eastAsia="宋体" w:hint="default"/>
                <w:sz w:val="18"/>
                <w:szCs w:val="18"/>
              </w:rPr>
              <w:t> </w:t>
            </w:r>
          </w:p>
        </w:tc>
        <w:tc>
          <w:tcPr>
            <w:tcW w:w="1529" w:type="dxa"/>
            <w:vMerge w:val="restart"/>
            <w:tcBorders>
              <w:top w:val="single" w:sz="4" w:space="0" w:color="000000"/>
              <w:left w:val="single" w:sz="4" w:space="0" w:color="000000"/>
              <w:right w:val="single" w:sz="4" w:space="0" w:color="000000"/>
            </w:tcBorders>
          </w:tcPr>
          <w:p>
            <w:pPr>
              <w:pStyle w:val="TableParagraph"/>
              <w:spacing w:line="240" w:lineRule="auto" w:before="92"/>
              <w:ind w:left="401"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r>
      <w:tr>
        <w:trPr>
          <w:trHeight w:val="242" w:hRule="exact"/>
        </w:trPr>
        <w:tc>
          <w:tcPr>
            <w:tcW w:w="1896" w:type="dxa"/>
            <w:vMerge/>
            <w:tcBorders>
              <w:left w:val="single" w:sz="4" w:space="0" w:color="000000"/>
              <w:bottom w:val="single" w:sz="4" w:space="0" w:color="000000"/>
              <w:right w:val="single" w:sz="4" w:space="0" w:color="000000"/>
            </w:tcBorders>
          </w:tcPr>
          <w:p>
            <w:pPr/>
          </w:p>
        </w:tc>
        <w:tc>
          <w:tcPr>
            <w:tcW w:w="1460" w:type="dxa"/>
            <w:vMerge/>
            <w:tcBorders>
              <w:left w:val="single" w:sz="4" w:space="0" w:color="000000"/>
              <w:bottom w:val="single" w:sz="4" w:space="0" w:color="000000"/>
              <w:right w:val="single" w:sz="4" w:space="0" w:color="000000"/>
            </w:tcBorders>
          </w:tcPr>
          <w:p>
            <w:pP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92" w:right="0"/>
              <w:jc w:val="center"/>
              <w:rPr>
                <w:rFonts w:ascii="宋体" w:hAnsi="宋体" w:cs="宋体" w:eastAsia="宋体" w:hint="default"/>
                <w:sz w:val="18"/>
                <w:szCs w:val="18"/>
              </w:rPr>
            </w:pPr>
            <w:r>
              <w:rPr>
                <w:rFonts w:ascii="宋体" w:hAnsi="宋体" w:cs="宋体" w:eastAsia="宋体" w:hint="default"/>
                <w:sz w:val="18"/>
                <w:szCs w:val="18"/>
              </w:rPr>
              <w:t>计提</w:t>
            </w:r>
            <w:r>
              <w:rPr>
                <w:rFonts w:ascii="宋体" w:hAnsi="宋体" w:cs="宋体" w:eastAsia="宋体" w:hint="default"/>
                <w:sz w:val="18"/>
                <w:szCs w:val="18"/>
              </w:rPr>
              <w:t> </w:t>
            </w:r>
          </w:p>
        </w:tc>
        <w:tc>
          <w:tcPr>
            <w:tcW w:w="1188"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41" w:right="0"/>
              <w:jc w:val="left"/>
              <w:rPr>
                <w:rFonts w:ascii="宋体" w:hAnsi="宋体" w:cs="宋体" w:eastAsia="宋体" w:hint="default"/>
                <w:sz w:val="18"/>
                <w:szCs w:val="18"/>
              </w:rPr>
            </w:pPr>
            <w:r>
              <w:rPr>
                <w:rFonts w:ascii="宋体" w:hAnsi="宋体" w:cs="宋体" w:eastAsia="宋体" w:hint="default"/>
                <w:sz w:val="18"/>
                <w:szCs w:val="18"/>
              </w:rPr>
              <w:t>收回或转回</w:t>
            </w:r>
            <w:r>
              <w:rPr>
                <w:rFonts w:ascii="宋体" w:hAnsi="宋体" w:cs="宋体" w:eastAsia="宋体" w:hint="default"/>
                <w:sz w:val="18"/>
                <w:szCs w:val="18"/>
              </w:rPr>
              <w:t> </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10" w:right="0"/>
              <w:jc w:val="left"/>
              <w:rPr>
                <w:rFonts w:ascii="宋体" w:hAnsi="宋体" w:cs="宋体" w:eastAsia="宋体" w:hint="default"/>
                <w:sz w:val="18"/>
                <w:szCs w:val="18"/>
              </w:rPr>
            </w:pPr>
            <w:r>
              <w:rPr>
                <w:rFonts w:ascii="宋体" w:hAnsi="宋体" w:cs="宋体" w:eastAsia="宋体" w:hint="default"/>
                <w:sz w:val="18"/>
                <w:szCs w:val="18"/>
              </w:rPr>
              <w:t>转销或核销</w:t>
            </w:r>
            <w:r>
              <w:rPr>
                <w:rFonts w:ascii="宋体" w:hAnsi="宋体" w:cs="宋体" w:eastAsia="宋体" w:hint="default"/>
                <w:sz w:val="18"/>
                <w:szCs w:val="18"/>
              </w:rPr>
              <w:t> </w:t>
            </w:r>
          </w:p>
        </w:tc>
        <w:tc>
          <w:tcPr>
            <w:tcW w:w="94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8" w:right="0"/>
              <w:jc w:val="left"/>
              <w:rPr>
                <w:rFonts w:ascii="宋体" w:hAnsi="宋体" w:cs="宋体" w:eastAsia="宋体" w:hint="default"/>
                <w:sz w:val="18"/>
                <w:szCs w:val="18"/>
              </w:rPr>
            </w:pPr>
            <w:r>
              <w:rPr>
                <w:rFonts w:ascii="宋体" w:hAnsi="宋体" w:cs="宋体" w:eastAsia="宋体" w:hint="default"/>
                <w:sz w:val="18"/>
                <w:szCs w:val="18"/>
              </w:rPr>
              <w:t>其他变动</w:t>
            </w:r>
            <w:r>
              <w:rPr>
                <w:rFonts w:ascii="宋体" w:hAnsi="宋体" w:cs="宋体" w:eastAsia="宋体" w:hint="default"/>
                <w:sz w:val="18"/>
                <w:szCs w:val="18"/>
              </w:rPr>
              <w:t> </w:t>
            </w:r>
          </w:p>
        </w:tc>
        <w:tc>
          <w:tcPr>
            <w:tcW w:w="1529" w:type="dxa"/>
            <w:vMerge/>
            <w:tcBorders>
              <w:left w:val="single" w:sz="4" w:space="0" w:color="000000"/>
              <w:bottom w:val="single" w:sz="4" w:space="0" w:color="000000"/>
              <w:right w:val="single" w:sz="4" w:space="0" w:color="000000"/>
            </w:tcBorders>
          </w:tcPr>
          <w:p>
            <w:pPr/>
          </w:p>
        </w:tc>
      </w:tr>
      <w:tr>
        <w:trPr>
          <w:trHeight w:val="295" w:hRule="exact"/>
        </w:trPr>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34" w:right="0"/>
              <w:jc w:val="center"/>
              <w:rPr>
                <w:rFonts w:ascii="宋体" w:hAnsi="宋体" w:cs="宋体" w:eastAsia="宋体" w:hint="default"/>
                <w:sz w:val="18"/>
                <w:szCs w:val="18"/>
              </w:rPr>
            </w:pPr>
            <w:r>
              <w:rPr>
                <w:rFonts w:ascii="宋体" w:hAnsi="宋体" w:cs="宋体" w:eastAsia="宋体" w:hint="default"/>
                <w:sz w:val="18"/>
                <w:szCs w:val="18"/>
              </w:rPr>
              <w:t>单项计提的应收账款</w:t>
            </w:r>
            <w:r>
              <w:rPr>
                <w:rFonts w:ascii="宋体" w:hAnsi="宋体" w:cs="宋体" w:eastAsia="宋体" w:hint="default"/>
                <w:sz w:val="18"/>
                <w:szCs w:val="18"/>
              </w:rPr>
              <w:t> </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7"/>
              <w:jc w:val="right"/>
              <w:rPr>
                <w:rFonts w:ascii="宋体" w:hAnsi="宋体" w:cs="宋体" w:eastAsia="宋体" w:hint="default"/>
                <w:sz w:val="18"/>
                <w:szCs w:val="18"/>
              </w:rPr>
            </w:pPr>
            <w:r>
              <w:rPr>
                <w:rFonts w:ascii="宋体"/>
                <w:spacing w:val="-1"/>
                <w:sz w:val="18"/>
              </w:rPr>
              <w:t>14,061,026.67</w:t>
            </w:r>
            <w:r>
              <w:rPr>
                <w:rFonts w:ascii="宋体"/>
                <w:sz w:val="18"/>
              </w:rPr>
              <w:t>  </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76" w:right="0"/>
              <w:jc w:val="center"/>
              <w:rPr>
                <w:rFonts w:ascii="宋体" w:hAnsi="宋体" w:cs="宋体" w:eastAsia="宋体" w:hint="default"/>
                <w:sz w:val="18"/>
                <w:szCs w:val="18"/>
              </w:rPr>
            </w:pPr>
            <w:r>
              <w:rPr>
                <w:rFonts w:ascii="宋体"/>
                <w:sz w:val="18"/>
              </w:rPr>
              <w:t>74,832,179.69 </w:t>
            </w:r>
          </w:p>
        </w:tc>
        <w:tc>
          <w:tcPr>
            <w:tcW w:w="118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5" w:right="0"/>
              <w:jc w:val="left"/>
              <w:rPr>
                <w:rFonts w:ascii="宋体" w:hAnsi="宋体" w:cs="宋体" w:eastAsia="宋体" w:hint="default"/>
                <w:sz w:val="18"/>
                <w:szCs w:val="18"/>
              </w:rPr>
            </w:pPr>
            <w:r>
              <w:rPr>
                <w:rFonts w:ascii="宋体"/>
                <w:sz w:val="18"/>
              </w:rPr>
              <w:t> </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18"/>
                <w:szCs w:val="18"/>
              </w:rPr>
            </w:pPr>
            <w:r>
              <w:rPr>
                <w:rFonts w:ascii="宋体"/>
                <w:sz w:val="18"/>
              </w:rPr>
              <w:t> </w:t>
            </w:r>
          </w:p>
        </w:tc>
        <w:tc>
          <w:tcPr>
            <w:tcW w:w="94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5" w:right="0"/>
              <w:jc w:val="left"/>
              <w:rPr>
                <w:rFonts w:ascii="宋体" w:hAnsi="宋体" w:cs="宋体" w:eastAsia="宋体" w:hint="default"/>
                <w:sz w:val="18"/>
                <w:szCs w:val="18"/>
              </w:rPr>
            </w:pPr>
            <w:r>
              <w:rPr>
                <w:rFonts w:ascii="宋体"/>
                <w:sz w:val="18"/>
              </w:rPr>
              <w:t> </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5" w:right="0"/>
              <w:jc w:val="left"/>
              <w:rPr>
                <w:rFonts w:ascii="宋体" w:hAnsi="宋体" w:cs="宋体" w:eastAsia="宋体" w:hint="default"/>
                <w:sz w:val="18"/>
                <w:szCs w:val="18"/>
              </w:rPr>
            </w:pPr>
            <w:r>
              <w:rPr>
                <w:rFonts w:ascii="宋体"/>
                <w:sz w:val="18"/>
              </w:rPr>
              <w:t>88,893,206.36  </w:t>
            </w:r>
          </w:p>
        </w:tc>
      </w:tr>
      <w:tr>
        <w:trPr>
          <w:trHeight w:val="293" w:hRule="exact"/>
        </w:trPr>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34" w:right="0"/>
              <w:jc w:val="center"/>
              <w:rPr>
                <w:rFonts w:ascii="宋体" w:hAnsi="宋体" w:cs="宋体" w:eastAsia="宋体" w:hint="default"/>
                <w:sz w:val="18"/>
                <w:szCs w:val="18"/>
              </w:rPr>
            </w:pPr>
            <w:r>
              <w:rPr>
                <w:rFonts w:ascii="宋体" w:hAnsi="宋体" w:cs="宋体" w:eastAsia="宋体" w:hint="default"/>
                <w:sz w:val="18"/>
                <w:szCs w:val="18"/>
              </w:rPr>
              <w:t>组合计提的应收账款</w:t>
            </w:r>
            <w:r>
              <w:rPr>
                <w:rFonts w:ascii="宋体" w:hAnsi="宋体" w:cs="宋体" w:eastAsia="宋体" w:hint="default"/>
                <w:sz w:val="18"/>
                <w:szCs w:val="18"/>
              </w:rPr>
              <w:t> </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right="-7"/>
              <w:jc w:val="right"/>
              <w:rPr>
                <w:rFonts w:ascii="宋体" w:hAnsi="宋体" w:cs="宋体" w:eastAsia="宋体" w:hint="default"/>
                <w:sz w:val="18"/>
                <w:szCs w:val="18"/>
              </w:rPr>
            </w:pPr>
            <w:r>
              <w:rPr>
                <w:rFonts w:ascii="宋体"/>
                <w:spacing w:val="-1"/>
                <w:sz w:val="18"/>
              </w:rPr>
              <w:t>63,926,127.58</w:t>
            </w:r>
            <w:r>
              <w:rPr>
                <w:rFonts w:ascii="宋体"/>
                <w:sz w:val="18"/>
              </w:rPr>
              <w:t>  </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78" w:right="0"/>
              <w:jc w:val="center"/>
              <w:rPr>
                <w:rFonts w:ascii="宋体" w:hAnsi="宋体" w:cs="宋体" w:eastAsia="宋体" w:hint="default"/>
                <w:sz w:val="18"/>
                <w:szCs w:val="18"/>
              </w:rPr>
            </w:pPr>
            <w:r>
              <w:rPr>
                <w:rFonts w:ascii="宋体"/>
                <w:sz w:val="18"/>
              </w:rPr>
              <w:t>5,902,852.09</w:t>
            </w:r>
            <w:r>
              <w:rPr>
                <w:rFonts w:ascii="宋体"/>
                <w:spacing w:val="-1"/>
                <w:sz w:val="18"/>
              </w:rPr>
              <w:t> </w:t>
            </w:r>
            <w:r>
              <w:rPr>
                <w:rFonts w:ascii="宋体"/>
                <w:sz w:val="18"/>
              </w:rPr>
              <w:t> </w:t>
            </w:r>
          </w:p>
        </w:tc>
        <w:tc>
          <w:tcPr>
            <w:tcW w:w="1188"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05" w:right="0"/>
              <w:jc w:val="left"/>
              <w:rPr>
                <w:rFonts w:ascii="宋体" w:hAnsi="宋体" w:cs="宋体" w:eastAsia="宋体" w:hint="default"/>
                <w:sz w:val="18"/>
                <w:szCs w:val="18"/>
              </w:rPr>
            </w:pPr>
            <w:r>
              <w:rPr>
                <w:rFonts w:ascii="宋体"/>
                <w:sz w:val="18"/>
              </w:rPr>
              <w:t> </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03" w:right="0"/>
              <w:jc w:val="left"/>
              <w:rPr>
                <w:rFonts w:ascii="宋体" w:hAnsi="宋体" w:cs="宋体" w:eastAsia="宋体" w:hint="default"/>
                <w:sz w:val="18"/>
                <w:szCs w:val="18"/>
              </w:rPr>
            </w:pPr>
            <w:r>
              <w:rPr>
                <w:rFonts w:ascii="宋体"/>
                <w:sz w:val="18"/>
              </w:rPr>
              <w:t> </w:t>
            </w:r>
          </w:p>
        </w:tc>
        <w:tc>
          <w:tcPr>
            <w:tcW w:w="94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5" w:right="0"/>
              <w:jc w:val="left"/>
              <w:rPr>
                <w:rFonts w:ascii="宋体" w:hAnsi="宋体" w:cs="宋体" w:eastAsia="宋体" w:hint="default"/>
                <w:sz w:val="18"/>
                <w:szCs w:val="18"/>
              </w:rPr>
            </w:pPr>
            <w:r>
              <w:rPr>
                <w:rFonts w:ascii="宋体"/>
                <w:sz w:val="18"/>
              </w:rPr>
              <w:t> </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29" w:lineRule="exact"/>
              <w:ind w:left="105" w:right="0"/>
              <w:jc w:val="left"/>
              <w:rPr>
                <w:rFonts w:ascii="宋体" w:hAnsi="宋体" w:cs="宋体" w:eastAsia="宋体" w:hint="default"/>
                <w:sz w:val="18"/>
                <w:szCs w:val="18"/>
              </w:rPr>
            </w:pPr>
            <w:r>
              <w:rPr>
                <w:rFonts w:ascii="宋体"/>
                <w:sz w:val="18"/>
              </w:rPr>
              <w:t>69,828,979.67  </w:t>
            </w:r>
          </w:p>
        </w:tc>
      </w:tr>
      <w:tr>
        <w:trPr>
          <w:trHeight w:val="295" w:hRule="exact"/>
        </w:trPr>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95"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right="-7"/>
              <w:jc w:val="right"/>
              <w:rPr>
                <w:rFonts w:ascii="宋体" w:hAnsi="宋体" w:cs="宋体" w:eastAsia="宋体" w:hint="default"/>
                <w:sz w:val="18"/>
                <w:szCs w:val="18"/>
              </w:rPr>
            </w:pPr>
            <w:r>
              <w:rPr>
                <w:rFonts w:ascii="宋体"/>
                <w:spacing w:val="-1"/>
                <w:sz w:val="18"/>
              </w:rPr>
              <w:t>77,987,154.25</w:t>
            </w:r>
            <w:r>
              <w:rPr>
                <w:rFonts w:ascii="宋体"/>
                <w:sz w:val="18"/>
              </w:rPr>
              <w:t>  </w:t>
            </w:r>
          </w:p>
        </w:tc>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76" w:right="0"/>
              <w:jc w:val="center"/>
              <w:rPr>
                <w:rFonts w:ascii="宋体" w:hAnsi="宋体" w:cs="宋体" w:eastAsia="宋体" w:hint="default"/>
                <w:sz w:val="18"/>
                <w:szCs w:val="18"/>
              </w:rPr>
            </w:pPr>
            <w:r>
              <w:rPr>
                <w:rFonts w:ascii="宋体"/>
                <w:sz w:val="18"/>
              </w:rPr>
              <w:t>80,735,031.78 </w:t>
            </w:r>
          </w:p>
        </w:tc>
        <w:tc>
          <w:tcPr>
            <w:tcW w:w="1188"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5" w:right="0"/>
              <w:jc w:val="left"/>
              <w:rPr>
                <w:rFonts w:ascii="宋体" w:hAnsi="宋体" w:cs="宋体" w:eastAsia="宋体" w:hint="default"/>
                <w:sz w:val="18"/>
                <w:szCs w:val="18"/>
              </w:rPr>
            </w:pPr>
            <w:r>
              <w:rPr>
                <w:rFonts w:ascii="宋体"/>
                <w:sz w:val="18"/>
              </w:rPr>
              <w:t> </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3" w:right="0"/>
              <w:jc w:val="left"/>
              <w:rPr>
                <w:rFonts w:ascii="宋体" w:hAnsi="宋体" w:cs="宋体" w:eastAsia="宋体" w:hint="default"/>
                <w:sz w:val="18"/>
                <w:szCs w:val="18"/>
              </w:rPr>
            </w:pPr>
            <w:r>
              <w:rPr>
                <w:rFonts w:ascii="宋体"/>
                <w:sz w:val="18"/>
              </w:rPr>
              <w:t> </w:t>
            </w:r>
          </w:p>
        </w:tc>
        <w:tc>
          <w:tcPr>
            <w:tcW w:w="941"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105" w:right="0"/>
              <w:jc w:val="left"/>
              <w:rPr>
                <w:rFonts w:ascii="宋体" w:hAnsi="宋体" w:cs="宋体" w:eastAsia="宋体" w:hint="default"/>
                <w:sz w:val="18"/>
                <w:szCs w:val="18"/>
              </w:rPr>
            </w:pPr>
            <w:r>
              <w:rPr>
                <w:rFonts w:ascii="宋体"/>
                <w:sz w:val="18"/>
              </w:rPr>
              <w:t> </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ind w:left="105" w:right="-28"/>
              <w:jc w:val="left"/>
              <w:rPr>
                <w:rFonts w:ascii="宋体" w:hAnsi="宋体" w:cs="宋体" w:eastAsia="宋体" w:hint="default"/>
                <w:sz w:val="18"/>
                <w:szCs w:val="18"/>
              </w:rPr>
            </w:pPr>
            <w:r>
              <w:rPr>
                <w:rFonts w:ascii="宋体"/>
                <w:sz w:val="18"/>
              </w:rPr>
              <w:t>158,722,186.03  </w:t>
            </w:r>
          </w:p>
        </w:tc>
      </w:tr>
    </w:tbl>
    <w:p>
      <w:pPr>
        <w:pStyle w:val="BodyText"/>
        <w:spacing w:line="240" w:lineRule="auto" w:before="86"/>
        <w:ind w:left="573" w:right="1133"/>
        <w:jc w:val="left"/>
        <w:rPr>
          <w:rFonts w:ascii="宋体" w:hAnsi="宋体" w:cs="宋体" w:eastAsia="宋体" w:hint="default"/>
        </w:rPr>
      </w:pPr>
      <w:r>
        <w:rPr/>
        <w:t>其中：本期坏账准备收回或转回金额重要的：</w:t>
      </w:r>
      <w:r>
        <w:rPr>
          <w:rFonts w:ascii="宋体" w:hAnsi="宋体" w:cs="宋体" w:eastAsia="宋体" w:hint="default"/>
        </w:rPr>
        <w:t> </w:t>
      </w:r>
    </w:p>
    <w:p>
      <w:pPr>
        <w:spacing w:after="0" w:line="240" w:lineRule="auto"/>
        <w:jc w:val="left"/>
        <w:rPr>
          <w:rFonts w:ascii="宋体" w:hAnsi="宋体" w:cs="宋体" w:eastAsia="宋体" w:hint="default"/>
        </w:rPr>
        <w:sectPr>
          <w:pgSz w:w="11910" w:h="16840"/>
          <w:pgMar w:header="921" w:footer="725" w:top="1160" w:bottom="920" w:left="980" w:right="0"/>
        </w:sectPr>
      </w:pPr>
    </w:p>
    <w:p>
      <w:pPr>
        <w:spacing w:line="240" w:lineRule="auto" w:before="12"/>
        <w:rPr>
          <w:rFonts w:ascii="宋体" w:hAnsi="宋体" w:cs="宋体" w:eastAsia="宋体" w:hint="default"/>
          <w:sz w:val="15"/>
          <w:szCs w:val="15"/>
        </w:rPr>
      </w:pPr>
    </w:p>
    <w:p>
      <w:pPr>
        <w:pStyle w:val="BodyText"/>
        <w:spacing w:line="343" w:lineRule="auto" w:before="36"/>
        <w:ind w:left="573" w:right="6908"/>
        <w:jc w:val="left"/>
        <w:rPr>
          <w:rFonts w:ascii="宋体" w:hAnsi="宋体" w:cs="宋体" w:eastAsia="宋体" w:hint="default"/>
        </w:rPr>
      </w:pPr>
      <w:r>
        <w:rPr/>
        <w:t>无。</w:t>
      </w:r>
      <w:r>
        <w:rPr>
          <w:rFonts w:ascii="宋体" w:hAnsi="宋体" w:cs="宋体" w:eastAsia="宋体" w:hint="default"/>
          <w:w w:val="100"/>
        </w:rPr>
        <w:t> </w:t>
      </w:r>
      <w:r>
        <w:rPr>
          <w:rFonts w:ascii="宋体" w:hAnsi="宋体" w:cs="宋体" w:eastAsia="宋体" w:hint="default"/>
        </w:rPr>
        <w:t>4</w:t>
      </w:r>
      <w:r>
        <w:rPr/>
        <w:t>、本期实际核销的应收账款情况</w:t>
      </w:r>
      <w:r>
        <w:rPr>
          <w:rFonts w:ascii="宋体" w:hAnsi="宋体" w:cs="宋体" w:eastAsia="宋体" w:hint="default"/>
          <w:w w:val="100"/>
        </w:rPr>
        <w:t> </w:t>
      </w:r>
      <w:r>
        <w:rPr/>
        <w:t>无。</w:t>
      </w:r>
      <w:r>
        <w:rPr>
          <w:rFonts w:ascii="宋体" w:hAnsi="宋体" w:cs="宋体" w:eastAsia="宋体" w:hint="default"/>
        </w:rPr>
        <w:t> </w:t>
      </w:r>
    </w:p>
    <w:p>
      <w:pPr>
        <w:pStyle w:val="BodyText"/>
        <w:spacing w:line="240" w:lineRule="auto" w:before="26"/>
        <w:ind w:left="573" w:right="1133"/>
        <w:jc w:val="left"/>
        <w:rPr>
          <w:rFonts w:ascii="宋体" w:hAnsi="宋体" w:cs="宋体" w:eastAsia="宋体" w:hint="default"/>
        </w:rPr>
      </w:pPr>
      <w:r>
        <w:rPr>
          <w:rFonts w:ascii="宋体" w:hAnsi="宋体" w:cs="宋体" w:eastAsia="宋体" w:hint="default"/>
        </w:rPr>
        <w:t>5</w:t>
      </w:r>
      <w:r>
        <w:rPr/>
        <w:t>、按欠款方归集的期末余额前五名的应收账款情况</w:t>
      </w:r>
      <w:r>
        <w:rPr>
          <w:rFonts w:ascii="宋体" w:hAnsi="宋体" w:cs="宋体" w:eastAsia="宋体" w:hint="default"/>
        </w:rPr>
        <w:t> </w:t>
      </w:r>
    </w:p>
    <w:p>
      <w:pPr>
        <w:spacing w:line="240" w:lineRule="auto" w:before="9"/>
        <w:rPr>
          <w:rFonts w:ascii="宋体" w:hAnsi="宋体" w:cs="宋体" w:eastAsia="宋体" w:hint="default"/>
          <w:sz w:val="11"/>
          <w:szCs w:val="11"/>
        </w:rPr>
      </w:pPr>
    </w:p>
    <w:tbl>
      <w:tblPr>
        <w:tblW w:w="0" w:type="auto"/>
        <w:jc w:val="left"/>
        <w:tblInd w:w="186" w:type="dxa"/>
        <w:tblLayout w:type="fixed"/>
        <w:tblCellMar>
          <w:top w:w="0" w:type="dxa"/>
          <w:left w:w="0" w:type="dxa"/>
          <w:bottom w:w="0" w:type="dxa"/>
          <w:right w:w="0" w:type="dxa"/>
        </w:tblCellMar>
        <w:tblLook w:val="01E0"/>
      </w:tblPr>
      <w:tblGrid>
        <w:gridCol w:w="3083"/>
        <w:gridCol w:w="994"/>
        <w:gridCol w:w="1887"/>
        <w:gridCol w:w="1788"/>
        <w:gridCol w:w="1841"/>
      </w:tblGrid>
      <w:tr>
        <w:trPr>
          <w:trHeight w:val="478" w:hRule="exact"/>
        </w:trPr>
        <w:tc>
          <w:tcPr>
            <w:tcW w:w="30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94" w:right="0"/>
              <w:jc w:val="center"/>
              <w:rPr>
                <w:rFonts w:ascii="宋体" w:hAnsi="宋体" w:cs="宋体" w:eastAsia="宋体" w:hint="default"/>
                <w:sz w:val="18"/>
                <w:szCs w:val="18"/>
              </w:rPr>
            </w:pPr>
            <w:r>
              <w:rPr>
                <w:rFonts w:ascii="宋体" w:hAnsi="宋体" w:cs="宋体" w:eastAsia="宋体" w:hint="default"/>
                <w:sz w:val="18"/>
                <w:szCs w:val="18"/>
              </w:rPr>
              <w:t>单位名称</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23" w:right="0" w:hanging="92"/>
              <w:jc w:val="left"/>
              <w:rPr>
                <w:rFonts w:ascii="宋体" w:hAnsi="宋体" w:cs="宋体" w:eastAsia="宋体" w:hint="default"/>
                <w:sz w:val="18"/>
                <w:szCs w:val="18"/>
              </w:rPr>
            </w:pPr>
            <w:r>
              <w:rPr>
                <w:rFonts w:ascii="宋体" w:hAnsi="宋体" w:cs="宋体" w:eastAsia="宋体" w:hint="default"/>
                <w:sz w:val="18"/>
                <w:szCs w:val="18"/>
              </w:rPr>
              <w:t>与本公司</w:t>
            </w:r>
          </w:p>
          <w:p>
            <w:pPr>
              <w:pStyle w:val="TableParagraph"/>
              <w:spacing w:line="234" w:lineRule="exact"/>
              <w:ind w:left="223" w:right="0"/>
              <w:jc w:val="left"/>
              <w:rPr>
                <w:rFonts w:ascii="宋体" w:hAnsi="宋体" w:cs="宋体" w:eastAsia="宋体" w:hint="default"/>
                <w:sz w:val="18"/>
                <w:szCs w:val="18"/>
              </w:rPr>
            </w:pPr>
            <w:r>
              <w:rPr>
                <w:rFonts w:ascii="宋体" w:hAnsi="宋体" w:cs="宋体" w:eastAsia="宋体" w:hint="default"/>
                <w:sz w:val="18"/>
                <w:szCs w:val="18"/>
              </w:rPr>
              <w:t>的关系</w:t>
            </w:r>
            <w:r>
              <w:rPr>
                <w:rFonts w:ascii="宋体" w:hAnsi="宋体" w:cs="宋体" w:eastAsia="宋体" w:hint="default"/>
                <w:sz w:val="18"/>
                <w:szCs w:val="18"/>
              </w:rPr>
              <w:t> </w:t>
            </w:r>
          </w:p>
        </w:tc>
        <w:tc>
          <w:tcPr>
            <w:tcW w:w="18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18" w:right="0"/>
              <w:jc w:val="left"/>
              <w:rPr>
                <w:rFonts w:ascii="宋体" w:hAnsi="宋体" w:cs="宋体" w:eastAsia="宋体" w:hint="default"/>
                <w:sz w:val="18"/>
                <w:szCs w:val="18"/>
              </w:rPr>
            </w:pPr>
            <w:r>
              <w:rPr>
                <w:rFonts w:ascii="宋体" w:hAnsi="宋体" w:cs="宋体" w:eastAsia="宋体" w:hint="default"/>
                <w:sz w:val="18"/>
                <w:szCs w:val="18"/>
              </w:rPr>
              <w:t>应收账款期末余额</w:t>
            </w:r>
            <w:r>
              <w:rPr>
                <w:rFonts w:ascii="宋体" w:hAnsi="宋体" w:cs="宋体" w:eastAsia="宋体" w:hint="default"/>
                <w:sz w:val="18"/>
                <w:szCs w:val="18"/>
              </w:rPr>
              <w:t> </w:t>
            </w:r>
          </w:p>
        </w:tc>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59" w:right="0" w:hanging="92"/>
              <w:jc w:val="left"/>
              <w:rPr>
                <w:rFonts w:ascii="宋体" w:hAnsi="宋体" w:cs="宋体" w:eastAsia="宋体" w:hint="default"/>
                <w:sz w:val="18"/>
                <w:szCs w:val="18"/>
              </w:rPr>
            </w:pPr>
            <w:r>
              <w:rPr>
                <w:rFonts w:ascii="宋体" w:hAnsi="宋体" w:cs="宋体" w:eastAsia="宋体" w:hint="default"/>
                <w:sz w:val="18"/>
                <w:szCs w:val="18"/>
              </w:rPr>
              <w:t>占应收账款期末余</w:t>
            </w:r>
          </w:p>
          <w:p>
            <w:pPr>
              <w:pStyle w:val="TableParagraph"/>
              <w:spacing w:line="234" w:lineRule="exact"/>
              <w:ind w:left="259" w:right="0"/>
              <w:jc w:val="left"/>
              <w:rPr>
                <w:rFonts w:ascii="宋体" w:hAnsi="宋体" w:cs="宋体" w:eastAsia="宋体" w:hint="default"/>
                <w:sz w:val="18"/>
                <w:szCs w:val="18"/>
              </w:rPr>
            </w:pPr>
            <w:r>
              <w:rPr>
                <w:rFonts w:ascii="宋体" w:hAnsi="宋体" w:cs="宋体" w:eastAsia="宋体" w:hint="default"/>
                <w:sz w:val="18"/>
                <w:szCs w:val="18"/>
              </w:rPr>
              <w:t>额合计数的比例</w:t>
            </w:r>
            <w:r>
              <w:rPr>
                <w:rFonts w:ascii="宋体" w:hAnsi="宋体" w:cs="宋体" w:eastAsia="宋体" w:hint="default"/>
                <w:sz w:val="18"/>
                <w:szCs w:val="18"/>
              </w:rPr>
              <w:t> </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94" w:right="0"/>
              <w:jc w:val="left"/>
              <w:rPr>
                <w:rFonts w:ascii="宋体" w:hAnsi="宋体" w:cs="宋体" w:eastAsia="宋体" w:hint="default"/>
                <w:sz w:val="18"/>
                <w:szCs w:val="18"/>
              </w:rPr>
            </w:pPr>
            <w:r>
              <w:rPr>
                <w:rFonts w:ascii="宋体" w:hAnsi="宋体" w:cs="宋体" w:eastAsia="宋体" w:hint="default"/>
                <w:sz w:val="18"/>
                <w:szCs w:val="18"/>
              </w:rPr>
              <w:t>坏账准备期末余额</w:t>
            </w:r>
            <w:r>
              <w:rPr>
                <w:rFonts w:ascii="宋体" w:hAnsi="宋体" w:cs="宋体" w:eastAsia="宋体" w:hint="default"/>
                <w:sz w:val="18"/>
                <w:szCs w:val="18"/>
              </w:rPr>
              <w:t> </w:t>
            </w:r>
          </w:p>
        </w:tc>
      </w:tr>
      <w:tr>
        <w:trPr>
          <w:trHeight w:val="396" w:hRule="exact"/>
        </w:trPr>
        <w:tc>
          <w:tcPr>
            <w:tcW w:w="30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5" w:right="0"/>
              <w:jc w:val="left"/>
              <w:rPr>
                <w:rFonts w:ascii="宋体" w:hAnsi="宋体" w:cs="宋体" w:eastAsia="宋体" w:hint="default"/>
                <w:sz w:val="18"/>
                <w:szCs w:val="18"/>
              </w:rPr>
            </w:pPr>
            <w:r>
              <w:rPr>
                <w:rFonts w:ascii="宋体" w:hAnsi="宋体" w:cs="宋体" w:eastAsia="宋体" w:hint="default"/>
                <w:sz w:val="18"/>
                <w:szCs w:val="18"/>
              </w:rPr>
              <w:t>中国移动通信集团广东有限公司</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2" w:right="0"/>
              <w:jc w:val="center"/>
              <w:rPr>
                <w:rFonts w:ascii="宋体" w:hAnsi="宋体" w:cs="宋体" w:eastAsia="宋体" w:hint="default"/>
                <w:sz w:val="18"/>
                <w:szCs w:val="18"/>
              </w:rPr>
            </w:pPr>
            <w:r>
              <w:rPr>
                <w:rFonts w:ascii="宋体" w:hAnsi="宋体" w:cs="宋体" w:eastAsia="宋体" w:hint="default"/>
                <w:sz w:val="18"/>
                <w:szCs w:val="18"/>
              </w:rPr>
              <w:t>第三方</w:t>
            </w:r>
            <w:r>
              <w:rPr>
                <w:rFonts w:ascii="宋体" w:hAnsi="宋体" w:cs="宋体" w:eastAsia="宋体" w:hint="default"/>
                <w:sz w:val="18"/>
                <w:szCs w:val="18"/>
              </w:rPr>
              <w:t> </w:t>
            </w:r>
          </w:p>
        </w:tc>
        <w:tc>
          <w:tcPr>
            <w:tcW w:w="18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37,353,248.44 </w:t>
            </w:r>
          </w:p>
        </w:tc>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3.56</w:t>
            </w:r>
            <w:r>
              <w:rPr>
                <w:rFonts w:ascii="宋体"/>
                <w:sz w:val="18"/>
              </w:rPr>
              <w:t> </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1,867,662.42</w:t>
            </w:r>
            <w:r>
              <w:rPr>
                <w:rFonts w:ascii="宋体"/>
                <w:sz w:val="18"/>
              </w:rPr>
              <w:t> </w:t>
            </w:r>
          </w:p>
        </w:tc>
      </w:tr>
      <w:tr>
        <w:trPr>
          <w:trHeight w:val="396" w:hRule="exact"/>
        </w:trPr>
        <w:tc>
          <w:tcPr>
            <w:tcW w:w="30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5" w:right="0"/>
              <w:jc w:val="left"/>
              <w:rPr>
                <w:rFonts w:ascii="宋体" w:hAnsi="宋体" w:cs="宋体" w:eastAsia="宋体" w:hint="default"/>
                <w:sz w:val="18"/>
                <w:szCs w:val="18"/>
              </w:rPr>
            </w:pPr>
            <w:r>
              <w:rPr>
                <w:rFonts w:ascii="宋体" w:hAnsi="宋体" w:cs="宋体" w:eastAsia="宋体" w:hint="default"/>
                <w:sz w:val="18"/>
                <w:szCs w:val="18"/>
              </w:rPr>
              <w:t>中国光大银行股份有限公司</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2" w:right="0"/>
              <w:jc w:val="center"/>
              <w:rPr>
                <w:rFonts w:ascii="宋体" w:hAnsi="宋体" w:cs="宋体" w:eastAsia="宋体" w:hint="default"/>
                <w:sz w:val="18"/>
                <w:szCs w:val="18"/>
              </w:rPr>
            </w:pPr>
            <w:r>
              <w:rPr>
                <w:rFonts w:ascii="宋体" w:hAnsi="宋体" w:cs="宋体" w:eastAsia="宋体" w:hint="default"/>
                <w:sz w:val="18"/>
                <w:szCs w:val="18"/>
              </w:rPr>
              <w:t>第三方</w:t>
            </w:r>
            <w:r>
              <w:rPr>
                <w:rFonts w:ascii="宋体" w:hAnsi="宋体" w:cs="宋体" w:eastAsia="宋体" w:hint="default"/>
                <w:sz w:val="18"/>
                <w:szCs w:val="18"/>
              </w:rPr>
              <w:t> </w:t>
            </w:r>
          </w:p>
        </w:tc>
        <w:tc>
          <w:tcPr>
            <w:tcW w:w="18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36,562,170.29 </w:t>
            </w:r>
          </w:p>
        </w:tc>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3.49</w:t>
            </w:r>
            <w:r>
              <w:rPr>
                <w:rFonts w:ascii="宋体"/>
                <w:sz w:val="18"/>
              </w:rPr>
              <w:t> </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1,176,664.05</w:t>
            </w:r>
            <w:r>
              <w:rPr>
                <w:rFonts w:ascii="宋体"/>
                <w:sz w:val="18"/>
              </w:rPr>
              <w:t> </w:t>
            </w:r>
          </w:p>
        </w:tc>
      </w:tr>
      <w:tr>
        <w:trPr>
          <w:trHeight w:val="398" w:hRule="exact"/>
        </w:trPr>
        <w:tc>
          <w:tcPr>
            <w:tcW w:w="30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广东五方电力工程有限公司</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2" w:right="0"/>
              <w:jc w:val="center"/>
              <w:rPr>
                <w:rFonts w:ascii="宋体" w:hAnsi="宋体" w:cs="宋体" w:eastAsia="宋体" w:hint="default"/>
                <w:sz w:val="18"/>
                <w:szCs w:val="18"/>
              </w:rPr>
            </w:pPr>
            <w:r>
              <w:rPr>
                <w:rFonts w:ascii="宋体" w:hAnsi="宋体" w:cs="宋体" w:eastAsia="宋体" w:hint="default"/>
                <w:sz w:val="18"/>
                <w:szCs w:val="18"/>
              </w:rPr>
              <w:t>第三方</w:t>
            </w:r>
            <w:r>
              <w:rPr>
                <w:rFonts w:ascii="宋体" w:hAnsi="宋体" w:cs="宋体" w:eastAsia="宋体" w:hint="default"/>
                <w:sz w:val="18"/>
                <w:szCs w:val="18"/>
              </w:rPr>
              <w:t> </w:t>
            </w:r>
          </w:p>
        </w:tc>
        <w:tc>
          <w:tcPr>
            <w:tcW w:w="18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35,500,000.00 </w:t>
            </w:r>
          </w:p>
        </w:tc>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3.39</w:t>
            </w:r>
            <w:r>
              <w:rPr>
                <w:rFonts w:ascii="宋体"/>
                <w:sz w:val="18"/>
              </w:rPr>
              <w:t> </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3,550,000.00</w:t>
            </w:r>
            <w:r>
              <w:rPr>
                <w:rFonts w:ascii="宋体"/>
                <w:sz w:val="18"/>
              </w:rPr>
              <w:t> </w:t>
            </w:r>
          </w:p>
        </w:tc>
      </w:tr>
      <w:tr>
        <w:trPr>
          <w:trHeight w:val="396" w:hRule="exact"/>
        </w:trPr>
        <w:tc>
          <w:tcPr>
            <w:tcW w:w="30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5" w:right="0"/>
              <w:jc w:val="left"/>
              <w:rPr>
                <w:rFonts w:ascii="宋体" w:hAnsi="宋体" w:cs="宋体" w:eastAsia="宋体" w:hint="default"/>
                <w:sz w:val="18"/>
                <w:szCs w:val="18"/>
              </w:rPr>
            </w:pPr>
            <w:r>
              <w:rPr>
                <w:rFonts w:ascii="宋体" w:hAnsi="宋体" w:cs="宋体" w:eastAsia="宋体" w:hint="default"/>
                <w:sz w:val="18"/>
                <w:szCs w:val="18"/>
              </w:rPr>
              <w:t>北京时空立方数字科技有限公司</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2" w:right="0"/>
              <w:jc w:val="center"/>
              <w:rPr>
                <w:rFonts w:ascii="宋体" w:hAnsi="宋体" w:cs="宋体" w:eastAsia="宋体" w:hint="default"/>
                <w:sz w:val="18"/>
                <w:szCs w:val="18"/>
              </w:rPr>
            </w:pPr>
            <w:r>
              <w:rPr>
                <w:rFonts w:ascii="宋体" w:hAnsi="宋体" w:cs="宋体" w:eastAsia="宋体" w:hint="default"/>
                <w:sz w:val="18"/>
                <w:szCs w:val="18"/>
              </w:rPr>
              <w:t>第三方</w:t>
            </w:r>
            <w:r>
              <w:rPr>
                <w:rFonts w:ascii="宋体" w:hAnsi="宋体" w:cs="宋体" w:eastAsia="宋体" w:hint="default"/>
                <w:sz w:val="18"/>
                <w:szCs w:val="18"/>
              </w:rPr>
              <w:t> </w:t>
            </w:r>
          </w:p>
        </w:tc>
        <w:tc>
          <w:tcPr>
            <w:tcW w:w="18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35,134,437.13 </w:t>
            </w:r>
          </w:p>
        </w:tc>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3.35</w:t>
            </w:r>
            <w:r>
              <w:rPr>
                <w:rFonts w:ascii="宋体"/>
                <w:sz w:val="18"/>
              </w:rPr>
              <w:t> </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7,773,302.20</w:t>
            </w:r>
            <w:r>
              <w:rPr>
                <w:rFonts w:ascii="宋体"/>
                <w:sz w:val="18"/>
              </w:rPr>
              <w:t> </w:t>
            </w:r>
          </w:p>
        </w:tc>
      </w:tr>
      <w:tr>
        <w:trPr>
          <w:trHeight w:val="398" w:hRule="exact"/>
        </w:trPr>
        <w:tc>
          <w:tcPr>
            <w:tcW w:w="30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5" w:right="0"/>
              <w:jc w:val="left"/>
              <w:rPr>
                <w:rFonts w:ascii="宋体" w:hAnsi="宋体" w:cs="宋体" w:eastAsia="宋体" w:hint="default"/>
                <w:sz w:val="18"/>
                <w:szCs w:val="18"/>
              </w:rPr>
            </w:pPr>
            <w:r>
              <w:rPr>
                <w:rFonts w:ascii="宋体" w:hAnsi="宋体" w:cs="宋体" w:eastAsia="宋体" w:hint="default"/>
                <w:sz w:val="18"/>
                <w:szCs w:val="18"/>
              </w:rPr>
              <w:t>北京泰盛亚德数字科技有限公司</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2" w:right="0"/>
              <w:jc w:val="center"/>
              <w:rPr>
                <w:rFonts w:ascii="宋体" w:hAnsi="宋体" w:cs="宋体" w:eastAsia="宋体" w:hint="default"/>
                <w:sz w:val="18"/>
                <w:szCs w:val="18"/>
              </w:rPr>
            </w:pPr>
            <w:r>
              <w:rPr>
                <w:rFonts w:ascii="宋体" w:hAnsi="宋体" w:cs="宋体" w:eastAsia="宋体" w:hint="default"/>
                <w:sz w:val="18"/>
                <w:szCs w:val="18"/>
              </w:rPr>
              <w:t>第三方</w:t>
            </w:r>
            <w:r>
              <w:rPr>
                <w:rFonts w:ascii="宋体" w:hAnsi="宋体" w:cs="宋体" w:eastAsia="宋体" w:hint="default"/>
                <w:sz w:val="18"/>
                <w:szCs w:val="18"/>
              </w:rPr>
              <w:t> </w:t>
            </w:r>
          </w:p>
        </w:tc>
        <w:tc>
          <w:tcPr>
            <w:tcW w:w="18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34,400,000.00 </w:t>
            </w:r>
          </w:p>
        </w:tc>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3.28</w:t>
            </w:r>
            <w:r>
              <w:rPr>
                <w:rFonts w:ascii="宋体"/>
                <w:sz w:val="18"/>
              </w:rPr>
              <w:t> </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34,400,000.00</w:t>
            </w:r>
            <w:r>
              <w:rPr>
                <w:rFonts w:ascii="宋体"/>
                <w:sz w:val="18"/>
              </w:rPr>
              <w:t> </w:t>
            </w:r>
          </w:p>
        </w:tc>
      </w:tr>
      <w:tr>
        <w:trPr>
          <w:trHeight w:val="397" w:hRule="exact"/>
        </w:trPr>
        <w:tc>
          <w:tcPr>
            <w:tcW w:w="30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94"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89" w:right="0"/>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 </w:t>
            </w:r>
          </w:p>
        </w:tc>
        <w:tc>
          <w:tcPr>
            <w:tcW w:w="18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1"/>
              <w:jc w:val="right"/>
              <w:rPr>
                <w:rFonts w:ascii="宋体" w:hAnsi="宋体" w:cs="宋体" w:eastAsia="宋体" w:hint="default"/>
                <w:sz w:val="18"/>
                <w:szCs w:val="18"/>
              </w:rPr>
            </w:pPr>
            <w:r>
              <w:rPr>
                <w:rFonts w:ascii="宋体"/>
                <w:spacing w:val="-1"/>
                <w:sz w:val="18"/>
              </w:rPr>
              <w:t>178,949,855.86 </w:t>
            </w:r>
          </w:p>
        </w:tc>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1"/>
              <w:jc w:val="right"/>
              <w:rPr>
                <w:rFonts w:ascii="宋体" w:hAnsi="宋体" w:cs="宋体" w:eastAsia="宋体" w:hint="default"/>
                <w:sz w:val="18"/>
                <w:szCs w:val="18"/>
              </w:rPr>
            </w:pPr>
            <w:r>
              <w:rPr>
                <w:rFonts w:ascii="宋体"/>
                <w:sz w:val="18"/>
              </w:rPr>
              <w:t>17.06 </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1"/>
              <w:jc w:val="right"/>
              <w:rPr>
                <w:rFonts w:ascii="宋体" w:hAnsi="宋体" w:cs="宋体" w:eastAsia="宋体" w:hint="default"/>
                <w:sz w:val="18"/>
                <w:szCs w:val="18"/>
              </w:rPr>
            </w:pPr>
            <w:r>
              <w:rPr>
                <w:rFonts w:ascii="宋体"/>
                <w:spacing w:val="-1"/>
                <w:sz w:val="18"/>
              </w:rPr>
              <w:t>48,767,628.67</w:t>
            </w:r>
            <w:r>
              <w:rPr>
                <w:rFonts w:ascii="宋体"/>
                <w:sz w:val="18"/>
              </w:rPr>
              <w:t> </w:t>
            </w:r>
          </w:p>
        </w:tc>
      </w:tr>
    </w:tbl>
    <w:p>
      <w:pPr>
        <w:pStyle w:val="BodyText"/>
        <w:spacing w:line="240" w:lineRule="auto" w:before="86"/>
        <w:ind w:left="573" w:right="1133"/>
        <w:jc w:val="left"/>
        <w:rPr>
          <w:rFonts w:ascii="宋体" w:hAnsi="宋体" w:cs="宋体" w:eastAsia="宋体" w:hint="default"/>
        </w:rPr>
      </w:pPr>
      <w:r>
        <w:rPr>
          <w:rFonts w:ascii="宋体" w:hAnsi="宋体" w:cs="宋体" w:eastAsia="宋体" w:hint="default"/>
        </w:rPr>
        <w:t>6</w:t>
      </w:r>
      <w:r>
        <w:rPr/>
        <w:t>、因金融资产转移而终止确认的应收账款</w:t>
      </w:r>
      <w:r>
        <w:rPr>
          <w:rFonts w:ascii="宋体" w:hAnsi="宋体" w:cs="宋体" w:eastAsia="宋体" w:hint="default"/>
        </w:rPr>
        <w:t> </w:t>
      </w:r>
    </w:p>
    <w:p>
      <w:pPr>
        <w:pStyle w:val="BodyText"/>
        <w:spacing w:line="343" w:lineRule="auto" w:before="118"/>
        <w:ind w:left="573" w:right="5542"/>
        <w:jc w:val="left"/>
        <w:rPr>
          <w:rFonts w:ascii="宋体" w:hAnsi="宋体" w:cs="宋体" w:eastAsia="宋体" w:hint="default"/>
        </w:rPr>
      </w:pPr>
      <w:r>
        <w:rPr/>
        <w:t>无。</w:t>
      </w:r>
      <w:r>
        <w:rPr>
          <w:rFonts w:ascii="宋体" w:hAnsi="宋体" w:cs="宋体" w:eastAsia="宋体" w:hint="default"/>
          <w:w w:val="100"/>
        </w:rPr>
        <w:t> </w:t>
      </w:r>
      <w:r>
        <w:rPr>
          <w:rFonts w:ascii="宋体" w:hAnsi="宋体" w:cs="宋体" w:eastAsia="宋体" w:hint="default"/>
        </w:rPr>
        <w:t>7</w:t>
      </w:r>
      <w:r>
        <w:rPr/>
        <w:t>、转移应收账款且继续涉入形成的资产、负债金额</w:t>
      </w:r>
      <w:r>
        <w:rPr>
          <w:rFonts w:ascii="宋体" w:hAnsi="宋体" w:cs="宋体" w:eastAsia="宋体" w:hint="default"/>
          <w:w w:val="100"/>
        </w:rPr>
        <w:t> </w:t>
      </w:r>
      <w:r>
        <w:rPr/>
        <w:t>无。</w:t>
      </w:r>
      <w:r>
        <w:rPr>
          <w:rFonts w:ascii="宋体" w:hAnsi="宋体" w:cs="宋体" w:eastAsia="宋体" w:hint="default"/>
        </w:rPr>
        <w:t> </w:t>
      </w:r>
    </w:p>
    <w:p>
      <w:pPr>
        <w:spacing w:line="343" w:lineRule="auto" w:before="26"/>
        <w:ind w:left="573" w:right="7341" w:hanging="279"/>
        <w:jc w:val="left"/>
        <w:rPr>
          <w:rFonts w:ascii="宋体" w:hAnsi="宋体" w:cs="宋体" w:eastAsia="宋体" w:hint="default"/>
          <w:sz w:val="21"/>
          <w:szCs w:val="21"/>
        </w:rPr>
      </w:pPr>
      <w:r>
        <w:rPr>
          <w:rFonts w:ascii="宋体" w:hAnsi="宋体" w:cs="宋体" w:eastAsia="宋体" w:hint="default"/>
          <w:b/>
          <w:bCs/>
          <w:sz w:val="21"/>
          <w:szCs w:val="21"/>
        </w:rPr>
        <w:t>（四）预付款项</w:t>
      </w:r>
      <w:r>
        <w:rPr>
          <w:rFonts w:ascii="宋体" w:hAnsi="宋体" w:cs="宋体" w:eastAsia="宋体" w:hint="default"/>
          <w:b/>
          <w:bCs/>
          <w:w w:val="99"/>
          <w:sz w:val="21"/>
          <w:szCs w:val="21"/>
        </w:rPr>
        <w:t> </w:t>
      </w:r>
      <w:r>
        <w:rPr>
          <w:rFonts w:ascii="宋体" w:hAnsi="宋体" w:cs="宋体" w:eastAsia="宋体" w:hint="default"/>
          <w:sz w:val="21"/>
          <w:szCs w:val="21"/>
        </w:rPr>
        <w:t>1</w:t>
      </w:r>
      <w:r>
        <w:rPr>
          <w:rFonts w:ascii="宋体" w:hAnsi="宋体" w:cs="宋体" w:eastAsia="宋体" w:hint="default"/>
          <w:sz w:val="21"/>
          <w:szCs w:val="21"/>
        </w:rPr>
        <w:t>、预付款项按账龄列示</w:t>
      </w:r>
      <w:r>
        <w:rPr>
          <w:rFonts w:ascii="宋体" w:hAnsi="宋体" w:cs="宋体" w:eastAsia="宋体" w:hint="default"/>
          <w:sz w:val="21"/>
          <w:szCs w:val="21"/>
        </w:rPr>
        <w:t> </w:t>
      </w:r>
    </w:p>
    <w:p>
      <w:pPr>
        <w:spacing w:line="240" w:lineRule="auto" w:before="8"/>
        <w:rPr>
          <w:rFonts w:ascii="宋体" w:hAnsi="宋体" w:cs="宋体" w:eastAsia="宋体" w:hint="default"/>
          <w:sz w:val="4"/>
          <w:szCs w:val="4"/>
        </w:rPr>
      </w:pPr>
    </w:p>
    <w:tbl>
      <w:tblPr>
        <w:tblW w:w="0" w:type="auto"/>
        <w:jc w:val="left"/>
        <w:tblInd w:w="220" w:type="dxa"/>
        <w:tblLayout w:type="fixed"/>
        <w:tblCellMar>
          <w:top w:w="0" w:type="dxa"/>
          <w:left w:w="0" w:type="dxa"/>
          <w:bottom w:w="0" w:type="dxa"/>
          <w:right w:w="0" w:type="dxa"/>
        </w:tblCellMar>
        <w:tblLook w:val="01E0"/>
      </w:tblPr>
      <w:tblGrid>
        <w:gridCol w:w="1640"/>
        <w:gridCol w:w="2165"/>
        <w:gridCol w:w="2100"/>
        <w:gridCol w:w="1958"/>
        <w:gridCol w:w="1630"/>
      </w:tblGrid>
      <w:tr>
        <w:trPr>
          <w:trHeight w:val="398" w:hRule="exact"/>
        </w:trPr>
        <w:tc>
          <w:tcPr>
            <w:tcW w:w="1640"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92" w:right="0"/>
              <w:jc w:val="center"/>
              <w:rPr>
                <w:rFonts w:ascii="宋体" w:hAnsi="宋体" w:cs="宋体" w:eastAsia="宋体" w:hint="default"/>
                <w:sz w:val="18"/>
                <w:szCs w:val="18"/>
              </w:rPr>
            </w:pPr>
            <w:r>
              <w:rPr>
                <w:rFonts w:ascii="宋体" w:hAnsi="宋体" w:cs="宋体" w:eastAsia="宋体" w:hint="default"/>
                <w:sz w:val="18"/>
                <w:szCs w:val="18"/>
              </w:rPr>
              <w:t>账龄</w:t>
            </w:r>
            <w:r>
              <w:rPr>
                <w:rFonts w:ascii="宋体" w:hAnsi="宋体" w:cs="宋体" w:eastAsia="宋体" w:hint="default"/>
                <w:sz w:val="18"/>
                <w:szCs w:val="18"/>
              </w:rPr>
              <w:t> </w:t>
            </w:r>
          </w:p>
        </w:tc>
        <w:tc>
          <w:tcPr>
            <w:tcW w:w="4266" w:type="dxa"/>
            <w:gridSpan w:val="2"/>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92"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c>
          <w:tcPr>
            <w:tcW w:w="358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1" w:right="0"/>
              <w:jc w:val="center"/>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r>
      <w:tr>
        <w:trPr>
          <w:trHeight w:val="396" w:hRule="exact"/>
        </w:trPr>
        <w:tc>
          <w:tcPr>
            <w:tcW w:w="1640" w:type="dxa"/>
            <w:vMerge/>
            <w:tcBorders>
              <w:left w:val="single" w:sz="4" w:space="0" w:color="000000"/>
              <w:bottom w:val="single" w:sz="4" w:space="0" w:color="000000"/>
              <w:right w:val="single" w:sz="4" w:space="0" w:color="000000"/>
            </w:tcBorders>
          </w:tcPr>
          <w:p>
            <w:pP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0" w:right="0"/>
              <w:jc w:val="center"/>
              <w:rPr>
                <w:rFonts w:ascii="宋体" w:hAnsi="宋体" w:cs="宋体" w:eastAsia="宋体" w:hint="default"/>
                <w:sz w:val="18"/>
                <w:szCs w:val="18"/>
              </w:rPr>
            </w:pPr>
            <w:r>
              <w:rPr>
                <w:rFonts w:ascii="宋体" w:hAnsi="宋体" w:cs="宋体" w:eastAsia="宋体" w:hint="default"/>
                <w:sz w:val="18"/>
                <w:szCs w:val="18"/>
              </w:rPr>
              <w:t>金额</w:t>
            </w:r>
            <w:r>
              <w:rPr>
                <w:rFonts w:ascii="宋体" w:hAnsi="宋体" w:cs="宋体" w:eastAsia="宋体" w:hint="default"/>
                <w:sz w:val="18"/>
                <w:szCs w:val="18"/>
              </w:rPr>
              <w:t> </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640"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 </w:t>
            </w:r>
          </w:p>
        </w:tc>
        <w:tc>
          <w:tcPr>
            <w:tcW w:w="1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9" w:right="0"/>
              <w:jc w:val="center"/>
              <w:rPr>
                <w:rFonts w:ascii="宋体" w:hAnsi="宋体" w:cs="宋体" w:eastAsia="宋体" w:hint="default"/>
                <w:sz w:val="18"/>
                <w:szCs w:val="18"/>
              </w:rPr>
            </w:pPr>
            <w:r>
              <w:rPr>
                <w:rFonts w:ascii="宋体" w:hAnsi="宋体" w:cs="宋体" w:eastAsia="宋体" w:hint="default"/>
                <w:sz w:val="18"/>
                <w:szCs w:val="18"/>
              </w:rPr>
              <w:t>金额</w:t>
            </w:r>
            <w:r>
              <w:rPr>
                <w:rFonts w:ascii="宋体" w:hAnsi="宋体" w:cs="宋体" w:eastAsia="宋体" w:hint="default"/>
                <w:sz w:val="18"/>
                <w:szCs w:val="18"/>
              </w:rPr>
              <w:t> </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403"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 </w:t>
            </w:r>
          </w:p>
        </w:tc>
      </w:tr>
      <w:tr>
        <w:trPr>
          <w:trHeight w:val="396" w:hRule="exact"/>
        </w:trPr>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5"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r>
              <w:rPr>
                <w:rFonts w:ascii="宋体" w:hAnsi="宋体" w:cs="宋体" w:eastAsia="宋体" w:hint="default"/>
                <w:sz w:val="18"/>
                <w:szCs w:val="18"/>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
              <w:jc w:val="right"/>
              <w:rPr>
                <w:rFonts w:ascii="宋体" w:hAnsi="宋体" w:cs="宋体" w:eastAsia="宋体" w:hint="default"/>
                <w:sz w:val="18"/>
                <w:szCs w:val="18"/>
              </w:rPr>
            </w:pPr>
            <w:r>
              <w:rPr>
                <w:rFonts w:ascii="宋体"/>
                <w:spacing w:val="-1"/>
                <w:sz w:val="18"/>
              </w:rPr>
              <w:t>67,937,067.07</w:t>
            </w:r>
            <w:r>
              <w:rPr>
                <w:rFonts w:ascii="宋体"/>
                <w:sz w:val="18"/>
              </w:rPr>
              <w:t> </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9"/>
              <w:jc w:val="right"/>
              <w:rPr>
                <w:rFonts w:ascii="宋体" w:hAnsi="宋体" w:cs="宋体" w:eastAsia="宋体" w:hint="default"/>
                <w:sz w:val="18"/>
                <w:szCs w:val="18"/>
              </w:rPr>
            </w:pPr>
            <w:r>
              <w:rPr>
                <w:rFonts w:ascii="宋体"/>
                <w:spacing w:val="-1"/>
                <w:sz w:val="18"/>
              </w:rPr>
              <w:t>85.09</w:t>
            </w:r>
            <w:r>
              <w:rPr>
                <w:rFonts w:ascii="宋体"/>
                <w:sz w:val="18"/>
              </w:rPr>
              <w:t> </w:t>
            </w:r>
          </w:p>
        </w:tc>
        <w:tc>
          <w:tcPr>
            <w:tcW w:w="1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6"/>
              <w:jc w:val="right"/>
              <w:rPr>
                <w:rFonts w:ascii="宋体" w:hAnsi="宋体" w:cs="宋体" w:eastAsia="宋体" w:hint="default"/>
                <w:sz w:val="18"/>
                <w:szCs w:val="18"/>
              </w:rPr>
            </w:pPr>
            <w:r>
              <w:rPr>
                <w:rFonts w:ascii="宋体"/>
                <w:spacing w:val="-1"/>
                <w:sz w:val="18"/>
              </w:rPr>
              <w:t>83,806,618.96</w:t>
            </w:r>
            <w:r>
              <w:rPr>
                <w:rFonts w:ascii="宋体"/>
                <w:sz w:val="18"/>
              </w:rPr>
              <w:t> </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93.30 </w:t>
            </w:r>
          </w:p>
        </w:tc>
      </w:tr>
      <w:tr>
        <w:trPr>
          <w:trHeight w:val="398" w:hRule="exact"/>
        </w:trPr>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pacing w:val="-3"/>
                <w:sz w:val="18"/>
                <w:szCs w:val="18"/>
              </w:rPr>
              <w:t>年</w:t>
            </w:r>
            <w:r>
              <w:rPr>
                <w:rFonts w:ascii="宋体" w:hAnsi="宋体" w:cs="宋体" w:eastAsia="宋体" w:hint="default"/>
                <w:sz w:val="18"/>
                <w:szCs w:val="18"/>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
              <w:jc w:val="right"/>
              <w:rPr>
                <w:rFonts w:ascii="宋体" w:hAnsi="宋体" w:cs="宋体" w:eastAsia="宋体" w:hint="default"/>
                <w:sz w:val="18"/>
                <w:szCs w:val="18"/>
              </w:rPr>
            </w:pPr>
            <w:r>
              <w:rPr>
                <w:rFonts w:ascii="宋体"/>
                <w:spacing w:val="-1"/>
                <w:sz w:val="18"/>
              </w:rPr>
              <w:t>6,476,708.11</w:t>
            </w:r>
            <w:r>
              <w:rPr>
                <w:rFonts w:ascii="宋体"/>
                <w:sz w:val="18"/>
              </w:rPr>
              <w:t> </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
              <w:jc w:val="right"/>
              <w:rPr>
                <w:rFonts w:ascii="宋体" w:hAnsi="宋体" w:cs="宋体" w:eastAsia="宋体" w:hint="default"/>
                <w:sz w:val="18"/>
                <w:szCs w:val="18"/>
              </w:rPr>
            </w:pPr>
            <w:r>
              <w:rPr>
                <w:rFonts w:ascii="宋体"/>
                <w:sz w:val="18"/>
              </w:rPr>
              <w:t>8.11 </w:t>
            </w:r>
          </w:p>
        </w:tc>
        <w:tc>
          <w:tcPr>
            <w:tcW w:w="1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6"/>
              <w:jc w:val="right"/>
              <w:rPr>
                <w:rFonts w:ascii="宋体" w:hAnsi="宋体" w:cs="宋体" w:eastAsia="宋体" w:hint="default"/>
                <w:sz w:val="18"/>
                <w:szCs w:val="18"/>
              </w:rPr>
            </w:pPr>
            <w:r>
              <w:rPr>
                <w:rFonts w:ascii="宋体"/>
                <w:spacing w:val="-1"/>
                <w:sz w:val="18"/>
              </w:rPr>
              <w:t>6,013,951.14</w:t>
            </w:r>
            <w:r>
              <w:rPr>
                <w:rFonts w:ascii="宋体"/>
                <w:sz w:val="18"/>
              </w:rPr>
              <w:t> </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6.70</w:t>
            </w:r>
            <w:r>
              <w:rPr>
                <w:rFonts w:ascii="宋体"/>
                <w:sz w:val="18"/>
              </w:rPr>
              <w:t> </w:t>
            </w:r>
          </w:p>
        </w:tc>
      </w:tr>
      <w:tr>
        <w:trPr>
          <w:trHeight w:val="396" w:hRule="exact"/>
        </w:trPr>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5" w:right="0"/>
              <w:jc w:val="left"/>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5"/>
                <w:sz w:val="18"/>
                <w:szCs w:val="18"/>
              </w:rPr>
              <w:t> </w:t>
            </w:r>
            <w:r>
              <w:rPr>
                <w:rFonts w:ascii="宋体" w:hAnsi="宋体" w:cs="宋体" w:eastAsia="宋体" w:hint="default"/>
                <w:spacing w:val="-3"/>
                <w:sz w:val="18"/>
                <w:szCs w:val="18"/>
              </w:rPr>
              <w:t>年</w:t>
            </w:r>
            <w:r>
              <w:rPr>
                <w:rFonts w:ascii="宋体" w:hAnsi="宋体" w:cs="宋体" w:eastAsia="宋体" w:hint="default"/>
                <w:sz w:val="18"/>
                <w:szCs w:val="18"/>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
              <w:jc w:val="right"/>
              <w:rPr>
                <w:rFonts w:ascii="宋体" w:hAnsi="宋体" w:cs="宋体" w:eastAsia="宋体" w:hint="default"/>
                <w:sz w:val="18"/>
                <w:szCs w:val="18"/>
              </w:rPr>
            </w:pPr>
            <w:r>
              <w:rPr>
                <w:rFonts w:ascii="宋体"/>
                <w:spacing w:val="-1"/>
                <w:sz w:val="18"/>
              </w:rPr>
              <w:t>5,429,179.69</w:t>
            </w:r>
            <w:r>
              <w:rPr>
                <w:rFonts w:ascii="宋体"/>
                <w:sz w:val="18"/>
              </w:rPr>
              <w:t> </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9"/>
              <w:jc w:val="right"/>
              <w:rPr>
                <w:rFonts w:ascii="宋体" w:hAnsi="宋体" w:cs="宋体" w:eastAsia="宋体" w:hint="default"/>
                <w:sz w:val="18"/>
                <w:szCs w:val="18"/>
              </w:rPr>
            </w:pPr>
            <w:r>
              <w:rPr>
                <w:rFonts w:ascii="宋体"/>
                <w:sz w:val="18"/>
              </w:rPr>
              <w:t>6.80 </w:t>
            </w:r>
          </w:p>
        </w:tc>
        <w:tc>
          <w:tcPr>
            <w:tcW w:w="1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6"/>
              <w:jc w:val="right"/>
              <w:rPr>
                <w:rFonts w:ascii="宋体" w:hAnsi="宋体" w:cs="宋体" w:eastAsia="宋体" w:hint="default"/>
                <w:sz w:val="18"/>
                <w:szCs w:val="18"/>
              </w:rPr>
            </w:pPr>
            <w:r>
              <w:rPr>
                <w:rFonts w:ascii="宋体"/>
                <w:spacing w:val="-1"/>
                <w:sz w:val="18"/>
              </w:rPr>
              <w:t>1,563.74</w:t>
            </w:r>
            <w:r>
              <w:rPr>
                <w:rFonts w:ascii="宋体"/>
                <w:sz w:val="18"/>
              </w:rPr>
              <w:t> </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r>
      <w:tr>
        <w:trPr>
          <w:trHeight w:val="398" w:hRule="exact"/>
        </w:trPr>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5"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年以上</w:t>
            </w:r>
            <w:r>
              <w:rPr>
                <w:rFonts w:ascii="宋体" w:hAnsi="宋体" w:cs="宋体" w:eastAsia="宋体" w:hint="default"/>
                <w:sz w:val="18"/>
                <w:szCs w:val="18"/>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9"/>
              <w:jc w:val="right"/>
              <w:rPr>
                <w:rFonts w:ascii="宋体" w:hAnsi="宋体" w:cs="宋体" w:eastAsia="宋体" w:hint="default"/>
                <w:sz w:val="18"/>
                <w:szCs w:val="18"/>
              </w:rPr>
            </w:pPr>
            <w:r>
              <w:rPr>
                <w:rFonts w:ascii="宋体"/>
                <w:spacing w:val="-1"/>
                <w:sz w:val="18"/>
              </w:rPr>
              <w:t>1,563.74</w:t>
            </w:r>
            <w:r>
              <w:rPr>
                <w:rFonts w:ascii="宋体"/>
                <w:sz w:val="18"/>
              </w:rPr>
              <w:t> </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z w:val="18"/>
              </w:rPr>
              <w:t> </w:t>
            </w:r>
          </w:p>
        </w:tc>
        <w:tc>
          <w:tcPr>
            <w:tcW w:w="1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6"/>
              <w:jc w:val="right"/>
              <w:rPr>
                <w:rFonts w:ascii="宋体" w:hAnsi="宋体" w:cs="宋体" w:eastAsia="宋体" w:hint="default"/>
                <w:sz w:val="18"/>
                <w:szCs w:val="18"/>
              </w:rPr>
            </w:pPr>
            <w:r>
              <w:rPr>
                <w:rFonts w:ascii="宋体"/>
                <w:sz w:val="18"/>
              </w:rPr>
              <w:t> </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r>
      <w:tr>
        <w:trPr>
          <w:trHeight w:val="396" w:hRule="exact"/>
        </w:trPr>
        <w:tc>
          <w:tcPr>
            <w:tcW w:w="16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2"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21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
              <w:jc w:val="right"/>
              <w:rPr>
                <w:rFonts w:ascii="宋体" w:hAnsi="宋体" w:cs="宋体" w:eastAsia="宋体" w:hint="default"/>
                <w:sz w:val="18"/>
                <w:szCs w:val="18"/>
              </w:rPr>
            </w:pPr>
            <w:r>
              <w:rPr>
                <w:rFonts w:ascii="宋体"/>
                <w:spacing w:val="-1"/>
                <w:sz w:val="18"/>
              </w:rPr>
              <w:t>79,844,518.61</w:t>
            </w:r>
            <w:r>
              <w:rPr>
                <w:rFonts w:ascii="宋体"/>
                <w:sz w:val="18"/>
              </w:rPr>
              <w:t> </w:t>
            </w:r>
          </w:p>
        </w:tc>
        <w:tc>
          <w:tcPr>
            <w:tcW w:w="2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9"/>
              <w:jc w:val="right"/>
              <w:rPr>
                <w:rFonts w:ascii="宋体" w:hAnsi="宋体" w:cs="宋体" w:eastAsia="宋体" w:hint="default"/>
                <w:sz w:val="18"/>
                <w:szCs w:val="18"/>
              </w:rPr>
            </w:pPr>
            <w:r>
              <w:rPr>
                <w:rFonts w:ascii="宋体"/>
                <w:sz w:val="18"/>
              </w:rPr>
              <w:t>100.00 </w:t>
            </w:r>
          </w:p>
        </w:tc>
        <w:tc>
          <w:tcPr>
            <w:tcW w:w="19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6"/>
              <w:jc w:val="right"/>
              <w:rPr>
                <w:rFonts w:ascii="宋体" w:hAnsi="宋体" w:cs="宋体" w:eastAsia="宋体" w:hint="default"/>
                <w:sz w:val="18"/>
                <w:szCs w:val="18"/>
              </w:rPr>
            </w:pPr>
            <w:r>
              <w:rPr>
                <w:rFonts w:ascii="宋体"/>
                <w:spacing w:val="-1"/>
                <w:sz w:val="18"/>
              </w:rPr>
              <w:t>89,822,133.84</w:t>
            </w:r>
            <w:r>
              <w:rPr>
                <w:rFonts w:ascii="宋体"/>
                <w:sz w:val="18"/>
              </w:rPr>
              <w:t> </w:t>
            </w:r>
          </w:p>
        </w:tc>
        <w:tc>
          <w:tcPr>
            <w:tcW w:w="1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100.00</w:t>
            </w:r>
            <w:r>
              <w:rPr>
                <w:rFonts w:ascii="宋体"/>
                <w:sz w:val="18"/>
              </w:rPr>
              <w:t> </w:t>
            </w:r>
          </w:p>
        </w:tc>
      </w:tr>
    </w:tbl>
    <w:p>
      <w:pPr>
        <w:pStyle w:val="BodyText"/>
        <w:spacing w:line="240" w:lineRule="auto" w:before="86"/>
        <w:ind w:left="784" w:right="1133"/>
        <w:jc w:val="left"/>
        <w:rPr>
          <w:rFonts w:ascii="宋体" w:hAnsi="宋体" w:cs="宋体" w:eastAsia="宋体" w:hint="default"/>
        </w:rPr>
      </w:pPr>
      <w:r>
        <w:rPr/>
        <w:t>账龄超过</w:t>
      </w:r>
      <w:r>
        <w:rPr>
          <w:spacing w:val="-54"/>
        </w:rPr>
        <w:t> </w:t>
      </w:r>
      <w:r>
        <w:rPr>
          <w:rFonts w:ascii="宋体" w:hAnsi="宋体" w:cs="宋体" w:eastAsia="宋体" w:hint="default"/>
        </w:rPr>
        <w:t>1</w:t>
      </w:r>
      <w:r>
        <w:rPr>
          <w:rFonts w:ascii="宋体" w:hAnsi="宋体" w:cs="宋体" w:eastAsia="宋体" w:hint="default"/>
          <w:spacing w:val="-56"/>
        </w:rPr>
        <w:t> </w:t>
      </w:r>
      <w:r>
        <w:rPr/>
        <w:t>年且金额重要的预付款项未及时结算原因的说明：</w:t>
      </w:r>
      <w:r>
        <w:rPr>
          <w:rFonts w:ascii="宋体" w:hAnsi="宋体" w:cs="宋体" w:eastAsia="宋体" w:hint="default"/>
        </w:rPr>
        <w:t> </w:t>
      </w:r>
    </w:p>
    <w:p>
      <w:pPr>
        <w:spacing w:line="240" w:lineRule="auto" w:before="9"/>
        <w:rPr>
          <w:rFonts w:ascii="宋体" w:hAnsi="宋体" w:cs="宋体" w:eastAsia="宋体" w:hint="default"/>
          <w:sz w:val="11"/>
          <w:szCs w:val="11"/>
        </w:rPr>
      </w:pPr>
    </w:p>
    <w:tbl>
      <w:tblPr>
        <w:tblW w:w="0" w:type="auto"/>
        <w:jc w:val="left"/>
        <w:tblInd w:w="243" w:type="dxa"/>
        <w:tblLayout w:type="fixed"/>
        <w:tblCellMar>
          <w:top w:w="0" w:type="dxa"/>
          <w:left w:w="0" w:type="dxa"/>
          <w:bottom w:w="0" w:type="dxa"/>
          <w:right w:w="0" w:type="dxa"/>
        </w:tblCellMar>
        <w:tblLook w:val="01E0"/>
      </w:tblPr>
      <w:tblGrid>
        <w:gridCol w:w="704"/>
        <w:gridCol w:w="2770"/>
        <w:gridCol w:w="2693"/>
        <w:gridCol w:w="3279"/>
      </w:tblGrid>
      <w:tr>
        <w:trPr>
          <w:trHeight w:val="396" w:hRule="exact"/>
        </w:trPr>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8" w:right="0"/>
              <w:jc w:val="center"/>
              <w:rPr>
                <w:rFonts w:ascii="宋体" w:hAnsi="宋体" w:cs="宋体" w:eastAsia="宋体" w:hint="default"/>
                <w:sz w:val="18"/>
                <w:szCs w:val="18"/>
              </w:rPr>
            </w:pPr>
            <w:r>
              <w:rPr>
                <w:rFonts w:ascii="宋体" w:hAnsi="宋体" w:cs="宋体" w:eastAsia="宋体" w:hint="default"/>
                <w:sz w:val="18"/>
                <w:szCs w:val="18"/>
              </w:rPr>
              <w:t>序号</w:t>
            </w:r>
            <w:r>
              <w:rPr>
                <w:rFonts w:ascii="宋体" w:hAnsi="宋体" w:cs="宋体" w:eastAsia="宋体" w:hint="default"/>
                <w:sz w:val="18"/>
                <w:szCs w:val="18"/>
              </w:rPr>
              <w:t> </w:t>
            </w:r>
          </w:p>
        </w:tc>
        <w:tc>
          <w:tcPr>
            <w:tcW w:w="2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1" w:right="0"/>
              <w:jc w:val="center"/>
              <w:rPr>
                <w:rFonts w:ascii="宋体" w:hAnsi="宋体" w:cs="宋体" w:eastAsia="宋体" w:hint="default"/>
                <w:sz w:val="18"/>
                <w:szCs w:val="18"/>
              </w:rPr>
            </w:pPr>
            <w:r>
              <w:rPr>
                <w:rFonts w:ascii="宋体" w:hAnsi="宋体" w:cs="宋体" w:eastAsia="宋体" w:hint="default"/>
                <w:sz w:val="18"/>
                <w:szCs w:val="18"/>
              </w:rPr>
              <w:t>债务人</w:t>
            </w:r>
            <w:r>
              <w:rPr>
                <w:rFonts w:ascii="宋体" w:hAnsi="宋体" w:cs="宋体" w:eastAsia="宋体" w:hint="default"/>
                <w:sz w:val="18"/>
                <w:szCs w:val="18"/>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83"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16" w:right="0"/>
              <w:jc w:val="left"/>
              <w:rPr>
                <w:rFonts w:ascii="宋体" w:hAnsi="宋体" w:cs="宋体" w:eastAsia="宋体" w:hint="default"/>
                <w:sz w:val="18"/>
                <w:szCs w:val="18"/>
              </w:rPr>
            </w:pPr>
            <w:r>
              <w:rPr>
                <w:rFonts w:ascii="宋体" w:hAnsi="宋体" w:cs="宋体" w:eastAsia="宋体" w:hint="default"/>
                <w:sz w:val="18"/>
                <w:szCs w:val="18"/>
              </w:rPr>
              <w:t>未及时结算的原因</w:t>
            </w:r>
            <w:r>
              <w:rPr>
                <w:rFonts w:ascii="宋体" w:hAnsi="宋体" w:cs="宋体" w:eastAsia="宋体" w:hint="default"/>
                <w:sz w:val="18"/>
                <w:szCs w:val="18"/>
              </w:rPr>
              <w:t> </w:t>
            </w:r>
          </w:p>
        </w:tc>
      </w:tr>
      <w:tr>
        <w:trPr>
          <w:trHeight w:val="566" w:hRule="exact"/>
        </w:trPr>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88" w:right="0"/>
              <w:jc w:val="center"/>
              <w:rPr>
                <w:rFonts w:ascii="宋体" w:hAnsi="宋体" w:cs="宋体" w:eastAsia="宋体" w:hint="default"/>
                <w:sz w:val="18"/>
                <w:szCs w:val="18"/>
              </w:rPr>
            </w:pPr>
            <w:r>
              <w:rPr>
                <w:rFonts w:ascii="宋体"/>
                <w:sz w:val="18"/>
              </w:rPr>
              <w:t>1 </w:t>
            </w:r>
          </w:p>
        </w:tc>
        <w:tc>
          <w:tcPr>
            <w:tcW w:w="2770"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40"/>
              <w:ind w:left="103" w:right="99"/>
              <w:jc w:val="left"/>
              <w:rPr>
                <w:rFonts w:ascii="宋体" w:hAnsi="宋体" w:cs="宋体" w:eastAsia="宋体" w:hint="default"/>
                <w:sz w:val="18"/>
                <w:szCs w:val="18"/>
              </w:rPr>
            </w:pPr>
            <w:r>
              <w:rPr>
                <w:rFonts w:ascii="宋体" w:hAnsi="宋体" w:cs="宋体" w:eastAsia="宋体" w:hint="default"/>
                <w:spacing w:val="2"/>
                <w:sz w:val="18"/>
                <w:szCs w:val="18"/>
              </w:rPr>
              <w:t>中国移动通信集团浙江有限公司</w:t>
            </w:r>
            <w:r>
              <w:rPr>
                <w:rFonts w:ascii="宋体" w:hAnsi="宋体" w:cs="宋体" w:eastAsia="宋体" w:hint="default"/>
                <w:sz w:val="18"/>
                <w:szCs w:val="18"/>
              </w:rPr>
              <w:t> 嘉兴分公司</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10"/>
              <w:jc w:val="right"/>
              <w:rPr>
                <w:rFonts w:ascii="宋体" w:hAnsi="宋体" w:cs="宋体" w:eastAsia="宋体" w:hint="default"/>
                <w:sz w:val="18"/>
                <w:szCs w:val="18"/>
              </w:rPr>
            </w:pPr>
            <w:r>
              <w:rPr>
                <w:rFonts w:ascii="宋体"/>
                <w:spacing w:val="-1"/>
                <w:sz w:val="18"/>
              </w:rPr>
              <w:t>1,724,329.14</w:t>
            </w:r>
            <w:r>
              <w:rPr>
                <w:rFonts w:ascii="宋体"/>
                <w:sz w:val="18"/>
              </w:rPr>
              <w:t> </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92" w:right="0"/>
              <w:jc w:val="center"/>
              <w:rPr>
                <w:rFonts w:ascii="宋体" w:hAnsi="宋体" w:cs="宋体" w:eastAsia="宋体" w:hint="default"/>
                <w:sz w:val="18"/>
                <w:szCs w:val="18"/>
              </w:rPr>
            </w:pPr>
            <w:r>
              <w:rPr>
                <w:rFonts w:ascii="宋体" w:hAnsi="宋体" w:cs="宋体" w:eastAsia="宋体" w:hint="default"/>
                <w:sz w:val="18"/>
                <w:szCs w:val="18"/>
              </w:rPr>
              <w:t>未到结算期</w:t>
            </w:r>
            <w:r>
              <w:rPr>
                <w:rFonts w:ascii="宋体" w:hAnsi="宋体" w:cs="宋体" w:eastAsia="宋体" w:hint="default"/>
                <w:sz w:val="18"/>
                <w:szCs w:val="18"/>
              </w:rPr>
              <w:t> </w:t>
            </w:r>
          </w:p>
        </w:tc>
      </w:tr>
      <w:tr>
        <w:trPr>
          <w:trHeight w:val="569" w:hRule="exact"/>
        </w:trPr>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88" w:right="0"/>
              <w:jc w:val="center"/>
              <w:rPr>
                <w:rFonts w:ascii="宋体" w:hAnsi="宋体" w:cs="宋体" w:eastAsia="宋体" w:hint="default"/>
                <w:sz w:val="18"/>
                <w:szCs w:val="18"/>
              </w:rPr>
            </w:pPr>
            <w:r>
              <w:rPr>
                <w:rFonts w:ascii="宋体"/>
                <w:sz w:val="18"/>
              </w:rPr>
              <w:t>2 </w:t>
            </w:r>
          </w:p>
        </w:tc>
        <w:tc>
          <w:tcPr>
            <w:tcW w:w="27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
              <w:ind w:left="103" w:right="99"/>
              <w:jc w:val="left"/>
              <w:rPr>
                <w:rFonts w:ascii="宋体" w:hAnsi="宋体" w:cs="宋体" w:eastAsia="宋体" w:hint="default"/>
                <w:sz w:val="18"/>
                <w:szCs w:val="18"/>
              </w:rPr>
            </w:pPr>
            <w:r>
              <w:rPr>
                <w:rFonts w:ascii="宋体" w:hAnsi="宋体" w:cs="宋体" w:eastAsia="宋体" w:hint="default"/>
                <w:spacing w:val="2"/>
                <w:sz w:val="18"/>
                <w:szCs w:val="18"/>
              </w:rPr>
              <w:t>中国移动通信集团河北有限公司</w:t>
            </w:r>
            <w:r>
              <w:rPr>
                <w:rFonts w:ascii="宋体" w:hAnsi="宋体" w:cs="宋体" w:eastAsia="宋体" w:hint="default"/>
                <w:sz w:val="18"/>
                <w:szCs w:val="18"/>
              </w:rPr>
              <w:t> 唐山分公司</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right="10"/>
              <w:jc w:val="right"/>
              <w:rPr>
                <w:rFonts w:ascii="宋体" w:hAnsi="宋体" w:cs="宋体" w:eastAsia="宋体" w:hint="default"/>
                <w:sz w:val="18"/>
                <w:szCs w:val="18"/>
              </w:rPr>
            </w:pPr>
            <w:r>
              <w:rPr>
                <w:rFonts w:ascii="宋体"/>
                <w:spacing w:val="-1"/>
                <w:sz w:val="18"/>
              </w:rPr>
              <w:t>5,181,233.14</w:t>
            </w:r>
            <w:r>
              <w:rPr>
                <w:rFonts w:ascii="宋体"/>
                <w:sz w:val="18"/>
              </w:rPr>
              <w:t> </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3"/>
              <w:ind w:left="92" w:right="0"/>
              <w:jc w:val="center"/>
              <w:rPr>
                <w:rFonts w:ascii="宋体" w:hAnsi="宋体" w:cs="宋体" w:eastAsia="宋体" w:hint="default"/>
                <w:sz w:val="18"/>
                <w:szCs w:val="18"/>
              </w:rPr>
            </w:pPr>
            <w:r>
              <w:rPr>
                <w:rFonts w:ascii="宋体" w:hAnsi="宋体" w:cs="宋体" w:eastAsia="宋体" w:hint="default"/>
                <w:sz w:val="18"/>
                <w:szCs w:val="18"/>
              </w:rPr>
              <w:t>未到结算期</w:t>
            </w:r>
            <w:r>
              <w:rPr>
                <w:rFonts w:ascii="宋体" w:hAnsi="宋体" w:cs="宋体" w:eastAsia="宋体" w:hint="default"/>
                <w:sz w:val="18"/>
                <w:szCs w:val="18"/>
              </w:rPr>
              <w:t> </w:t>
            </w:r>
          </w:p>
        </w:tc>
      </w:tr>
      <w:tr>
        <w:trPr>
          <w:trHeight w:val="293" w:hRule="exact"/>
        </w:trPr>
        <w:tc>
          <w:tcPr>
            <w:tcW w:w="704"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88" w:right="0"/>
              <w:jc w:val="center"/>
              <w:rPr>
                <w:rFonts w:ascii="宋体" w:hAnsi="宋体" w:cs="宋体" w:eastAsia="宋体" w:hint="default"/>
                <w:sz w:val="18"/>
                <w:szCs w:val="18"/>
              </w:rPr>
            </w:pPr>
            <w:r>
              <w:rPr>
                <w:rFonts w:ascii="宋体"/>
                <w:sz w:val="18"/>
              </w:rPr>
              <w:t>3 </w:t>
            </w:r>
          </w:p>
        </w:tc>
        <w:tc>
          <w:tcPr>
            <w:tcW w:w="2770"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03" w:right="0"/>
              <w:jc w:val="left"/>
              <w:rPr>
                <w:rFonts w:ascii="宋体" w:hAnsi="宋体" w:cs="宋体" w:eastAsia="宋体" w:hint="default"/>
                <w:sz w:val="18"/>
                <w:szCs w:val="18"/>
              </w:rPr>
            </w:pPr>
            <w:r>
              <w:rPr>
                <w:rFonts w:ascii="宋体" w:hAnsi="宋体" w:cs="宋体" w:eastAsia="宋体" w:hint="default"/>
                <w:sz w:val="18"/>
                <w:szCs w:val="18"/>
              </w:rPr>
              <w:t>国网信息通信股份有限公司</w:t>
            </w:r>
            <w:r>
              <w:rPr>
                <w:rFonts w:ascii="宋体" w:hAnsi="宋体" w:cs="宋体" w:eastAsia="宋体" w:hint="default"/>
                <w:sz w:val="18"/>
                <w:szCs w:val="18"/>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right="10"/>
              <w:jc w:val="right"/>
              <w:rPr>
                <w:rFonts w:ascii="宋体" w:hAnsi="宋体" w:cs="宋体" w:eastAsia="宋体" w:hint="default"/>
                <w:sz w:val="18"/>
                <w:szCs w:val="18"/>
              </w:rPr>
            </w:pPr>
            <w:r>
              <w:rPr>
                <w:rFonts w:ascii="宋体"/>
                <w:spacing w:val="-1"/>
                <w:sz w:val="18"/>
              </w:rPr>
              <w:t>3,000,000.00</w:t>
            </w:r>
            <w:r>
              <w:rPr>
                <w:rFonts w:ascii="宋体"/>
                <w:sz w:val="18"/>
              </w:rPr>
              <w:t> </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30" w:lineRule="exact"/>
              <w:ind w:left="105" w:right="0"/>
              <w:jc w:val="left"/>
              <w:rPr>
                <w:rFonts w:ascii="宋体" w:hAnsi="宋体" w:cs="宋体" w:eastAsia="宋体" w:hint="default"/>
                <w:sz w:val="18"/>
                <w:szCs w:val="18"/>
              </w:rPr>
            </w:pPr>
            <w:r>
              <w:rPr>
                <w:rFonts w:ascii="宋体" w:hAnsi="宋体" w:cs="宋体" w:eastAsia="宋体" w:hint="default"/>
                <w:sz w:val="18"/>
                <w:szCs w:val="18"/>
              </w:rPr>
              <w:t>预付电费，</w:t>
            </w:r>
            <w:r>
              <w:rPr>
                <w:rFonts w:ascii="宋体" w:hAnsi="宋体" w:cs="宋体" w:eastAsia="宋体" w:hint="default"/>
                <w:sz w:val="18"/>
                <w:szCs w:val="18"/>
              </w:rPr>
              <w:t>2020</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w:t>
            </w:r>
            <w:r>
              <w:rPr>
                <w:rFonts w:ascii="宋体" w:hAnsi="宋体" w:cs="宋体" w:eastAsia="宋体" w:hint="default"/>
                <w:spacing w:val="-45"/>
                <w:sz w:val="18"/>
                <w:szCs w:val="18"/>
              </w:rPr>
              <w:t> </w:t>
            </w:r>
            <w:r>
              <w:rPr>
                <w:rFonts w:ascii="宋体" w:hAnsi="宋体" w:cs="宋体" w:eastAsia="宋体" w:hint="default"/>
                <w:sz w:val="18"/>
                <w:szCs w:val="18"/>
              </w:rPr>
              <w:t>月款项已退回</w:t>
            </w:r>
            <w:r>
              <w:rPr>
                <w:rFonts w:ascii="宋体" w:hAnsi="宋体" w:cs="宋体" w:eastAsia="宋体" w:hint="default"/>
                <w:sz w:val="18"/>
                <w:szCs w:val="18"/>
              </w:rPr>
              <w:t> </w:t>
            </w:r>
          </w:p>
        </w:tc>
      </w:tr>
      <w:tr>
        <w:trPr>
          <w:trHeight w:val="398" w:hRule="exact"/>
        </w:trPr>
        <w:tc>
          <w:tcPr>
            <w:tcW w:w="34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7"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9,905,562.28 </w:t>
            </w:r>
          </w:p>
        </w:tc>
        <w:tc>
          <w:tcPr>
            <w:tcW w:w="32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1" w:right="0"/>
              <w:jc w:val="center"/>
              <w:rPr>
                <w:rFonts w:ascii="宋体" w:hAnsi="宋体" w:cs="宋体" w:eastAsia="宋体" w:hint="default"/>
                <w:sz w:val="18"/>
                <w:szCs w:val="18"/>
              </w:rPr>
            </w:pPr>
            <w:r>
              <w:rPr>
                <w:rFonts w:ascii="宋体"/>
                <w:sz w:val="18"/>
              </w:rPr>
              <w:t>-- </w:t>
            </w:r>
          </w:p>
        </w:tc>
      </w:tr>
    </w:tbl>
    <w:p>
      <w:pPr>
        <w:pStyle w:val="BodyText"/>
        <w:spacing w:line="240" w:lineRule="auto" w:before="86"/>
        <w:ind w:left="784" w:right="1133"/>
        <w:jc w:val="left"/>
        <w:rPr>
          <w:rFonts w:ascii="宋体" w:hAnsi="宋体" w:cs="宋体" w:eastAsia="宋体" w:hint="default"/>
        </w:rPr>
      </w:pPr>
      <w:r>
        <w:rPr>
          <w:rFonts w:ascii="宋体" w:hAnsi="宋体" w:cs="宋体" w:eastAsia="宋体" w:hint="default"/>
        </w:rPr>
        <w:t>2</w:t>
      </w:r>
      <w:r>
        <w:rPr/>
        <w:t>、按预付对象归集的期末余额前五名的预付款情况</w:t>
      </w:r>
      <w:r>
        <w:rPr>
          <w:rFonts w:ascii="宋体" w:hAnsi="宋体" w:cs="宋体" w:eastAsia="宋体" w:hint="default"/>
          <w:spacing w:val="-3"/>
        </w:rPr>
        <w:t> </w:t>
      </w:r>
      <w:r>
        <w:rPr>
          <w:rFonts w:ascii="宋体" w:hAnsi="宋体" w:cs="宋体" w:eastAsia="宋体" w:hint="default"/>
        </w:rPr>
        <w:t> </w:t>
      </w:r>
    </w:p>
    <w:p>
      <w:pPr>
        <w:spacing w:line="240" w:lineRule="auto" w:before="7"/>
        <w:rPr>
          <w:rFonts w:ascii="宋体" w:hAnsi="宋体" w:cs="宋体" w:eastAsia="宋体" w:hint="default"/>
          <w:sz w:val="11"/>
          <w:szCs w:val="11"/>
        </w:rPr>
      </w:pPr>
    </w:p>
    <w:tbl>
      <w:tblPr>
        <w:tblW w:w="0" w:type="auto"/>
        <w:jc w:val="left"/>
        <w:tblInd w:w="191" w:type="dxa"/>
        <w:tblLayout w:type="fixed"/>
        <w:tblCellMar>
          <w:top w:w="0" w:type="dxa"/>
          <w:left w:w="0" w:type="dxa"/>
          <w:bottom w:w="0" w:type="dxa"/>
          <w:right w:w="0" w:type="dxa"/>
        </w:tblCellMar>
        <w:tblLook w:val="01E0"/>
      </w:tblPr>
      <w:tblGrid>
        <w:gridCol w:w="3051"/>
        <w:gridCol w:w="1373"/>
        <w:gridCol w:w="1419"/>
        <w:gridCol w:w="1277"/>
        <w:gridCol w:w="991"/>
        <w:gridCol w:w="1443"/>
      </w:tblGrid>
      <w:tr>
        <w:trPr>
          <w:trHeight w:val="238" w:hRule="exact"/>
        </w:trPr>
        <w:tc>
          <w:tcPr>
            <w:tcW w:w="3051" w:type="dxa"/>
            <w:tcBorders>
              <w:top w:val="single" w:sz="4" w:space="0" w:color="000000"/>
              <w:left w:val="single" w:sz="4" w:space="0" w:color="000000"/>
              <w:bottom w:val="nil" w:sz="6" w:space="0" w:color="auto"/>
              <w:right w:val="single" w:sz="4" w:space="0" w:color="000000"/>
            </w:tcBorders>
          </w:tcPr>
          <w:p>
            <w:pPr/>
          </w:p>
        </w:tc>
        <w:tc>
          <w:tcPr>
            <w:tcW w:w="1373" w:type="dxa"/>
            <w:tcBorders>
              <w:top w:val="single" w:sz="4" w:space="0" w:color="000000"/>
              <w:left w:val="single" w:sz="4" w:space="0" w:color="000000"/>
              <w:bottom w:val="nil" w:sz="6" w:space="0" w:color="auto"/>
              <w:right w:val="single" w:sz="4" w:space="0" w:color="000000"/>
            </w:tcBorders>
          </w:tcPr>
          <w:p>
            <w:pPr/>
          </w:p>
        </w:tc>
        <w:tc>
          <w:tcPr>
            <w:tcW w:w="1419" w:type="dxa"/>
            <w:tcBorders>
              <w:top w:val="single" w:sz="4" w:space="0" w:color="000000"/>
              <w:left w:val="single" w:sz="4" w:space="0" w:color="000000"/>
              <w:bottom w:val="nil" w:sz="6" w:space="0" w:color="auto"/>
              <w:right w:val="single" w:sz="4" w:space="0" w:color="000000"/>
            </w:tcBorders>
          </w:tcPr>
          <w:p>
            <w:pPr/>
          </w:p>
        </w:tc>
        <w:tc>
          <w:tcPr>
            <w:tcW w:w="1277" w:type="dxa"/>
            <w:tcBorders>
              <w:top w:val="single" w:sz="4" w:space="0" w:color="000000"/>
              <w:left w:val="single" w:sz="4" w:space="0" w:color="000000"/>
              <w:bottom w:val="nil" w:sz="6" w:space="0" w:color="auto"/>
              <w:right w:val="single" w:sz="4" w:space="0" w:color="000000"/>
            </w:tcBorders>
          </w:tcPr>
          <w:p>
            <w:pPr>
              <w:pStyle w:val="TableParagraph"/>
              <w:spacing w:line="205" w:lineRule="exact"/>
              <w:ind w:left="184" w:right="0"/>
              <w:jc w:val="left"/>
              <w:rPr>
                <w:rFonts w:ascii="宋体" w:hAnsi="宋体" w:cs="宋体" w:eastAsia="宋体" w:hint="default"/>
                <w:sz w:val="18"/>
                <w:szCs w:val="18"/>
              </w:rPr>
            </w:pPr>
            <w:r>
              <w:rPr>
                <w:rFonts w:ascii="宋体" w:hAnsi="宋体" w:cs="宋体" w:eastAsia="宋体" w:hint="default"/>
                <w:sz w:val="18"/>
                <w:szCs w:val="18"/>
              </w:rPr>
              <w:t>占预付款项</w:t>
            </w:r>
          </w:p>
        </w:tc>
        <w:tc>
          <w:tcPr>
            <w:tcW w:w="991" w:type="dxa"/>
            <w:tcBorders>
              <w:top w:val="single" w:sz="4" w:space="0" w:color="000000"/>
              <w:left w:val="single" w:sz="4" w:space="0" w:color="000000"/>
              <w:bottom w:val="nil" w:sz="6" w:space="0" w:color="auto"/>
              <w:right w:val="single" w:sz="4" w:space="0" w:color="000000"/>
            </w:tcBorders>
          </w:tcPr>
          <w:p>
            <w:pPr/>
          </w:p>
        </w:tc>
        <w:tc>
          <w:tcPr>
            <w:tcW w:w="1443" w:type="dxa"/>
            <w:tcBorders>
              <w:top w:val="single" w:sz="4" w:space="0" w:color="000000"/>
              <w:left w:val="single" w:sz="4" w:space="0" w:color="000000"/>
              <w:bottom w:val="nil" w:sz="6" w:space="0" w:color="auto"/>
              <w:right w:val="single" w:sz="4" w:space="0" w:color="000000"/>
            </w:tcBorders>
          </w:tcPr>
          <w:p>
            <w:pPr/>
          </w:p>
        </w:tc>
      </w:tr>
      <w:tr>
        <w:trPr>
          <w:trHeight w:val="234" w:hRule="exact"/>
        </w:trPr>
        <w:tc>
          <w:tcPr>
            <w:tcW w:w="3051"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87" w:right="0"/>
              <w:jc w:val="center"/>
              <w:rPr>
                <w:rFonts w:ascii="宋体" w:hAnsi="宋体" w:cs="宋体" w:eastAsia="宋体" w:hint="default"/>
                <w:sz w:val="18"/>
                <w:szCs w:val="18"/>
              </w:rPr>
            </w:pPr>
            <w:r>
              <w:rPr>
                <w:rFonts w:ascii="宋体" w:hAnsi="宋体" w:cs="宋体" w:eastAsia="宋体" w:hint="default"/>
                <w:sz w:val="18"/>
                <w:szCs w:val="18"/>
              </w:rPr>
              <w:t>单位名称</w:t>
            </w:r>
            <w:r>
              <w:rPr>
                <w:rFonts w:ascii="宋体" w:hAnsi="宋体" w:cs="宋体" w:eastAsia="宋体" w:hint="default"/>
                <w:sz w:val="18"/>
                <w:szCs w:val="18"/>
              </w:rPr>
              <w:t> </w:t>
            </w:r>
          </w:p>
        </w:tc>
        <w:tc>
          <w:tcPr>
            <w:tcW w:w="1373"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141" w:right="0"/>
              <w:jc w:val="left"/>
              <w:rPr>
                <w:rFonts w:ascii="宋体" w:hAnsi="宋体" w:cs="宋体" w:eastAsia="宋体" w:hint="default"/>
                <w:sz w:val="18"/>
                <w:szCs w:val="18"/>
              </w:rPr>
            </w:pPr>
            <w:r>
              <w:rPr>
                <w:rFonts w:ascii="宋体" w:hAnsi="宋体" w:cs="宋体" w:eastAsia="宋体" w:hint="default"/>
                <w:sz w:val="18"/>
                <w:szCs w:val="18"/>
              </w:rPr>
              <w:t>与本公司关系</w:t>
            </w:r>
            <w:r>
              <w:rPr>
                <w:rFonts w:ascii="宋体" w:hAnsi="宋体" w:cs="宋体" w:eastAsia="宋体" w:hint="default"/>
                <w:sz w:val="18"/>
                <w:szCs w:val="18"/>
              </w:rPr>
              <w:t> </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345"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184" w:right="0"/>
              <w:jc w:val="left"/>
              <w:rPr>
                <w:rFonts w:ascii="宋体" w:hAnsi="宋体" w:cs="宋体" w:eastAsia="宋体" w:hint="default"/>
                <w:sz w:val="18"/>
                <w:szCs w:val="18"/>
              </w:rPr>
            </w:pPr>
            <w:r>
              <w:rPr>
                <w:rFonts w:ascii="宋体" w:hAnsi="宋体" w:cs="宋体" w:eastAsia="宋体" w:hint="default"/>
                <w:sz w:val="18"/>
                <w:szCs w:val="18"/>
              </w:rPr>
              <w:t>期末余额的</w:t>
            </w:r>
          </w:p>
        </w:tc>
        <w:tc>
          <w:tcPr>
            <w:tcW w:w="991"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311" w:right="0"/>
              <w:jc w:val="left"/>
              <w:rPr>
                <w:rFonts w:ascii="宋体" w:hAnsi="宋体" w:cs="宋体" w:eastAsia="宋体" w:hint="default"/>
                <w:sz w:val="18"/>
                <w:szCs w:val="18"/>
              </w:rPr>
            </w:pPr>
            <w:r>
              <w:rPr>
                <w:rFonts w:ascii="宋体" w:hAnsi="宋体" w:cs="宋体" w:eastAsia="宋体" w:hint="default"/>
                <w:sz w:val="18"/>
                <w:szCs w:val="18"/>
              </w:rPr>
              <w:t>账龄</w:t>
            </w:r>
            <w:r>
              <w:rPr>
                <w:rFonts w:ascii="宋体" w:hAnsi="宋体" w:cs="宋体" w:eastAsia="宋体" w:hint="default"/>
                <w:sz w:val="18"/>
                <w:szCs w:val="18"/>
              </w:rPr>
              <w:t> </w:t>
            </w:r>
          </w:p>
        </w:tc>
        <w:tc>
          <w:tcPr>
            <w:tcW w:w="1443"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266" w:right="0"/>
              <w:jc w:val="left"/>
              <w:rPr>
                <w:rFonts w:ascii="宋体" w:hAnsi="宋体" w:cs="宋体" w:eastAsia="宋体" w:hint="default"/>
                <w:sz w:val="18"/>
                <w:szCs w:val="18"/>
              </w:rPr>
            </w:pPr>
            <w:r>
              <w:rPr>
                <w:rFonts w:ascii="宋体" w:hAnsi="宋体" w:cs="宋体" w:eastAsia="宋体" w:hint="default"/>
                <w:sz w:val="18"/>
                <w:szCs w:val="18"/>
              </w:rPr>
              <w:t>未结算原因</w:t>
            </w:r>
            <w:r>
              <w:rPr>
                <w:rFonts w:ascii="宋体" w:hAnsi="宋体" w:cs="宋体" w:eastAsia="宋体" w:hint="default"/>
                <w:sz w:val="18"/>
                <w:szCs w:val="18"/>
              </w:rPr>
              <w:t> </w:t>
            </w:r>
          </w:p>
        </w:tc>
      </w:tr>
      <w:tr>
        <w:trPr>
          <w:trHeight w:val="239" w:hRule="exact"/>
        </w:trPr>
        <w:tc>
          <w:tcPr>
            <w:tcW w:w="3051" w:type="dxa"/>
            <w:tcBorders>
              <w:top w:val="nil" w:sz="6" w:space="0" w:color="auto"/>
              <w:left w:val="single" w:sz="4" w:space="0" w:color="000000"/>
              <w:bottom w:val="single" w:sz="4" w:space="0" w:color="000000"/>
              <w:right w:val="single" w:sz="4" w:space="0" w:color="000000"/>
            </w:tcBorders>
          </w:tcPr>
          <w:p>
            <w:pPr/>
          </w:p>
        </w:tc>
        <w:tc>
          <w:tcPr>
            <w:tcW w:w="1373" w:type="dxa"/>
            <w:tcBorders>
              <w:top w:val="nil" w:sz="6" w:space="0" w:color="auto"/>
              <w:left w:val="single" w:sz="4" w:space="0" w:color="000000"/>
              <w:bottom w:val="single" w:sz="4" w:space="0" w:color="000000"/>
              <w:right w:val="single" w:sz="4" w:space="0" w:color="000000"/>
            </w:tcBorders>
          </w:tcPr>
          <w:p>
            <w:pPr/>
          </w:p>
        </w:tc>
        <w:tc>
          <w:tcPr>
            <w:tcW w:w="1419" w:type="dxa"/>
            <w:tcBorders>
              <w:top w:val="nil" w:sz="6" w:space="0" w:color="auto"/>
              <w:left w:val="single" w:sz="4" w:space="0" w:color="000000"/>
              <w:bottom w:val="single" w:sz="4" w:space="0" w:color="000000"/>
              <w:right w:val="single" w:sz="4" w:space="0" w:color="000000"/>
            </w:tcBorders>
          </w:tcPr>
          <w:p>
            <w:pPr/>
          </w:p>
        </w:tc>
        <w:tc>
          <w:tcPr>
            <w:tcW w:w="1277" w:type="dxa"/>
            <w:tcBorders>
              <w:top w:val="nil" w:sz="6" w:space="0" w:color="auto"/>
              <w:left w:val="single" w:sz="4" w:space="0" w:color="000000"/>
              <w:bottom w:val="single" w:sz="4" w:space="0" w:color="000000"/>
              <w:right w:val="single" w:sz="4" w:space="0" w:color="000000"/>
            </w:tcBorders>
          </w:tcPr>
          <w:p>
            <w:pPr>
              <w:pStyle w:val="TableParagraph"/>
              <w:spacing w:line="206" w:lineRule="exact"/>
              <w:ind w:left="230"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 </w:t>
            </w:r>
          </w:p>
        </w:tc>
        <w:tc>
          <w:tcPr>
            <w:tcW w:w="991" w:type="dxa"/>
            <w:tcBorders>
              <w:top w:val="nil" w:sz="6" w:space="0" w:color="auto"/>
              <w:left w:val="single" w:sz="4" w:space="0" w:color="000000"/>
              <w:bottom w:val="single" w:sz="4" w:space="0" w:color="000000"/>
              <w:right w:val="single" w:sz="4" w:space="0" w:color="000000"/>
            </w:tcBorders>
          </w:tcPr>
          <w:p>
            <w:pPr/>
          </w:p>
        </w:tc>
        <w:tc>
          <w:tcPr>
            <w:tcW w:w="1443" w:type="dxa"/>
            <w:tcBorders>
              <w:top w:val="nil" w:sz="6" w:space="0" w:color="auto"/>
              <w:left w:val="single" w:sz="4" w:space="0" w:color="000000"/>
              <w:bottom w:val="single" w:sz="4" w:space="0" w:color="000000"/>
              <w:right w:val="single" w:sz="4" w:space="0" w:color="000000"/>
            </w:tcBorders>
          </w:tcPr>
          <w:p>
            <w:pPr/>
          </w:p>
        </w:tc>
      </w:tr>
    </w:tbl>
    <w:p>
      <w:pPr>
        <w:spacing w:after="0"/>
        <w:sectPr>
          <w:pgSz w:w="11910" w:h="16840"/>
          <w:pgMar w:header="921" w:footer="725" w:top="1160" w:bottom="920" w:left="980" w:right="0"/>
        </w:sectPr>
      </w:pPr>
    </w:p>
    <w:p>
      <w:pPr>
        <w:spacing w:line="240" w:lineRule="auto" w:before="4"/>
        <w:rPr>
          <w:rFonts w:ascii="宋体" w:hAnsi="宋体" w:cs="宋体" w:eastAsia="宋体" w:hint="default"/>
          <w:sz w:val="21"/>
          <w:szCs w:val="21"/>
        </w:rPr>
      </w:pPr>
    </w:p>
    <w:tbl>
      <w:tblPr>
        <w:tblW w:w="0" w:type="auto"/>
        <w:jc w:val="left"/>
        <w:tblInd w:w="191" w:type="dxa"/>
        <w:tblLayout w:type="fixed"/>
        <w:tblCellMar>
          <w:top w:w="0" w:type="dxa"/>
          <w:left w:w="0" w:type="dxa"/>
          <w:bottom w:w="0" w:type="dxa"/>
          <w:right w:w="0" w:type="dxa"/>
        </w:tblCellMar>
        <w:tblLook w:val="01E0"/>
      </w:tblPr>
      <w:tblGrid>
        <w:gridCol w:w="3051"/>
        <w:gridCol w:w="1373"/>
        <w:gridCol w:w="1419"/>
        <w:gridCol w:w="1277"/>
        <w:gridCol w:w="991"/>
        <w:gridCol w:w="1443"/>
      </w:tblGrid>
      <w:tr>
        <w:trPr>
          <w:trHeight w:val="711" w:hRule="exact"/>
        </w:trPr>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87" w:right="0"/>
              <w:jc w:val="center"/>
              <w:rPr>
                <w:rFonts w:ascii="宋体" w:hAnsi="宋体" w:cs="宋体" w:eastAsia="宋体" w:hint="default"/>
                <w:sz w:val="18"/>
                <w:szCs w:val="18"/>
              </w:rPr>
            </w:pPr>
            <w:r>
              <w:rPr>
                <w:rFonts w:ascii="宋体" w:hAnsi="宋体" w:cs="宋体" w:eastAsia="宋体" w:hint="default"/>
                <w:sz w:val="18"/>
                <w:szCs w:val="18"/>
              </w:rPr>
              <w:t>单位名称</w:t>
            </w:r>
            <w:r>
              <w:rPr>
                <w:rFonts w:ascii="宋体" w:hAnsi="宋体" w:cs="宋体" w:eastAsia="宋体" w:hint="default"/>
                <w:sz w:val="18"/>
                <w:szCs w:val="18"/>
              </w:rPr>
              <w:t> </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90" w:right="0"/>
              <w:jc w:val="center"/>
              <w:rPr>
                <w:rFonts w:ascii="宋体" w:hAnsi="宋体" w:cs="宋体" w:eastAsia="宋体" w:hint="default"/>
                <w:sz w:val="18"/>
                <w:szCs w:val="18"/>
              </w:rPr>
            </w:pPr>
            <w:r>
              <w:rPr>
                <w:rFonts w:ascii="宋体" w:hAnsi="宋体" w:cs="宋体" w:eastAsia="宋体" w:hint="default"/>
                <w:sz w:val="18"/>
                <w:szCs w:val="18"/>
              </w:rPr>
              <w:t>与本公司关系</w:t>
            </w:r>
            <w:r>
              <w:rPr>
                <w:rFonts w:ascii="宋体" w:hAnsi="宋体" w:cs="宋体" w:eastAsia="宋体" w:hint="default"/>
                <w:sz w:val="18"/>
                <w:szCs w:val="18"/>
              </w:rPr>
              <w:t> </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345"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84" w:right="0"/>
              <w:jc w:val="left"/>
              <w:rPr>
                <w:rFonts w:ascii="宋体" w:hAnsi="宋体" w:cs="宋体" w:eastAsia="宋体" w:hint="default"/>
                <w:sz w:val="18"/>
                <w:szCs w:val="18"/>
              </w:rPr>
            </w:pPr>
            <w:r>
              <w:rPr>
                <w:rFonts w:ascii="宋体" w:hAnsi="宋体" w:cs="宋体" w:eastAsia="宋体" w:hint="default"/>
                <w:sz w:val="18"/>
                <w:szCs w:val="18"/>
              </w:rPr>
              <w:t>占预付款项</w:t>
            </w:r>
          </w:p>
          <w:p>
            <w:pPr>
              <w:pStyle w:val="TableParagraph"/>
              <w:spacing w:line="240" w:lineRule="auto"/>
              <w:ind w:left="230" w:right="133" w:hanging="46"/>
              <w:jc w:val="left"/>
              <w:rPr>
                <w:rFonts w:ascii="宋体" w:hAnsi="宋体" w:cs="宋体" w:eastAsia="宋体" w:hint="default"/>
                <w:sz w:val="18"/>
                <w:szCs w:val="18"/>
              </w:rPr>
            </w:pPr>
            <w:r>
              <w:rPr>
                <w:rFonts w:ascii="宋体" w:hAnsi="宋体" w:cs="宋体" w:eastAsia="宋体" w:hint="default"/>
                <w:sz w:val="18"/>
                <w:szCs w:val="18"/>
              </w:rPr>
              <w:t>期末余额的 比例（</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 </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92" w:right="0"/>
              <w:jc w:val="center"/>
              <w:rPr>
                <w:rFonts w:ascii="宋体" w:hAnsi="宋体" w:cs="宋体" w:eastAsia="宋体" w:hint="default"/>
                <w:sz w:val="18"/>
                <w:szCs w:val="18"/>
              </w:rPr>
            </w:pPr>
            <w:r>
              <w:rPr>
                <w:rFonts w:ascii="宋体" w:hAnsi="宋体" w:cs="宋体" w:eastAsia="宋体" w:hint="default"/>
                <w:sz w:val="18"/>
                <w:szCs w:val="18"/>
              </w:rPr>
              <w:t>账龄</w:t>
            </w:r>
            <w:r>
              <w:rPr>
                <w:rFonts w:ascii="宋体" w:hAnsi="宋体" w:cs="宋体" w:eastAsia="宋体" w:hint="default"/>
                <w:sz w:val="18"/>
                <w:szCs w:val="18"/>
              </w:rPr>
              <w:t> </w:t>
            </w: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90" w:right="0"/>
              <w:jc w:val="center"/>
              <w:rPr>
                <w:rFonts w:ascii="宋体" w:hAnsi="宋体" w:cs="宋体" w:eastAsia="宋体" w:hint="default"/>
                <w:sz w:val="18"/>
                <w:szCs w:val="18"/>
              </w:rPr>
            </w:pPr>
            <w:r>
              <w:rPr>
                <w:rFonts w:ascii="宋体" w:hAnsi="宋体" w:cs="宋体" w:eastAsia="宋体" w:hint="default"/>
                <w:sz w:val="18"/>
                <w:szCs w:val="18"/>
              </w:rPr>
              <w:t>未结算原因</w:t>
            </w:r>
            <w:r>
              <w:rPr>
                <w:rFonts w:ascii="宋体" w:hAnsi="宋体" w:cs="宋体" w:eastAsia="宋体" w:hint="default"/>
                <w:sz w:val="18"/>
                <w:szCs w:val="18"/>
              </w:rPr>
              <w:t> </w:t>
            </w:r>
          </w:p>
        </w:tc>
      </w:tr>
      <w:tr>
        <w:trPr>
          <w:trHeight w:val="396" w:hRule="exact"/>
        </w:trPr>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北京云游世纪科技有限公司</w:t>
            </w:r>
            <w:r>
              <w:rPr>
                <w:rFonts w:ascii="宋体" w:hAnsi="宋体" w:cs="宋体" w:eastAsia="宋体" w:hint="default"/>
                <w:sz w:val="18"/>
                <w:szCs w:val="18"/>
              </w:rPr>
              <w:t> </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0" w:right="0"/>
              <w:jc w:val="center"/>
              <w:rPr>
                <w:rFonts w:ascii="宋体" w:hAnsi="宋体" w:cs="宋体" w:eastAsia="宋体" w:hint="default"/>
                <w:sz w:val="18"/>
                <w:szCs w:val="18"/>
              </w:rPr>
            </w:pPr>
            <w:r>
              <w:rPr>
                <w:rFonts w:ascii="宋体" w:hAnsi="宋体" w:cs="宋体" w:eastAsia="宋体" w:hint="default"/>
                <w:sz w:val="18"/>
                <w:szCs w:val="18"/>
              </w:rPr>
              <w:t>非关联方</w:t>
            </w:r>
            <w:r>
              <w:rPr>
                <w:rFonts w:ascii="宋体" w:hAnsi="宋体" w:cs="宋体" w:eastAsia="宋体" w:hint="default"/>
                <w:sz w:val="18"/>
                <w:szCs w:val="18"/>
              </w:rPr>
              <w:t> </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14,812,834.07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9"/>
              <w:jc w:val="right"/>
              <w:rPr>
                <w:rFonts w:ascii="宋体" w:hAnsi="宋体" w:cs="宋体" w:eastAsia="宋体" w:hint="default"/>
                <w:sz w:val="18"/>
                <w:szCs w:val="18"/>
              </w:rPr>
            </w:pPr>
            <w:r>
              <w:rPr>
                <w:rFonts w:ascii="宋体"/>
                <w:spacing w:val="-1"/>
                <w:sz w:val="18"/>
              </w:rPr>
              <w:t>16.41</w:t>
            </w:r>
            <w:r>
              <w:rPr>
                <w:rFonts w:ascii="宋体"/>
                <w:sz w:val="18"/>
              </w:rPr>
              <w:t> </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9"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7"/>
                <w:sz w:val="18"/>
                <w:szCs w:val="18"/>
              </w:rPr>
              <w:t> </w:t>
            </w:r>
            <w:r>
              <w:rPr>
                <w:rFonts w:ascii="宋体" w:hAnsi="宋体" w:cs="宋体" w:eastAsia="宋体" w:hint="default"/>
                <w:sz w:val="18"/>
                <w:szCs w:val="18"/>
              </w:rPr>
              <w:t>年以内</w:t>
            </w:r>
            <w:r>
              <w:rPr>
                <w:rFonts w:ascii="宋体" w:hAnsi="宋体" w:cs="宋体" w:eastAsia="宋体" w:hint="default"/>
                <w:sz w:val="18"/>
                <w:szCs w:val="18"/>
              </w:rPr>
              <w:t> </w:t>
            </w: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0" w:right="0"/>
              <w:jc w:val="center"/>
              <w:rPr>
                <w:rFonts w:ascii="宋体" w:hAnsi="宋体" w:cs="宋体" w:eastAsia="宋体" w:hint="default"/>
                <w:sz w:val="18"/>
                <w:szCs w:val="18"/>
              </w:rPr>
            </w:pPr>
            <w:r>
              <w:rPr>
                <w:rFonts w:ascii="宋体" w:hAnsi="宋体" w:cs="宋体" w:eastAsia="宋体" w:hint="default"/>
                <w:sz w:val="18"/>
                <w:szCs w:val="18"/>
              </w:rPr>
              <w:t>未到期结算</w:t>
            </w:r>
            <w:r>
              <w:rPr>
                <w:rFonts w:ascii="宋体" w:hAnsi="宋体" w:cs="宋体" w:eastAsia="宋体" w:hint="default"/>
                <w:sz w:val="18"/>
                <w:szCs w:val="18"/>
              </w:rPr>
              <w:t> </w:t>
            </w:r>
          </w:p>
        </w:tc>
      </w:tr>
      <w:tr>
        <w:trPr>
          <w:trHeight w:val="398" w:hRule="exact"/>
        </w:trPr>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北京鸿泰互联技术有限公司</w:t>
            </w:r>
            <w:r>
              <w:rPr>
                <w:rFonts w:ascii="宋体" w:hAnsi="宋体" w:cs="宋体" w:eastAsia="宋体" w:hint="default"/>
                <w:sz w:val="18"/>
                <w:szCs w:val="18"/>
              </w:rPr>
              <w:t> </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0" w:right="0"/>
              <w:jc w:val="center"/>
              <w:rPr>
                <w:rFonts w:ascii="宋体" w:hAnsi="宋体" w:cs="宋体" w:eastAsia="宋体" w:hint="default"/>
                <w:sz w:val="18"/>
                <w:szCs w:val="18"/>
              </w:rPr>
            </w:pPr>
            <w:r>
              <w:rPr>
                <w:rFonts w:ascii="宋体" w:hAnsi="宋体" w:cs="宋体" w:eastAsia="宋体" w:hint="default"/>
                <w:sz w:val="18"/>
                <w:szCs w:val="18"/>
              </w:rPr>
              <w:t>非关联方</w:t>
            </w:r>
            <w:r>
              <w:rPr>
                <w:rFonts w:ascii="宋体" w:hAnsi="宋体" w:cs="宋体" w:eastAsia="宋体" w:hint="default"/>
                <w:sz w:val="18"/>
                <w:szCs w:val="18"/>
              </w:rPr>
              <w:t> </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11,049,343.59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
              <w:jc w:val="right"/>
              <w:rPr>
                <w:rFonts w:ascii="宋体" w:hAnsi="宋体" w:cs="宋体" w:eastAsia="宋体" w:hint="default"/>
                <w:sz w:val="18"/>
                <w:szCs w:val="18"/>
              </w:rPr>
            </w:pPr>
            <w:r>
              <w:rPr>
                <w:rFonts w:ascii="宋体"/>
                <w:spacing w:val="-1"/>
                <w:sz w:val="18"/>
              </w:rPr>
              <w:t>12.24</w:t>
            </w:r>
            <w:r>
              <w:rPr>
                <w:rFonts w:ascii="宋体"/>
                <w:sz w:val="18"/>
              </w:rPr>
              <w:t> </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7"/>
                <w:sz w:val="18"/>
                <w:szCs w:val="18"/>
              </w:rPr>
              <w:t> </w:t>
            </w:r>
            <w:r>
              <w:rPr>
                <w:rFonts w:ascii="宋体" w:hAnsi="宋体" w:cs="宋体" w:eastAsia="宋体" w:hint="default"/>
                <w:sz w:val="18"/>
                <w:szCs w:val="18"/>
              </w:rPr>
              <w:t>年以内</w:t>
            </w:r>
            <w:r>
              <w:rPr>
                <w:rFonts w:ascii="宋体" w:hAnsi="宋体" w:cs="宋体" w:eastAsia="宋体" w:hint="default"/>
                <w:sz w:val="18"/>
                <w:szCs w:val="18"/>
              </w:rPr>
              <w:t> </w:t>
            </w: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0" w:right="0"/>
              <w:jc w:val="center"/>
              <w:rPr>
                <w:rFonts w:ascii="宋体" w:hAnsi="宋体" w:cs="宋体" w:eastAsia="宋体" w:hint="default"/>
                <w:sz w:val="18"/>
                <w:szCs w:val="18"/>
              </w:rPr>
            </w:pPr>
            <w:r>
              <w:rPr>
                <w:rFonts w:ascii="宋体" w:hAnsi="宋体" w:cs="宋体" w:eastAsia="宋体" w:hint="default"/>
                <w:sz w:val="18"/>
                <w:szCs w:val="18"/>
              </w:rPr>
              <w:t>未到期结算</w:t>
            </w:r>
            <w:r>
              <w:rPr>
                <w:rFonts w:ascii="宋体" w:hAnsi="宋体" w:cs="宋体" w:eastAsia="宋体" w:hint="default"/>
                <w:sz w:val="18"/>
                <w:szCs w:val="18"/>
              </w:rPr>
              <w:t> </w:t>
            </w:r>
          </w:p>
        </w:tc>
      </w:tr>
      <w:tr>
        <w:trPr>
          <w:trHeight w:val="650" w:hRule="exact"/>
        </w:trPr>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236"/>
              <w:jc w:val="left"/>
              <w:rPr>
                <w:rFonts w:ascii="宋体" w:hAnsi="宋体" w:cs="宋体" w:eastAsia="宋体" w:hint="default"/>
                <w:sz w:val="18"/>
                <w:szCs w:val="18"/>
              </w:rPr>
            </w:pPr>
            <w:r>
              <w:rPr>
                <w:rFonts w:ascii="宋体" w:hAnsi="宋体" w:cs="宋体" w:eastAsia="宋体" w:hint="default"/>
                <w:sz w:val="18"/>
                <w:szCs w:val="18"/>
              </w:rPr>
              <w:t>中国移动通信集团河北有限公司唐 山分公司</w:t>
            </w:r>
            <w:r>
              <w:rPr>
                <w:rFonts w:ascii="宋体" w:hAnsi="宋体" w:cs="宋体" w:eastAsia="宋体" w:hint="default"/>
                <w:sz w:val="18"/>
                <w:szCs w:val="18"/>
              </w:rPr>
              <w:t> </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90" w:right="0"/>
              <w:jc w:val="center"/>
              <w:rPr>
                <w:rFonts w:ascii="宋体" w:hAnsi="宋体" w:cs="宋体" w:eastAsia="宋体" w:hint="default"/>
                <w:sz w:val="18"/>
                <w:szCs w:val="18"/>
              </w:rPr>
            </w:pPr>
            <w:r>
              <w:rPr>
                <w:rFonts w:ascii="宋体" w:hAnsi="宋体" w:cs="宋体" w:eastAsia="宋体" w:hint="default"/>
                <w:sz w:val="18"/>
                <w:szCs w:val="18"/>
              </w:rPr>
              <w:t>非关联方</w:t>
            </w:r>
            <w:r>
              <w:rPr>
                <w:rFonts w:ascii="宋体" w:hAnsi="宋体" w:cs="宋体" w:eastAsia="宋体" w:hint="default"/>
                <w:sz w:val="18"/>
                <w:szCs w:val="18"/>
              </w:rPr>
              <w:t> </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8"/>
              <w:jc w:val="right"/>
              <w:rPr>
                <w:rFonts w:ascii="宋体" w:hAnsi="宋体" w:cs="宋体" w:eastAsia="宋体" w:hint="default"/>
                <w:sz w:val="18"/>
                <w:szCs w:val="18"/>
              </w:rPr>
            </w:pPr>
            <w:r>
              <w:rPr>
                <w:rFonts w:ascii="宋体"/>
                <w:spacing w:val="-1"/>
                <w:sz w:val="18"/>
              </w:rPr>
              <w:t>5,181,233.14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9"/>
              <w:jc w:val="right"/>
              <w:rPr>
                <w:rFonts w:ascii="宋体" w:hAnsi="宋体" w:cs="宋体" w:eastAsia="宋体" w:hint="default"/>
                <w:sz w:val="18"/>
                <w:szCs w:val="18"/>
              </w:rPr>
            </w:pPr>
            <w:r>
              <w:rPr>
                <w:rFonts w:ascii="宋体"/>
                <w:spacing w:val="-1"/>
                <w:sz w:val="18"/>
              </w:rPr>
              <w:t>10.53</w:t>
            </w:r>
            <w:r>
              <w:rPr>
                <w:rFonts w:ascii="宋体"/>
                <w:sz w:val="18"/>
              </w:rPr>
              <w:t> </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92" w:right="0"/>
              <w:jc w:val="center"/>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w:t>
            </w:r>
            <w:r>
              <w:rPr>
                <w:rFonts w:ascii="宋体" w:hAnsi="宋体" w:cs="宋体" w:eastAsia="宋体" w:hint="default"/>
                <w:sz w:val="18"/>
                <w:szCs w:val="18"/>
              </w:rPr>
              <w:t>3</w:t>
            </w:r>
            <w:r>
              <w:rPr>
                <w:rFonts w:ascii="宋体" w:hAnsi="宋体" w:cs="宋体" w:eastAsia="宋体" w:hint="default"/>
                <w:spacing w:val="-43"/>
                <w:sz w:val="18"/>
                <w:szCs w:val="18"/>
              </w:rPr>
              <w:t> </w:t>
            </w:r>
            <w:r>
              <w:rPr>
                <w:rFonts w:ascii="宋体" w:hAnsi="宋体" w:cs="宋体" w:eastAsia="宋体" w:hint="default"/>
                <w:spacing w:val="-3"/>
                <w:sz w:val="18"/>
                <w:szCs w:val="18"/>
              </w:rPr>
              <w:t>年</w:t>
            </w:r>
            <w:r>
              <w:rPr>
                <w:rFonts w:ascii="宋体" w:hAnsi="宋体" w:cs="宋体" w:eastAsia="宋体" w:hint="default"/>
                <w:sz w:val="18"/>
                <w:szCs w:val="18"/>
              </w:rPr>
              <w:t> </w:t>
            </w: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90" w:right="0"/>
              <w:jc w:val="center"/>
              <w:rPr>
                <w:rFonts w:ascii="宋体" w:hAnsi="宋体" w:cs="宋体" w:eastAsia="宋体" w:hint="default"/>
                <w:sz w:val="18"/>
                <w:szCs w:val="18"/>
              </w:rPr>
            </w:pPr>
            <w:r>
              <w:rPr>
                <w:rFonts w:ascii="宋体" w:hAnsi="宋体" w:cs="宋体" w:eastAsia="宋体" w:hint="default"/>
                <w:sz w:val="18"/>
                <w:szCs w:val="18"/>
              </w:rPr>
              <w:t>未到结算期</w:t>
            </w:r>
            <w:r>
              <w:rPr>
                <w:rFonts w:ascii="宋体" w:hAnsi="宋体" w:cs="宋体" w:eastAsia="宋体" w:hint="default"/>
                <w:sz w:val="18"/>
                <w:szCs w:val="18"/>
              </w:rPr>
              <w:t> </w:t>
            </w:r>
          </w:p>
        </w:tc>
      </w:tr>
      <w:tr>
        <w:trPr>
          <w:trHeight w:val="398" w:hRule="exact"/>
        </w:trPr>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华为软件技术有限公司</w:t>
            </w:r>
            <w:r>
              <w:rPr>
                <w:rFonts w:ascii="宋体" w:hAnsi="宋体" w:cs="宋体" w:eastAsia="宋体" w:hint="default"/>
                <w:sz w:val="18"/>
                <w:szCs w:val="18"/>
              </w:rPr>
              <w:t> </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0" w:right="0"/>
              <w:jc w:val="center"/>
              <w:rPr>
                <w:rFonts w:ascii="宋体" w:hAnsi="宋体" w:cs="宋体" w:eastAsia="宋体" w:hint="default"/>
                <w:sz w:val="18"/>
                <w:szCs w:val="18"/>
              </w:rPr>
            </w:pPr>
            <w:r>
              <w:rPr>
                <w:rFonts w:ascii="宋体" w:hAnsi="宋体" w:cs="宋体" w:eastAsia="宋体" w:hint="default"/>
                <w:sz w:val="18"/>
                <w:szCs w:val="18"/>
              </w:rPr>
              <w:t>非关联方</w:t>
            </w:r>
            <w:r>
              <w:rPr>
                <w:rFonts w:ascii="宋体" w:hAnsi="宋体" w:cs="宋体" w:eastAsia="宋体" w:hint="default"/>
                <w:sz w:val="18"/>
                <w:szCs w:val="18"/>
              </w:rPr>
              <w:t> </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5,000,000.00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
              <w:jc w:val="right"/>
              <w:rPr>
                <w:rFonts w:ascii="宋体" w:hAnsi="宋体" w:cs="宋体" w:eastAsia="宋体" w:hint="default"/>
                <w:sz w:val="18"/>
                <w:szCs w:val="18"/>
              </w:rPr>
            </w:pPr>
            <w:r>
              <w:rPr>
                <w:rFonts w:ascii="宋体"/>
                <w:sz w:val="18"/>
              </w:rPr>
              <w:t>5.74 </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7"/>
                <w:sz w:val="18"/>
                <w:szCs w:val="18"/>
              </w:rPr>
              <w:t> </w:t>
            </w:r>
            <w:r>
              <w:rPr>
                <w:rFonts w:ascii="宋体" w:hAnsi="宋体" w:cs="宋体" w:eastAsia="宋体" w:hint="default"/>
                <w:sz w:val="18"/>
                <w:szCs w:val="18"/>
              </w:rPr>
              <w:t>年以内</w:t>
            </w:r>
            <w:r>
              <w:rPr>
                <w:rFonts w:ascii="宋体" w:hAnsi="宋体" w:cs="宋体" w:eastAsia="宋体" w:hint="default"/>
                <w:sz w:val="18"/>
                <w:szCs w:val="18"/>
              </w:rPr>
              <w:t> </w:t>
            </w: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0" w:right="0"/>
              <w:jc w:val="center"/>
              <w:rPr>
                <w:rFonts w:ascii="宋体" w:hAnsi="宋体" w:cs="宋体" w:eastAsia="宋体" w:hint="default"/>
                <w:sz w:val="18"/>
                <w:szCs w:val="18"/>
              </w:rPr>
            </w:pPr>
            <w:r>
              <w:rPr>
                <w:rFonts w:ascii="宋体" w:hAnsi="宋体" w:cs="宋体" w:eastAsia="宋体" w:hint="default"/>
                <w:sz w:val="18"/>
                <w:szCs w:val="18"/>
              </w:rPr>
              <w:t>未到结算期</w:t>
            </w:r>
            <w:r>
              <w:rPr>
                <w:rFonts w:ascii="宋体" w:hAnsi="宋体" w:cs="宋体" w:eastAsia="宋体" w:hint="default"/>
                <w:sz w:val="18"/>
                <w:szCs w:val="18"/>
              </w:rPr>
              <w:t> </w:t>
            </w:r>
          </w:p>
        </w:tc>
      </w:tr>
      <w:tr>
        <w:trPr>
          <w:trHeight w:val="396" w:hRule="exact"/>
        </w:trPr>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北京璟玮琨信息技术有限公司</w:t>
            </w:r>
            <w:r>
              <w:rPr>
                <w:rFonts w:ascii="宋体" w:hAnsi="宋体" w:cs="宋体" w:eastAsia="宋体" w:hint="default"/>
                <w:sz w:val="18"/>
                <w:szCs w:val="18"/>
              </w:rPr>
              <w:t> </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0" w:right="0"/>
              <w:jc w:val="center"/>
              <w:rPr>
                <w:rFonts w:ascii="宋体" w:hAnsi="宋体" w:cs="宋体" w:eastAsia="宋体" w:hint="default"/>
                <w:sz w:val="18"/>
                <w:szCs w:val="18"/>
              </w:rPr>
            </w:pPr>
            <w:r>
              <w:rPr>
                <w:rFonts w:ascii="宋体" w:hAnsi="宋体" w:cs="宋体" w:eastAsia="宋体" w:hint="default"/>
                <w:sz w:val="18"/>
                <w:szCs w:val="18"/>
              </w:rPr>
              <w:t>非关联方</w:t>
            </w:r>
            <w:r>
              <w:rPr>
                <w:rFonts w:ascii="宋体" w:hAnsi="宋体" w:cs="宋体" w:eastAsia="宋体" w:hint="default"/>
                <w:sz w:val="18"/>
                <w:szCs w:val="18"/>
              </w:rPr>
              <w:t> </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5,000,000.00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9"/>
              <w:jc w:val="right"/>
              <w:rPr>
                <w:rFonts w:ascii="宋体" w:hAnsi="宋体" w:cs="宋体" w:eastAsia="宋体" w:hint="default"/>
                <w:sz w:val="18"/>
                <w:szCs w:val="18"/>
              </w:rPr>
            </w:pPr>
            <w:r>
              <w:rPr>
                <w:rFonts w:ascii="宋体"/>
                <w:sz w:val="18"/>
              </w:rPr>
              <w:t>5.54 </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9"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7"/>
                <w:sz w:val="18"/>
                <w:szCs w:val="18"/>
              </w:rPr>
              <w:t> </w:t>
            </w:r>
            <w:r>
              <w:rPr>
                <w:rFonts w:ascii="宋体" w:hAnsi="宋体" w:cs="宋体" w:eastAsia="宋体" w:hint="default"/>
                <w:sz w:val="18"/>
                <w:szCs w:val="18"/>
              </w:rPr>
              <w:t>年以内</w:t>
            </w:r>
            <w:r>
              <w:rPr>
                <w:rFonts w:ascii="宋体" w:hAnsi="宋体" w:cs="宋体" w:eastAsia="宋体" w:hint="default"/>
                <w:sz w:val="18"/>
                <w:szCs w:val="18"/>
              </w:rPr>
              <w:t> </w:t>
            </w: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0" w:right="0"/>
              <w:jc w:val="center"/>
              <w:rPr>
                <w:rFonts w:ascii="宋体" w:hAnsi="宋体" w:cs="宋体" w:eastAsia="宋体" w:hint="default"/>
                <w:sz w:val="18"/>
                <w:szCs w:val="18"/>
              </w:rPr>
            </w:pPr>
            <w:r>
              <w:rPr>
                <w:rFonts w:ascii="宋体" w:hAnsi="宋体" w:cs="宋体" w:eastAsia="宋体" w:hint="default"/>
                <w:sz w:val="18"/>
                <w:szCs w:val="18"/>
              </w:rPr>
              <w:t>未到结算期</w:t>
            </w:r>
            <w:r>
              <w:rPr>
                <w:rFonts w:ascii="宋体" w:hAnsi="宋体" w:cs="宋体" w:eastAsia="宋体" w:hint="default"/>
                <w:sz w:val="18"/>
                <w:szCs w:val="18"/>
              </w:rPr>
              <w:t> </w:t>
            </w:r>
          </w:p>
        </w:tc>
      </w:tr>
      <w:tr>
        <w:trPr>
          <w:trHeight w:val="398" w:hRule="exact"/>
        </w:trPr>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7"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0" w:right="0"/>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 </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41,043,410.80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9"/>
              <w:jc w:val="right"/>
              <w:rPr>
                <w:rFonts w:ascii="宋体" w:hAnsi="宋体" w:cs="宋体" w:eastAsia="宋体" w:hint="default"/>
                <w:sz w:val="18"/>
                <w:szCs w:val="18"/>
              </w:rPr>
            </w:pPr>
            <w:r>
              <w:rPr>
                <w:rFonts w:ascii="宋体"/>
                <w:spacing w:val="-1"/>
                <w:sz w:val="18"/>
              </w:rPr>
              <w:t>50.46</w:t>
            </w:r>
            <w:r>
              <w:rPr>
                <w:rFonts w:ascii="宋体"/>
                <w:sz w:val="18"/>
              </w:rPr>
              <w:t> </w:t>
            </w:r>
          </w:p>
        </w:tc>
        <w:tc>
          <w:tcPr>
            <w:tcW w:w="9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2" w:right="0"/>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 </w:t>
            </w:r>
          </w:p>
        </w:tc>
        <w:tc>
          <w:tcPr>
            <w:tcW w:w="14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2" w:right="0"/>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 </w:t>
            </w:r>
          </w:p>
        </w:tc>
      </w:tr>
    </w:tbl>
    <w:p>
      <w:pPr>
        <w:spacing w:line="340" w:lineRule="auto" w:before="86"/>
        <w:ind w:left="784" w:right="8232" w:hanging="209"/>
        <w:jc w:val="left"/>
        <w:rPr>
          <w:rFonts w:ascii="宋体" w:hAnsi="宋体" w:cs="宋体" w:eastAsia="宋体" w:hint="default"/>
          <w:sz w:val="21"/>
          <w:szCs w:val="21"/>
        </w:rPr>
      </w:pPr>
      <w:r>
        <w:rPr>
          <w:rFonts w:ascii="宋体" w:hAnsi="宋体" w:cs="宋体" w:eastAsia="宋体" w:hint="default"/>
          <w:b/>
          <w:bCs/>
          <w:sz w:val="21"/>
          <w:szCs w:val="21"/>
        </w:rPr>
        <w:t>（五）其他应收款</w:t>
      </w:r>
      <w:r>
        <w:rPr>
          <w:rFonts w:ascii="宋体" w:hAnsi="宋体" w:cs="宋体" w:eastAsia="宋体" w:hint="default"/>
          <w:b/>
          <w:bCs/>
          <w:w w:val="99"/>
          <w:sz w:val="21"/>
          <w:szCs w:val="21"/>
        </w:rPr>
        <w:t> </w:t>
      </w:r>
      <w:r>
        <w:rPr>
          <w:rFonts w:ascii="宋体" w:hAnsi="宋体" w:cs="宋体" w:eastAsia="宋体" w:hint="default"/>
          <w:sz w:val="21"/>
          <w:szCs w:val="21"/>
        </w:rPr>
        <w:t>1</w:t>
      </w:r>
      <w:r>
        <w:rPr>
          <w:rFonts w:ascii="宋体" w:hAnsi="宋体" w:cs="宋体" w:eastAsia="宋体" w:hint="default"/>
          <w:sz w:val="21"/>
          <w:szCs w:val="21"/>
        </w:rPr>
        <w:t>、项目列示</w:t>
      </w:r>
      <w:r>
        <w:rPr>
          <w:rFonts w:ascii="宋体" w:hAnsi="宋体" w:cs="宋体" w:eastAsia="宋体" w:hint="default"/>
          <w:sz w:val="21"/>
          <w:szCs w:val="21"/>
        </w:rPr>
        <w:t> </w:t>
      </w:r>
    </w:p>
    <w:p>
      <w:pPr>
        <w:spacing w:line="240" w:lineRule="auto" w:before="13"/>
        <w:rPr>
          <w:rFonts w:ascii="宋体" w:hAnsi="宋体" w:cs="宋体" w:eastAsia="宋体" w:hint="default"/>
          <w:sz w:val="4"/>
          <w:szCs w:val="4"/>
        </w:rPr>
      </w:pPr>
    </w:p>
    <w:tbl>
      <w:tblPr>
        <w:tblW w:w="0" w:type="auto"/>
        <w:jc w:val="left"/>
        <w:tblInd w:w="193" w:type="dxa"/>
        <w:tblLayout w:type="fixed"/>
        <w:tblCellMar>
          <w:top w:w="0" w:type="dxa"/>
          <w:left w:w="0" w:type="dxa"/>
          <w:bottom w:w="0" w:type="dxa"/>
          <w:right w:w="0" w:type="dxa"/>
        </w:tblCellMar>
        <w:tblLook w:val="01E0"/>
      </w:tblPr>
      <w:tblGrid>
        <w:gridCol w:w="3080"/>
        <w:gridCol w:w="2993"/>
        <w:gridCol w:w="3476"/>
      </w:tblGrid>
      <w:tr>
        <w:trPr>
          <w:trHeight w:val="396" w:hRule="exact"/>
        </w:trPr>
        <w:tc>
          <w:tcPr>
            <w:tcW w:w="3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62"/>
              <w:jc w:val="right"/>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87"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c>
          <w:tcPr>
            <w:tcW w:w="3476"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89" w:right="0"/>
              <w:jc w:val="center"/>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r>
      <w:tr>
        <w:trPr>
          <w:trHeight w:val="398" w:hRule="exact"/>
        </w:trPr>
        <w:tc>
          <w:tcPr>
            <w:tcW w:w="3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5" w:right="0"/>
              <w:jc w:val="left"/>
              <w:rPr>
                <w:rFonts w:ascii="宋体" w:hAnsi="宋体" w:cs="宋体" w:eastAsia="宋体" w:hint="default"/>
                <w:sz w:val="18"/>
                <w:szCs w:val="18"/>
              </w:rPr>
            </w:pPr>
            <w:r>
              <w:rPr>
                <w:rFonts w:ascii="宋体" w:hAnsi="宋体" w:cs="宋体" w:eastAsia="宋体" w:hint="default"/>
                <w:sz w:val="18"/>
                <w:szCs w:val="18"/>
              </w:rPr>
              <w:t>应收利息</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c>
          <w:tcPr>
            <w:tcW w:w="3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1"/>
                <w:sz w:val="18"/>
              </w:rPr>
              <w:t>425,168.29</w:t>
            </w:r>
            <w:r>
              <w:rPr>
                <w:rFonts w:ascii="宋体"/>
                <w:sz w:val="18"/>
              </w:rPr>
              <w:t> </w:t>
            </w:r>
          </w:p>
        </w:tc>
      </w:tr>
      <w:tr>
        <w:trPr>
          <w:trHeight w:val="396" w:hRule="exact"/>
        </w:trPr>
        <w:tc>
          <w:tcPr>
            <w:tcW w:w="3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5" w:right="0"/>
              <w:jc w:val="left"/>
              <w:rPr>
                <w:rFonts w:ascii="宋体" w:hAnsi="宋体" w:cs="宋体" w:eastAsia="宋体" w:hint="default"/>
                <w:sz w:val="18"/>
                <w:szCs w:val="18"/>
              </w:rPr>
            </w:pPr>
            <w:r>
              <w:rPr>
                <w:rFonts w:ascii="宋体" w:hAnsi="宋体" w:cs="宋体" w:eastAsia="宋体" w:hint="default"/>
                <w:sz w:val="18"/>
                <w:szCs w:val="18"/>
              </w:rPr>
              <w:t>应收股利</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z w:val="18"/>
              </w:rPr>
              <w:t>- </w:t>
            </w:r>
          </w:p>
        </w:tc>
        <w:tc>
          <w:tcPr>
            <w:tcW w:w="3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r>
      <w:tr>
        <w:trPr>
          <w:trHeight w:val="398" w:hRule="exact"/>
        </w:trPr>
        <w:tc>
          <w:tcPr>
            <w:tcW w:w="3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5" w:right="0"/>
              <w:jc w:val="left"/>
              <w:rPr>
                <w:rFonts w:ascii="宋体" w:hAnsi="宋体" w:cs="宋体" w:eastAsia="宋体" w:hint="default"/>
                <w:sz w:val="18"/>
                <w:szCs w:val="18"/>
              </w:rPr>
            </w:pPr>
            <w:r>
              <w:rPr>
                <w:rFonts w:ascii="宋体" w:hAnsi="宋体" w:cs="宋体" w:eastAsia="宋体" w:hint="default"/>
                <w:sz w:val="18"/>
                <w:szCs w:val="18"/>
              </w:rPr>
              <w:t>其他应收款</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2"/>
                <w:sz w:val="18"/>
              </w:rPr>
              <w:t> </w:t>
            </w:r>
            <w:r>
              <w:rPr>
                <w:rFonts w:ascii="宋体"/>
                <w:spacing w:val="-1"/>
                <w:sz w:val="18"/>
              </w:rPr>
              <w:t>76,580,279.14</w:t>
            </w:r>
            <w:r>
              <w:rPr>
                <w:rFonts w:ascii="宋体"/>
                <w:sz w:val="18"/>
              </w:rPr>
              <w:t> </w:t>
            </w:r>
          </w:p>
        </w:tc>
        <w:tc>
          <w:tcPr>
            <w:tcW w:w="3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3"/>
                <w:sz w:val="18"/>
              </w:rPr>
              <w:t> </w:t>
            </w:r>
            <w:r>
              <w:rPr>
                <w:rFonts w:ascii="宋体"/>
                <w:spacing w:val="-1"/>
                <w:sz w:val="18"/>
              </w:rPr>
              <w:t>70,526,013.41</w:t>
            </w:r>
            <w:r>
              <w:rPr>
                <w:rFonts w:ascii="宋体"/>
                <w:sz w:val="18"/>
              </w:rPr>
              <w:t> </w:t>
            </w:r>
          </w:p>
        </w:tc>
      </w:tr>
      <w:tr>
        <w:trPr>
          <w:trHeight w:val="396" w:hRule="exact"/>
        </w:trPr>
        <w:tc>
          <w:tcPr>
            <w:tcW w:w="3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5" w:right="0"/>
              <w:jc w:val="left"/>
              <w:rPr>
                <w:rFonts w:ascii="宋体" w:hAnsi="宋体" w:cs="宋体" w:eastAsia="宋体" w:hint="default"/>
                <w:sz w:val="18"/>
                <w:szCs w:val="18"/>
              </w:rPr>
            </w:pPr>
            <w:r>
              <w:rPr>
                <w:rFonts w:ascii="宋体" w:hAnsi="宋体" w:cs="宋体" w:eastAsia="宋体" w:hint="default"/>
                <w:sz w:val="18"/>
                <w:szCs w:val="18"/>
              </w:rPr>
              <w:t>减：坏账准备</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2"/>
                <w:sz w:val="18"/>
              </w:rPr>
              <w:t> </w:t>
            </w:r>
            <w:r>
              <w:rPr>
                <w:rFonts w:ascii="宋体"/>
                <w:spacing w:val="-1"/>
                <w:sz w:val="18"/>
              </w:rPr>
              <w:t>10,225,597.12</w:t>
            </w:r>
            <w:r>
              <w:rPr>
                <w:rFonts w:ascii="宋体"/>
                <w:sz w:val="18"/>
              </w:rPr>
              <w:t> </w:t>
            </w:r>
          </w:p>
        </w:tc>
        <w:tc>
          <w:tcPr>
            <w:tcW w:w="3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z w:val="18"/>
              </w:rPr>
              <w:t> </w:t>
            </w:r>
            <w:r>
              <w:rPr>
                <w:rFonts w:ascii="宋体"/>
                <w:spacing w:val="-1"/>
                <w:sz w:val="18"/>
              </w:rPr>
              <w:t>9,785,167.49</w:t>
            </w:r>
            <w:r>
              <w:rPr>
                <w:rFonts w:ascii="宋体"/>
                <w:sz w:val="18"/>
              </w:rPr>
              <w:t> </w:t>
            </w:r>
          </w:p>
        </w:tc>
      </w:tr>
      <w:tr>
        <w:trPr>
          <w:trHeight w:val="398" w:hRule="exact"/>
        </w:trPr>
        <w:tc>
          <w:tcPr>
            <w:tcW w:w="3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62"/>
              <w:jc w:val="righ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2"/>
                <w:sz w:val="18"/>
              </w:rPr>
              <w:t> </w:t>
            </w:r>
            <w:r>
              <w:rPr>
                <w:rFonts w:ascii="宋体"/>
                <w:spacing w:val="-1"/>
                <w:sz w:val="18"/>
              </w:rPr>
              <w:t>66,354,682.02</w:t>
            </w:r>
            <w:r>
              <w:rPr>
                <w:rFonts w:ascii="宋体"/>
                <w:sz w:val="18"/>
              </w:rPr>
              <w:t> </w:t>
            </w:r>
          </w:p>
        </w:tc>
        <w:tc>
          <w:tcPr>
            <w:tcW w:w="3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3"/>
                <w:sz w:val="18"/>
              </w:rPr>
              <w:t> </w:t>
            </w:r>
            <w:r>
              <w:rPr>
                <w:rFonts w:ascii="宋体"/>
                <w:spacing w:val="-1"/>
                <w:sz w:val="18"/>
              </w:rPr>
              <w:t>61,166,014.21</w:t>
            </w:r>
            <w:r>
              <w:rPr>
                <w:rFonts w:ascii="宋体"/>
                <w:sz w:val="18"/>
              </w:rPr>
              <w:t> </w:t>
            </w:r>
          </w:p>
        </w:tc>
      </w:tr>
    </w:tbl>
    <w:p>
      <w:pPr>
        <w:pStyle w:val="BodyText"/>
        <w:spacing w:line="240" w:lineRule="auto" w:before="86"/>
        <w:ind w:left="573" w:right="1133"/>
        <w:jc w:val="left"/>
        <w:rPr>
          <w:rFonts w:ascii="宋体" w:hAnsi="宋体" w:cs="宋体" w:eastAsia="宋体" w:hint="default"/>
        </w:rPr>
      </w:pPr>
      <w:r>
        <w:rPr>
          <w:rFonts w:ascii="宋体" w:hAnsi="宋体" w:cs="宋体" w:eastAsia="宋体" w:hint="default"/>
        </w:rPr>
        <w:t>2</w:t>
      </w:r>
      <w:r>
        <w:rPr/>
        <w:t>、应收利息</w:t>
      </w:r>
      <w:r>
        <w:rPr>
          <w:rFonts w:ascii="宋体" w:hAnsi="宋体" w:cs="宋体" w:eastAsia="宋体" w:hint="default"/>
        </w:rPr>
        <w:t> </w:t>
      </w:r>
    </w:p>
    <w:p>
      <w:pPr>
        <w:pStyle w:val="BodyText"/>
        <w:spacing w:line="240" w:lineRule="auto" w:before="116"/>
        <w:ind w:left="573" w:right="1133"/>
        <w:jc w:val="left"/>
        <w:rPr>
          <w:rFonts w:ascii="宋体" w:hAnsi="宋体" w:cs="宋体" w:eastAsia="宋体" w:hint="default"/>
        </w:rPr>
      </w:pPr>
      <w:r>
        <w:rPr/>
        <w:t>（</w:t>
      </w:r>
      <w:r>
        <w:rPr>
          <w:rFonts w:ascii="宋体" w:hAnsi="宋体" w:cs="宋体" w:eastAsia="宋体" w:hint="default"/>
        </w:rPr>
        <w:t>1</w:t>
      </w:r>
      <w:r>
        <w:rPr/>
        <w:t>）应收利息分类</w:t>
      </w:r>
      <w:r>
        <w:rPr>
          <w:rFonts w:ascii="宋体" w:hAnsi="宋体" w:cs="宋体" w:eastAsia="宋体" w:hint="default"/>
        </w:rPr>
        <w:t> </w:t>
      </w:r>
    </w:p>
    <w:p>
      <w:pPr>
        <w:spacing w:line="240" w:lineRule="auto" w:before="7"/>
        <w:rPr>
          <w:rFonts w:ascii="宋体" w:hAnsi="宋体" w:cs="宋体" w:eastAsia="宋体" w:hint="default"/>
          <w:sz w:val="11"/>
          <w:szCs w:val="11"/>
        </w:rPr>
      </w:pPr>
    </w:p>
    <w:tbl>
      <w:tblPr>
        <w:tblW w:w="0" w:type="auto"/>
        <w:jc w:val="left"/>
        <w:tblInd w:w="203" w:type="dxa"/>
        <w:tblLayout w:type="fixed"/>
        <w:tblCellMar>
          <w:top w:w="0" w:type="dxa"/>
          <w:left w:w="0" w:type="dxa"/>
          <w:bottom w:w="0" w:type="dxa"/>
          <w:right w:w="0" w:type="dxa"/>
        </w:tblCellMar>
        <w:tblLook w:val="01E0"/>
      </w:tblPr>
      <w:tblGrid>
        <w:gridCol w:w="3354"/>
        <w:gridCol w:w="2993"/>
        <w:gridCol w:w="3183"/>
      </w:tblGrid>
      <w:tr>
        <w:trPr>
          <w:trHeight w:val="398" w:hRule="exact"/>
        </w:trPr>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01"/>
              <w:jc w:val="right"/>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87"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89" w:right="0"/>
              <w:jc w:val="center"/>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r>
      <w:tr>
        <w:trPr>
          <w:trHeight w:val="396" w:hRule="exact"/>
        </w:trPr>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103" w:right="0"/>
              <w:jc w:val="left"/>
              <w:rPr>
                <w:rFonts w:ascii="宋体" w:hAnsi="宋体" w:cs="宋体" w:eastAsia="宋体" w:hint="default"/>
                <w:sz w:val="18"/>
                <w:szCs w:val="18"/>
              </w:rPr>
            </w:pPr>
            <w:r>
              <w:rPr>
                <w:rFonts w:ascii="宋体" w:hAnsi="宋体" w:cs="宋体" w:eastAsia="宋体" w:hint="default"/>
                <w:sz w:val="18"/>
                <w:szCs w:val="18"/>
              </w:rPr>
              <w:t>理财存款利息</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1"/>
              <w:jc w:val="right"/>
              <w:rPr>
                <w:rFonts w:ascii="宋体" w:hAnsi="宋体" w:cs="宋体" w:eastAsia="宋体" w:hint="default"/>
                <w:sz w:val="18"/>
                <w:szCs w:val="18"/>
              </w:rPr>
            </w:pPr>
            <w:r>
              <w:rPr>
                <w:rFonts w:ascii="宋体"/>
                <w:sz w:val="18"/>
              </w:rPr>
              <w:t>- </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1"/>
              <w:jc w:val="right"/>
              <w:rPr>
                <w:rFonts w:ascii="宋体" w:hAnsi="宋体" w:cs="宋体" w:eastAsia="宋体" w:hint="default"/>
                <w:sz w:val="18"/>
                <w:szCs w:val="18"/>
              </w:rPr>
            </w:pPr>
            <w:r>
              <w:rPr>
                <w:rFonts w:ascii="宋体"/>
                <w:spacing w:val="-1"/>
                <w:sz w:val="18"/>
              </w:rPr>
              <w:t>425,168.29</w:t>
            </w:r>
            <w:r>
              <w:rPr>
                <w:rFonts w:ascii="宋体"/>
                <w:sz w:val="18"/>
              </w:rPr>
              <w:t> </w:t>
            </w:r>
          </w:p>
        </w:tc>
      </w:tr>
      <w:tr>
        <w:trPr>
          <w:trHeight w:val="398" w:hRule="exact"/>
        </w:trPr>
        <w:tc>
          <w:tcPr>
            <w:tcW w:w="33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401"/>
              <w:jc w:val="righ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c>
          <w:tcPr>
            <w:tcW w:w="3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425,168.29</w:t>
            </w:r>
            <w:r>
              <w:rPr>
                <w:rFonts w:ascii="宋体"/>
                <w:sz w:val="18"/>
              </w:rPr>
              <w:t> </w:t>
            </w:r>
          </w:p>
        </w:tc>
      </w:tr>
    </w:tbl>
    <w:p>
      <w:pPr>
        <w:pStyle w:val="BodyText"/>
        <w:spacing w:line="340" w:lineRule="auto" w:before="86"/>
        <w:ind w:left="573" w:right="8232"/>
        <w:jc w:val="left"/>
        <w:rPr>
          <w:rFonts w:ascii="宋体" w:hAnsi="宋体" w:cs="宋体" w:eastAsia="宋体" w:hint="default"/>
        </w:rPr>
      </w:pPr>
      <w:r>
        <w:rPr/>
        <w:t>（</w:t>
      </w:r>
      <w:r>
        <w:rPr>
          <w:rFonts w:ascii="宋体" w:hAnsi="宋体" w:cs="宋体" w:eastAsia="宋体" w:hint="default"/>
        </w:rPr>
        <w:t>2</w:t>
      </w:r>
      <w:r>
        <w:rPr/>
        <w:t>）重要逾期利息</w:t>
      </w:r>
      <w:r>
        <w:rPr>
          <w:rFonts w:ascii="宋体" w:hAnsi="宋体" w:cs="宋体" w:eastAsia="宋体" w:hint="default"/>
          <w:spacing w:val="-3"/>
          <w:w w:val="100"/>
        </w:rPr>
        <w:t> </w:t>
      </w:r>
      <w:r>
        <w:rPr>
          <w:rFonts w:ascii="宋体" w:hAnsi="宋体" w:cs="宋体" w:eastAsia="宋体" w:hint="default"/>
          <w:w w:val="100"/>
        </w:rPr>
        <w:t> </w:t>
      </w:r>
      <w:r>
        <w:rPr/>
        <w:t>无。</w:t>
      </w:r>
      <w:r>
        <w:rPr>
          <w:rFonts w:ascii="宋体" w:hAnsi="宋体" w:cs="宋体" w:eastAsia="宋体" w:hint="default"/>
        </w:rPr>
        <w:t> </w:t>
      </w:r>
    </w:p>
    <w:p>
      <w:pPr>
        <w:pStyle w:val="BodyText"/>
        <w:spacing w:line="340" w:lineRule="auto" w:before="30"/>
        <w:ind w:left="573" w:right="7748"/>
        <w:jc w:val="left"/>
        <w:rPr>
          <w:rFonts w:ascii="宋体" w:hAnsi="宋体" w:cs="宋体" w:eastAsia="宋体" w:hint="default"/>
        </w:rPr>
      </w:pPr>
      <w:r>
        <w:rPr/>
        <w:t>（</w:t>
      </w:r>
      <w:r>
        <w:rPr>
          <w:rFonts w:ascii="宋体" w:hAnsi="宋体" w:cs="宋体" w:eastAsia="宋体" w:hint="default"/>
        </w:rPr>
        <w:t>3</w:t>
      </w:r>
      <w:r>
        <w:rPr/>
        <w:t>）坏账准备计提情况</w:t>
      </w:r>
      <w:r>
        <w:rPr>
          <w:rFonts w:ascii="宋体" w:hAnsi="宋体" w:cs="宋体" w:eastAsia="宋体" w:hint="default"/>
          <w:w w:val="100"/>
        </w:rPr>
        <w:t> </w:t>
      </w:r>
      <w:r>
        <w:rPr/>
        <w:t>无。</w:t>
      </w:r>
      <w:r>
        <w:rPr>
          <w:rFonts w:ascii="宋体" w:hAnsi="宋体" w:cs="宋体" w:eastAsia="宋体" w:hint="default"/>
        </w:rPr>
        <w:t> </w:t>
      </w:r>
    </w:p>
    <w:p>
      <w:pPr>
        <w:pStyle w:val="BodyText"/>
        <w:spacing w:line="343" w:lineRule="auto" w:before="30"/>
        <w:ind w:left="573" w:right="8798"/>
        <w:jc w:val="left"/>
        <w:rPr>
          <w:rFonts w:ascii="宋体" w:hAnsi="宋体" w:cs="宋体" w:eastAsia="宋体" w:hint="default"/>
        </w:rPr>
      </w:pPr>
      <w:r>
        <w:rPr>
          <w:rFonts w:ascii="宋体" w:hAnsi="宋体" w:cs="宋体" w:eastAsia="宋体" w:hint="default"/>
        </w:rPr>
        <w:t>3</w:t>
      </w:r>
      <w:r>
        <w:rPr/>
        <w:t>、应收股利</w:t>
      </w:r>
      <w:r>
        <w:rPr>
          <w:rFonts w:ascii="宋体" w:hAnsi="宋体" w:cs="宋体" w:eastAsia="宋体" w:hint="default"/>
          <w:w w:val="100"/>
        </w:rPr>
        <w:t> </w:t>
      </w:r>
      <w:r>
        <w:rPr/>
        <w:t>无。</w:t>
      </w:r>
      <w:r>
        <w:rPr>
          <w:rFonts w:ascii="宋体" w:hAnsi="宋体" w:cs="宋体" w:eastAsia="宋体" w:hint="default"/>
          <w:w w:val="100"/>
        </w:rPr>
        <w:t> </w:t>
      </w:r>
      <w:r>
        <w:rPr>
          <w:rFonts w:ascii="宋体" w:hAnsi="宋体" w:cs="宋体" w:eastAsia="宋体" w:hint="default"/>
        </w:rPr>
        <w:t>4</w:t>
      </w:r>
      <w:r>
        <w:rPr/>
        <w:t>、其他应收款</w:t>
      </w:r>
      <w:r>
        <w:rPr>
          <w:rFonts w:ascii="宋体" w:hAnsi="宋体" w:cs="宋体" w:eastAsia="宋体" w:hint="default"/>
        </w:rPr>
        <w:t> </w:t>
      </w:r>
    </w:p>
    <w:p>
      <w:pPr>
        <w:pStyle w:val="BodyText"/>
        <w:spacing w:line="240" w:lineRule="auto" w:before="26"/>
        <w:ind w:left="573" w:right="1133"/>
        <w:jc w:val="left"/>
        <w:rPr>
          <w:rFonts w:ascii="宋体" w:hAnsi="宋体" w:cs="宋体" w:eastAsia="宋体" w:hint="default"/>
        </w:rPr>
      </w:pPr>
      <w:r>
        <w:rPr/>
        <w:t>（</w:t>
      </w:r>
      <w:r>
        <w:rPr>
          <w:rFonts w:ascii="宋体" w:hAnsi="宋体" w:cs="宋体" w:eastAsia="宋体" w:hint="default"/>
        </w:rPr>
        <w:t>1</w:t>
      </w:r>
      <w:r>
        <w:rPr/>
        <w:t>）按账龄披露</w:t>
      </w:r>
      <w:r>
        <w:rPr>
          <w:rFonts w:ascii="宋体" w:hAnsi="宋体" w:cs="宋体" w:eastAsia="宋体" w:hint="default"/>
        </w:rPr>
        <w:t> </w:t>
      </w:r>
    </w:p>
    <w:p>
      <w:pPr>
        <w:spacing w:line="240" w:lineRule="auto" w:before="9"/>
        <w:rPr>
          <w:rFonts w:ascii="宋体" w:hAnsi="宋体" w:cs="宋体" w:eastAsia="宋体" w:hint="default"/>
          <w:sz w:val="11"/>
          <w:szCs w:val="11"/>
        </w:rPr>
      </w:pPr>
    </w:p>
    <w:tbl>
      <w:tblPr>
        <w:tblW w:w="0" w:type="auto"/>
        <w:jc w:val="left"/>
        <w:tblInd w:w="186" w:type="dxa"/>
        <w:tblLayout w:type="fixed"/>
        <w:tblCellMar>
          <w:top w:w="0" w:type="dxa"/>
          <w:left w:w="0" w:type="dxa"/>
          <w:bottom w:w="0" w:type="dxa"/>
          <w:right w:w="0" w:type="dxa"/>
        </w:tblCellMar>
        <w:tblLook w:val="01E0"/>
      </w:tblPr>
      <w:tblGrid>
        <w:gridCol w:w="2910"/>
        <w:gridCol w:w="6680"/>
      </w:tblGrid>
      <w:tr>
        <w:trPr>
          <w:trHeight w:val="396" w:hRule="exact"/>
        </w:trPr>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9" w:right="0"/>
              <w:jc w:val="center"/>
              <w:rPr>
                <w:rFonts w:ascii="宋体" w:hAnsi="宋体" w:cs="宋体" w:eastAsia="宋体" w:hint="default"/>
                <w:sz w:val="18"/>
                <w:szCs w:val="18"/>
              </w:rPr>
            </w:pPr>
            <w:r>
              <w:rPr>
                <w:rFonts w:ascii="宋体" w:hAnsi="宋体" w:cs="宋体" w:eastAsia="宋体" w:hint="default"/>
                <w:sz w:val="18"/>
                <w:szCs w:val="18"/>
              </w:rPr>
              <w:t>账龄</w:t>
            </w:r>
            <w:r>
              <w:rPr>
                <w:rFonts w:ascii="宋体" w:hAnsi="宋体" w:cs="宋体" w:eastAsia="宋体" w:hint="default"/>
                <w:sz w:val="18"/>
                <w:szCs w:val="18"/>
              </w:rPr>
              <w:t> </w:t>
            </w:r>
          </w:p>
        </w:tc>
        <w:tc>
          <w:tcPr>
            <w:tcW w:w="668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87"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r>
      <w:tr>
        <w:trPr>
          <w:trHeight w:val="398" w:hRule="exact"/>
        </w:trPr>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5"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r>
              <w:rPr>
                <w:rFonts w:ascii="宋体" w:hAnsi="宋体" w:cs="宋体" w:eastAsia="宋体" w:hint="default"/>
                <w:sz w:val="18"/>
                <w:szCs w:val="18"/>
              </w:rPr>
              <w:t> </w:t>
            </w:r>
          </w:p>
        </w:tc>
        <w:tc>
          <w:tcPr>
            <w:tcW w:w="6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3"/>
                <w:sz w:val="18"/>
              </w:rPr>
              <w:t> </w:t>
            </w:r>
            <w:r>
              <w:rPr>
                <w:rFonts w:ascii="宋体"/>
                <w:spacing w:val="-1"/>
                <w:sz w:val="18"/>
              </w:rPr>
              <w:t>56,215,878.54</w:t>
            </w:r>
            <w:r>
              <w:rPr>
                <w:rFonts w:ascii="宋体"/>
                <w:sz w:val="18"/>
              </w:rPr>
              <w:t> </w:t>
            </w:r>
          </w:p>
        </w:tc>
      </w:tr>
      <w:tr>
        <w:trPr>
          <w:trHeight w:val="396" w:hRule="exact"/>
        </w:trPr>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5"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3"/>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宋体" w:hAnsi="宋体" w:cs="宋体" w:eastAsia="宋体" w:hint="default"/>
                <w:sz w:val="18"/>
                <w:szCs w:val="18"/>
              </w:rPr>
              <w:t>2</w:t>
            </w:r>
            <w:r>
              <w:rPr>
                <w:rFonts w:ascii="宋体" w:hAnsi="宋体" w:cs="宋体" w:eastAsia="宋体" w:hint="default"/>
                <w:spacing w:val="-44"/>
                <w:sz w:val="18"/>
                <w:szCs w:val="18"/>
              </w:rPr>
              <w:t> </w:t>
            </w:r>
            <w:r>
              <w:rPr>
                <w:rFonts w:ascii="宋体" w:hAnsi="宋体" w:cs="宋体" w:eastAsia="宋体" w:hint="default"/>
                <w:spacing w:val="-3"/>
                <w:sz w:val="18"/>
                <w:szCs w:val="18"/>
              </w:rPr>
              <w:t>年</w:t>
            </w:r>
            <w:r>
              <w:rPr>
                <w:rFonts w:ascii="宋体" w:hAnsi="宋体" w:cs="宋体" w:eastAsia="宋体" w:hint="default"/>
                <w:sz w:val="18"/>
                <w:szCs w:val="18"/>
              </w:rPr>
              <w:t> </w:t>
            </w:r>
          </w:p>
        </w:tc>
        <w:tc>
          <w:tcPr>
            <w:tcW w:w="6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z w:val="18"/>
              </w:rPr>
              <w:t> </w:t>
            </w:r>
            <w:r>
              <w:rPr>
                <w:rFonts w:ascii="宋体"/>
                <w:spacing w:val="-1"/>
                <w:sz w:val="18"/>
              </w:rPr>
              <w:t>8,464,739.89</w:t>
            </w:r>
            <w:r>
              <w:rPr>
                <w:rFonts w:ascii="宋体"/>
                <w:sz w:val="18"/>
              </w:rPr>
              <w:t> </w:t>
            </w:r>
          </w:p>
        </w:tc>
      </w:tr>
      <w:tr>
        <w:trPr>
          <w:trHeight w:val="398" w:hRule="exact"/>
        </w:trPr>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5"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pacing w:val="-43"/>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宋体" w:hAnsi="宋体" w:cs="宋体" w:eastAsia="宋体" w:hint="default"/>
                <w:sz w:val="18"/>
                <w:szCs w:val="18"/>
              </w:rPr>
              <w:t>3</w:t>
            </w:r>
            <w:r>
              <w:rPr>
                <w:rFonts w:ascii="宋体" w:hAnsi="宋体" w:cs="宋体" w:eastAsia="宋体" w:hint="default"/>
                <w:spacing w:val="-44"/>
                <w:sz w:val="18"/>
                <w:szCs w:val="18"/>
              </w:rPr>
              <w:t> </w:t>
            </w:r>
            <w:r>
              <w:rPr>
                <w:rFonts w:ascii="宋体" w:hAnsi="宋体" w:cs="宋体" w:eastAsia="宋体" w:hint="default"/>
                <w:spacing w:val="-3"/>
                <w:sz w:val="18"/>
                <w:szCs w:val="18"/>
              </w:rPr>
              <w:t>年</w:t>
            </w:r>
            <w:r>
              <w:rPr>
                <w:rFonts w:ascii="宋体" w:hAnsi="宋体" w:cs="宋体" w:eastAsia="宋体" w:hint="default"/>
                <w:sz w:val="18"/>
                <w:szCs w:val="18"/>
              </w:rPr>
              <w:t> </w:t>
            </w:r>
          </w:p>
        </w:tc>
        <w:tc>
          <w:tcPr>
            <w:tcW w:w="6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z w:val="18"/>
              </w:rPr>
              <w:t> </w:t>
            </w:r>
            <w:r>
              <w:rPr>
                <w:rFonts w:ascii="宋体"/>
                <w:spacing w:val="-1"/>
                <w:sz w:val="18"/>
              </w:rPr>
              <w:t>5,911,076.91</w:t>
            </w:r>
            <w:r>
              <w:rPr>
                <w:rFonts w:ascii="宋体"/>
                <w:sz w:val="18"/>
              </w:rPr>
              <w:t> </w:t>
            </w:r>
          </w:p>
        </w:tc>
      </w:tr>
    </w:tbl>
    <w:p>
      <w:pPr>
        <w:spacing w:after="0" w:line="240" w:lineRule="auto"/>
        <w:jc w:val="right"/>
        <w:rPr>
          <w:rFonts w:ascii="宋体" w:hAnsi="宋体" w:cs="宋体" w:eastAsia="宋体" w:hint="default"/>
          <w:sz w:val="18"/>
          <w:szCs w:val="18"/>
        </w:rPr>
        <w:sectPr>
          <w:pgSz w:w="11910" w:h="16840"/>
          <w:pgMar w:header="921" w:footer="725" w:top="1160" w:bottom="920" w:left="980" w:right="0"/>
        </w:sectPr>
      </w:pPr>
    </w:p>
    <w:p>
      <w:pPr>
        <w:spacing w:line="240" w:lineRule="auto" w:before="4"/>
        <w:rPr>
          <w:rFonts w:ascii="宋体" w:hAnsi="宋体" w:cs="宋体" w:eastAsia="宋体" w:hint="default"/>
          <w:sz w:val="21"/>
          <w:szCs w:val="21"/>
        </w:rPr>
      </w:pPr>
    </w:p>
    <w:tbl>
      <w:tblPr>
        <w:tblW w:w="0" w:type="auto"/>
        <w:jc w:val="left"/>
        <w:tblInd w:w="186" w:type="dxa"/>
        <w:tblLayout w:type="fixed"/>
        <w:tblCellMar>
          <w:top w:w="0" w:type="dxa"/>
          <w:left w:w="0" w:type="dxa"/>
          <w:bottom w:w="0" w:type="dxa"/>
          <w:right w:w="0" w:type="dxa"/>
        </w:tblCellMar>
        <w:tblLook w:val="01E0"/>
      </w:tblPr>
      <w:tblGrid>
        <w:gridCol w:w="2910"/>
        <w:gridCol w:w="6680"/>
      </w:tblGrid>
      <w:tr>
        <w:trPr>
          <w:trHeight w:val="396" w:hRule="exact"/>
        </w:trPr>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78"/>
              <w:jc w:val="right"/>
              <w:rPr>
                <w:rFonts w:ascii="宋体" w:hAnsi="宋体" w:cs="宋体" w:eastAsia="宋体" w:hint="default"/>
                <w:sz w:val="18"/>
                <w:szCs w:val="18"/>
              </w:rPr>
            </w:pPr>
            <w:r>
              <w:rPr>
                <w:rFonts w:ascii="宋体" w:hAnsi="宋体" w:cs="宋体" w:eastAsia="宋体" w:hint="default"/>
                <w:sz w:val="18"/>
                <w:szCs w:val="18"/>
              </w:rPr>
              <w:t>账龄</w:t>
            </w:r>
            <w:r>
              <w:rPr>
                <w:rFonts w:ascii="宋体" w:hAnsi="宋体" w:cs="宋体" w:eastAsia="宋体" w:hint="default"/>
                <w:sz w:val="18"/>
                <w:szCs w:val="18"/>
              </w:rPr>
              <w:t> </w:t>
            </w:r>
          </w:p>
        </w:tc>
        <w:tc>
          <w:tcPr>
            <w:tcW w:w="6680"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87"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r>
      <w:tr>
        <w:trPr>
          <w:trHeight w:val="399" w:hRule="exact"/>
        </w:trPr>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pacing w:val="-43"/>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宋体" w:hAnsi="宋体" w:cs="宋体" w:eastAsia="宋体" w:hint="default"/>
                <w:sz w:val="18"/>
                <w:szCs w:val="18"/>
              </w:rPr>
              <w:t>4</w:t>
            </w:r>
            <w:r>
              <w:rPr>
                <w:rFonts w:ascii="宋体" w:hAnsi="宋体" w:cs="宋体" w:eastAsia="宋体" w:hint="default"/>
                <w:spacing w:val="-44"/>
                <w:sz w:val="18"/>
                <w:szCs w:val="18"/>
              </w:rPr>
              <w:t> </w:t>
            </w:r>
            <w:r>
              <w:rPr>
                <w:rFonts w:ascii="宋体" w:hAnsi="宋体" w:cs="宋体" w:eastAsia="宋体" w:hint="default"/>
                <w:spacing w:val="-3"/>
                <w:sz w:val="18"/>
                <w:szCs w:val="18"/>
              </w:rPr>
              <w:t>年</w:t>
            </w:r>
            <w:r>
              <w:rPr>
                <w:rFonts w:ascii="宋体" w:hAnsi="宋体" w:cs="宋体" w:eastAsia="宋体" w:hint="default"/>
                <w:sz w:val="18"/>
                <w:szCs w:val="18"/>
              </w:rPr>
              <w:t> </w:t>
            </w:r>
          </w:p>
        </w:tc>
        <w:tc>
          <w:tcPr>
            <w:tcW w:w="6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z w:val="18"/>
              </w:rPr>
              <w:t> </w:t>
            </w:r>
            <w:r>
              <w:rPr>
                <w:rFonts w:ascii="宋体"/>
                <w:spacing w:val="-1"/>
                <w:sz w:val="18"/>
              </w:rPr>
              <w:t>3,167,107.64</w:t>
            </w:r>
            <w:r>
              <w:rPr>
                <w:rFonts w:ascii="宋体"/>
                <w:sz w:val="18"/>
              </w:rPr>
              <w:t> </w:t>
            </w:r>
          </w:p>
        </w:tc>
      </w:tr>
      <w:tr>
        <w:trPr>
          <w:trHeight w:val="396" w:hRule="exact"/>
        </w:trPr>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5" w:right="0"/>
              <w:jc w:val="left"/>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pacing w:val="-43"/>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宋体" w:hAnsi="宋体" w:cs="宋体" w:eastAsia="宋体" w:hint="default"/>
                <w:sz w:val="18"/>
                <w:szCs w:val="18"/>
              </w:rPr>
              <w:t>5</w:t>
            </w:r>
            <w:r>
              <w:rPr>
                <w:rFonts w:ascii="宋体" w:hAnsi="宋体" w:cs="宋体" w:eastAsia="宋体" w:hint="default"/>
                <w:spacing w:val="-44"/>
                <w:sz w:val="18"/>
                <w:szCs w:val="18"/>
              </w:rPr>
              <w:t> </w:t>
            </w:r>
            <w:r>
              <w:rPr>
                <w:rFonts w:ascii="宋体" w:hAnsi="宋体" w:cs="宋体" w:eastAsia="宋体" w:hint="default"/>
                <w:spacing w:val="-3"/>
                <w:sz w:val="18"/>
                <w:szCs w:val="18"/>
              </w:rPr>
              <w:t>年</w:t>
            </w:r>
            <w:r>
              <w:rPr>
                <w:rFonts w:ascii="宋体" w:hAnsi="宋体" w:cs="宋体" w:eastAsia="宋体" w:hint="default"/>
                <w:sz w:val="18"/>
                <w:szCs w:val="18"/>
              </w:rPr>
              <w:t> </w:t>
            </w:r>
          </w:p>
        </w:tc>
        <w:tc>
          <w:tcPr>
            <w:tcW w:w="6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z w:val="18"/>
              </w:rPr>
              <w:t> </w:t>
            </w:r>
            <w:r>
              <w:rPr>
                <w:rFonts w:ascii="宋体"/>
                <w:spacing w:val="-1"/>
                <w:sz w:val="18"/>
              </w:rPr>
              <w:t>1,772,963.99</w:t>
            </w:r>
            <w:r>
              <w:rPr>
                <w:rFonts w:ascii="宋体"/>
                <w:sz w:val="18"/>
              </w:rPr>
              <w:t> </w:t>
            </w:r>
          </w:p>
        </w:tc>
      </w:tr>
      <w:tr>
        <w:trPr>
          <w:trHeight w:val="398" w:hRule="exact"/>
        </w:trPr>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5" w:right="0"/>
              <w:jc w:val="left"/>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pacing w:val="-46"/>
                <w:sz w:val="18"/>
                <w:szCs w:val="18"/>
              </w:rPr>
              <w:t> </w:t>
            </w:r>
            <w:r>
              <w:rPr>
                <w:rFonts w:ascii="宋体" w:hAnsi="宋体" w:cs="宋体" w:eastAsia="宋体" w:hint="default"/>
                <w:sz w:val="18"/>
                <w:szCs w:val="18"/>
              </w:rPr>
              <w:t>年以上</w:t>
            </w:r>
            <w:r>
              <w:rPr>
                <w:rFonts w:ascii="宋体" w:hAnsi="宋体" w:cs="宋体" w:eastAsia="宋体" w:hint="default"/>
                <w:sz w:val="18"/>
                <w:szCs w:val="18"/>
              </w:rPr>
              <w:t> </w:t>
            </w:r>
          </w:p>
        </w:tc>
        <w:tc>
          <w:tcPr>
            <w:tcW w:w="6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z w:val="18"/>
              </w:rPr>
              <w:t> </w:t>
            </w:r>
            <w:r>
              <w:rPr>
                <w:rFonts w:ascii="宋体"/>
                <w:spacing w:val="-1"/>
                <w:sz w:val="18"/>
              </w:rPr>
              <w:t>1,048,512.17</w:t>
            </w:r>
            <w:r>
              <w:rPr>
                <w:rFonts w:ascii="宋体"/>
                <w:sz w:val="18"/>
              </w:rPr>
              <w:t> </w:t>
            </w:r>
          </w:p>
        </w:tc>
      </w:tr>
      <w:tr>
        <w:trPr>
          <w:trHeight w:val="396" w:hRule="exact"/>
        </w:trPr>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5" w:right="0"/>
              <w:jc w:val="left"/>
              <w:rPr>
                <w:rFonts w:ascii="宋体" w:hAnsi="宋体" w:cs="宋体" w:eastAsia="宋体" w:hint="default"/>
                <w:sz w:val="18"/>
                <w:szCs w:val="18"/>
              </w:rPr>
            </w:pPr>
            <w:r>
              <w:rPr>
                <w:rFonts w:ascii="宋体" w:hAnsi="宋体" w:cs="宋体" w:eastAsia="宋体" w:hint="default"/>
                <w:sz w:val="18"/>
                <w:szCs w:val="18"/>
              </w:rPr>
              <w:t>减：坏账准备</w:t>
            </w:r>
            <w:r>
              <w:rPr>
                <w:rFonts w:ascii="宋体" w:hAnsi="宋体" w:cs="宋体" w:eastAsia="宋体" w:hint="default"/>
                <w:sz w:val="18"/>
                <w:szCs w:val="18"/>
              </w:rPr>
              <w:t> </w:t>
            </w:r>
          </w:p>
        </w:tc>
        <w:tc>
          <w:tcPr>
            <w:tcW w:w="6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3"/>
                <w:sz w:val="18"/>
              </w:rPr>
              <w:t> </w:t>
            </w:r>
            <w:r>
              <w:rPr>
                <w:rFonts w:ascii="宋体"/>
                <w:spacing w:val="-1"/>
                <w:sz w:val="18"/>
              </w:rPr>
              <w:t>10,225,597.12</w:t>
            </w:r>
            <w:r>
              <w:rPr>
                <w:rFonts w:ascii="宋体"/>
                <w:sz w:val="18"/>
              </w:rPr>
              <w:t> </w:t>
            </w:r>
          </w:p>
        </w:tc>
      </w:tr>
      <w:tr>
        <w:trPr>
          <w:trHeight w:val="398" w:hRule="exact"/>
        </w:trPr>
        <w:tc>
          <w:tcPr>
            <w:tcW w:w="2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78"/>
              <w:jc w:val="righ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66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3"/>
                <w:sz w:val="18"/>
              </w:rPr>
              <w:t> </w:t>
            </w:r>
            <w:r>
              <w:rPr>
                <w:rFonts w:ascii="宋体"/>
                <w:spacing w:val="-1"/>
                <w:sz w:val="18"/>
              </w:rPr>
              <w:t>66,354,682.02</w:t>
            </w:r>
            <w:r>
              <w:rPr>
                <w:rFonts w:ascii="宋体"/>
                <w:sz w:val="18"/>
              </w:rPr>
              <w:t> </w:t>
            </w:r>
          </w:p>
        </w:tc>
      </w:tr>
    </w:tbl>
    <w:p>
      <w:pPr>
        <w:pStyle w:val="BodyText"/>
        <w:spacing w:line="240" w:lineRule="auto" w:before="86"/>
        <w:ind w:left="364" w:right="1133"/>
        <w:jc w:val="left"/>
        <w:rPr>
          <w:rFonts w:ascii="宋体" w:hAnsi="宋体" w:cs="宋体" w:eastAsia="宋体" w:hint="default"/>
        </w:rPr>
      </w:pPr>
      <w:r>
        <w:rPr/>
        <w:t>（</w:t>
      </w:r>
      <w:r>
        <w:rPr>
          <w:rFonts w:ascii="宋体" w:hAnsi="宋体" w:cs="宋体" w:eastAsia="宋体" w:hint="default"/>
        </w:rPr>
        <w:t>2</w:t>
      </w:r>
      <w:r>
        <w:rPr/>
        <w:t>）按款项性质分类情况</w:t>
      </w:r>
      <w:r>
        <w:rPr>
          <w:rFonts w:ascii="宋体" w:hAnsi="宋体" w:cs="宋体" w:eastAsia="宋体" w:hint="default"/>
        </w:rPr>
        <w:t> </w:t>
      </w:r>
    </w:p>
    <w:p>
      <w:pPr>
        <w:spacing w:line="240" w:lineRule="auto" w:before="7"/>
        <w:rPr>
          <w:rFonts w:ascii="宋体" w:hAnsi="宋体" w:cs="宋体" w:eastAsia="宋体" w:hint="default"/>
          <w:sz w:val="11"/>
          <w:szCs w:val="11"/>
        </w:rPr>
      </w:pPr>
    </w:p>
    <w:tbl>
      <w:tblPr>
        <w:tblW w:w="0" w:type="auto"/>
        <w:jc w:val="left"/>
        <w:tblInd w:w="174" w:type="dxa"/>
        <w:tblLayout w:type="fixed"/>
        <w:tblCellMar>
          <w:top w:w="0" w:type="dxa"/>
          <w:left w:w="0" w:type="dxa"/>
          <w:bottom w:w="0" w:type="dxa"/>
          <w:right w:w="0" w:type="dxa"/>
        </w:tblCellMar>
        <w:tblLook w:val="01E0"/>
      </w:tblPr>
      <w:tblGrid>
        <w:gridCol w:w="2864"/>
        <w:gridCol w:w="2993"/>
        <w:gridCol w:w="3771"/>
      </w:tblGrid>
      <w:tr>
        <w:trPr>
          <w:trHeight w:val="398" w:hRule="exact"/>
        </w:trPr>
        <w:tc>
          <w:tcPr>
            <w:tcW w:w="2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7" w:right="0"/>
              <w:jc w:val="center"/>
              <w:rPr>
                <w:rFonts w:ascii="宋体" w:hAnsi="宋体" w:cs="宋体" w:eastAsia="宋体" w:hint="default"/>
                <w:sz w:val="18"/>
                <w:szCs w:val="18"/>
              </w:rPr>
            </w:pPr>
            <w:r>
              <w:rPr>
                <w:rFonts w:ascii="宋体" w:hAnsi="宋体" w:cs="宋体" w:eastAsia="宋体" w:hint="default"/>
                <w:sz w:val="18"/>
                <w:szCs w:val="18"/>
              </w:rPr>
              <w:t>款项性质</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50" w:right="0"/>
              <w:jc w:val="left"/>
              <w:rPr>
                <w:rFonts w:ascii="宋体" w:hAnsi="宋体" w:cs="宋体" w:eastAsia="宋体" w:hint="default"/>
                <w:sz w:val="18"/>
                <w:szCs w:val="18"/>
              </w:rPr>
            </w:pPr>
            <w:r>
              <w:rPr>
                <w:rFonts w:ascii="宋体" w:hAnsi="宋体" w:cs="宋体" w:eastAsia="宋体" w:hint="default"/>
                <w:sz w:val="18"/>
                <w:szCs w:val="18"/>
              </w:rPr>
              <w:t>期末账面余额</w:t>
            </w:r>
            <w:r>
              <w:rPr>
                <w:rFonts w:ascii="宋体" w:hAnsi="宋体" w:cs="宋体" w:eastAsia="宋体" w:hint="default"/>
                <w:sz w:val="18"/>
                <w:szCs w:val="18"/>
              </w:rPr>
              <w:t> </w:t>
            </w:r>
          </w:p>
        </w:tc>
        <w:tc>
          <w:tcPr>
            <w:tcW w:w="3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339" w:right="0"/>
              <w:jc w:val="left"/>
              <w:rPr>
                <w:rFonts w:ascii="宋体" w:hAnsi="宋体" w:cs="宋体" w:eastAsia="宋体" w:hint="default"/>
                <w:sz w:val="18"/>
                <w:szCs w:val="18"/>
              </w:rPr>
            </w:pPr>
            <w:r>
              <w:rPr>
                <w:rFonts w:ascii="宋体" w:hAnsi="宋体" w:cs="宋体" w:eastAsia="宋体" w:hint="default"/>
                <w:sz w:val="18"/>
                <w:szCs w:val="18"/>
              </w:rPr>
              <w:t>期初账面余额</w:t>
            </w:r>
            <w:r>
              <w:rPr>
                <w:rFonts w:ascii="宋体" w:hAnsi="宋体" w:cs="宋体" w:eastAsia="宋体" w:hint="default"/>
                <w:sz w:val="18"/>
                <w:szCs w:val="18"/>
              </w:rPr>
              <w:t> </w:t>
            </w:r>
          </w:p>
        </w:tc>
      </w:tr>
      <w:tr>
        <w:trPr>
          <w:trHeight w:val="396" w:hRule="exact"/>
        </w:trPr>
        <w:tc>
          <w:tcPr>
            <w:tcW w:w="2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员工业务备用金</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
              <w:jc w:val="right"/>
              <w:rPr>
                <w:rFonts w:ascii="宋体" w:hAnsi="宋体" w:cs="宋体" w:eastAsia="宋体" w:hint="default"/>
                <w:sz w:val="18"/>
                <w:szCs w:val="18"/>
              </w:rPr>
            </w:pPr>
            <w:r>
              <w:rPr>
                <w:rFonts w:ascii="宋体"/>
                <w:spacing w:val="-1"/>
                <w:sz w:val="18"/>
              </w:rPr>
              <w:t>17,046,005.58</w:t>
            </w:r>
            <w:r>
              <w:rPr>
                <w:rFonts w:ascii="宋体"/>
                <w:sz w:val="18"/>
              </w:rPr>
              <w:t> </w:t>
            </w:r>
          </w:p>
        </w:tc>
        <w:tc>
          <w:tcPr>
            <w:tcW w:w="3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9,070,100.49</w:t>
            </w:r>
            <w:r>
              <w:rPr>
                <w:rFonts w:ascii="宋体"/>
                <w:sz w:val="18"/>
              </w:rPr>
              <w:t> </w:t>
            </w:r>
          </w:p>
        </w:tc>
      </w:tr>
      <w:tr>
        <w:trPr>
          <w:trHeight w:val="396" w:hRule="exact"/>
        </w:trPr>
        <w:tc>
          <w:tcPr>
            <w:tcW w:w="2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押金</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
              <w:jc w:val="right"/>
              <w:rPr>
                <w:rFonts w:ascii="宋体" w:hAnsi="宋体" w:cs="宋体" w:eastAsia="宋体" w:hint="default"/>
                <w:sz w:val="18"/>
                <w:szCs w:val="18"/>
              </w:rPr>
            </w:pPr>
            <w:r>
              <w:rPr>
                <w:rFonts w:ascii="宋体"/>
                <w:spacing w:val="-1"/>
                <w:sz w:val="18"/>
              </w:rPr>
              <w:t>8,009,945.54</w:t>
            </w:r>
            <w:r>
              <w:rPr>
                <w:rFonts w:ascii="宋体"/>
                <w:sz w:val="18"/>
              </w:rPr>
              <w:t> </w:t>
            </w:r>
          </w:p>
        </w:tc>
        <w:tc>
          <w:tcPr>
            <w:tcW w:w="3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17,558,868.69</w:t>
            </w:r>
            <w:r>
              <w:rPr>
                <w:rFonts w:ascii="宋体"/>
                <w:sz w:val="18"/>
              </w:rPr>
              <w:t> </w:t>
            </w:r>
          </w:p>
        </w:tc>
      </w:tr>
      <w:tr>
        <w:trPr>
          <w:trHeight w:val="399" w:hRule="exact"/>
        </w:trPr>
        <w:tc>
          <w:tcPr>
            <w:tcW w:w="2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保证金</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32,440,804.92</w:t>
            </w:r>
            <w:r>
              <w:rPr>
                <w:rFonts w:ascii="宋体"/>
                <w:sz w:val="18"/>
              </w:rPr>
              <w:t> </w:t>
            </w:r>
          </w:p>
        </w:tc>
        <w:tc>
          <w:tcPr>
            <w:tcW w:w="3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26,101,282.05</w:t>
            </w:r>
            <w:r>
              <w:rPr>
                <w:rFonts w:ascii="宋体"/>
                <w:sz w:val="18"/>
              </w:rPr>
              <w:t> </w:t>
            </w:r>
          </w:p>
        </w:tc>
      </w:tr>
      <w:tr>
        <w:trPr>
          <w:trHeight w:val="396" w:hRule="exact"/>
        </w:trPr>
        <w:tc>
          <w:tcPr>
            <w:tcW w:w="2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往来及其他款项</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
              <w:jc w:val="right"/>
              <w:rPr>
                <w:rFonts w:ascii="宋体" w:hAnsi="宋体" w:cs="宋体" w:eastAsia="宋体" w:hint="default"/>
                <w:sz w:val="18"/>
                <w:szCs w:val="18"/>
              </w:rPr>
            </w:pPr>
            <w:r>
              <w:rPr>
                <w:rFonts w:ascii="宋体"/>
                <w:spacing w:val="-1"/>
                <w:sz w:val="18"/>
              </w:rPr>
              <w:t>19,083,523.10</w:t>
            </w:r>
            <w:r>
              <w:rPr>
                <w:rFonts w:ascii="宋体"/>
                <w:sz w:val="18"/>
              </w:rPr>
              <w:t> </w:t>
            </w:r>
          </w:p>
        </w:tc>
        <w:tc>
          <w:tcPr>
            <w:tcW w:w="3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17,795,762.18</w:t>
            </w:r>
            <w:r>
              <w:rPr>
                <w:rFonts w:ascii="宋体"/>
                <w:sz w:val="18"/>
              </w:rPr>
              <w:t> </w:t>
            </w:r>
          </w:p>
        </w:tc>
      </w:tr>
      <w:tr>
        <w:trPr>
          <w:trHeight w:val="398" w:hRule="exact"/>
        </w:trPr>
        <w:tc>
          <w:tcPr>
            <w:tcW w:w="2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7"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76,580,279.14 </w:t>
            </w:r>
          </w:p>
        </w:tc>
        <w:tc>
          <w:tcPr>
            <w:tcW w:w="3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70,526,013.41</w:t>
            </w:r>
            <w:r>
              <w:rPr>
                <w:rFonts w:ascii="宋体"/>
                <w:sz w:val="18"/>
              </w:rPr>
              <w:t> </w:t>
            </w:r>
          </w:p>
        </w:tc>
      </w:tr>
    </w:tbl>
    <w:p>
      <w:pPr>
        <w:pStyle w:val="BodyText"/>
        <w:spacing w:line="240" w:lineRule="auto" w:before="86"/>
        <w:ind w:left="364" w:right="1133"/>
        <w:jc w:val="left"/>
        <w:rPr>
          <w:rFonts w:ascii="宋体" w:hAnsi="宋体" w:cs="宋体" w:eastAsia="宋体" w:hint="default"/>
        </w:rPr>
      </w:pPr>
      <w:r>
        <w:rPr/>
        <w:t>（</w:t>
      </w:r>
      <w:r>
        <w:rPr>
          <w:rFonts w:ascii="宋体" w:hAnsi="宋体" w:cs="宋体" w:eastAsia="宋体" w:hint="default"/>
        </w:rPr>
        <w:t>3</w:t>
      </w:r>
      <w:r>
        <w:rPr/>
        <w:t>）坏账准备计提情况</w:t>
      </w:r>
      <w:r>
        <w:rPr>
          <w:rFonts w:ascii="宋体" w:hAnsi="宋体" w:cs="宋体" w:eastAsia="宋体" w:hint="default"/>
        </w:rPr>
        <w:t> </w:t>
      </w:r>
    </w:p>
    <w:p>
      <w:pPr>
        <w:spacing w:line="240" w:lineRule="auto" w:before="7"/>
        <w:rPr>
          <w:rFonts w:ascii="宋体" w:hAnsi="宋体" w:cs="宋体" w:eastAsia="宋体" w:hint="default"/>
          <w:sz w:val="11"/>
          <w:szCs w:val="11"/>
        </w:rPr>
      </w:pPr>
    </w:p>
    <w:tbl>
      <w:tblPr>
        <w:tblW w:w="0" w:type="auto"/>
        <w:jc w:val="left"/>
        <w:tblInd w:w="160" w:type="dxa"/>
        <w:tblLayout w:type="fixed"/>
        <w:tblCellMar>
          <w:top w:w="0" w:type="dxa"/>
          <w:left w:w="0" w:type="dxa"/>
          <w:bottom w:w="0" w:type="dxa"/>
          <w:right w:w="0" w:type="dxa"/>
        </w:tblCellMar>
        <w:tblLook w:val="01E0"/>
      </w:tblPr>
      <w:tblGrid>
        <w:gridCol w:w="2360"/>
        <w:gridCol w:w="1693"/>
        <w:gridCol w:w="2112"/>
        <w:gridCol w:w="2033"/>
        <w:gridCol w:w="1460"/>
      </w:tblGrid>
      <w:tr>
        <w:trPr>
          <w:trHeight w:val="245" w:hRule="exact"/>
        </w:trPr>
        <w:tc>
          <w:tcPr>
            <w:tcW w:w="2360" w:type="dxa"/>
            <w:vMerge w:val="restart"/>
            <w:tcBorders>
              <w:top w:val="single" w:sz="4" w:space="0" w:color="000000"/>
              <w:left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814" w:right="0"/>
              <w:jc w:val="left"/>
              <w:rPr>
                <w:rFonts w:ascii="宋体" w:hAnsi="宋体" w:cs="宋体" w:eastAsia="宋体" w:hint="default"/>
                <w:sz w:val="18"/>
                <w:szCs w:val="18"/>
              </w:rPr>
            </w:pPr>
            <w:r>
              <w:rPr>
                <w:rFonts w:ascii="宋体" w:hAnsi="宋体" w:cs="宋体" w:eastAsia="宋体" w:hint="default"/>
                <w:sz w:val="18"/>
                <w:szCs w:val="18"/>
              </w:rPr>
              <w:t>坏账准备</w:t>
            </w:r>
            <w:r>
              <w:rPr>
                <w:rFonts w:ascii="宋体" w:hAnsi="宋体" w:cs="宋体" w:eastAsia="宋体" w:hint="default"/>
                <w:sz w:val="18"/>
                <w:szCs w:val="18"/>
              </w:rPr>
              <w:t> </w:t>
            </w:r>
          </w:p>
        </w:tc>
        <w:tc>
          <w:tcPr>
            <w:tcW w:w="169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480" w:right="0"/>
              <w:jc w:val="left"/>
              <w:rPr>
                <w:rFonts w:ascii="宋体" w:hAnsi="宋体" w:cs="宋体" w:eastAsia="宋体" w:hint="default"/>
                <w:sz w:val="18"/>
                <w:szCs w:val="18"/>
              </w:rPr>
            </w:pPr>
            <w:r>
              <w:rPr>
                <w:rFonts w:ascii="宋体" w:hAnsi="宋体" w:cs="宋体" w:eastAsia="宋体" w:hint="default"/>
                <w:sz w:val="18"/>
                <w:szCs w:val="18"/>
              </w:rPr>
              <w:t>第一阶段</w:t>
            </w:r>
            <w:r>
              <w:rPr>
                <w:rFonts w:ascii="宋体" w:hAnsi="宋体" w:cs="宋体" w:eastAsia="宋体" w:hint="default"/>
                <w:sz w:val="18"/>
                <w:szCs w:val="18"/>
              </w:rPr>
              <w:t> </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691" w:right="0"/>
              <w:jc w:val="left"/>
              <w:rPr>
                <w:rFonts w:ascii="宋体" w:hAnsi="宋体" w:cs="宋体" w:eastAsia="宋体" w:hint="default"/>
                <w:sz w:val="18"/>
                <w:szCs w:val="18"/>
              </w:rPr>
            </w:pPr>
            <w:r>
              <w:rPr>
                <w:rFonts w:ascii="宋体" w:hAnsi="宋体" w:cs="宋体" w:eastAsia="宋体" w:hint="default"/>
                <w:sz w:val="18"/>
                <w:szCs w:val="18"/>
              </w:rPr>
              <w:t>第二阶段</w:t>
            </w:r>
            <w:r>
              <w:rPr>
                <w:rFonts w:ascii="宋体" w:hAnsi="宋体" w:cs="宋体" w:eastAsia="宋体" w:hint="default"/>
                <w:sz w:val="18"/>
                <w:szCs w:val="18"/>
              </w:rPr>
              <w:t> </w:t>
            </w:r>
          </w:p>
        </w:tc>
        <w:tc>
          <w:tcPr>
            <w:tcW w:w="20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652" w:right="0"/>
              <w:jc w:val="left"/>
              <w:rPr>
                <w:rFonts w:ascii="宋体" w:hAnsi="宋体" w:cs="宋体" w:eastAsia="宋体" w:hint="default"/>
                <w:sz w:val="18"/>
                <w:szCs w:val="18"/>
              </w:rPr>
            </w:pPr>
            <w:r>
              <w:rPr>
                <w:rFonts w:ascii="宋体" w:hAnsi="宋体" w:cs="宋体" w:eastAsia="宋体" w:hint="default"/>
                <w:sz w:val="18"/>
                <w:szCs w:val="18"/>
              </w:rPr>
              <w:t>第三阶段</w:t>
            </w:r>
            <w:r>
              <w:rPr>
                <w:rFonts w:ascii="宋体" w:hAnsi="宋体" w:cs="宋体" w:eastAsia="宋体" w:hint="default"/>
                <w:sz w:val="18"/>
                <w:szCs w:val="18"/>
              </w:rPr>
              <w:t> </w:t>
            </w:r>
          </w:p>
        </w:tc>
        <w:tc>
          <w:tcPr>
            <w:tcW w:w="1460" w:type="dxa"/>
            <w:vMerge w:val="restart"/>
            <w:tcBorders>
              <w:top w:val="single" w:sz="4" w:space="0" w:color="000000"/>
              <w:left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545" w:right="0"/>
              <w:jc w:val="lef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r>
      <w:tr>
        <w:trPr>
          <w:trHeight w:val="475" w:hRule="exact"/>
        </w:trPr>
        <w:tc>
          <w:tcPr>
            <w:tcW w:w="2360" w:type="dxa"/>
            <w:vMerge/>
            <w:tcBorders>
              <w:left w:val="single" w:sz="4" w:space="0" w:color="000000"/>
              <w:bottom w:val="single" w:sz="4" w:space="0" w:color="000000"/>
              <w:right w:val="single" w:sz="4" w:space="0" w:color="000000"/>
            </w:tcBorders>
          </w:tcPr>
          <w:p>
            <w:pPr/>
          </w:p>
        </w:tc>
        <w:tc>
          <w:tcPr>
            <w:tcW w:w="169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right="0"/>
              <w:jc w:val="center"/>
              <w:rPr>
                <w:rFonts w:ascii="宋体" w:hAnsi="宋体" w:cs="宋体" w:eastAsia="宋体" w:hint="default"/>
                <w:sz w:val="18"/>
                <w:szCs w:val="18"/>
              </w:rPr>
            </w:pPr>
            <w:r>
              <w:rPr>
                <w:rFonts w:ascii="宋体" w:hAnsi="宋体" w:cs="宋体" w:eastAsia="宋体" w:hint="default"/>
                <w:sz w:val="18"/>
                <w:szCs w:val="18"/>
              </w:rPr>
              <w:t>未来</w:t>
            </w:r>
            <w:r>
              <w:rPr>
                <w:rFonts w:ascii="宋体" w:hAnsi="宋体" w:cs="宋体" w:eastAsia="宋体" w:hint="default"/>
                <w:sz w:val="18"/>
                <w:szCs w:val="18"/>
              </w:rPr>
              <w:t>12</w:t>
            </w:r>
            <w:r>
              <w:rPr>
                <w:rFonts w:ascii="宋体" w:hAnsi="宋体" w:cs="宋体" w:eastAsia="宋体" w:hint="default"/>
                <w:sz w:val="18"/>
                <w:szCs w:val="18"/>
              </w:rPr>
              <w:t>个月预期信</w:t>
            </w:r>
          </w:p>
          <w:p>
            <w:pPr>
              <w:pStyle w:val="TableParagraph"/>
              <w:spacing w:line="234" w:lineRule="exact"/>
              <w:ind w:left="90" w:right="0"/>
              <w:jc w:val="center"/>
              <w:rPr>
                <w:rFonts w:ascii="宋体" w:hAnsi="宋体" w:cs="宋体" w:eastAsia="宋体" w:hint="default"/>
                <w:sz w:val="18"/>
                <w:szCs w:val="18"/>
              </w:rPr>
            </w:pPr>
            <w:r>
              <w:rPr>
                <w:rFonts w:ascii="宋体" w:hAnsi="宋体" w:cs="宋体" w:eastAsia="宋体" w:hint="default"/>
                <w:sz w:val="18"/>
                <w:szCs w:val="18"/>
              </w:rPr>
              <w:t>用损失</w:t>
            </w:r>
            <w:r>
              <w:rPr>
                <w:rFonts w:ascii="宋体" w:hAnsi="宋体" w:cs="宋体" w:eastAsia="宋体" w:hint="default"/>
                <w:sz w:val="18"/>
                <w:szCs w:val="18"/>
              </w:rPr>
              <w:t> </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42" w:right="0" w:hanging="92"/>
              <w:jc w:val="left"/>
              <w:rPr>
                <w:rFonts w:ascii="宋体" w:hAnsi="宋体" w:cs="宋体" w:eastAsia="宋体" w:hint="default"/>
                <w:sz w:val="18"/>
                <w:szCs w:val="18"/>
              </w:rPr>
            </w:pPr>
            <w:r>
              <w:rPr>
                <w:rFonts w:ascii="宋体" w:hAnsi="宋体" w:cs="宋体" w:eastAsia="宋体" w:hint="default"/>
                <w:sz w:val="18"/>
                <w:szCs w:val="18"/>
              </w:rPr>
              <w:t>整个存续期预期信用损</w:t>
            </w:r>
          </w:p>
          <w:p>
            <w:pPr>
              <w:pStyle w:val="TableParagraph"/>
              <w:spacing w:line="234" w:lineRule="exact"/>
              <w:ind w:left="242" w:right="0"/>
              <w:jc w:val="left"/>
              <w:rPr>
                <w:rFonts w:ascii="宋体" w:hAnsi="宋体" w:cs="宋体" w:eastAsia="宋体" w:hint="default"/>
                <w:sz w:val="18"/>
                <w:szCs w:val="18"/>
              </w:rPr>
            </w:pPr>
            <w:r>
              <w:rPr>
                <w:rFonts w:ascii="宋体" w:hAnsi="宋体" w:cs="宋体" w:eastAsia="宋体" w:hint="default"/>
                <w:sz w:val="18"/>
                <w:szCs w:val="18"/>
              </w:rPr>
              <w:t>失</w:t>
            </w:r>
            <w:r>
              <w:rPr>
                <w:rFonts w:ascii="宋体" w:hAnsi="宋体" w:cs="宋体" w:eastAsia="宋体" w:hint="default"/>
                <w:sz w:val="18"/>
                <w:szCs w:val="18"/>
              </w:rPr>
              <w:t>(</w:t>
            </w:r>
            <w:r>
              <w:rPr>
                <w:rFonts w:ascii="宋体" w:hAnsi="宋体" w:cs="宋体" w:eastAsia="宋体" w:hint="default"/>
                <w:sz w:val="18"/>
                <w:szCs w:val="18"/>
              </w:rPr>
              <w:t>未发生信用减值</w:t>
            </w:r>
            <w:r>
              <w:rPr>
                <w:rFonts w:ascii="宋体" w:hAnsi="宋体" w:cs="宋体" w:eastAsia="宋体" w:hint="default"/>
                <w:sz w:val="18"/>
                <w:szCs w:val="18"/>
              </w:rPr>
              <w:t>) </w:t>
            </w:r>
          </w:p>
        </w:tc>
        <w:tc>
          <w:tcPr>
            <w:tcW w:w="203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01" w:right="0" w:hanging="89"/>
              <w:jc w:val="left"/>
              <w:rPr>
                <w:rFonts w:ascii="宋体" w:hAnsi="宋体" w:cs="宋体" w:eastAsia="宋体" w:hint="default"/>
                <w:sz w:val="18"/>
                <w:szCs w:val="18"/>
              </w:rPr>
            </w:pPr>
            <w:r>
              <w:rPr>
                <w:rFonts w:ascii="宋体" w:hAnsi="宋体" w:cs="宋体" w:eastAsia="宋体" w:hint="default"/>
                <w:sz w:val="18"/>
                <w:szCs w:val="18"/>
              </w:rPr>
              <w:t>整个存续期预期信用损</w:t>
            </w:r>
          </w:p>
          <w:p>
            <w:pPr>
              <w:pStyle w:val="TableParagraph"/>
              <w:spacing w:line="234" w:lineRule="exact"/>
              <w:ind w:left="201" w:right="0"/>
              <w:jc w:val="left"/>
              <w:rPr>
                <w:rFonts w:ascii="宋体" w:hAnsi="宋体" w:cs="宋体" w:eastAsia="宋体" w:hint="default"/>
                <w:sz w:val="18"/>
                <w:szCs w:val="18"/>
              </w:rPr>
            </w:pPr>
            <w:r>
              <w:rPr>
                <w:rFonts w:ascii="宋体" w:hAnsi="宋体" w:cs="宋体" w:eastAsia="宋体" w:hint="default"/>
                <w:sz w:val="18"/>
                <w:szCs w:val="18"/>
              </w:rPr>
              <w:t>失</w:t>
            </w:r>
            <w:r>
              <w:rPr>
                <w:rFonts w:ascii="宋体" w:hAnsi="宋体" w:cs="宋体" w:eastAsia="宋体" w:hint="default"/>
                <w:sz w:val="18"/>
                <w:szCs w:val="18"/>
              </w:rPr>
              <w:t>(</w:t>
            </w:r>
            <w:r>
              <w:rPr>
                <w:rFonts w:ascii="宋体" w:hAnsi="宋体" w:cs="宋体" w:eastAsia="宋体" w:hint="default"/>
                <w:sz w:val="18"/>
                <w:szCs w:val="18"/>
              </w:rPr>
              <w:t>已发生信用减值</w:t>
            </w:r>
            <w:r>
              <w:rPr>
                <w:rFonts w:ascii="宋体" w:hAnsi="宋体" w:cs="宋体" w:eastAsia="宋体" w:hint="default"/>
                <w:sz w:val="18"/>
                <w:szCs w:val="18"/>
              </w:rPr>
              <w:t>) </w:t>
            </w:r>
          </w:p>
        </w:tc>
        <w:tc>
          <w:tcPr>
            <w:tcW w:w="1460" w:type="dxa"/>
            <w:vMerge/>
            <w:tcBorders>
              <w:left w:val="single" w:sz="4" w:space="0" w:color="000000"/>
              <w:bottom w:val="single" w:sz="4" w:space="0" w:color="000000"/>
              <w:right w:val="single" w:sz="4" w:space="0" w:color="000000"/>
            </w:tcBorders>
          </w:tcPr>
          <w:p>
            <w:pPr/>
          </w:p>
        </w:tc>
      </w:tr>
      <w:tr>
        <w:trPr>
          <w:trHeight w:val="398" w:hRule="exact"/>
        </w:trPr>
        <w:tc>
          <w:tcPr>
            <w:tcW w:w="2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c>
          <w:tcPr>
            <w:tcW w:w="1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6,156,419.07</w:t>
            </w:r>
            <w:r>
              <w:rPr>
                <w:rFonts w:ascii="宋体"/>
                <w:sz w:val="18"/>
              </w:rPr>
              <w:t> </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
              <w:jc w:val="right"/>
              <w:rPr>
                <w:rFonts w:ascii="宋体" w:hAnsi="宋体" w:cs="宋体" w:eastAsia="宋体" w:hint="default"/>
                <w:sz w:val="18"/>
                <w:szCs w:val="18"/>
              </w:rPr>
            </w:pPr>
            <w:r>
              <w:rPr>
                <w:rFonts w:ascii="宋体"/>
                <w:spacing w:val="-1"/>
                <w:sz w:val="18"/>
              </w:rPr>
              <w:t>3,628,748.42</w:t>
            </w:r>
            <w:r>
              <w:rPr>
                <w:rFonts w:ascii="宋体"/>
                <w:sz w:val="18"/>
              </w:rPr>
              <w:t> </w:t>
            </w:r>
          </w:p>
        </w:tc>
        <w:tc>
          <w:tcPr>
            <w:tcW w:w="2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9,785,167.49</w:t>
            </w:r>
            <w:r>
              <w:rPr>
                <w:rFonts w:ascii="宋体"/>
                <w:sz w:val="18"/>
              </w:rPr>
              <w:t> </w:t>
            </w:r>
          </w:p>
        </w:tc>
      </w:tr>
      <w:tr>
        <w:trPr>
          <w:trHeight w:val="396" w:hRule="exact"/>
        </w:trPr>
        <w:tc>
          <w:tcPr>
            <w:tcW w:w="2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期初余额在本期</w:t>
            </w:r>
            <w:r>
              <w:rPr>
                <w:rFonts w:ascii="宋体" w:hAnsi="宋体" w:cs="宋体" w:eastAsia="宋体" w:hint="default"/>
                <w:sz w:val="18"/>
                <w:szCs w:val="18"/>
              </w:rPr>
              <w:t> </w:t>
            </w:r>
          </w:p>
        </w:tc>
        <w:tc>
          <w:tcPr>
            <w:tcW w:w="1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8" w:right="0"/>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 </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9" w:right="0"/>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 </w:t>
            </w:r>
          </w:p>
        </w:tc>
        <w:tc>
          <w:tcPr>
            <w:tcW w:w="2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2" w:right="0"/>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 </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545"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 </w:t>
            </w:r>
          </w:p>
        </w:tc>
      </w:tr>
      <w:tr>
        <w:trPr>
          <w:trHeight w:val="398" w:hRule="exact"/>
        </w:trPr>
        <w:tc>
          <w:tcPr>
            <w:tcW w:w="2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转入第二阶段</w:t>
            </w:r>
            <w:r>
              <w:rPr>
                <w:rFonts w:ascii="宋体" w:hAnsi="宋体" w:cs="宋体" w:eastAsia="宋体" w:hint="default"/>
                <w:sz w:val="18"/>
                <w:szCs w:val="18"/>
              </w:rPr>
              <w:t> </w:t>
            </w:r>
          </w:p>
        </w:tc>
        <w:tc>
          <w:tcPr>
            <w:tcW w:w="1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z w:val="18"/>
              </w:rPr>
              <w:t> </w:t>
            </w:r>
          </w:p>
        </w:tc>
        <w:tc>
          <w:tcPr>
            <w:tcW w:w="2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r>
      <w:tr>
        <w:trPr>
          <w:trHeight w:val="396" w:hRule="exact"/>
        </w:trPr>
        <w:tc>
          <w:tcPr>
            <w:tcW w:w="2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转入第三阶段</w:t>
            </w:r>
            <w:r>
              <w:rPr>
                <w:rFonts w:ascii="宋体" w:hAnsi="宋体" w:cs="宋体" w:eastAsia="宋体" w:hint="default"/>
                <w:sz w:val="18"/>
                <w:szCs w:val="18"/>
              </w:rPr>
              <w:t> </w:t>
            </w:r>
          </w:p>
        </w:tc>
        <w:tc>
          <w:tcPr>
            <w:tcW w:w="1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z w:val="18"/>
              </w:rPr>
              <w:t> </w:t>
            </w:r>
          </w:p>
        </w:tc>
        <w:tc>
          <w:tcPr>
            <w:tcW w:w="2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r>
      <w:tr>
        <w:trPr>
          <w:trHeight w:val="398" w:hRule="exact"/>
        </w:trPr>
        <w:tc>
          <w:tcPr>
            <w:tcW w:w="2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转回第二阶段</w:t>
            </w:r>
            <w:r>
              <w:rPr>
                <w:rFonts w:ascii="宋体" w:hAnsi="宋体" w:cs="宋体" w:eastAsia="宋体" w:hint="default"/>
                <w:sz w:val="18"/>
                <w:szCs w:val="18"/>
              </w:rPr>
              <w:t> </w:t>
            </w:r>
          </w:p>
        </w:tc>
        <w:tc>
          <w:tcPr>
            <w:tcW w:w="1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z w:val="18"/>
              </w:rPr>
              <w:t> </w:t>
            </w:r>
          </w:p>
        </w:tc>
        <w:tc>
          <w:tcPr>
            <w:tcW w:w="2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r>
      <w:tr>
        <w:trPr>
          <w:trHeight w:val="396" w:hRule="exact"/>
        </w:trPr>
        <w:tc>
          <w:tcPr>
            <w:tcW w:w="2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转回第一阶段</w:t>
            </w:r>
            <w:r>
              <w:rPr>
                <w:rFonts w:ascii="宋体" w:hAnsi="宋体" w:cs="宋体" w:eastAsia="宋体" w:hint="default"/>
                <w:sz w:val="18"/>
                <w:szCs w:val="18"/>
              </w:rPr>
              <w:t> </w:t>
            </w:r>
          </w:p>
        </w:tc>
        <w:tc>
          <w:tcPr>
            <w:tcW w:w="1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z w:val="18"/>
              </w:rPr>
              <w:t> </w:t>
            </w:r>
          </w:p>
        </w:tc>
        <w:tc>
          <w:tcPr>
            <w:tcW w:w="2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r>
      <w:tr>
        <w:trPr>
          <w:trHeight w:val="396" w:hRule="exact"/>
        </w:trPr>
        <w:tc>
          <w:tcPr>
            <w:tcW w:w="2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本期计提</w:t>
            </w:r>
            <w:r>
              <w:rPr>
                <w:rFonts w:ascii="宋体" w:hAnsi="宋体" w:cs="宋体" w:eastAsia="宋体" w:hint="default"/>
                <w:sz w:val="18"/>
                <w:szCs w:val="18"/>
              </w:rPr>
              <w:t> </w:t>
            </w:r>
          </w:p>
        </w:tc>
        <w:tc>
          <w:tcPr>
            <w:tcW w:w="1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
              <w:jc w:val="right"/>
              <w:rPr>
                <w:rFonts w:ascii="宋体" w:hAnsi="宋体" w:cs="宋体" w:eastAsia="宋体" w:hint="default"/>
                <w:sz w:val="18"/>
                <w:szCs w:val="18"/>
              </w:rPr>
            </w:pPr>
            <w:r>
              <w:rPr>
                <w:rFonts w:ascii="宋体"/>
                <w:spacing w:val="-1"/>
                <w:sz w:val="18"/>
              </w:rPr>
              <w:t>1,152,118.62</w:t>
            </w:r>
            <w:r>
              <w:rPr>
                <w:rFonts w:ascii="宋体"/>
                <w:sz w:val="18"/>
              </w:rPr>
              <w:t> </w:t>
            </w:r>
          </w:p>
        </w:tc>
        <w:tc>
          <w:tcPr>
            <w:tcW w:w="2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
              <w:jc w:val="right"/>
              <w:rPr>
                <w:rFonts w:ascii="宋体" w:hAnsi="宋体" w:cs="宋体" w:eastAsia="宋体" w:hint="default"/>
                <w:sz w:val="18"/>
                <w:szCs w:val="18"/>
              </w:rPr>
            </w:pPr>
            <w:r>
              <w:rPr>
                <w:rFonts w:ascii="宋体"/>
                <w:spacing w:val="-1"/>
                <w:sz w:val="18"/>
              </w:rPr>
              <w:t>10,000.00</w:t>
            </w:r>
            <w:r>
              <w:rPr>
                <w:rFonts w:ascii="宋体"/>
                <w:sz w:val="18"/>
              </w:rPr>
              <w:t> </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1,162,118.62</w:t>
            </w:r>
            <w:r>
              <w:rPr>
                <w:rFonts w:ascii="宋体"/>
                <w:sz w:val="18"/>
              </w:rPr>
              <w:t> </w:t>
            </w:r>
          </w:p>
        </w:tc>
      </w:tr>
      <w:tr>
        <w:trPr>
          <w:trHeight w:val="398" w:hRule="exact"/>
        </w:trPr>
        <w:tc>
          <w:tcPr>
            <w:tcW w:w="2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本期转回</w:t>
            </w:r>
            <w:r>
              <w:rPr>
                <w:rFonts w:ascii="宋体" w:hAnsi="宋体" w:cs="宋体" w:eastAsia="宋体" w:hint="default"/>
                <w:sz w:val="18"/>
                <w:szCs w:val="18"/>
              </w:rPr>
              <w:t> </w:t>
            </w:r>
          </w:p>
        </w:tc>
        <w:tc>
          <w:tcPr>
            <w:tcW w:w="1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721,688.99</w:t>
            </w:r>
            <w:r>
              <w:rPr>
                <w:rFonts w:ascii="宋体"/>
                <w:sz w:val="18"/>
              </w:rPr>
              <w:t> </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z w:val="18"/>
              </w:rPr>
              <w:t> </w:t>
            </w:r>
          </w:p>
        </w:tc>
        <w:tc>
          <w:tcPr>
            <w:tcW w:w="2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721,688.99</w:t>
            </w:r>
            <w:r>
              <w:rPr>
                <w:rFonts w:ascii="宋体"/>
                <w:sz w:val="18"/>
              </w:rPr>
              <w:t> </w:t>
            </w:r>
          </w:p>
        </w:tc>
      </w:tr>
      <w:tr>
        <w:trPr>
          <w:trHeight w:val="396" w:hRule="exact"/>
        </w:trPr>
        <w:tc>
          <w:tcPr>
            <w:tcW w:w="2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本期转销</w:t>
            </w:r>
            <w:r>
              <w:rPr>
                <w:rFonts w:ascii="宋体" w:hAnsi="宋体" w:cs="宋体" w:eastAsia="宋体" w:hint="default"/>
                <w:sz w:val="18"/>
                <w:szCs w:val="18"/>
              </w:rPr>
              <w:t> </w:t>
            </w:r>
          </w:p>
        </w:tc>
        <w:tc>
          <w:tcPr>
            <w:tcW w:w="1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z w:val="18"/>
              </w:rPr>
              <w:t> </w:t>
            </w:r>
          </w:p>
        </w:tc>
        <w:tc>
          <w:tcPr>
            <w:tcW w:w="2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r>
      <w:tr>
        <w:trPr>
          <w:trHeight w:val="398" w:hRule="exact"/>
        </w:trPr>
        <w:tc>
          <w:tcPr>
            <w:tcW w:w="2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本期核销</w:t>
            </w:r>
            <w:r>
              <w:rPr>
                <w:rFonts w:ascii="宋体" w:hAnsi="宋体" w:cs="宋体" w:eastAsia="宋体" w:hint="default"/>
                <w:sz w:val="18"/>
                <w:szCs w:val="18"/>
              </w:rPr>
              <w:t> </w:t>
            </w:r>
          </w:p>
        </w:tc>
        <w:tc>
          <w:tcPr>
            <w:tcW w:w="1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z w:val="18"/>
              </w:rPr>
              <w:t> </w:t>
            </w:r>
          </w:p>
        </w:tc>
        <w:tc>
          <w:tcPr>
            <w:tcW w:w="2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r>
      <w:tr>
        <w:trPr>
          <w:trHeight w:val="396" w:hRule="exact"/>
        </w:trPr>
        <w:tc>
          <w:tcPr>
            <w:tcW w:w="2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其他变动</w:t>
            </w:r>
            <w:r>
              <w:rPr>
                <w:rFonts w:ascii="宋体" w:hAnsi="宋体" w:cs="宋体" w:eastAsia="宋体" w:hint="default"/>
                <w:sz w:val="18"/>
                <w:szCs w:val="18"/>
              </w:rPr>
              <w:t> </w:t>
            </w:r>
          </w:p>
        </w:tc>
        <w:tc>
          <w:tcPr>
            <w:tcW w:w="1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z w:val="18"/>
              </w:rPr>
              <w:t> </w:t>
            </w:r>
          </w:p>
        </w:tc>
        <w:tc>
          <w:tcPr>
            <w:tcW w:w="2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r>
      <w:tr>
        <w:trPr>
          <w:trHeight w:val="398" w:hRule="exact"/>
        </w:trPr>
        <w:tc>
          <w:tcPr>
            <w:tcW w:w="23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日余额</w:t>
            </w:r>
            <w:r>
              <w:rPr>
                <w:rFonts w:ascii="宋体" w:hAnsi="宋体" w:cs="宋体" w:eastAsia="宋体" w:hint="default"/>
                <w:sz w:val="18"/>
                <w:szCs w:val="18"/>
              </w:rPr>
              <w:t> </w:t>
            </w:r>
          </w:p>
        </w:tc>
        <w:tc>
          <w:tcPr>
            <w:tcW w:w="1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
              <w:jc w:val="right"/>
              <w:rPr>
                <w:rFonts w:ascii="宋体" w:hAnsi="宋体" w:cs="宋体" w:eastAsia="宋体" w:hint="default"/>
                <w:sz w:val="18"/>
                <w:szCs w:val="18"/>
              </w:rPr>
            </w:pPr>
            <w:r>
              <w:rPr>
                <w:rFonts w:ascii="宋体"/>
                <w:spacing w:val="-1"/>
                <w:sz w:val="18"/>
              </w:rPr>
              <w:t>5,434,730.08</w:t>
            </w:r>
            <w:r>
              <w:rPr>
                <w:rFonts w:ascii="宋体"/>
                <w:sz w:val="18"/>
              </w:rPr>
              <w:t> </w:t>
            </w:r>
          </w:p>
        </w:tc>
        <w:tc>
          <w:tcPr>
            <w:tcW w:w="2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
              <w:jc w:val="right"/>
              <w:rPr>
                <w:rFonts w:ascii="宋体" w:hAnsi="宋体" w:cs="宋体" w:eastAsia="宋体" w:hint="default"/>
                <w:sz w:val="18"/>
                <w:szCs w:val="18"/>
              </w:rPr>
            </w:pPr>
            <w:r>
              <w:rPr>
                <w:rFonts w:ascii="宋体"/>
                <w:spacing w:val="-1"/>
                <w:sz w:val="18"/>
              </w:rPr>
              <w:t>4,780,867.04</w:t>
            </w:r>
            <w:r>
              <w:rPr>
                <w:rFonts w:ascii="宋体"/>
                <w:sz w:val="18"/>
              </w:rPr>
              <w:t> </w:t>
            </w:r>
          </w:p>
        </w:tc>
        <w:tc>
          <w:tcPr>
            <w:tcW w:w="20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
              <w:jc w:val="right"/>
              <w:rPr>
                <w:rFonts w:ascii="宋体" w:hAnsi="宋体" w:cs="宋体" w:eastAsia="宋体" w:hint="default"/>
                <w:sz w:val="18"/>
                <w:szCs w:val="18"/>
              </w:rPr>
            </w:pPr>
            <w:r>
              <w:rPr>
                <w:rFonts w:ascii="宋体"/>
                <w:spacing w:val="-1"/>
                <w:sz w:val="18"/>
              </w:rPr>
              <w:t>10,000.00</w:t>
            </w:r>
            <w:r>
              <w:rPr>
                <w:rFonts w:ascii="宋体"/>
                <w:sz w:val="18"/>
              </w:rPr>
              <w:t> </w:t>
            </w:r>
          </w:p>
        </w:tc>
        <w:tc>
          <w:tcPr>
            <w:tcW w:w="1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
              <w:jc w:val="right"/>
              <w:rPr>
                <w:rFonts w:ascii="宋体" w:hAnsi="宋体" w:cs="宋体" w:eastAsia="宋体" w:hint="default"/>
                <w:sz w:val="18"/>
                <w:szCs w:val="18"/>
              </w:rPr>
            </w:pPr>
            <w:r>
              <w:rPr>
                <w:rFonts w:ascii="宋体"/>
                <w:spacing w:val="-1"/>
                <w:sz w:val="18"/>
              </w:rPr>
              <w:t>10,225,597.12</w:t>
            </w:r>
            <w:r>
              <w:rPr>
                <w:rFonts w:ascii="宋体"/>
                <w:sz w:val="18"/>
              </w:rPr>
              <w:t> </w:t>
            </w:r>
          </w:p>
        </w:tc>
      </w:tr>
    </w:tbl>
    <w:p>
      <w:pPr>
        <w:pStyle w:val="BodyText"/>
        <w:spacing w:line="240" w:lineRule="auto" w:before="86"/>
        <w:ind w:left="364" w:right="1133"/>
        <w:jc w:val="left"/>
        <w:rPr>
          <w:rFonts w:ascii="宋体" w:hAnsi="宋体" w:cs="宋体" w:eastAsia="宋体" w:hint="default"/>
        </w:rPr>
      </w:pPr>
      <w:r>
        <w:rPr/>
        <w:t>（</w:t>
      </w:r>
      <w:r>
        <w:rPr>
          <w:rFonts w:ascii="宋体" w:hAnsi="宋体" w:cs="宋体" w:eastAsia="宋体" w:hint="default"/>
        </w:rPr>
        <w:t>4</w:t>
      </w:r>
      <w:r>
        <w:rPr/>
        <w:t>）本期计提、收回或转回的坏账准备情况</w:t>
      </w:r>
      <w:r>
        <w:rPr>
          <w:rFonts w:ascii="宋体" w:hAnsi="宋体" w:cs="宋体" w:eastAsia="宋体" w:hint="default"/>
        </w:rPr>
        <w:t> </w:t>
      </w:r>
    </w:p>
    <w:p>
      <w:pPr>
        <w:spacing w:line="240" w:lineRule="auto" w:before="7"/>
        <w:rPr>
          <w:rFonts w:ascii="宋体" w:hAnsi="宋体" w:cs="宋体" w:eastAsia="宋体" w:hint="default"/>
          <w:sz w:val="11"/>
          <w:szCs w:val="11"/>
        </w:rPr>
      </w:pPr>
    </w:p>
    <w:tbl>
      <w:tblPr>
        <w:tblW w:w="0" w:type="auto"/>
        <w:jc w:val="left"/>
        <w:tblInd w:w="160" w:type="dxa"/>
        <w:tblLayout w:type="fixed"/>
        <w:tblCellMar>
          <w:top w:w="0" w:type="dxa"/>
          <w:left w:w="0" w:type="dxa"/>
          <w:bottom w:w="0" w:type="dxa"/>
          <w:right w:w="0" w:type="dxa"/>
        </w:tblCellMar>
        <w:tblLook w:val="01E0"/>
      </w:tblPr>
      <w:tblGrid>
        <w:gridCol w:w="1404"/>
        <w:gridCol w:w="1544"/>
        <w:gridCol w:w="1435"/>
        <w:gridCol w:w="1277"/>
        <w:gridCol w:w="1025"/>
        <w:gridCol w:w="1130"/>
        <w:gridCol w:w="1853"/>
      </w:tblGrid>
      <w:tr>
        <w:trPr>
          <w:trHeight w:val="396" w:hRule="exact"/>
        </w:trPr>
        <w:tc>
          <w:tcPr>
            <w:tcW w:w="1404"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516" w:right="0"/>
              <w:jc w:val="left"/>
              <w:rPr>
                <w:rFonts w:ascii="宋体" w:hAnsi="宋体" w:cs="宋体" w:eastAsia="宋体" w:hint="default"/>
                <w:sz w:val="18"/>
                <w:szCs w:val="18"/>
              </w:rPr>
            </w:pPr>
            <w:r>
              <w:rPr>
                <w:rFonts w:ascii="宋体" w:hAnsi="宋体" w:cs="宋体" w:eastAsia="宋体" w:hint="default"/>
                <w:sz w:val="18"/>
                <w:szCs w:val="18"/>
              </w:rPr>
              <w:t>类别</w:t>
            </w:r>
            <w:r>
              <w:rPr>
                <w:rFonts w:ascii="宋体" w:hAnsi="宋体" w:cs="宋体" w:eastAsia="宋体" w:hint="default"/>
                <w:sz w:val="18"/>
                <w:szCs w:val="18"/>
              </w:rPr>
              <w:t> </w:t>
            </w:r>
          </w:p>
        </w:tc>
        <w:tc>
          <w:tcPr>
            <w:tcW w:w="1544"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407"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c>
          <w:tcPr>
            <w:tcW w:w="4868"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0" w:right="0"/>
              <w:jc w:val="center"/>
              <w:rPr>
                <w:rFonts w:ascii="宋体" w:hAnsi="宋体" w:cs="宋体" w:eastAsia="宋体" w:hint="default"/>
                <w:sz w:val="18"/>
                <w:szCs w:val="18"/>
              </w:rPr>
            </w:pPr>
            <w:r>
              <w:rPr>
                <w:rFonts w:ascii="宋体" w:hAnsi="宋体" w:cs="宋体" w:eastAsia="宋体" w:hint="default"/>
                <w:sz w:val="18"/>
                <w:szCs w:val="18"/>
              </w:rPr>
              <w:t>本期变动金额</w:t>
            </w:r>
            <w:r>
              <w:rPr>
                <w:rFonts w:ascii="宋体" w:hAnsi="宋体" w:cs="宋体" w:eastAsia="宋体" w:hint="default"/>
                <w:sz w:val="18"/>
                <w:szCs w:val="18"/>
              </w:rPr>
              <w:t> </w:t>
            </w:r>
          </w:p>
        </w:tc>
        <w:tc>
          <w:tcPr>
            <w:tcW w:w="1853"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564"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r>
      <w:tr>
        <w:trPr>
          <w:trHeight w:val="398" w:hRule="exact"/>
        </w:trPr>
        <w:tc>
          <w:tcPr>
            <w:tcW w:w="1404" w:type="dxa"/>
            <w:vMerge/>
            <w:tcBorders>
              <w:left w:val="single" w:sz="4" w:space="0" w:color="000000"/>
              <w:bottom w:val="single" w:sz="4" w:space="0" w:color="000000"/>
              <w:right w:val="single" w:sz="4" w:space="0" w:color="000000"/>
            </w:tcBorders>
          </w:tcPr>
          <w:p>
            <w:pPr/>
          </w:p>
        </w:tc>
        <w:tc>
          <w:tcPr>
            <w:tcW w:w="1544" w:type="dxa"/>
            <w:vMerge/>
            <w:tcBorders>
              <w:left w:val="single" w:sz="4" w:space="0" w:color="000000"/>
              <w:bottom w:val="single" w:sz="4" w:space="0" w:color="000000"/>
              <w:right w:val="single" w:sz="4" w:space="0" w:color="000000"/>
            </w:tcBorders>
          </w:tcPr>
          <w:p>
            <w:pPr/>
          </w:p>
        </w:tc>
        <w:tc>
          <w:tcPr>
            <w:tcW w:w="1435" w:type="dxa"/>
            <w:tcBorders>
              <w:top w:val="single" w:sz="4" w:space="0" w:color="000000"/>
              <w:left w:val="single" w:sz="4" w:space="0" w:color="000000"/>
              <w:bottom w:val="single" w:sz="4" w:space="0" w:color="000000"/>
              <w:right w:val="dotted" w:sz="4" w:space="0" w:color="000000"/>
            </w:tcBorders>
          </w:tcPr>
          <w:p>
            <w:pPr>
              <w:pStyle w:val="TableParagraph"/>
              <w:spacing w:line="240" w:lineRule="auto" w:before="49"/>
              <w:ind w:left="532" w:right="0"/>
              <w:jc w:val="left"/>
              <w:rPr>
                <w:rFonts w:ascii="宋体" w:hAnsi="宋体" w:cs="宋体" w:eastAsia="宋体" w:hint="default"/>
                <w:sz w:val="18"/>
                <w:szCs w:val="18"/>
              </w:rPr>
            </w:pPr>
            <w:r>
              <w:rPr>
                <w:rFonts w:ascii="宋体" w:hAnsi="宋体" w:cs="宋体" w:eastAsia="宋体" w:hint="default"/>
                <w:sz w:val="18"/>
                <w:szCs w:val="18"/>
              </w:rPr>
              <w:t>计提</w:t>
            </w:r>
            <w:r>
              <w:rPr>
                <w:rFonts w:ascii="宋体" w:hAnsi="宋体" w:cs="宋体" w:eastAsia="宋体" w:hint="default"/>
                <w:sz w:val="18"/>
                <w:szCs w:val="18"/>
              </w:rPr>
              <w:t> </w:t>
            </w:r>
          </w:p>
        </w:tc>
        <w:tc>
          <w:tcPr>
            <w:tcW w:w="1277" w:type="dxa"/>
            <w:tcBorders>
              <w:top w:val="single" w:sz="4" w:space="0" w:color="000000"/>
              <w:left w:val="dotted" w:sz="4" w:space="0" w:color="000000"/>
              <w:bottom w:val="single" w:sz="4" w:space="0" w:color="000000"/>
              <w:right w:val="single" w:sz="4" w:space="0" w:color="000000"/>
            </w:tcBorders>
          </w:tcPr>
          <w:p>
            <w:pPr>
              <w:pStyle w:val="TableParagraph"/>
              <w:spacing w:line="240" w:lineRule="auto" w:before="49"/>
              <w:ind w:left="184" w:right="0"/>
              <w:jc w:val="left"/>
              <w:rPr>
                <w:rFonts w:ascii="宋体" w:hAnsi="宋体" w:cs="宋体" w:eastAsia="宋体" w:hint="default"/>
                <w:sz w:val="18"/>
                <w:szCs w:val="18"/>
              </w:rPr>
            </w:pPr>
            <w:r>
              <w:rPr>
                <w:rFonts w:ascii="宋体" w:hAnsi="宋体" w:cs="宋体" w:eastAsia="宋体" w:hint="default"/>
                <w:sz w:val="18"/>
                <w:szCs w:val="18"/>
              </w:rPr>
              <w:t>收回或转回</w:t>
            </w:r>
            <w:r>
              <w:rPr>
                <w:rFonts w:ascii="宋体" w:hAnsi="宋体" w:cs="宋体" w:eastAsia="宋体" w:hint="default"/>
                <w:sz w:val="18"/>
                <w:szCs w:val="18"/>
              </w:rPr>
              <w:t> </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right="0"/>
              <w:jc w:val="center"/>
              <w:rPr>
                <w:rFonts w:ascii="宋体" w:hAnsi="宋体" w:cs="宋体" w:eastAsia="宋体" w:hint="default"/>
                <w:sz w:val="18"/>
                <w:szCs w:val="18"/>
              </w:rPr>
            </w:pPr>
            <w:r>
              <w:rPr>
                <w:rFonts w:ascii="宋体" w:hAnsi="宋体" w:cs="宋体" w:eastAsia="宋体" w:hint="default"/>
                <w:sz w:val="18"/>
                <w:szCs w:val="18"/>
              </w:rPr>
              <w:t>转销或核</w:t>
            </w:r>
          </w:p>
          <w:p>
            <w:pPr>
              <w:pStyle w:val="TableParagraph"/>
              <w:spacing w:line="222" w:lineRule="exact"/>
              <w:ind w:left="90" w:right="0"/>
              <w:jc w:val="center"/>
              <w:rPr>
                <w:rFonts w:ascii="宋体" w:hAnsi="宋体" w:cs="宋体" w:eastAsia="宋体" w:hint="default"/>
                <w:sz w:val="18"/>
                <w:szCs w:val="18"/>
              </w:rPr>
            </w:pPr>
            <w:r>
              <w:rPr>
                <w:rFonts w:ascii="宋体" w:hAnsi="宋体" w:cs="宋体" w:eastAsia="宋体" w:hint="default"/>
                <w:sz w:val="18"/>
                <w:szCs w:val="18"/>
              </w:rPr>
              <w:t>销</w:t>
            </w:r>
            <w:r>
              <w:rPr>
                <w:rFonts w:ascii="宋体" w:hAnsi="宋体" w:cs="宋体" w:eastAsia="宋体" w:hint="default"/>
                <w:sz w:val="18"/>
                <w:szCs w:val="18"/>
              </w:rPr>
              <w:t> </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201" w:right="0"/>
              <w:jc w:val="left"/>
              <w:rPr>
                <w:rFonts w:ascii="宋体" w:hAnsi="宋体" w:cs="宋体" w:eastAsia="宋体" w:hint="default"/>
                <w:sz w:val="18"/>
                <w:szCs w:val="18"/>
              </w:rPr>
            </w:pPr>
            <w:r>
              <w:rPr>
                <w:rFonts w:ascii="宋体" w:hAnsi="宋体" w:cs="宋体" w:eastAsia="宋体" w:hint="default"/>
                <w:sz w:val="18"/>
                <w:szCs w:val="18"/>
              </w:rPr>
              <w:t>其他变动</w:t>
            </w:r>
            <w:r>
              <w:rPr>
                <w:rFonts w:ascii="宋体" w:hAnsi="宋体" w:cs="宋体" w:eastAsia="宋体" w:hint="default"/>
                <w:sz w:val="18"/>
                <w:szCs w:val="18"/>
              </w:rPr>
              <w:t> </w:t>
            </w:r>
          </w:p>
        </w:tc>
        <w:tc>
          <w:tcPr>
            <w:tcW w:w="1853" w:type="dxa"/>
            <w:vMerge/>
            <w:tcBorders>
              <w:left w:val="single" w:sz="4" w:space="0" w:color="000000"/>
              <w:bottom w:val="single" w:sz="4" w:space="0" w:color="000000"/>
              <w:right w:val="single" w:sz="4" w:space="0" w:color="000000"/>
            </w:tcBorders>
          </w:tcPr>
          <w:p>
            <w:pPr/>
          </w:p>
        </w:tc>
      </w:tr>
      <w:tr>
        <w:trPr>
          <w:trHeight w:val="396"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按组合计提</w:t>
            </w:r>
            <w:r>
              <w:rPr>
                <w:rFonts w:ascii="宋体" w:hAnsi="宋体" w:cs="宋体" w:eastAsia="宋体" w:hint="default"/>
                <w:sz w:val="18"/>
                <w:szCs w:val="18"/>
              </w:rPr>
              <w:t> </w:t>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9,785,167.49</w:t>
            </w:r>
            <w:r>
              <w:rPr>
                <w:rFonts w:ascii="宋体"/>
                <w:sz w:val="18"/>
              </w:rPr>
              <w:t> </w:t>
            </w:r>
          </w:p>
        </w:tc>
        <w:tc>
          <w:tcPr>
            <w:tcW w:w="1435" w:type="dxa"/>
            <w:tcBorders>
              <w:top w:val="single" w:sz="4" w:space="0" w:color="000000"/>
              <w:left w:val="single" w:sz="4" w:space="0" w:color="000000"/>
              <w:bottom w:val="dotted" w:sz="4" w:space="0" w:color="000000"/>
              <w:right w:val="dotted"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1,162,118.62</w:t>
            </w:r>
            <w:r>
              <w:rPr>
                <w:rFonts w:ascii="宋体"/>
                <w:sz w:val="18"/>
              </w:rPr>
              <w:t> </w:t>
            </w:r>
          </w:p>
        </w:tc>
        <w:tc>
          <w:tcPr>
            <w:tcW w:w="1277" w:type="dxa"/>
            <w:tcBorders>
              <w:top w:val="single" w:sz="4" w:space="0" w:color="000000"/>
              <w:left w:val="dotted" w:sz="4" w:space="0" w:color="000000"/>
              <w:bottom w:val="dotted"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721,688.99 </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z w:val="18"/>
              </w:rPr>
              <w:t> </w:t>
            </w:r>
          </w:p>
        </w:tc>
        <w:tc>
          <w:tcPr>
            <w:tcW w:w="1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10,225,597.12</w:t>
            </w:r>
            <w:r>
              <w:rPr>
                <w:rFonts w:ascii="宋体"/>
                <w:sz w:val="18"/>
              </w:rPr>
              <w:t> </w:t>
            </w:r>
          </w:p>
        </w:tc>
      </w:tr>
      <w:tr>
        <w:trPr>
          <w:trHeight w:val="398" w:hRule="exact"/>
        </w:trPr>
        <w:tc>
          <w:tcPr>
            <w:tcW w:w="1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516" w:right="0"/>
              <w:jc w:val="lef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5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9,785,167.49</w:t>
            </w:r>
            <w:r>
              <w:rPr>
                <w:rFonts w:ascii="宋体"/>
                <w:sz w:val="18"/>
              </w:rPr>
              <w:t> </w:t>
            </w:r>
          </w:p>
        </w:tc>
        <w:tc>
          <w:tcPr>
            <w:tcW w:w="1435" w:type="dxa"/>
            <w:tcBorders>
              <w:top w:val="dotted" w:sz="4" w:space="0" w:color="000000"/>
              <w:left w:val="single" w:sz="4" w:space="0" w:color="000000"/>
              <w:bottom w:val="single" w:sz="12" w:space="0" w:color="000000"/>
              <w:right w:val="dotted"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1,162,118.62</w:t>
            </w:r>
            <w:r>
              <w:rPr>
                <w:rFonts w:ascii="宋体"/>
                <w:sz w:val="18"/>
              </w:rPr>
              <w:t> </w:t>
            </w:r>
          </w:p>
        </w:tc>
        <w:tc>
          <w:tcPr>
            <w:tcW w:w="1277" w:type="dxa"/>
            <w:tcBorders>
              <w:top w:val="dotted" w:sz="4" w:space="0" w:color="000000"/>
              <w:left w:val="dotted" w:sz="4" w:space="0" w:color="000000"/>
              <w:bottom w:val="single" w:sz="12"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721,688.99 </w:t>
            </w:r>
          </w:p>
        </w:tc>
        <w:tc>
          <w:tcPr>
            <w:tcW w:w="10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z w:val="18"/>
              </w:rPr>
              <w:t> </w:t>
            </w:r>
          </w:p>
        </w:tc>
        <w:tc>
          <w:tcPr>
            <w:tcW w:w="18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10,225,597.12</w:t>
            </w:r>
            <w:r>
              <w:rPr>
                <w:rFonts w:ascii="宋体"/>
                <w:sz w:val="18"/>
              </w:rPr>
              <w:t> </w:t>
            </w:r>
          </w:p>
        </w:tc>
      </w:tr>
    </w:tbl>
    <w:p>
      <w:pPr>
        <w:pStyle w:val="BodyText"/>
        <w:spacing w:line="240" w:lineRule="auto" w:before="95"/>
        <w:ind w:left="364" w:right="1133"/>
        <w:jc w:val="left"/>
        <w:rPr>
          <w:rFonts w:ascii="宋体" w:hAnsi="宋体" w:cs="宋体" w:eastAsia="宋体" w:hint="default"/>
        </w:rPr>
      </w:pPr>
      <w:r>
        <w:rPr/>
        <w:t>（</w:t>
      </w:r>
      <w:r>
        <w:rPr>
          <w:rFonts w:ascii="宋体" w:hAnsi="宋体" w:cs="宋体" w:eastAsia="宋体" w:hint="default"/>
        </w:rPr>
        <w:t>5</w:t>
      </w:r>
      <w:r>
        <w:rPr/>
        <w:t>）本期实际核销的其他应收款情况</w:t>
      </w:r>
      <w:r>
        <w:rPr>
          <w:rFonts w:ascii="宋体" w:hAnsi="宋体" w:cs="宋体" w:eastAsia="宋体" w:hint="default"/>
        </w:rPr>
        <w:t> </w:t>
      </w:r>
    </w:p>
    <w:p>
      <w:pPr>
        <w:spacing w:after="0" w:line="240" w:lineRule="auto"/>
        <w:jc w:val="left"/>
        <w:rPr>
          <w:rFonts w:ascii="宋体" w:hAnsi="宋体" w:cs="宋体" w:eastAsia="宋体" w:hint="default"/>
        </w:rPr>
        <w:sectPr>
          <w:pgSz w:w="11910" w:h="16840"/>
          <w:pgMar w:header="921" w:footer="725" w:top="1160" w:bottom="920" w:left="980" w:right="0"/>
        </w:sectPr>
      </w:pPr>
    </w:p>
    <w:p>
      <w:pPr>
        <w:spacing w:line="240" w:lineRule="auto" w:before="12"/>
        <w:rPr>
          <w:rFonts w:ascii="宋体" w:hAnsi="宋体" w:cs="宋体" w:eastAsia="宋体" w:hint="default"/>
          <w:sz w:val="15"/>
          <w:szCs w:val="15"/>
        </w:rPr>
      </w:pPr>
    </w:p>
    <w:p>
      <w:pPr>
        <w:pStyle w:val="BodyText"/>
        <w:spacing w:line="240" w:lineRule="auto" w:before="36"/>
        <w:ind w:left="573" w:right="1133"/>
        <w:jc w:val="left"/>
        <w:rPr>
          <w:rFonts w:ascii="宋体" w:hAnsi="宋体" w:cs="宋体" w:eastAsia="宋体" w:hint="default"/>
        </w:rPr>
      </w:pPr>
      <w:r>
        <w:rPr/>
        <w:t>无。</w:t>
      </w:r>
      <w:r>
        <w:rPr>
          <w:rFonts w:ascii="宋体" w:hAnsi="宋体" w:cs="宋体" w:eastAsia="宋体" w:hint="default"/>
        </w:rPr>
        <w:t> </w:t>
      </w:r>
    </w:p>
    <w:p>
      <w:pPr>
        <w:pStyle w:val="BodyText"/>
        <w:spacing w:line="240" w:lineRule="auto" w:before="116"/>
        <w:ind w:left="364" w:right="1133"/>
        <w:jc w:val="left"/>
        <w:rPr>
          <w:rFonts w:ascii="宋体" w:hAnsi="宋体" w:cs="宋体" w:eastAsia="宋体" w:hint="default"/>
        </w:rPr>
      </w:pPr>
      <w:r>
        <w:rPr/>
        <w:t>（</w:t>
      </w:r>
      <w:r>
        <w:rPr>
          <w:rFonts w:ascii="宋体" w:hAnsi="宋体" w:cs="宋体" w:eastAsia="宋体" w:hint="default"/>
        </w:rPr>
        <w:t>6</w:t>
      </w:r>
      <w:r>
        <w:rPr/>
        <w:t>）按欠款方归集的期末余额前五名的其他应收款情况</w:t>
      </w:r>
      <w:r>
        <w:rPr>
          <w:rFonts w:ascii="宋体" w:hAnsi="宋体" w:cs="宋体" w:eastAsia="宋体" w:hint="default"/>
        </w:rPr>
        <w:t> </w:t>
      </w:r>
    </w:p>
    <w:p>
      <w:pPr>
        <w:spacing w:line="240" w:lineRule="auto" w:before="9"/>
        <w:rPr>
          <w:rFonts w:ascii="宋体" w:hAnsi="宋体" w:cs="宋体" w:eastAsia="宋体" w:hint="default"/>
          <w:sz w:val="11"/>
          <w:szCs w:val="11"/>
        </w:rPr>
      </w:pPr>
    </w:p>
    <w:tbl>
      <w:tblPr>
        <w:tblW w:w="0" w:type="auto"/>
        <w:jc w:val="left"/>
        <w:tblInd w:w="174" w:type="dxa"/>
        <w:tblLayout w:type="fixed"/>
        <w:tblCellMar>
          <w:top w:w="0" w:type="dxa"/>
          <w:left w:w="0" w:type="dxa"/>
          <w:bottom w:w="0" w:type="dxa"/>
          <w:right w:w="0" w:type="dxa"/>
        </w:tblCellMar>
        <w:tblLook w:val="01E0"/>
      </w:tblPr>
      <w:tblGrid>
        <w:gridCol w:w="2384"/>
        <w:gridCol w:w="994"/>
        <w:gridCol w:w="1416"/>
        <w:gridCol w:w="1702"/>
        <w:gridCol w:w="1844"/>
        <w:gridCol w:w="1315"/>
      </w:tblGrid>
      <w:tr>
        <w:trPr>
          <w:trHeight w:val="646" w:hRule="exact"/>
        </w:trPr>
        <w:tc>
          <w:tcPr>
            <w:tcW w:w="2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88" w:right="0"/>
              <w:jc w:val="center"/>
              <w:rPr>
                <w:rFonts w:ascii="宋体" w:hAnsi="宋体" w:cs="宋体" w:eastAsia="宋体" w:hint="default"/>
                <w:sz w:val="18"/>
                <w:szCs w:val="18"/>
              </w:rPr>
            </w:pPr>
            <w:r>
              <w:rPr>
                <w:rFonts w:ascii="宋体" w:hAnsi="宋体" w:cs="宋体" w:eastAsia="宋体" w:hint="default"/>
                <w:sz w:val="18"/>
                <w:szCs w:val="18"/>
              </w:rPr>
              <w:t>单位名称</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78"/>
              <w:ind w:left="223" w:right="128" w:hanging="92"/>
              <w:jc w:val="left"/>
              <w:rPr>
                <w:rFonts w:ascii="宋体" w:hAnsi="宋体" w:cs="宋体" w:eastAsia="宋体" w:hint="default"/>
                <w:sz w:val="18"/>
                <w:szCs w:val="18"/>
              </w:rPr>
            </w:pPr>
            <w:r>
              <w:rPr>
                <w:rFonts w:ascii="宋体" w:hAnsi="宋体" w:cs="宋体" w:eastAsia="宋体" w:hint="default"/>
                <w:sz w:val="18"/>
                <w:szCs w:val="18"/>
              </w:rPr>
              <w:t>与本公司 的关系</w:t>
            </w:r>
            <w:r>
              <w:rPr>
                <w:rFonts w:ascii="宋体" w:hAnsi="宋体" w:cs="宋体" w:eastAsia="宋体" w:hint="default"/>
                <w:sz w:val="18"/>
                <w:szCs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343"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87" w:right="0"/>
              <w:jc w:val="center"/>
              <w:rPr>
                <w:rFonts w:ascii="宋体" w:hAnsi="宋体" w:cs="宋体" w:eastAsia="宋体" w:hint="default"/>
                <w:sz w:val="18"/>
                <w:szCs w:val="18"/>
              </w:rPr>
            </w:pPr>
            <w:r>
              <w:rPr>
                <w:rFonts w:ascii="宋体" w:hAnsi="宋体" w:cs="宋体" w:eastAsia="宋体" w:hint="default"/>
                <w:sz w:val="18"/>
                <w:szCs w:val="18"/>
              </w:rPr>
              <w:t>账龄</w:t>
            </w:r>
            <w:r>
              <w:rPr>
                <w:rFonts w:ascii="宋体" w:hAnsi="宋体" w:cs="宋体" w:eastAsia="宋体" w:hint="default"/>
                <w:sz w:val="18"/>
                <w:szCs w:val="18"/>
              </w:rPr>
              <w:t> </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78"/>
              <w:ind w:left="153" w:right="57" w:hanging="46"/>
              <w:jc w:val="left"/>
              <w:rPr>
                <w:rFonts w:ascii="宋体" w:hAnsi="宋体" w:cs="宋体" w:eastAsia="宋体" w:hint="default"/>
                <w:sz w:val="18"/>
                <w:szCs w:val="18"/>
              </w:rPr>
            </w:pPr>
            <w:r>
              <w:rPr>
                <w:rFonts w:ascii="宋体" w:hAnsi="宋体" w:cs="宋体" w:eastAsia="宋体" w:hint="default"/>
                <w:sz w:val="18"/>
                <w:szCs w:val="18"/>
              </w:rPr>
              <w:t>占其他应收款期末余 额合计数的比例</w:t>
            </w:r>
            <w:r>
              <w:rPr>
                <w:rFonts w:ascii="宋体" w:hAnsi="宋体" w:cs="宋体" w:eastAsia="宋体" w:hint="default"/>
                <w:sz w:val="18"/>
                <w:szCs w:val="18"/>
              </w:rPr>
              <w:t>(%) </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78"/>
              <w:ind w:left="472" w:right="110" w:hanging="360"/>
              <w:jc w:val="left"/>
              <w:rPr>
                <w:rFonts w:ascii="宋体" w:hAnsi="宋体" w:cs="宋体" w:eastAsia="宋体" w:hint="default"/>
                <w:sz w:val="18"/>
                <w:szCs w:val="18"/>
              </w:rPr>
            </w:pPr>
            <w:r>
              <w:rPr>
                <w:rFonts w:ascii="宋体" w:hAnsi="宋体" w:cs="宋体" w:eastAsia="宋体" w:hint="default"/>
                <w:sz w:val="18"/>
                <w:szCs w:val="18"/>
              </w:rPr>
              <w:t>坏账准备期末 余额</w:t>
            </w:r>
            <w:r>
              <w:rPr>
                <w:rFonts w:ascii="宋体" w:hAnsi="宋体" w:cs="宋体" w:eastAsia="宋体" w:hint="default"/>
                <w:sz w:val="18"/>
                <w:szCs w:val="18"/>
              </w:rPr>
              <w:t> </w:t>
            </w:r>
          </w:p>
        </w:tc>
      </w:tr>
      <w:tr>
        <w:trPr>
          <w:trHeight w:val="614" w:hRule="exact"/>
        </w:trPr>
        <w:tc>
          <w:tcPr>
            <w:tcW w:w="2384"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64"/>
              <w:ind w:left="103" w:right="104"/>
              <w:jc w:val="left"/>
              <w:rPr>
                <w:rFonts w:ascii="宋体" w:hAnsi="宋体" w:cs="宋体" w:eastAsia="宋体" w:hint="default"/>
                <w:sz w:val="18"/>
                <w:szCs w:val="18"/>
              </w:rPr>
            </w:pPr>
            <w:r>
              <w:rPr>
                <w:rFonts w:ascii="宋体" w:hAnsi="宋体" w:cs="宋体" w:eastAsia="宋体" w:hint="default"/>
                <w:sz w:val="18"/>
                <w:szCs w:val="18"/>
              </w:rPr>
              <w:t>北京泰盛亚德数字科技有限</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公司</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left="92" w:right="0"/>
              <w:jc w:val="center"/>
              <w:rPr>
                <w:rFonts w:ascii="宋体" w:hAnsi="宋体" w:cs="宋体" w:eastAsia="宋体" w:hint="default"/>
                <w:sz w:val="18"/>
                <w:szCs w:val="18"/>
              </w:rPr>
            </w:pPr>
            <w:r>
              <w:rPr>
                <w:rFonts w:ascii="宋体" w:hAnsi="宋体" w:cs="宋体" w:eastAsia="宋体" w:hint="default"/>
                <w:sz w:val="18"/>
                <w:szCs w:val="18"/>
              </w:rPr>
              <w:t>第三方</w:t>
            </w:r>
            <w:r>
              <w:rPr>
                <w:rFonts w:ascii="宋体" w:hAnsi="宋体" w:cs="宋体" w:eastAsia="宋体" w:hint="default"/>
                <w:sz w:val="18"/>
                <w:szCs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11"/>
              <w:jc w:val="right"/>
              <w:rPr>
                <w:rFonts w:ascii="宋体" w:hAnsi="宋体" w:cs="宋体" w:eastAsia="宋体" w:hint="default"/>
                <w:sz w:val="18"/>
                <w:szCs w:val="18"/>
              </w:rPr>
            </w:pPr>
            <w:r>
              <w:rPr>
                <w:rFonts w:ascii="宋体"/>
                <w:spacing w:val="-1"/>
                <w:sz w:val="18"/>
              </w:rPr>
              <w:t>6,404,270.14</w:t>
            </w:r>
            <w:r>
              <w:rPr>
                <w:rFonts w:ascii="宋体"/>
                <w:sz w:val="18"/>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left="89"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5"/>
                <w:sz w:val="18"/>
                <w:szCs w:val="18"/>
              </w:rPr>
              <w:t> </w:t>
            </w:r>
            <w:r>
              <w:rPr>
                <w:rFonts w:ascii="宋体" w:hAnsi="宋体" w:cs="宋体" w:eastAsia="宋体" w:hint="default"/>
                <w:sz w:val="18"/>
                <w:szCs w:val="18"/>
              </w:rPr>
              <w:t>年以内、</w:t>
            </w:r>
            <w:r>
              <w:rPr>
                <w:rFonts w:ascii="宋体" w:hAnsi="宋体" w:cs="宋体" w:eastAsia="宋体" w:hint="default"/>
                <w:sz w:val="18"/>
                <w:szCs w:val="18"/>
              </w:rPr>
              <w:t>1-2</w:t>
            </w:r>
            <w:r>
              <w:rPr>
                <w:rFonts w:ascii="宋体" w:hAnsi="宋体" w:cs="宋体" w:eastAsia="宋体" w:hint="default"/>
                <w:spacing w:val="-45"/>
                <w:sz w:val="18"/>
                <w:szCs w:val="18"/>
              </w:rPr>
              <w:t> </w:t>
            </w:r>
            <w:r>
              <w:rPr>
                <w:rFonts w:ascii="宋体" w:hAnsi="宋体" w:cs="宋体" w:eastAsia="宋体" w:hint="default"/>
                <w:spacing w:val="-3"/>
                <w:sz w:val="18"/>
                <w:szCs w:val="18"/>
              </w:rPr>
              <w:t>年</w:t>
            </w:r>
            <w:r>
              <w:rPr>
                <w:rFonts w:ascii="宋体" w:hAnsi="宋体" w:cs="宋体" w:eastAsia="宋体" w:hint="default"/>
                <w:sz w:val="18"/>
                <w:szCs w:val="18"/>
              </w:rPr>
              <w:t> </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8"/>
              <w:jc w:val="right"/>
              <w:rPr>
                <w:rFonts w:ascii="宋体" w:hAnsi="宋体" w:cs="宋体" w:eastAsia="宋体" w:hint="default"/>
                <w:sz w:val="18"/>
                <w:szCs w:val="18"/>
              </w:rPr>
            </w:pPr>
            <w:r>
              <w:rPr>
                <w:rFonts w:ascii="宋体"/>
                <w:spacing w:val="-1"/>
                <w:sz w:val="18"/>
              </w:rPr>
              <w:t>8.36</w:t>
            </w:r>
            <w:r>
              <w:rPr>
                <w:rFonts w:ascii="宋体"/>
                <w:sz w:val="18"/>
              </w:rPr>
              <w:t> </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4"/>
              <w:ind w:right="11"/>
              <w:jc w:val="right"/>
              <w:rPr>
                <w:rFonts w:ascii="宋体" w:hAnsi="宋体" w:cs="宋体" w:eastAsia="宋体" w:hint="default"/>
                <w:sz w:val="18"/>
                <w:szCs w:val="18"/>
              </w:rPr>
            </w:pPr>
            <w:r>
              <w:rPr>
                <w:rFonts w:ascii="宋体"/>
                <w:spacing w:val="-1"/>
                <w:sz w:val="18"/>
              </w:rPr>
              <w:t>323,011.42</w:t>
            </w:r>
            <w:r>
              <w:rPr>
                <w:rFonts w:ascii="宋体"/>
                <w:sz w:val="18"/>
              </w:rPr>
              <w:t> </w:t>
            </w:r>
          </w:p>
        </w:tc>
      </w:tr>
      <w:tr>
        <w:trPr>
          <w:trHeight w:val="600" w:hRule="exact"/>
        </w:trPr>
        <w:tc>
          <w:tcPr>
            <w:tcW w:w="2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left="82" w:right="0"/>
              <w:jc w:val="center"/>
              <w:rPr>
                <w:rFonts w:ascii="宋体" w:hAnsi="宋体" w:cs="宋体" w:eastAsia="宋体" w:hint="default"/>
                <w:sz w:val="18"/>
                <w:szCs w:val="18"/>
              </w:rPr>
            </w:pPr>
            <w:r>
              <w:rPr>
                <w:rFonts w:ascii="宋体" w:hAnsi="宋体" w:cs="宋体" w:eastAsia="宋体" w:hint="default"/>
                <w:sz w:val="18"/>
                <w:szCs w:val="18"/>
              </w:rPr>
              <w:t>上海喜马拉雅科技有限公司</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left="92" w:right="0"/>
              <w:jc w:val="center"/>
              <w:rPr>
                <w:rFonts w:ascii="宋体" w:hAnsi="宋体" w:cs="宋体" w:eastAsia="宋体" w:hint="default"/>
                <w:sz w:val="18"/>
                <w:szCs w:val="18"/>
              </w:rPr>
            </w:pPr>
            <w:r>
              <w:rPr>
                <w:rFonts w:ascii="宋体" w:hAnsi="宋体" w:cs="宋体" w:eastAsia="宋体" w:hint="default"/>
                <w:sz w:val="18"/>
                <w:szCs w:val="18"/>
              </w:rPr>
              <w:t>第三方</w:t>
            </w:r>
            <w:r>
              <w:rPr>
                <w:rFonts w:ascii="宋体" w:hAnsi="宋体" w:cs="宋体" w:eastAsia="宋体" w:hint="default"/>
                <w:sz w:val="18"/>
                <w:szCs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1"/>
              <w:jc w:val="right"/>
              <w:rPr>
                <w:rFonts w:ascii="宋体" w:hAnsi="宋体" w:cs="宋体" w:eastAsia="宋体" w:hint="default"/>
                <w:sz w:val="18"/>
                <w:szCs w:val="18"/>
              </w:rPr>
            </w:pPr>
            <w:r>
              <w:rPr>
                <w:rFonts w:ascii="宋体"/>
                <w:spacing w:val="-1"/>
                <w:sz w:val="18"/>
              </w:rPr>
              <w:t>4,800,582.00</w:t>
            </w:r>
            <w:r>
              <w:rPr>
                <w:rFonts w:ascii="宋体"/>
                <w:sz w:val="18"/>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left="87" w:right="0"/>
              <w:jc w:val="center"/>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4"/>
                <w:sz w:val="18"/>
                <w:szCs w:val="18"/>
              </w:rPr>
              <w:t> </w:t>
            </w:r>
            <w:r>
              <w:rPr>
                <w:rFonts w:ascii="宋体" w:hAnsi="宋体" w:cs="宋体" w:eastAsia="宋体" w:hint="default"/>
                <w:spacing w:val="-3"/>
                <w:sz w:val="18"/>
                <w:szCs w:val="18"/>
              </w:rPr>
              <w:t>年</w:t>
            </w:r>
            <w:r>
              <w:rPr>
                <w:rFonts w:ascii="宋体" w:hAnsi="宋体" w:cs="宋体" w:eastAsia="宋体" w:hint="default"/>
                <w:sz w:val="18"/>
                <w:szCs w:val="18"/>
              </w:rPr>
              <w:t> </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8"/>
              <w:jc w:val="right"/>
              <w:rPr>
                <w:rFonts w:ascii="宋体" w:hAnsi="宋体" w:cs="宋体" w:eastAsia="宋体" w:hint="default"/>
                <w:sz w:val="18"/>
                <w:szCs w:val="18"/>
              </w:rPr>
            </w:pPr>
            <w:r>
              <w:rPr>
                <w:rFonts w:ascii="宋体"/>
                <w:spacing w:val="-1"/>
                <w:sz w:val="18"/>
              </w:rPr>
              <w:t>6.27</w:t>
            </w:r>
            <w:r>
              <w:rPr>
                <w:rFonts w:ascii="宋体"/>
                <w:sz w:val="18"/>
              </w:rPr>
              <w:t> </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9"/>
              <w:ind w:right="11"/>
              <w:jc w:val="right"/>
              <w:rPr>
                <w:rFonts w:ascii="宋体" w:hAnsi="宋体" w:cs="宋体" w:eastAsia="宋体" w:hint="default"/>
                <w:sz w:val="18"/>
                <w:szCs w:val="18"/>
              </w:rPr>
            </w:pPr>
            <w:r>
              <w:rPr>
                <w:rFonts w:ascii="宋体"/>
                <w:spacing w:val="-1"/>
                <w:sz w:val="18"/>
              </w:rPr>
              <w:t>480,058.20</w:t>
            </w:r>
            <w:r>
              <w:rPr>
                <w:rFonts w:ascii="宋体"/>
                <w:sz w:val="18"/>
              </w:rPr>
              <w:t> </w:t>
            </w:r>
          </w:p>
        </w:tc>
      </w:tr>
      <w:tr>
        <w:trPr>
          <w:trHeight w:val="643" w:hRule="exact"/>
        </w:trPr>
        <w:tc>
          <w:tcPr>
            <w:tcW w:w="2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82" w:right="0"/>
              <w:jc w:val="center"/>
              <w:rPr>
                <w:rFonts w:ascii="宋体" w:hAnsi="宋体" w:cs="宋体" w:eastAsia="宋体" w:hint="default"/>
                <w:sz w:val="18"/>
                <w:szCs w:val="18"/>
              </w:rPr>
            </w:pPr>
            <w:r>
              <w:rPr>
                <w:rFonts w:ascii="宋体" w:hAnsi="宋体" w:cs="宋体" w:eastAsia="宋体" w:hint="default"/>
                <w:sz w:val="18"/>
                <w:szCs w:val="18"/>
              </w:rPr>
              <w:t>江西欣典文化传播有限公司</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92" w:right="0"/>
              <w:jc w:val="center"/>
              <w:rPr>
                <w:rFonts w:ascii="宋体" w:hAnsi="宋体" w:cs="宋体" w:eastAsia="宋体" w:hint="default"/>
                <w:sz w:val="18"/>
                <w:szCs w:val="18"/>
              </w:rPr>
            </w:pPr>
            <w:r>
              <w:rPr>
                <w:rFonts w:ascii="宋体" w:hAnsi="宋体" w:cs="宋体" w:eastAsia="宋体" w:hint="default"/>
                <w:sz w:val="18"/>
                <w:szCs w:val="18"/>
              </w:rPr>
              <w:t>第三方</w:t>
            </w:r>
            <w:r>
              <w:rPr>
                <w:rFonts w:ascii="宋体" w:hAnsi="宋体" w:cs="宋体" w:eastAsia="宋体" w:hint="default"/>
                <w:sz w:val="18"/>
                <w:szCs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4,500,000.00</w:t>
            </w:r>
            <w:r>
              <w:rPr>
                <w:rFonts w:ascii="宋体"/>
                <w:sz w:val="18"/>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87" w:right="0"/>
              <w:jc w:val="center"/>
              <w:rPr>
                <w:rFonts w:ascii="宋体" w:hAnsi="宋体" w:cs="宋体" w:eastAsia="宋体" w:hint="default"/>
                <w:sz w:val="18"/>
                <w:szCs w:val="18"/>
              </w:rPr>
            </w:pPr>
            <w:r>
              <w:rPr>
                <w:rFonts w:ascii="宋体" w:hAnsi="宋体" w:cs="宋体" w:eastAsia="宋体" w:hint="default"/>
                <w:sz w:val="18"/>
                <w:szCs w:val="18"/>
              </w:rPr>
              <w:t>1-2</w:t>
            </w:r>
            <w:r>
              <w:rPr>
                <w:rFonts w:ascii="宋体" w:hAnsi="宋体" w:cs="宋体" w:eastAsia="宋体" w:hint="default"/>
                <w:spacing w:val="-44"/>
                <w:sz w:val="18"/>
                <w:szCs w:val="18"/>
              </w:rPr>
              <w:t> </w:t>
            </w:r>
            <w:r>
              <w:rPr>
                <w:rFonts w:ascii="宋体" w:hAnsi="宋体" w:cs="宋体" w:eastAsia="宋体" w:hint="default"/>
                <w:spacing w:val="-3"/>
                <w:sz w:val="18"/>
                <w:szCs w:val="18"/>
              </w:rPr>
              <w:t>年</w:t>
            </w:r>
            <w:r>
              <w:rPr>
                <w:rFonts w:ascii="宋体" w:hAnsi="宋体" w:cs="宋体" w:eastAsia="宋体" w:hint="default"/>
                <w:sz w:val="18"/>
                <w:szCs w:val="18"/>
              </w:rPr>
              <w:t> </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8"/>
              <w:jc w:val="right"/>
              <w:rPr>
                <w:rFonts w:ascii="宋体" w:hAnsi="宋体" w:cs="宋体" w:eastAsia="宋体" w:hint="default"/>
                <w:sz w:val="18"/>
                <w:szCs w:val="18"/>
              </w:rPr>
            </w:pPr>
            <w:r>
              <w:rPr>
                <w:rFonts w:ascii="宋体"/>
                <w:spacing w:val="-1"/>
                <w:sz w:val="18"/>
              </w:rPr>
              <w:t>5.88</w:t>
            </w:r>
            <w:r>
              <w:rPr>
                <w:rFonts w:ascii="宋体"/>
                <w:sz w:val="18"/>
              </w:rPr>
              <w:t> </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450,000.00</w:t>
            </w:r>
            <w:r>
              <w:rPr>
                <w:rFonts w:ascii="宋体"/>
                <w:sz w:val="18"/>
              </w:rPr>
              <w:t> </w:t>
            </w:r>
          </w:p>
        </w:tc>
      </w:tr>
      <w:tr>
        <w:trPr>
          <w:trHeight w:val="629" w:hRule="exact"/>
        </w:trPr>
        <w:tc>
          <w:tcPr>
            <w:tcW w:w="2384"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71"/>
              <w:ind w:left="103" w:right="104"/>
              <w:jc w:val="left"/>
              <w:rPr>
                <w:rFonts w:ascii="宋体" w:hAnsi="宋体" w:cs="宋体" w:eastAsia="宋体" w:hint="default"/>
                <w:sz w:val="18"/>
                <w:szCs w:val="18"/>
              </w:rPr>
            </w:pPr>
            <w:r>
              <w:rPr>
                <w:rFonts w:ascii="宋体" w:hAnsi="宋体" w:cs="宋体" w:eastAsia="宋体" w:hint="default"/>
                <w:sz w:val="18"/>
                <w:szCs w:val="18"/>
              </w:rPr>
              <w:t>中国联合网络通信有限公司</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广东省分公司</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92" w:right="0"/>
              <w:jc w:val="center"/>
              <w:rPr>
                <w:rFonts w:ascii="宋体" w:hAnsi="宋体" w:cs="宋体" w:eastAsia="宋体" w:hint="default"/>
                <w:sz w:val="18"/>
                <w:szCs w:val="18"/>
              </w:rPr>
            </w:pPr>
            <w:r>
              <w:rPr>
                <w:rFonts w:ascii="宋体" w:hAnsi="宋体" w:cs="宋体" w:eastAsia="宋体" w:hint="default"/>
                <w:sz w:val="18"/>
                <w:szCs w:val="18"/>
              </w:rPr>
              <w:t>第三方</w:t>
            </w:r>
            <w:r>
              <w:rPr>
                <w:rFonts w:ascii="宋体" w:hAnsi="宋体" w:cs="宋体" w:eastAsia="宋体" w:hint="default"/>
                <w:sz w:val="18"/>
                <w:szCs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3,194,463.00</w:t>
            </w:r>
            <w:r>
              <w:rPr>
                <w:rFonts w:ascii="宋体"/>
                <w:sz w:val="18"/>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89"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6"/>
                <w:sz w:val="18"/>
                <w:szCs w:val="18"/>
              </w:rPr>
              <w:t> </w:t>
            </w:r>
            <w:r>
              <w:rPr>
                <w:rFonts w:ascii="宋体" w:hAnsi="宋体" w:cs="宋体" w:eastAsia="宋体" w:hint="default"/>
                <w:sz w:val="18"/>
                <w:szCs w:val="18"/>
              </w:rPr>
              <w:t>年以内</w:t>
            </w:r>
            <w:r>
              <w:rPr>
                <w:rFonts w:ascii="宋体" w:hAnsi="宋体" w:cs="宋体" w:eastAsia="宋体" w:hint="default"/>
                <w:sz w:val="18"/>
                <w:szCs w:val="18"/>
              </w:rPr>
              <w:t> </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8"/>
              <w:jc w:val="right"/>
              <w:rPr>
                <w:rFonts w:ascii="宋体" w:hAnsi="宋体" w:cs="宋体" w:eastAsia="宋体" w:hint="default"/>
                <w:sz w:val="18"/>
                <w:szCs w:val="18"/>
              </w:rPr>
            </w:pPr>
            <w:r>
              <w:rPr>
                <w:rFonts w:ascii="宋体"/>
                <w:spacing w:val="-1"/>
                <w:sz w:val="18"/>
              </w:rPr>
              <w:t>4.17</w:t>
            </w:r>
            <w:r>
              <w:rPr>
                <w:rFonts w:ascii="宋体"/>
                <w:sz w:val="18"/>
              </w:rPr>
              <w:t> </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159,723.15</w:t>
            </w:r>
            <w:r>
              <w:rPr>
                <w:rFonts w:ascii="宋体"/>
                <w:sz w:val="18"/>
              </w:rPr>
              <w:t> </w:t>
            </w:r>
          </w:p>
        </w:tc>
      </w:tr>
      <w:tr>
        <w:trPr>
          <w:trHeight w:val="644" w:hRule="exact"/>
        </w:trPr>
        <w:tc>
          <w:tcPr>
            <w:tcW w:w="2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82" w:right="0"/>
              <w:jc w:val="center"/>
              <w:rPr>
                <w:rFonts w:ascii="宋体" w:hAnsi="宋体" w:cs="宋体" w:eastAsia="宋体" w:hint="default"/>
                <w:sz w:val="18"/>
                <w:szCs w:val="18"/>
              </w:rPr>
            </w:pPr>
            <w:r>
              <w:rPr>
                <w:rFonts w:ascii="宋体" w:hAnsi="宋体" w:cs="宋体" w:eastAsia="宋体" w:hint="default"/>
                <w:sz w:val="18"/>
                <w:szCs w:val="18"/>
              </w:rPr>
              <w:t>央广视讯传媒股份有限公司</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92" w:right="0"/>
              <w:jc w:val="center"/>
              <w:rPr>
                <w:rFonts w:ascii="宋体" w:hAnsi="宋体" w:cs="宋体" w:eastAsia="宋体" w:hint="default"/>
                <w:sz w:val="18"/>
                <w:szCs w:val="18"/>
              </w:rPr>
            </w:pPr>
            <w:r>
              <w:rPr>
                <w:rFonts w:ascii="宋体" w:hAnsi="宋体" w:cs="宋体" w:eastAsia="宋体" w:hint="default"/>
                <w:sz w:val="18"/>
                <w:szCs w:val="18"/>
              </w:rPr>
              <w:t>第三方</w:t>
            </w:r>
            <w:r>
              <w:rPr>
                <w:rFonts w:ascii="宋体" w:hAnsi="宋体" w:cs="宋体" w:eastAsia="宋体" w:hint="default"/>
                <w:sz w:val="18"/>
                <w:szCs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2,322,472.45</w:t>
            </w:r>
            <w:r>
              <w:rPr>
                <w:rFonts w:ascii="宋体"/>
                <w:sz w:val="18"/>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87" w:right="0"/>
              <w:jc w:val="center"/>
              <w:rPr>
                <w:rFonts w:ascii="宋体" w:hAnsi="宋体" w:cs="宋体" w:eastAsia="宋体" w:hint="default"/>
                <w:sz w:val="18"/>
                <w:szCs w:val="18"/>
              </w:rPr>
            </w:pPr>
            <w:r>
              <w:rPr>
                <w:rFonts w:ascii="宋体" w:hAnsi="宋体" w:cs="宋体" w:eastAsia="宋体" w:hint="default"/>
                <w:sz w:val="18"/>
                <w:szCs w:val="18"/>
              </w:rPr>
              <w:t>2-3</w:t>
            </w:r>
            <w:r>
              <w:rPr>
                <w:rFonts w:ascii="宋体" w:hAnsi="宋体" w:cs="宋体" w:eastAsia="宋体" w:hint="default"/>
                <w:spacing w:val="-44"/>
                <w:sz w:val="18"/>
                <w:szCs w:val="18"/>
              </w:rPr>
              <w:t> </w:t>
            </w:r>
            <w:r>
              <w:rPr>
                <w:rFonts w:ascii="宋体" w:hAnsi="宋体" w:cs="宋体" w:eastAsia="宋体" w:hint="default"/>
                <w:spacing w:val="-3"/>
                <w:sz w:val="18"/>
                <w:szCs w:val="18"/>
              </w:rPr>
              <w:t>年</w:t>
            </w:r>
            <w:r>
              <w:rPr>
                <w:rFonts w:ascii="宋体" w:hAnsi="宋体" w:cs="宋体" w:eastAsia="宋体" w:hint="default"/>
                <w:sz w:val="18"/>
                <w:szCs w:val="18"/>
              </w:rPr>
              <w:t> </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8"/>
              <w:jc w:val="right"/>
              <w:rPr>
                <w:rFonts w:ascii="宋体" w:hAnsi="宋体" w:cs="宋体" w:eastAsia="宋体" w:hint="default"/>
                <w:sz w:val="18"/>
                <w:szCs w:val="18"/>
              </w:rPr>
            </w:pPr>
            <w:r>
              <w:rPr>
                <w:rFonts w:ascii="宋体"/>
                <w:spacing w:val="-1"/>
                <w:sz w:val="18"/>
              </w:rPr>
              <w:t>3.03</w:t>
            </w:r>
            <w:r>
              <w:rPr>
                <w:rFonts w:ascii="宋体"/>
                <w:sz w:val="18"/>
              </w:rPr>
              <w:t> </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928,988.98</w:t>
            </w:r>
            <w:r>
              <w:rPr>
                <w:rFonts w:ascii="宋体"/>
                <w:sz w:val="18"/>
              </w:rPr>
              <w:t> </w:t>
            </w:r>
          </w:p>
        </w:tc>
      </w:tr>
      <w:tr>
        <w:trPr>
          <w:trHeight w:val="398" w:hRule="exact"/>
        </w:trPr>
        <w:tc>
          <w:tcPr>
            <w:tcW w:w="23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8"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2" w:right="0"/>
              <w:jc w:val="center"/>
              <w:rPr>
                <w:rFonts w:ascii="宋体" w:hAnsi="宋体" w:cs="宋体" w:eastAsia="宋体" w:hint="default"/>
                <w:sz w:val="18"/>
                <w:szCs w:val="18"/>
              </w:rPr>
            </w:pPr>
            <w:r>
              <w:rPr>
                <w:rFonts w:ascii="宋体"/>
                <w:sz w:val="18"/>
              </w:rPr>
              <w:t>-- </w:t>
            </w:r>
          </w:p>
        </w:tc>
        <w:tc>
          <w:tcPr>
            <w:tcW w:w="14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21,221,787.59</w:t>
            </w:r>
            <w:r>
              <w:rPr>
                <w:rFonts w:ascii="宋体"/>
                <w:sz w:val="18"/>
              </w:rPr>
              <w:t> </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0" w:right="0"/>
              <w:jc w:val="center"/>
              <w:rPr>
                <w:rFonts w:ascii="宋体" w:hAnsi="宋体" w:cs="宋体" w:eastAsia="宋体" w:hint="default"/>
                <w:sz w:val="18"/>
                <w:szCs w:val="18"/>
              </w:rPr>
            </w:pPr>
            <w:r>
              <w:rPr>
                <w:rFonts w:ascii="宋体"/>
                <w:sz w:val="18"/>
              </w:rPr>
              <w:t>-- </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z w:val="18"/>
              </w:rPr>
              <w:t>27.71 </w:t>
            </w:r>
          </w:p>
        </w:tc>
        <w:tc>
          <w:tcPr>
            <w:tcW w:w="13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2,341,781.75</w:t>
            </w:r>
            <w:r>
              <w:rPr>
                <w:rFonts w:ascii="宋体"/>
                <w:sz w:val="18"/>
              </w:rPr>
              <w:t> </w:t>
            </w:r>
          </w:p>
        </w:tc>
      </w:tr>
    </w:tbl>
    <w:p>
      <w:pPr>
        <w:pStyle w:val="BodyText"/>
        <w:spacing w:line="340" w:lineRule="auto" w:before="86"/>
        <w:ind w:left="573" w:right="7341" w:hanging="209"/>
        <w:jc w:val="left"/>
        <w:rPr>
          <w:rFonts w:ascii="宋体" w:hAnsi="宋体" w:cs="宋体" w:eastAsia="宋体" w:hint="default"/>
        </w:rPr>
      </w:pPr>
      <w:r>
        <w:rPr/>
        <w:t>（</w:t>
      </w:r>
      <w:r>
        <w:rPr>
          <w:rFonts w:ascii="宋体" w:hAnsi="宋体" w:cs="宋体" w:eastAsia="宋体" w:hint="default"/>
        </w:rPr>
        <w:t>7</w:t>
      </w:r>
      <w:r>
        <w:rPr/>
        <w:t>）涉及政府补助的其他应收款</w:t>
      </w:r>
      <w:r>
        <w:rPr>
          <w:rFonts w:ascii="宋体" w:hAnsi="宋体" w:cs="宋体" w:eastAsia="宋体" w:hint="default"/>
          <w:w w:val="100"/>
        </w:rPr>
        <w:t> </w:t>
      </w:r>
      <w:r>
        <w:rPr/>
        <w:t>无。</w:t>
      </w:r>
      <w:r>
        <w:rPr>
          <w:rFonts w:ascii="宋体" w:hAnsi="宋体" w:cs="宋体" w:eastAsia="宋体" w:hint="default"/>
        </w:rPr>
        <w:t> </w:t>
      </w:r>
    </w:p>
    <w:p>
      <w:pPr>
        <w:pStyle w:val="BodyText"/>
        <w:spacing w:line="340" w:lineRule="auto" w:before="30"/>
        <w:ind w:left="573" w:right="5955" w:hanging="209"/>
        <w:jc w:val="left"/>
        <w:rPr>
          <w:rFonts w:ascii="宋体" w:hAnsi="宋体" w:cs="宋体" w:eastAsia="宋体" w:hint="default"/>
        </w:rPr>
      </w:pPr>
      <w:r>
        <w:rPr/>
        <w:t>（</w:t>
      </w:r>
      <w:r>
        <w:rPr>
          <w:rFonts w:ascii="宋体" w:hAnsi="宋体" w:cs="宋体" w:eastAsia="宋体" w:hint="default"/>
        </w:rPr>
        <w:t>8</w:t>
      </w:r>
      <w:r>
        <w:rPr/>
        <w:t>）因金融资产转移而终止确认的其他应收款</w:t>
      </w:r>
      <w:r>
        <w:rPr>
          <w:rFonts w:ascii="宋体" w:hAnsi="宋体" w:cs="宋体" w:eastAsia="宋体" w:hint="default"/>
          <w:w w:val="100"/>
        </w:rPr>
        <w:t> </w:t>
      </w:r>
      <w:r>
        <w:rPr/>
        <w:t>无。</w:t>
      </w:r>
      <w:r>
        <w:rPr>
          <w:rFonts w:ascii="宋体" w:hAnsi="宋体" w:cs="宋体" w:eastAsia="宋体" w:hint="default"/>
        </w:rPr>
        <w:t> </w:t>
      </w:r>
    </w:p>
    <w:p>
      <w:pPr>
        <w:pStyle w:val="BodyText"/>
        <w:spacing w:line="340" w:lineRule="auto" w:before="30"/>
        <w:ind w:left="573" w:right="5017" w:hanging="209"/>
        <w:jc w:val="left"/>
        <w:rPr>
          <w:rFonts w:ascii="宋体" w:hAnsi="宋体" w:cs="宋体" w:eastAsia="宋体" w:hint="default"/>
        </w:rPr>
      </w:pPr>
      <w:r>
        <w:rPr/>
        <w:t>（</w:t>
      </w:r>
      <w:r>
        <w:rPr>
          <w:rFonts w:ascii="宋体" w:hAnsi="宋体" w:cs="宋体" w:eastAsia="宋体" w:hint="default"/>
        </w:rPr>
        <w:t>9</w:t>
      </w:r>
      <w:r>
        <w:rPr/>
        <w:t>）转移其他应收款且继续涉入形成的资产、负债金额</w:t>
      </w:r>
      <w:r>
        <w:rPr>
          <w:rFonts w:ascii="宋体" w:hAnsi="宋体" w:cs="宋体" w:eastAsia="宋体" w:hint="default"/>
          <w:w w:val="100"/>
        </w:rPr>
        <w:t> </w:t>
      </w:r>
      <w:r>
        <w:rPr/>
        <w:t>无。</w:t>
      </w:r>
      <w:r>
        <w:rPr>
          <w:rFonts w:ascii="宋体" w:hAnsi="宋体" w:cs="宋体" w:eastAsia="宋体" w:hint="default"/>
        </w:rPr>
        <w:t> </w:t>
      </w:r>
    </w:p>
    <w:p>
      <w:pPr>
        <w:spacing w:line="343" w:lineRule="auto" w:before="30"/>
        <w:ind w:left="573" w:right="8232" w:hanging="68"/>
        <w:jc w:val="left"/>
        <w:rPr>
          <w:rFonts w:ascii="宋体" w:hAnsi="宋体" w:cs="宋体" w:eastAsia="宋体" w:hint="default"/>
          <w:sz w:val="21"/>
          <w:szCs w:val="21"/>
        </w:rPr>
      </w:pPr>
      <w:r>
        <w:rPr>
          <w:rFonts w:ascii="宋体" w:hAnsi="宋体" w:cs="宋体" w:eastAsia="宋体" w:hint="default"/>
          <w:b/>
          <w:bCs/>
          <w:sz w:val="21"/>
          <w:szCs w:val="21"/>
        </w:rPr>
        <w:t>（六）存货</w:t>
      </w:r>
      <w:r>
        <w:rPr>
          <w:rFonts w:ascii="宋体" w:hAnsi="宋体" w:cs="宋体" w:eastAsia="宋体" w:hint="default"/>
          <w:b/>
          <w:bCs/>
          <w:w w:val="99"/>
          <w:sz w:val="21"/>
          <w:szCs w:val="21"/>
        </w:rPr>
        <w:t> </w:t>
      </w:r>
      <w:r>
        <w:rPr>
          <w:rFonts w:ascii="宋体" w:hAnsi="宋体" w:cs="宋体" w:eastAsia="宋体" w:hint="default"/>
          <w:sz w:val="21"/>
          <w:szCs w:val="21"/>
        </w:rPr>
        <w:t>1</w:t>
      </w:r>
      <w:r>
        <w:rPr>
          <w:rFonts w:ascii="宋体" w:hAnsi="宋体" w:cs="宋体" w:eastAsia="宋体" w:hint="default"/>
          <w:sz w:val="21"/>
          <w:szCs w:val="21"/>
        </w:rPr>
        <w:t>、存货分类</w:t>
      </w:r>
      <w:r>
        <w:rPr>
          <w:rFonts w:ascii="宋体" w:hAnsi="宋体" w:cs="宋体" w:eastAsia="宋体" w:hint="default"/>
          <w:sz w:val="21"/>
          <w:szCs w:val="21"/>
        </w:rPr>
        <w:t> </w:t>
      </w:r>
    </w:p>
    <w:p>
      <w:pPr>
        <w:spacing w:line="240" w:lineRule="auto" w:before="10"/>
        <w:rPr>
          <w:rFonts w:ascii="宋体" w:hAnsi="宋体" w:cs="宋体" w:eastAsia="宋体" w:hint="default"/>
          <w:sz w:val="4"/>
          <w:szCs w:val="4"/>
        </w:rPr>
      </w:pPr>
    </w:p>
    <w:tbl>
      <w:tblPr>
        <w:tblW w:w="0" w:type="auto"/>
        <w:jc w:val="left"/>
        <w:tblInd w:w="205" w:type="dxa"/>
        <w:tblLayout w:type="fixed"/>
        <w:tblCellMar>
          <w:top w:w="0" w:type="dxa"/>
          <w:left w:w="0" w:type="dxa"/>
          <w:bottom w:w="0" w:type="dxa"/>
          <w:right w:w="0" w:type="dxa"/>
        </w:tblCellMar>
        <w:tblLook w:val="01E0"/>
      </w:tblPr>
      <w:tblGrid>
        <w:gridCol w:w="1373"/>
        <w:gridCol w:w="1387"/>
        <w:gridCol w:w="881"/>
        <w:gridCol w:w="1423"/>
        <w:gridCol w:w="1587"/>
        <w:gridCol w:w="876"/>
        <w:gridCol w:w="1997"/>
      </w:tblGrid>
      <w:tr>
        <w:trPr>
          <w:trHeight w:val="396" w:hRule="exact"/>
        </w:trPr>
        <w:tc>
          <w:tcPr>
            <w:tcW w:w="137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502" w:right="0"/>
              <w:jc w:val="left"/>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369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5"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c>
          <w:tcPr>
            <w:tcW w:w="4460"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4" w:right="0"/>
              <w:jc w:val="center"/>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r>
      <w:tr>
        <w:trPr>
          <w:trHeight w:val="732" w:hRule="exact"/>
        </w:trPr>
        <w:tc>
          <w:tcPr>
            <w:tcW w:w="1373" w:type="dxa"/>
            <w:vMerge/>
            <w:tcBorders>
              <w:left w:val="single" w:sz="4" w:space="0" w:color="000000"/>
              <w:bottom w:val="single" w:sz="4" w:space="0" w:color="000000"/>
              <w:right w:val="single" w:sz="4" w:space="0" w:color="000000"/>
            </w:tcBorders>
          </w:tcPr>
          <w:p>
            <w:pPr/>
          </w:p>
        </w:tc>
        <w:tc>
          <w:tcPr>
            <w:tcW w:w="1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331" w:right="0"/>
              <w:jc w:val="left"/>
              <w:rPr>
                <w:rFonts w:ascii="宋体" w:hAnsi="宋体" w:cs="宋体" w:eastAsia="宋体" w:hint="default"/>
                <w:sz w:val="18"/>
                <w:szCs w:val="18"/>
              </w:rPr>
            </w:pPr>
            <w:r>
              <w:rPr>
                <w:rFonts w:ascii="宋体" w:hAnsi="宋体" w:cs="宋体" w:eastAsia="宋体" w:hint="default"/>
                <w:sz w:val="18"/>
                <w:szCs w:val="18"/>
              </w:rPr>
              <w:t>账面余额</w:t>
            </w:r>
            <w:r>
              <w:rPr>
                <w:rFonts w:ascii="宋体" w:hAnsi="宋体" w:cs="宋体" w:eastAsia="宋体" w:hint="default"/>
                <w:sz w:val="18"/>
                <w:szCs w:val="18"/>
              </w:rPr>
              <w:t> </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21"/>
              <w:ind w:left="166" w:right="73"/>
              <w:jc w:val="left"/>
              <w:rPr>
                <w:rFonts w:ascii="宋体" w:hAnsi="宋体" w:cs="宋体" w:eastAsia="宋体" w:hint="default"/>
                <w:sz w:val="18"/>
                <w:szCs w:val="18"/>
              </w:rPr>
            </w:pPr>
            <w:r>
              <w:rPr>
                <w:rFonts w:ascii="宋体" w:hAnsi="宋体" w:cs="宋体" w:eastAsia="宋体" w:hint="default"/>
                <w:sz w:val="18"/>
                <w:szCs w:val="18"/>
              </w:rPr>
              <w:t>存货跌 价准备</w:t>
            </w:r>
            <w:r>
              <w:rPr>
                <w:rFonts w:ascii="宋体" w:hAnsi="宋体" w:cs="宋体" w:eastAsia="宋体" w:hint="default"/>
                <w:sz w:val="18"/>
                <w:szCs w:val="18"/>
              </w:rPr>
              <w:t> </w:t>
            </w:r>
          </w:p>
        </w:tc>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345" w:right="0"/>
              <w:jc w:val="left"/>
              <w:rPr>
                <w:rFonts w:ascii="宋体" w:hAnsi="宋体" w:cs="宋体" w:eastAsia="宋体" w:hint="default"/>
                <w:sz w:val="18"/>
                <w:szCs w:val="18"/>
              </w:rPr>
            </w:pPr>
            <w:r>
              <w:rPr>
                <w:rFonts w:ascii="宋体" w:hAnsi="宋体" w:cs="宋体" w:eastAsia="宋体" w:hint="default"/>
                <w:sz w:val="18"/>
                <w:szCs w:val="18"/>
              </w:rPr>
              <w:t>账面价值</w:t>
            </w:r>
            <w:r>
              <w:rPr>
                <w:rFonts w:ascii="宋体" w:hAnsi="宋体" w:cs="宋体" w:eastAsia="宋体" w:hint="default"/>
                <w:sz w:val="18"/>
                <w:szCs w:val="18"/>
              </w:rPr>
              <w:t> </w:t>
            </w: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430" w:right="0"/>
              <w:jc w:val="left"/>
              <w:rPr>
                <w:rFonts w:ascii="宋体" w:hAnsi="宋体" w:cs="宋体" w:eastAsia="宋体" w:hint="default"/>
                <w:sz w:val="18"/>
                <w:szCs w:val="18"/>
              </w:rPr>
            </w:pPr>
            <w:r>
              <w:rPr>
                <w:rFonts w:ascii="宋体" w:hAnsi="宋体" w:cs="宋体" w:eastAsia="宋体" w:hint="default"/>
                <w:sz w:val="18"/>
                <w:szCs w:val="18"/>
              </w:rPr>
              <w:t>账面余额</w:t>
            </w:r>
            <w:r>
              <w:rPr>
                <w:rFonts w:ascii="宋体" w:hAnsi="宋体" w:cs="宋体" w:eastAsia="宋体" w:hint="default"/>
                <w:sz w:val="18"/>
                <w:szCs w:val="18"/>
              </w:rPr>
              <w:t> </w:t>
            </w:r>
          </w:p>
        </w:tc>
        <w:tc>
          <w:tcPr>
            <w:tcW w:w="876" w:type="dxa"/>
            <w:tcBorders>
              <w:top w:val="single" w:sz="4" w:space="0" w:color="000000"/>
              <w:left w:val="single" w:sz="4" w:space="0" w:color="000000"/>
              <w:bottom w:val="single" w:sz="4" w:space="0" w:color="000000"/>
              <w:right w:val="single" w:sz="4" w:space="0" w:color="000000"/>
            </w:tcBorders>
          </w:tcPr>
          <w:p>
            <w:pPr>
              <w:pStyle w:val="TableParagraph"/>
              <w:spacing w:line="232" w:lineRule="exact" w:before="121"/>
              <w:ind w:left="165" w:right="68"/>
              <w:jc w:val="left"/>
              <w:rPr>
                <w:rFonts w:ascii="宋体" w:hAnsi="宋体" w:cs="宋体" w:eastAsia="宋体" w:hint="default"/>
                <w:sz w:val="18"/>
                <w:szCs w:val="18"/>
              </w:rPr>
            </w:pPr>
            <w:r>
              <w:rPr>
                <w:rFonts w:ascii="宋体" w:hAnsi="宋体" w:cs="宋体" w:eastAsia="宋体" w:hint="default"/>
                <w:sz w:val="18"/>
                <w:szCs w:val="18"/>
              </w:rPr>
              <w:t>存货跌 价准备</w:t>
            </w:r>
            <w:r>
              <w:rPr>
                <w:rFonts w:ascii="宋体" w:hAnsi="宋体" w:cs="宋体" w:eastAsia="宋体" w:hint="default"/>
                <w:sz w:val="18"/>
                <w:szCs w:val="18"/>
              </w:rPr>
              <w:t> </w:t>
            </w: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left="634" w:right="0"/>
              <w:jc w:val="left"/>
              <w:rPr>
                <w:rFonts w:ascii="宋体" w:hAnsi="宋体" w:cs="宋体" w:eastAsia="宋体" w:hint="default"/>
                <w:sz w:val="18"/>
                <w:szCs w:val="18"/>
              </w:rPr>
            </w:pPr>
            <w:r>
              <w:rPr>
                <w:rFonts w:ascii="宋体" w:hAnsi="宋体" w:cs="宋体" w:eastAsia="宋体" w:hint="default"/>
                <w:sz w:val="18"/>
                <w:szCs w:val="18"/>
              </w:rPr>
              <w:t>账面价值</w:t>
            </w:r>
            <w:r>
              <w:rPr>
                <w:rFonts w:ascii="宋体" w:hAnsi="宋体" w:cs="宋体" w:eastAsia="宋体" w:hint="default"/>
                <w:sz w:val="18"/>
                <w:szCs w:val="18"/>
              </w:rPr>
              <w:t> </w:t>
            </w:r>
          </w:p>
        </w:tc>
      </w:tr>
      <w:tr>
        <w:trPr>
          <w:trHeight w:val="396"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原材料</w:t>
            </w:r>
            <w:r>
              <w:rPr>
                <w:rFonts w:ascii="宋体" w:hAnsi="宋体" w:cs="宋体" w:eastAsia="宋体" w:hint="default"/>
                <w:sz w:val="18"/>
                <w:szCs w:val="18"/>
              </w:rPr>
              <w:t> </w:t>
            </w:r>
          </w:p>
        </w:tc>
        <w:tc>
          <w:tcPr>
            <w:tcW w:w="1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459,834.78</w:t>
            </w:r>
            <w:r>
              <w:rPr>
                <w:rFonts w:ascii="宋体"/>
                <w:sz w:val="18"/>
              </w:rPr>
              <w:t> </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459,834.78</w:t>
            </w:r>
            <w:r>
              <w:rPr>
                <w:rFonts w:ascii="宋体"/>
                <w:sz w:val="18"/>
              </w:rPr>
              <w:t> </w:t>
            </w: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853,175.46</w:t>
            </w:r>
            <w:r>
              <w:rPr>
                <w:rFonts w:ascii="宋体"/>
                <w:sz w:val="18"/>
              </w:rPr>
              <w:t> </w:t>
            </w:r>
          </w:p>
        </w:tc>
        <w:tc>
          <w:tcPr>
            <w:tcW w:w="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z w:val="18"/>
              </w:rPr>
              <w:t> </w:t>
            </w: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853,175.46</w:t>
            </w:r>
            <w:r>
              <w:rPr>
                <w:rFonts w:ascii="宋体"/>
                <w:sz w:val="18"/>
              </w:rPr>
              <w:t> </w:t>
            </w:r>
          </w:p>
        </w:tc>
      </w:tr>
      <w:tr>
        <w:trPr>
          <w:trHeight w:val="398"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其他存货</w:t>
            </w:r>
            <w:r>
              <w:rPr>
                <w:rFonts w:ascii="宋体" w:hAnsi="宋体" w:cs="宋体" w:eastAsia="宋体" w:hint="default"/>
                <w:sz w:val="18"/>
                <w:szCs w:val="18"/>
              </w:rPr>
              <w:t> </w:t>
            </w:r>
          </w:p>
        </w:tc>
        <w:tc>
          <w:tcPr>
            <w:tcW w:w="1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31,201,958.51</w:t>
            </w:r>
            <w:r>
              <w:rPr>
                <w:rFonts w:ascii="宋体"/>
                <w:sz w:val="18"/>
              </w:rPr>
              <w:t> </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31,201,958.51</w:t>
            </w:r>
            <w:r>
              <w:rPr>
                <w:rFonts w:ascii="宋体"/>
                <w:sz w:val="18"/>
              </w:rPr>
              <w:t> </w:t>
            </w: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46,883,482.03 </w:t>
            </w:r>
          </w:p>
        </w:tc>
        <w:tc>
          <w:tcPr>
            <w:tcW w:w="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z w:val="18"/>
              </w:rPr>
              <w:t> </w:t>
            </w: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46,883,482.03</w:t>
            </w:r>
            <w:r>
              <w:rPr>
                <w:rFonts w:ascii="宋体"/>
                <w:sz w:val="18"/>
              </w:rPr>
              <w:t> </w:t>
            </w:r>
          </w:p>
        </w:tc>
      </w:tr>
      <w:tr>
        <w:trPr>
          <w:trHeight w:val="396" w:hRule="exact"/>
        </w:trPr>
        <w:tc>
          <w:tcPr>
            <w:tcW w:w="1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502" w:right="0"/>
              <w:jc w:val="lef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3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31,661,793.29</w:t>
            </w:r>
            <w:r>
              <w:rPr>
                <w:rFonts w:ascii="宋体"/>
                <w:sz w:val="18"/>
              </w:rPr>
              <w:t> </w:t>
            </w:r>
          </w:p>
        </w:tc>
        <w:tc>
          <w:tcPr>
            <w:tcW w:w="8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c>
          <w:tcPr>
            <w:tcW w:w="142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2"/>
              <w:jc w:val="right"/>
              <w:rPr>
                <w:rFonts w:ascii="宋体" w:hAnsi="宋体" w:cs="宋体" w:eastAsia="宋体" w:hint="default"/>
                <w:sz w:val="18"/>
                <w:szCs w:val="18"/>
              </w:rPr>
            </w:pPr>
            <w:r>
              <w:rPr>
                <w:rFonts w:ascii="宋体"/>
                <w:spacing w:val="-1"/>
                <w:sz w:val="18"/>
              </w:rPr>
              <w:t>31,661,793.29</w:t>
            </w:r>
            <w:r>
              <w:rPr>
                <w:rFonts w:ascii="宋体"/>
                <w:sz w:val="18"/>
              </w:rPr>
              <w:t> </w:t>
            </w:r>
          </w:p>
        </w:tc>
        <w:tc>
          <w:tcPr>
            <w:tcW w:w="15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47,736,657.49 </w:t>
            </w:r>
          </w:p>
        </w:tc>
        <w:tc>
          <w:tcPr>
            <w:tcW w:w="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z w:val="18"/>
              </w:rPr>
              <w:t> </w:t>
            </w:r>
          </w:p>
        </w:tc>
        <w:tc>
          <w:tcPr>
            <w:tcW w:w="19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47,736,657.49</w:t>
            </w:r>
            <w:r>
              <w:rPr>
                <w:rFonts w:ascii="宋体"/>
                <w:sz w:val="18"/>
              </w:rPr>
              <w:t> </w:t>
            </w:r>
          </w:p>
        </w:tc>
      </w:tr>
    </w:tbl>
    <w:p>
      <w:pPr>
        <w:pStyle w:val="BodyText"/>
        <w:spacing w:line="240" w:lineRule="auto" w:before="86"/>
        <w:ind w:left="573" w:right="1133"/>
        <w:jc w:val="left"/>
        <w:rPr>
          <w:rFonts w:ascii="宋体" w:hAnsi="宋体" w:cs="宋体" w:eastAsia="宋体" w:hint="default"/>
        </w:rPr>
      </w:pPr>
      <w:r>
        <w:rPr>
          <w:rFonts w:ascii="宋体" w:hAnsi="宋体" w:cs="宋体" w:eastAsia="宋体" w:hint="default"/>
        </w:rPr>
        <w:t>2</w:t>
      </w:r>
      <w:r>
        <w:rPr/>
        <w:t>、存货跌价准备</w:t>
      </w:r>
      <w:r>
        <w:rPr>
          <w:rFonts w:ascii="宋体" w:hAnsi="宋体" w:cs="宋体" w:eastAsia="宋体" w:hint="default"/>
        </w:rPr>
        <w:t> </w:t>
      </w:r>
    </w:p>
    <w:p>
      <w:pPr>
        <w:pStyle w:val="BodyText"/>
        <w:spacing w:line="343" w:lineRule="auto" w:before="118"/>
        <w:ind w:left="573" w:right="5648"/>
        <w:jc w:val="left"/>
        <w:rPr>
          <w:rFonts w:ascii="宋体" w:hAnsi="宋体" w:cs="宋体" w:eastAsia="宋体" w:hint="default"/>
        </w:rPr>
      </w:pPr>
      <w:r>
        <w:rPr/>
        <w:t>无。</w:t>
      </w:r>
      <w:r>
        <w:rPr>
          <w:rFonts w:ascii="宋体" w:hAnsi="宋体" w:cs="宋体" w:eastAsia="宋体" w:hint="default"/>
          <w:w w:val="100"/>
        </w:rPr>
        <w:t> </w:t>
      </w:r>
      <w:r>
        <w:rPr>
          <w:rFonts w:ascii="宋体" w:hAnsi="宋体" w:cs="宋体" w:eastAsia="宋体" w:hint="default"/>
        </w:rPr>
        <w:t>3</w:t>
      </w:r>
      <w:r>
        <w:rPr/>
        <w:t>、存货期末余额含有借款费用资本化金额的说明</w:t>
      </w:r>
      <w:r>
        <w:rPr>
          <w:rFonts w:ascii="宋体" w:hAnsi="宋体" w:cs="宋体" w:eastAsia="宋体" w:hint="default"/>
          <w:w w:val="100"/>
        </w:rPr>
        <w:t> </w:t>
      </w:r>
      <w:r>
        <w:rPr/>
        <w:t>无。</w:t>
      </w:r>
      <w:r>
        <w:rPr>
          <w:rFonts w:ascii="宋体" w:hAnsi="宋体" w:cs="宋体" w:eastAsia="宋体" w:hint="default"/>
          <w:w w:val="100"/>
        </w:rPr>
        <w:t> </w:t>
      </w:r>
      <w:r>
        <w:rPr>
          <w:rFonts w:ascii="宋体" w:hAnsi="宋体" w:cs="宋体" w:eastAsia="宋体" w:hint="default"/>
        </w:rPr>
        <w:t>4</w:t>
      </w:r>
      <w:r>
        <w:rPr/>
        <w:t>、期末建造合同形成的已完工未结算资产情况</w:t>
      </w:r>
      <w:r>
        <w:rPr>
          <w:rFonts w:ascii="宋体" w:hAnsi="宋体" w:cs="宋体" w:eastAsia="宋体" w:hint="default"/>
          <w:w w:val="100"/>
        </w:rPr>
        <w:t> </w:t>
      </w:r>
      <w:r>
        <w:rPr/>
        <w:t>无。</w:t>
      </w:r>
      <w:r>
        <w:rPr>
          <w:rFonts w:ascii="宋体" w:hAnsi="宋体" w:cs="宋体" w:eastAsia="宋体" w:hint="default"/>
        </w:rPr>
        <w:t> </w:t>
      </w:r>
    </w:p>
    <w:p>
      <w:pPr>
        <w:pStyle w:val="Heading3"/>
        <w:spacing w:line="240" w:lineRule="auto" w:before="28"/>
        <w:ind w:left="506" w:right="1133"/>
        <w:jc w:val="left"/>
        <w:rPr>
          <w:rFonts w:ascii="宋体" w:hAnsi="宋体" w:cs="宋体" w:eastAsia="宋体" w:hint="default"/>
          <w:b w:val="0"/>
          <w:bCs w:val="0"/>
        </w:rPr>
      </w:pPr>
      <w:r>
        <w:rPr/>
        <w:t>（七）一年内到期的非流动资产</w:t>
      </w:r>
      <w:r>
        <w:rPr>
          <w:rFonts w:ascii="宋体" w:hAnsi="宋体" w:cs="宋体" w:eastAsia="宋体" w:hint="default"/>
          <w:w w:val="99"/>
        </w:rPr>
        <w:t> </w:t>
      </w:r>
      <w:r>
        <w:rPr>
          <w:rFonts w:ascii="宋体" w:hAnsi="宋体" w:cs="宋体" w:eastAsia="宋体" w:hint="default"/>
          <w:b w:val="0"/>
          <w:bCs w:val="0"/>
        </w:rPr>
      </w:r>
    </w:p>
    <w:p>
      <w:pPr>
        <w:spacing w:line="240" w:lineRule="auto" w:before="6"/>
        <w:rPr>
          <w:rFonts w:ascii="宋体" w:hAnsi="宋体" w:cs="宋体" w:eastAsia="宋体" w:hint="default"/>
          <w:b/>
          <w:bCs/>
          <w:sz w:val="11"/>
          <w:szCs w:val="11"/>
        </w:rPr>
      </w:pPr>
    </w:p>
    <w:tbl>
      <w:tblPr>
        <w:tblW w:w="0" w:type="auto"/>
        <w:jc w:val="left"/>
        <w:tblInd w:w="188" w:type="dxa"/>
        <w:tblLayout w:type="fixed"/>
        <w:tblCellMar>
          <w:top w:w="0" w:type="dxa"/>
          <w:left w:w="0" w:type="dxa"/>
          <w:bottom w:w="0" w:type="dxa"/>
          <w:right w:w="0" w:type="dxa"/>
        </w:tblCellMar>
        <w:tblLook w:val="01E0"/>
      </w:tblPr>
      <w:tblGrid>
        <w:gridCol w:w="2823"/>
        <w:gridCol w:w="2869"/>
        <w:gridCol w:w="3855"/>
      </w:tblGrid>
      <w:tr>
        <w:trPr>
          <w:trHeight w:val="427" w:hRule="exact"/>
        </w:trPr>
        <w:tc>
          <w:tcPr>
            <w:tcW w:w="2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90"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2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87"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c>
          <w:tcPr>
            <w:tcW w:w="3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89" w:right="0"/>
              <w:jc w:val="center"/>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r>
    </w:tbl>
    <w:p>
      <w:pPr>
        <w:spacing w:after="0" w:line="240" w:lineRule="auto"/>
        <w:jc w:val="center"/>
        <w:rPr>
          <w:rFonts w:ascii="宋体" w:hAnsi="宋体" w:cs="宋体" w:eastAsia="宋体" w:hint="default"/>
          <w:sz w:val="18"/>
          <w:szCs w:val="18"/>
        </w:rPr>
        <w:sectPr>
          <w:pgSz w:w="11910" w:h="16840"/>
          <w:pgMar w:header="921" w:footer="725" w:top="1160" w:bottom="920" w:left="980" w:right="0"/>
        </w:sectPr>
      </w:pPr>
    </w:p>
    <w:p>
      <w:pPr>
        <w:spacing w:line="240" w:lineRule="auto" w:before="4"/>
        <w:rPr>
          <w:rFonts w:ascii="宋体" w:hAnsi="宋体" w:cs="宋体" w:eastAsia="宋体" w:hint="default"/>
          <w:b/>
          <w:bCs/>
          <w:sz w:val="21"/>
          <w:szCs w:val="21"/>
        </w:rPr>
      </w:pPr>
    </w:p>
    <w:tbl>
      <w:tblPr>
        <w:tblW w:w="0" w:type="auto"/>
        <w:jc w:val="left"/>
        <w:tblInd w:w="188" w:type="dxa"/>
        <w:tblLayout w:type="fixed"/>
        <w:tblCellMar>
          <w:top w:w="0" w:type="dxa"/>
          <w:left w:w="0" w:type="dxa"/>
          <w:bottom w:w="0" w:type="dxa"/>
          <w:right w:w="0" w:type="dxa"/>
        </w:tblCellMar>
        <w:tblLook w:val="01E0"/>
      </w:tblPr>
      <w:tblGrid>
        <w:gridCol w:w="2823"/>
        <w:gridCol w:w="2869"/>
        <w:gridCol w:w="3855"/>
      </w:tblGrid>
      <w:tr>
        <w:trPr>
          <w:trHeight w:val="425" w:hRule="exact"/>
        </w:trPr>
        <w:tc>
          <w:tcPr>
            <w:tcW w:w="2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81" w:right="0"/>
              <w:jc w:val="left"/>
              <w:rPr>
                <w:rFonts w:ascii="宋体" w:hAnsi="宋体" w:cs="宋体" w:eastAsia="宋体" w:hint="default"/>
                <w:sz w:val="18"/>
                <w:szCs w:val="18"/>
              </w:rPr>
            </w:pPr>
            <w:r>
              <w:rPr>
                <w:rFonts w:ascii="宋体" w:hAnsi="宋体" w:cs="宋体" w:eastAsia="宋体" w:hint="default"/>
                <w:sz w:val="18"/>
                <w:szCs w:val="18"/>
              </w:rPr>
              <w:t>一年内到期的长期应收款</w:t>
            </w:r>
            <w:r>
              <w:rPr>
                <w:rFonts w:ascii="宋体" w:hAnsi="宋体" w:cs="宋体" w:eastAsia="宋体" w:hint="default"/>
                <w:sz w:val="18"/>
                <w:szCs w:val="18"/>
              </w:rPr>
              <w:t> </w:t>
            </w:r>
          </w:p>
        </w:tc>
        <w:tc>
          <w:tcPr>
            <w:tcW w:w="2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9"/>
              <w:jc w:val="right"/>
              <w:rPr>
                <w:rFonts w:ascii="宋体" w:hAnsi="宋体" w:cs="宋体" w:eastAsia="宋体" w:hint="default"/>
                <w:sz w:val="18"/>
                <w:szCs w:val="18"/>
              </w:rPr>
            </w:pPr>
            <w:r>
              <w:rPr>
                <w:rFonts w:ascii="宋体"/>
                <w:sz w:val="18"/>
              </w:rPr>
              <w:t> </w:t>
            </w:r>
          </w:p>
        </w:tc>
        <w:tc>
          <w:tcPr>
            <w:tcW w:w="3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
              <w:jc w:val="right"/>
              <w:rPr>
                <w:rFonts w:ascii="宋体" w:hAnsi="宋体" w:cs="宋体" w:eastAsia="宋体" w:hint="default"/>
                <w:sz w:val="18"/>
                <w:szCs w:val="18"/>
              </w:rPr>
            </w:pPr>
            <w:r>
              <w:rPr>
                <w:rFonts w:ascii="宋体"/>
                <w:spacing w:val="-1"/>
                <w:sz w:val="18"/>
              </w:rPr>
              <w:t>86,820,311.33</w:t>
            </w:r>
            <w:r>
              <w:rPr>
                <w:rFonts w:ascii="宋体"/>
                <w:sz w:val="18"/>
              </w:rPr>
              <w:t> </w:t>
            </w:r>
          </w:p>
        </w:tc>
      </w:tr>
      <w:tr>
        <w:trPr>
          <w:trHeight w:val="425" w:hRule="exact"/>
        </w:trPr>
        <w:tc>
          <w:tcPr>
            <w:tcW w:w="2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90"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2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9"/>
              <w:jc w:val="right"/>
              <w:rPr>
                <w:rFonts w:ascii="宋体" w:hAnsi="宋体" w:cs="宋体" w:eastAsia="宋体" w:hint="default"/>
                <w:sz w:val="18"/>
                <w:szCs w:val="18"/>
              </w:rPr>
            </w:pPr>
            <w:r>
              <w:rPr>
                <w:rFonts w:ascii="宋体"/>
                <w:sz w:val="18"/>
              </w:rPr>
              <w:t> </w:t>
            </w:r>
          </w:p>
        </w:tc>
        <w:tc>
          <w:tcPr>
            <w:tcW w:w="38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0"/>
              <w:jc w:val="right"/>
              <w:rPr>
                <w:rFonts w:ascii="宋体" w:hAnsi="宋体" w:cs="宋体" w:eastAsia="宋体" w:hint="default"/>
                <w:sz w:val="18"/>
                <w:szCs w:val="18"/>
              </w:rPr>
            </w:pPr>
            <w:r>
              <w:rPr>
                <w:rFonts w:ascii="宋体"/>
                <w:spacing w:val="-1"/>
                <w:sz w:val="18"/>
              </w:rPr>
              <w:t>86,820,311.33</w:t>
            </w:r>
            <w:r>
              <w:rPr>
                <w:rFonts w:ascii="宋体"/>
                <w:sz w:val="18"/>
              </w:rPr>
              <w:t> </w:t>
            </w:r>
          </w:p>
        </w:tc>
      </w:tr>
    </w:tbl>
    <w:p>
      <w:pPr>
        <w:spacing w:before="86"/>
        <w:ind w:left="506" w:right="1133" w:firstLine="0"/>
        <w:jc w:val="left"/>
        <w:rPr>
          <w:rFonts w:ascii="宋体" w:hAnsi="宋体" w:cs="宋体" w:eastAsia="宋体" w:hint="default"/>
          <w:sz w:val="21"/>
          <w:szCs w:val="21"/>
        </w:rPr>
      </w:pPr>
      <w:r>
        <w:rPr>
          <w:rFonts w:ascii="宋体" w:hAnsi="宋体" w:cs="宋体" w:eastAsia="宋体" w:hint="default"/>
          <w:b/>
          <w:bCs/>
          <w:sz w:val="21"/>
          <w:szCs w:val="21"/>
        </w:rPr>
        <w:t>（八）其他流动资产</w:t>
      </w:r>
      <w:r>
        <w:rPr>
          <w:rFonts w:ascii="宋体" w:hAnsi="宋体" w:cs="宋体" w:eastAsia="宋体" w:hint="default"/>
          <w:b/>
          <w:bCs/>
          <w:w w:val="99"/>
          <w:sz w:val="21"/>
          <w:szCs w:val="21"/>
        </w:rPr>
        <w:t> </w:t>
      </w:r>
      <w:r>
        <w:rPr>
          <w:rFonts w:ascii="宋体" w:hAnsi="宋体" w:cs="宋体" w:eastAsia="宋体" w:hint="default"/>
          <w:sz w:val="21"/>
          <w:szCs w:val="21"/>
        </w:rPr>
      </w:r>
    </w:p>
    <w:p>
      <w:pPr>
        <w:spacing w:line="240" w:lineRule="auto" w:before="9"/>
        <w:rPr>
          <w:rFonts w:ascii="宋体" w:hAnsi="宋体" w:cs="宋体" w:eastAsia="宋体" w:hint="default"/>
          <w:b/>
          <w:bCs/>
          <w:sz w:val="11"/>
          <w:szCs w:val="11"/>
        </w:rPr>
      </w:pPr>
    </w:p>
    <w:tbl>
      <w:tblPr>
        <w:tblW w:w="0" w:type="auto"/>
        <w:jc w:val="left"/>
        <w:tblInd w:w="160" w:type="dxa"/>
        <w:tblLayout w:type="fixed"/>
        <w:tblCellMar>
          <w:top w:w="0" w:type="dxa"/>
          <w:left w:w="0" w:type="dxa"/>
          <w:bottom w:w="0" w:type="dxa"/>
          <w:right w:w="0" w:type="dxa"/>
        </w:tblCellMar>
        <w:tblLook w:val="01E0"/>
      </w:tblPr>
      <w:tblGrid>
        <w:gridCol w:w="2876"/>
        <w:gridCol w:w="2993"/>
        <w:gridCol w:w="3733"/>
      </w:tblGrid>
      <w:tr>
        <w:trPr>
          <w:trHeight w:val="396" w:hRule="exact"/>
        </w:trPr>
        <w:tc>
          <w:tcPr>
            <w:tcW w:w="2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61"/>
              <w:jc w:val="right"/>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7"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c>
          <w:tcPr>
            <w:tcW w:w="37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7" w:right="0"/>
              <w:jc w:val="center"/>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r>
      <w:tr>
        <w:trPr>
          <w:trHeight w:val="398" w:hRule="exact"/>
        </w:trPr>
        <w:tc>
          <w:tcPr>
            <w:tcW w:w="2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理财产品</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37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5,000,000.00</w:t>
            </w:r>
            <w:r>
              <w:rPr>
                <w:rFonts w:ascii="宋体"/>
                <w:sz w:val="18"/>
              </w:rPr>
              <w:t> </w:t>
            </w:r>
          </w:p>
        </w:tc>
      </w:tr>
      <w:tr>
        <w:trPr>
          <w:trHeight w:val="396" w:hRule="exact"/>
        </w:trPr>
        <w:tc>
          <w:tcPr>
            <w:tcW w:w="2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增值税</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z w:val="18"/>
              </w:rPr>
              <w:t> </w:t>
            </w:r>
            <w:r>
              <w:rPr>
                <w:rFonts w:ascii="宋体"/>
                <w:spacing w:val="-1"/>
                <w:sz w:val="18"/>
              </w:rPr>
              <w:t>33,919,319.25</w:t>
            </w:r>
            <w:r>
              <w:rPr>
                <w:rFonts w:ascii="宋体"/>
                <w:sz w:val="18"/>
              </w:rPr>
              <w:t> </w:t>
            </w:r>
          </w:p>
        </w:tc>
        <w:tc>
          <w:tcPr>
            <w:tcW w:w="37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42,432,365.97</w:t>
            </w:r>
            <w:r>
              <w:rPr>
                <w:rFonts w:ascii="宋体"/>
                <w:sz w:val="18"/>
              </w:rPr>
              <w:t> </w:t>
            </w:r>
          </w:p>
        </w:tc>
      </w:tr>
      <w:tr>
        <w:trPr>
          <w:trHeight w:val="396" w:hRule="exact"/>
        </w:trPr>
        <w:tc>
          <w:tcPr>
            <w:tcW w:w="2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待摊费用</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2"/>
                <w:sz w:val="18"/>
              </w:rPr>
              <w:t> </w:t>
            </w:r>
            <w:r>
              <w:rPr>
                <w:rFonts w:ascii="宋体"/>
                <w:spacing w:val="-1"/>
                <w:sz w:val="18"/>
              </w:rPr>
              <w:t>3,730,610.70</w:t>
            </w:r>
            <w:r>
              <w:rPr>
                <w:rFonts w:ascii="宋体"/>
                <w:sz w:val="18"/>
              </w:rPr>
              <w:t> </w:t>
            </w:r>
          </w:p>
        </w:tc>
        <w:tc>
          <w:tcPr>
            <w:tcW w:w="37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2,478,429.45</w:t>
            </w:r>
            <w:r>
              <w:rPr>
                <w:rFonts w:ascii="宋体"/>
                <w:sz w:val="18"/>
              </w:rPr>
              <w:t> </w:t>
            </w:r>
          </w:p>
        </w:tc>
      </w:tr>
      <w:tr>
        <w:trPr>
          <w:trHeight w:val="398" w:hRule="exact"/>
        </w:trPr>
        <w:tc>
          <w:tcPr>
            <w:tcW w:w="2876"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预缴企业所得税</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z w:val="18"/>
              </w:rPr>
              <w:t> </w:t>
            </w:r>
            <w:r>
              <w:rPr>
                <w:rFonts w:ascii="宋体"/>
                <w:spacing w:val="-1"/>
                <w:sz w:val="18"/>
              </w:rPr>
              <w:t>2,468,469.71</w:t>
            </w:r>
            <w:r>
              <w:rPr>
                <w:rFonts w:ascii="宋体"/>
                <w:sz w:val="18"/>
              </w:rPr>
              <w:t> </w:t>
            </w:r>
          </w:p>
        </w:tc>
        <w:tc>
          <w:tcPr>
            <w:tcW w:w="373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pacing w:val="1"/>
                <w:sz w:val="18"/>
              </w:rPr>
              <w:t> </w:t>
            </w:r>
            <w:r>
              <w:rPr>
                <w:rFonts w:ascii="宋体"/>
                <w:sz w:val="18"/>
              </w:rPr>
              <w:t>- </w:t>
            </w:r>
          </w:p>
        </w:tc>
      </w:tr>
      <w:tr>
        <w:trPr>
          <w:trHeight w:val="396" w:hRule="exact"/>
        </w:trPr>
        <w:tc>
          <w:tcPr>
            <w:tcW w:w="2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61"/>
              <w:jc w:val="righ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2"/>
                <w:sz w:val="18"/>
              </w:rPr>
              <w:t> </w:t>
            </w:r>
            <w:r>
              <w:rPr>
                <w:rFonts w:ascii="宋体"/>
                <w:spacing w:val="-1"/>
                <w:sz w:val="18"/>
              </w:rPr>
              <w:t>40,118,399.66</w:t>
            </w:r>
            <w:r>
              <w:rPr>
                <w:rFonts w:ascii="宋体"/>
                <w:sz w:val="18"/>
              </w:rPr>
              <w:t> </w:t>
            </w:r>
          </w:p>
        </w:tc>
        <w:tc>
          <w:tcPr>
            <w:tcW w:w="37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2"/>
              <w:jc w:val="right"/>
              <w:rPr>
                <w:rFonts w:ascii="宋体" w:hAnsi="宋体" w:cs="宋体" w:eastAsia="宋体" w:hint="default"/>
                <w:sz w:val="18"/>
                <w:szCs w:val="18"/>
              </w:rPr>
            </w:pPr>
            <w:r>
              <w:rPr>
                <w:rFonts w:ascii="宋体"/>
                <w:spacing w:val="1"/>
                <w:sz w:val="18"/>
              </w:rPr>
              <w:t> </w:t>
            </w:r>
            <w:r>
              <w:rPr>
                <w:rFonts w:ascii="宋体"/>
                <w:spacing w:val="-1"/>
                <w:sz w:val="18"/>
              </w:rPr>
              <w:t>49,910,795.42</w:t>
            </w:r>
            <w:r>
              <w:rPr>
                <w:rFonts w:ascii="宋体"/>
                <w:sz w:val="18"/>
              </w:rPr>
              <w:t> </w:t>
            </w:r>
          </w:p>
        </w:tc>
      </w:tr>
    </w:tbl>
    <w:p>
      <w:pPr>
        <w:spacing w:line="343" w:lineRule="auto" w:before="86"/>
        <w:ind w:left="705" w:right="7341" w:hanging="142"/>
        <w:jc w:val="left"/>
        <w:rPr>
          <w:rFonts w:ascii="宋体" w:hAnsi="宋体" w:cs="宋体" w:eastAsia="宋体" w:hint="default"/>
          <w:sz w:val="21"/>
          <w:szCs w:val="21"/>
        </w:rPr>
      </w:pPr>
      <w:r>
        <w:rPr>
          <w:rFonts w:ascii="宋体" w:hAnsi="宋体" w:cs="宋体" w:eastAsia="宋体" w:hint="default"/>
          <w:b/>
          <w:bCs/>
          <w:sz w:val="21"/>
          <w:szCs w:val="21"/>
        </w:rPr>
        <w:t>（九）长期应收款</w:t>
      </w:r>
      <w:r>
        <w:rPr>
          <w:rFonts w:ascii="宋体" w:hAnsi="宋体" w:cs="宋体" w:eastAsia="宋体" w:hint="default"/>
          <w:b/>
          <w:bCs/>
          <w:w w:val="99"/>
          <w:sz w:val="21"/>
          <w:szCs w:val="21"/>
        </w:rPr>
        <w:t> </w:t>
      </w:r>
      <w:r>
        <w:rPr>
          <w:rFonts w:ascii="宋体" w:hAnsi="宋体" w:cs="宋体" w:eastAsia="宋体" w:hint="default"/>
          <w:b/>
          <w:bCs/>
          <w:sz w:val="21"/>
          <w:szCs w:val="21"/>
        </w:rPr>
        <w:t>1</w:t>
      </w:r>
      <w:r>
        <w:rPr>
          <w:rFonts w:ascii="宋体" w:hAnsi="宋体" w:cs="宋体" w:eastAsia="宋体" w:hint="default"/>
          <w:b/>
          <w:bCs/>
          <w:sz w:val="21"/>
          <w:szCs w:val="21"/>
        </w:rPr>
        <w:t>、长期应收款情况</w:t>
      </w:r>
      <w:r>
        <w:rPr>
          <w:rFonts w:ascii="宋体" w:hAnsi="宋体" w:cs="宋体" w:eastAsia="宋体" w:hint="default"/>
          <w:b/>
          <w:bCs/>
          <w:w w:val="99"/>
          <w:sz w:val="21"/>
          <w:szCs w:val="21"/>
        </w:rPr>
        <w:t> </w:t>
      </w:r>
      <w:r>
        <w:rPr>
          <w:rFonts w:ascii="宋体" w:hAnsi="宋体" w:cs="宋体" w:eastAsia="宋体" w:hint="default"/>
          <w:sz w:val="21"/>
          <w:szCs w:val="21"/>
        </w:rPr>
      </w:r>
    </w:p>
    <w:p>
      <w:pPr>
        <w:spacing w:line="240" w:lineRule="auto" w:before="8"/>
        <w:rPr>
          <w:rFonts w:ascii="宋体" w:hAnsi="宋体" w:cs="宋体" w:eastAsia="宋体" w:hint="default"/>
          <w:b/>
          <w:bCs/>
          <w:sz w:val="4"/>
          <w:szCs w:val="4"/>
        </w:rPr>
      </w:pPr>
    </w:p>
    <w:tbl>
      <w:tblPr>
        <w:tblW w:w="0" w:type="auto"/>
        <w:jc w:val="left"/>
        <w:tblInd w:w="198" w:type="dxa"/>
        <w:tblLayout w:type="fixed"/>
        <w:tblCellMar>
          <w:top w:w="0" w:type="dxa"/>
          <w:left w:w="0" w:type="dxa"/>
          <w:bottom w:w="0" w:type="dxa"/>
          <w:right w:w="0" w:type="dxa"/>
        </w:tblCellMar>
        <w:tblLook w:val="01E0"/>
      </w:tblPr>
      <w:tblGrid>
        <w:gridCol w:w="2184"/>
        <w:gridCol w:w="982"/>
        <w:gridCol w:w="996"/>
        <w:gridCol w:w="941"/>
        <w:gridCol w:w="1419"/>
        <w:gridCol w:w="900"/>
        <w:gridCol w:w="1433"/>
        <w:gridCol w:w="684"/>
      </w:tblGrid>
      <w:tr>
        <w:trPr>
          <w:trHeight w:val="350" w:hRule="exact"/>
        </w:trPr>
        <w:tc>
          <w:tcPr>
            <w:tcW w:w="2184"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left="90"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291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90"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c>
          <w:tcPr>
            <w:tcW w:w="375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92" w:right="0"/>
              <w:jc w:val="center"/>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c>
          <w:tcPr>
            <w:tcW w:w="684" w:type="dxa"/>
            <w:vMerge w:val="restart"/>
            <w:tcBorders>
              <w:top w:val="single" w:sz="4" w:space="0" w:color="000000"/>
              <w:left w:val="single" w:sz="4" w:space="0" w:color="000000"/>
              <w:right w:val="single" w:sz="4" w:space="0" w:color="000000"/>
            </w:tcBorders>
          </w:tcPr>
          <w:p>
            <w:pPr>
              <w:pStyle w:val="TableParagraph"/>
              <w:spacing w:line="237" w:lineRule="auto"/>
              <w:ind w:left="79" w:right="233"/>
              <w:jc w:val="both"/>
              <w:rPr>
                <w:rFonts w:ascii="宋体" w:hAnsi="宋体" w:cs="宋体" w:eastAsia="宋体" w:hint="default"/>
                <w:sz w:val="18"/>
                <w:szCs w:val="18"/>
              </w:rPr>
            </w:pPr>
            <w:r>
              <w:rPr>
                <w:rFonts w:ascii="宋体" w:hAnsi="宋体" w:cs="宋体" w:eastAsia="宋体" w:hint="default"/>
                <w:sz w:val="18"/>
                <w:szCs w:val="18"/>
              </w:rPr>
              <w:t>折现 率区 间</w:t>
            </w:r>
            <w:r>
              <w:rPr>
                <w:rFonts w:ascii="宋体" w:hAnsi="宋体" w:cs="宋体" w:eastAsia="宋体" w:hint="default"/>
                <w:sz w:val="18"/>
                <w:szCs w:val="18"/>
              </w:rPr>
              <w:t> </w:t>
            </w:r>
          </w:p>
        </w:tc>
      </w:tr>
      <w:tr>
        <w:trPr>
          <w:trHeight w:val="418" w:hRule="exact"/>
        </w:trPr>
        <w:tc>
          <w:tcPr>
            <w:tcW w:w="2184" w:type="dxa"/>
            <w:vMerge/>
            <w:tcBorders>
              <w:left w:val="single" w:sz="4" w:space="0" w:color="000000"/>
              <w:bottom w:val="single" w:sz="4" w:space="0" w:color="000000"/>
              <w:right w:val="single" w:sz="4" w:space="0" w:color="000000"/>
            </w:tcBorders>
          </w:tcPr>
          <w:p>
            <w:pP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32"/>
              <w:jc w:val="right"/>
              <w:rPr>
                <w:rFonts w:ascii="宋体" w:hAnsi="宋体" w:cs="宋体" w:eastAsia="宋体" w:hint="default"/>
                <w:sz w:val="18"/>
                <w:szCs w:val="18"/>
              </w:rPr>
            </w:pPr>
            <w:r>
              <w:rPr>
                <w:rFonts w:ascii="宋体" w:hAnsi="宋体" w:cs="宋体" w:eastAsia="宋体" w:hint="default"/>
                <w:sz w:val="18"/>
                <w:szCs w:val="18"/>
              </w:rPr>
              <w:t>账面余额</w:t>
            </w:r>
            <w:r>
              <w:rPr>
                <w:rFonts w:ascii="宋体" w:hAnsi="宋体" w:cs="宋体" w:eastAsia="宋体" w:hint="default"/>
                <w:sz w:val="18"/>
                <w:szCs w:val="18"/>
              </w:rPr>
              <w:t> </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41"/>
              <w:jc w:val="right"/>
              <w:rPr>
                <w:rFonts w:ascii="宋体" w:hAnsi="宋体" w:cs="宋体" w:eastAsia="宋体" w:hint="default"/>
                <w:sz w:val="18"/>
                <w:szCs w:val="18"/>
              </w:rPr>
            </w:pPr>
            <w:r>
              <w:rPr>
                <w:rFonts w:ascii="宋体" w:hAnsi="宋体" w:cs="宋体" w:eastAsia="宋体" w:hint="default"/>
                <w:sz w:val="18"/>
                <w:szCs w:val="18"/>
              </w:rPr>
              <w:t>坏账准备</w:t>
            </w:r>
            <w:r>
              <w:rPr>
                <w:rFonts w:ascii="宋体" w:hAnsi="宋体" w:cs="宋体" w:eastAsia="宋体" w:hint="default"/>
                <w:sz w:val="18"/>
                <w:szCs w:val="18"/>
              </w:rPr>
              <w:t> </w:t>
            </w:r>
          </w:p>
        </w:tc>
        <w:tc>
          <w:tcPr>
            <w:tcW w:w="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3"/>
              <w:jc w:val="right"/>
              <w:rPr>
                <w:rFonts w:ascii="宋体" w:hAnsi="宋体" w:cs="宋体" w:eastAsia="宋体" w:hint="default"/>
                <w:sz w:val="18"/>
                <w:szCs w:val="18"/>
              </w:rPr>
            </w:pPr>
            <w:r>
              <w:rPr>
                <w:rFonts w:ascii="宋体" w:hAnsi="宋体" w:cs="宋体" w:eastAsia="宋体" w:hint="default"/>
                <w:sz w:val="18"/>
                <w:szCs w:val="18"/>
              </w:rPr>
              <w:t>账面价值</w:t>
            </w:r>
            <w:r>
              <w:rPr>
                <w:rFonts w:ascii="宋体" w:hAnsi="宋体" w:cs="宋体" w:eastAsia="宋体" w:hint="default"/>
                <w:sz w:val="18"/>
                <w:szCs w:val="18"/>
              </w:rPr>
              <w:t> </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345" w:right="0"/>
              <w:jc w:val="left"/>
              <w:rPr>
                <w:rFonts w:ascii="宋体" w:hAnsi="宋体" w:cs="宋体" w:eastAsia="宋体" w:hint="default"/>
                <w:sz w:val="18"/>
                <w:szCs w:val="18"/>
              </w:rPr>
            </w:pPr>
            <w:r>
              <w:rPr>
                <w:rFonts w:ascii="宋体" w:hAnsi="宋体" w:cs="宋体" w:eastAsia="宋体" w:hint="default"/>
                <w:sz w:val="18"/>
                <w:szCs w:val="18"/>
              </w:rPr>
              <w:t>账面余额</w:t>
            </w:r>
            <w:r>
              <w:rPr>
                <w:rFonts w:ascii="宋体" w:hAnsi="宋体" w:cs="宋体" w:eastAsia="宋体" w:hint="default"/>
                <w:sz w:val="18"/>
                <w:szCs w:val="18"/>
              </w:rPr>
              <w:t> </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7"/>
              <w:jc w:val="right"/>
              <w:rPr>
                <w:rFonts w:ascii="宋体" w:hAnsi="宋体" w:cs="宋体" w:eastAsia="宋体" w:hint="default"/>
                <w:sz w:val="18"/>
                <w:szCs w:val="18"/>
              </w:rPr>
            </w:pPr>
            <w:r>
              <w:rPr>
                <w:rFonts w:ascii="宋体" w:hAnsi="宋体" w:cs="宋体" w:eastAsia="宋体" w:hint="default"/>
                <w:sz w:val="18"/>
                <w:szCs w:val="18"/>
              </w:rPr>
              <w:t>坏账准备</w:t>
            </w:r>
            <w:r>
              <w:rPr>
                <w:rFonts w:ascii="宋体" w:hAnsi="宋体" w:cs="宋体" w:eastAsia="宋体" w:hint="default"/>
                <w:sz w:val="18"/>
                <w:szCs w:val="18"/>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352" w:right="0"/>
              <w:jc w:val="left"/>
              <w:rPr>
                <w:rFonts w:ascii="宋体" w:hAnsi="宋体" w:cs="宋体" w:eastAsia="宋体" w:hint="default"/>
                <w:sz w:val="18"/>
                <w:szCs w:val="18"/>
              </w:rPr>
            </w:pPr>
            <w:r>
              <w:rPr>
                <w:rFonts w:ascii="宋体" w:hAnsi="宋体" w:cs="宋体" w:eastAsia="宋体" w:hint="default"/>
                <w:sz w:val="18"/>
                <w:szCs w:val="18"/>
              </w:rPr>
              <w:t>账面价值</w:t>
            </w:r>
            <w:r>
              <w:rPr>
                <w:rFonts w:ascii="宋体" w:hAnsi="宋体" w:cs="宋体" w:eastAsia="宋体" w:hint="default"/>
                <w:sz w:val="18"/>
                <w:szCs w:val="18"/>
              </w:rPr>
              <w:t> </w:t>
            </w:r>
          </w:p>
        </w:tc>
        <w:tc>
          <w:tcPr>
            <w:tcW w:w="684" w:type="dxa"/>
            <w:vMerge/>
            <w:tcBorders>
              <w:left w:val="single" w:sz="4" w:space="0" w:color="000000"/>
              <w:bottom w:val="single" w:sz="4" w:space="0" w:color="000000"/>
              <w:right w:val="single" w:sz="4" w:space="0" w:color="000000"/>
            </w:tcBorders>
          </w:tcPr>
          <w:p>
            <w:pPr/>
          </w:p>
        </w:tc>
      </w:tr>
      <w:tr>
        <w:trPr>
          <w:trHeight w:val="425" w:hRule="exact"/>
        </w:trPr>
        <w:tc>
          <w:tcPr>
            <w:tcW w:w="2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81" w:right="0"/>
              <w:jc w:val="left"/>
              <w:rPr>
                <w:rFonts w:ascii="宋体" w:hAnsi="宋体" w:cs="宋体" w:eastAsia="宋体" w:hint="default"/>
                <w:sz w:val="18"/>
                <w:szCs w:val="18"/>
              </w:rPr>
            </w:pPr>
            <w:r>
              <w:rPr>
                <w:rFonts w:ascii="宋体" w:hAnsi="宋体" w:cs="宋体" w:eastAsia="宋体" w:hint="default"/>
                <w:sz w:val="18"/>
                <w:szCs w:val="18"/>
              </w:rPr>
              <w:t>融资租赁款</w:t>
            </w:r>
            <w:r>
              <w:rPr>
                <w:rFonts w:ascii="宋体" w:hAnsi="宋体" w:cs="宋体" w:eastAsia="宋体" w:hint="default"/>
                <w:sz w:val="18"/>
                <w:szCs w:val="18"/>
              </w:rPr>
              <w:t> </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1"/>
              <w:jc w:val="right"/>
              <w:rPr>
                <w:rFonts w:ascii="宋体" w:hAnsi="宋体" w:cs="宋体" w:eastAsia="宋体" w:hint="default"/>
                <w:sz w:val="18"/>
                <w:szCs w:val="18"/>
              </w:rPr>
            </w:pPr>
            <w:r>
              <w:rPr>
                <w:rFonts w:ascii="宋体"/>
                <w:sz w:val="18"/>
              </w:rPr>
              <w:t> </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1"/>
              <w:jc w:val="right"/>
              <w:rPr>
                <w:rFonts w:ascii="宋体" w:hAnsi="宋体" w:cs="宋体" w:eastAsia="宋体" w:hint="default"/>
                <w:sz w:val="18"/>
                <w:szCs w:val="18"/>
              </w:rPr>
            </w:pPr>
            <w:r>
              <w:rPr>
                <w:rFonts w:ascii="宋体"/>
                <w:sz w:val="18"/>
              </w:rPr>
              <w:t> </w:t>
            </w:r>
          </w:p>
        </w:tc>
        <w:tc>
          <w:tcPr>
            <w:tcW w:w="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1"/>
              <w:jc w:val="right"/>
              <w:rPr>
                <w:rFonts w:ascii="宋体" w:hAnsi="宋体" w:cs="宋体" w:eastAsia="宋体" w:hint="default"/>
                <w:sz w:val="18"/>
                <w:szCs w:val="18"/>
              </w:rPr>
            </w:pPr>
            <w:r>
              <w:rPr>
                <w:rFonts w:ascii="宋体"/>
                <w:sz w:val="18"/>
              </w:rPr>
              <w:t> </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1"/>
              <w:jc w:val="right"/>
              <w:rPr>
                <w:rFonts w:ascii="宋体" w:hAnsi="宋体" w:cs="宋体" w:eastAsia="宋体" w:hint="default"/>
                <w:sz w:val="18"/>
                <w:szCs w:val="18"/>
              </w:rPr>
            </w:pPr>
            <w:r>
              <w:rPr>
                <w:rFonts w:ascii="宋体"/>
                <w:spacing w:val="-1"/>
                <w:sz w:val="18"/>
              </w:rPr>
              <w:t>99,204,773.35 </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1"/>
              <w:jc w:val="right"/>
              <w:rPr>
                <w:rFonts w:ascii="宋体" w:hAnsi="宋体" w:cs="宋体" w:eastAsia="宋体" w:hint="default"/>
                <w:sz w:val="18"/>
                <w:szCs w:val="18"/>
              </w:rPr>
            </w:pPr>
            <w:r>
              <w:rPr>
                <w:rFonts w:ascii="宋体"/>
                <w:sz w:val="18"/>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1"/>
              <w:jc w:val="right"/>
              <w:rPr>
                <w:rFonts w:ascii="宋体" w:hAnsi="宋体" w:cs="宋体" w:eastAsia="宋体" w:hint="default"/>
                <w:sz w:val="18"/>
                <w:szCs w:val="18"/>
              </w:rPr>
            </w:pPr>
            <w:r>
              <w:rPr>
                <w:rFonts w:ascii="宋体"/>
                <w:spacing w:val="-1"/>
                <w:sz w:val="18"/>
              </w:rPr>
              <w:t>99,204,773.35 </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9"/>
              <w:jc w:val="right"/>
              <w:rPr>
                <w:rFonts w:ascii="宋体" w:hAnsi="宋体" w:cs="宋体" w:eastAsia="宋体" w:hint="default"/>
                <w:sz w:val="18"/>
                <w:szCs w:val="18"/>
              </w:rPr>
            </w:pPr>
            <w:r>
              <w:rPr>
                <w:rFonts w:ascii="宋体"/>
                <w:sz w:val="18"/>
              </w:rPr>
              <w:t> </w:t>
            </w:r>
          </w:p>
        </w:tc>
      </w:tr>
      <w:tr>
        <w:trPr>
          <w:trHeight w:val="425" w:hRule="exact"/>
        </w:trPr>
        <w:tc>
          <w:tcPr>
            <w:tcW w:w="2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1"/>
              <w:jc w:val="right"/>
              <w:rPr>
                <w:rFonts w:ascii="宋体" w:hAnsi="宋体" w:cs="宋体" w:eastAsia="宋体" w:hint="default"/>
                <w:sz w:val="18"/>
                <w:szCs w:val="18"/>
              </w:rPr>
            </w:pPr>
            <w:r>
              <w:rPr>
                <w:rFonts w:ascii="宋体" w:hAnsi="宋体" w:cs="宋体" w:eastAsia="宋体" w:hint="default"/>
                <w:spacing w:val="-6"/>
                <w:sz w:val="18"/>
                <w:szCs w:val="18"/>
              </w:rPr>
              <w:t>其中：未实现融资收益</w:t>
            </w:r>
            <w:r>
              <w:rPr>
                <w:rFonts w:ascii="宋体" w:hAnsi="宋体" w:cs="宋体" w:eastAsia="宋体" w:hint="default"/>
                <w:sz w:val="18"/>
                <w:szCs w:val="18"/>
              </w:rPr>
              <w:t> </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1"/>
              <w:jc w:val="right"/>
              <w:rPr>
                <w:rFonts w:ascii="宋体" w:hAnsi="宋体" w:cs="宋体" w:eastAsia="宋体" w:hint="default"/>
                <w:sz w:val="18"/>
                <w:szCs w:val="18"/>
              </w:rPr>
            </w:pPr>
            <w:r>
              <w:rPr>
                <w:rFonts w:ascii="宋体"/>
                <w:sz w:val="18"/>
              </w:rPr>
              <w:t> </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1"/>
              <w:jc w:val="right"/>
              <w:rPr>
                <w:rFonts w:ascii="宋体" w:hAnsi="宋体" w:cs="宋体" w:eastAsia="宋体" w:hint="default"/>
                <w:sz w:val="18"/>
                <w:szCs w:val="18"/>
              </w:rPr>
            </w:pPr>
            <w:r>
              <w:rPr>
                <w:rFonts w:ascii="宋体"/>
                <w:sz w:val="18"/>
              </w:rPr>
              <w:t> </w:t>
            </w:r>
          </w:p>
        </w:tc>
        <w:tc>
          <w:tcPr>
            <w:tcW w:w="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1"/>
              <w:jc w:val="right"/>
              <w:rPr>
                <w:rFonts w:ascii="宋体" w:hAnsi="宋体" w:cs="宋体" w:eastAsia="宋体" w:hint="default"/>
                <w:sz w:val="18"/>
                <w:szCs w:val="18"/>
              </w:rPr>
            </w:pPr>
            <w:r>
              <w:rPr>
                <w:rFonts w:ascii="宋体"/>
                <w:sz w:val="18"/>
              </w:rPr>
              <w:t> </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1"/>
              <w:jc w:val="right"/>
              <w:rPr>
                <w:rFonts w:ascii="宋体" w:hAnsi="宋体" w:cs="宋体" w:eastAsia="宋体" w:hint="default"/>
                <w:sz w:val="18"/>
                <w:szCs w:val="18"/>
              </w:rPr>
            </w:pPr>
            <w:r>
              <w:rPr>
                <w:rFonts w:ascii="宋体"/>
                <w:spacing w:val="-1"/>
                <w:sz w:val="18"/>
              </w:rPr>
              <w:t>19,915,226.65 </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1"/>
              <w:jc w:val="right"/>
              <w:rPr>
                <w:rFonts w:ascii="宋体" w:hAnsi="宋体" w:cs="宋体" w:eastAsia="宋体" w:hint="default"/>
                <w:sz w:val="18"/>
                <w:szCs w:val="18"/>
              </w:rPr>
            </w:pPr>
            <w:r>
              <w:rPr>
                <w:rFonts w:ascii="宋体"/>
                <w:sz w:val="18"/>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1"/>
              <w:jc w:val="right"/>
              <w:rPr>
                <w:rFonts w:ascii="宋体" w:hAnsi="宋体" w:cs="宋体" w:eastAsia="宋体" w:hint="default"/>
                <w:sz w:val="18"/>
                <w:szCs w:val="18"/>
              </w:rPr>
            </w:pPr>
            <w:r>
              <w:rPr>
                <w:rFonts w:ascii="宋体"/>
                <w:spacing w:val="-1"/>
                <w:sz w:val="18"/>
              </w:rPr>
              <w:t>19,915,226.65 </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9"/>
              <w:jc w:val="right"/>
              <w:rPr>
                <w:rFonts w:ascii="宋体" w:hAnsi="宋体" w:cs="宋体" w:eastAsia="宋体" w:hint="default"/>
                <w:sz w:val="18"/>
                <w:szCs w:val="18"/>
              </w:rPr>
            </w:pPr>
            <w:r>
              <w:rPr>
                <w:rFonts w:ascii="宋体"/>
                <w:sz w:val="18"/>
              </w:rPr>
              <w:t> </w:t>
            </w:r>
          </w:p>
        </w:tc>
      </w:tr>
      <w:tr>
        <w:trPr>
          <w:trHeight w:val="425" w:hRule="exact"/>
        </w:trPr>
        <w:tc>
          <w:tcPr>
            <w:tcW w:w="2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81" w:right="0"/>
              <w:jc w:val="left"/>
              <w:rPr>
                <w:rFonts w:ascii="宋体" w:hAnsi="宋体" w:cs="宋体" w:eastAsia="宋体" w:hint="default"/>
                <w:sz w:val="18"/>
                <w:szCs w:val="18"/>
              </w:rPr>
            </w:pPr>
            <w:r>
              <w:rPr>
                <w:rFonts w:ascii="宋体" w:hAnsi="宋体" w:cs="宋体" w:eastAsia="宋体" w:hint="default"/>
                <w:sz w:val="18"/>
                <w:szCs w:val="18"/>
              </w:rPr>
              <w:t>分期收款销售商品</w:t>
            </w:r>
            <w:r>
              <w:rPr>
                <w:rFonts w:ascii="宋体" w:hAnsi="宋体" w:cs="宋体" w:eastAsia="宋体" w:hint="default"/>
                <w:sz w:val="18"/>
                <w:szCs w:val="18"/>
              </w:rPr>
              <w:t> </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1"/>
              <w:jc w:val="right"/>
              <w:rPr>
                <w:rFonts w:ascii="宋体" w:hAnsi="宋体" w:cs="宋体" w:eastAsia="宋体" w:hint="default"/>
                <w:sz w:val="18"/>
                <w:szCs w:val="18"/>
              </w:rPr>
            </w:pPr>
            <w:r>
              <w:rPr>
                <w:rFonts w:ascii="宋体"/>
                <w:sz w:val="18"/>
              </w:rPr>
              <w:t> </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1"/>
              <w:jc w:val="right"/>
              <w:rPr>
                <w:rFonts w:ascii="宋体" w:hAnsi="宋体" w:cs="宋体" w:eastAsia="宋体" w:hint="default"/>
                <w:sz w:val="18"/>
                <w:szCs w:val="18"/>
              </w:rPr>
            </w:pPr>
            <w:r>
              <w:rPr>
                <w:rFonts w:ascii="宋体"/>
                <w:sz w:val="18"/>
              </w:rPr>
              <w:t> </w:t>
            </w:r>
          </w:p>
        </w:tc>
        <w:tc>
          <w:tcPr>
            <w:tcW w:w="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1"/>
              <w:jc w:val="right"/>
              <w:rPr>
                <w:rFonts w:ascii="宋体" w:hAnsi="宋体" w:cs="宋体" w:eastAsia="宋体" w:hint="default"/>
                <w:sz w:val="18"/>
                <w:szCs w:val="18"/>
              </w:rPr>
            </w:pPr>
            <w:r>
              <w:rPr>
                <w:rFonts w:ascii="宋体"/>
                <w:sz w:val="18"/>
              </w:rPr>
              <w:t> </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1"/>
              <w:jc w:val="right"/>
              <w:rPr>
                <w:rFonts w:ascii="宋体" w:hAnsi="宋体" w:cs="宋体" w:eastAsia="宋体" w:hint="default"/>
                <w:sz w:val="18"/>
                <w:szCs w:val="18"/>
              </w:rPr>
            </w:pPr>
            <w:r>
              <w:rPr>
                <w:rFonts w:ascii="宋体"/>
                <w:spacing w:val="-1"/>
                <w:sz w:val="18"/>
              </w:rPr>
              <w:t>71,817,288.55 </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1"/>
              <w:jc w:val="right"/>
              <w:rPr>
                <w:rFonts w:ascii="宋体" w:hAnsi="宋体" w:cs="宋体" w:eastAsia="宋体" w:hint="default"/>
                <w:sz w:val="18"/>
                <w:szCs w:val="18"/>
              </w:rPr>
            </w:pPr>
            <w:r>
              <w:rPr>
                <w:rFonts w:ascii="宋体"/>
                <w:sz w:val="18"/>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1"/>
              <w:jc w:val="right"/>
              <w:rPr>
                <w:rFonts w:ascii="宋体" w:hAnsi="宋体" w:cs="宋体" w:eastAsia="宋体" w:hint="default"/>
                <w:sz w:val="18"/>
                <w:szCs w:val="18"/>
              </w:rPr>
            </w:pPr>
            <w:r>
              <w:rPr>
                <w:rFonts w:ascii="宋体"/>
                <w:spacing w:val="-1"/>
                <w:sz w:val="18"/>
              </w:rPr>
              <w:t>71,817,288.55 </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9"/>
              <w:jc w:val="right"/>
              <w:rPr>
                <w:rFonts w:ascii="宋体" w:hAnsi="宋体" w:cs="宋体" w:eastAsia="宋体" w:hint="default"/>
                <w:sz w:val="18"/>
                <w:szCs w:val="18"/>
              </w:rPr>
            </w:pPr>
            <w:r>
              <w:rPr>
                <w:rFonts w:ascii="宋体"/>
                <w:sz w:val="18"/>
              </w:rPr>
              <w:t> </w:t>
            </w:r>
          </w:p>
        </w:tc>
      </w:tr>
      <w:tr>
        <w:trPr>
          <w:trHeight w:val="425" w:hRule="exact"/>
        </w:trPr>
        <w:tc>
          <w:tcPr>
            <w:tcW w:w="2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1"/>
              <w:jc w:val="right"/>
              <w:rPr>
                <w:rFonts w:ascii="宋体" w:hAnsi="宋体" w:cs="宋体" w:eastAsia="宋体" w:hint="default"/>
                <w:sz w:val="18"/>
                <w:szCs w:val="18"/>
              </w:rPr>
            </w:pPr>
            <w:r>
              <w:rPr>
                <w:rFonts w:ascii="宋体" w:hAnsi="宋体" w:cs="宋体" w:eastAsia="宋体" w:hint="default"/>
                <w:spacing w:val="-6"/>
                <w:sz w:val="18"/>
                <w:szCs w:val="18"/>
              </w:rPr>
              <w:t>其中：未实现融资收益</w:t>
            </w:r>
            <w:r>
              <w:rPr>
                <w:rFonts w:ascii="宋体" w:hAnsi="宋体" w:cs="宋体" w:eastAsia="宋体" w:hint="default"/>
                <w:sz w:val="18"/>
                <w:szCs w:val="18"/>
              </w:rPr>
              <w:t> </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1"/>
              <w:jc w:val="right"/>
              <w:rPr>
                <w:rFonts w:ascii="宋体" w:hAnsi="宋体" w:cs="宋体" w:eastAsia="宋体" w:hint="default"/>
                <w:sz w:val="18"/>
                <w:szCs w:val="18"/>
              </w:rPr>
            </w:pPr>
            <w:r>
              <w:rPr>
                <w:rFonts w:ascii="宋体"/>
                <w:sz w:val="18"/>
              </w:rPr>
              <w:t> </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1"/>
              <w:jc w:val="right"/>
              <w:rPr>
                <w:rFonts w:ascii="宋体" w:hAnsi="宋体" w:cs="宋体" w:eastAsia="宋体" w:hint="default"/>
                <w:sz w:val="18"/>
                <w:szCs w:val="18"/>
              </w:rPr>
            </w:pPr>
            <w:r>
              <w:rPr>
                <w:rFonts w:ascii="宋体"/>
                <w:sz w:val="18"/>
              </w:rPr>
              <w:t> </w:t>
            </w:r>
          </w:p>
        </w:tc>
        <w:tc>
          <w:tcPr>
            <w:tcW w:w="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1"/>
              <w:jc w:val="right"/>
              <w:rPr>
                <w:rFonts w:ascii="宋体" w:hAnsi="宋体" w:cs="宋体" w:eastAsia="宋体" w:hint="default"/>
                <w:sz w:val="18"/>
                <w:szCs w:val="18"/>
              </w:rPr>
            </w:pPr>
            <w:r>
              <w:rPr>
                <w:rFonts w:ascii="宋体"/>
                <w:sz w:val="18"/>
              </w:rPr>
              <w:t> </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1"/>
              <w:jc w:val="right"/>
              <w:rPr>
                <w:rFonts w:ascii="宋体" w:hAnsi="宋体" w:cs="宋体" w:eastAsia="宋体" w:hint="default"/>
                <w:sz w:val="18"/>
                <w:szCs w:val="18"/>
              </w:rPr>
            </w:pPr>
            <w:r>
              <w:rPr>
                <w:rFonts w:ascii="宋体"/>
                <w:spacing w:val="-1"/>
                <w:sz w:val="18"/>
              </w:rPr>
              <w:t>2,707,711.45 </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1"/>
              <w:jc w:val="right"/>
              <w:rPr>
                <w:rFonts w:ascii="宋体" w:hAnsi="宋体" w:cs="宋体" w:eastAsia="宋体" w:hint="default"/>
                <w:sz w:val="18"/>
                <w:szCs w:val="18"/>
              </w:rPr>
            </w:pPr>
            <w:r>
              <w:rPr>
                <w:rFonts w:ascii="宋体"/>
                <w:sz w:val="18"/>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1"/>
              <w:jc w:val="right"/>
              <w:rPr>
                <w:rFonts w:ascii="宋体" w:hAnsi="宋体" w:cs="宋体" w:eastAsia="宋体" w:hint="default"/>
                <w:sz w:val="18"/>
                <w:szCs w:val="18"/>
              </w:rPr>
            </w:pPr>
            <w:r>
              <w:rPr>
                <w:rFonts w:ascii="宋体"/>
                <w:spacing w:val="-1"/>
                <w:sz w:val="18"/>
              </w:rPr>
              <w:t>2,707,711.45 </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9"/>
              <w:jc w:val="right"/>
              <w:rPr>
                <w:rFonts w:ascii="宋体" w:hAnsi="宋体" w:cs="宋体" w:eastAsia="宋体" w:hint="default"/>
                <w:sz w:val="18"/>
                <w:szCs w:val="18"/>
              </w:rPr>
            </w:pPr>
            <w:r>
              <w:rPr>
                <w:rFonts w:ascii="宋体"/>
                <w:sz w:val="18"/>
              </w:rPr>
              <w:t> </w:t>
            </w:r>
          </w:p>
        </w:tc>
      </w:tr>
      <w:tr>
        <w:trPr>
          <w:trHeight w:val="698" w:hRule="exact"/>
        </w:trPr>
        <w:tc>
          <w:tcPr>
            <w:tcW w:w="2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left="81" w:right="111"/>
              <w:jc w:val="left"/>
              <w:rPr>
                <w:rFonts w:ascii="宋体" w:hAnsi="宋体" w:cs="宋体" w:eastAsia="宋体" w:hint="default"/>
                <w:sz w:val="18"/>
                <w:szCs w:val="18"/>
              </w:rPr>
            </w:pPr>
            <w:r>
              <w:rPr>
                <w:rFonts w:ascii="宋体" w:hAnsi="宋体" w:cs="宋体" w:eastAsia="宋体" w:hint="default"/>
                <w:sz w:val="18"/>
                <w:szCs w:val="18"/>
              </w:rPr>
              <w:t>减：一年内到期的长期应 收款</w:t>
            </w:r>
            <w:r>
              <w:rPr>
                <w:rFonts w:ascii="宋体" w:hAnsi="宋体" w:cs="宋体" w:eastAsia="宋体" w:hint="default"/>
                <w:sz w:val="18"/>
                <w:szCs w:val="18"/>
              </w:rPr>
              <w:t> </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5"/>
                <w:szCs w:val="15"/>
              </w:rPr>
            </w:pPr>
          </w:p>
          <w:p>
            <w:pPr>
              <w:pStyle w:val="TableParagraph"/>
              <w:spacing w:line="240" w:lineRule="auto"/>
              <w:ind w:right="-11"/>
              <w:jc w:val="right"/>
              <w:rPr>
                <w:rFonts w:ascii="宋体" w:hAnsi="宋体" w:cs="宋体" w:eastAsia="宋体" w:hint="default"/>
                <w:sz w:val="18"/>
                <w:szCs w:val="18"/>
              </w:rPr>
            </w:pPr>
            <w:r>
              <w:rPr>
                <w:rFonts w:ascii="宋体"/>
                <w:sz w:val="18"/>
              </w:rPr>
              <w:t> </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5"/>
                <w:szCs w:val="15"/>
              </w:rPr>
            </w:pPr>
          </w:p>
          <w:p>
            <w:pPr>
              <w:pStyle w:val="TableParagraph"/>
              <w:spacing w:line="240" w:lineRule="auto"/>
              <w:ind w:right="-11"/>
              <w:jc w:val="right"/>
              <w:rPr>
                <w:rFonts w:ascii="宋体" w:hAnsi="宋体" w:cs="宋体" w:eastAsia="宋体" w:hint="default"/>
                <w:sz w:val="18"/>
                <w:szCs w:val="18"/>
              </w:rPr>
            </w:pPr>
            <w:r>
              <w:rPr>
                <w:rFonts w:ascii="宋体"/>
                <w:sz w:val="18"/>
              </w:rPr>
              <w:t> </w:t>
            </w:r>
          </w:p>
        </w:tc>
        <w:tc>
          <w:tcPr>
            <w:tcW w:w="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5"/>
                <w:szCs w:val="15"/>
              </w:rPr>
            </w:pPr>
          </w:p>
          <w:p>
            <w:pPr>
              <w:pStyle w:val="TableParagraph"/>
              <w:spacing w:line="240" w:lineRule="auto"/>
              <w:ind w:right="-11"/>
              <w:jc w:val="right"/>
              <w:rPr>
                <w:rFonts w:ascii="宋体" w:hAnsi="宋体" w:cs="宋体" w:eastAsia="宋体" w:hint="default"/>
                <w:sz w:val="18"/>
                <w:szCs w:val="18"/>
              </w:rPr>
            </w:pPr>
            <w:r>
              <w:rPr>
                <w:rFonts w:ascii="宋体"/>
                <w:sz w:val="18"/>
              </w:rPr>
              <w:t> </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5"/>
                <w:szCs w:val="15"/>
              </w:rPr>
            </w:pPr>
          </w:p>
          <w:p>
            <w:pPr>
              <w:pStyle w:val="TableParagraph"/>
              <w:spacing w:line="240" w:lineRule="auto"/>
              <w:ind w:right="-10"/>
              <w:jc w:val="right"/>
              <w:rPr>
                <w:rFonts w:ascii="宋体" w:hAnsi="宋体" w:cs="宋体" w:eastAsia="宋体" w:hint="default"/>
                <w:sz w:val="18"/>
                <w:szCs w:val="18"/>
              </w:rPr>
            </w:pPr>
            <w:r>
              <w:rPr>
                <w:rFonts w:ascii="宋体"/>
                <w:spacing w:val="-1"/>
                <w:sz w:val="18"/>
              </w:rPr>
              <w:t>86,820,311.33</w:t>
            </w:r>
            <w:r>
              <w:rPr>
                <w:rFonts w:ascii="宋体"/>
                <w:sz w:val="18"/>
              </w:rPr>
              <w:t> </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5"/>
                <w:szCs w:val="15"/>
              </w:rPr>
            </w:pPr>
          </w:p>
          <w:p>
            <w:pPr>
              <w:pStyle w:val="TableParagraph"/>
              <w:spacing w:line="240" w:lineRule="auto"/>
              <w:ind w:right="-11"/>
              <w:jc w:val="right"/>
              <w:rPr>
                <w:rFonts w:ascii="宋体" w:hAnsi="宋体" w:cs="宋体" w:eastAsia="宋体" w:hint="default"/>
                <w:sz w:val="18"/>
                <w:szCs w:val="18"/>
              </w:rPr>
            </w:pPr>
            <w:r>
              <w:rPr>
                <w:rFonts w:ascii="宋体"/>
                <w:sz w:val="18"/>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5"/>
                <w:szCs w:val="15"/>
              </w:rPr>
            </w:pPr>
          </w:p>
          <w:p>
            <w:pPr>
              <w:pStyle w:val="TableParagraph"/>
              <w:spacing w:line="240" w:lineRule="auto"/>
              <w:ind w:right="-10"/>
              <w:jc w:val="right"/>
              <w:rPr>
                <w:rFonts w:ascii="宋体" w:hAnsi="宋体" w:cs="宋体" w:eastAsia="宋体" w:hint="default"/>
                <w:sz w:val="18"/>
                <w:szCs w:val="18"/>
              </w:rPr>
            </w:pPr>
            <w:r>
              <w:rPr>
                <w:rFonts w:ascii="宋体"/>
                <w:spacing w:val="-1"/>
                <w:sz w:val="18"/>
              </w:rPr>
              <w:t>86,820,311.33</w:t>
            </w:r>
            <w:r>
              <w:rPr>
                <w:rFonts w:ascii="宋体"/>
                <w:sz w:val="18"/>
              </w:rPr>
              <w:t> </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b/>
                <w:bCs/>
                <w:sz w:val="15"/>
                <w:szCs w:val="15"/>
              </w:rPr>
            </w:pPr>
          </w:p>
          <w:p>
            <w:pPr>
              <w:pStyle w:val="TableParagraph"/>
              <w:spacing w:line="240" w:lineRule="auto"/>
              <w:ind w:right="-9"/>
              <w:jc w:val="right"/>
              <w:rPr>
                <w:rFonts w:ascii="宋体" w:hAnsi="宋体" w:cs="宋体" w:eastAsia="宋体" w:hint="default"/>
                <w:sz w:val="18"/>
                <w:szCs w:val="18"/>
              </w:rPr>
            </w:pPr>
            <w:r>
              <w:rPr>
                <w:rFonts w:ascii="宋体"/>
                <w:sz w:val="18"/>
              </w:rPr>
              <w:t> </w:t>
            </w:r>
          </w:p>
        </w:tc>
      </w:tr>
      <w:tr>
        <w:trPr>
          <w:trHeight w:val="425" w:hRule="exact"/>
        </w:trPr>
        <w:tc>
          <w:tcPr>
            <w:tcW w:w="2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left="90"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9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1"/>
              <w:jc w:val="right"/>
              <w:rPr>
                <w:rFonts w:ascii="宋体" w:hAnsi="宋体" w:cs="宋体" w:eastAsia="宋体" w:hint="default"/>
                <w:sz w:val="18"/>
                <w:szCs w:val="18"/>
              </w:rPr>
            </w:pPr>
            <w:r>
              <w:rPr>
                <w:rFonts w:ascii="宋体"/>
                <w:sz w:val="18"/>
              </w:rPr>
              <w:t> </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1"/>
              <w:jc w:val="right"/>
              <w:rPr>
                <w:rFonts w:ascii="宋体" w:hAnsi="宋体" w:cs="宋体" w:eastAsia="宋体" w:hint="default"/>
                <w:sz w:val="18"/>
                <w:szCs w:val="18"/>
              </w:rPr>
            </w:pPr>
            <w:r>
              <w:rPr>
                <w:rFonts w:ascii="宋体"/>
                <w:sz w:val="18"/>
              </w:rPr>
              <w:t> </w:t>
            </w:r>
          </w:p>
        </w:tc>
        <w:tc>
          <w:tcPr>
            <w:tcW w:w="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1"/>
              <w:jc w:val="right"/>
              <w:rPr>
                <w:rFonts w:ascii="宋体" w:hAnsi="宋体" w:cs="宋体" w:eastAsia="宋体" w:hint="default"/>
                <w:sz w:val="18"/>
                <w:szCs w:val="18"/>
              </w:rPr>
            </w:pPr>
            <w:r>
              <w:rPr>
                <w:rFonts w:ascii="宋体"/>
                <w:sz w:val="18"/>
              </w:rPr>
              <w:t> </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1"/>
              <w:jc w:val="right"/>
              <w:rPr>
                <w:rFonts w:ascii="宋体" w:hAnsi="宋体" w:cs="宋体" w:eastAsia="宋体" w:hint="default"/>
                <w:sz w:val="18"/>
                <w:szCs w:val="18"/>
              </w:rPr>
            </w:pPr>
            <w:r>
              <w:rPr>
                <w:rFonts w:ascii="宋体"/>
                <w:spacing w:val="-1"/>
                <w:sz w:val="18"/>
              </w:rPr>
              <w:t>84,201,750.57 </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1"/>
              <w:jc w:val="right"/>
              <w:rPr>
                <w:rFonts w:ascii="宋体" w:hAnsi="宋体" w:cs="宋体" w:eastAsia="宋体" w:hint="default"/>
                <w:sz w:val="18"/>
                <w:szCs w:val="18"/>
              </w:rPr>
            </w:pPr>
            <w:r>
              <w:rPr>
                <w:rFonts w:ascii="宋体"/>
                <w:sz w:val="18"/>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1"/>
              <w:jc w:val="right"/>
              <w:rPr>
                <w:rFonts w:ascii="宋体" w:hAnsi="宋体" w:cs="宋体" w:eastAsia="宋体" w:hint="default"/>
                <w:sz w:val="18"/>
                <w:szCs w:val="18"/>
              </w:rPr>
            </w:pPr>
            <w:r>
              <w:rPr>
                <w:rFonts w:ascii="宋体"/>
                <w:spacing w:val="-1"/>
                <w:sz w:val="18"/>
              </w:rPr>
              <w:t>84,201,750.57 </w:t>
            </w:r>
          </w:p>
        </w:tc>
        <w:tc>
          <w:tcPr>
            <w:tcW w:w="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9"/>
              <w:jc w:val="right"/>
              <w:rPr>
                <w:rFonts w:ascii="宋体" w:hAnsi="宋体" w:cs="宋体" w:eastAsia="宋体" w:hint="default"/>
                <w:sz w:val="18"/>
                <w:szCs w:val="18"/>
              </w:rPr>
            </w:pPr>
            <w:r>
              <w:rPr>
                <w:rFonts w:ascii="宋体"/>
                <w:sz w:val="18"/>
              </w:rPr>
              <w:t> </w:t>
            </w:r>
          </w:p>
        </w:tc>
      </w:tr>
    </w:tbl>
    <w:p>
      <w:pPr>
        <w:spacing w:before="86"/>
        <w:ind w:left="575" w:right="1133" w:firstLine="0"/>
        <w:jc w:val="left"/>
        <w:rPr>
          <w:rFonts w:ascii="宋体" w:hAnsi="宋体" w:cs="宋体" w:eastAsia="宋体" w:hint="default"/>
          <w:sz w:val="21"/>
          <w:szCs w:val="21"/>
        </w:rPr>
      </w:pPr>
      <w:r>
        <w:rPr>
          <w:rFonts w:ascii="宋体" w:hAnsi="宋体" w:cs="宋体" w:eastAsia="宋体" w:hint="default"/>
          <w:b/>
          <w:bCs/>
          <w:sz w:val="21"/>
          <w:szCs w:val="21"/>
        </w:rPr>
        <w:t>长期应收款说明：</w:t>
      </w:r>
      <w:r>
        <w:rPr>
          <w:rFonts w:ascii="宋体" w:hAnsi="宋体" w:cs="宋体" w:eastAsia="宋体" w:hint="default"/>
          <w:b/>
          <w:bCs/>
          <w:w w:val="99"/>
          <w:sz w:val="21"/>
          <w:szCs w:val="21"/>
        </w:rPr>
        <w:t> </w:t>
      </w:r>
      <w:r>
        <w:rPr>
          <w:rFonts w:ascii="宋体" w:hAnsi="宋体" w:cs="宋体" w:eastAsia="宋体" w:hint="default"/>
          <w:sz w:val="21"/>
          <w:szCs w:val="21"/>
        </w:rPr>
      </w:r>
    </w:p>
    <w:p>
      <w:pPr>
        <w:pStyle w:val="BodyText"/>
        <w:spacing w:line="237" w:lineRule="auto" w:before="121"/>
        <w:ind w:right="819" w:firstLine="420"/>
        <w:jc w:val="left"/>
        <w:rPr>
          <w:rFonts w:ascii="宋体" w:hAnsi="宋体" w:cs="宋体" w:eastAsia="宋体" w:hint="default"/>
        </w:rPr>
      </w:pPr>
      <w:r>
        <w:rPr/>
        <w:t>（</w:t>
      </w:r>
      <w:r>
        <w:rPr>
          <w:rFonts w:ascii="宋体" w:hAnsi="宋体" w:cs="宋体" w:eastAsia="宋体" w:hint="default"/>
        </w:rPr>
        <w:t>1</w:t>
      </w:r>
      <w:r>
        <w:rPr/>
        <w:t>）由于政府对数据中心所在工业园区电力供应政策变化及自然灾害的原因，北京泰盛亚德数字科</w:t>
      </w:r>
      <w:r>
        <w:rPr>
          <w:w w:val="100"/>
        </w:rPr>
        <w:t> </w:t>
      </w:r>
      <w:r>
        <w:rPr/>
        <w:t>技有限公司委托长实通信建设的两个数据中心项目（所在地分别在山东茌平与四川汶川）无法正常运营，</w:t>
      </w:r>
      <w:r>
        <w:rPr>
          <w:spacing w:val="-24"/>
        </w:rPr>
        <w:t> </w:t>
      </w:r>
      <w:r>
        <w:rPr>
          <w:spacing w:val="-24"/>
        </w:rPr>
      </w:r>
      <w:r>
        <w:rPr>
          <w:spacing w:val="-2"/>
        </w:rPr>
        <w:t>北京泰盛亚德数字科技有限公司以数据中心项目的全部资产抵偿所欠公司的建设款，公司将长期应收款全</w:t>
      </w:r>
      <w:r>
        <w:rPr>
          <w:spacing w:val="-43"/>
        </w:rPr>
        <w:t> </w:t>
      </w:r>
      <w:r>
        <w:rPr>
          <w:spacing w:val="-43"/>
        </w:rPr>
      </w:r>
      <w:r>
        <w:rPr>
          <w:spacing w:val="-5"/>
          <w:w w:val="100"/>
        </w:rPr>
        <w:t>部转销，具体情况详见财务报表“附注十三、其他重要事项之（二）债务重组”。</w:t>
      </w:r>
      <w:r>
        <w:rPr>
          <w:rFonts w:ascii="宋体" w:hAnsi="宋体" w:cs="宋体" w:eastAsia="宋体" w:hint="default"/>
          <w:w w:val="100"/>
        </w:rPr>
        <w:t> </w:t>
      </w:r>
    </w:p>
    <w:p>
      <w:pPr>
        <w:pStyle w:val="BodyText"/>
        <w:spacing w:line="272" w:lineRule="exact" w:before="146"/>
        <w:ind w:right="1123" w:firstLine="420"/>
        <w:jc w:val="left"/>
      </w:pPr>
      <w:r>
        <w:rPr/>
        <w:t>（</w:t>
      </w:r>
      <w:r>
        <w:rPr>
          <w:rFonts w:ascii="宋体" w:hAnsi="宋体" w:cs="宋体" w:eastAsia="宋体" w:hint="default"/>
        </w:rPr>
        <w:t>2</w:t>
      </w:r>
      <w:r>
        <w:rPr/>
        <w:t>）</w:t>
      </w:r>
      <w:r>
        <w:rPr>
          <w:rFonts w:ascii="宋体" w:hAnsi="宋体" w:cs="宋体" w:eastAsia="宋体" w:hint="default"/>
        </w:rPr>
        <w:t>2018</w:t>
      </w:r>
      <w:r>
        <w:rPr>
          <w:rFonts w:ascii="宋体" w:hAnsi="宋体" w:cs="宋体" w:eastAsia="宋体" w:hint="default"/>
          <w:spacing w:val="-44"/>
        </w:rPr>
        <w:t> </w:t>
      </w:r>
      <w:r>
        <w:rPr/>
        <w:t>年</w:t>
      </w:r>
      <w:r>
        <w:rPr>
          <w:spacing w:val="-46"/>
        </w:rPr>
        <w:t> </w:t>
      </w:r>
      <w:r>
        <w:rPr>
          <w:rFonts w:ascii="宋体" w:hAnsi="宋体" w:cs="宋体" w:eastAsia="宋体" w:hint="default"/>
        </w:rPr>
        <w:t>6</w:t>
      </w:r>
      <w:r>
        <w:rPr>
          <w:rFonts w:ascii="宋体" w:hAnsi="宋体" w:cs="宋体" w:eastAsia="宋体" w:hint="default"/>
          <w:spacing w:val="-44"/>
        </w:rPr>
        <w:t> </w:t>
      </w:r>
      <w:r>
        <w:rPr/>
        <w:t>月，新丝路融资租赁</w:t>
      </w:r>
      <w:r>
        <w:rPr>
          <w:rFonts w:ascii="宋体" w:hAnsi="宋体" w:cs="宋体" w:eastAsia="宋体" w:hint="default"/>
        </w:rPr>
        <w:t>(</w:t>
      </w:r>
      <w:r>
        <w:rPr/>
        <w:t>深圳</w:t>
      </w:r>
      <w:r>
        <w:rPr>
          <w:rFonts w:ascii="宋体" w:hAnsi="宋体" w:cs="宋体" w:eastAsia="宋体" w:hint="default"/>
        </w:rPr>
        <w:t>)</w:t>
      </w:r>
      <w:r>
        <w:rPr/>
        <w:t>有限公司将其自有的服务器等设备租赁于深圳市创飞高科</w:t>
      </w:r>
      <w:r>
        <w:rPr>
          <w:w w:val="100"/>
        </w:rPr>
        <w:t> </w:t>
      </w:r>
      <w:r>
        <w:rPr>
          <w:spacing w:val="-4"/>
        </w:rPr>
        <w:t>技有限公司，租赁期限为</w:t>
      </w:r>
      <w:r>
        <w:rPr>
          <w:spacing w:val="-51"/>
        </w:rPr>
        <w:t> </w:t>
      </w:r>
      <w:r>
        <w:rPr>
          <w:rFonts w:ascii="宋体" w:hAnsi="宋体" w:cs="宋体" w:eastAsia="宋体" w:hint="default"/>
        </w:rPr>
        <w:t>2018</w:t>
      </w:r>
      <w:r>
        <w:rPr>
          <w:rFonts w:ascii="宋体" w:hAnsi="宋体" w:cs="宋体" w:eastAsia="宋体" w:hint="default"/>
          <w:spacing w:val="-51"/>
        </w:rPr>
        <w:t> </w:t>
      </w:r>
      <w:r>
        <w:rPr/>
        <w:t>年</w:t>
      </w:r>
      <w:r>
        <w:rPr>
          <w:spacing w:val="-52"/>
        </w:rPr>
        <w:t> </w:t>
      </w:r>
      <w:r>
        <w:rPr>
          <w:rFonts w:ascii="宋体" w:hAnsi="宋体" w:cs="宋体" w:eastAsia="宋体" w:hint="default"/>
        </w:rPr>
        <w:t>6</w:t>
      </w:r>
      <w:r>
        <w:rPr>
          <w:rFonts w:ascii="宋体" w:hAnsi="宋体" w:cs="宋体" w:eastAsia="宋体" w:hint="default"/>
          <w:spacing w:val="-51"/>
        </w:rPr>
        <w:t> </w:t>
      </w:r>
      <w:r>
        <w:rPr/>
        <w:t>月</w:t>
      </w:r>
      <w:r>
        <w:rPr>
          <w:spacing w:val="-53"/>
        </w:rPr>
        <w:t> </w:t>
      </w:r>
      <w:r>
        <w:rPr>
          <w:rFonts w:ascii="宋体" w:hAnsi="宋体" w:cs="宋体" w:eastAsia="宋体" w:hint="default"/>
        </w:rPr>
        <w:t>1</w:t>
      </w:r>
      <w:r>
        <w:rPr>
          <w:rFonts w:ascii="宋体" w:hAnsi="宋体" w:cs="宋体" w:eastAsia="宋体" w:hint="default"/>
          <w:spacing w:val="-51"/>
        </w:rPr>
        <w:t> </w:t>
      </w:r>
      <w:r>
        <w:rPr/>
        <w:t>日至</w:t>
      </w:r>
      <w:r>
        <w:rPr>
          <w:spacing w:val="-51"/>
        </w:rPr>
        <w:t> </w:t>
      </w:r>
      <w:r>
        <w:rPr>
          <w:rFonts w:ascii="宋体" w:hAnsi="宋体" w:cs="宋体" w:eastAsia="宋体" w:hint="default"/>
        </w:rPr>
        <w:t>2021</w:t>
      </w:r>
      <w:r>
        <w:rPr>
          <w:rFonts w:ascii="宋体" w:hAnsi="宋体" w:cs="宋体" w:eastAsia="宋体" w:hint="default"/>
          <w:spacing w:val="-53"/>
        </w:rPr>
        <w:t> </w:t>
      </w:r>
      <w:r>
        <w:rPr/>
        <w:t>年</w:t>
      </w:r>
      <w:r>
        <w:rPr>
          <w:spacing w:val="-53"/>
        </w:rPr>
        <w:t> </w:t>
      </w:r>
      <w:r>
        <w:rPr>
          <w:rFonts w:ascii="宋体" w:hAnsi="宋体" w:cs="宋体" w:eastAsia="宋体" w:hint="default"/>
        </w:rPr>
        <w:t>5</w:t>
      </w:r>
      <w:r>
        <w:rPr>
          <w:rFonts w:ascii="宋体" w:hAnsi="宋体" w:cs="宋体" w:eastAsia="宋体" w:hint="default"/>
          <w:spacing w:val="-51"/>
        </w:rPr>
        <w:t> </w:t>
      </w:r>
      <w:r>
        <w:rPr/>
        <w:t>月</w:t>
      </w:r>
      <w:r>
        <w:rPr>
          <w:spacing w:val="-51"/>
        </w:rPr>
        <w:t> </w:t>
      </w:r>
      <w:r>
        <w:rPr>
          <w:rFonts w:ascii="宋体" w:hAnsi="宋体" w:cs="宋体" w:eastAsia="宋体" w:hint="default"/>
        </w:rPr>
        <w:t>31</w:t>
      </w:r>
      <w:r>
        <w:rPr>
          <w:rFonts w:ascii="宋体" w:hAnsi="宋体" w:cs="宋体" w:eastAsia="宋体" w:hint="default"/>
          <w:spacing w:val="-51"/>
        </w:rPr>
        <w:t> </w:t>
      </w:r>
      <w:r>
        <w:rPr>
          <w:spacing w:val="-5"/>
        </w:rPr>
        <w:t>日，每季收取租金</w:t>
      </w:r>
      <w:r>
        <w:rPr>
          <w:spacing w:val="-53"/>
        </w:rPr>
        <w:t> </w:t>
      </w:r>
      <w:r>
        <w:rPr>
          <w:rFonts w:ascii="宋体" w:hAnsi="宋体" w:cs="宋体" w:eastAsia="宋体" w:hint="default"/>
        </w:rPr>
        <w:t>8,100,000.00</w:t>
      </w:r>
      <w:r>
        <w:rPr>
          <w:rFonts w:ascii="宋体" w:hAnsi="宋体" w:cs="宋体" w:eastAsia="宋体" w:hint="default"/>
          <w:spacing w:val="-53"/>
        </w:rPr>
        <w:t> </w:t>
      </w:r>
      <w:r>
        <w:rPr>
          <w:spacing w:val="-5"/>
        </w:rPr>
        <w:t>元；</w:t>
      </w:r>
      <w:r>
        <w:rPr>
          <w:rFonts w:ascii="宋体" w:hAnsi="宋体" w:cs="宋体" w:eastAsia="宋体" w:hint="default"/>
          <w:spacing w:val="-5"/>
        </w:rPr>
        <w:t>2018</w:t>
      </w:r>
      <w:r>
        <w:rPr>
          <w:rFonts w:ascii="宋体" w:hAnsi="宋体" w:cs="宋体" w:eastAsia="宋体" w:hint="default"/>
          <w:spacing w:val="-51"/>
        </w:rPr>
        <w:t> </w:t>
      </w:r>
      <w:r>
        <w:rPr/>
        <w:t>年</w:t>
      </w:r>
    </w:p>
    <w:p>
      <w:pPr>
        <w:pStyle w:val="BodyText"/>
        <w:spacing w:line="246" w:lineRule="exact"/>
        <w:ind w:right="0"/>
        <w:jc w:val="both"/>
      </w:pPr>
      <w:r>
        <w:rPr>
          <w:rFonts w:ascii="宋体" w:hAnsi="宋体" w:cs="宋体" w:eastAsia="宋体" w:hint="default"/>
        </w:rPr>
        <w:t>6</w:t>
      </w:r>
      <w:r>
        <w:rPr>
          <w:rFonts w:ascii="宋体" w:hAnsi="宋体" w:cs="宋体" w:eastAsia="宋体" w:hint="default"/>
          <w:spacing w:val="60"/>
        </w:rPr>
        <w:t> </w:t>
      </w:r>
      <w:r>
        <w:rPr>
          <w:spacing w:val="-2"/>
        </w:rPr>
        <w:t>月，华赢融资租赁（深圳）有限公司将其自有的服务器等设备租赁于霍尔果斯泰裕耀华通信科技有限责</w:t>
      </w:r>
    </w:p>
    <w:p>
      <w:pPr>
        <w:pStyle w:val="BodyText"/>
        <w:spacing w:line="237" w:lineRule="auto" w:before="2"/>
        <w:ind w:right="1126"/>
        <w:jc w:val="both"/>
        <w:rPr>
          <w:rFonts w:ascii="宋体" w:hAnsi="宋体" w:cs="宋体" w:eastAsia="宋体" w:hint="default"/>
        </w:rPr>
      </w:pPr>
      <w:r>
        <w:rPr>
          <w:spacing w:val="-3"/>
        </w:rPr>
        <w:t>任公司，租赁期限为</w:t>
      </w:r>
      <w:r>
        <w:rPr>
          <w:spacing w:val="-50"/>
        </w:rPr>
        <w:t> </w:t>
      </w:r>
      <w:r>
        <w:rPr>
          <w:rFonts w:ascii="宋体" w:hAnsi="宋体" w:cs="宋体" w:eastAsia="宋体" w:hint="default"/>
        </w:rPr>
        <w:t>2018</w:t>
      </w:r>
      <w:r>
        <w:rPr>
          <w:rFonts w:ascii="宋体" w:hAnsi="宋体" w:cs="宋体" w:eastAsia="宋体" w:hint="default"/>
          <w:spacing w:val="-52"/>
        </w:rPr>
        <w:t> </w:t>
      </w:r>
      <w:r>
        <w:rPr/>
        <w:t>年</w:t>
      </w:r>
      <w:r>
        <w:rPr>
          <w:spacing w:val="-50"/>
        </w:rPr>
        <w:t> </w:t>
      </w:r>
      <w:r>
        <w:rPr>
          <w:rFonts w:ascii="宋体" w:hAnsi="宋体" w:cs="宋体" w:eastAsia="宋体" w:hint="default"/>
        </w:rPr>
        <w:t>6</w:t>
      </w:r>
      <w:r>
        <w:rPr>
          <w:rFonts w:ascii="宋体" w:hAnsi="宋体" w:cs="宋体" w:eastAsia="宋体" w:hint="default"/>
          <w:spacing w:val="-52"/>
        </w:rPr>
        <w:t> </w:t>
      </w:r>
      <w:r>
        <w:rPr/>
        <w:t>月</w:t>
      </w:r>
      <w:r>
        <w:rPr>
          <w:spacing w:val="-49"/>
        </w:rPr>
        <w:t> </w:t>
      </w:r>
      <w:r>
        <w:rPr>
          <w:rFonts w:ascii="宋体" w:hAnsi="宋体" w:cs="宋体" w:eastAsia="宋体" w:hint="default"/>
        </w:rPr>
        <w:t>1</w:t>
      </w:r>
      <w:r>
        <w:rPr>
          <w:rFonts w:ascii="宋体" w:hAnsi="宋体" w:cs="宋体" w:eastAsia="宋体" w:hint="default"/>
          <w:spacing w:val="-50"/>
        </w:rPr>
        <w:t> </w:t>
      </w:r>
      <w:r>
        <w:rPr/>
        <w:t>日至</w:t>
      </w:r>
      <w:r>
        <w:rPr>
          <w:spacing w:val="-50"/>
        </w:rPr>
        <w:t> </w:t>
      </w:r>
      <w:r>
        <w:rPr>
          <w:rFonts w:ascii="宋体" w:hAnsi="宋体" w:cs="宋体" w:eastAsia="宋体" w:hint="default"/>
        </w:rPr>
        <w:t>2021</w:t>
      </w:r>
      <w:r>
        <w:rPr>
          <w:rFonts w:ascii="宋体" w:hAnsi="宋体" w:cs="宋体" w:eastAsia="宋体" w:hint="default"/>
          <w:spacing w:val="-52"/>
        </w:rPr>
        <w:t> </w:t>
      </w:r>
      <w:r>
        <w:rPr/>
        <w:t>年</w:t>
      </w:r>
      <w:r>
        <w:rPr>
          <w:spacing w:val="-50"/>
        </w:rPr>
        <w:t> </w:t>
      </w:r>
      <w:r>
        <w:rPr>
          <w:rFonts w:ascii="宋体" w:hAnsi="宋体" w:cs="宋体" w:eastAsia="宋体" w:hint="default"/>
        </w:rPr>
        <w:t>5</w:t>
      </w:r>
      <w:r>
        <w:rPr>
          <w:rFonts w:ascii="宋体" w:hAnsi="宋体" w:cs="宋体" w:eastAsia="宋体" w:hint="default"/>
          <w:spacing w:val="-52"/>
        </w:rPr>
        <w:t> </w:t>
      </w:r>
      <w:r>
        <w:rPr/>
        <w:t>月</w:t>
      </w:r>
      <w:r>
        <w:rPr>
          <w:spacing w:val="-50"/>
        </w:rPr>
        <w:t> </w:t>
      </w:r>
      <w:r>
        <w:rPr>
          <w:rFonts w:ascii="宋体" w:hAnsi="宋体" w:cs="宋体" w:eastAsia="宋体" w:hint="default"/>
        </w:rPr>
        <w:t>31</w:t>
      </w:r>
      <w:r>
        <w:rPr>
          <w:rFonts w:ascii="宋体" w:hAnsi="宋体" w:cs="宋体" w:eastAsia="宋体" w:hint="default"/>
          <w:spacing w:val="-52"/>
        </w:rPr>
        <w:t> </w:t>
      </w:r>
      <w:r>
        <w:rPr>
          <w:spacing w:val="-3"/>
        </w:rPr>
        <w:t>日，每季度收取租金</w:t>
      </w:r>
      <w:r>
        <w:rPr>
          <w:spacing w:val="-50"/>
        </w:rPr>
        <w:t> </w:t>
      </w:r>
      <w:r>
        <w:rPr>
          <w:rFonts w:ascii="宋体" w:hAnsi="宋体" w:cs="宋体" w:eastAsia="宋体" w:hint="default"/>
        </w:rPr>
        <w:t>5,340,000.00</w:t>
      </w:r>
      <w:r>
        <w:rPr>
          <w:rFonts w:ascii="宋体" w:hAnsi="宋体" w:cs="宋体" w:eastAsia="宋体" w:hint="default"/>
          <w:spacing w:val="-49"/>
        </w:rPr>
        <w:t> </w:t>
      </w:r>
      <w:r>
        <w:rPr>
          <w:spacing w:val="-3"/>
        </w:rPr>
        <w:t>元。由于政府</w:t>
      </w:r>
      <w:r>
        <w:rPr>
          <w:w w:val="100"/>
        </w:rPr>
        <w:t> </w:t>
      </w:r>
      <w:r>
        <w:rPr>
          <w:spacing w:val="-2"/>
        </w:rPr>
        <w:t>对数据中心所在工业园区电力供应政策变化及自然灾害的原因，造成两个数据机房相继无法正常运营，上</w:t>
      </w:r>
      <w:r>
        <w:rPr>
          <w:spacing w:val="-44"/>
        </w:rPr>
        <w:t> </w:t>
      </w:r>
      <w:r>
        <w:rPr>
          <w:spacing w:val="-44"/>
        </w:rPr>
      </w:r>
      <w:r>
        <w:rPr/>
        <w:t>述融资租赁项目终止，公司收回上述租赁的服务器，同时冲销长期应收款。</w:t>
      </w:r>
      <w:r>
        <w:rPr>
          <w:rFonts w:ascii="宋体" w:hAnsi="宋体" w:cs="宋体" w:eastAsia="宋体" w:hint="default"/>
        </w:rPr>
        <w:t> </w:t>
      </w:r>
    </w:p>
    <w:p>
      <w:pPr>
        <w:pStyle w:val="Heading3"/>
        <w:spacing w:line="240" w:lineRule="auto" w:before="117"/>
        <w:ind w:left="575" w:right="1133"/>
        <w:jc w:val="left"/>
        <w:rPr>
          <w:rFonts w:ascii="宋体" w:hAnsi="宋体" w:cs="宋体" w:eastAsia="宋体" w:hint="default"/>
          <w:b w:val="0"/>
          <w:bCs w:val="0"/>
        </w:rPr>
      </w:pPr>
      <w:r>
        <w:rPr>
          <w:rFonts w:ascii="宋体" w:hAnsi="宋体" w:cs="宋体" w:eastAsia="宋体" w:hint="default"/>
        </w:rPr>
        <w:t>2</w:t>
      </w:r>
      <w:r>
        <w:rPr/>
        <w:t>、坏账准备计提情况</w:t>
      </w:r>
      <w:r>
        <w:rPr>
          <w:rFonts w:ascii="宋体" w:hAnsi="宋体" w:cs="宋体" w:eastAsia="宋体" w:hint="default"/>
          <w:w w:val="99"/>
        </w:rPr>
        <w:t> </w:t>
      </w:r>
      <w:r>
        <w:rPr>
          <w:rFonts w:ascii="宋体" w:hAnsi="宋体" w:cs="宋体" w:eastAsia="宋体" w:hint="default"/>
          <w:b w:val="0"/>
          <w:bCs w:val="0"/>
        </w:rPr>
      </w:r>
    </w:p>
    <w:p>
      <w:pPr>
        <w:spacing w:line="240" w:lineRule="auto" w:before="9"/>
        <w:rPr>
          <w:rFonts w:ascii="宋体" w:hAnsi="宋体" w:cs="宋体" w:eastAsia="宋体" w:hint="default"/>
          <w:b/>
          <w:bCs/>
          <w:sz w:val="11"/>
          <w:szCs w:val="11"/>
        </w:rPr>
      </w:pPr>
    </w:p>
    <w:tbl>
      <w:tblPr>
        <w:tblW w:w="0" w:type="auto"/>
        <w:jc w:val="left"/>
        <w:tblInd w:w="131" w:type="dxa"/>
        <w:tblLayout w:type="fixed"/>
        <w:tblCellMar>
          <w:top w:w="0" w:type="dxa"/>
          <w:left w:w="0" w:type="dxa"/>
          <w:bottom w:w="0" w:type="dxa"/>
          <w:right w:w="0" w:type="dxa"/>
        </w:tblCellMar>
        <w:tblLook w:val="01E0"/>
      </w:tblPr>
      <w:tblGrid>
        <w:gridCol w:w="2072"/>
        <w:gridCol w:w="1582"/>
        <w:gridCol w:w="2225"/>
        <w:gridCol w:w="2208"/>
        <w:gridCol w:w="1541"/>
      </w:tblGrid>
      <w:tr>
        <w:trPr>
          <w:trHeight w:val="482" w:hRule="exact"/>
        </w:trPr>
        <w:tc>
          <w:tcPr>
            <w:tcW w:w="207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left="463" w:right="0"/>
              <w:jc w:val="left"/>
              <w:rPr>
                <w:rFonts w:ascii="宋体" w:hAnsi="宋体" w:cs="宋体" w:eastAsia="宋体" w:hint="default"/>
                <w:sz w:val="18"/>
                <w:szCs w:val="18"/>
              </w:rPr>
            </w:pPr>
            <w:r>
              <w:rPr>
                <w:rFonts w:ascii="宋体" w:hAnsi="宋体" w:cs="宋体" w:eastAsia="宋体" w:hint="default"/>
                <w:sz w:val="18"/>
                <w:szCs w:val="18"/>
              </w:rPr>
              <w:t>减值准备</w:t>
            </w:r>
            <w:r>
              <w:rPr>
                <w:rFonts w:ascii="宋体" w:hAnsi="宋体" w:cs="宋体" w:eastAsia="宋体" w:hint="default"/>
                <w:sz w:val="18"/>
                <w:szCs w:val="18"/>
              </w:rPr>
              <w:t>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27" w:right="0"/>
              <w:jc w:val="left"/>
              <w:rPr>
                <w:rFonts w:ascii="宋体" w:hAnsi="宋体" w:cs="宋体" w:eastAsia="宋体" w:hint="default"/>
                <w:sz w:val="18"/>
                <w:szCs w:val="18"/>
              </w:rPr>
            </w:pPr>
            <w:r>
              <w:rPr>
                <w:rFonts w:ascii="宋体" w:hAnsi="宋体" w:cs="宋体" w:eastAsia="宋体" w:hint="default"/>
                <w:sz w:val="18"/>
                <w:szCs w:val="18"/>
              </w:rPr>
              <w:t>第一阶段</w:t>
            </w:r>
            <w:r>
              <w:rPr>
                <w:rFonts w:ascii="宋体" w:hAnsi="宋体" w:cs="宋体" w:eastAsia="宋体" w:hint="default"/>
                <w:sz w:val="18"/>
                <w:szCs w:val="18"/>
              </w:rPr>
              <w:t> </w:t>
            </w:r>
          </w:p>
        </w:tc>
        <w:tc>
          <w:tcPr>
            <w:tcW w:w="2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748" w:right="0"/>
              <w:jc w:val="left"/>
              <w:rPr>
                <w:rFonts w:ascii="宋体" w:hAnsi="宋体" w:cs="宋体" w:eastAsia="宋体" w:hint="default"/>
                <w:sz w:val="18"/>
                <w:szCs w:val="18"/>
              </w:rPr>
            </w:pPr>
            <w:r>
              <w:rPr>
                <w:rFonts w:ascii="宋体" w:hAnsi="宋体" w:cs="宋体" w:eastAsia="宋体" w:hint="default"/>
                <w:sz w:val="18"/>
                <w:szCs w:val="18"/>
              </w:rPr>
              <w:t>第二阶段</w:t>
            </w:r>
            <w:r>
              <w:rPr>
                <w:rFonts w:ascii="宋体" w:hAnsi="宋体" w:cs="宋体" w:eastAsia="宋体" w:hint="default"/>
                <w:sz w:val="18"/>
                <w:szCs w:val="18"/>
              </w:rPr>
              <w:t> </w:t>
            </w:r>
          </w:p>
        </w:tc>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739" w:right="0"/>
              <w:jc w:val="left"/>
              <w:rPr>
                <w:rFonts w:ascii="宋体" w:hAnsi="宋体" w:cs="宋体" w:eastAsia="宋体" w:hint="default"/>
                <w:sz w:val="18"/>
                <w:szCs w:val="18"/>
              </w:rPr>
            </w:pPr>
            <w:r>
              <w:rPr>
                <w:rFonts w:ascii="宋体" w:hAnsi="宋体" w:cs="宋体" w:eastAsia="宋体" w:hint="default"/>
                <w:sz w:val="18"/>
                <w:szCs w:val="18"/>
              </w:rPr>
              <w:t>第三阶段</w:t>
            </w:r>
            <w:r>
              <w:rPr>
                <w:rFonts w:ascii="宋体" w:hAnsi="宋体" w:cs="宋体" w:eastAsia="宋体" w:hint="default"/>
                <w:sz w:val="18"/>
                <w:szCs w:val="18"/>
              </w:rPr>
              <w:t> </w:t>
            </w:r>
          </w:p>
        </w:tc>
        <w:tc>
          <w:tcPr>
            <w:tcW w:w="154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6"/>
                <w:szCs w:val="16"/>
              </w:rPr>
            </w:pPr>
          </w:p>
          <w:p>
            <w:pPr>
              <w:pStyle w:val="TableParagraph"/>
              <w:spacing w:line="240" w:lineRule="auto"/>
              <w:ind w:left="588" w:right="0"/>
              <w:jc w:val="lef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r>
      <w:tr>
        <w:trPr>
          <w:trHeight w:val="718" w:hRule="exact"/>
        </w:trPr>
        <w:tc>
          <w:tcPr>
            <w:tcW w:w="2072" w:type="dxa"/>
            <w:vMerge/>
            <w:tcBorders>
              <w:left w:val="single" w:sz="4" w:space="0" w:color="000000"/>
              <w:bottom w:val="single" w:sz="4" w:space="0" w:color="000000"/>
              <w:right w:val="single" w:sz="4" w:space="0" w:color="000000"/>
            </w:tcBorders>
          </w:tcPr>
          <w:p>
            <w:pP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before="89"/>
              <w:ind w:left="427" w:right="149" w:hanging="269"/>
              <w:jc w:val="left"/>
              <w:rPr>
                <w:rFonts w:ascii="宋体" w:hAnsi="宋体" w:cs="宋体" w:eastAsia="宋体" w:hint="default"/>
                <w:sz w:val="18"/>
                <w:szCs w:val="18"/>
              </w:rPr>
            </w:pPr>
            <w:r>
              <w:rPr>
                <w:rFonts w:ascii="宋体" w:hAnsi="宋体" w:cs="宋体" w:eastAsia="宋体" w:hint="default"/>
                <w:sz w:val="18"/>
                <w:szCs w:val="18"/>
              </w:rPr>
              <w:t>未来</w:t>
            </w:r>
            <w:r>
              <w:rPr>
                <w:rFonts w:ascii="宋体" w:hAnsi="宋体" w:cs="宋体" w:eastAsia="宋体" w:hint="default"/>
                <w:sz w:val="18"/>
                <w:szCs w:val="18"/>
              </w:rPr>
              <w:t>12</w:t>
            </w:r>
            <w:r>
              <w:rPr>
                <w:rFonts w:ascii="宋体" w:hAnsi="宋体" w:cs="宋体" w:eastAsia="宋体" w:hint="default"/>
                <w:sz w:val="18"/>
                <w:szCs w:val="18"/>
              </w:rPr>
              <w:t>个月预期 信用损失</w:t>
            </w:r>
            <w:r>
              <w:rPr>
                <w:rFonts w:ascii="宋体" w:hAnsi="宋体" w:cs="宋体" w:eastAsia="宋体" w:hint="default"/>
                <w:sz w:val="18"/>
                <w:szCs w:val="18"/>
              </w:rPr>
              <w:t> </w:t>
            </w:r>
          </w:p>
        </w:tc>
        <w:tc>
          <w:tcPr>
            <w:tcW w:w="2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0"/>
              <w:jc w:val="center"/>
              <w:rPr>
                <w:rFonts w:ascii="宋体" w:hAnsi="宋体" w:cs="宋体" w:eastAsia="宋体" w:hint="default"/>
                <w:sz w:val="18"/>
                <w:szCs w:val="18"/>
              </w:rPr>
            </w:pPr>
            <w:r>
              <w:rPr>
                <w:rFonts w:ascii="宋体" w:hAnsi="宋体" w:cs="宋体" w:eastAsia="宋体" w:hint="default"/>
                <w:sz w:val="18"/>
                <w:szCs w:val="18"/>
              </w:rPr>
              <w:t>整个存续期预期信用损失</w:t>
            </w:r>
          </w:p>
          <w:p>
            <w:pPr>
              <w:pStyle w:val="TableParagraph"/>
              <w:spacing w:line="240" w:lineRule="auto" w:before="2"/>
              <w:ind w:left="92" w:right="0"/>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未发生信用减值</w:t>
            </w:r>
            <w:r>
              <w:rPr>
                <w:rFonts w:ascii="宋体" w:hAnsi="宋体" w:cs="宋体" w:eastAsia="宋体" w:hint="default"/>
                <w:sz w:val="18"/>
                <w:szCs w:val="18"/>
              </w:rPr>
              <w:t>) </w:t>
            </w:r>
          </w:p>
        </w:tc>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9"/>
              <w:ind w:right="0"/>
              <w:jc w:val="center"/>
              <w:rPr>
                <w:rFonts w:ascii="宋体" w:hAnsi="宋体" w:cs="宋体" w:eastAsia="宋体" w:hint="default"/>
                <w:sz w:val="18"/>
                <w:szCs w:val="18"/>
              </w:rPr>
            </w:pPr>
            <w:r>
              <w:rPr>
                <w:rFonts w:ascii="宋体" w:hAnsi="宋体" w:cs="宋体" w:eastAsia="宋体" w:hint="default"/>
                <w:sz w:val="18"/>
                <w:szCs w:val="18"/>
              </w:rPr>
              <w:t>整个存续期预期信用损失</w:t>
            </w:r>
          </w:p>
          <w:p>
            <w:pPr>
              <w:pStyle w:val="TableParagraph"/>
              <w:spacing w:line="240" w:lineRule="auto" w:before="2"/>
              <w:ind w:left="89" w:right="0"/>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已发生信用减值</w:t>
            </w:r>
            <w:r>
              <w:rPr>
                <w:rFonts w:ascii="宋体" w:hAnsi="宋体" w:cs="宋体" w:eastAsia="宋体" w:hint="default"/>
                <w:sz w:val="18"/>
                <w:szCs w:val="18"/>
              </w:rPr>
              <w:t>) </w:t>
            </w:r>
          </w:p>
        </w:tc>
        <w:tc>
          <w:tcPr>
            <w:tcW w:w="1541" w:type="dxa"/>
            <w:vMerge/>
            <w:tcBorders>
              <w:left w:val="single" w:sz="4" w:space="0" w:color="000000"/>
              <w:bottom w:val="single" w:sz="4" w:space="0" w:color="000000"/>
              <w:right w:val="single" w:sz="4" w:space="0" w:color="000000"/>
            </w:tcBorders>
          </w:tcPr>
          <w:p>
            <w:pPr/>
          </w:p>
        </w:tc>
      </w:tr>
      <w:tr>
        <w:trPr>
          <w:trHeight w:val="398" w:hRule="exact"/>
        </w:trPr>
        <w:tc>
          <w:tcPr>
            <w:tcW w:w="2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8"/>
              <w:jc w:val="right"/>
              <w:rPr>
                <w:rFonts w:ascii="宋体" w:hAnsi="宋体" w:cs="宋体" w:eastAsia="宋体" w:hint="default"/>
                <w:sz w:val="18"/>
                <w:szCs w:val="18"/>
              </w:rPr>
            </w:pPr>
            <w:r>
              <w:rPr>
                <w:rFonts w:ascii="宋体"/>
                <w:sz w:val="18"/>
              </w:rPr>
              <w:t> </w:t>
            </w:r>
          </w:p>
        </w:tc>
        <w:tc>
          <w:tcPr>
            <w:tcW w:w="2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z w:val="18"/>
              </w:rPr>
              <w:t> </w:t>
            </w:r>
          </w:p>
        </w:tc>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z w:val="18"/>
              </w:rPr>
              <w:t> </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8"/>
              <w:jc w:val="right"/>
              <w:rPr>
                <w:rFonts w:ascii="宋体" w:hAnsi="宋体" w:cs="宋体" w:eastAsia="宋体" w:hint="default"/>
                <w:sz w:val="18"/>
                <w:szCs w:val="18"/>
              </w:rPr>
            </w:pPr>
            <w:r>
              <w:rPr>
                <w:rFonts w:ascii="宋体"/>
                <w:sz w:val="18"/>
              </w:rPr>
              <w:t> </w:t>
            </w:r>
          </w:p>
        </w:tc>
      </w:tr>
    </w:tbl>
    <w:p>
      <w:pPr>
        <w:spacing w:after="0" w:line="240" w:lineRule="auto"/>
        <w:jc w:val="right"/>
        <w:rPr>
          <w:rFonts w:ascii="宋体" w:hAnsi="宋体" w:cs="宋体" w:eastAsia="宋体" w:hint="default"/>
          <w:sz w:val="18"/>
          <w:szCs w:val="18"/>
        </w:rPr>
        <w:sectPr>
          <w:pgSz w:w="11910" w:h="16840"/>
          <w:pgMar w:header="921" w:footer="725" w:top="1160" w:bottom="920" w:left="980" w:right="0"/>
        </w:sectPr>
      </w:pPr>
    </w:p>
    <w:p>
      <w:pPr>
        <w:spacing w:line="240" w:lineRule="auto" w:before="4"/>
        <w:rPr>
          <w:rFonts w:ascii="宋体" w:hAnsi="宋体" w:cs="宋体" w:eastAsia="宋体" w:hint="default"/>
          <w:b/>
          <w:bCs/>
          <w:sz w:val="21"/>
          <w:szCs w:val="21"/>
        </w:rPr>
      </w:pPr>
    </w:p>
    <w:tbl>
      <w:tblPr>
        <w:tblW w:w="0" w:type="auto"/>
        <w:jc w:val="left"/>
        <w:tblInd w:w="131" w:type="dxa"/>
        <w:tblLayout w:type="fixed"/>
        <w:tblCellMar>
          <w:top w:w="0" w:type="dxa"/>
          <w:left w:w="0" w:type="dxa"/>
          <w:bottom w:w="0" w:type="dxa"/>
          <w:right w:w="0" w:type="dxa"/>
        </w:tblCellMar>
        <w:tblLook w:val="01E0"/>
      </w:tblPr>
      <w:tblGrid>
        <w:gridCol w:w="2072"/>
        <w:gridCol w:w="1582"/>
        <w:gridCol w:w="2225"/>
        <w:gridCol w:w="2208"/>
        <w:gridCol w:w="1541"/>
      </w:tblGrid>
      <w:tr>
        <w:trPr>
          <w:trHeight w:val="396" w:hRule="exact"/>
        </w:trPr>
        <w:tc>
          <w:tcPr>
            <w:tcW w:w="2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18"/>
                <w:szCs w:val="18"/>
              </w:rPr>
            </w:pPr>
            <w:r>
              <w:rPr>
                <w:rFonts w:ascii="宋体" w:hAnsi="宋体" w:cs="宋体" w:eastAsia="宋体" w:hint="default"/>
                <w:sz w:val="18"/>
                <w:szCs w:val="18"/>
              </w:rPr>
              <w:t>期初余额在本期</w:t>
            </w:r>
            <w:r>
              <w:rPr>
                <w:rFonts w:ascii="宋体" w:hAnsi="宋体" w:cs="宋体" w:eastAsia="宋体" w:hint="default"/>
                <w:sz w:val="18"/>
                <w:szCs w:val="18"/>
              </w:rPr>
              <w:t>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607"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 </w:t>
            </w:r>
          </w:p>
        </w:tc>
        <w:tc>
          <w:tcPr>
            <w:tcW w:w="2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92" w:right="0"/>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 </w:t>
            </w:r>
          </w:p>
        </w:tc>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89" w:right="0"/>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 </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588"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 </w:t>
            </w:r>
          </w:p>
        </w:tc>
      </w:tr>
      <w:tr>
        <w:trPr>
          <w:trHeight w:val="399" w:hRule="exact"/>
        </w:trPr>
        <w:tc>
          <w:tcPr>
            <w:tcW w:w="2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转入第二阶段</w:t>
            </w:r>
            <w:r>
              <w:rPr>
                <w:rFonts w:ascii="宋体" w:hAnsi="宋体" w:cs="宋体" w:eastAsia="宋体" w:hint="default"/>
                <w:sz w:val="18"/>
                <w:szCs w:val="18"/>
              </w:rPr>
              <w:t>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8"/>
              <w:jc w:val="right"/>
              <w:rPr>
                <w:rFonts w:ascii="宋体" w:hAnsi="宋体" w:cs="宋体" w:eastAsia="宋体" w:hint="default"/>
                <w:sz w:val="18"/>
                <w:szCs w:val="18"/>
              </w:rPr>
            </w:pPr>
            <w:r>
              <w:rPr>
                <w:rFonts w:ascii="宋体"/>
                <w:sz w:val="18"/>
              </w:rPr>
              <w:t> </w:t>
            </w:r>
          </w:p>
        </w:tc>
        <w:tc>
          <w:tcPr>
            <w:tcW w:w="2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1"/>
              <w:jc w:val="right"/>
              <w:rPr>
                <w:rFonts w:ascii="宋体" w:hAnsi="宋体" w:cs="宋体" w:eastAsia="宋体" w:hint="default"/>
                <w:sz w:val="18"/>
                <w:szCs w:val="18"/>
              </w:rPr>
            </w:pPr>
            <w:r>
              <w:rPr>
                <w:rFonts w:ascii="宋体"/>
                <w:sz w:val="18"/>
              </w:rPr>
              <w:t> </w:t>
            </w:r>
          </w:p>
        </w:tc>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11"/>
              <w:jc w:val="right"/>
              <w:rPr>
                <w:rFonts w:ascii="宋体" w:hAnsi="宋体" w:cs="宋体" w:eastAsia="宋体" w:hint="default"/>
                <w:sz w:val="18"/>
                <w:szCs w:val="18"/>
              </w:rPr>
            </w:pPr>
            <w:r>
              <w:rPr>
                <w:rFonts w:ascii="宋体"/>
                <w:sz w:val="18"/>
              </w:rPr>
              <w:t> </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5"/>
              <w:ind w:right="8"/>
              <w:jc w:val="right"/>
              <w:rPr>
                <w:rFonts w:ascii="宋体" w:hAnsi="宋体" w:cs="宋体" w:eastAsia="宋体" w:hint="default"/>
                <w:sz w:val="18"/>
                <w:szCs w:val="18"/>
              </w:rPr>
            </w:pPr>
            <w:r>
              <w:rPr>
                <w:rFonts w:ascii="宋体"/>
                <w:sz w:val="18"/>
              </w:rPr>
              <w:t> </w:t>
            </w:r>
          </w:p>
        </w:tc>
      </w:tr>
      <w:tr>
        <w:trPr>
          <w:trHeight w:val="396" w:hRule="exact"/>
        </w:trPr>
        <w:tc>
          <w:tcPr>
            <w:tcW w:w="2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转入第三阶段</w:t>
            </w:r>
            <w:r>
              <w:rPr>
                <w:rFonts w:ascii="宋体" w:hAnsi="宋体" w:cs="宋体" w:eastAsia="宋体" w:hint="default"/>
                <w:sz w:val="18"/>
                <w:szCs w:val="18"/>
              </w:rPr>
              <w:t>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8"/>
              <w:jc w:val="right"/>
              <w:rPr>
                <w:rFonts w:ascii="宋体" w:hAnsi="宋体" w:cs="宋体" w:eastAsia="宋体" w:hint="default"/>
                <w:sz w:val="18"/>
                <w:szCs w:val="18"/>
              </w:rPr>
            </w:pPr>
            <w:r>
              <w:rPr>
                <w:rFonts w:ascii="宋体"/>
                <w:sz w:val="18"/>
              </w:rPr>
              <w:t> </w:t>
            </w:r>
          </w:p>
        </w:tc>
        <w:tc>
          <w:tcPr>
            <w:tcW w:w="2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z w:val="18"/>
              </w:rPr>
              <w:t> </w:t>
            </w:r>
          </w:p>
        </w:tc>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z w:val="18"/>
              </w:rPr>
              <w:t> </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8"/>
              <w:jc w:val="right"/>
              <w:rPr>
                <w:rFonts w:ascii="宋体" w:hAnsi="宋体" w:cs="宋体" w:eastAsia="宋体" w:hint="default"/>
                <w:sz w:val="18"/>
                <w:szCs w:val="18"/>
              </w:rPr>
            </w:pPr>
            <w:r>
              <w:rPr>
                <w:rFonts w:ascii="宋体"/>
                <w:sz w:val="18"/>
              </w:rPr>
              <w:t> </w:t>
            </w:r>
          </w:p>
        </w:tc>
      </w:tr>
      <w:tr>
        <w:trPr>
          <w:trHeight w:val="398" w:hRule="exact"/>
        </w:trPr>
        <w:tc>
          <w:tcPr>
            <w:tcW w:w="2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转回第二阶段</w:t>
            </w:r>
            <w:r>
              <w:rPr>
                <w:rFonts w:ascii="宋体" w:hAnsi="宋体" w:cs="宋体" w:eastAsia="宋体" w:hint="default"/>
                <w:sz w:val="18"/>
                <w:szCs w:val="18"/>
              </w:rPr>
              <w:t>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8"/>
              <w:jc w:val="right"/>
              <w:rPr>
                <w:rFonts w:ascii="宋体" w:hAnsi="宋体" w:cs="宋体" w:eastAsia="宋体" w:hint="default"/>
                <w:sz w:val="18"/>
                <w:szCs w:val="18"/>
              </w:rPr>
            </w:pPr>
            <w:r>
              <w:rPr>
                <w:rFonts w:ascii="宋体"/>
                <w:sz w:val="18"/>
              </w:rPr>
              <w:t> </w:t>
            </w:r>
          </w:p>
        </w:tc>
        <w:tc>
          <w:tcPr>
            <w:tcW w:w="2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z w:val="18"/>
              </w:rPr>
              <w:t> </w:t>
            </w:r>
          </w:p>
        </w:tc>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z w:val="18"/>
              </w:rPr>
              <w:t> </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8"/>
              <w:jc w:val="right"/>
              <w:rPr>
                <w:rFonts w:ascii="宋体" w:hAnsi="宋体" w:cs="宋体" w:eastAsia="宋体" w:hint="default"/>
                <w:sz w:val="18"/>
                <w:szCs w:val="18"/>
              </w:rPr>
            </w:pPr>
            <w:r>
              <w:rPr>
                <w:rFonts w:ascii="宋体"/>
                <w:sz w:val="18"/>
              </w:rPr>
              <w:t> </w:t>
            </w:r>
          </w:p>
        </w:tc>
      </w:tr>
      <w:tr>
        <w:trPr>
          <w:trHeight w:val="396" w:hRule="exact"/>
        </w:trPr>
        <w:tc>
          <w:tcPr>
            <w:tcW w:w="2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转回第一阶段</w:t>
            </w:r>
            <w:r>
              <w:rPr>
                <w:rFonts w:ascii="宋体" w:hAnsi="宋体" w:cs="宋体" w:eastAsia="宋体" w:hint="default"/>
                <w:sz w:val="18"/>
                <w:szCs w:val="18"/>
              </w:rPr>
              <w:t>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8"/>
              <w:jc w:val="right"/>
              <w:rPr>
                <w:rFonts w:ascii="宋体" w:hAnsi="宋体" w:cs="宋体" w:eastAsia="宋体" w:hint="default"/>
                <w:sz w:val="18"/>
                <w:szCs w:val="18"/>
              </w:rPr>
            </w:pPr>
            <w:r>
              <w:rPr>
                <w:rFonts w:ascii="宋体"/>
                <w:sz w:val="18"/>
              </w:rPr>
              <w:t> </w:t>
            </w:r>
          </w:p>
        </w:tc>
        <w:tc>
          <w:tcPr>
            <w:tcW w:w="2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z w:val="18"/>
              </w:rPr>
              <w:t> </w:t>
            </w:r>
          </w:p>
        </w:tc>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z w:val="18"/>
              </w:rPr>
              <w:t> </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8"/>
              <w:jc w:val="right"/>
              <w:rPr>
                <w:rFonts w:ascii="宋体" w:hAnsi="宋体" w:cs="宋体" w:eastAsia="宋体" w:hint="default"/>
                <w:sz w:val="18"/>
                <w:szCs w:val="18"/>
              </w:rPr>
            </w:pPr>
            <w:r>
              <w:rPr>
                <w:rFonts w:ascii="宋体"/>
                <w:sz w:val="18"/>
              </w:rPr>
              <w:t> </w:t>
            </w:r>
          </w:p>
        </w:tc>
      </w:tr>
      <w:tr>
        <w:trPr>
          <w:trHeight w:val="398" w:hRule="exact"/>
        </w:trPr>
        <w:tc>
          <w:tcPr>
            <w:tcW w:w="2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18"/>
                <w:szCs w:val="18"/>
              </w:rPr>
            </w:pPr>
            <w:r>
              <w:rPr>
                <w:rFonts w:ascii="宋体" w:hAnsi="宋体" w:cs="宋体" w:eastAsia="宋体" w:hint="default"/>
                <w:sz w:val="18"/>
                <w:szCs w:val="18"/>
              </w:rPr>
              <w:t>本期计提</w:t>
            </w:r>
            <w:r>
              <w:rPr>
                <w:rFonts w:ascii="宋体" w:hAnsi="宋体" w:cs="宋体" w:eastAsia="宋体" w:hint="default"/>
                <w:sz w:val="18"/>
                <w:szCs w:val="18"/>
              </w:rPr>
              <w:t>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8"/>
              <w:jc w:val="right"/>
              <w:rPr>
                <w:rFonts w:ascii="宋体" w:hAnsi="宋体" w:cs="宋体" w:eastAsia="宋体" w:hint="default"/>
                <w:sz w:val="18"/>
                <w:szCs w:val="18"/>
              </w:rPr>
            </w:pPr>
            <w:r>
              <w:rPr>
                <w:rFonts w:ascii="宋体"/>
                <w:sz w:val="18"/>
              </w:rPr>
              <w:t> </w:t>
            </w:r>
          </w:p>
        </w:tc>
        <w:tc>
          <w:tcPr>
            <w:tcW w:w="2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z w:val="18"/>
              </w:rPr>
              <w:t> </w:t>
            </w:r>
          </w:p>
        </w:tc>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pacing w:val="-1"/>
                <w:sz w:val="18"/>
              </w:rPr>
              <w:t>60,029,591.60</w:t>
            </w:r>
            <w:r>
              <w:rPr>
                <w:rFonts w:ascii="宋体"/>
                <w:sz w:val="18"/>
              </w:rPr>
              <w:t> </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8"/>
              <w:jc w:val="right"/>
              <w:rPr>
                <w:rFonts w:ascii="宋体" w:hAnsi="宋体" w:cs="宋体" w:eastAsia="宋体" w:hint="default"/>
                <w:sz w:val="18"/>
                <w:szCs w:val="18"/>
              </w:rPr>
            </w:pPr>
            <w:r>
              <w:rPr>
                <w:rFonts w:ascii="宋体"/>
                <w:spacing w:val="-1"/>
                <w:sz w:val="18"/>
              </w:rPr>
              <w:t>60,029,591.60</w:t>
            </w:r>
            <w:r>
              <w:rPr>
                <w:rFonts w:ascii="宋体"/>
                <w:sz w:val="18"/>
              </w:rPr>
              <w:t> </w:t>
            </w:r>
          </w:p>
        </w:tc>
      </w:tr>
      <w:tr>
        <w:trPr>
          <w:trHeight w:val="396" w:hRule="exact"/>
        </w:trPr>
        <w:tc>
          <w:tcPr>
            <w:tcW w:w="2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18"/>
                <w:szCs w:val="18"/>
              </w:rPr>
            </w:pPr>
            <w:r>
              <w:rPr>
                <w:rFonts w:ascii="宋体" w:hAnsi="宋体" w:cs="宋体" w:eastAsia="宋体" w:hint="default"/>
                <w:sz w:val="18"/>
                <w:szCs w:val="18"/>
              </w:rPr>
              <w:t>本期转回</w:t>
            </w:r>
            <w:r>
              <w:rPr>
                <w:rFonts w:ascii="宋体" w:hAnsi="宋体" w:cs="宋体" w:eastAsia="宋体" w:hint="default"/>
                <w:sz w:val="18"/>
                <w:szCs w:val="18"/>
              </w:rPr>
              <w:t>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8"/>
              <w:jc w:val="right"/>
              <w:rPr>
                <w:rFonts w:ascii="宋体" w:hAnsi="宋体" w:cs="宋体" w:eastAsia="宋体" w:hint="default"/>
                <w:sz w:val="18"/>
                <w:szCs w:val="18"/>
              </w:rPr>
            </w:pPr>
            <w:r>
              <w:rPr>
                <w:rFonts w:ascii="宋体"/>
                <w:sz w:val="18"/>
              </w:rPr>
              <w:t> </w:t>
            </w:r>
          </w:p>
        </w:tc>
        <w:tc>
          <w:tcPr>
            <w:tcW w:w="2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z w:val="18"/>
              </w:rPr>
              <w:t> </w:t>
            </w:r>
          </w:p>
        </w:tc>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z w:val="18"/>
              </w:rPr>
              <w:t> </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8"/>
              <w:jc w:val="right"/>
              <w:rPr>
                <w:rFonts w:ascii="宋体" w:hAnsi="宋体" w:cs="宋体" w:eastAsia="宋体" w:hint="default"/>
                <w:sz w:val="18"/>
                <w:szCs w:val="18"/>
              </w:rPr>
            </w:pPr>
            <w:r>
              <w:rPr>
                <w:rFonts w:ascii="宋体"/>
                <w:sz w:val="18"/>
              </w:rPr>
              <w:t> </w:t>
            </w:r>
          </w:p>
        </w:tc>
      </w:tr>
      <w:tr>
        <w:trPr>
          <w:trHeight w:val="396" w:hRule="exact"/>
        </w:trPr>
        <w:tc>
          <w:tcPr>
            <w:tcW w:w="2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18"/>
                <w:szCs w:val="18"/>
              </w:rPr>
            </w:pPr>
            <w:r>
              <w:rPr>
                <w:rFonts w:ascii="宋体" w:hAnsi="宋体" w:cs="宋体" w:eastAsia="宋体" w:hint="default"/>
                <w:sz w:val="18"/>
                <w:szCs w:val="18"/>
              </w:rPr>
              <w:t>本期转销</w:t>
            </w:r>
            <w:r>
              <w:rPr>
                <w:rFonts w:ascii="宋体" w:hAnsi="宋体" w:cs="宋体" w:eastAsia="宋体" w:hint="default"/>
                <w:sz w:val="18"/>
                <w:szCs w:val="18"/>
              </w:rPr>
              <w:t>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8"/>
              <w:jc w:val="right"/>
              <w:rPr>
                <w:rFonts w:ascii="宋体" w:hAnsi="宋体" w:cs="宋体" w:eastAsia="宋体" w:hint="default"/>
                <w:sz w:val="18"/>
                <w:szCs w:val="18"/>
              </w:rPr>
            </w:pPr>
            <w:r>
              <w:rPr>
                <w:rFonts w:ascii="宋体"/>
                <w:sz w:val="18"/>
              </w:rPr>
              <w:t> </w:t>
            </w:r>
          </w:p>
        </w:tc>
        <w:tc>
          <w:tcPr>
            <w:tcW w:w="2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z w:val="18"/>
              </w:rPr>
              <w:t> </w:t>
            </w:r>
          </w:p>
        </w:tc>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pacing w:val="-1"/>
                <w:sz w:val="18"/>
              </w:rPr>
              <w:t>60,029,591.60</w:t>
            </w:r>
            <w:r>
              <w:rPr>
                <w:rFonts w:ascii="宋体"/>
                <w:sz w:val="18"/>
              </w:rPr>
              <w:t> </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8"/>
              <w:jc w:val="right"/>
              <w:rPr>
                <w:rFonts w:ascii="宋体" w:hAnsi="宋体" w:cs="宋体" w:eastAsia="宋体" w:hint="default"/>
                <w:sz w:val="18"/>
                <w:szCs w:val="18"/>
              </w:rPr>
            </w:pPr>
            <w:r>
              <w:rPr>
                <w:rFonts w:ascii="宋体"/>
                <w:spacing w:val="-1"/>
                <w:sz w:val="18"/>
              </w:rPr>
              <w:t>60,029,591.60</w:t>
            </w:r>
            <w:r>
              <w:rPr>
                <w:rFonts w:ascii="宋体"/>
                <w:sz w:val="18"/>
              </w:rPr>
              <w:t> </w:t>
            </w:r>
          </w:p>
        </w:tc>
      </w:tr>
      <w:tr>
        <w:trPr>
          <w:trHeight w:val="398" w:hRule="exact"/>
        </w:trPr>
        <w:tc>
          <w:tcPr>
            <w:tcW w:w="2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103" w:right="0"/>
              <w:jc w:val="left"/>
              <w:rPr>
                <w:rFonts w:ascii="宋体" w:hAnsi="宋体" w:cs="宋体" w:eastAsia="宋体" w:hint="default"/>
                <w:sz w:val="18"/>
                <w:szCs w:val="18"/>
              </w:rPr>
            </w:pPr>
            <w:r>
              <w:rPr>
                <w:rFonts w:ascii="宋体" w:hAnsi="宋体" w:cs="宋体" w:eastAsia="宋体" w:hint="default"/>
                <w:sz w:val="18"/>
                <w:szCs w:val="18"/>
              </w:rPr>
              <w:t>本期核销</w:t>
            </w:r>
            <w:r>
              <w:rPr>
                <w:rFonts w:ascii="宋体" w:hAnsi="宋体" w:cs="宋体" w:eastAsia="宋体" w:hint="default"/>
                <w:sz w:val="18"/>
                <w:szCs w:val="18"/>
              </w:rPr>
              <w:t>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8"/>
              <w:jc w:val="right"/>
              <w:rPr>
                <w:rFonts w:ascii="宋体" w:hAnsi="宋体" w:cs="宋体" w:eastAsia="宋体" w:hint="default"/>
                <w:sz w:val="18"/>
                <w:szCs w:val="18"/>
              </w:rPr>
            </w:pPr>
            <w:r>
              <w:rPr>
                <w:rFonts w:ascii="宋体"/>
                <w:sz w:val="18"/>
              </w:rPr>
              <w:t> </w:t>
            </w:r>
          </w:p>
        </w:tc>
        <w:tc>
          <w:tcPr>
            <w:tcW w:w="2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1"/>
              <w:jc w:val="right"/>
              <w:rPr>
                <w:rFonts w:ascii="宋体" w:hAnsi="宋体" w:cs="宋体" w:eastAsia="宋体" w:hint="default"/>
                <w:sz w:val="18"/>
                <w:szCs w:val="18"/>
              </w:rPr>
            </w:pPr>
            <w:r>
              <w:rPr>
                <w:rFonts w:ascii="宋体"/>
                <w:sz w:val="18"/>
              </w:rPr>
              <w:t> </w:t>
            </w:r>
          </w:p>
        </w:tc>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1"/>
              <w:jc w:val="right"/>
              <w:rPr>
                <w:rFonts w:ascii="宋体" w:hAnsi="宋体" w:cs="宋体" w:eastAsia="宋体" w:hint="default"/>
                <w:sz w:val="18"/>
                <w:szCs w:val="18"/>
              </w:rPr>
            </w:pPr>
            <w:r>
              <w:rPr>
                <w:rFonts w:ascii="宋体"/>
                <w:sz w:val="18"/>
              </w:rPr>
              <w:t> </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8"/>
              <w:jc w:val="right"/>
              <w:rPr>
                <w:rFonts w:ascii="宋体" w:hAnsi="宋体" w:cs="宋体" w:eastAsia="宋体" w:hint="default"/>
                <w:sz w:val="18"/>
                <w:szCs w:val="18"/>
              </w:rPr>
            </w:pPr>
            <w:r>
              <w:rPr>
                <w:rFonts w:ascii="宋体"/>
                <w:sz w:val="18"/>
              </w:rPr>
              <w:t> </w:t>
            </w:r>
          </w:p>
        </w:tc>
      </w:tr>
      <w:tr>
        <w:trPr>
          <w:trHeight w:val="396" w:hRule="exact"/>
        </w:trPr>
        <w:tc>
          <w:tcPr>
            <w:tcW w:w="2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18"/>
                <w:szCs w:val="18"/>
              </w:rPr>
            </w:pPr>
            <w:r>
              <w:rPr>
                <w:rFonts w:ascii="宋体" w:hAnsi="宋体" w:cs="宋体" w:eastAsia="宋体" w:hint="default"/>
                <w:sz w:val="18"/>
                <w:szCs w:val="18"/>
              </w:rPr>
              <w:t>其他变动</w:t>
            </w:r>
            <w:r>
              <w:rPr>
                <w:rFonts w:ascii="宋体" w:hAnsi="宋体" w:cs="宋体" w:eastAsia="宋体" w:hint="default"/>
                <w:sz w:val="18"/>
                <w:szCs w:val="18"/>
              </w:rPr>
              <w:t>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8"/>
              <w:jc w:val="right"/>
              <w:rPr>
                <w:rFonts w:ascii="宋体" w:hAnsi="宋体" w:cs="宋体" w:eastAsia="宋体" w:hint="default"/>
                <w:sz w:val="18"/>
                <w:szCs w:val="18"/>
              </w:rPr>
            </w:pPr>
            <w:r>
              <w:rPr>
                <w:rFonts w:ascii="宋体"/>
                <w:sz w:val="18"/>
              </w:rPr>
              <w:t> </w:t>
            </w:r>
          </w:p>
        </w:tc>
        <w:tc>
          <w:tcPr>
            <w:tcW w:w="2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z w:val="18"/>
              </w:rPr>
              <w:t> </w:t>
            </w:r>
          </w:p>
        </w:tc>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z w:val="18"/>
              </w:rPr>
              <w:t> </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8"/>
              <w:jc w:val="right"/>
              <w:rPr>
                <w:rFonts w:ascii="宋体" w:hAnsi="宋体" w:cs="宋体" w:eastAsia="宋体" w:hint="default"/>
                <w:sz w:val="18"/>
                <w:szCs w:val="18"/>
              </w:rPr>
            </w:pPr>
            <w:r>
              <w:rPr>
                <w:rFonts w:ascii="宋体"/>
                <w:sz w:val="18"/>
              </w:rPr>
              <w:t> </w:t>
            </w:r>
          </w:p>
        </w:tc>
      </w:tr>
      <w:tr>
        <w:trPr>
          <w:trHeight w:val="399" w:hRule="exact"/>
        </w:trPr>
        <w:tc>
          <w:tcPr>
            <w:tcW w:w="20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8"/>
              <w:jc w:val="right"/>
              <w:rPr>
                <w:rFonts w:ascii="宋体" w:hAnsi="宋体" w:cs="宋体" w:eastAsia="宋体" w:hint="default"/>
                <w:sz w:val="18"/>
                <w:szCs w:val="18"/>
              </w:rPr>
            </w:pPr>
            <w:r>
              <w:rPr>
                <w:rFonts w:ascii="宋体"/>
                <w:sz w:val="18"/>
              </w:rPr>
              <w:t> </w:t>
            </w:r>
          </w:p>
        </w:tc>
        <w:tc>
          <w:tcPr>
            <w:tcW w:w="2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z w:val="18"/>
              </w:rPr>
              <w:t> </w:t>
            </w:r>
          </w:p>
        </w:tc>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z w:val="18"/>
              </w:rPr>
              <w:t> </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8"/>
              <w:jc w:val="right"/>
              <w:rPr>
                <w:rFonts w:ascii="宋体" w:hAnsi="宋体" w:cs="宋体" w:eastAsia="宋体" w:hint="default"/>
                <w:sz w:val="18"/>
                <w:szCs w:val="18"/>
              </w:rPr>
            </w:pPr>
            <w:r>
              <w:rPr>
                <w:rFonts w:ascii="宋体"/>
                <w:sz w:val="18"/>
              </w:rPr>
              <w:t> </w:t>
            </w:r>
          </w:p>
        </w:tc>
      </w:tr>
    </w:tbl>
    <w:p>
      <w:pPr>
        <w:spacing w:line="340" w:lineRule="auto" w:before="86"/>
        <w:ind w:left="364" w:right="7341" w:hanging="71"/>
        <w:jc w:val="left"/>
        <w:rPr>
          <w:rFonts w:ascii="宋体" w:hAnsi="宋体" w:cs="宋体" w:eastAsia="宋体" w:hint="default"/>
          <w:sz w:val="21"/>
          <w:szCs w:val="21"/>
        </w:rPr>
      </w:pPr>
      <w:r>
        <w:rPr>
          <w:rFonts w:ascii="宋体" w:hAnsi="宋体" w:cs="宋体" w:eastAsia="宋体" w:hint="default"/>
          <w:b/>
          <w:bCs/>
          <w:sz w:val="21"/>
          <w:szCs w:val="21"/>
        </w:rPr>
        <w:t>（十）长期股权投资</w:t>
      </w:r>
      <w:r>
        <w:rPr>
          <w:rFonts w:ascii="宋体" w:hAnsi="宋体" w:cs="宋体" w:eastAsia="宋体" w:hint="default"/>
          <w:b/>
          <w:bCs/>
          <w:w w:val="99"/>
          <w:sz w:val="21"/>
          <w:szCs w:val="21"/>
        </w:rPr>
        <w:t> </w:t>
      </w:r>
      <w:r>
        <w:rPr>
          <w:rFonts w:ascii="宋体" w:hAnsi="宋体" w:cs="宋体" w:eastAsia="宋体" w:hint="default"/>
          <w:b/>
          <w:bCs/>
          <w:sz w:val="21"/>
          <w:szCs w:val="21"/>
        </w:rPr>
        <w:t>1</w:t>
      </w:r>
      <w:r>
        <w:rPr>
          <w:rFonts w:ascii="宋体" w:hAnsi="宋体" w:cs="宋体" w:eastAsia="宋体" w:hint="default"/>
          <w:b/>
          <w:bCs/>
          <w:sz w:val="21"/>
          <w:szCs w:val="21"/>
        </w:rPr>
        <w:t>、</w:t>
      </w:r>
      <w:r>
        <w:rPr>
          <w:rFonts w:ascii="宋体" w:hAnsi="宋体" w:cs="宋体" w:eastAsia="宋体" w:hint="default"/>
          <w:sz w:val="21"/>
          <w:szCs w:val="21"/>
        </w:rPr>
        <w:t>长期股权投资明细情况</w:t>
      </w:r>
      <w:r>
        <w:rPr>
          <w:rFonts w:ascii="宋体" w:hAnsi="宋体" w:cs="宋体" w:eastAsia="宋体" w:hint="default"/>
          <w:sz w:val="21"/>
          <w:szCs w:val="21"/>
        </w:rPr>
        <w:t> </w:t>
      </w:r>
    </w:p>
    <w:p>
      <w:pPr>
        <w:spacing w:after="0" w:line="340" w:lineRule="auto"/>
        <w:jc w:val="left"/>
        <w:rPr>
          <w:rFonts w:ascii="宋体" w:hAnsi="宋体" w:cs="宋体" w:eastAsia="宋体" w:hint="default"/>
          <w:sz w:val="21"/>
          <w:szCs w:val="21"/>
        </w:rPr>
        <w:sectPr>
          <w:pgSz w:w="11910" w:h="16840"/>
          <w:pgMar w:header="921" w:footer="725" w:top="1160" w:bottom="920" w:left="980" w:right="0"/>
        </w:sectPr>
      </w:pPr>
    </w:p>
    <w:p>
      <w:pPr>
        <w:spacing w:before="18"/>
        <w:ind w:left="0" w:right="148" w:firstLine="0"/>
        <w:jc w:val="right"/>
        <w:rPr>
          <w:rFonts w:ascii="宋体" w:hAnsi="宋体" w:cs="宋体" w:eastAsia="宋体" w:hint="default"/>
          <w:sz w:val="18"/>
          <w:szCs w:val="18"/>
        </w:rPr>
      </w:pPr>
      <w:r>
        <w:rPr>
          <w:rFonts w:ascii="宋体" w:hAnsi="宋体" w:cs="宋体" w:eastAsia="宋体" w:hint="default"/>
          <w:sz w:val="18"/>
          <w:szCs w:val="18"/>
        </w:rPr>
        <w:t>中嘉博创信息技术股份有限公司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年度财务报表附注</w:t>
      </w:r>
    </w:p>
    <w:p>
      <w:pPr>
        <w:spacing w:line="240" w:lineRule="auto" w:before="7"/>
        <w:rPr>
          <w:rFonts w:ascii="宋体" w:hAnsi="宋体" w:cs="宋体" w:eastAsia="宋体" w:hint="default"/>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732.25pt;height:.75pt;mso-position-horizontal-relative:char;mso-position-vertical-relative:line" coordorigin="0,0" coordsize="14645,15">
            <v:group style="position:absolute;left:7;top:7;width:14630;height:2" coordorigin="7,7" coordsize="14630,2">
              <v:shape style="position:absolute;left:7;top:7;width:14630;height:2" coordorigin="7,7" coordsize="14630,0" path="m7,7l14637,7e" filled="false" stroked="true" strokeweight=".72pt" strokecolor="#000000">
                <v:path arrowok="t"/>
              </v:shape>
            </v:group>
          </v:group>
        </w:pict>
      </w:r>
      <w:r>
        <w:rPr>
          <w:rFonts w:ascii="宋体" w:hAnsi="宋体" w:cs="宋体" w:eastAsia="宋体" w:hint="default"/>
          <w:sz w:val="2"/>
          <w:szCs w:val="2"/>
        </w:rPr>
      </w:r>
    </w:p>
    <w:p>
      <w:pPr>
        <w:spacing w:line="240" w:lineRule="auto" w:before="11"/>
        <w:rPr>
          <w:rFonts w:ascii="宋体" w:hAnsi="宋体" w:cs="宋体" w:eastAsia="宋体" w:hint="default"/>
          <w:sz w:val="20"/>
          <w:szCs w:val="20"/>
        </w:rPr>
      </w:pPr>
    </w:p>
    <w:tbl>
      <w:tblPr>
        <w:tblW w:w="0" w:type="auto"/>
        <w:jc w:val="left"/>
        <w:tblInd w:w="148" w:type="dxa"/>
        <w:tblLayout w:type="fixed"/>
        <w:tblCellMar>
          <w:top w:w="0" w:type="dxa"/>
          <w:left w:w="0" w:type="dxa"/>
          <w:bottom w:w="0" w:type="dxa"/>
          <w:right w:w="0" w:type="dxa"/>
        </w:tblCellMar>
        <w:tblLook w:val="01E0"/>
      </w:tblPr>
      <w:tblGrid>
        <w:gridCol w:w="1419"/>
        <w:gridCol w:w="1277"/>
        <w:gridCol w:w="1066"/>
        <w:gridCol w:w="1059"/>
        <w:gridCol w:w="1301"/>
        <w:gridCol w:w="1104"/>
        <w:gridCol w:w="782"/>
        <w:gridCol w:w="1644"/>
        <w:gridCol w:w="1378"/>
        <w:gridCol w:w="682"/>
        <w:gridCol w:w="1186"/>
        <w:gridCol w:w="1678"/>
      </w:tblGrid>
      <w:tr>
        <w:trPr>
          <w:trHeight w:val="363" w:hRule="exact"/>
        </w:trPr>
        <w:tc>
          <w:tcPr>
            <w:tcW w:w="1419" w:type="dxa"/>
            <w:tcBorders>
              <w:top w:val="single" w:sz="4" w:space="0" w:color="000000"/>
              <w:left w:val="single" w:sz="4" w:space="0" w:color="000000"/>
              <w:bottom w:val="nil" w:sz="6" w:space="0" w:color="auto"/>
              <w:right w:val="single" w:sz="4" w:space="0" w:color="000000"/>
            </w:tcBorders>
          </w:tcPr>
          <w:p>
            <w:pPr/>
          </w:p>
        </w:tc>
        <w:tc>
          <w:tcPr>
            <w:tcW w:w="1277" w:type="dxa"/>
            <w:tcBorders>
              <w:top w:val="single" w:sz="4" w:space="0" w:color="000000"/>
              <w:left w:val="single" w:sz="4" w:space="0" w:color="000000"/>
              <w:bottom w:val="nil" w:sz="6" w:space="0" w:color="auto"/>
              <w:right w:val="single" w:sz="4" w:space="0" w:color="000000"/>
            </w:tcBorders>
          </w:tcPr>
          <w:p>
            <w:pPr/>
          </w:p>
        </w:tc>
        <w:tc>
          <w:tcPr>
            <w:tcW w:w="9015" w:type="dxa"/>
            <w:gridSpan w:val="8"/>
            <w:tcBorders>
              <w:top w:val="single" w:sz="4" w:space="0" w:color="000000"/>
              <w:left w:val="single" w:sz="4" w:space="0" w:color="000000"/>
              <w:bottom w:val="nil" w:sz="6" w:space="0" w:color="auto"/>
              <w:right w:val="single" w:sz="4" w:space="0" w:color="000000"/>
            </w:tcBorders>
          </w:tcPr>
          <w:p>
            <w:pPr>
              <w:pStyle w:val="TableParagraph"/>
              <w:spacing w:line="240" w:lineRule="auto" w:before="92"/>
              <w:ind w:left="90" w:right="0"/>
              <w:jc w:val="center"/>
              <w:rPr>
                <w:rFonts w:ascii="宋体" w:hAnsi="宋体" w:cs="宋体" w:eastAsia="宋体" w:hint="default"/>
                <w:sz w:val="18"/>
                <w:szCs w:val="18"/>
              </w:rPr>
            </w:pPr>
            <w:r>
              <w:rPr>
                <w:rFonts w:ascii="宋体" w:hAnsi="宋体" w:cs="宋体" w:eastAsia="宋体" w:hint="default"/>
                <w:sz w:val="18"/>
                <w:szCs w:val="18"/>
              </w:rPr>
              <w:t>本期增减变动</w:t>
            </w:r>
            <w:r>
              <w:rPr>
                <w:rFonts w:ascii="宋体" w:hAnsi="宋体" w:cs="宋体" w:eastAsia="宋体" w:hint="default"/>
                <w:sz w:val="18"/>
                <w:szCs w:val="18"/>
              </w:rPr>
              <w:t> </w:t>
            </w:r>
          </w:p>
        </w:tc>
        <w:tc>
          <w:tcPr>
            <w:tcW w:w="1186" w:type="dxa"/>
            <w:tcBorders>
              <w:top w:val="single" w:sz="4" w:space="0" w:color="000000"/>
              <w:left w:val="single" w:sz="4" w:space="0" w:color="000000"/>
              <w:bottom w:val="nil" w:sz="6" w:space="0" w:color="auto"/>
              <w:right w:val="single" w:sz="4" w:space="0" w:color="000000"/>
            </w:tcBorders>
          </w:tcPr>
          <w:p>
            <w:pPr/>
          </w:p>
        </w:tc>
        <w:tc>
          <w:tcPr>
            <w:tcW w:w="1678" w:type="dxa"/>
            <w:tcBorders>
              <w:top w:val="single" w:sz="4" w:space="0" w:color="000000"/>
              <w:left w:val="single" w:sz="4" w:space="0" w:color="000000"/>
              <w:bottom w:val="nil" w:sz="6" w:space="0" w:color="auto"/>
              <w:right w:val="single" w:sz="4" w:space="0" w:color="000000"/>
            </w:tcBorders>
          </w:tcPr>
          <w:p>
            <w:pPr/>
          </w:p>
        </w:tc>
      </w:tr>
      <w:tr>
        <w:trPr>
          <w:trHeight w:val="120" w:hRule="exact"/>
        </w:trPr>
        <w:tc>
          <w:tcPr>
            <w:tcW w:w="1419" w:type="dxa"/>
            <w:vMerge w:val="restart"/>
            <w:tcBorders>
              <w:top w:val="nil" w:sz="6" w:space="0" w:color="auto"/>
              <w:left w:val="single" w:sz="4" w:space="0" w:color="000000"/>
              <w:right w:val="single" w:sz="4" w:space="0" w:color="000000"/>
            </w:tcBorders>
          </w:tcPr>
          <w:p>
            <w:pPr>
              <w:pStyle w:val="TableParagraph"/>
              <w:spacing w:line="240" w:lineRule="auto" w:before="94"/>
              <w:ind w:left="254" w:right="0"/>
              <w:jc w:val="left"/>
              <w:rPr>
                <w:rFonts w:ascii="宋体" w:hAnsi="宋体" w:cs="宋体" w:eastAsia="宋体" w:hint="default"/>
                <w:sz w:val="18"/>
                <w:szCs w:val="18"/>
              </w:rPr>
            </w:pPr>
            <w:r>
              <w:rPr>
                <w:rFonts w:ascii="宋体" w:hAnsi="宋体" w:cs="宋体" w:eastAsia="宋体" w:hint="default"/>
                <w:sz w:val="18"/>
                <w:szCs w:val="18"/>
              </w:rPr>
              <w:t>被投资单位</w:t>
            </w:r>
            <w:r>
              <w:rPr>
                <w:rFonts w:ascii="宋体" w:hAnsi="宋体" w:cs="宋体" w:eastAsia="宋体" w:hint="default"/>
                <w:sz w:val="18"/>
                <w:szCs w:val="18"/>
              </w:rPr>
              <w:t> </w:t>
            </w:r>
          </w:p>
        </w:tc>
        <w:tc>
          <w:tcPr>
            <w:tcW w:w="1277" w:type="dxa"/>
            <w:vMerge w:val="restart"/>
            <w:tcBorders>
              <w:top w:val="nil" w:sz="6" w:space="0" w:color="auto"/>
              <w:left w:val="single" w:sz="4" w:space="0" w:color="000000"/>
              <w:right w:val="single" w:sz="4" w:space="0" w:color="000000"/>
            </w:tcBorders>
          </w:tcPr>
          <w:p>
            <w:pPr>
              <w:pStyle w:val="TableParagraph"/>
              <w:spacing w:line="210" w:lineRule="exact"/>
              <w:ind w:right="0"/>
              <w:jc w:val="center"/>
              <w:rPr>
                <w:rFonts w:ascii="宋体" w:hAnsi="宋体" w:cs="宋体" w:eastAsia="宋体" w:hint="default"/>
                <w:sz w:val="18"/>
                <w:szCs w:val="18"/>
              </w:rPr>
            </w:pPr>
            <w:r>
              <w:rPr>
                <w:rFonts w:ascii="宋体" w:hAnsi="宋体" w:cs="宋体" w:eastAsia="宋体" w:hint="default"/>
                <w:spacing w:val="-4"/>
                <w:sz w:val="18"/>
                <w:szCs w:val="18"/>
              </w:rPr>
              <w:t>期初余额（账</w:t>
            </w:r>
          </w:p>
          <w:p>
            <w:pPr>
              <w:pStyle w:val="TableParagraph"/>
              <w:spacing w:line="240" w:lineRule="auto"/>
              <w:ind w:left="90" w:right="0"/>
              <w:jc w:val="center"/>
              <w:rPr>
                <w:rFonts w:ascii="宋体" w:hAnsi="宋体" w:cs="宋体" w:eastAsia="宋体" w:hint="default"/>
                <w:sz w:val="18"/>
                <w:szCs w:val="18"/>
              </w:rPr>
            </w:pPr>
            <w:r>
              <w:rPr>
                <w:rFonts w:ascii="宋体" w:hAnsi="宋体" w:cs="宋体" w:eastAsia="宋体" w:hint="default"/>
                <w:sz w:val="18"/>
                <w:szCs w:val="18"/>
              </w:rPr>
              <w:t>面价值）</w:t>
            </w:r>
            <w:r>
              <w:rPr>
                <w:rFonts w:ascii="宋体" w:hAnsi="宋体" w:cs="宋体" w:eastAsia="宋体" w:hint="default"/>
                <w:sz w:val="18"/>
                <w:szCs w:val="18"/>
              </w:rPr>
              <w:t> </w:t>
            </w:r>
          </w:p>
        </w:tc>
        <w:tc>
          <w:tcPr>
            <w:tcW w:w="9015" w:type="dxa"/>
            <w:gridSpan w:val="8"/>
            <w:tcBorders>
              <w:top w:val="nil" w:sz="6" w:space="0" w:color="auto"/>
              <w:left w:val="single" w:sz="4" w:space="0" w:color="000000"/>
              <w:bottom w:val="single" w:sz="4" w:space="0" w:color="000000"/>
              <w:right w:val="single" w:sz="4" w:space="0" w:color="000000"/>
            </w:tcBorders>
          </w:tcPr>
          <w:p>
            <w:pPr/>
          </w:p>
        </w:tc>
        <w:tc>
          <w:tcPr>
            <w:tcW w:w="1186" w:type="dxa"/>
            <w:vMerge w:val="restart"/>
            <w:tcBorders>
              <w:top w:val="nil" w:sz="6" w:space="0" w:color="auto"/>
              <w:left w:val="single" w:sz="4" w:space="0" w:color="000000"/>
              <w:right w:val="single" w:sz="4" w:space="0" w:color="000000"/>
            </w:tcBorders>
          </w:tcPr>
          <w:p>
            <w:pPr>
              <w:pStyle w:val="TableParagraph"/>
              <w:spacing w:line="240" w:lineRule="auto" w:before="94"/>
              <w:ind w:left="230"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c>
          <w:tcPr>
            <w:tcW w:w="1678" w:type="dxa"/>
            <w:vMerge w:val="restart"/>
            <w:tcBorders>
              <w:top w:val="nil" w:sz="6" w:space="0" w:color="auto"/>
              <w:left w:val="single" w:sz="4" w:space="0" w:color="000000"/>
              <w:right w:val="single" w:sz="4" w:space="0" w:color="000000"/>
            </w:tcBorders>
          </w:tcPr>
          <w:p>
            <w:pPr>
              <w:pStyle w:val="TableParagraph"/>
              <w:spacing w:line="240" w:lineRule="auto" w:before="94"/>
              <w:ind w:left="115" w:right="0"/>
              <w:jc w:val="left"/>
              <w:rPr>
                <w:rFonts w:ascii="宋体" w:hAnsi="宋体" w:cs="宋体" w:eastAsia="宋体" w:hint="default"/>
                <w:sz w:val="18"/>
                <w:szCs w:val="18"/>
              </w:rPr>
            </w:pPr>
            <w:r>
              <w:rPr>
                <w:rFonts w:ascii="宋体" w:hAnsi="宋体" w:cs="宋体" w:eastAsia="宋体" w:hint="default"/>
                <w:sz w:val="18"/>
                <w:szCs w:val="18"/>
              </w:rPr>
              <w:t>减值准备期末余额</w:t>
            </w:r>
            <w:r>
              <w:rPr>
                <w:rFonts w:ascii="宋体" w:hAnsi="宋体" w:cs="宋体" w:eastAsia="宋体" w:hint="default"/>
                <w:sz w:val="18"/>
                <w:szCs w:val="18"/>
              </w:rPr>
              <w:t> </w:t>
            </w:r>
          </w:p>
        </w:tc>
      </w:tr>
      <w:tr>
        <w:trPr>
          <w:trHeight w:val="718" w:hRule="exact"/>
        </w:trPr>
        <w:tc>
          <w:tcPr>
            <w:tcW w:w="1419" w:type="dxa"/>
            <w:vMerge/>
            <w:tcBorders>
              <w:left w:val="single" w:sz="4" w:space="0" w:color="000000"/>
              <w:bottom w:val="single" w:sz="4" w:space="0" w:color="000000"/>
              <w:right w:val="single" w:sz="4" w:space="0" w:color="000000"/>
            </w:tcBorders>
          </w:tcPr>
          <w:p>
            <w:pPr/>
          </w:p>
        </w:tc>
        <w:tc>
          <w:tcPr>
            <w:tcW w:w="1277" w:type="dxa"/>
            <w:vMerge/>
            <w:tcBorders>
              <w:left w:val="single" w:sz="4" w:space="0" w:color="000000"/>
              <w:bottom w:val="single" w:sz="4" w:space="0" w:color="000000"/>
              <w:right w:val="single" w:sz="4" w:space="0" w:color="000000"/>
            </w:tcBorders>
          </w:tcPr>
          <w:p>
            <w:pP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77"/>
              <w:jc w:val="right"/>
              <w:rPr>
                <w:rFonts w:ascii="宋体" w:hAnsi="宋体" w:cs="宋体" w:eastAsia="宋体" w:hint="default"/>
                <w:sz w:val="18"/>
                <w:szCs w:val="18"/>
              </w:rPr>
            </w:pPr>
            <w:r>
              <w:rPr>
                <w:rFonts w:ascii="宋体" w:hAnsi="宋体" w:cs="宋体" w:eastAsia="宋体" w:hint="default"/>
                <w:sz w:val="18"/>
                <w:szCs w:val="18"/>
              </w:rPr>
              <w:t>追加投资</w:t>
            </w:r>
            <w:r>
              <w:rPr>
                <w:rFonts w:ascii="宋体" w:hAnsi="宋体" w:cs="宋体" w:eastAsia="宋体" w:hint="default"/>
                <w:sz w:val="18"/>
                <w:szCs w:val="18"/>
              </w:rPr>
              <w:t> </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left="163" w:right="0"/>
              <w:jc w:val="left"/>
              <w:rPr>
                <w:rFonts w:ascii="宋体" w:hAnsi="宋体" w:cs="宋体" w:eastAsia="宋体" w:hint="default"/>
                <w:sz w:val="18"/>
                <w:szCs w:val="18"/>
              </w:rPr>
            </w:pPr>
            <w:r>
              <w:rPr>
                <w:rFonts w:ascii="宋体" w:hAnsi="宋体" w:cs="宋体" w:eastAsia="宋体" w:hint="default"/>
                <w:sz w:val="18"/>
                <w:szCs w:val="18"/>
              </w:rPr>
              <w:t>减少投资</w:t>
            </w:r>
            <w:r>
              <w:rPr>
                <w:rFonts w:ascii="宋体" w:hAnsi="宋体" w:cs="宋体" w:eastAsia="宋体" w:hint="default"/>
                <w:sz w:val="18"/>
                <w:szCs w:val="18"/>
              </w:rPr>
              <w:t> </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94" w:right="103" w:hanging="89"/>
              <w:jc w:val="left"/>
              <w:rPr>
                <w:rFonts w:ascii="宋体" w:hAnsi="宋体" w:cs="宋体" w:eastAsia="宋体" w:hint="default"/>
                <w:sz w:val="18"/>
                <w:szCs w:val="18"/>
              </w:rPr>
            </w:pPr>
            <w:r>
              <w:rPr>
                <w:rFonts w:ascii="宋体" w:hAnsi="宋体" w:cs="宋体" w:eastAsia="宋体" w:hint="default"/>
                <w:sz w:val="18"/>
                <w:szCs w:val="18"/>
              </w:rPr>
              <w:t>权益法下确认 的投资损益</w:t>
            </w:r>
            <w:r>
              <w:rPr>
                <w:rFonts w:ascii="宋体" w:hAnsi="宋体" w:cs="宋体" w:eastAsia="宋体" w:hint="default"/>
                <w:sz w:val="18"/>
                <w:szCs w:val="18"/>
              </w:rPr>
              <w:t> </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87" w:right="95"/>
              <w:jc w:val="left"/>
              <w:rPr>
                <w:rFonts w:ascii="宋体" w:hAnsi="宋体" w:cs="宋体" w:eastAsia="宋体" w:hint="default"/>
                <w:sz w:val="18"/>
                <w:szCs w:val="18"/>
              </w:rPr>
            </w:pPr>
            <w:r>
              <w:rPr>
                <w:rFonts w:ascii="宋体" w:hAnsi="宋体" w:cs="宋体" w:eastAsia="宋体" w:hint="default"/>
                <w:sz w:val="18"/>
                <w:szCs w:val="18"/>
              </w:rPr>
              <w:t>其他综合 收益调整</w:t>
            </w:r>
            <w:r>
              <w:rPr>
                <w:rFonts w:ascii="宋体" w:hAnsi="宋体" w:cs="宋体" w:eastAsia="宋体" w:hint="default"/>
                <w:sz w:val="18"/>
                <w:szCs w:val="18"/>
              </w:rPr>
              <w:t> </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17" w:right="23"/>
              <w:jc w:val="left"/>
              <w:rPr>
                <w:rFonts w:ascii="宋体" w:hAnsi="宋体" w:cs="宋体" w:eastAsia="宋体" w:hint="default"/>
                <w:sz w:val="18"/>
                <w:szCs w:val="18"/>
              </w:rPr>
            </w:pPr>
            <w:r>
              <w:rPr>
                <w:rFonts w:ascii="宋体" w:hAnsi="宋体" w:cs="宋体" w:eastAsia="宋体" w:hint="default"/>
                <w:sz w:val="18"/>
                <w:szCs w:val="18"/>
              </w:rPr>
              <w:t>其他权 益变动</w:t>
            </w:r>
            <w:r>
              <w:rPr>
                <w:rFonts w:ascii="宋体" w:hAnsi="宋体" w:cs="宋体" w:eastAsia="宋体" w:hint="default"/>
                <w:sz w:val="18"/>
                <w:szCs w:val="18"/>
              </w:rPr>
              <w:t> </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58" w:right="183" w:hanging="270"/>
              <w:jc w:val="left"/>
              <w:rPr>
                <w:rFonts w:ascii="宋体" w:hAnsi="宋体" w:cs="宋体" w:eastAsia="宋体" w:hint="default"/>
                <w:sz w:val="18"/>
                <w:szCs w:val="18"/>
              </w:rPr>
            </w:pPr>
            <w:r>
              <w:rPr>
                <w:rFonts w:ascii="宋体" w:hAnsi="宋体" w:cs="宋体" w:eastAsia="宋体" w:hint="default"/>
                <w:sz w:val="18"/>
                <w:szCs w:val="18"/>
              </w:rPr>
              <w:t>宣告发放现金股 利或利润</w:t>
            </w:r>
            <w:r>
              <w:rPr>
                <w:rFonts w:ascii="宋体" w:hAnsi="宋体" w:cs="宋体" w:eastAsia="宋体" w:hint="default"/>
                <w:sz w:val="18"/>
                <w:szCs w:val="18"/>
              </w:rPr>
              <w:t> </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49"/>
              <w:jc w:val="right"/>
              <w:rPr>
                <w:rFonts w:ascii="宋体" w:hAnsi="宋体" w:cs="宋体" w:eastAsia="宋体" w:hint="default"/>
                <w:sz w:val="18"/>
                <w:szCs w:val="18"/>
              </w:rPr>
            </w:pPr>
            <w:r>
              <w:rPr>
                <w:rFonts w:ascii="宋体" w:hAnsi="宋体" w:cs="宋体" w:eastAsia="宋体" w:hint="default"/>
                <w:sz w:val="18"/>
                <w:szCs w:val="18"/>
              </w:rPr>
              <w:t>计提减值准备</w:t>
            </w:r>
            <w:r>
              <w:rPr>
                <w:rFonts w:ascii="宋体" w:hAnsi="宋体" w:cs="宋体" w:eastAsia="宋体" w:hint="default"/>
                <w:sz w:val="18"/>
                <w:szCs w:val="18"/>
              </w:rPr>
              <w:t> </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6"/>
                <w:szCs w:val="16"/>
              </w:rPr>
            </w:pPr>
          </w:p>
          <w:p>
            <w:pPr>
              <w:pStyle w:val="TableParagraph"/>
              <w:spacing w:line="240" w:lineRule="auto"/>
              <w:ind w:right="65"/>
              <w:jc w:val="right"/>
              <w:rPr>
                <w:rFonts w:ascii="宋体" w:hAnsi="宋体" w:cs="宋体" w:eastAsia="宋体" w:hint="default"/>
                <w:sz w:val="18"/>
                <w:szCs w:val="18"/>
              </w:rPr>
            </w:pPr>
            <w:r>
              <w:rPr>
                <w:rFonts w:ascii="宋体" w:hAnsi="宋体" w:cs="宋体" w:eastAsia="宋体" w:hint="default"/>
                <w:sz w:val="18"/>
                <w:szCs w:val="18"/>
              </w:rPr>
              <w:t>其他</w:t>
            </w:r>
            <w:r>
              <w:rPr>
                <w:rFonts w:ascii="宋体" w:hAnsi="宋体" w:cs="宋体" w:eastAsia="宋体" w:hint="default"/>
                <w:sz w:val="18"/>
                <w:szCs w:val="18"/>
              </w:rPr>
              <w:t> </w:t>
            </w:r>
          </w:p>
        </w:tc>
        <w:tc>
          <w:tcPr>
            <w:tcW w:w="1186" w:type="dxa"/>
            <w:vMerge/>
            <w:tcBorders>
              <w:left w:val="single" w:sz="4" w:space="0" w:color="000000"/>
              <w:bottom w:val="single" w:sz="4" w:space="0" w:color="000000"/>
              <w:right w:val="single" w:sz="4" w:space="0" w:color="000000"/>
            </w:tcBorders>
          </w:tcPr>
          <w:p>
            <w:pPr/>
          </w:p>
        </w:tc>
        <w:tc>
          <w:tcPr>
            <w:tcW w:w="1678" w:type="dxa"/>
            <w:vMerge/>
            <w:tcBorders>
              <w:left w:val="single" w:sz="4" w:space="0" w:color="000000"/>
              <w:bottom w:val="single" w:sz="4" w:space="0" w:color="000000"/>
              <w:right w:val="single" w:sz="4" w:space="0" w:color="000000"/>
            </w:tcBorders>
          </w:tcPr>
          <w:p>
            <w:pPr/>
          </w:p>
        </w:tc>
      </w:tr>
      <w:tr>
        <w:trPr>
          <w:trHeight w:val="398" w:hRule="exact"/>
        </w:trPr>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18"/>
                <w:szCs w:val="18"/>
              </w:rPr>
            </w:pPr>
            <w:r>
              <w:rPr>
                <w:rFonts w:ascii="宋体" w:hAnsi="宋体" w:cs="宋体" w:eastAsia="宋体" w:hint="default"/>
                <w:sz w:val="18"/>
                <w:szCs w:val="18"/>
              </w:rPr>
              <w:t>一、合营企业</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z w:val="18"/>
              </w:rPr>
              <w:t> </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z w:val="18"/>
              </w:rPr>
              <w:t> </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z w:val="18"/>
              </w:rPr>
              <w:t> </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z w:val="18"/>
              </w:rPr>
              <w:t> </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z w:val="18"/>
              </w:rPr>
              <w:t> </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8"/>
              <w:jc w:val="right"/>
              <w:rPr>
                <w:rFonts w:ascii="宋体" w:hAnsi="宋体" w:cs="宋体" w:eastAsia="宋体" w:hint="default"/>
                <w:sz w:val="18"/>
                <w:szCs w:val="18"/>
              </w:rPr>
            </w:pPr>
            <w:r>
              <w:rPr>
                <w:rFonts w:ascii="宋体"/>
                <w:sz w:val="18"/>
              </w:rPr>
              <w:t> </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8"/>
              <w:jc w:val="right"/>
              <w:rPr>
                <w:rFonts w:ascii="宋体" w:hAnsi="宋体" w:cs="宋体" w:eastAsia="宋体" w:hint="default"/>
                <w:sz w:val="18"/>
                <w:szCs w:val="18"/>
              </w:rPr>
            </w:pPr>
            <w:r>
              <w:rPr>
                <w:rFonts w:ascii="宋体"/>
                <w:sz w:val="18"/>
              </w:rPr>
              <w:t> </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8"/>
              <w:jc w:val="right"/>
              <w:rPr>
                <w:rFonts w:ascii="宋体" w:hAnsi="宋体" w:cs="宋体" w:eastAsia="宋体" w:hint="default"/>
                <w:sz w:val="18"/>
                <w:szCs w:val="18"/>
              </w:rPr>
            </w:pPr>
            <w:r>
              <w:rPr>
                <w:rFonts w:ascii="宋体"/>
                <w:sz w:val="18"/>
              </w:rPr>
              <w:t> </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z w:val="18"/>
              </w:rPr>
              <w:t> </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8"/>
              <w:jc w:val="right"/>
              <w:rPr>
                <w:rFonts w:ascii="宋体" w:hAnsi="宋体" w:cs="宋体" w:eastAsia="宋体" w:hint="default"/>
                <w:sz w:val="18"/>
                <w:szCs w:val="18"/>
              </w:rPr>
            </w:pPr>
            <w:r>
              <w:rPr>
                <w:rFonts w:ascii="宋体"/>
                <w:sz w:val="18"/>
              </w:rPr>
              <w:t> </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8"/>
              <w:jc w:val="right"/>
              <w:rPr>
                <w:rFonts w:ascii="宋体" w:hAnsi="宋体" w:cs="宋体" w:eastAsia="宋体" w:hint="default"/>
                <w:sz w:val="18"/>
                <w:szCs w:val="18"/>
              </w:rPr>
            </w:pPr>
            <w:r>
              <w:rPr>
                <w:rFonts w:ascii="宋体"/>
                <w:sz w:val="18"/>
              </w:rPr>
              <w:t> </w:t>
            </w:r>
          </w:p>
        </w:tc>
      </w:tr>
      <w:tr>
        <w:trPr>
          <w:trHeight w:val="396" w:hRule="exact"/>
        </w:trPr>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18"/>
                <w:szCs w:val="18"/>
              </w:rPr>
            </w:pPr>
            <w:r>
              <w:rPr>
                <w:rFonts w:ascii="宋体" w:hAnsi="宋体" w:cs="宋体" w:eastAsia="宋体" w:hint="default"/>
                <w:sz w:val="18"/>
                <w:szCs w:val="18"/>
              </w:rPr>
              <w:t>二、联营企业</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z w:val="18"/>
              </w:rPr>
              <w:t> </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z w:val="18"/>
              </w:rPr>
              <w:t> </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z w:val="18"/>
              </w:rPr>
              <w:t> </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z w:val="18"/>
              </w:rPr>
              <w:t> </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z w:val="18"/>
              </w:rPr>
              <w:t> </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8"/>
              <w:jc w:val="right"/>
              <w:rPr>
                <w:rFonts w:ascii="宋体" w:hAnsi="宋体" w:cs="宋体" w:eastAsia="宋体" w:hint="default"/>
                <w:sz w:val="18"/>
                <w:szCs w:val="18"/>
              </w:rPr>
            </w:pPr>
            <w:r>
              <w:rPr>
                <w:rFonts w:ascii="宋体"/>
                <w:sz w:val="18"/>
              </w:rPr>
              <w:t> </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8"/>
              <w:jc w:val="right"/>
              <w:rPr>
                <w:rFonts w:ascii="宋体" w:hAnsi="宋体" w:cs="宋体" w:eastAsia="宋体" w:hint="default"/>
                <w:sz w:val="18"/>
                <w:szCs w:val="18"/>
              </w:rPr>
            </w:pPr>
            <w:r>
              <w:rPr>
                <w:rFonts w:ascii="宋体"/>
                <w:sz w:val="18"/>
              </w:rPr>
              <w:t> </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8"/>
              <w:jc w:val="right"/>
              <w:rPr>
                <w:rFonts w:ascii="宋体" w:hAnsi="宋体" w:cs="宋体" w:eastAsia="宋体" w:hint="default"/>
                <w:sz w:val="18"/>
                <w:szCs w:val="18"/>
              </w:rPr>
            </w:pPr>
            <w:r>
              <w:rPr>
                <w:rFonts w:ascii="宋体"/>
                <w:sz w:val="18"/>
              </w:rPr>
              <w:t> </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z w:val="18"/>
              </w:rPr>
              <w:t> </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8"/>
              <w:jc w:val="right"/>
              <w:rPr>
                <w:rFonts w:ascii="宋体" w:hAnsi="宋体" w:cs="宋体" w:eastAsia="宋体" w:hint="default"/>
                <w:sz w:val="18"/>
                <w:szCs w:val="18"/>
              </w:rPr>
            </w:pPr>
            <w:r>
              <w:rPr>
                <w:rFonts w:ascii="宋体"/>
                <w:sz w:val="18"/>
              </w:rPr>
              <w:t> </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8"/>
              <w:jc w:val="right"/>
              <w:rPr>
                <w:rFonts w:ascii="宋体" w:hAnsi="宋体" w:cs="宋体" w:eastAsia="宋体" w:hint="default"/>
                <w:sz w:val="18"/>
                <w:szCs w:val="18"/>
              </w:rPr>
            </w:pPr>
            <w:r>
              <w:rPr>
                <w:rFonts w:ascii="宋体"/>
                <w:sz w:val="18"/>
              </w:rPr>
              <w:t> </w:t>
            </w:r>
          </w:p>
        </w:tc>
      </w:tr>
      <w:tr>
        <w:trPr>
          <w:trHeight w:val="357" w:hRule="exact"/>
        </w:trPr>
        <w:tc>
          <w:tcPr>
            <w:tcW w:w="141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89"/>
              <w:ind w:left="103" w:right="0"/>
              <w:jc w:val="left"/>
              <w:rPr>
                <w:rFonts w:ascii="宋体" w:hAnsi="宋体" w:cs="宋体" w:eastAsia="宋体" w:hint="default"/>
                <w:sz w:val="18"/>
                <w:szCs w:val="18"/>
              </w:rPr>
            </w:pPr>
            <w:r>
              <w:rPr>
                <w:rFonts w:ascii="宋体" w:hAnsi="宋体" w:cs="宋体" w:eastAsia="宋体" w:hint="default"/>
                <w:spacing w:val="20"/>
                <w:sz w:val="18"/>
                <w:szCs w:val="18"/>
              </w:rPr>
              <w:t>河北雄安泽兴</w:t>
            </w:r>
            <w:r>
              <w:rPr>
                <w:rFonts w:ascii="宋体" w:hAnsi="宋体" w:cs="宋体" w:eastAsia="宋体" w:hint="default"/>
                <w:spacing w:val="-66"/>
                <w:sz w:val="18"/>
                <w:szCs w:val="18"/>
              </w:rPr>
              <w:t> </w:t>
            </w:r>
            <w:r>
              <w:rPr>
                <w:rFonts w:ascii="宋体" w:hAnsi="宋体" w:cs="宋体" w:eastAsia="宋体" w:hint="default"/>
                <w:sz w:val="18"/>
                <w:szCs w:val="18"/>
              </w:rPr>
            </w:r>
          </w:p>
        </w:tc>
        <w:tc>
          <w:tcPr>
            <w:tcW w:w="1277"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c>
          <w:tcPr>
            <w:tcW w:w="1059" w:type="dxa"/>
            <w:tcBorders>
              <w:top w:val="single" w:sz="4" w:space="0" w:color="000000"/>
              <w:left w:val="single" w:sz="4" w:space="0" w:color="000000"/>
              <w:bottom w:val="nil" w:sz="6" w:space="0" w:color="auto"/>
              <w:right w:val="single" w:sz="4" w:space="0" w:color="000000"/>
            </w:tcBorders>
          </w:tcPr>
          <w:p>
            <w:pPr/>
          </w:p>
        </w:tc>
        <w:tc>
          <w:tcPr>
            <w:tcW w:w="1301" w:type="dxa"/>
            <w:tcBorders>
              <w:top w:val="single" w:sz="4" w:space="0" w:color="000000"/>
              <w:left w:val="single" w:sz="4" w:space="0" w:color="000000"/>
              <w:bottom w:val="nil" w:sz="6" w:space="0" w:color="auto"/>
              <w:right w:val="single" w:sz="4" w:space="0" w:color="000000"/>
            </w:tcBorders>
          </w:tcPr>
          <w:p>
            <w:pPr/>
          </w:p>
        </w:tc>
        <w:tc>
          <w:tcPr>
            <w:tcW w:w="1104" w:type="dxa"/>
            <w:tcBorders>
              <w:top w:val="single" w:sz="4" w:space="0" w:color="000000"/>
              <w:left w:val="single" w:sz="4" w:space="0" w:color="000000"/>
              <w:bottom w:val="nil" w:sz="6" w:space="0" w:color="auto"/>
              <w:right w:val="single" w:sz="4" w:space="0" w:color="000000"/>
            </w:tcBorders>
          </w:tcPr>
          <w:p>
            <w:pPr/>
          </w:p>
        </w:tc>
        <w:tc>
          <w:tcPr>
            <w:tcW w:w="782" w:type="dxa"/>
            <w:tcBorders>
              <w:top w:val="single" w:sz="4" w:space="0" w:color="000000"/>
              <w:left w:val="single" w:sz="4" w:space="0" w:color="000000"/>
              <w:bottom w:val="nil" w:sz="6" w:space="0" w:color="auto"/>
              <w:right w:val="single" w:sz="4" w:space="0" w:color="000000"/>
            </w:tcBorders>
          </w:tcPr>
          <w:p>
            <w:pPr/>
          </w:p>
        </w:tc>
        <w:tc>
          <w:tcPr>
            <w:tcW w:w="1644" w:type="dxa"/>
            <w:tcBorders>
              <w:top w:val="single" w:sz="4" w:space="0" w:color="000000"/>
              <w:left w:val="single" w:sz="4" w:space="0" w:color="000000"/>
              <w:bottom w:val="nil" w:sz="6" w:space="0" w:color="auto"/>
              <w:right w:val="single" w:sz="4" w:space="0" w:color="000000"/>
            </w:tcBorders>
          </w:tcPr>
          <w:p>
            <w:pPr/>
          </w:p>
        </w:tc>
        <w:tc>
          <w:tcPr>
            <w:tcW w:w="1378" w:type="dxa"/>
            <w:tcBorders>
              <w:top w:val="single" w:sz="4" w:space="0" w:color="000000"/>
              <w:left w:val="single" w:sz="4" w:space="0" w:color="000000"/>
              <w:bottom w:val="nil" w:sz="6" w:space="0" w:color="auto"/>
              <w:right w:val="single" w:sz="4" w:space="0" w:color="000000"/>
            </w:tcBorders>
          </w:tcPr>
          <w:p>
            <w:pPr/>
          </w:p>
        </w:tc>
        <w:tc>
          <w:tcPr>
            <w:tcW w:w="682" w:type="dxa"/>
            <w:tcBorders>
              <w:top w:val="single" w:sz="4" w:space="0" w:color="000000"/>
              <w:left w:val="single" w:sz="4" w:space="0" w:color="000000"/>
              <w:bottom w:val="nil" w:sz="6" w:space="0" w:color="auto"/>
              <w:right w:val="single" w:sz="4" w:space="0" w:color="000000"/>
            </w:tcBorders>
          </w:tcPr>
          <w:p>
            <w:pPr/>
          </w:p>
        </w:tc>
        <w:tc>
          <w:tcPr>
            <w:tcW w:w="1186" w:type="dxa"/>
            <w:tcBorders>
              <w:top w:val="single" w:sz="4" w:space="0" w:color="000000"/>
              <w:left w:val="single" w:sz="4" w:space="0" w:color="000000"/>
              <w:bottom w:val="nil" w:sz="6" w:space="0" w:color="auto"/>
              <w:right w:val="single" w:sz="4" w:space="0" w:color="000000"/>
            </w:tcBorders>
          </w:tcPr>
          <w:p>
            <w:pPr/>
          </w:p>
        </w:tc>
        <w:tc>
          <w:tcPr>
            <w:tcW w:w="1678" w:type="dxa"/>
            <w:tcBorders>
              <w:top w:val="single" w:sz="4" w:space="0" w:color="000000"/>
              <w:left w:val="single" w:sz="4" w:space="0" w:color="000000"/>
              <w:bottom w:val="nil" w:sz="6" w:space="0" w:color="auto"/>
              <w:right w:val="single" w:sz="4" w:space="0" w:color="000000"/>
            </w:tcBorders>
          </w:tcPr>
          <w:p>
            <w:pPr/>
          </w:p>
        </w:tc>
      </w:tr>
      <w:tr>
        <w:trPr>
          <w:trHeight w:val="237" w:hRule="exact"/>
        </w:trPr>
        <w:tc>
          <w:tcPr>
            <w:tcW w:w="1419" w:type="dxa"/>
            <w:tcBorders>
              <w:top w:val="nil" w:sz="6" w:space="0" w:color="auto"/>
              <w:left w:val="single" w:sz="4" w:space="0" w:color="000000"/>
              <w:bottom w:val="nil" w:sz="6" w:space="0" w:color="auto"/>
              <w:right w:val="single" w:sz="4" w:space="0" w:color="000000"/>
            </w:tcBorders>
          </w:tcPr>
          <w:p>
            <w:pPr>
              <w:pStyle w:val="TableParagraph"/>
              <w:spacing w:line="206" w:lineRule="exact"/>
              <w:ind w:left="103" w:right="0"/>
              <w:jc w:val="left"/>
              <w:rPr>
                <w:rFonts w:ascii="宋体" w:hAnsi="宋体" w:cs="宋体" w:eastAsia="宋体" w:hint="default"/>
                <w:sz w:val="18"/>
                <w:szCs w:val="18"/>
              </w:rPr>
            </w:pPr>
            <w:r>
              <w:rPr>
                <w:rFonts w:ascii="宋体" w:hAnsi="宋体" w:cs="宋体" w:eastAsia="宋体" w:hint="default"/>
                <w:spacing w:val="20"/>
                <w:sz w:val="18"/>
                <w:szCs w:val="18"/>
              </w:rPr>
              <w:t>股权投资基金</w:t>
            </w:r>
            <w:r>
              <w:rPr>
                <w:rFonts w:ascii="宋体" w:hAnsi="宋体" w:cs="宋体" w:eastAsia="宋体" w:hint="default"/>
                <w:spacing w:val="-66"/>
                <w:sz w:val="18"/>
                <w:szCs w:val="18"/>
              </w:rPr>
              <w:t> </w:t>
            </w:r>
            <w:r>
              <w:rPr>
                <w:rFonts w:ascii="宋体" w:hAnsi="宋体" w:cs="宋体" w:eastAsia="宋体" w:hint="default"/>
                <w:sz w:val="18"/>
                <w:szCs w:val="18"/>
              </w:rPr>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09" w:lineRule="exact"/>
              <w:ind w:right="11"/>
              <w:jc w:val="right"/>
              <w:rPr>
                <w:rFonts w:ascii="宋体" w:hAnsi="宋体" w:cs="宋体" w:eastAsia="宋体" w:hint="default"/>
                <w:sz w:val="18"/>
                <w:szCs w:val="18"/>
              </w:rPr>
            </w:pPr>
            <w:r>
              <w:rPr>
                <w:rFonts w:ascii="宋体"/>
                <w:spacing w:val="-1"/>
                <w:sz w:val="18"/>
              </w:rPr>
              <w:t>132,450.03</w:t>
            </w:r>
            <w:r>
              <w:rPr>
                <w:rFonts w:ascii="宋体"/>
                <w:sz w:val="18"/>
              </w:rPr>
              <w:t> </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09" w:lineRule="exact"/>
              <w:ind w:right="11"/>
              <w:jc w:val="right"/>
              <w:rPr>
                <w:rFonts w:ascii="宋体" w:hAnsi="宋体" w:cs="宋体" w:eastAsia="宋体" w:hint="default"/>
                <w:sz w:val="18"/>
                <w:szCs w:val="18"/>
              </w:rPr>
            </w:pPr>
            <w:r>
              <w:rPr>
                <w:rFonts w:ascii="宋体"/>
                <w:sz w:val="18"/>
              </w:rPr>
              <w:t> </w:t>
            </w:r>
          </w:p>
        </w:tc>
        <w:tc>
          <w:tcPr>
            <w:tcW w:w="1059" w:type="dxa"/>
            <w:tcBorders>
              <w:top w:val="nil" w:sz="6" w:space="0" w:color="auto"/>
              <w:left w:val="single" w:sz="4" w:space="0" w:color="000000"/>
              <w:bottom w:val="nil" w:sz="6" w:space="0" w:color="auto"/>
              <w:right w:val="single" w:sz="4" w:space="0" w:color="000000"/>
            </w:tcBorders>
          </w:tcPr>
          <w:p>
            <w:pPr>
              <w:pStyle w:val="TableParagraph"/>
              <w:spacing w:line="209" w:lineRule="exact"/>
              <w:ind w:right="11"/>
              <w:jc w:val="right"/>
              <w:rPr>
                <w:rFonts w:ascii="宋体" w:hAnsi="宋体" w:cs="宋体" w:eastAsia="宋体" w:hint="default"/>
                <w:sz w:val="18"/>
                <w:szCs w:val="18"/>
              </w:rPr>
            </w:pPr>
            <w:r>
              <w:rPr>
                <w:rFonts w:ascii="宋体"/>
                <w:sz w:val="18"/>
              </w:rPr>
              <w:t> </w:t>
            </w:r>
          </w:p>
        </w:tc>
        <w:tc>
          <w:tcPr>
            <w:tcW w:w="1301" w:type="dxa"/>
            <w:tcBorders>
              <w:top w:val="nil" w:sz="6" w:space="0" w:color="auto"/>
              <w:left w:val="single" w:sz="4" w:space="0" w:color="000000"/>
              <w:bottom w:val="nil" w:sz="6" w:space="0" w:color="auto"/>
              <w:right w:val="single" w:sz="4" w:space="0" w:color="000000"/>
            </w:tcBorders>
          </w:tcPr>
          <w:p>
            <w:pPr>
              <w:pStyle w:val="TableParagraph"/>
              <w:spacing w:line="209" w:lineRule="exact"/>
              <w:ind w:right="11"/>
              <w:jc w:val="right"/>
              <w:rPr>
                <w:rFonts w:ascii="宋体" w:hAnsi="宋体" w:cs="宋体" w:eastAsia="宋体" w:hint="default"/>
                <w:sz w:val="18"/>
                <w:szCs w:val="18"/>
              </w:rPr>
            </w:pPr>
            <w:r>
              <w:rPr>
                <w:rFonts w:ascii="宋体"/>
                <w:spacing w:val="-1"/>
                <w:sz w:val="18"/>
              </w:rPr>
              <w:t>27,077.62</w:t>
            </w:r>
            <w:r>
              <w:rPr>
                <w:rFonts w:ascii="宋体"/>
                <w:sz w:val="18"/>
              </w:rPr>
              <w:t> </w:t>
            </w:r>
          </w:p>
        </w:tc>
        <w:tc>
          <w:tcPr>
            <w:tcW w:w="1104" w:type="dxa"/>
            <w:tcBorders>
              <w:top w:val="nil" w:sz="6" w:space="0" w:color="auto"/>
              <w:left w:val="single" w:sz="4" w:space="0" w:color="000000"/>
              <w:bottom w:val="nil" w:sz="6" w:space="0" w:color="auto"/>
              <w:right w:val="single" w:sz="4" w:space="0" w:color="000000"/>
            </w:tcBorders>
          </w:tcPr>
          <w:p>
            <w:pPr>
              <w:pStyle w:val="TableParagraph"/>
              <w:spacing w:line="209" w:lineRule="exact"/>
              <w:ind w:right="11"/>
              <w:jc w:val="right"/>
              <w:rPr>
                <w:rFonts w:ascii="宋体" w:hAnsi="宋体" w:cs="宋体" w:eastAsia="宋体" w:hint="default"/>
                <w:sz w:val="18"/>
                <w:szCs w:val="18"/>
              </w:rPr>
            </w:pPr>
            <w:r>
              <w:rPr>
                <w:rFonts w:ascii="宋体"/>
                <w:sz w:val="18"/>
              </w:rPr>
              <w:t> </w:t>
            </w:r>
          </w:p>
        </w:tc>
        <w:tc>
          <w:tcPr>
            <w:tcW w:w="782" w:type="dxa"/>
            <w:tcBorders>
              <w:top w:val="nil" w:sz="6" w:space="0" w:color="auto"/>
              <w:left w:val="single" w:sz="4" w:space="0" w:color="000000"/>
              <w:bottom w:val="nil" w:sz="6" w:space="0" w:color="auto"/>
              <w:right w:val="single" w:sz="4" w:space="0" w:color="000000"/>
            </w:tcBorders>
          </w:tcPr>
          <w:p>
            <w:pPr>
              <w:pStyle w:val="TableParagraph"/>
              <w:spacing w:line="209" w:lineRule="exact"/>
              <w:ind w:right="8"/>
              <w:jc w:val="right"/>
              <w:rPr>
                <w:rFonts w:ascii="宋体" w:hAnsi="宋体" w:cs="宋体" w:eastAsia="宋体" w:hint="default"/>
                <w:sz w:val="18"/>
                <w:szCs w:val="18"/>
              </w:rPr>
            </w:pPr>
            <w:r>
              <w:rPr>
                <w:rFonts w:ascii="宋体"/>
                <w:sz w:val="18"/>
              </w:rPr>
              <w:t> </w:t>
            </w:r>
          </w:p>
        </w:tc>
        <w:tc>
          <w:tcPr>
            <w:tcW w:w="1644" w:type="dxa"/>
            <w:tcBorders>
              <w:top w:val="nil" w:sz="6" w:space="0" w:color="auto"/>
              <w:left w:val="single" w:sz="4" w:space="0" w:color="000000"/>
              <w:bottom w:val="nil" w:sz="6" w:space="0" w:color="auto"/>
              <w:right w:val="single" w:sz="4" w:space="0" w:color="000000"/>
            </w:tcBorders>
          </w:tcPr>
          <w:p>
            <w:pPr>
              <w:pStyle w:val="TableParagraph"/>
              <w:spacing w:line="209" w:lineRule="exact"/>
              <w:ind w:right="8"/>
              <w:jc w:val="right"/>
              <w:rPr>
                <w:rFonts w:ascii="宋体" w:hAnsi="宋体" w:cs="宋体" w:eastAsia="宋体" w:hint="default"/>
                <w:sz w:val="18"/>
                <w:szCs w:val="18"/>
              </w:rPr>
            </w:pPr>
            <w:r>
              <w:rPr>
                <w:rFonts w:ascii="宋体"/>
                <w:sz w:val="18"/>
              </w:rPr>
              <w:t> </w:t>
            </w:r>
          </w:p>
        </w:tc>
        <w:tc>
          <w:tcPr>
            <w:tcW w:w="1378" w:type="dxa"/>
            <w:tcBorders>
              <w:top w:val="nil" w:sz="6" w:space="0" w:color="auto"/>
              <w:left w:val="single" w:sz="4" w:space="0" w:color="000000"/>
              <w:bottom w:val="nil" w:sz="6" w:space="0" w:color="auto"/>
              <w:right w:val="single" w:sz="4" w:space="0" w:color="000000"/>
            </w:tcBorders>
          </w:tcPr>
          <w:p>
            <w:pPr>
              <w:pStyle w:val="TableParagraph"/>
              <w:spacing w:line="209" w:lineRule="exact"/>
              <w:ind w:right="8"/>
              <w:jc w:val="right"/>
              <w:rPr>
                <w:rFonts w:ascii="宋体" w:hAnsi="宋体" w:cs="宋体" w:eastAsia="宋体" w:hint="default"/>
                <w:sz w:val="18"/>
                <w:szCs w:val="18"/>
              </w:rPr>
            </w:pPr>
            <w:r>
              <w:rPr>
                <w:rFonts w:ascii="宋体"/>
                <w:sz w:val="18"/>
              </w:rPr>
              <w:t> </w:t>
            </w:r>
          </w:p>
        </w:tc>
        <w:tc>
          <w:tcPr>
            <w:tcW w:w="682" w:type="dxa"/>
            <w:tcBorders>
              <w:top w:val="nil" w:sz="6" w:space="0" w:color="auto"/>
              <w:left w:val="single" w:sz="4" w:space="0" w:color="000000"/>
              <w:bottom w:val="nil" w:sz="6" w:space="0" w:color="auto"/>
              <w:right w:val="single" w:sz="4" w:space="0" w:color="000000"/>
            </w:tcBorders>
          </w:tcPr>
          <w:p>
            <w:pPr>
              <w:pStyle w:val="TableParagraph"/>
              <w:spacing w:line="209" w:lineRule="exact"/>
              <w:ind w:right="11"/>
              <w:jc w:val="right"/>
              <w:rPr>
                <w:rFonts w:ascii="宋体" w:hAnsi="宋体" w:cs="宋体" w:eastAsia="宋体" w:hint="default"/>
                <w:sz w:val="18"/>
                <w:szCs w:val="18"/>
              </w:rPr>
            </w:pPr>
            <w:r>
              <w:rPr>
                <w:rFonts w:ascii="宋体"/>
                <w:sz w:val="18"/>
              </w:rPr>
              <w:t> </w:t>
            </w:r>
          </w:p>
        </w:tc>
        <w:tc>
          <w:tcPr>
            <w:tcW w:w="1186" w:type="dxa"/>
            <w:tcBorders>
              <w:top w:val="nil" w:sz="6" w:space="0" w:color="auto"/>
              <w:left w:val="single" w:sz="4" w:space="0" w:color="000000"/>
              <w:bottom w:val="nil" w:sz="6" w:space="0" w:color="auto"/>
              <w:right w:val="single" w:sz="4" w:space="0" w:color="000000"/>
            </w:tcBorders>
          </w:tcPr>
          <w:p>
            <w:pPr>
              <w:pStyle w:val="TableParagraph"/>
              <w:spacing w:line="209" w:lineRule="exact"/>
              <w:ind w:right="10"/>
              <w:jc w:val="right"/>
              <w:rPr>
                <w:rFonts w:ascii="宋体" w:hAnsi="宋体" w:cs="宋体" w:eastAsia="宋体" w:hint="default"/>
                <w:sz w:val="18"/>
                <w:szCs w:val="18"/>
              </w:rPr>
            </w:pPr>
            <w:r>
              <w:rPr>
                <w:rFonts w:ascii="宋体"/>
                <w:spacing w:val="-1"/>
                <w:sz w:val="18"/>
              </w:rPr>
              <w:t>159,527.65</w:t>
            </w:r>
            <w:r>
              <w:rPr>
                <w:rFonts w:ascii="宋体"/>
                <w:sz w:val="18"/>
              </w:rPr>
              <w:t> </w:t>
            </w:r>
          </w:p>
        </w:tc>
        <w:tc>
          <w:tcPr>
            <w:tcW w:w="1678" w:type="dxa"/>
            <w:tcBorders>
              <w:top w:val="nil" w:sz="6" w:space="0" w:color="auto"/>
              <w:left w:val="single" w:sz="4" w:space="0" w:color="000000"/>
              <w:bottom w:val="nil" w:sz="6" w:space="0" w:color="auto"/>
              <w:right w:val="single" w:sz="4" w:space="0" w:color="000000"/>
            </w:tcBorders>
          </w:tcPr>
          <w:p>
            <w:pPr>
              <w:pStyle w:val="TableParagraph"/>
              <w:spacing w:line="209" w:lineRule="exact"/>
              <w:ind w:right="8"/>
              <w:jc w:val="right"/>
              <w:rPr>
                <w:rFonts w:ascii="宋体" w:hAnsi="宋体" w:cs="宋体" w:eastAsia="宋体" w:hint="default"/>
                <w:sz w:val="18"/>
                <w:szCs w:val="18"/>
              </w:rPr>
            </w:pPr>
            <w:r>
              <w:rPr>
                <w:rFonts w:ascii="宋体"/>
                <w:sz w:val="18"/>
              </w:rPr>
              <w:t> </w:t>
            </w:r>
          </w:p>
        </w:tc>
      </w:tr>
      <w:tr>
        <w:trPr>
          <w:trHeight w:val="358" w:hRule="exact"/>
        </w:trPr>
        <w:tc>
          <w:tcPr>
            <w:tcW w:w="1419" w:type="dxa"/>
            <w:tcBorders>
              <w:top w:val="nil" w:sz="6" w:space="0" w:color="auto"/>
              <w:left w:val="single" w:sz="4" w:space="0" w:color="000000"/>
              <w:bottom w:val="single" w:sz="4" w:space="0" w:color="000000"/>
              <w:right w:val="single" w:sz="4" w:space="0" w:color="000000"/>
            </w:tcBorders>
          </w:tcPr>
          <w:p>
            <w:pPr>
              <w:pStyle w:val="TableParagraph"/>
              <w:spacing w:line="208" w:lineRule="exact"/>
              <w:ind w:left="103" w:right="0"/>
              <w:jc w:val="left"/>
              <w:rPr>
                <w:rFonts w:ascii="宋体" w:hAnsi="宋体" w:cs="宋体" w:eastAsia="宋体" w:hint="default"/>
                <w:sz w:val="18"/>
                <w:szCs w:val="18"/>
              </w:rPr>
            </w:pPr>
            <w:r>
              <w:rPr>
                <w:rFonts w:ascii="宋体" w:hAnsi="宋体" w:cs="宋体" w:eastAsia="宋体" w:hint="default"/>
                <w:sz w:val="18"/>
                <w:szCs w:val="18"/>
              </w:rPr>
              <w:t>（有限合伙）</w:t>
            </w:r>
            <w:r>
              <w:rPr>
                <w:rFonts w:ascii="宋体" w:hAnsi="宋体" w:cs="宋体" w:eastAsia="宋体" w:hint="default"/>
                <w:sz w:val="18"/>
                <w:szCs w:val="18"/>
              </w:rPr>
              <w:t> </w:t>
            </w:r>
          </w:p>
        </w:tc>
        <w:tc>
          <w:tcPr>
            <w:tcW w:w="1277"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c>
          <w:tcPr>
            <w:tcW w:w="1059" w:type="dxa"/>
            <w:tcBorders>
              <w:top w:val="nil" w:sz="6" w:space="0" w:color="auto"/>
              <w:left w:val="single" w:sz="4" w:space="0" w:color="000000"/>
              <w:bottom w:val="single" w:sz="4" w:space="0" w:color="000000"/>
              <w:right w:val="single" w:sz="4" w:space="0" w:color="000000"/>
            </w:tcBorders>
          </w:tcPr>
          <w:p>
            <w:pPr/>
          </w:p>
        </w:tc>
        <w:tc>
          <w:tcPr>
            <w:tcW w:w="1301" w:type="dxa"/>
            <w:tcBorders>
              <w:top w:val="nil" w:sz="6" w:space="0" w:color="auto"/>
              <w:left w:val="single" w:sz="4" w:space="0" w:color="000000"/>
              <w:bottom w:val="single" w:sz="4" w:space="0" w:color="000000"/>
              <w:right w:val="single" w:sz="4" w:space="0" w:color="000000"/>
            </w:tcBorders>
          </w:tcPr>
          <w:p>
            <w:pPr/>
          </w:p>
        </w:tc>
        <w:tc>
          <w:tcPr>
            <w:tcW w:w="1104" w:type="dxa"/>
            <w:tcBorders>
              <w:top w:val="nil" w:sz="6" w:space="0" w:color="auto"/>
              <w:left w:val="single" w:sz="4" w:space="0" w:color="000000"/>
              <w:bottom w:val="single" w:sz="4" w:space="0" w:color="000000"/>
              <w:right w:val="single" w:sz="4" w:space="0" w:color="000000"/>
            </w:tcBorders>
          </w:tcPr>
          <w:p>
            <w:pPr/>
          </w:p>
        </w:tc>
        <w:tc>
          <w:tcPr>
            <w:tcW w:w="782" w:type="dxa"/>
            <w:tcBorders>
              <w:top w:val="nil" w:sz="6" w:space="0" w:color="auto"/>
              <w:left w:val="single" w:sz="4" w:space="0" w:color="000000"/>
              <w:bottom w:val="single" w:sz="4" w:space="0" w:color="000000"/>
              <w:right w:val="single" w:sz="4" w:space="0" w:color="000000"/>
            </w:tcBorders>
          </w:tcPr>
          <w:p>
            <w:pPr/>
          </w:p>
        </w:tc>
        <w:tc>
          <w:tcPr>
            <w:tcW w:w="1644" w:type="dxa"/>
            <w:tcBorders>
              <w:top w:val="nil" w:sz="6" w:space="0" w:color="auto"/>
              <w:left w:val="single" w:sz="4" w:space="0" w:color="000000"/>
              <w:bottom w:val="single" w:sz="4" w:space="0" w:color="000000"/>
              <w:right w:val="single" w:sz="4" w:space="0" w:color="000000"/>
            </w:tcBorders>
          </w:tcPr>
          <w:p>
            <w:pPr/>
          </w:p>
        </w:tc>
        <w:tc>
          <w:tcPr>
            <w:tcW w:w="1378" w:type="dxa"/>
            <w:tcBorders>
              <w:top w:val="nil" w:sz="6" w:space="0" w:color="auto"/>
              <w:left w:val="single" w:sz="4" w:space="0" w:color="000000"/>
              <w:bottom w:val="single" w:sz="4" w:space="0" w:color="000000"/>
              <w:right w:val="single" w:sz="4" w:space="0" w:color="000000"/>
            </w:tcBorders>
          </w:tcPr>
          <w:p>
            <w:pPr/>
          </w:p>
        </w:tc>
        <w:tc>
          <w:tcPr>
            <w:tcW w:w="682" w:type="dxa"/>
            <w:tcBorders>
              <w:top w:val="nil" w:sz="6" w:space="0" w:color="auto"/>
              <w:left w:val="single" w:sz="4" w:space="0" w:color="000000"/>
              <w:bottom w:val="single" w:sz="4" w:space="0" w:color="000000"/>
              <w:right w:val="single" w:sz="4" w:space="0" w:color="000000"/>
            </w:tcBorders>
          </w:tcPr>
          <w:p>
            <w:pPr/>
          </w:p>
        </w:tc>
        <w:tc>
          <w:tcPr>
            <w:tcW w:w="1186" w:type="dxa"/>
            <w:tcBorders>
              <w:top w:val="nil" w:sz="6" w:space="0" w:color="auto"/>
              <w:left w:val="single" w:sz="4" w:space="0" w:color="000000"/>
              <w:bottom w:val="single" w:sz="4" w:space="0" w:color="000000"/>
              <w:right w:val="single" w:sz="4" w:space="0" w:color="000000"/>
            </w:tcBorders>
          </w:tcPr>
          <w:p>
            <w:pPr/>
          </w:p>
        </w:tc>
        <w:tc>
          <w:tcPr>
            <w:tcW w:w="1678" w:type="dxa"/>
            <w:tcBorders>
              <w:top w:val="nil" w:sz="6" w:space="0" w:color="auto"/>
              <w:left w:val="single" w:sz="4" w:space="0" w:color="000000"/>
              <w:bottom w:val="single" w:sz="4" w:space="0" w:color="000000"/>
              <w:right w:val="single" w:sz="4" w:space="0" w:color="000000"/>
            </w:tcBorders>
          </w:tcPr>
          <w:p>
            <w:pPr/>
          </w:p>
        </w:tc>
      </w:tr>
      <w:tr>
        <w:trPr>
          <w:trHeight w:val="396" w:hRule="exact"/>
        </w:trPr>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宋体" w:hAnsi="宋体" w:cs="宋体" w:eastAsia="宋体" w:hint="default"/>
                <w:sz w:val="18"/>
                <w:szCs w:val="18"/>
              </w:rPr>
            </w:pPr>
            <w:r>
              <w:rPr>
                <w:rFonts w:ascii="宋体" w:hAnsi="宋体" w:cs="宋体" w:eastAsia="宋体" w:hint="default"/>
                <w:sz w:val="18"/>
                <w:szCs w:val="18"/>
              </w:rPr>
              <w:t>小计</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pacing w:val="-1"/>
                <w:sz w:val="18"/>
              </w:rPr>
              <w:t>132,450.03</w:t>
            </w:r>
            <w:r>
              <w:rPr>
                <w:rFonts w:ascii="宋体"/>
                <w:sz w:val="18"/>
              </w:rPr>
              <w:t> </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z w:val="18"/>
              </w:rPr>
              <w:t> </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z w:val="18"/>
              </w:rPr>
              <w:t> </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pacing w:val="-1"/>
                <w:sz w:val="18"/>
              </w:rPr>
              <w:t>27,077.62</w:t>
            </w:r>
            <w:r>
              <w:rPr>
                <w:rFonts w:ascii="宋体"/>
                <w:sz w:val="18"/>
              </w:rPr>
              <w:t> </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z w:val="18"/>
              </w:rPr>
              <w:t> </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8"/>
              <w:jc w:val="right"/>
              <w:rPr>
                <w:rFonts w:ascii="宋体" w:hAnsi="宋体" w:cs="宋体" w:eastAsia="宋体" w:hint="default"/>
                <w:sz w:val="18"/>
                <w:szCs w:val="18"/>
              </w:rPr>
            </w:pPr>
            <w:r>
              <w:rPr>
                <w:rFonts w:ascii="宋体"/>
                <w:sz w:val="18"/>
              </w:rPr>
              <w:t> </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8"/>
              <w:jc w:val="right"/>
              <w:rPr>
                <w:rFonts w:ascii="宋体" w:hAnsi="宋体" w:cs="宋体" w:eastAsia="宋体" w:hint="default"/>
                <w:sz w:val="18"/>
                <w:szCs w:val="18"/>
              </w:rPr>
            </w:pPr>
            <w:r>
              <w:rPr>
                <w:rFonts w:ascii="宋体"/>
                <w:sz w:val="18"/>
              </w:rPr>
              <w:t> </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8"/>
              <w:jc w:val="right"/>
              <w:rPr>
                <w:rFonts w:ascii="宋体" w:hAnsi="宋体" w:cs="宋体" w:eastAsia="宋体" w:hint="default"/>
                <w:sz w:val="18"/>
                <w:szCs w:val="18"/>
              </w:rPr>
            </w:pPr>
            <w:r>
              <w:rPr>
                <w:rFonts w:ascii="宋体"/>
                <w:sz w:val="18"/>
              </w:rPr>
              <w:t> </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z w:val="18"/>
              </w:rPr>
              <w:t> </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
              <w:jc w:val="right"/>
              <w:rPr>
                <w:rFonts w:ascii="宋体" w:hAnsi="宋体" w:cs="宋体" w:eastAsia="宋体" w:hint="default"/>
                <w:sz w:val="18"/>
                <w:szCs w:val="18"/>
              </w:rPr>
            </w:pPr>
            <w:r>
              <w:rPr>
                <w:rFonts w:ascii="宋体"/>
                <w:spacing w:val="-1"/>
                <w:sz w:val="18"/>
              </w:rPr>
              <w:t>159,527.65</w:t>
            </w:r>
            <w:r>
              <w:rPr>
                <w:rFonts w:ascii="宋体"/>
                <w:sz w:val="18"/>
              </w:rPr>
              <w:t> </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8"/>
              <w:jc w:val="right"/>
              <w:rPr>
                <w:rFonts w:ascii="宋体" w:hAnsi="宋体" w:cs="宋体" w:eastAsia="宋体" w:hint="default"/>
                <w:sz w:val="18"/>
                <w:szCs w:val="18"/>
              </w:rPr>
            </w:pPr>
            <w:r>
              <w:rPr>
                <w:rFonts w:ascii="宋体"/>
                <w:sz w:val="18"/>
              </w:rPr>
              <w:t> </w:t>
            </w:r>
          </w:p>
        </w:tc>
      </w:tr>
      <w:tr>
        <w:trPr>
          <w:trHeight w:val="398" w:hRule="exact"/>
        </w:trPr>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523" w:right="0"/>
              <w:jc w:val="lef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2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1"/>
              <w:jc w:val="right"/>
              <w:rPr>
                <w:rFonts w:ascii="宋体" w:hAnsi="宋体" w:cs="宋体" w:eastAsia="宋体" w:hint="default"/>
                <w:sz w:val="18"/>
                <w:szCs w:val="18"/>
              </w:rPr>
            </w:pPr>
            <w:r>
              <w:rPr>
                <w:rFonts w:ascii="宋体"/>
                <w:spacing w:val="-1"/>
                <w:sz w:val="18"/>
              </w:rPr>
              <w:t>132,450.03</w:t>
            </w:r>
            <w:r>
              <w:rPr>
                <w:rFonts w:ascii="宋体"/>
                <w:sz w:val="18"/>
              </w:rPr>
              <w:t> </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1"/>
              <w:jc w:val="right"/>
              <w:rPr>
                <w:rFonts w:ascii="宋体" w:hAnsi="宋体" w:cs="宋体" w:eastAsia="宋体" w:hint="default"/>
                <w:sz w:val="18"/>
                <w:szCs w:val="18"/>
              </w:rPr>
            </w:pPr>
            <w:r>
              <w:rPr>
                <w:rFonts w:ascii="宋体"/>
                <w:sz w:val="18"/>
              </w:rPr>
              <w:t> </w:t>
            </w:r>
          </w:p>
        </w:tc>
        <w:tc>
          <w:tcPr>
            <w:tcW w:w="1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1"/>
              <w:jc w:val="right"/>
              <w:rPr>
                <w:rFonts w:ascii="宋体" w:hAnsi="宋体" w:cs="宋体" w:eastAsia="宋体" w:hint="default"/>
                <w:sz w:val="18"/>
                <w:szCs w:val="18"/>
              </w:rPr>
            </w:pPr>
            <w:r>
              <w:rPr>
                <w:rFonts w:ascii="宋体"/>
                <w:sz w:val="18"/>
              </w:rPr>
              <w:t> </w:t>
            </w:r>
          </w:p>
        </w:tc>
        <w:tc>
          <w:tcPr>
            <w:tcW w:w="1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1"/>
              <w:jc w:val="right"/>
              <w:rPr>
                <w:rFonts w:ascii="宋体" w:hAnsi="宋体" w:cs="宋体" w:eastAsia="宋体" w:hint="default"/>
                <w:sz w:val="18"/>
                <w:szCs w:val="18"/>
              </w:rPr>
            </w:pPr>
            <w:r>
              <w:rPr>
                <w:rFonts w:ascii="宋体"/>
                <w:spacing w:val="-1"/>
                <w:sz w:val="18"/>
              </w:rPr>
              <w:t>27,077.62</w:t>
            </w:r>
            <w:r>
              <w:rPr>
                <w:rFonts w:ascii="宋体"/>
                <w:sz w:val="18"/>
              </w:rPr>
              <w:t> </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1"/>
              <w:jc w:val="right"/>
              <w:rPr>
                <w:rFonts w:ascii="宋体" w:hAnsi="宋体" w:cs="宋体" w:eastAsia="宋体" w:hint="default"/>
                <w:sz w:val="18"/>
                <w:szCs w:val="18"/>
              </w:rPr>
            </w:pPr>
            <w:r>
              <w:rPr>
                <w:rFonts w:ascii="宋体"/>
                <w:sz w:val="18"/>
              </w:rPr>
              <w:t> </w:t>
            </w:r>
          </w:p>
        </w:tc>
        <w:tc>
          <w:tcPr>
            <w:tcW w:w="7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8"/>
              <w:jc w:val="right"/>
              <w:rPr>
                <w:rFonts w:ascii="宋体" w:hAnsi="宋体" w:cs="宋体" w:eastAsia="宋体" w:hint="default"/>
                <w:sz w:val="18"/>
                <w:szCs w:val="18"/>
              </w:rPr>
            </w:pPr>
            <w:r>
              <w:rPr>
                <w:rFonts w:ascii="宋体"/>
                <w:sz w:val="18"/>
              </w:rPr>
              <w:t> </w:t>
            </w:r>
          </w:p>
        </w:tc>
        <w:tc>
          <w:tcPr>
            <w:tcW w:w="16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8"/>
              <w:jc w:val="right"/>
              <w:rPr>
                <w:rFonts w:ascii="宋体" w:hAnsi="宋体" w:cs="宋体" w:eastAsia="宋体" w:hint="default"/>
                <w:sz w:val="18"/>
                <w:szCs w:val="18"/>
              </w:rPr>
            </w:pPr>
            <w:r>
              <w:rPr>
                <w:rFonts w:ascii="宋体"/>
                <w:sz w:val="18"/>
              </w:rPr>
              <w:t> </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8"/>
              <w:jc w:val="right"/>
              <w:rPr>
                <w:rFonts w:ascii="宋体" w:hAnsi="宋体" w:cs="宋体" w:eastAsia="宋体" w:hint="default"/>
                <w:sz w:val="18"/>
                <w:szCs w:val="18"/>
              </w:rPr>
            </w:pPr>
            <w:r>
              <w:rPr>
                <w:rFonts w:ascii="宋体"/>
                <w:sz w:val="18"/>
              </w:rPr>
              <w:t> </w:t>
            </w:r>
          </w:p>
        </w:tc>
        <w:tc>
          <w:tcPr>
            <w:tcW w:w="6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1"/>
              <w:jc w:val="right"/>
              <w:rPr>
                <w:rFonts w:ascii="宋体" w:hAnsi="宋体" w:cs="宋体" w:eastAsia="宋体" w:hint="default"/>
                <w:sz w:val="18"/>
                <w:szCs w:val="18"/>
              </w:rPr>
            </w:pPr>
            <w:r>
              <w:rPr>
                <w:rFonts w:ascii="宋体"/>
                <w:sz w:val="18"/>
              </w:rPr>
              <w:t> </w:t>
            </w:r>
          </w:p>
        </w:tc>
        <w:tc>
          <w:tcPr>
            <w:tcW w:w="11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10"/>
              <w:jc w:val="right"/>
              <w:rPr>
                <w:rFonts w:ascii="宋体" w:hAnsi="宋体" w:cs="宋体" w:eastAsia="宋体" w:hint="default"/>
                <w:sz w:val="18"/>
                <w:szCs w:val="18"/>
              </w:rPr>
            </w:pPr>
            <w:r>
              <w:rPr>
                <w:rFonts w:ascii="宋体"/>
                <w:spacing w:val="-1"/>
                <w:sz w:val="18"/>
              </w:rPr>
              <w:t>159,527.65</w:t>
            </w:r>
            <w:r>
              <w:rPr>
                <w:rFonts w:ascii="宋体"/>
                <w:sz w:val="18"/>
              </w:rPr>
              <w:t> </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right="8"/>
              <w:jc w:val="right"/>
              <w:rPr>
                <w:rFonts w:ascii="宋体" w:hAnsi="宋体" w:cs="宋体" w:eastAsia="宋体" w:hint="default"/>
                <w:sz w:val="18"/>
                <w:szCs w:val="18"/>
              </w:rPr>
            </w:pPr>
            <w:r>
              <w:rPr>
                <w:rFonts w:ascii="宋体"/>
                <w:sz w:val="18"/>
              </w:rPr>
              <w:t> </w:t>
            </w:r>
          </w:p>
        </w:tc>
      </w:tr>
    </w:tbl>
    <w:p>
      <w:pPr>
        <w:pStyle w:val="BodyText"/>
        <w:spacing w:line="272" w:lineRule="exact" w:before="113"/>
        <w:ind w:right="0" w:firstLine="420"/>
        <w:jc w:val="left"/>
        <w:rPr>
          <w:rFonts w:ascii="宋体" w:hAnsi="宋体" w:cs="宋体" w:eastAsia="宋体" w:hint="default"/>
        </w:rPr>
      </w:pPr>
      <w:r>
        <w:rPr>
          <w:spacing w:val="-3"/>
        </w:rPr>
        <w:t>说明：</w:t>
      </w:r>
      <w:r>
        <w:rPr>
          <w:rFonts w:ascii="宋体" w:hAnsi="宋体" w:cs="宋体" w:eastAsia="宋体" w:hint="default"/>
          <w:spacing w:val="-3"/>
        </w:rPr>
        <w:t>2018</w:t>
      </w:r>
      <w:r>
        <w:rPr>
          <w:rFonts w:ascii="宋体" w:hAnsi="宋体" w:cs="宋体" w:eastAsia="宋体" w:hint="default"/>
          <w:spacing w:val="-40"/>
        </w:rPr>
        <w:t> </w:t>
      </w:r>
      <w:r>
        <w:rPr/>
        <w:t>年</w:t>
      </w:r>
      <w:r>
        <w:rPr>
          <w:spacing w:val="-38"/>
        </w:rPr>
        <w:t> </w:t>
      </w:r>
      <w:r>
        <w:rPr>
          <w:rFonts w:ascii="宋体" w:hAnsi="宋体" w:cs="宋体" w:eastAsia="宋体" w:hint="default"/>
        </w:rPr>
        <w:t>6</w:t>
      </w:r>
      <w:r>
        <w:rPr>
          <w:rFonts w:ascii="宋体" w:hAnsi="宋体" w:cs="宋体" w:eastAsia="宋体" w:hint="default"/>
          <w:spacing w:val="-40"/>
        </w:rPr>
        <w:t> </w:t>
      </w:r>
      <w:r>
        <w:rPr>
          <w:spacing w:val="-3"/>
        </w:rPr>
        <w:t>月份，公司对河北雄安泽兴股权投资基金（有限合伙）企业投资</w:t>
      </w:r>
      <w:r>
        <w:rPr>
          <w:spacing w:val="-38"/>
        </w:rPr>
        <w:t> </w:t>
      </w:r>
      <w:r>
        <w:rPr>
          <w:rFonts w:ascii="宋体" w:hAnsi="宋体" w:cs="宋体" w:eastAsia="宋体" w:hint="default"/>
        </w:rPr>
        <w:t>100</w:t>
      </w:r>
      <w:r>
        <w:rPr>
          <w:rFonts w:ascii="宋体" w:hAnsi="宋体" w:cs="宋体" w:eastAsia="宋体" w:hint="default"/>
          <w:spacing w:val="-38"/>
        </w:rPr>
        <w:t> </w:t>
      </w:r>
      <w:r>
        <w:rPr>
          <w:spacing w:val="-3"/>
        </w:rPr>
        <w:t>万元，占实际出资比例的</w:t>
      </w:r>
      <w:r>
        <w:rPr>
          <w:spacing w:val="-38"/>
        </w:rPr>
        <w:t> </w:t>
      </w:r>
      <w:r>
        <w:rPr>
          <w:rFonts w:ascii="宋体" w:hAnsi="宋体" w:cs="宋体" w:eastAsia="宋体" w:hint="default"/>
          <w:spacing w:val="-3"/>
        </w:rPr>
        <w:t>49.83%</w:t>
      </w:r>
      <w:r>
        <w:rPr>
          <w:spacing w:val="-3"/>
        </w:rPr>
        <w:t>，公司对其采用权益法核算，</w:t>
      </w:r>
      <w:r>
        <w:rPr>
          <w:rFonts w:ascii="宋体" w:hAnsi="宋体" w:cs="宋体" w:eastAsia="宋体" w:hint="default"/>
          <w:spacing w:val="-3"/>
        </w:rPr>
        <w:t>2019</w:t>
      </w:r>
      <w:r>
        <w:rPr>
          <w:rFonts w:ascii="宋体" w:hAnsi="宋体" w:cs="宋体" w:eastAsia="宋体" w:hint="default"/>
          <w:spacing w:val="-40"/>
        </w:rPr>
        <w:t> </w:t>
      </w:r>
      <w:r>
        <w:rPr/>
        <w:t>年</w:t>
      </w:r>
      <w:r>
        <w:rPr>
          <w:w w:val="100"/>
        </w:rPr>
        <w:t> </w:t>
      </w:r>
      <w:r>
        <w:rPr/>
        <w:t>度确认投资收益</w:t>
      </w:r>
      <w:r>
        <w:rPr>
          <w:spacing w:val="-56"/>
        </w:rPr>
        <w:t> </w:t>
      </w:r>
      <w:r>
        <w:rPr>
          <w:rFonts w:ascii="宋体" w:hAnsi="宋体" w:cs="宋体" w:eastAsia="宋体" w:hint="default"/>
        </w:rPr>
        <w:t>27,077.62</w:t>
      </w:r>
      <w:r>
        <w:rPr>
          <w:rFonts w:ascii="宋体" w:hAnsi="宋体" w:cs="宋体" w:eastAsia="宋体" w:hint="default"/>
          <w:spacing w:val="-56"/>
        </w:rPr>
        <w:t> </w:t>
      </w:r>
      <w:r>
        <w:rPr/>
        <w:t>元。</w:t>
      </w:r>
      <w:r>
        <w:rPr>
          <w:rFonts w:ascii="宋体" w:hAnsi="宋体" w:cs="宋体" w:eastAsia="宋体" w:hint="default"/>
        </w:rPr>
        <w:t> </w:t>
      </w:r>
    </w:p>
    <w:p>
      <w:pPr>
        <w:pStyle w:val="BodyText"/>
        <w:spacing w:line="240" w:lineRule="auto" w:before="94"/>
        <w:ind w:right="0"/>
        <w:jc w:val="left"/>
        <w:rPr>
          <w:rFonts w:ascii="宋体" w:hAnsi="宋体" w:cs="宋体" w:eastAsia="宋体" w:hint="default"/>
        </w:rPr>
      </w:pPr>
      <w:r>
        <w:rPr>
          <w:rFonts w:ascii="宋体"/>
          <w:w w:val="100"/>
        </w:rPr>
        <w:t> </w:t>
      </w:r>
    </w:p>
    <w:p>
      <w:pPr>
        <w:pStyle w:val="BodyText"/>
        <w:spacing w:line="240" w:lineRule="auto" w:before="116"/>
        <w:ind w:right="0"/>
        <w:jc w:val="left"/>
        <w:rPr>
          <w:rFonts w:ascii="宋体" w:hAnsi="宋体" w:cs="宋体" w:eastAsia="宋体" w:hint="default"/>
        </w:rPr>
      </w:pPr>
      <w:r>
        <w:rPr>
          <w:rFonts w:ascii="宋体"/>
          <w:w w:val="100"/>
        </w:rPr>
        <w:t> </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6"/>
          <w:szCs w:val="26"/>
        </w:rPr>
      </w:pPr>
    </w:p>
    <w:p>
      <w:pPr>
        <w:spacing w:before="76"/>
        <w:ind w:left="7493" w:right="7074" w:firstLine="0"/>
        <w:jc w:val="center"/>
        <w:rPr>
          <w:rFonts w:ascii="Times New Roman" w:hAnsi="Times New Roman" w:cs="Times New Roman" w:eastAsia="Times New Roman" w:hint="default"/>
          <w:sz w:val="18"/>
          <w:szCs w:val="18"/>
        </w:rPr>
      </w:pPr>
      <w:r>
        <w:rPr>
          <w:rFonts w:ascii="Times New Roman"/>
          <w:sz w:val="18"/>
        </w:rPr>
        <w:t>142</w:t>
      </w:r>
    </w:p>
    <w:p>
      <w:pPr>
        <w:spacing w:line="240" w:lineRule="auto" w:before="2"/>
        <w:rPr>
          <w:rFonts w:ascii="Times New Roman" w:hAnsi="Times New Roman" w:cs="Times New Roman" w:eastAsia="Times New Roman" w:hint="default"/>
          <w:sz w:val="21"/>
          <w:szCs w:val="21"/>
        </w:rPr>
      </w:pPr>
    </w:p>
    <w:p>
      <w:pPr>
        <w:spacing w:line="371" w:lineRule="exact"/>
        <w:ind w:left="10804"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6"/>
          <w:sz w:val="20"/>
          <w:szCs w:val="20"/>
        </w:rPr>
        <w:drawing>
          <wp:inline distT="0" distB="0" distL="0" distR="0">
            <wp:extent cx="524065" cy="236029"/>
            <wp:effectExtent l="0" t="0" r="0" b="0"/>
            <wp:docPr id="23" name="image1.jpeg" descr=""/>
            <wp:cNvGraphicFramePr>
              <a:graphicFrameLocks noChangeAspect="1"/>
            </wp:cNvGraphicFramePr>
            <a:graphic>
              <a:graphicData uri="http://schemas.openxmlformats.org/drawingml/2006/picture">
                <pic:pic>
                  <pic:nvPicPr>
                    <pic:cNvPr id="24" name="image1.jpeg"/>
                    <pic:cNvPicPr/>
                  </pic:nvPicPr>
                  <pic:blipFill>
                    <a:blip r:embed="rId49" cstate="print"/>
                    <a:stretch>
                      <a:fillRect/>
                    </a:stretch>
                  </pic:blipFill>
                  <pic:spPr>
                    <a:xfrm>
                      <a:off x="0" y="0"/>
                      <a:ext cx="524065" cy="236029"/>
                    </a:xfrm>
                    <a:prstGeom prst="rect">
                      <a:avLst/>
                    </a:prstGeom>
                  </pic:spPr>
                </pic:pic>
              </a:graphicData>
            </a:graphic>
          </wp:inline>
        </w:drawing>
      </w:r>
      <w:r>
        <w:rPr>
          <w:rFonts w:ascii="Times New Roman" w:hAnsi="Times New Roman" w:cs="Times New Roman" w:eastAsia="Times New Roman" w:hint="default"/>
          <w:position w:val="-6"/>
          <w:sz w:val="20"/>
          <w:szCs w:val="20"/>
        </w:rPr>
      </w:r>
    </w:p>
    <w:p>
      <w:pPr>
        <w:spacing w:after="0" w:line="371" w:lineRule="exact"/>
        <w:rPr>
          <w:rFonts w:ascii="Times New Roman" w:hAnsi="Times New Roman" w:cs="Times New Roman" w:eastAsia="Times New Roman" w:hint="default"/>
          <w:sz w:val="20"/>
          <w:szCs w:val="20"/>
        </w:rPr>
        <w:sectPr>
          <w:headerReference w:type="default" r:id="rId47"/>
          <w:footerReference w:type="default" r:id="rId48"/>
          <w:pgSz w:w="16840" w:h="11910" w:orient="landscape"/>
          <w:pgMar w:header="0" w:footer="0" w:top="840" w:bottom="0" w:left="980" w:right="980"/>
        </w:sectPr>
      </w:pPr>
    </w:p>
    <w:p>
      <w:pPr>
        <w:spacing w:line="240" w:lineRule="auto" w:before="3"/>
        <w:rPr>
          <w:rFonts w:ascii="Times New Roman" w:hAnsi="Times New Roman" w:cs="Times New Roman" w:eastAsia="Times New Roman" w:hint="default"/>
          <w:sz w:val="29"/>
          <w:szCs w:val="29"/>
        </w:rPr>
      </w:pPr>
    </w:p>
    <w:p>
      <w:pPr>
        <w:spacing w:line="374" w:lineRule="auto" w:before="36"/>
        <w:ind w:left="566" w:right="7673" w:hanging="212"/>
        <w:jc w:val="left"/>
        <w:rPr>
          <w:rFonts w:ascii="宋体" w:hAnsi="宋体" w:cs="宋体" w:eastAsia="宋体" w:hint="default"/>
          <w:sz w:val="21"/>
          <w:szCs w:val="21"/>
        </w:rPr>
      </w:pPr>
      <w:r>
        <w:rPr>
          <w:rFonts w:ascii="宋体" w:hAnsi="宋体" w:cs="宋体" w:eastAsia="宋体" w:hint="default"/>
          <w:b/>
          <w:bCs/>
          <w:sz w:val="21"/>
          <w:szCs w:val="21"/>
        </w:rPr>
        <w:t>（十一）固定资产</w:t>
      </w:r>
      <w:r>
        <w:rPr>
          <w:rFonts w:ascii="宋体" w:hAnsi="宋体" w:cs="宋体" w:eastAsia="宋体" w:hint="default"/>
          <w:b/>
          <w:bCs/>
          <w:w w:val="99"/>
          <w:sz w:val="21"/>
          <w:szCs w:val="21"/>
        </w:rPr>
        <w:t> </w:t>
      </w:r>
      <w:r>
        <w:rPr>
          <w:rFonts w:ascii="宋体" w:hAnsi="宋体" w:cs="宋体" w:eastAsia="宋体" w:hint="default"/>
          <w:b/>
          <w:bCs/>
          <w:sz w:val="21"/>
          <w:szCs w:val="21"/>
        </w:rPr>
        <w:t>1</w:t>
      </w:r>
      <w:r>
        <w:rPr>
          <w:rFonts w:ascii="宋体" w:hAnsi="宋体" w:cs="宋体" w:eastAsia="宋体" w:hint="default"/>
          <w:b/>
          <w:bCs/>
          <w:sz w:val="21"/>
          <w:szCs w:val="21"/>
        </w:rPr>
        <w:t>、</w:t>
      </w:r>
      <w:r>
        <w:rPr>
          <w:rFonts w:ascii="宋体" w:hAnsi="宋体" w:cs="宋体" w:eastAsia="宋体" w:hint="default"/>
          <w:sz w:val="21"/>
          <w:szCs w:val="21"/>
        </w:rPr>
        <w:t>项目列示</w:t>
      </w:r>
      <w:r>
        <w:rPr>
          <w:rFonts w:ascii="宋体" w:hAnsi="宋体" w:cs="宋体" w:eastAsia="宋体" w:hint="default"/>
          <w:sz w:val="21"/>
          <w:szCs w:val="21"/>
        </w:rPr>
        <w:t> </w:t>
      </w:r>
    </w:p>
    <w:p>
      <w:pPr>
        <w:spacing w:line="240" w:lineRule="auto" w:before="6"/>
        <w:rPr>
          <w:rFonts w:ascii="宋体" w:hAnsi="宋体" w:cs="宋体" w:eastAsia="宋体" w:hint="default"/>
          <w:sz w:val="5"/>
          <w:szCs w:val="5"/>
        </w:rPr>
      </w:pPr>
    </w:p>
    <w:tbl>
      <w:tblPr>
        <w:tblW w:w="0" w:type="auto"/>
        <w:jc w:val="left"/>
        <w:tblInd w:w="138" w:type="dxa"/>
        <w:tblLayout w:type="fixed"/>
        <w:tblCellMar>
          <w:top w:w="0" w:type="dxa"/>
          <w:left w:w="0" w:type="dxa"/>
          <w:bottom w:w="0" w:type="dxa"/>
          <w:right w:w="0" w:type="dxa"/>
        </w:tblCellMar>
        <w:tblLook w:val="01E0"/>
      </w:tblPr>
      <w:tblGrid>
        <w:gridCol w:w="2891"/>
        <w:gridCol w:w="2993"/>
        <w:gridCol w:w="3759"/>
      </w:tblGrid>
      <w:tr>
        <w:trPr>
          <w:trHeight w:val="396" w:hRule="exact"/>
        </w:trPr>
        <w:tc>
          <w:tcPr>
            <w:tcW w:w="28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68"/>
              <w:jc w:val="right"/>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7"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c>
          <w:tcPr>
            <w:tcW w:w="3759"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left="89" w:right="0"/>
              <w:jc w:val="center"/>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r>
      <w:tr>
        <w:trPr>
          <w:trHeight w:val="398" w:hRule="exact"/>
        </w:trPr>
        <w:tc>
          <w:tcPr>
            <w:tcW w:w="28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固定资产</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98,876,641.82 </w:t>
            </w:r>
          </w:p>
        </w:tc>
        <w:tc>
          <w:tcPr>
            <w:tcW w:w="3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77,280,265.32</w:t>
            </w:r>
            <w:r>
              <w:rPr>
                <w:rFonts w:ascii="宋体"/>
                <w:sz w:val="18"/>
              </w:rPr>
              <w:t> </w:t>
            </w:r>
          </w:p>
        </w:tc>
      </w:tr>
      <w:tr>
        <w:trPr>
          <w:trHeight w:val="396" w:hRule="exact"/>
        </w:trPr>
        <w:tc>
          <w:tcPr>
            <w:tcW w:w="28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固定资产清理</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3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r>
      <w:tr>
        <w:trPr>
          <w:trHeight w:val="398" w:hRule="exact"/>
        </w:trPr>
        <w:tc>
          <w:tcPr>
            <w:tcW w:w="28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68"/>
              <w:jc w:val="righ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98,876,641.82 </w:t>
            </w:r>
          </w:p>
        </w:tc>
        <w:tc>
          <w:tcPr>
            <w:tcW w:w="3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pacing w:val="-1"/>
                <w:sz w:val="18"/>
              </w:rPr>
              <w:t>77,280,265.32</w:t>
            </w:r>
            <w:r>
              <w:rPr>
                <w:rFonts w:ascii="宋体"/>
                <w:sz w:val="18"/>
              </w:rPr>
              <w:t> </w:t>
            </w:r>
          </w:p>
        </w:tc>
      </w:tr>
    </w:tbl>
    <w:p>
      <w:pPr>
        <w:spacing w:line="240" w:lineRule="auto" w:before="7"/>
        <w:rPr>
          <w:rFonts w:ascii="宋体" w:hAnsi="宋体" w:cs="宋体" w:eastAsia="宋体" w:hint="default"/>
          <w:sz w:val="6"/>
          <w:szCs w:val="6"/>
        </w:rPr>
      </w:pPr>
    </w:p>
    <w:p>
      <w:pPr>
        <w:spacing w:before="36"/>
        <w:ind w:left="566" w:right="7673" w:firstLine="0"/>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w:t>
      </w:r>
      <w:r>
        <w:rPr>
          <w:rFonts w:ascii="宋体" w:hAnsi="宋体" w:cs="宋体" w:eastAsia="宋体" w:hint="default"/>
          <w:sz w:val="21"/>
          <w:szCs w:val="21"/>
        </w:rPr>
        <w:t>固定资产</w:t>
      </w:r>
      <w:r>
        <w:rPr>
          <w:rFonts w:ascii="宋体" w:hAnsi="宋体" w:cs="宋体" w:eastAsia="宋体" w:hint="default"/>
          <w:sz w:val="21"/>
          <w:szCs w:val="21"/>
        </w:rPr>
        <w:t> </w:t>
      </w:r>
    </w:p>
    <w:p>
      <w:pPr>
        <w:pStyle w:val="BodyText"/>
        <w:spacing w:line="240" w:lineRule="auto" w:before="152"/>
        <w:ind w:left="563" w:right="7673"/>
        <w:jc w:val="left"/>
        <w:rPr>
          <w:rFonts w:ascii="宋体" w:hAnsi="宋体" w:cs="宋体" w:eastAsia="宋体" w:hint="default"/>
        </w:rPr>
      </w:pPr>
      <w:r>
        <w:rPr/>
        <w:t>（</w:t>
      </w:r>
      <w:r>
        <w:rPr>
          <w:rFonts w:ascii="宋体" w:hAnsi="宋体" w:cs="宋体" w:eastAsia="宋体" w:hint="default"/>
        </w:rPr>
        <w:t>1</w:t>
      </w:r>
      <w:r>
        <w:rPr/>
        <w:t>）固定资产情况</w:t>
      </w:r>
      <w:r>
        <w:rPr>
          <w:rFonts w:ascii="宋体" w:hAnsi="宋体" w:cs="宋体" w:eastAsia="宋体" w:hint="default"/>
        </w:rPr>
        <w:t> </w:t>
      </w:r>
    </w:p>
    <w:p>
      <w:pPr>
        <w:spacing w:line="240" w:lineRule="auto" w:before="6"/>
        <w:rPr>
          <w:rFonts w:ascii="宋体" w:hAnsi="宋体" w:cs="宋体" w:eastAsia="宋体" w:hint="default"/>
          <w:sz w:val="14"/>
          <w:szCs w:val="14"/>
        </w:rPr>
      </w:pPr>
    </w:p>
    <w:tbl>
      <w:tblPr>
        <w:tblW w:w="0" w:type="auto"/>
        <w:jc w:val="left"/>
        <w:tblInd w:w="107" w:type="dxa"/>
        <w:tblLayout w:type="fixed"/>
        <w:tblCellMar>
          <w:top w:w="0" w:type="dxa"/>
          <w:left w:w="0" w:type="dxa"/>
          <w:bottom w:w="0" w:type="dxa"/>
          <w:right w:w="0" w:type="dxa"/>
        </w:tblCellMar>
        <w:tblLook w:val="01E0"/>
      </w:tblPr>
      <w:tblGrid>
        <w:gridCol w:w="1666"/>
        <w:gridCol w:w="1270"/>
        <w:gridCol w:w="1471"/>
        <w:gridCol w:w="1323"/>
        <w:gridCol w:w="1351"/>
        <w:gridCol w:w="1201"/>
        <w:gridCol w:w="1390"/>
      </w:tblGrid>
      <w:tr>
        <w:trPr>
          <w:trHeight w:val="396" w:hRule="exact"/>
        </w:trPr>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0"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80" w:right="0"/>
              <w:jc w:val="left"/>
              <w:rPr>
                <w:rFonts w:ascii="宋体" w:hAnsi="宋体" w:cs="宋体" w:eastAsia="宋体" w:hint="default"/>
                <w:sz w:val="18"/>
                <w:szCs w:val="18"/>
              </w:rPr>
            </w:pPr>
            <w:r>
              <w:rPr>
                <w:rFonts w:ascii="宋体" w:hAnsi="宋体" w:cs="宋体" w:eastAsia="宋体" w:hint="default"/>
                <w:sz w:val="18"/>
                <w:szCs w:val="18"/>
              </w:rPr>
              <w:t>房屋建筑物</w:t>
            </w:r>
            <w:r>
              <w:rPr>
                <w:rFonts w:ascii="宋体" w:hAnsi="宋体" w:cs="宋体" w:eastAsia="宋体" w:hint="default"/>
                <w:sz w:val="18"/>
                <w:szCs w:val="18"/>
              </w:rPr>
              <w:t> </w:t>
            </w: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369" w:right="0"/>
              <w:jc w:val="left"/>
              <w:rPr>
                <w:rFonts w:ascii="宋体" w:hAnsi="宋体" w:cs="宋体" w:eastAsia="宋体" w:hint="default"/>
                <w:sz w:val="18"/>
                <w:szCs w:val="18"/>
              </w:rPr>
            </w:pPr>
            <w:r>
              <w:rPr>
                <w:rFonts w:ascii="宋体" w:hAnsi="宋体" w:cs="宋体" w:eastAsia="宋体" w:hint="default"/>
                <w:sz w:val="18"/>
                <w:szCs w:val="18"/>
              </w:rPr>
              <w:t>机器设备</w:t>
            </w:r>
            <w:r>
              <w:rPr>
                <w:rFonts w:ascii="宋体" w:hAnsi="宋体" w:cs="宋体" w:eastAsia="宋体" w:hint="default"/>
                <w:sz w:val="18"/>
                <w:szCs w:val="18"/>
              </w:rPr>
              <w:t> </w:t>
            </w:r>
          </w:p>
        </w:tc>
        <w:tc>
          <w:tcPr>
            <w:tcW w:w="1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97" w:right="0"/>
              <w:jc w:val="left"/>
              <w:rPr>
                <w:rFonts w:ascii="宋体" w:hAnsi="宋体" w:cs="宋体" w:eastAsia="宋体" w:hint="default"/>
                <w:sz w:val="18"/>
                <w:szCs w:val="18"/>
              </w:rPr>
            </w:pPr>
            <w:r>
              <w:rPr>
                <w:rFonts w:ascii="宋体" w:hAnsi="宋体" w:cs="宋体" w:eastAsia="宋体" w:hint="default"/>
                <w:sz w:val="18"/>
                <w:szCs w:val="18"/>
              </w:rPr>
              <w:t>运输工具</w:t>
            </w:r>
            <w:r>
              <w:rPr>
                <w:rFonts w:ascii="宋体" w:hAnsi="宋体" w:cs="宋体" w:eastAsia="宋体" w:hint="default"/>
                <w:sz w:val="18"/>
                <w:szCs w:val="18"/>
              </w:rPr>
              <w:t> </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312" w:right="0"/>
              <w:jc w:val="left"/>
              <w:rPr>
                <w:rFonts w:ascii="宋体" w:hAnsi="宋体" w:cs="宋体" w:eastAsia="宋体" w:hint="default"/>
                <w:sz w:val="18"/>
                <w:szCs w:val="18"/>
              </w:rPr>
            </w:pPr>
            <w:r>
              <w:rPr>
                <w:rFonts w:ascii="宋体" w:hAnsi="宋体" w:cs="宋体" w:eastAsia="宋体" w:hint="default"/>
                <w:sz w:val="18"/>
                <w:szCs w:val="18"/>
              </w:rPr>
              <w:t>电子设备</w:t>
            </w:r>
            <w:r>
              <w:rPr>
                <w:rFonts w:ascii="宋体" w:hAnsi="宋体" w:cs="宋体" w:eastAsia="宋体" w:hint="default"/>
                <w:sz w:val="18"/>
                <w:szCs w:val="18"/>
              </w:rPr>
              <w:t> </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32" w:right="0"/>
              <w:jc w:val="left"/>
              <w:rPr>
                <w:rFonts w:ascii="宋体" w:hAnsi="宋体" w:cs="宋体" w:eastAsia="宋体" w:hint="default"/>
                <w:sz w:val="18"/>
                <w:szCs w:val="18"/>
              </w:rPr>
            </w:pPr>
            <w:r>
              <w:rPr>
                <w:rFonts w:ascii="宋体" w:hAnsi="宋体" w:cs="宋体" w:eastAsia="宋体" w:hint="default"/>
                <w:sz w:val="18"/>
                <w:szCs w:val="18"/>
              </w:rPr>
              <w:t>其他设备</w:t>
            </w:r>
            <w:r>
              <w:rPr>
                <w:rFonts w:ascii="宋体" w:hAnsi="宋体" w:cs="宋体" w:eastAsia="宋体" w:hint="default"/>
                <w:sz w:val="18"/>
                <w:szCs w:val="18"/>
              </w:rPr>
              <w:t> </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508" w:right="0"/>
              <w:jc w:val="lef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r>
      <w:tr>
        <w:trPr>
          <w:trHeight w:val="399" w:hRule="exact"/>
        </w:trPr>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2" w:right="0"/>
              <w:jc w:val="center"/>
              <w:rPr>
                <w:rFonts w:ascii="宋体" w:hAnsi="宋体" w:cs="宋体" w:eastAsia="宋体" w:hint="default"/>
                <w:sz w:val="18"/>
                <w:szCs w:val="18"/>
              </w:rPr>
            </w:pPr>
            <w:r>
              <w:rPr>
                <w:rFonts w:ascii="宋体" w:hAnsi="宋体" w:cs="宋体" w:eastAsia="宋体" w:hint="default"/>
                <w:sz w:val="18"/>
                <w:szCs w:val="18"/>
              </w:rPr>
              <w:t>一、账面原值：</w:t>
            </w:r>
            <w:r>
              <w:rPr>
                <w:rFonts w:ascii="宋体" w:hAnsi="宋体" w:cs="宋体" w:eastAsia="宋体" w:hint="default"/>
                <w:sz w:val="18"/>
                <w:szCs w:val="18"/>
              </w:rPr>
              <w:t> </w:t>
            </w:r>
          </w:p>
        </w:tc>
        <w:tc>
          <w:tcPr>
            <w:tcW w:w="1270"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323" w:type="dxa"/>
            <w:tcBorders>
              <w:top w:val="single" w:sz="4" w:space="0" w:color="000000"/>
              <w:left w:val="single" w:sz="4" w:space="0" w:color="000000"/>
              <w:bottom w:val="single" w:sz="4" w:space="0" w:color="000000"/>
              <w:right w:val="single" w:sz="4" w:space="0" w:color="000000"/>
            </w:tcBorders>
          </w:tcPr>
          <w:p>
            <w:pPr/>
          </w:p>
        </w:tc>
        <w:tc>
          <w:tcPr>
            <w:tcW w:w="1351" w:type="dxa"/>
            <w:tcBorders>
              <w:top w:val="single" w:sz="4" w:space="0" w:color="000000"/>
              <w:left w:val="single" w:sz="4" w:space="0" w:color="000000"/>
              <w:bottom w:val="single" w:sz="4" w:space="0" w:color="000000"/>
              <w:right w:val="single" w:sz="4" w:space="0" w:color="000000"/>
            </w:tcBorders>
          </w:tcPr>
          <w:p>
            <w:pPr/>
          </w:p>
        </w:tc>
        <w:tc>
          <w:tcPr>
            <w:tcW w:w="1201"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396" w:hRule="exact"/>
        </w:trPr>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2"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期初余额</w:t>
            </w:r>
            <w:r>
              <w:rPr>
                <w:rFonts w:ascii="宋体" w:hAnsi="宋体" w:cs="宋体" w:eastAsia="宋体" w:hint="default"/>
                <w:sz w:val="18"/>
                <w:szCs w:val="18"/>
              </w:rPr>
              <w:t> </w:t>
            </w:r>
          </w:p>
        </w:tc>
        <w:tc>
          <w:tcPr>
            <w:tcW w:w="1270"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1"/>
              <w:jc w:val="right"/>
              <w:rPr>
                <w:rFonts w:ascii="宋体" w:hAnsi="宋体" w:cs="宋体" w:eastAsia="宋体" w:hint="default"/>
                <w:sz w:val="18"/>
                <w:szCs w:val="18"/>
              </w:rPr>
            </w:pPr>
            <w:r>
              <w:rPr>
                <w:rFonts w:ascii="宋体"/>
                <w:spacing w:val="-1"/>
                <w:sz w:val="18"/>
              </w:rPr>
              <w:t>97,080,645.18</w:t>
            </w:r>
          </w:p>
        </w:tc>
        <w:tc>
          <w:tcPr>
            <w:tcW w:w="1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2"/>
              <w:jc w:val="right"/>
              <w:rPr>
                <w:rFonts w:ascii="宋体" w:hAnsi="宋体" w:cs="宋体" w:eastAsia="宋体" w:hint="default"/>
                <w:sz w:val="18"/>
                <w:szCs w:val="18"/>
              </w:rPr>
            </w:pPr>
            <w:r>
              <w:rPr>
                <w:rFonts w:ascii="宋体"/>
                <w:spacing w:val="-1"/>
                <w:sz w:val="18"/>
              </w:rPr>
              <w:t>23,305,217.28</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1"/>
              <w:jc w:val="right"/>
              <w:rPr>
                <w:rFonts w:ascii="宋体" w:hAnsi="宋体" w:cs="宋体" w:eastAsia="宋体" w:hint="default"/>
                <w:sz w:val="18"/>
                <w:szCs w:val="18"/>
              </w:rPr>
            </w:pPr>
            <w:r>
              <w:rPr>
                <w:rFonts w:ascii="宋体"/>
                <w:spacing w:val="-1"/>
                <w:sz w:val="18"/>
              </w:rPr>
              <w:t>71,207,273.53</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7"/>
              <w:jc w:val="right"/>
              <w:rPr>
                <w:rFonts w:ascii="宋体" w:hAnsi="宋体" w:cs="宋体" w:eastAsia="宋体" w:hint="default"/>
                <w:sz w:val="18"/>
                <w:szCs w:val="18"/>
              </w:rPr>
            </w:pPr>
            <w:r>
              <w:rPr>
                <w:rFonts w:ascii="宋体"/>
                <w:spacing w:val="-1"/>
                <w:sz w:val="18"/>
              </w:rPr>
              <w:t>1,002,126.45</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4"/>
              <w:jc w:val="right"/>
              <w:rPr>
                <w:rFonts w:ascii="宋体" w:hAnsi="宋体" w:cs="宋体" w:eastAsia="宋体" w:hint="default"/>
                <w:sz w:val="18"/>
                <w:szCs w:val="18"/>
              </w:rPr>
            </w:pPr>
            <w:r>
              <w:rPr>
                <w:rFonts w:ascii="宋体"/>
                <w:spacing w:val="-1"/>
                <w:sz w:val="18"/>
              </w:rPr>
              <w:t>192,595,262.44</w:t>
            </w:r>
          </w:p>
        </w:tc>
      </w:tr>
      <w:tr>
        <w:trPr>
          <w:trHeight w:val="396" w:hRule="exact"/>
        </w:trPr>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2" w:right="0"/>
              <w:jc w:val="center"/>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本期增加金额</w:t>
            </w:r>
            <w:r>
              <w:rPr>
                <w:rFonts w:ascii="宋体" w:hAnsi="宋体" w:cs="宋体" w:eastAsia="宋体" w:hint="default"/>
                <w:sz w:val="18"/>
                <w:szCs w:val="18"/>
              </w:rPr>
              <w:t> </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7"/>
              <w:jc w:val="right"/>
              <w:rPr>
                <w:rFonts w:ascii="宋体" w:hAnsi="宋体" w:cs="宋体" w:eastAsia="宋体" w:hint="default"/>
                <w:sz w:val="18"/>
                <w:szCs w:val="18"/>
              </w:rPr>
            </w:pPr>
            <w:r>
              <w:rPr>
                <w:rFonts w:ascii="宋体"/>
                <w:spacing w:val="-1"/>
                <w:sz w:val="18"/>
              </w:rPr>
              <w:t>6,466,316.00</w:t>
            </w: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pacing w:val="-1"/>
                <w:sz w:val="18"/>
              </w:rPr>
              <w:t>33,974,910.57</w:t>
            </w:r>
          </w:p>
        </w:tc>
        <w:tc>
          <w:tcPr>
            <w:tcW w:w="1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right"/>
              <w:rPr>
                <w:rFonts w:ascii="宋体" w:hAnsi="宋体" w:cs="宋体" w:eastAsia="宋体" w:hint="default"/>
                <w:sz w:val="18"/>
                <w:szCs w:val="18"/>
              </w:rPr>
            </w:pPr>
            <w:r>
              <w:rPr>
                <w:rFonts w:ascii="宋体"/>
                <w:spacing w:val="-1"/>
                <w:sz w:val="18"/>
              </w:rPr>
              <w:t>250,580.53</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pacing w:val="-1"/>
                <w:sz w:val="18"/>
              </w:rPr>
              <w:t>15,937,058.54</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7"/>
              <w:jc w:val="right"/>
              <w:rPr>
                <w:rFonts w:ascii="宋体" w:hAnsi="宋体" w:cs="宋体" w:eastAsia="宋体" w:hint="default"/>
                <w:sz w:val="18"/>
                <w:szCs w:val="18"/>
              </w:rPr>
            </w:pPr>
            <w:r>
              <w:rPr>
                <w:rFonts w:ascii="宋体"/>
                <w:spacing w:val="-1"/>
                <w:sz w:val="18"/>
              </w:rPr>
              <w:t>145,314.06</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pacing w:val="-1"/>
                <w:sz w:val="18"/>
              </w:rPr>
              <w:t>56,774,179.70</w:t>
            </w:r>
          </w:p>
        </w:tc>
      </w:tr>
      <w:tr>
        <w:trPr>
          <w:trHeight w:val="398" w:hRule="exact"/>
        </w:trPr>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0" w:right="0"/>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）购置</w:t>
            </w:r>
            <w:r>
              <w:rPr>
                <w:rFonts w:ascii="宋体" w:hAnsi="宋体" w:cs="宋体" w:eastAsia="宋体" w:hint="default"/>
                <w:sz w:val="18"/>
                <w:szCs w:val="18"/>
              </w:rPr>
              <w:t> </w:t>
            </w:r>
          </w:p>
        </w:tc>
        <w:tc>
          <w:tcPr>
            <w:tcW w:w="1270"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pacing w:val="-1"/>
                <w:sz w:val="18"/>
              </w:rPr>
              <w:t>22,384,692.57</w:t>
            </w:r>
          </w:p>
        </w:tc>
        <w:tc>
          <w:tcPr>
            <w:tcW w:w="1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right"/>
              <w:rPr>
                <w:rFonts w:ascii="宋体" w:hAnsi="宋体" w:cs="宋体" w:eastAsia="宋体" w:hint="default"/>
                <w:sz w:val="18"/>
                <w:szCs w:val="18"/>
              </w:rPr>
            </w:pPr>
            <w:r>
              <w:rPr>
                <w:rFonts w:ascii="宋体"/>
                <w:spacing w:val="-1"/>
                <w:sz w:val="18"/>
              </w:rPr>
              <w:t>250,580.53</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pacing w:val="-1"/>
                <w:sz w:val="18"/>
              </w:rPr>
              <w:t>11,432,575.54</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7"/>
              <w:jc w:val="right"/>
              <w:rPr>
                <w:rFonts w:ascii="宋体" w:hAnsi="宋体" w:cs="宋体" w:eastAsia="宋体" w:hint="default"/>
                <w:sz w:val="18"/>
                <w:szCs w:val="18"/>
              </w:rPr>
            </w:pPr>
            <w:r>
              <w:rPr>
                <w:rFonts w:ascii="宋体"/>
                <w:spacing w:val="-1"/>
                <w:sz w:val="18"/>
              </w:rPr>
              <w:t>145,314.06</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pacing w:val="-1"/>
                <w:sz w:val="18"/>
              </w:rPr>
              <w:t>34,213,162.70</w:t>
            </w:r>
          </w:p>
        </w:tc>
      </w:tr>
      <w:tr>
        <w:trPr>
          <w:trHeight w:val="396" w:hRule="exact"/>
        </w:trPr>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62" w:right="-28"/>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2</w:t>
            </w:r>
            <w:r>
              <w:rPr>
                <w:rFonts w:ascii="宋体" w:hAnsi="宋体" w:cs="宋体" w:eastAsia="宋体" w:hint="default"/>
                <w:sz w:val="18"/>
                <w:szCs w:val="18"/>
              </w:rPr>
              <w:t>）在建工程转入</w:t>
            </w:r>
            <w:r>
              <w:rPr>
                <w:rFonts w:ascii="宋体" w:hAnsi="宋体" w:cs="宋体" w:eastAsia="宋体" w:hint="default"/>
                <w:sz w:val="18"/>
                <w:szCs w:val="18"/>
              </w:rPr>
              <w:t> </w:t>
            </w:r>
          </w:p>
        </w:tc>
        <w:tc>
          <w:tcPr>
            <w:tcW w:w="1270"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323" w:type="dxa"/>
            <w:tcBorders>
              <w:top w:val="single" w:sz="4" w:space="0" w:color="000000"/>
              <w:left w:val="single" w:sz="4" w:space="0" w:color="000000"/>
              <w:bottom w:val="single" w:sz="4" w:space="0" w:color="000000"/>
              <w:right w:val="single" w:sz="4" w:space="0" w:color="000000"/>
            </w:tcBorders>
          </w:tcPr>
          <w:p>
            <w:pPr/>
          </w:p>
        </w:tc>
        <w:tc>
          <w:tcPr>
            <w:tcW w:w="1351" w:type="dxa"/>
            <w:tcBorders>
              <w:top w:val="single" w:sz="4" w:space="0" w:color="000000"/>
              <w:left w:val="single" w:sz="4" w:space="0" w:color="000000"/>
              <w:bottom w:val="single" w:sz="4" w:space="0" w:color="000000"/>
              <w:right w:val="single" w:sz="4" w:space="0" w:color="000000"/>
            </w:tcBorders>
          </w:tcPr>
          <w:p>
            <w:pPr/>
          </w:p>
        </w:tc>
        <w:tc>
          <w:tcPr>
            <w:tcW w:w="1201"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62" w:right="-28"/>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3</w:t>
            </w:r>
            <w:r>
              <w:rPr>
                <w:rFonts w:ascii="宋体" w:hAnsi="宋体" w:cs="宋体" w:eastAsia="宋体" w:hint="default"/>
                <w:sz w:val="18"/>
                <w:szCs w:val="18"/>
              </w:rPr>
              <w:t>）企业合并增加</w:t>
            </w:r>
            <w:r>
              <w:rPr>
                <w:rFonts w:ascii="宋体" w:hAnsi="宋体" w:cs="宋体" w:eastAsia="宋体" w:hint="default"/>
                <w:sz w:val="18"/>
                <w:szCs w:val="18"/>
              </w:rPr>
              <w:t> </w:t>
            </w:r>
          </w:p>
        </w:tc>
        <w:tc>
          <w:tcPr>
            <w:tcW w:w="1270"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323" w:type="dxa"/>
            <w:tcBorders>
              <w:top w:val="single" w:sz="4" w:space="0" w:color="000000"/>
              <w:left w:val="single" w:sz="4" w:space="0" w:color="000000"/>
              <w:bottom w:val="single" w:sz="4" w:space="0" w:color="000000"/>
              <w:right w:val="single" w:sz="4" w:space="0" w:color="000000"/>
            </w:tcBorders>
          </w:tcPr>
          <w:p>
            <w:pPr/>
          </w:p>
        </w:tc>
        <w:tc>
          <w:tcPr>
            <w:tcW w:w="1351" w:type="dxa"/>
            <w:tcBorders>
              <w:top w:val="single" w:sz="4" w:space="0" w:color="000000"/>
              <w:left w:val="single" w:sz="4" w:space="0" w:color="000000"/>
              <w:bottom w:val="single" w:sz="4" w:space="0" w:color="000000"/>
              <w:right w:val="single" w:sz="4" w:space="0" w:color="000000"/>
            </w:tcBorders>
          </w:tcPr>
          <w:p>
            <w:pPr/>
          </w:p>
        </w:tc>
        <w:tc>
          <w:tcPr>
            <w:tcW w:w="1201"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396" w:hRule="exact"/>
        </w:trPr>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0" w:right="0"/>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4</w:t>
            </w:r>
            <w:r>
              <w:rPr>
                <w:rFonts w:ascii="宋体" w:hAnsi="宋体" w:cs="宋体" w:eastAsia="宋体" w:hint="default"/>
                <w:sz w:val="18"/>
                <w:szCs w:val="18"/>
              </w:rPr>
              <w:t>）其他增加</w:t>
            </w:r>
            <w:r>
              <w:rPr>
                <w:rFonts w:ascii="宋体" w:hAnsi="宋体" w:cs="宋体" w:eastAsia="宋体" w:hint="default"/>
                <w:sz w:val="18"/>
                <w:szCs w:val="18"/>
              </w:rPr>
              <w:t> </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7"/>
              <w:jc w:val="right"/>
              <w:rPr>
                <w:rFonts w:ascii="宋体" w:hAnsi="宋体" w:cs="宋体" w:eastAsia="宋体" w:hint="default"/>
                <w:sz w:val="18"/>
                <w:szCs w:val="18"/>
              </w:rPr>
            </w:pPr>
            <w:r>
              <w:rPr>
                <w:rFonts w:ascii="宋体"/>
                <w:spacing w:val="-1"/>
                <w:sz w:val="18"/>
              </w:rPr>
              <w:t>6,466,316.00</w:t>
            </w: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1"/>
              <w:jc w:val="right"/>
              <w:rPr>
                <w:rFonts w:ascii="宋体" w:hAnsi="宋体" w:cs="宋体" w:eastAsia="宋体" w:hint="default"/>
                <w:sz w:val="18"/>
                <w:szCs w:val="18"/>
              </w:rPr>
            </w:pPr>
            <w:r>
              <w:rPr>
                <w:rFonts w:ascii="宋体"/>
                <w:spacing w:val="-1"/>
                <w:sz w:val="18"/>
              </w:rPr>
              <w:t>11,590,218.00</w:t>
            </w:r>
          </w:p>
        </w:tc>
        <w:tc>
          <w:tcPr>
            <w:tcW w:w="1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3"/>
              <w:jc w:val="right"/>
              <w:rPr>
                <w:rFonts w:ascii="宋体" w:hAnsi="宋体" w:cs="宋体" w:eastAsia="宋体" w:hint="default"/>
                <w:sz w:val="18"/>
                <w:szCs w:val="18"/>
              </w:rPr>
            </w:pPr>
            <w:r>
              <w:rPr>
                <w:rFonts w:ascii="宋体"/>
                <w:sz w:val="18"/>
              </w:rPr>
              <w:t>-</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4"/>
              <w:jc w:val="right"/>
              <w:rPr>
                <w:rFonts w:ascii="宋体" w:hAnsi="宋体" w:cs="宋体" w:eastAsia="宋体" w:hint="default"/>
                <w:sz w:val="18"/>
                <w:szCs w:val="18"/>
              </w:rPr>
            </w:pPr>
            <w:r>
              <w:rPr>
                <w:rFonts w:ascii="宋体"/>
                <w:spacing w:val="-1"/>
                <w:sz w:val="18"/>
              </w:rPr>
              <w:t>4,504,483.00</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5"/>
              <w:jc w:val="right"/>
              <w:rPr>
                <w:rFonts w:ascii="宋体" w:hAnsi="宋体" w:cs="宋体" w:eastAsia="宋体" w:hint="default"/>
                <w:sz w:val="18"/>
                <w:szCs w:val="18"/>
              </w:rPr>
            </w:pPr>
            <w:r>
              <w:rPr>
                <w:rFonts w:ascii="宋体"/>
                <w:sz w:val="18"/>
              </w:rPr>
              <w:t>-</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1"/>
              <w:jc w:val="right"/>
              <w:rPr>
                <w:rFonts w:ascii="宋体" w:hAnsi="宋体" w:cs="宋体" w:eastAsia="宋体" w:hint="default"/>
                <w:sz w:val="18"/>
                <w:szCs w:val="18"/>
              </w:rPr>
            </w:pPr>
            <w:r>
              <w:rPr>
                <w:rFonts w:ascii="宋体"/>
                <w:spacing w:val="-1"/>
                <w:sz w:val="18"/>
              </w:rPr>
              <w:t>22,561,017.00</w:t>
            </w:r>
          </w:p>
        </w:tc>
      </w:tr>
      <w:tr>
        <w:trPr>
          <w:trHeight w:val="398" w:hRule="exact"/>
        </w:trPr>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2" w:right="0"/>
              <w:jc w:val="center"/>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本期减少金额</w:t>
            </w:r>
            <w:r>
              <w:rPr>
                <w:rFonts w:ascii="宋体" w:hAnsi="宋体" w:cs="宋体" w:eastAsia="宋体" w:hint="default"/>
                <w:sz w:val="18"/>
                <w:szCs w:val="18"/>
              </w:rPr>
              <w:t> </w:t>
            </w:r>
          </w:p>
        </w:tc>
        <w:tc>
          <w:tcPr>
            <w:tcW w:w="1270"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right"/>
              <w:rPr>
                <w:rFonts w:ascii="宋体" w:hAnsi="宋体" w:cs="宋体" w:eastAsia="宋体" w:hint="default"/>
                <w:sz w:val="18"/>
                <w:szCs w:val="18"/>
              </w:rPr>
            </w:pPr>
            <w:r>
              <w:rPr>
                <w:rFonts w:ascii="宋体"/>
                <w:spacing w:val="-1"/>
                <w:sz w:val="18"/>
              </w:rPr>
              <w:t>7,045,481.98</w:t>
            </w:r>
          </w:p>
        </w:tc>
        <w:tc>
          <w:tcPr>
            <w:tcW w:w="1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right"/>
              <w:rPr>
                <w:rFonts w:ascii="宋体" w:hAnsi="宋体" w:cs="宋体" w:eastAsia="宋体" w:hint="default"/>
                <w:sz w:val="18"/>
                <w:szCs w:val="18"/>
              </w:rPr>
            </w:pPr>
            <w:r>
              <w:rPr>
                <w:rFonts w:ascii="宋体"/>
                <w:spacing w:val="-1"/>
                <w:sz w:val="18"/>
              </w:rPr>
              <w:t>3,154,155.12</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right"/>
              <w:rPr>
                <w:rFonts w:ascii="宋体" w:hAnsi="宋体" w:cs="宋体" w:eastAsia="宋体" w:hint="default"/>
                <w:sz w:val="18"/>
                <w:szCs w:val="18"/>
              </w:rPr>
            </w:pPr>
            <w:r>
              <w:rPr>
                <w:rFonts w:ascii="宋体"/>
                <w:spacing w:val="-1"/>
                <w:sz w:val="18"/>
              </w:rPr>
              <w:t>1,635,387.74</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7"/>
              <w:jc w:val="right"/>
              <w:rPr>
                <w:rFonts w:ascii="宋体" w:hAnsi="宋体" w:cs="宋体" w:eastAsia="宋体" w:hint="default"/>
                <w:sz w:val="18"/>
                <w:szCs w:val="18"/>
              </w:rPr>
            </w:pPr>
            <w:r>
              <w:rPr>
                <w:rFonts w:ascii="宋体"/>
                <w:spacing w:val="-1"/>
                <w:sz w:val="18"/>
              </w:rPr>
              <w:t>386,675.15</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pacing w:val="-1"/>
                <w:sz w:val="18"/>
              </w:rPr>
              <w:t>12,221,699.99</w:t>
            </w:r>
          </w:p>
        </w:tc>
      </w:tr>
      <w:tr>
        <w:trPr>
          <w:trHeight w:val="396" w:hRule="exact"/>
        </w:trPr>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2" w:right="0"/>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）处置或报废</w:t>
            </w:r>
            <w:r>
              <w:rPr>
                <w:rFonts w:ascii="宋体" w:hAnsi="宋体" w:cs="宋体" w:eastAsia="宋体" w:hint="default"/>
                <w:sz w:val="18"/>
                <w:szCs w:val="18"/>
              </w:rPr>
              <w:t> </w:t>
            </w:r>
          </w:p>
        </w:tc>
        <w:tc>
          <w:tcPr>
            <w:tcW w:w="1270"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4"/>
              <w:jc w:val="right"/>
              <w:rPr>
                <w:rFonts w:ascii="宋体" w:hAnsi="宋体" w:cs="宋体" w:eastAsia="宋体" w:hint="default"/>
                <w:sz w:val="18"/>
                <w:szCs w:val="18"/>
              </w:rPr>
            </w:pPr>
            <w:r>
              <w:rPr>
                <w:rFonts w:ascii="宋体"/>
                <w:spacing w:val="-1"/>
                <w:sz w:val="18"/>
              </w:rPr>
              <w:t>7,045,481.98</w:t>
            </w:r>
          </w:p>
        </w:tc>
        <w:tc>
          <w:tcPr>
            <w:tcW w:w="1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4"/>
              <w:jc w:val="right"/>
              <w:rPr>
                <w:rFonts w:ascii="宋体" w:hAnsi="宋体" w:cs="宋体" w:eastAsia="宋体" w:hint="default"/>
                <w:sz w:val="18"/>
                <w:szCs w:val="18"/>
              </w:rPr>
            </w:pPr>
            <w:r>
              <w:rPr>
                <w:rFonts w:ascii="宋体"/>
                <w:spacing w:val="-1"/>
                <w:sz w:val="18"/>
              </w:rPr>
              <w:t>3,154,155.12</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4"/>
              <w:jc w:val="right"/>
              <w:rPr>
                <w:rFonts w:ascii="宋体" w:hAnsi="宋体" w:cs="宋体" w:eastAsia="宋体" w:hint="default"/>
                <w:sz w:val="18"/>
                <w:szCs w:val="18"/>
              </w:rPr>
            </w:pPr>
            <w:r>
              <w:rPr>
                <w:rFonts w:ascii="宋体"/>
                <w:spacing w:val="-1"/>
                <w:sz w:val="18"/>
              </w:rPr>
              <w:t>1,635,387.74</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7"/>
              <w:jc w:val="right"/>
              <w:rPr>
                <w:rFonts w:ascii="宋体" w:hAnsi="宋体" w:cs="宋体" w:eastAsia="宋体" w:hint="default"/>
                <w:sz w:val="18"/>
                <w:szCs w:val="18"/>
              </w:rPr>
            </w:pPr>
            <w:r>
              <w:rPr>
                <w:rFonts w:ascii="宋体"/>
                <w:spacing w:val="-1"/>
                <w:sz w:val="18"/>
              </w:rPr>
              <w:t>386,675.15</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1"/>
              <w:jc w:val="right"/>
              <w:rPr>
                <w:rFonts w:ascii="宋体" w:hAnsi="宋体" w:cs="宋体" w:eastAsia="宋体" w:hint="default"/>
                <w:sz w:val="18"/>
                <w:szCs w:val="18"/>
              </w:rPr>
            </w:pPr>
            <w:r>
              <w:rPr>
                <w:rFonts w:ascii="宋体"/>
                <w:spacing w:val="-1"/>
                <w:sz w:val="18"/>
              </w:rPr>
              <w:t>12,221,699.99</w:t>
            </w:r>
          </w:p>
        </w:tc>
      </w:tr>
      <w:tr>
        <w:trPr>
          <w:trHeight w:val="396" w:hRule="exact"/>
        </w:trPr>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2" w:right="0"/>
              <w:jc w:val="center"/>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期末余额</w:t>
            </w:r>
            <w:r>
              <w:rPr>
                <w:rFonts w:ascii="宋体" w:hAnsi="宋体" w:cs="宋体" w:eastAsia="宋体" w:hint="default"/>
                <w:sz w:val="18"/>
                <w:szCs w:val="18"/>
              </w:rPr>
              <w:t> </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7"/>
              <w:jc w:val="right"/>
              <w:rPr>
                <w:rFonts w:ascii="宋体" w:hAnsi="宋体" w:cs="宋体" w:eastAsia="宋体" w:hint="default"/>
                <w:sz w:val="18"/>
                <w:szCs w:val="18"/>
              </w:rPr>
            </w:pPr>
            <w:r>
              <w:rPr>
                <w:rFonts w:ascii="宋体"/>
                <w:spacing w:val="-1"/>
                <w:sz w:val="18"/>
              </w:rPr>
              <w:t>6,466,316.00</w:t>
            </w: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right"/>
              <w:rPr>
                <w:rFonts w:ascii="宋体" w:hAnsi="宋体" w:cs="宋体" w:eastAsia="宋体" w:hint="default"/>
                <w:sz w:val="18"/>
                <w:szCs w:val="18"/>
              </w:rPr>
            </w:pPr>
            <w:r>
              <w:rPr>
                <w:rFonts w:ascii="宋体"/>
                <w:spacing w:val="-1"/>
                <w:sz w:val="18"/>
              </w:rPr>
              <w:t>124,010,073.77</w:t>
            </w:r>
          </w:p>
        </w:tc>
        <w:tc>
          <w:tcPr>
            <w:tcW w:w="1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宋体" w:hAnsi="宋体" w:cs="宋体" w:eastAsia="宋体" w:hint="default"/>
                <w:sz w:val="18"/>
                <w:szCs w:val="18"/>
              </w:rPr>
            </w:pPr>
            <w:r>
              <w:rPr>
                <w:rFonts w:ascii="宋体"/>
                <w:spacing w:val="-1"/>
                <w:sz w:val="18"/>
              </w:rPr>
              <w:t>20,401,642.69</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pacing w:val="-1"/>
                <w:sz w:val="18"/>
              </w:rPr>
              <w:t>85,508,944.33</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7"/>
              <w:jc w:val="right"/>
              <w:rPr>
                <w:rFonts w:ascii="宋体" w:hAnsi="宋体" w:cs="宋体" w:eastAsia="宋体" w:hint="default"/>
                <w:sz w:val="18"/>
                <w:szCs w:val="18"/>
              </w:rPr>
            </w:pPr>
            <w:r>
              <w:rPr>
                <w:rFonts w:ascii="宋体"/>
                <w:spacing w:val="-1"/>
                <w:sz w:val="18"/>
              </w:rPr>
              <w:t>760,765.36</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right"/>
              <w:rPr>
                <w:rFonts w:ascii="宋体" w:hAnsi="宋体" w:cs="宋体" w:eastAsia="宋体" w:hint="default"/>
                <w:sz w:val="18"/>
                <w:szCs w:val="18"/>
              </w:rPr>
            </w:pPr>
            <w:r>
              <w:rPr>
                <w:rFonts w:ascii="宋体"/>
                <w:spacing w:val="-1"/>
                <w:sz w:val="18"/>
              </w:rPr>
              <w:t>237,147,742.15</w:t>
            </w:r>
          </w:p>
        </w:tc>
      </w:tr>
      <w:tr>
        <w:trPr>
          <w:trHeight w:val="399" w:hRule="exact"/>
        </w:trPr>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90" w:right="0"/>
              <w:jc w:val="center"/>
              <w:rPr>
                <w:rFonts w:ascii="宋体" w:hAnsi="宋体" w:cs="宋体" w:eastAsia="宋体" w:hint="default"/>
                <w:sz w:val="18"/>
                <w:szCs w:val="18"/>
              </w:rPr>
            </w:pPr>
            <w:r>
              <w:rPr>
                <w:rFonts w:ascii="宋体" w:hAnsi="宋体" w:cs="宋体" w:eastAsia="宋体" w:hint="default"/>
                <w:sz w:val="18"/>
                <w:szCs w:val="18"/>
              </w:rPr>
              <w:t>二、累计折旧</w:t>
            </w:r>
            <w:r>
              <w:rPr>
                <w:rFonts w:ascii="宋体" w:hAnsi="宋体" w:cs="宋体" w:eastAsia="宋体" w:hint="default"/>
                <w:sz w:val="18"/>
                <w:szCs w:val="18"/>
              </w:rPr>
              <w:t> </w:t>
            </w:r>
          </w:p>
        </w:tc>
        <w:tc>
          <w:tcPr>
            <w:tcW w:w="1270"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323" w:type="dxa"/>
            <w:tcBorders>
              <w:top w:val="single" w:sz="4" w:space="0" w:color="000000"/>
              <w:left w:val="single" w:sz="4" w:space="0" w:color="000000"/>
              <w:bottom w:val="single" w:sz="4" w:space="0" w:color="000000"/>
              <w:right w:val="single" w:sz="4" w:space="0" w:color="000000"/>
            </w:tcBorders>
          </w:tcPr>
          <w:p>
            <w:pPr/>
          </w:p>
        </w:tc>
        <w:tc>
          <w:tcPr>
            <w:tcW w:w="1351" w:type="dxa"/>
            <w:tcBorders>
              <w:top w:val="single" w:sz="4" w:space="0" w:color="000000"/>
              <w:left w:val="single" w:sz="4" w:space="0" w:color="000000"/>
              <w:bottom w:val="single" w:sz="4" w:space="0" w:color="000000"/>
              <w:right w:val="single" w:sz="4" w:space="0" w:color="000000"/>
            </w:tcBorders>
          </w:tcPr>
          <w:p>
            <w:pPr/>
          </w:p>
        </w:tc>
        <w:tc>
          <w:tcPr>
            <w:tcW w:w="1201"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396" w:hRule="exact"/>
        </w:trPr>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2"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期初余额</w:t>
            </w:r>
            <w:r>
              <w:rPr>
                <w:rFonts w:ascii="宋体" w:hAnsi="宋体" w:cs="宋体" w:eastAsia="宋体" w:hint="default"/>
                <w:sz w:val="18"/>
                <w:szCs w:val="18"/>
              </w:rPr>
              <w:t> </w:t>
            </w:r>
          </w:p>
        </w:tc>
        <w:tc>
          <w:tcPr>
            <w:tcW w:w="1270"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pacing w:val="-1"/>
                <w:sz w:val="18"/>
              </w:rPr>
              <w:t>46,419,570.34</w:t>
            </w:r>
          </w:p>
        </w:tc>
        <w:tc>
          <w:tcPr>
            <w:tcW w:w="1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宋体" w:hAnsi="宋体" w:cs="宋体" w:eastAsia="宋体" w:hint="default"/>
                <w:sz w:val="18"/>
                <w:szCs w:val="18"/>
              </w:rPr>
            </w:pPr>
            <w:r>
              <w:rPr>
                <w:rFonts w:ascii="宋体"/>
                <w:spacing w:val="-1"/>
                <w:sz w:val="18"/>
              </w:rPr>
              <w:t>15,193,547.04</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pacing w:val="-1"/>
                <w:sz w:val="18"/>
              </w:rPr>
              <w:t>53,090,515.97</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7"/>
              <w:jc w:val="right"/>
              <w:rPr>
                <w:rFonts w:ascii="宋体" w:hAnsi="宋体" w:cs="宋体" w:eastAsia="宋体" w:hint="default"/>
                <w:sz w:val="18"/>
                <w:szCs w:val="18"/>
              </w:rPr>
            </w:pPr>
            <w:r>
              <w:rPr>
                <w:rFonts w:ascii="宋体"/>
                <w:spacing w:val="-1"/>
                <w:sz w:val="18"/>
              </w:rPr>
              <w:t>611,363.77</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right"/>
              <w:rPr>
                <w:rFonts w:ascii="宋体" w:hAnsi="宋体" w:cs="宋体" w:eastAsia="宋体" w:hint="default"/>
                <w:sz w:val="18"/>
                <w:szCs w:val="18"/>
              </w:rPr>
            </w:pPr>
            <w:r>
              <w:rPr>
                <w:rFonts w:ascii="宋体"/>
                <w:spacing w:val="-1"/>
                <w:sz w:val="18"/>
              </w:rPr>
              <w:t>115,314,997.12</w:t>
            </w:r>
          </w:p>
        </w:tc>
      </w:tr>
      <w:tr>
        <w:trPr>
          <w:trHeight w:val="398" w:hRule="exact"/>
        </w:trPr>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2" w:right="0"/>
              <w:jc w:val="center"/>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本期增加金额</w:t>
            </w:r>
            <w:r>
              <w:rPr>
                <w:rFonts w:ascii="宋体" w:hAnsi="宋体" w:cs="宋体" w:eastAsia="宋体" w:hint="default"/>
                <w:sz w:val="18"/>
                <w:szCs w:val="18"/>
              </w:rPr>
              <w:t> </w:t>
            </w:r>
          </w:p>
        </w:tc>
        <w:tc>
          <w:tcPr>
            <w:tcW w:w="1270"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pacing w:val="-1"/>
                <w:sz w:val="18"/>
              </w:rPr>
              <w:t>17,488,708.02</w:t>
            </w:r>
          </w:p>
        </w:tc>
        <w:tc>
          <w:tcPr>
            <w:tcW w:w="1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right"/>
              <w:rPr>
                <w:rFonts w:ascii="宋体" w:hAnsi="宋体" w:cs="宋体" w:eastAsia="宋体" w:hint="default"/>
                <w:sz w:val="18"/>
                <w:szCs w:val="18"/>
              </w:rPr>
            </w:pPr>
            <w:r>
              <w:rPr>
                <w:rFonts w:ascii="宋体"/>
                <w:spacing w:val="-1"/>
                <w:sz w:val="18"/>
              </w:rPr>
              <w:t>5,759,356.32</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right"/>
              <w:rPr>
                <w:rFonts w:ascii="宋体" w:hAnsi="宋体" w:cs="宋体" w:eastAsia="宋体" w:hint="default"/>
                <w:sz w:val="18"/>
                <w:szCs w:val="18"/>
              </w:rPr>
            </w:pPr>
            <w:r>
              <w:rPr>
                <w:rFonts w:ascii="宋体"/>
                <w:spacing w:val="-1"/>
                <w:sz w:val="18"/>
              </w:rPr>
              <w:t>9,018,897.76</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7"/>
              <w:jc w:val="right"/>
              <w:rPr>
                <w:rFonts w:ascii="宋体" w:hAnsi="宋体" w:cs="宋体" w:eastAsia="宋体" w:hint="default"/>
                <w:sz w:val="18"/>
                <w:szCs w:val="18"/>
              </w:rPr>
            </w:pPr>
            <w:r>
              <w:rPr>
                <w:rFonts w:ascii="宋体"/>
                <w:spacing w:val="-1"/>
                <w:sz w:val="18"/>
              </w:rPr>
              <w:t>259,515.72</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pacing w:val="-1"/>
                <w:sz w:val="18"/>
              </w:rPr>
              <w:t>32,526,477.82</w:t>
            </w:r>
          </w:p>
        </w:tc>
      </w:tr>
      <w:tr>
        <w:trPr>
          <w:trHeight w:val="396" w:hRule="exact"/>
        </w:trPr>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0" w:right="0"/>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）计提</w:t>
            </w:r>
            <w:r>
              <w:rPr>
                <w:rFonts w:ascii="宋体" w:hAnsi="宋体" w:cs="宋体" w:eastAsia="宋体" w:hint="default"/>
                <w:sz w:val="18"/>
                <w:szCs w:val="18"/>
              </w:rPr>
              <w:t> </w:t>
            </w:r>
          </w:p>
        </w:tc>
        <w:tc>
          <w:tcPr>
            <w:tcW w:w="1270"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1"/>
              <w:jc w:val="right"/>
              <w:rPr>
                <w:rFonts w:ascii="宋体" w:hAnsi="宋体" w:cs="宋体" w:eastAsia="宋体" w:hint="default"/>
                <w:sz w:val="18"/>
                <w:szCs w:val="18"/>
              </w:rPr>
            </w:pPr>
            <w:r>
              <w:rPr>
                <w:rFonts w:ascii="宋体"/>
                <w:spacing w:val="-1"/>
                <w:sz w:val="18"/>
              </w:rPr>
              <w:t>17,488,708.02</w:t>
            </w:r>
          </w:p>
        </w:tc>
        <w:tc>
          <w:tcPr>
            <w:tcW w:w="1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4"/>
              <w:jc w:val="right"/>
              <w:rPr>
                <w:rFonts w:ascii="宋体" w:hAnsi="宋体" w:cs="宋体" w:eastAsia="宋体" w:hint="default"/>
                <w:sz w:val="18"/>
                <w:szCs w:val="18"/>
              </w:rPr>
            </w:pPr>
            <w:r>
              <w:rPr>
                <w:rFonts w:ascii="宋体"/>
                <w:spacing w:val="-1"/>
                <w:sz w:val="18"/>
              </w:rPr>
              <w:t>5,759,356.32</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4"/>
              <w:jc w:val="right"/>
              <w:rPr>
                <w:rFonts w:ascii="宋体" w:hAnsi="宋体" w:cs="宋体" w:eastAsia="宋体" w:hint="default"/>
                <w:sz w:val="18"/>
                <w:szCs w:val="18"/>
              </w:rPr>
            </w:pPr>
            <w:r>
              <w:rPr>
                <w:rFonts w:ascii="宋体"/>
                <w:spacing w:val="-1"/>
                <w:sz w:val="18"/>
              </w:rPr>
              <w:t>9,018,897.76</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7"/>
              <w:jc w:val="right"/>
              <w:rPr>
                <w:rFonts w:ascii="宋体" w:hAnsi="宋体" w:cs="宋体" w:eastAsia="宋体" w:hint="default"/>
                <w:sz w:val="18"/>
                <w:szCs w:val="18"/>
              </w:rPr>
            </w:pPr>
            <w:r>
              <w:rPr>
                <w:rFonts w:ascii="宋体"/>
                <w:spacing w:val="-1"/>
                <w:sz w:val="18"/>
              </w:rPr>
              <w:t>259,515.72</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1"/>
              <w:jc w:val="right"/>
              <w:rPr>
                <w:rFonts w:ascii="宋体" w:hAnsi="宋体" w:cs="宋体" w:eastAsia="宋体" w:hint="default"/>
                <w:sz w:val="18"/>
                <w:szCs w:val="18"/>
              </w:rPr>
            </w:pPr>
            <w:r>
              <w:rPr>
                <w:rFonts w:ascii="宋体"/>
                <w:spacing w:val="-1"/>
                <w:sz w:val="18"/>
              </w:rPr>
              <w:t>32,526,477.82</w:t>
            </w:r>
          </w:p>
        </w:tc>
      </w:tr>
      <w:tr>
        <w:trPr>
          <w:trHeight w:val="396" w:hRule="exact"/>
        </w:trPr>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2" w:right="0"/>
              <w:jc w:val="center"/>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本期减少金额</w:t>
            </w:r>
            <w:r>
              <w:rPr>
                <w:rFonts w:ascii="宋体" w:hAnsi="宋体" w:cs="宋体" w:eastAsia="宋体" w:hint="default"/>
                <w:sz w:val="18"/>
                <w:szCs w:val="18"/>
              </w:rPr>
              <w:t> </w:t>
            </w:r>
          </w:p>
        </w:tc>
        <w:tc>
          <w:tcPr>
            <w:tcW w:w="1270"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right"/>
              <w:rPr>
                <w:rFonts w:ascii="宋体" w:hAnsi="宋体" w:cs="宋体" w:eastAsia="宋体" w:hint="default"/>
                <w:sz w:val="18"/>
                <w:szCs w:val="18"/>
              </w:rPr>
            </w:pPr>
            <w:r>
              <w:rPr>
                <w:rFonts w:ascii="宋体"/>
                <w:spacing w:val="-1"/>
                <w:sz w:val="18"/>
              </w:rPr>
              <w:t>5,265,379.53</w:t>
            </w:r>
          </w:p>
        </w:tc>
        <w:tc>
          <w:tcPr>
            <w:tcW w:w="1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right"/>
              <w:rPr>
                <w:rFonts w:ascii="宋体" w:hAnsi="宋体" w:cs="宋体" w:eastAsia="宋体" w:hint="default"/>
                <w:sz w:val="18"/>
                <w:szCs w:val="18"/>
              </w:rPr>
            </w:pPr>
            <w:r>
              <w:rPr>
                <w:rFonts w:ascii="宋体"/>
                <w:spacing w:val="-1"/>
                <w:sz w:val="18"/>
              </w:rPr>
              <w:t>2,438,424.08</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right"/>
              <w:rPr>
                <w:rFonts w:ascii="宋体" w:hAnsi="宋体" w:cs="宋体" w:eastAsia="宋体" w:hint="default"/>
                <w:sz w:val="18"/>
                <w:szCs w:val="18"/>
              </w:rPr>
            </w:pPr>
            <w:r>
              <w:rPr>
                <w:rFonts w:ascii="宋体"/>
                <w:spacing w:val="-1"/>
                <w:sz w:val="18"/>
              </w:rPr>
              <w:t>1,521,925.52</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7"/>
              <w:jc w:val="right"/>
              <w:rPr>
                <w:rFonts w:ascii="宋体" w:hAnsi="宋体" w:cs="宋体" w:eastAsia="宋体" w:hint="default"/>
                <w:sz w:val="18"/>
                <w:szCs w:val="18"/>
              </w:rPr>
            </w:pPr>
            <w:r>
              <w:rPr>
                <w:rFonts w:ascii="宋体"/>
                <w:spacing w:val="-1"/>
                <w:sz w:val="18"/>
              </w:rPr>
              <w:t>344,645.48</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right"/>
              <w:rPr>
                <w:rFonts w:ascii="宋体" w:hAnsi="宋体" w:cs="宋体" w:eastAsia="宋体" w:hint="default"/>
                <w:sz w:val="18"/>
                <w:szCs w:val="18"/>
              </w:rPr>
            </w:pPr>
            <w:r>
              <w:rPr>
                <w:rFonts w:ascii="宋体"/>
                <w:spacing w:val="-1"/>
                <w:sz w:val="18"/>
              </w:rPr>
              <w:t>9,570,374.61</w:t>
            </w:r>
          </w:p>
        </w:tc>
      </w:tr>
      <w:tr>
        <w:trPr>
          <w:trHeight w:val="398" w:hRule="exact"/>
        </w:trPr>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2" w:right="0"/>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）处置或报废</w:t>
            </w:r>
            <w:r>
              <w:rPr>
                <w:rFonts w:ascii="宋体" w:hAnsi="宋体" w:cs="宋体" w:eastAsia="宋体" w:hint="default"/>
                <w:sz w:val="18"/>
                <w:szCs w:val="18"/>
              </w:rPr>
              <w:t> </w:t>
            </w:r>
          </w:p>
        </w:tc>
        <w:tc>
          <w:tcPr>
            <w:tcW w:w="1270"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right"/>
              <w:rPr>
                <w:rFonts w:ascii="宋体" w:hAnsi="宋体" w:cs="宋体" w:eastAsia="宋体" w:hint="default"/>
                <w:sz w:val="18"/>
                <w:szCs w:val="18"/>
              </w:rPr>
            </w:pPr>
            <w:r>
              <w:rPr>
                <w:rFonts w:ascii="宋体"/>
                <w:spacing w:val="-1"/>
                <w:sz w:val="18"/>
              </w:rPr>
              <w:t>5,265,379.53</w:t>
            </w:r>
          </w:p>
        </w:tc>
        <w:tc>
          <w:tcPr>
            <w:tcW w:w="1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right"/>
              <w:rPr>
                <w:rFonts w:ascii="宋体" w:hAnsi="宋体" w:cs="宋体" w:eastAsia="宋体" w:hint="default"/>
                <w:sz w:val="18"/>
                <w:szCs w:val="18"/>
              </w:rPr>
            </w:pPr>
            <w:r>
              <w:rPr>
                <w:rFonts w:ascii="宋体"/>
                <w:spacing w:val="-1"/>
                <w:sz w:val="18"/>
              </w:rPr>
              <w:t>2,438,424.08</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right"/>
              <w:rPr>
                <w:rFonts w:ascii="宋体" w:hAnsi="宋体" w:cs="宋体" w:eastAsia="宋体" w:hint="default"/>
                <w:sz w:val="18"/>
                <w:szCs w:val="18"/>
              </w:rPr>
            </w:pPr>
            <w:r>
              <w:rPr>
                <w:rFonts w:ascii="宋体"/>
                <w:spacing w:val="-1"/>
                <w:sz w:val="18"/>
              </w:rPr>
              <w:t>1,521,925.52</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7"/>
              <w:jc w:val="right"/>
              <w:rPr>
                <w:rFonts w:ascii="宋体" w:hAnsi="宋体" w:cs="宋体" w:eastAsia="宋体" w:hint="default"/>
                <w:sz w:val="18"/>
                <w:szCs w:val="18"/>
              </w:rPr>
            </w:pPr>
            <w:r>
              <w:rPr>
                <w:rFonts w:ascii="宋体"/>
                <w:spacing w:val="-1"/>
                <w:sz w:val="18"/>
              </w:rPr>
              <w:t>344,645.48</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right"/>
              <w:rPr>
                <w:rFonts w:ascii="宋体" w:hAnsi="宋体" w:cs="宋体" w:eastAsia="宋体" w:hint="default"/>
                <w:sz w:val="18"/>
                <w:szCs w:val="18"/>
              </w:rPr>
            </w:pPr>
            <w:r>
              <w:rPr>
                <w:rFonts w:ascii="宋体"/>
                <w:spacing w:val="-1"/>
                <w:sz w:val="18"/>
              </w:rPr>
              <w:t>9,570,374.61</w:t>
            </w:r>
          </w:p>
        </w:tc>
      </w:tr>
      <w:tr>
        <w:trPr>
          <w:trHeight w:val="396" w:hRule="exact"/>
        </w:trPr>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0" w:right="0"/>
              <w:jc w:val="center"/>
              <w:rPr>
                <w:rFonts w:ascii="宋体" w:hAnsi="宋体" w:cs="宋体" w:eastAsia="宋体" w:hint="default"/>
                <w:sz w:val="18"/>
                <w:szCs w:val="18"/>
              </w:rPr>
            </w:pPr>
            <w:r>
              <w:rPr>
                <w:rFonts w:ascii="宋体"/>
                <w:sz w:val="18"/>
              </w:rPr>
              <w:t> </w:t>
            </w:r>
          </w:p>
        </w:tc>
        <w:tc>
          <w:tcPr>
            <w:tcW w:w="1270"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323" w:type="dxa"/>
            <w:tcBorders>
              <w:top w:val="single" w:sz="4" w:space="0" w:color="000000"/>
              <w:left w:val="single" w:sz="4" w:space="0" w:color="000000"/>
              <w:bottom w:val="single" w:sz="4" w:space="0" w:color="000000"/>
              <w:right w:val="single" w:sz="4" w:space="0" w:color="000000"/>
            </w:tcBorders>
          </w:tcPr>
          <w:p>
            <w:pPr/>
          </w:p>
        </w:tc>
        <w:tc>
          <w:tcPr>
            <w:tcW w:w="1351" w:type="dxa"/>
            <w:tcBorders>
              <w:top w:val="single" w:sz="4" w:space="0" w:color="000000"/>
              <w:left w:val="single" w:sz="4" w:space="0" w:color="000000"/>
              <w:bottom w:val="single" w:sz="4" w:space="0" w:color="000000"/>
              <w:right w:val="single" w:sz="4" w:space="0" w:color="000000"/>
            </w:tcBorders>
          </w:tcPr>
          <w:p>
            <w:pPr/>
          </w:p>
        </w:tc>
        <w:tc>
          <w:tcPr>
            <w:tcW w:w="1201"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2" w:right="0"/>
              <w:jc w:val="center"/>
              <w:rPr>
                <w:rFonts w:ascii="宋体" w:hAnsi="宋体" w:cs="宋体" w:eastAsia="宋体" w:hint="default"/>
                <w:sz w:val="18"/>
                <w:szCs w:val="18"/>
              </w:rPr>
            </w:pPr>
            <w:r>
              <w:rPr>
                <w:rFonts w:ascii="宋体" w:hAnsi="宋体" w:cs="宋体" w:eastAsia="宋体" w:hint="default"/>
                <w:sz w:val="18"/>
                <w:szCs w:val="18"/>
              </w:rPr>
              <w:t>4. </w:t>
            </w:r>
            <w:r>
              <w:rPr>
                <w:rFonts w:ascii="宋体" w:hAnsi="宋体" w:cs="宋体" w:eastAsia="宋体" w:hint="default"/>
                <w:sz w:val="18"/>
                <w:szCs w:val="18"/>
              </w:rPr>
              <w:t>期末余额</w:t>
            </w:r>
            <w:r>
              <w:rPr>
                <w:rFonts w:ascii="宋体" w:hAnsi="宋体" w:cs="宋体" w:eastAsia="宋体" w:hint="default"/>
                <w:sz w:val="18"/>
                <w:szCs w:val="18"/>
              </w:rPr>
              <w:t> </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5"/>
              <w:jc w:val="right"/>
              <w:rPr>
                <w:rFonts w:ascii="宋体" w:hAnsi="宋体" w:cs="宋体" w:eastAsia="宋体" w:hint="default"/>
                <w:sz w:val="18"/>
                <w:szCs w:val="18"/>
              </w:rPr>
            </w:pPr>
            <w:r>
              <w:rPr>
                <w:rFonts w:ascii="宋体"/>
                <w:sz w:val="18"/>
              </w:rPr>
              <w:t>-</w:t>
            </w: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1"/>
              <w:jc w:val="right"/>
              <w:rPr>
                <w:rFonts w:ascii="宋体" w:hAnsi="宋体" w:cs="宋体" w:eastAsia="宋体" w:hint="default"/>
                <w:sz w:val="18"/>
                <w:szCs w:val="18"/>
              </w:rPr>
            </w:pPr>
            <w:r>
              <w:rPr>
                <w:rFonts w:ascii="宋体"/>
                <w:spacing w:val="-1"/>
                <w:sz w:val="18"/>
              </w:rPr>
              <w:t>58,642,898.83</w:t>
            </w:r>
          </w:p>
        </w:tc>
        <w:tc>
          <w:tcPr>
            <w:tcW w:w="1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2"/>
              <w:jc w:val="right"/>
              <w:rPr>
                <w:rFonts w:ascii="宋体" w:hAnsi="宋体" w:cs="宋体" w:eastAsia="宋体" w:hint="default"/>
                <w:sz w:val="18"/>
                <w:szCs w:val="18"/>
              </w:rPr>
            </w:pPr>
            <w:r>
              <w:rPr>
                <w:rFonts w:ascii="宋体"/>
                <w:spacing w:val="-1"/>
                <w:sz w:val="18"/>
              </w:rPr>
              <w:t>18,514,479.28</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1"/>
              <w:jc w:val="right"/>
              <w:rPr>
                <w:rFonts w:ascii="宋体" w:hAnsi="宋体" w:cs="宋体" w:eastAsia="宋体" w:hint="default"/>
                <w:sz w:val="18"/>
                <w:szCs w:val="18"/>
              </w:rPr>
            </w:pPr>
            <w:r>
              <w:rPr>
                <w:rFonts w:ascii="宋体"/>
                <w:spacing w:val="-1"/>
                <w:sz w:val="18"/>
              </w:rPr>
              <w:t>60,587,488.21</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7"/>
              <w:jc w:val="right"/>
              <w:rPr>
                <w:rFonts w:ascii="宋体" w:hAnsi="宋体" w:cs="宋体" w:eastAsia="宋体" w:hint="default"/>
                <w:sz w:val="18"/>
                <w:szCs w:val="18"/>
              </w:rPr>
            </w:pPr>
            <w:r>
              <w:rPr>
                <w:rFonts w:ascii="宋体"/>
                <w:spacing w:val="-1"/>
                <w:sz w:val="18"/>
              </w:rPr>
              <w:t>526,234.01</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4"/>
              <w:jc w:val="right"/>
              <w:rPr>
                <w:rFonts w:ascii="宋体" w:hAnsi="宋体" w:cs="宋体" w:eastAsia="宋体" w:hint="default"/>
                <w:sz w:val="18"/>
                <w:szCs w:val="18"/>
              </w:rPr>
            </w:pPr>
            <w:r>
              <w:rPr>
                <w:rFonts w:ascii="宋体"/>
                <w:spacing w:val="-1"/>
                <w:sz w:val="18"/>
              </w:rPr>
              <w:t>138,271,100.33</w:t>
            </w:r>
          </w:p>
        </w:tc>
      </w:tr>
      <w:tr>
        <w:trPr>
          <w:trHeight w:val="396" w:hRule="exact"/>
        </w:trPr>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0" w:right="0"/>
              <w:jc w:val="center"/>
              <w:rPr>
                <w:rFonts w:ascii="宋体" w:hAnsi="宋体" w:cs="宋体" w:eastAsia="宋体" w:hint="default"/>
                <w:sz w:val="18"/>
                <w:szCs w:val="18"/>
              </w:rPr>
            </w:pPr>
            <w:r>
              <w:rPr>
                <w:rFonts w:ascii="宋体" w:hAnsi="宋体" w:cs="宋体" w:eastAsia="宋体" w:hint="default"/>
                <w:sz w:val="18"/>
                <w:szCs w:val="18"/>
              </w:rPr>
              <w:t>三、减值准备</w:t>
            </w:r>
            <w:r>
              <w:rPr>
                <w:rFonts w:ascii="宋体" w:hAnsi="宋体" w:cs="宋体" w:eastAsia="宋体" w:hint="default"/>
                <w:sz w:val="18"/>
                <w:szCs w:val="18"/>
              </w:rPr>
              <w:t> </w:t>
            </w:r>
          </w:p>
        </w:tc>
        <w:tc>
          <w:tcPr>
            <w:tcW w:w="1270"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323" w:type="dxa"/>
            <w:tcBorders>
              <w:top w:val="single" w:sz="4" w:space="0" w:color="000000"/>
              <w:left w:val="single" w:sz="4" w:space="0" w:color="000000"/>
              <w:bottom w:val="single" w:sz="4" w:space="0" w:color="000000"/>
              <w:right w:val="single" w:sz="4" w:space="0" w:color="000000"/>
            </w:tcBorders>
          </w:tcPr>
          <w:p>
            <w:pPr/>
          </w:p>
        </w:tc>
        <w:tc>
          <w:tcPr>
            <w:tcW w:w="1351" w:type="dxa"/>
            <w:tcBorders>
              <w:top w:val="single" w:sz="4" w:space="0" w:color="000000"/>
              <w:left w:val="single" w:sz="4" w:space="0" w:color="000000"/>
              <w:bottom w:val="single" w:sz="4" w:space="0" w:color="000000"/>
              <w:right w:val="single" w:sz="4" w:space="0" w:color="000000"/>
            </w:tcBorders>
          </w:tcPr>
          <w:p>
            <w:pPr/>
          </w:p>
        </w:tc>
        <w:tc>
          <w:tcPr>
            <w:tcW w:w="1201"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399" w:hRule="exact"/>
        </w:trPr>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2"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期初余额</w:t>
            </w:r>
            <w:r>
              <w:rPr>
                <w:rFonts w:ascii="宋体" w:hAnsi="宋体" w:cs="宋体" w:eastAsia="宋体" w:hint="default"/>
                <w:sz w:val="18"/>
                <w:szCs w:val="18"/>
              </w:rPr>
              <w:t> </w:t>
            </w:r>
          </w:p>
        </w:tc>
        <w:tc>
          <w:tcPr>
            <w:tcW w:w="1270"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323" w:type="dxa"/>
            <w:tcBorders>
              <w:top w:val="single" w:sz="4" w:space="0" w:color="000000"/>
              <w:left w:val="single" w:sz="4" w:space="0" w:color="000000"/>
              <w:bottom w:val="single" w:sz="4" w:space="0" w:color="000000"/>
              <w:right w:val="single" w:sz="4" w:space="0" w:color="000000"/>
            </w:tcBorders>
          </w:tcPr>
          <w:p>
            <w:pPr/>
          </w:p>
        </w:tc>
        <w:tc>
          <w:tcPr>
            <w:tcW w:w="1351" w:type="dxa"/>
            <w:tcBorders>
              <w:top w:val="single" w:sz="4" w:space="0" w:color="000000"/>
              <w:left w:val="single" w:sz="4" w:space="0" w:color="000000"/>
              <w:bottom w:val="single" w:sz="4" w:space="0" w:color="000000"/>
              <w:right w:val="single" w:sz="4" w:space="0" w:color="000000"/>
            </w:tcBorders>
          </w:tcPr>
          <w:p>
            <w:pPr/>
          </w:p>
        </w:tc>
        <w:tc>
          <w:tcPr>
            <w:tcW w:w="1201"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396" w:hRule="exact"/>
        </w:trPr>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2" w:right="0"/>
              <w:jc w:val="center"/>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本期增加金额</w:t>
            </w:r>
            <w:r>
              <w:rPr>
                <w:rFonts w:ascii="宋体" w:hAnsi="宋体" w:cs="宋体" w:eastAsia="宋体" w:hint="default"/>
                <w:sz w:val="18"/>
                <w:szCs w:val="18"/>
              </w:rPr>
              <w:t> </w:t>
            </w:r>
          </w:p>
        </w:tc>
        <w:tc>
          <w:tcPr>
            <w:tcW w:w="1270"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323" w:type="dxa"/>
            <w:tcBorders>
              <w:top w:val="single" w:sz="4" w:space="0" w:color="000000"/>
              <w:left w:val="single" w:sz="4" w:space="0" w:color="000000"/>
              <w:bottom w:val="single" w:sz="4" w:space="0" w:color="000000"/>
              <w:right w:val="single" w:sz="4" w:space="0" w:color="000000"/>
            </w:tcBorders>
          </w:tcPr>
          <w:p>
            <w:pPr/>
          </w:p>
        </w:tc>
        <w:tc>
          <w:tcPr>
            <w:tcW w:w="1351" w:type="dxa"/>
            <w:tcBorders>
              <w:top w:val="single" w:sz="4" w:space="0" w:color="000000"/>
              <w:left w:val="single" w:sz="4" w:space="0" w:color="000000"/>
              <w:bottom w:val="single" w:sz="4" w:space="0" w:color="000000"/>
              <w:right w:val="single" w:sz="4" w:space="0" w:color="000000"/>
            </w:tcBorders>
          </w:tcPr>
          <w:p>
            <w:pPr/>
          </w:p>
        </w:tc>
        <w:tc>
          <w:tcPr>
            <w:tcW w:w="1201"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396" w:hRule="exact"/>
        </w:trPr>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0" w:right="0"/>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）计提</w:t>
            </w:r>
            <w:r>
              <w:rPr>
                <w:rFonts w:ascii="宋体" w:hAnsi="宋体" w:cs="宋体" w:eastAsia="宋体" w:hint="default"/>
                <w:sz w:val="18"/>
                <w:szCs w:val="18"/>
              </w:rPr>
              <w:t> </w:t>
            </w:r>
          </w:p>
        </w:tc>
        <w:tc>
          <w:tcPr>
            <w:tcW w:w="1270"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323" w:type="dxa"/>
            <w:tcBorders>
              <w:top w:val="single" w:sz="4" w:space="0" w:color="000000"/>
              <w:left w:val="single" w:sz="4" w:space="0" w:color="000000"/>
              <w:bottom w:val="single" w:sz="4" w:space="0" w:color="000000"/>
              <w:right w:val="single" w:sz="4" w:space="0" w:color="000000"/>
            </w:tcBorders>
          </w:tcPr>
          <w:p>
            <w:pPr/>
          </w:p>
        </w:tc>
        <w:tc>
          <w:tcPr>
            <w:tcW w:w="1351" w:type="dxa"/>
            <w:tcBorders>
              <w:top w:val="single" w:sz="4" w:space="0" w:color="000000"/>
              <w:left w:val="single" w:sz="4" w:space="0" w:color="000000"/>
              <w:bottom w:val="single" w:sz="4" w:space="0" w:color="000000"/>
              <w:right w:val="single" w:sz="4" w:space="0" w:color="000000"/>
            </w:tcBorders>
          </w:tcPr>
          <w:p>
            <w:pPr/>
          </w:p>
        </w:tc>
        <w:tc>
          <w:tcPr>
            <w:tcW w:w="1201"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2" w:right="0"/>
              <w:jc w:val="center"/>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本期减少金额</w:t>
            </w:r>
            <w:r>
              <w:rPr>
                <w:rFonts w:ascii="宋体" w:hAnsi="宋体" w:cs="宋体" w:eastAsia="宋体" w:hint="default"/>
                <w:sz w:val="18"/>
                <w:szCs w:val="18"/>
              </w:rPr>
              <w:t> </w:t>
            </w:r>
          </w:p>
        </w:tc>
        <w:tc>
          <w:tcPr>
            <w:tcW w:w="1270"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323" w:type="dxa"/>
            <w:tcBorders>
              <w:top w:val="single" w:sz="4" w:space="0" w:color="000000"/>
              <w:left w:val="single" w:sz="4" w:space="0" w:color="000000"/>
              <w:bottom w:val="single" w:sz="4" w:space="0" w:color="000000"/>
              <w:right w:val="single" w:sz="4" w:space="0" w:color="000000"/>
            </w:tcBorders>
          </w:tcPr>
          <w:p>
            <w:pPr/>
          </w:p>
        </w:tc>
        <w:tc>
          <w:tcPr>
            <w:tcW w:w="1351" w:type="dxa"/>
            <w:tcBorders>
              <w:top w:val="single" w:sz="4" w:space="0" w:color="000000"/>
              <w:left w:val="single" w:sz="4" w:space="0" w:color="000000"/>
              <w:bottom w:val="single" w:sz="4" w:space="0" w:color="000000"/>
              <w:right w:val="single" w:sz="4" w:space="0" w:color="000000"/>
            </w:tcBorders>
          </w:tcPr>
          <w:p>
            <w:pPr/>
          </w:p>
        </w:tc>
        <w:tc>
          <w:tcPr>
            <w:tcW w:w="1201"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396" w:hRule="exact"/>
        </w:trPr>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2" w:right="0"/>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1</w:t>
            </w:r>
            <w:r>
              <w:rPr>
                <w:rFonts w:ascii="宋体" w:hAnsi="宋体" w:cs="宋体" w:eastAsia="宋体" w:hint="default"/>
                <w:sz w:val="18"/>
                <w:szCs w:val="18"/>
              </w:rPr>
              <w:t>）处置或报废</w:t>
            </w:r>
            <w:r>
              <w:rPr>
                <w:rFonts w:ascii="宋体" w:hAnsi="宋体" w:cs="宋体" w:eastAsia="宋体" w:hint="default"/>
                <w:sz w:val="18"/>
                <w:szCs w:val="18"/>
              </w:rPr>
              <w:t> </w:t>
            </w:r>
          </w:p>
        </w:tc>
        <w:tc>
          <w:tcPr>
            <w:tcW w:w="1270"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323" w:type="dxa"/>
            <w:tcBorders>
              <w:top w:val="single" w:sz="4" w:space="0" w:color="000000"/>
              <w:left w:val="single" w:sz="4" w:space="0" w:color="000000"/>
              <w:bottom w:val="single" w:sz="4" w:space="0" w:color="000000"/>
              <w:right w:val="single" w:sz="4" w:space="0" w:color="000000"/>
            </w:tcBorders>
          </w:tcPr>
          <w:p>
            <w:pPr/>
          </w:p>
        </w:tc>
        <w:tc>
          <w:tcPr>
            <w:tcW w:w="1351" w:type="dxa"/>
            <w:tcBorders>
              <w:top w:val="single" w:sz="4" w:space="0" w:color="000000"/>
              <w:left w:val="single" w:sz="4" w:space="0" w:color="000000"/>
              <w:bottom w:val="single" w:sz="4" w:space="0" w:color="000000"/>
              <w:right w:val="single" w:sz="4" w:space="0" w:color="000000"/>
            </w:tcBorders>
          </w:tcPr>
          <w:p>
            <w:pPr/>
          </w:p>
        </w:tc>
        <w:tc>
          <w:tcPr>
            <w:tcW w:w="1201"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398" w:hRule="exact"/>
        </w:trPr>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2" w:right="0"/>
              <w:jc w:val="center"/>
              <w:rPr>
                <w:rFonts w:ascii="宋体" w:hAnsi="宋体" w:cs="宋体" w:eastAsia="宋体" w:hint="default"/>
                <w:sz w:val="18"/>
                <w:szCs w:val="18"/>
              </w:rPr>
            </w:pPr>
            <w:r>
              <w:rPr>
                <w:rFonts w:ascii="宋体" w:hAnsi="宋体" w:cs="宋体" w:eastAsia="宋体" w:hint="default"/>
                <w:sz w:val="18"/>
                <w:szCs w:val="18"/>
              </w:rPr>
              <w:t>4.</w:t>
            </w:r>
            <w:r>
              <w:rPr>
                <w:rFonts w:ascii="宋体" w:hAnsi="宋体" w:cs="宋体" w:eastAsia="宋体" w:hint="default"/>
                <w:sz w:val="18"/>
                <w:szCs w:val="18"/>
              </w:rPr>
              <w:t>期末余额</w:t>
            </w:r>
            <w:r>
              <w:rPr>
                <w:rFonts w:ascii="宋体" w:hAnsi="宋体" w:cs="宋体" w:eastAsia="宋体" w:hint="default"/>
                <w:sz w:val="18"/>
                <w:szCs w:val="18"/>
              </w:rPr>
              <w:t> </w:t>
            </w:r>
          </w:p>
        </w:tc>
        <w:tc>
          <w:tcPr>
            <w:tcW w:w="1270"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323" w:type="dxa"/>
            <w:tcBorders>
              <w:top w:val="single" w:sz="4" w:space="0" w:color="000000"/>
              <w:left w:val="single" w:sz="4" w:space="0" w:color="000000"/>
              <w:bottom w:val="single" w:sz="4" w:space="0" w:color="000000"/>
              <w:right w:val="single" w:sz="4" w:space="0" w:color="000000"/>
            </w:tcBorders>
          </w:tcPr>
          <w:p>
            <w:pPr/>
          </w:p>
        </w:tc>
        <w:tc>
          <w:tcPr>
            <w:tcW w:w="1351" w:type="dxa"/>
            <w:tcBorders>
              <w:top w:val="single" w:sz="4" w:space="0" w:color="000000"/>
              <w:left w:val="single" w:sz="4" w:space="0" w:color="000000"/>
              <w:bottom w:val="single" w:sz="4" w:space="0" w:color="000000"/>
              <w:right w:val="single" w:sz="4" w:space="0" w:color="000000"/>
            </w:tcBorders>
          </w:tcPr>
          <w:p>
            <w:pPr/>
          </w:p>
        </w:tc>
        <w:tc>
          <w:tcPr>
            <w:tcW w:w="1201"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bl>
    <w:p>
      <w:pPr>
        <w:spacing w:after="0"/>
        <w:sectPr>
          <w:headerReference w:type="default" r:id="rId50"/>
          <w:footerReference w:type="default" r:id="rId51"/>
          <w:pgSz w:w="11910" w:h="16840"/>
          <w:pgMar w:header="880" w:footer="975" w:top="1060" w:bottom="1160" w:left="1160" w:right="0"/>
          <w:pgNumType w:start="143"/>
        </w:sectPr>
      </w:pPr>
    </w:p>
    <w:p>
      <w:pPr>
        <w:spacing w:line="240" w:lineRule="auto" w:before="8"/>
        <w:rPr>
          <w:rFonts w:ascii="宋体" w:hAnsi="宋体" w:cs="宋体" w:eastAsia="宋体" w:hint="default"/>
          <w:sz w:val="24"/>
          <w:szCs w:val="24"/>
        </w:rPr>
      </w:pPr>
    </w:p>
    <w:tbl>
      <w:tblPr>
        <w:tblW w:w="0" w:type="auto"/>
        <w:jc w:val="left"/>
        <w:tblInd w:w="147" w:type="dxa"/>
        <w:tblLayout w:type="fixed"/>
        <w:tblCellMar>
          <w:top w:w="0" w:type="dxa"/>
          <w:left w:w="0" w:type="dxa"/>
          <w:bottom w:w="0" w:type="dxa"/>
          <w:right w:w="0" w:type="dxa"/>
        </w:tblCellMar>
        <w:tblLook w:val="01E0"/>
      </w:tblPr>
      <w:tblGrid>
        <w:gridCol w:w="1666"/>
        <w:gridCol w:w="1270"/>
        <w:gridCol w:w="1471"/>
        <w:gridCol w:w="1323"/>
        <w:gridCol w:w="1351"/>
        <w:gridCol w:w="1201"/>
        <w:gridCol w:w="1390"/>
      </w:tblGrid>
      <w:tr>
        <w:trPr>
          <w:trHeight w:val="396" w:hRule="exact"/>
        </w:trPr>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0"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80" w:right="0"/>
              <w:jc w:val="left"/>
              <w:rPr>
                <w:rFonts w:ascii="宋体" w:hAnsi="宋体" w:cs="宋体" w:eastAsia="宋体" w:hint="default"/>
                <w:sz w:val="18"/>
                <w:szCs w:val="18"/>
              </w:rPr>
            </w:pPr>
            <w:r>
              <w:rPr>
                <w:rFonts w:ascii="宋体" w:hAnsi="宋体" w:cs="宋体" w:eastAsia="宋体" w:hint="default"/>
                <w:sz w:val="18"/>
                <w:szCs w:val="18"/>
              </w:rPr>
              <w:t>房屋建筑物</w:t>
            </w:r>
            <w:r>
              <w:rPr>
                <w:rFonts w:ascii="宋体" w:hAnsi="宋体" w:cs="宋体" w:eastAsia="宋体" w:hint="default"/>
                <w:sz w:val="18"/>
                <w:szCs w:val="18"/>
              </w:rPr>
              <w:t> </w:t>
            </w: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369" w:right="0"/>
              <w:jc w:val="left"/>
              <w:rPr>
                <w:rFonts w:ascii="宋体" w:hAnsi="宋体" w:cs="宋体" w:eastAsia="宋体" w:hint="default"/>
                <w:sz w:val="18"/>
                <w:szCs w:val="18"/>
              </w:rPr>
            </w:pPr>
            <w:r>
              <w:rPr>
                <w:rFonts w:ascii="宋体" w:hAnsi="宋体" w:cs="宋体" w:eastAsia="宋体" w:hint="default"/>
                <w:sz w:val="18"/>
                <w:szCs w:val="18"/>
              </w:rPr>
              <w:t>机器设备</w:t>
            </w:r>
            <w:r>
              <w:rPr>
                <w:rFonts w:ascii="宋体" w:hAnsi="宋体" w:cs="宋体" w:eastAsia="宋体" w:hint="default"/>
                <w:sz w:val="18"/>
                <w:szCs w:val="18"/>
              </w:rPr>
              <w:t> </w:t>
            </w:r>
          </w:p>
        </w:tc>
        <w:tc>
          <w:tcPr>
            <w:tcW w:w="1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2" w:right="0"/>
              <w:jc w:val="center"/>
              <w:rPr>
                <w:rFonts w:ascii="宋体" w:hAnsi="宋体" w:cs="宋体" w:eastAsia="宋体" w:hint="default"/>
                <w:sz w:val="18"/>
                <w:szCs w:val="18"/>
              </w:rPr>
            </w:pPr>
            <w:r>
              <w:rPr>
                <w:rFonts w:ascii="宋体" w:hAnsi="宋体" w:cs="宋体" w:eastAsia="宋体" w:hint="default"/>
                <w:sz w:val="18"/>
                <w:szCs w:val="18"/>
              </w:rPr>
              <w:t>运输工具</w:t>
            </w:r>
            <w:r>
              <w:rPr>
                <w:rFonts w:ascii="宋体" w:hAnsi="宋体" w:cs="宋体" w:eastAsia="宋体" w:hint="default"/>
                <w:sz w:val="18"/>
                <w:szCs w:val="18"/>
              </w:rPr>
              <w:t> </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2" w:right="0"/>
              <w:jc w:val="center"/>
              <w:rPr>
                <w:rFonts w:ascii="宋体" w:hAnsi="宋体" w:cs="宋体" w:eastAsia="宋体" w:hint="default"/>
                <w:sz w:val="18"/>
                <w:szCs w:val="18"/>
              </w:rPr>
            </w:pPr>
            <w:r>
              <w:rPr>
                <w:rFonts w:ascii="宋体" w:hAnsi="宋体" w:cs="宋体" w:eastAsia="宋体" w:hint="default"/>
                <w:sz w:val="18"/>
                <w:szCs w:val="18"/>
              </w:rPr>
              <w:t>电子设备</w:t>
            </w:r>
            <w:r>
              <w:rPr>
                <w:rFonts w:ascii="宋体" w:hAnsi="宋体" w:cs="宋体" w:eastAsia="宋体" w:hint="default"/>
                <w:sz w:val="18"/>
                <w:szCs w:val="18"/>
              </w:rPr>
              <w:t> </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32" w:right="0"/>
              <w:jc w:val="left"/>
              <w:rPr>
                <w:rFonts w:ascii="宋体" w:hAnsi="宋体" w:cs="宋体" w:eastAsia="宋体" w:hint="default"/>
                <w:sz w:val="18"/>
                <w:szCs w:val="18"/>
              </w:rPr>
            </w:pPr>
            <w:r>
              <w:rPr>
                <w:rFonts w:ascii="宋体" w:hAnsi="宋体" w:cs="宋体" w:eastAsia="宋体" w:hint="default"/>
                <w:sz w:val="18"/>
                <w:szCs w:val="18"/>
              </w:rPr>
              <w:t>其他设备</w:t>
            </w:r>
            <w:r>
              <w:rPr>
                <w:rFonts w:ascii="宋体" w:hAnsi="宋体" w:cs="宋体" w:eastAsia="宋体" w:hint="default"/>
                <w:sz w:val="18"/>
                <w:szCs w:val="18"/>
              </w:rPr>
              <w:t> </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7"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r>
      <w:tr>
        <w:trPr>
          <w:trHeight w:val="399" w:hRule="exact"/>
        </w:trPr>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0" w:right="0"/>
              <w:jc w:val="center"/>
              <w:rPr>
                <w:rFonts w:ascii="宋体" w:hAnsi="宋体" w:cs="宋体" w:eastAsia="宋体" w:hint="default"/>
                <w:sz w:val="18"/>
                <w:szCs w:val="18"/>
              </w:rPr>
            </w:pPr>
            <w:r>
              <w:rPr>
                <w:rFonts w:ascii="宋体" w:hAnsi="宋体" w:cs="宋体" w:eastAsia="宋体" w:hint="default"/>
                <w:sz w:val="18"/>
                <w:szCs w:val="18"/>
              </w:rPr>
              <w:t>四、账面价值</w:t>
            </w:r>
            <w:r>
              <w:rPr>
                <w:rFonts w:ascii="宋体" w:hAnsi="宋体" w:cs="宋体" w:eastAsia="宋体" w:hint="default"/>
                <w:sz w:val="18"/>
                <w:szCs w:val="18"/>
              </w:rPr>
              <w:t> </w:t>
            </w:r>
          </w:p>
        </w:tc>
        <w:tc>
          <w:tcPr>
            <w:tcW w:w="1270" w:type="dxa"/>
            <w:tcBorders>
              <w:top w:val="single" w:sz="4" w:space="0" w:color="000000"/>
              <w:left w:val="single" w:sz="4" w:space="0" w:color="000000"/>
              <w:bottom w:val="single" w:sz="4" w:space="0" w:color="000000"/>
              <w:right w:val="single" w:sz="4" w:space="0" w:color="000000"/>
            </w:tcBorders>
          </w:tcPr>
          <w:p>
            <w:pPr/>
          </w:p>
        </w:tc>
        <w:tc>
          <w:tcPr>
            <w:tcW w:w="1471" w:type="dxa"/>
            <w:tcBorders>
              <w:top w:val="single" w:sz="4" w:space="0" w:color="000000"/>
              <w:left w:val="single" w:sz="4" w:space="0" w:color="000000"/>
              <w:bottom w:val="single" w:sz="4" w:space="0" w:color="000000"/>
              <w:right w:val="single" w:sz="4" w:space="0" w:color="000000"/>
            </w:tcBorders>
          </w:tcPr>
          <w:p>
            <w:pPr/>
          </w:p>
        </w:tc>
        <w:tc>
          <w:tcPr>
            <w:tcW w:w="1323" w:type="dxa"/>
            <w:tcBorders>
              <w:top w:val="single" w:sz="4" w:space="0" w:color="000000"/>
              <w:left w:val="single" w:sz="4" w:space="0" w:color="000000"/>
              <w:bottom w:val="single" w:sz="4" w:space="0" w:color="000000"/>
              <w:right w:val="single" w:sz="4" w:space="0" w:color="000000"/>
            </w:tcBorders>
          </w:tcPr>
          <w:p>
            <w:pPr/>
          </w:p>
        </w:tc>
        <w:tc>
          <w:tcPr>
            <w:tcW w:w="1351" w:type="dxa"/>
            <w:tcBorders>
              <w:top w:val="single" w:sz="4" w:space="0" w:color="000000"/>
              <w:left w:val="single" w:sz="4" w:space="0" w:color="000000"/>
              <w:bottom w:val="single" w:sz="4" w:space="0" w:color="000000"/>
              <w:right w:val="single" w:sz="4" w:space="0" w:color="000000"/>
            </w:tcBorders>
          </w:tcPr>
          <w:p>
            <w:pPr/>
          </w:p>
        </w:tc>
        <w:tc>
          <w:tcPr>
            <w:tcW w:w="1201"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396" w:hRule="exact"/>
        </w:trPr>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2"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期末账面价值</w:t>
            </w:r>
            <w:r>
              <w:rPr>
                <w:rFonts w:ascii="宋体" w:hAnsi="宋体" w:cs="宋体" w:eastAsia="宋体" w:hint="default"/>
                <w:sz w:val="18"/>
                <w:szCs w:val="18"/>
              </w:rPr>
              <w:t> </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7"/>
              <w:jc w:val="right"/>
              <w:rPr>
                <w:rFonts w:ascii="宋体" w:hAnsi="宋体" w:cs="宋体" w:eastAsia="宋体" w:hint="default"/>
                <w:sz w:val="18"/>
                <w:szCs w:val="18"/>
              </w:rPr>
            </w:pPr>
            <w:r>
              <w:rPr>
                <w:rFonts w:ascii="宋体"/>
                <w:spacing w:val="-1"/>
                <w:sz w:val="18"/>
              </w:rPr>
              <w:t>6,466,316.00</w:t>
            </w: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1"/>
              <w:jc w:val="right"/>
              <w:rPr>
                <w:rFonts w:ascii="宋体" w:hAnsi="宋体" w:cs="宋体" w:eastAsia="宋体" w:hint="default"/>
                <w:sz w:val="18"/>
                <w:szCs w:val="18"/>
              </w:rPr>
            </w:pPr>
            <w:r>
              <w:rPr>
                <w:rFonts w:ascii="宋体"/>
                <w:spacing w:val="-1"/>
                <w:sz w:val="18"/>
              </w:rPr>
              <w:t>65,367,174.94</w:t>
            </w:r>
          </w:p>
        </w:tc>
        <w:tc>
          <w:tcPr>
            <w:tcW w:w="1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79" w:right="0"/>
              <w:jc w:val="center"/>
              <w:rPr>
                <w:rFonts w:ascii="宋体" w:hAnsi="宋体" w:cs="宋体" w:eastAsia="宋体" w:hint="default"/>
                <w:sz w:val="18"/>
                <w:szCs w:val="18"/>
              </w:rPr>
            </w:pPr>
            <w:r>
              <w:rPr>
                <w:rFonts w:ascii="宋体"/>
                <w:sz w:val="18"/>
              </w:rPr>
              <w:t>1,887,163.41</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22" w:right="0"/>
              <w:jc w:val="center"/>
              <w:rPr>
                <w:rFonts w:ascii="宋体" w:hAnsi="宋体" w:cs="宋体" w:eastAsia="宋体" w:hint="default"/>
                <w:sz w:val="18"/>
                <w:szCs w:val="18"/>
              </w:rPr>
            </w:pPr>
            <w:r>
              <w:rPr>
                <w:rFonts w:ascii="宋体"/>
                <w:sz w:val="18"/>
              </w:rPr>
              <w:t>24,921,456.12</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61" w:right="0"/>
              <w:jc w:val="left"/>
              <w:rPr>
                <w:rFonts w:ascii="宋体" w:hAnsi="宋体" w:cs="宋体" w:eastAsia="宋体" w:hint="default"/>
                <w:sz w:val="18"/>
                <w:szCs w:val="18"/>
              </w:rPr>
            </w:pPr>
            <w:r>
              <w:rPr>
                <w:rFonts w:ascii="宋体"/>
                <w:sz w:val="18"/>
              </w:rPr>
              <w:t>234,531.35</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60" w:right="0"/>
              <w:jc w:val="center"/>
              <w:rPr>
                <w:rFonts w:ascii="宋体" w:hAnsi="宋体" w:cs="宋体" w:eastAsia="宋体" w:hint="default"/>
                <w:sz w:val="18"/>
                <w:szCs w:val="18"/>
              </w:rPr>
            </w:pPr>
            <w:r>
              <w:rPr>
                <w:rFonts w:ascii="宋体"/>
                <w:sz w:val="18"/>
              </w:rPr>
              <w:t>98,876,641.82</w:t>
            </w:r>
          </w:p>
        </w:tc>
      </w:tr>
      <w:tr>
        <w:trPr>
          <w:trHeight w:val="398" w:hRule="exact"/>
        </w:trPr>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2" w:right="0"/>
              <w:jc w:val="center"/>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期初账面价值</w:t>
            </w:r>
            <w:r>
              <w:rPr>
                <w:rFonts w:ascii="宋体" w:hAnsi="宋体" w:cs="宋体" w:eastAsia="宋体" w:hint="default"/>
                <w:sz w:val="18"/>
                <w:szCs w:val="18"/>
              </w:rPr>
              <w:t> </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5"/>
              <w:jc w:val="right"/>
              <w:rPr>
                <w:rFonts w:ascii="宋体" w:hAnsi="宋体" w:cs="宋体" w:eastAsia="宋体" w:hint="default"/>
                <w:sz w:val="18"/>
                <w:szCs w:val="18"/>
              </w:rPr>
            </w:pPr>
            <w:r>
              <w:rPr>
                <w:rFonts w:ascii="宋体"/>
                <w:sz w:val="18"/>
              </w:rPr>
              <w:t>-</w:t>
            </w:r>
          </w:p>
        </w:tc>
        <w:tc>
          <w:tcPr>
            <w:tcW w:w="14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1"/>
              <w:jc w:val="right"/>
              <w:rPr>
                <w:rFonts w:ascii="宋体" w:hAnsi="宋体" w:cs="宋体" w:eastAsia="宋体" w:hint="default"/>
                <w:sz w:val="18"/>
                <w:szCs w:val="18"/>
              </w:rPr>
            </w:pPr>
            <w:r>
              <w:rPr>
                <w:rFonts w:ascii="宋体"/>
                <w:spacing w:val="-1"/>
                <w:sz w:val="18"/>
              </w:rPr>
              <w:t>50,661,074.84</w:t>
            </w:r>
          </w:p>
        </w:tc>
        <w:tc>
          <w:tcPr>
            <w:tcW w:w="13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79" w:right="0"/>
              <w:jc w:val="center"/>
              <w:rPr>
                <w:rFonts w:ascii="宋体" w:hAnsi="宋体" w:cs="宋体" w:eastAsia="宋体" w:hint="default"/>
                <w:sz w:val="18"/>
                <w:szCs w:val="18"/>
              </w:rPr>
            </w:pPr>
            <w:r>
              <w:rPr>
                <w:rFonts w:ascii="宋体"/>
                <w:sz w:val="18"/>
              </w:rPr>
              <w:t>8,111,670.24</w:t>
            </w:r>
          </w:p>
        </w:tc>
        <w:tc>
          <w:tcPr>
            <w:tcW w:w="13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22" w:right="0"/>
              <w:jc w:val="center"/>
              <w:rPr>
                <w:rFonts w:ascii="宋体" w:hAnsi="宋体" w:cs="宋体" w:eastAsia="宋体" w:hint="default"/>
                <w:sz w:val="18"/>
                <w:szCs w:val="18"/>
              </w:rPr>
            </w:pPr>
            <w:r>
              <w:rPr>
                <w:rFonts w:ascii="宋体"/>
                <w:sz w:val="18"/>
              </w:rPr>
              <w:t>18,116,757.56</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61" w:right="0"/>
              <w:jc w:val="left"/>
              <w:rPr>
                <w:rFonts w:ascii="宋体" w:hAnsi="宋体" w:cs="宋体" w:eastAsia="宋体" w:hint="default"/>
                <w:sz w:val="18"/>
                <w:szCs w:val="18"/>
              </w:rPr>
            </w:pPr>
            <w:r>
              <w:rPr>
                <w:rFonts w:ascii="宋体"/>
                <w:sz w:val="18"/>
              </w:rPr>
              <w:t>390,762.68</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60" w:right="0"/>
              <w:jc w:val="center"/>
              <w:rPr>
                <w:rFonts w:ascii="宋体" w:hAnsi="宋体" w:cs="宋体" w:eastAsia="宋体" w:hint="default"/>
                <w:sz w:val="18"/>
                <w:szCs w:val="18"/>
              </w:rPr>
            </w:pPr>
            <w:r>
              <w:rPr>
                <w:rFonts w:ascii="宋体"/>
                <w:sz w:val="18"/>
              </w:rPr>
              <w:t>77,280,265.32</w:t>
            </w:r>
          </w:p>
        </w:tc>
      </w:tr>
    </w:tbl>
    <w:p>
      <w:pPr>
        <w:spacing w:line="240" w:lineRule="auto" w:before="7"/>
        <w:rPr>
          <w:rFonts w:ascii="宋体" w:hAnsi="宋体" w:cs="宋体" w:eastAsia="宋体" w:hint="default"/>
          <w:sz w:val="6"/>
          <w:szCs w:val="6"/>
        </w:rPr>
      </w:pPr>
    </w:p>
    <w:p>
      <w:pPr>
        <w:pStyle w:val="Heading3"/>
        <w:spacing w:line="240" w:lineRule="auto"/>
        <w:ind w:left="606" w:right="6527"/>
        <w:jc w:val="left"/>
        <w:rPr>
          <w:rFonts w:ascii="宋体" w:hAnsi="宋体" w:cs="宋体" w:eastAsia="宋体" w:hint="default"/>
          <w:b w:val="0"/>
          <w:bCs w:val="0"/>
        </w:rPr>
      </w:pPr>
      <w:r>
        <w:rPr/>
        <w:t>（</w:t>
      </w:r>
      <w:r>
        <w:rPr>
          <w:rFonts w:ascii="宋体" w:hAnsi="宋体" w:cs="宋体" w:eastAsia="宋体" w:hint="default"/>
        </w:rPr>
        <w:t>2</w:t>
      </w:r>
      <w:r>
        <w:rPr/>
        <w:t>）暂时闲置的固定资产情况</w:t>
      </w:r>
      <w:r>
        <w:rPr>
          <w:rFonts w:ascii="宋体" w:hAnsi="宋体" w:cs="宋体" w:eastAsia="宋体" w:hint="default"/>
          <w:b w:val="0"/>
          <w:bCs w:val="0"/>
          <w:w w:val="100"/>
        </w:rPr>
        <w:t> </w:t>
      </w:r>
    </w:p>
    <w:p>
      <w:pPr>
        <w:spacing w:line="240" w:lineRule="auto" w:before="3"/>
        <w:rPr>
          <w:rFonts w:ascii="宋体" w:hAnsi="宋体" w:cs="宋体" w:eastAsia="宋体" w:hint="default"/>
          <w:sz w:val="14"/>
          <w:szCs w:val="14"/>
        </w:rPr>
      </w:pPr>
    </w:p>
    <w:tbl>
      <w:tblPr>
        <w:tblW w:w="0" w:type="auto"/>
        <w:jc w:val="left"/>
        <w:tblInd w:w="178" w:type="dxa"/>
        <w:tblLayout w:type="fixed"/>
        <w:tblCellMar>
          <w:top w:w="0" w:type="dxa"/>
          <w:left w:w="0" w:type="dxa"/>
          <w:bottom w:w="0" w:type="dxa"/>
          <w:right w:w="0" w:type="dxa"/>
        </w:tblCellMar>
        <w:tblLook w:val="01E0"/>
      </w:tblPr>
      <w:tblGrid>
        <w:gridCol w:w="1388"/>
        <w:gridCol w:w="1498"/>
        <w:gridCol w:w="1498"/>
        <w:gridCol w:w="1498"/>
        <w:gridCol w:w="1495"/>
        <w:gridCol w:w="2252"/>
      </w:tblGrid>
      <w:tr>
        <w:trPr>
          <w:trHeight w:val="398"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509" w:right="0"/>
              <w:jc w:val="left"/>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386" w:right="0"/>
              <w:jc w:val="left"/>
              <w:rPr>
                <w:rFonts w:ascii="宋体" w:hAnsi="宋体" w:cs="宋体" w:eastAsia="宋体" w:hint="default"/>
                <w:sz w:val="18"/>
                <w:szCs w:val="18"/>
              </w:rPr>
            </w:pPr>
            <w:r>
              <w:rPr>
                <w:rFonts w:ascii="宋体" w:hAnsi="宋体" w:cs="宋体" w:eastAsia="宋体" w:hint="default"/>
                <w:sz w:val="18"/>
                <w:szCs w:val="18"/>
              </w:rPr>
              <w:t>账面原值</w:t>
            </w:r>
            <w:r>
              <w:rPr>
                <w:rFonts w:ascii="宋体" w:hAnsi="宋体" w:cs="宋体" w:eastAsia="宋体" w:hint="default"/>
                <w:sz w:val="18"/>
                <w:szCs w:val="18"/>
              </w:rPr>
              <w:t> </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383" w:right="0"/>
              <w:jc w:val="left"/>
              <w:rPr>
                <w:rFonts w:ascii="宋体" w:hAnsi="宋体" w:cs="宋体" w:eastAsia="宋体" w:hint="default"/>
                <w:sz w:val="18"/>
                <w:szCs w:val="18"/>
              </w:rPr>
            </w:pPr>
            <w:r>
              <w:rPr>
                <w:rFonts w:ascii="宋体" w:hAnsi="宋体" w:cs="宋体" w:eastAsia="宋体" w:hint="default"/>
                <w:sz w:val="18"/>
                <w:szCs w:val="18"/>
              </w:rPr>
              <w:t>累计折旧</w:t>
            </w:r>
            <w:r>
              <w:rPr>
                <w:rFonts w:ascii="宋体" w:hAnsi="宋体" w:cs="宋体" w:eastAsia="宋体" w:hint="default"/>
                <w:sz w:val="18"/>
                <w:szCs w:val="18"/>
              </w:rPr>
              <w:t> </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384" w:right="0"/>
              <w:jc w:val="left"/>
              <w:rPr>
                <w:rFonts w:ascii="宋体" w:hAnsi="宋体" w:cs="宋体" w:eastAsia="宋体" w:hint="default"/>
                <w:sz w:val="18"/>
                <w:szCs w:val="18"/>
              </w:rPr>
            </w:pPr>
            <w:r>
              <w:rPr>
                <w:rFonts w:ascii="宋体" w:hAnsi="宋体" w:cs="宋体" w:eastAsia="宋体" w:hint="default"/>
                <w:sz w:val="18"/>
                <w:szCs w:val="18"/>
              </w:rPr>
              <w:t>减值准备</w:t>
            </w:r>
            <w:r>
              <w:rPr>
                <w:rFonts w:ascii="宋体" w:hAnsi="宋体" w:cs="宋体" w:eastAsia="宋体" w:hint="default"/>
                <w:sz w:val="18"/>
                <w:szCs w:val="18"/>
              </w:rPr>
              <w:t> </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383" w:right="0"/>
              <w:jc w:val="left"/>
              <w:rPr>
                <w:rFonts w:ascii="宋体" w:hAnsi="宋体" w:cs="宋体" w:eastAsia="宋体" w:hint="default"/>
                <w:sz w:val="18"/>
                <w:szCs w:val="18"/>
              </w:rPr>
            </w:pPr>
            <w:r>
              <w:rPr>
                <w:rFonts w:ascii="宋体" w:hAnsi="宋体" w:cs="宋体" w:eastAsia="宋体" w:hint="default"/>
                <w:sz w:val="18"/>
                <w:szCs w:val="18"/>
              </w:rPr>
              <w:t>账面价值</w:t>
            </w:r>
            <w:r>
              <w:rPr>
                <w:rFonts w:ascii="宋体" w:hAnsi="宋体" w:cs="宋体" w:eastAsia="宋体" w:hint="default"/>
                <w:sz w:val="18"/>
                <w:szCs w:val="18"/>
              </w:rPr>
              <w:t> </w:t>
            </w:r>
          </w:p>
        </w:tc>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0" w:right="0"/>
              <w:jc w:val="center"/>
              <w:rPr>
                <w:rFonts w:ascii="宋体" w:hAnsi="宋体" w:cs="宋体" w:eastAsia="宋体" w:hint="default"/>
                <w:sz w:val="18"/>
                <w:szCs w:val="18"/>
              </w:rPr>
            </w:pPr>
            <w:r>
              <w:rPr>
                <w:rFonts w:ascii="宋体" w:hAnsi="宋体" w:cs="宋体" w:eastAsia="宋体" w:hint="default"/>
                <w:sz w:val="18"/>
                <w:szCs w:val="18"/>
              </w:rPr>
              <w:t>备注</w:t>
            </w:r>
            <w:r>
              <w:rPr>
                <w:rFonts w:ascii="宋体" w:hAnsi="宋体" w:cs="宋体" w:eastAsia="宋体" w:hint="default"/>
                <w:sz w:val="18"/>
                <w:szCs w:val="18"/>
              </w:rPr>
              <w:t> </w:t>
            </w:r>
          </w:p>
        </w:tc>
      </w:tr>
      <w:tr>
        <w:trPr>
          <w:trHeight w:val="396"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房屋建筑物</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6,466,316.00 </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6,466,316.00</w:t>
            </w:r>
            <w:r>
              <w:rPr>
                <w:rFonts w:ascii="宋体"/>
                <w:sz w:val="18"/>
              </w:rPr>
              <w:t> </w:t>
            </w:r>
          </w:p>
        </w:tc>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sz w:val="18"/>
              </w:rPr>
              <w:t> </w:t>
            </w:r>
          </w:p>
        </w:tc>
      </w:tr>
      <w:tr>
        <w:trPr>
          <w:trHeight w:val="398"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机器设备</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11,590,218.00 </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11,590,218.00</w:t>
            </w:r>
            <w:r>
              <w:rPr>
                <w:rFonts w:ascii="宋体"/>
                <w:sz w:val="18"/>
              </w:rPr>
              <w:t> </w:t>
            </w:r>
          </w:p>
        </w:tc>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sz w:val="18"/>
              </w:rPr>
              <w:t> </w:t>
            </w:r>
          </w:p>
        </w:tc>
      </w:tr>
      <w:tr>
        <w:trPr>
          <w:trHeight w:val="396"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电子设备</w:t>
            </w:r>
            <w:r>
              <w:rPr>
                <w:rFonts w:ascii="宋体" w:hAnsi="宋体" w:cs="宋体" w:eastAsia="宋体" w:hint="default"/>
                <w:b/>
                <w:bCs/>
                <w:w w:val="99"/>
                <w:sz w:val="18"/>
                <w:szCs w:val="18"/>
              </w:rPr>
              <w:t> </w:t>
            </w:r>
            <w:r>
              <w:rPr>
                <w:rFonts w:ascii="宋体" w:hAnsi="宋体" w:cs="宋体" w:eastAsia="宋体" w:hint="default"/>
                <w:sz w:val="18"/>
                <w:szCs w:val="18"/>
              </w:rPr>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4,504,483.00 </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4,504,483.00</w:t>
            </w:r>
            <w:r>
              <w:rPr>
                <w:rFonts w:ascii="宋体"/>
                <w:sz w:val="18"/>
              </w:rPr>
              <w:t> </w:t>
            </w:r>
          </w:p>
        </w:tc>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5" w:right="0"/>
              <w:jc w:val="left"/>
              <w:rPr>
                <w:rFonts w:ascii="宋体" w:hAnsi="宋体" w:cs="宋体" w:eastAsia="宋体" w:hint="default"/>
                <w:sz w:val="18"/>
                <w:szCs w:val="18"/>
              </w:rPr>
            </w:pPr>
            <w:r>
              <w:rPr>
                <w:rFonts w:ascii="宋体"/>
                <w:sz w:val="18"/>
              </w:rPr>
              <w:t> </w:t>
            </w:r>
          </w:p>
        </w:tc>
      </w:tr>
      <w:tr>
        <w:trPr>
          <w:trHeight w:val="398"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22,561,017.00</w:t>
            </w:r>
            <w:r>
              <w:rPr>
                <w:rFonts w:ascii="宋体"/>
                <w:sz w:val="18"/>
              </w:rPr>
              <w:t> </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22,561,017.00</w:t>
            </w:r>
            <w:r>
              <w:rPr>
                <w:rFonts w:ascii="宋体"/>
                <w:sz w:val="18"/>
              </w:rPr>
              <w:t> </w:t>
            </w:r>
          </w:p>
        </w:tc>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sz w:val="18"/>
              </w:rPr>
              <w:t> </w:t>
            </w:r>
          </w:p>
        </w:tc>
      </w:tr>
    </w:tbl>
    <w:p>
      <w:pPr>
        <w:spacing w:line="240" w:lineRule="auto" w:before="8"/>
        <w:rPr>
          <w:rFonts w:ascii="宋体" w:hAnsi="宋体" w:cs="宋体" w:eastAsia="宋体" w:hint="default"/>
          <w:sz w:val="6"/>
          <w:szCs w:val="6"/>
        </w:rPr>
      </w:pPr>
    </w:p>
    <w:p>
      <w:pPr>
        <w:spacing w:before="36"/>
        <w:ind w:left="606" w:right="6527"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3</w:t>
      </w:r>
      <w:r>
        <w:rPr>
          <w:rFonts w:ascii="宋体" w:hAnsi="宋体" w:cs="宋体" w:eastAsia="宋体" w:hint="default"/>
          <w:b/>
          <w:bCs/>
          <w:sz w:val="21"/>
          <w:szCs w:val="21"/>
        </w:rPr>
        <w:t>）未办妥产权证书的固定资产情况</w:t>
      </w:r>
      <w:r>
        <w:rPr>
          <w:rFonts w:ascii="宋体" w:hAnsi="宋体" w:cs="宋体" w:eastAsia="宋体" w:hint="default"/>
          <w:w w:val="100"/>
          <w:sz w:val="21"/>
          <w:szCs w:val="21"/>
        </w:rPr>
        <w:t> </w:t>
      </w:r>
    </w:p>
    <w:p>
      <w:pPr>
        <w:spacing w:line="240" w:lineRule="auto" w:before="3"/>
        <w:rPr>
          <w:rFonts w:ascii="宋体" w:hAnsi="宋体" w:cs="宋体" w:eastAsia="宋体" w:hint="default"/>
          <w:sz w:val="14"/>
          <w:szCs w:val="14"/>
        </w:rPr>
      </w:pPr>
    </w:p>
    <w:tbl>
      <w:tblPr>
        <w:tblW w:w="0" w:type="auto"/>
        <w:jc w:val="left"/>
        <w:tblInd w:w="178" w:type="dxa"/>
        <w:tblLayout w:type="fixed"/>
        <w:tblCellMar>
          <w:top w:w="0" w:type="dxa"/>
          <w:left w:w="0" w:type="dxa"/>
          <w:bottom w:w="0" w:type="dxa"/>
          <w:right w:w="0" w:type="dxa"/>
        </w:tblCellMar>
        <w:tblLook w:val="01E0"/>
      </w:tblPr>
      <w:tblGrid>
        <w:gridCol w:w="2886"/>
        <w:gridCol w:w="2996"/>
        <w:gridCol w:w="3773"/>
      </w:tblGrid>
      <w:tr>
        <w:trPr>
          <w:trHeight w:val="396" w:hRule="exact"/>
        </w:trPr>
        <w:tc>
          <w:tcPr>
            <w:tcW w:w="2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66"/>
              <w:jc w:val="right"/>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2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4" w:right="0"/>
              <w:jc w:val="center"/>
              <w:rPr>
                <w:rFonts w:ascii="宋体" w:hAnsi="宋体" w:cs="宋体" w:eastAsia="宋体" w:hint="default"/>
                <w:sz w:val="18"/>
                <w:szCs w:val="18"/>
              </w:rPr>
            </w:pPr>
            <w:r>
              <w:rPr>
                <w:rFonts w:ascii="宋体" w:hAnsi="宋体" w:cs="宋体" w:eastAsia="宋体" w:hint="default"/>
                <w:sz w:val="18"/>
                <w:szCs w:val="18"/>
              </w:rPr>
              <w:t>账面价值</w:t>
            </w:r>
            <w:r>
              <w:rPr>
                <w:rFonts w:ascii="宋体" w:hAnsi="宋体" w:cs="宋体" w:eastAsia="宋体" w:hint="default"/>
                <w:sz w:val="18"/>
                <w:szCs w:val="18"/>
              </w:rPr>
              <w:t> </w:t>
            </w:r>
          </w:p>
        </w:tc>
        <w:tc>
          <w:tcPr>
            <w:tcW w:w="37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70" w:right="0"/>
              <w:jc w:val="left"/>
              <w:rPr>
                <w:rFonts w:ascii="宋体" w:hAnsi="宋体" w:cs="宋体" w:eastAsia="宋体" w:hint="default"/>
                <w:sz w:val="18"/>
                <w:szCs w:val="18"/>
              </w:rPr>
            </w:pPr>
            <w:r>
              <w:rPr>
                <w:rFonts w:ascii="宋体" w:hAnsi="宋体" w:cs="宋体" w:eastAsia="宋体" w:hint="default"/>
                <w:sz w:val="18"/>
                <w:szCs w:val="18"/>
              </w:rPr>
              <w:t>未办妥产权证书原因</w:t>
            </w:r>
            <w:r>
              <w:rPr>
                <w:rFonts w:ascii="宋体" w:hAnsi="宋体" w:cs="宋体" w:eastAsia="宋体" w:hint="default"/>
                <w:sz w:val="18"/>
                <w:szCs w:val="18"/>
              </w:rPr>
              <w:t> </w:t>
            </w:r>
          </w:p>
        </w:tc>
      </w:tr>
      <w:tr>
        <w:trPr>
          <w:trHeight w:val="398" w:hRule="exact"/>
        </w:trPr>
        <w:tc>
          <w:tcPr>
            <w:tcW w:w="2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房屋建筑物</w:t>
            </w:r>
            <w:r>
              <w:rPr>
                <w:rFonts w:ascii="宋体" w:hAnsi="宋体" w:cs="宋体" w:eastAsia="宋体" w:hint="default"/>
                <w:sz w:val="18"/>
                <w:szCs w:val="18"/>
              </w:rPr>
              <w:t> </w:t>
            </w:r>
          </w:p>
        </w:tc>
        <w:tc>
          <w:tcPr>
            <w:tcW w:w="2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
              <w:jc w:val="right"/>
              <w:rPr>
                <w:rFonts w:ascii="宋体" w:hAnsi="宋体" w:cs="宋体" w:eastAsia="宋体" w:hint="default"/>
                <w:sz w:val="18"/>
                <w:szCs w:val="18"/>
              </w:rPr>
            </w:pPr>
            <w:r>
              <w:rPr>
                <w:rFonts w:ascii="宋体"/>
                <w:spacing w:val="-1"/>
                <w:sz w:val="18"/>
              </w:rPr>
              <w:t>6,466,316.00 </w:t>
            </w:r>
          </w:p>
        </w:tc>
        <w:tc>
          <w:tcPr>
            <w:tcW w:w="37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621" w:right="0"/>
              <w:jc w:val="left"/>
              <w:rPr>
                <w:rFonts w:ascii="宋体" w:hAnsi="宋体" w:cs="宋体" w:eastAsia="宋体" w:hint="default"/>
                <w:sz w:val="18"/>
                <w:szCs w:val="18"/>
              </w:rPr>
            </w:pPr>
            <w:r>
              <w:rPr>
                <w:rFonts w:ascii="宋体" w:hAnsi="宋体" w:cs="宋体" w:eastAsia="宋体" w:hint="default"/>
                <w:sz w:val="18"/>
                <w:szCs w:val="18"/>
              </w:rPr>
              <w:t>无土地使用权，无法办理权证。</w:t>
            </w:r>
            <w:r>
              <w:rPr>
                <w:rFonts w:ascii="宋体" w:hAnsi="宋体" w:cs="宋体" w:eastAsia="宋体" w:hint="default"/>
                <w:sz w:val="18"/>
                <w:szCs w:val="18"/>
              </w:rPr>
              <w:t> </w:t>
            </w:r>
          </w:p>
        </w:tc>
      </w:tr>
      <w:tr>
        <w:trPr>
          <w:trHeight w:val="396" w:hRule="exact"/>
        </w:trPr>
        <w:tc>
          <w:tcPr>
            <w:tcW w:w="28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66"/>
              <w:jc w:val="righ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2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
              <w:jc w:val="right"/>
              <w:rPr>
                <w:rFonts w:ascii="宋体" w:hAnsi="宋体" w:cs="宋体" w:eastAsia="宋体" w:hint="default"/>
                <w:sz w:val="18"/>
                <w:szCs w:val="18"/>
              </w:rPr>
            </w:pPr>
            <w:r>
              <w:rPr>
                <w:rFonts w:ascii="宋体"/>
                <w:spacing w:val="-1"/>
                <w:sz w:val="18"/>
              </w:rPr>
              <w:t>6,466,316.00 </w:t>
            </w:r>
          </w:p>
        </w:tc>
        <w:tc>
          <w:tcPr>
            <w:tcW w:w="37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b/>
                <w:w w:val="99"/>
                <w:sz w:val="18"/>
              </w:rPr>
              <w:t> </w:t>
            </w:r>
            <w:r>
              <w:rPr>
                <w:rFonts w:ascii="宋体"/>
                <w:sz w:val="18"/>
              </w:rPr>
            </w:r>
          </w:p>
        </w:tc>
      </w:tr>
    </w:tbl>
    <w:p>
      <w:pPr>
        <w:spacing w:line="240" w:lineRule="auto" w:before="7"/>
        <w:rPr>
          <w:rFonts w:ascii="宋体" w:hAnsi="宋体" w:cs="宋体" w:eastAsia="宋体" w:hint="default"/>
          <w:sz w:val="6"/>
          <w:szCs w:val="6"/>
        </w:rPr>
      </w:pPr>
    </w:p>
    <w:p>
      <w:pPr>
        <w:spacing w:line="374" w:lineRule="auto" w:before="36"/>
        <w:ind w:left="606" w:right="7638" w:hanging="281"/>
        <w:jc w:val="left"/>
        <w:rPr>
          <w:rFonts w:ascii="宋体" w:hAnsi="宋体" w:cs="宋体" w:eastAsia="宋体" w:hint="default"/>
          <w:sz w:val="21"/>
          <w:szCs w:val="21"/>
        </w:rPr>
      </w:pPr>
      <w:r>
        <w:rPr>
          <w:rFonts w:ascii="宋体" w:hAnsi="宋体" w:cs="宋体" w:eastAsia="宋体" w:hint="default"/>
          <w:b/>
          <w:bCs/>
          <w:sz w:val="21"/>
          <w:szCs w:val="21"/>
        </w:rPr>
        <w:t>（十二）在建工程</w:t>
      </w:r>
      <w:r>
        <w:rPr>
          <w:rFonts w:ascii="宋体" w:hAnsi="宋体" w:cs="宋体" w:eastAsia="宋体" w:hint="default"/>
          <w:b/>
          <w:bCs/>
          <w:w w:val="99"/>
          <w:sz w:val="21"/>
          <w:szCs w:val="21"/>
        </w:rPr>
        <w:t> </w:t>
      </w:r>
      <w:r>
        <w:rPr>
          <w:rFonts w:ascii="宋体" w:hAnsi="宋体" w:cs="宋体" w:eastAsia="宋体" w:hint="default"/>
          <w:b/>
          <w:bCs/>
          <w:sz w:val="21"/>
          <w:szCs w:val="21"/>
        </w:rPr>
        <w:t>1</w:t>
      </w:r>
      <w:r>
        <w:rPr>
          <w:rFonts w:ascii="宋体" w:hAnsi="宋体" w:cs="宋体" w:eastAsia="宋体" w:hint="default"/>
          <w:b/>
          <w:bCs/>
          <w:sz w:val="21"/>
          <w:szCs w:val="21"/>
        </w:rPr>
        <w:t>、</w:t>
      </w:r>
      <w:r>
        <w:rPr>
          <w:rFonts w:ascii="宋体" w:hAnsi="宋体" w:cs="宋体" w:eastAsia="宋体" w:hint="default"/>
          <w:sz w:val="21"/>
          <w:szCs w:val="21"/>
        </w:rPr>
        <w:t>项目列示</w:t>
      </w:r>
      <w:r>
        <w:rPr>
          <w:rFonts w:ascii="宋体" w:hAnsi="宋体" w:cs="宋体" w:eastAsia="宋体" w:hint="default"/>
          <w:sz w:val="21"/>
          <w:szCs w:val="21"/>
        </w:rPr>
        <w:t> </w:t>
      </w:r>
    </w:p>
    <w:p>
      <w:pPr>
        <w:spacing w:line="240" w:lineRule="auto" w:before="3"/>
        <w:rPr>
          <w:rFonts w:ascii="宋体" w:hAnsi="宋体" w:cs="宋体" w:eastAsia="宋体" w:hint="default"/>
          <w:sz w:val="5"/>
          <w:szCs w:val="5"/>
        </w:rPr>
      </w:pPr>
    </w:p>
    <w:tbl>
      <w:tblPr>
        <w:tblW w:w="0" w:type="auto"/>
        <w:jc w:val="left"/>
        <w:tblInd w:w="161" w:type="dxa"/>
        <w:tblLayout w:type="fixed"/>
        <w:tblCellMar>
          <w:top w:w="0" w:type="dxa"/>
          <w:left w:w="0" w:type="dxa"/>
          <w:bottom w:w="0" w:type="dxa"/>
          <w:right w:w="0" w:type="dxa"/>
        </w:tblCellMar>
        <w:tblLook w:val="01E0"/>
      </w:tblPr>
      <w:tblGrid>
        <w:gridCol w:w="2903"/>
        <w:gridCol w:w="2993"/>
        <w:gridCol w:w="3759"/>
      </w:tblGrid>
      <w:tr>
        <w:trPr>
          <w:trHeight w:val="398" w:hRule="exact"/>
        </w:trPr>
        <w:tc>
          <w:tcPr>
            <w:tcW w:w="2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75"/>
              <w:jc w:val="right"/>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7"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c>
          <w:tcPr>
            <w:tcW w:w="3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0" w:right="0"/>
              <w:jc w:val="center"/>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r>
      <w:tr>
        <w:trPr>
          <w:trHeight w:val="396" w:hRule="exact"/>
        </w:trPr>
        <w:tc>
          <w:tcPr>
            <w:tcW w:w="2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在建工程</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48,177.65</w:t>
            </w:r>
            <w:r>
              <w:rPr>
                <w:rFonts w:ascii="宋体"/>
                <w:sz w:val="18"/>
              </w:rPr>
              <w:t> </w:t>
            </w:r>
          </w:p>
        </w:tc>
        <w:tc>
          <w:tcPr>
            <w:tcW w:w="3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r>
      <w:tr>
        <w:trPr>
          <w:trHeight w:val="399" w:hRule="exact"/>
        </w:trPr>
        <w:tc>
          <w:tcPr>
            <w:tcW w:w="2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103" w:right="0"/>
              <w:jc w:val="left"/>
              <w:rPr>
                <w:rFonts w:ascii="宋体" w:hAnsi="宋体" w:cs="宋体" w:eastAsia="宋体" w:hint="default"/>
                <w:sz w:val="18"/>
                <w:szCs w:val="18"/>
              </w:rPr>
            </w:pPr>
            <w:r>
              <w:rPr>
                <w:rFonts w:ascii="宋体" w:hAnsi="宋体" w:cs="宋体" w:eastAsia="宋体" w:hint="default"/>
                <w:sz w:val="18"/>
                <w:szCs w:val="18"/>
              </w:rPr>
              <w:t>工程物资</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1"/>
              <w:jc w:val="right"/>
              <w:rPr>
                <w:rFonts w:ascii="宋体" w:hAnsi="宋体" w:cs="宋体" w:eastAsia="宋体" w:hint="default"/>
                <w:sz w:val="18"/>
                <w:szCs w:val="18"/>
              </w:rPr>
            </w:pPr>
            <w:r>
              <w:rPr>
                <w:rFonts w:ascii="宋体"/>
                <w:sz w:val="18"/>
              </w:rPr>
              <w:t> </w:t>
            </w:r>
          </w:p>
        </w:tc>
        <w:tc>
          <w:tcPr>
            <w:tcW w:w="3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1"/>
              <w:jc w:val="right"/>
              <w:rPr>
                <w:rFonts w:ascii="宋体" w:hAnsi="宋体" w:cs="宋体" w:eastAsia="宋体" w:hint="default"/>
                <w:sz w:val="18"/>
                <w:szCs w:val="18"/>
              </w:rPr>
            </w:pPr>
            <w:r>
              <w:rPr>
                <w:rFonts w:ascii="宋体"/>
                <w:sz w:val="18"/>
              </w:rPr>
              <w:t> </w:t>
            </w:r>
          </w:p>
        </w:tc>
      </w:tr>
      <w:tr>
        <w:trPr>
          <w:trHeight w:val="396" w:hRule="exact"/>
        </w:trPr>
        <w:tc>
          <w:tcPr>
            <w:tcW w:w="29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75"/>
              <w:jc w:val="righ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48,177.65</w:t>
            </w:r>
            <w:r>
              <w:rPr>
                <w:rFonts w:ascii="宋体"/>
                <w:sz w:val="18"/>
              </w:rPr>
              <w:t> </w:t>
            </w:r>
          </w:p>
        </w:tc>
        <w:tc>
          <w:tcPr>
            <w:tcW w:w="3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r>
    </w:tbl>
    <w:p>
      <w:pPr>
        <w:spacing w:line="240" w:lineRule="auto" w:before="7"/>
        <w:rPr>
          <w:rFonts w:ascii="宋体" w:hAnsi="宋体" w:cs="宋体" w:eastAsia="宋体" w:hint="default"/>
          <w:sz w:val="6"/>
          <w:szCs w:val="6"/>
        </w:rPr>
      </w:pPr>
    </w:p>
    <w:p>
      <w:pPr>
        <w:spacing w:before="36"/>
        <w:ind w:left="606" w:right="6527" w:firstLine="0"/>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w:t>
      </w:r>
      <w:r>
        <w:rPr>
          <w:rFonts w:ascii="宋体" w:hAnsi="宋体" w:cs="宋体" w:eastAsia="宋体" w:hint="default"/>
          <w:sz w:val="21"/>
          <w:szCs w:val="21"/>
        </w:rPr>
        <w:t>在建工程</w:t>
      </w:r>
      <w:r>
        <w:rPr>
          <w:rFonts w:ascii="宋体" w:hAnsi="宋体" w:cs="宋体" w:eastAsia="宋体" w:hint="default"/>
          <w:sz w:val="21"/>
          <w:szCs w:val="21"/>
        </w:rPr>
        <w:t> </w:t>
      </w:r>
    </w:p>
    <w:p>
      <w:pPr>
        <w:pStyle w:val="BodyText"/>
        <w:spacing w:line="240" w:lineRule="auto" w:before="154"/>
        <w:ind w:left="394" w:right="6527"/>
        <w:jc w:val="left"/>
        <w:rPr>
          <w:rFonts w:ascii="宋体" w:hAnsi="宋体" w:cs="宋体" w:eastAsia="宋体" w:hint="default"/>
        </w:rPr>
      </w:pPr>
      <w:r>
        <w:rPr/>
        <w:t>（</w:t>
      </w:r>
      <w:r>
        <w:rPr>
          <w:rFonts w:ascii="宋体" w:hAnsi="宋体" w:cs="宋体" w:eastAsia="宋体" w:hint="default"/>
        </w:rPr>
        <w:t>1</w:t>
      </w:r>
      <w:r>
        <w:rPr/>
        <w:t>）在建工程情况</w:t>
      </w:r>
      <w:r>
        <w:rPr>
          <w:rFonts w:ascii="宋体" w:hAnsi="宋体" w:cs="宋体" w:eastAsia="宋体" w:hint="default"/>
        </w:rPr>
        <w:t> </w:t>
      </w:r>
    </w:p>
    <w:p>
      <w:pPr>
        <w:spacing w:line="240" w:lineRule="auto" w:before="3"/>
        <w:rPr>
          <w:rFonts w:ascii="宋体" w:hAnsi="宋体" w:cs="宋体" w:eastAsia="宋体" w:hint="default"/>
          <w:sz w:val="14"/>
          <w:szCs w:val="14"/>
        </w:rPr>
      </w:pPr>
    </w:p>
    <w:tbl>
      <w:tblPr>
        <w:tblW w:w="0" w:type="auto"/>
        <w:jc w:val="left"/>
        <w:tblInd w:w="106" w:type="dxa"/>
        <w:tblLayout w:type="fixed"/>
        <w:tblCellMar>
          <w:top w:w="0" w:type="dxa"/>
          <w:left w:w="0" w:type="dxa"/>
          <w:bottom w:w="0" w:type="dxa"/>
          <w:right w:w="0" w:type="dxa"/>
        </w:tblCellMar>
        <w:tblLook w:val="01E0"/>
      </w:tblPr>
      <w:tblGrid>
        <w:gridCol w:w="2838"/>
        <w:gridCol w:w="1118"/>
        <w:gridCol w:w="967"/>
        <w:gridCol w:w="1227"/>
        <w:gridCol w:w="1106"/>
        <w:gridCol w:w="1090"/>
        <w:gridCol w:w="1325"/>
      </w:tblGrid>
      <w:tr>
        <w:trPr>
          <w:trHeight w:val="398" w:hRule="exact"/>
        </w:trPr>
        <w:tc>
          <w:tcPr>
            <w:tcW w:w="2838"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89"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331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9"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c>
          <w:tcPr>
            <w:tcW w:w="352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7" w:right="0"/>
              <w:jc w:val="center"/>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r>
      <w:tr>
        <w:trPr>
          <w:trHeight w:val="396" w:hRule="exact"/>
        </w:trPr>
        <w:tc>
          <w:tcPr>
            <w:tcW w:w="2838" w:type="dxa"/>
            <w:vMerge/>
            <w:tcBorders>
              <w:left w:val="single" w:sz="4" w:space="0" w:color="000000"/>
              <w:bottom w:val="single" w:sz="4" w:space="0" w:color="000000"/>
              <w:right w:val="single" w:sz="4" w:space="0" w:color="000000"/>
            </w:tcBorders>
          </w:tcPr>
          <w:p>
            <w:pP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94" w:right="0"/>
              <w:jc w:val="left"/>
              <w:rPr>
                <w:rFonts w:ascii="宋体" w:hAnsi="宋体" w:cs="宋体" w:eastAsia="宋体" w:hint="default"/>
                <w:sz w:val="18"/>
                <w:szCs w:val="18"/>
              </w:rPr>
            </w:pPr>
            <w:r>
              <w:rPr>
                <w:rFonts w:ascii="宋体" w:hAnsi="宋体" w:cs="宋体" w:eastAsia="宋体" w:hint="default"/>
                <w:sz w:val="18"/>
                <w:szCs w:val="18"/>
              </w:rPr>
              <w:t>账面余额</w:t>
            </w:r>
            <w:r>
              <w:rPr>
                <w:rFonts w:ascii="宋体" w:hAnsi="宋体" w:cs="宋体" w:eastAsia="宋体" w:hint="default"/>
                <w:sz w:val="18"/>
                <w:szCs w:val="18"/>
              </w:rPr>
              <w:t> </w:t>
            </w:r>
          </w:p>
        </w:tc>
        <w:tc>
          <w:tcPr>
            <w:tcW w:w="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9"/>
              <w:jc w:val="right"/>
              <w:rPr>
                <w:rFonts w:ascii="宋体" w:hAnsi="宋体" w:cs="宋体" w:eastAsia="宋体" w:hint="default"/>
                <w:sz w:val="18"/>
                <w:szCs w:val="18"/>
              </w:rPr>
            </w:pPr>
            <w:r>
              <w:rPr>
                <w:rFonts w:ascii="宋体" w:hAnsi="宋体" w:cs="宋体" w:eastAsia="宋体" w:hint="default"/>
                <w:sz w:val="18"/>
                <w:szCs w:val="18"/>
              </w:rPr>
              <w:t>减值准备</w:t>
            </w:r>
            <w:r>
              <w:rPr>
                <w:rFonts w:ascii="宋体" w:hAnsi="宋体" w:cs="宋体" w:eastAsia="宋体" w:hint="default"/>
                <w:sz w:val="18"/>
                <w:szCs w:val="18"/>
              </w:rPr>
              <w:t> </w:t>
            </w:r>
          </w:p>
        </w:tc>
        <w:tc>
          <w:tcPr>
            <w:tcW w:w="1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47" w:right="0"/>
              <w:jc w:val="left"/>
              <w:rPr>
                <w:rFonts w:ascii="宋体" w:hAnsi="宋体" w:cs="宋体" w:eastAsia="宋体" w:hint="default"/>
                <w:sz w:val="18"/>
                <w:szCs w:val="18"/>
              </w:rPr>
            </w:pPr>
            <w:r>
              <w:rPr>
                <w:rFonts w:ascii="宋体" w:hAnsi="宋体" w:cs="宋体" w:eastAsia="宋体" w:hint="default"/>
                <w:sz w:val="18"/>
                <w:szCs w:val="18"/>
              </w:rPr>
              <w:t>账面价值</w:t>
            </w:r>
            <w:r>
              <w:rPr>
                <w:rFonts w:ascii="宋体" w:hAnsi="宋体" w:cs="宋体" w:eastAsia="宋体" w:hint="default"/>
                <w:sz w:val="18"/>
                <w:szCs w:val="18"/>
              </w:rPr>
              <w:t> </w:t>
            </w:r>
          </w:p>
        </w:tc>
        <w:tc>
          <w:tcPr>
            <w:tcW w:w="1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87" w:right="0"/>
              <w:jc w:val="left"/>
              <w:rPr>
                <w:rFonts w:ascii="宋体" w:hAnsi="宋体" w:cs="宋体" w:eastAsia="宋体" w:hint="default"/>
                <w:sz w:val="18"/>
                <w:szCs w:val="18"/>
              </w:rPr>
            </w:pPr>
            <w:r>
              <w:rPr>
                <w:rFonts w:ascii="宋体" w:hAnsi="宋体" w:cs="宋体" w:eastAsia="宋体" w:hint="default"/>
                <w:sz w:val="18"/>
                <w:szCs w:val="18"/>
              </w:rPr>
              <w:t>账面余额</w:t>
            </w:r>
            <w:r>
              <w:rPr>
                <w:rFonts w:ascii="宋体" w:hAnsi="宋体" w:cs="宋体" w:eastAsia="宋体" w:hint="default"/>
                <w:sz w:val="18"/>
                <w:szCs w:val="18"/>
              </w:rPr>
              <w:t> </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80" w:right="0"/>
              <w:jc w:val="left"/>
              <w:rPr>
                <w:rFonts w:ascii="宋体" w:hAnsi="宋体" w:cs="宋体" w:eastAsia="宋体" w:hint="default"/>
                <w:sz w:val="18"/>
                <w:szCs w:val="18"/>
              </w:rPr>
            </w:pPr>
            <w:r>
              <w:rPr>
                <w:rFonts w:ascii="宋体" w:hAnsi="宋体" w:cs="宋体" w:eastAsia="宋体" w:hint="default"/>
                <w:sz w:val="18"/>
                <w:szCs w:val="18"/>
              </w:rPr>
              <w:t>减值准备</w:t>
            </w:r>
            <w:r>
              <w:rPr>
                <w:rFonts w:ascii="宋体" w:hAnsi="宋体" w:cs="宋体" w:eastAsia="宋体" w:hint="default"/>
                <w:sz w:val="18"/>
                <w:szCs w:val="18"/>
              </w:rPr>
              <w:t> </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97" w:right="0"/>
              <w:jc w:val="left"/>
              <w:rPr>
                <w:rFonts w:ascii="宋体" w:hAnsi="宋体" w:cs="宋体" w:eastAsia="宋体" w:hint="default"/>
                <w:sz w:val="18"/>
                <w:szCs w:val="18"/>
              </w:rPr>
            </w:pPr>
            <w:r>
              <w:rPr>
                <w:rFonts w:ascii="宋体" w:hAnsi="宋体" w:cs="宋体" w:eastAsia="宋体" w:hint="default"/>
                <w:sz w:val="18"/>
                <w:szCs w:val="18"/>
              </w:rPr>
              <w:t>账面价值</w:t>
            </w:r>
            <w:r>
              <w:rPr>
                <w:rFonts w:ascii="宋体" w:hAnsi="宋体" w:cs="宋体" w:eastAsia="宋体" w:hint="default"/>
                <w:sz w:val="18"/>
                <w:szCs w:val="18"/>
              </w:rPr>
              <w:t> </w:t>
            </w:r>
          </w:p>
        </w:tc>
      </w:tr>
      <w:tr>
        <w:trPr>
          <w:trHeight w:val="473" w:hRule="exact"/>
        </w:trPr>
        <w:tc>
          <w:tcPr>
            <w:tcW w:w="2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武汉东西湖恒大城二期站址建设</w:t>
            </w:r>
            <w:r>
              <w:rPr>
                <w:rFonts w:ascii="宋体" w:hAnsi="宋体" w:cs="宋体" w:eastAsia="宋体" w:hint="default"/>
                <w:sz w:val="18"/>
                <w:szCs w:val="18"/>
              </w:rPr>
              <w:t> </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94" w:right="0"/>
              <w:jc w:val="left"/>
              <w:rPr>
                <w:rFonts w:ascii="宋体" w:hAnsi="宋体" w:cs="宋体" w:eastAsia="宋体" w:hint="default"/>
                <w:sz w:val="18"/>
                <w:szCs w:val="18"/>
              </w:rPr>
            </w:pPr>
            <w:r>
              <w:rPr>
                <w:rFonts w:ascii="宋体"/>
                <w:sz w:val="18"/>
              </w:rPr>
              <w:t>18,960.30 </w:t>
            </w:r>
          </w:p>
        </w:tc>
        <w:tc>
          <w:tcPr>
            <w:tcW w:w="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1"/>
              <w:jc w:val="right"/>
              <w:rPr>
                <w:rFonts w:ascii="宋体" w:hAnsi="宋体" w:cs="宋体" w:eastAsia="宋体" w:hint="default"/>
                <w:sz w:val="18"/>
                <w:szCs w:val="18"/>
              </w:rPr>
            </w:pPr>
            <w:r>
              <w:rPr>
                <w:rFonts w:ascii="宋体"/>
                <w:sz w:val="18"/>
              </w:rPr>
              <w:t> </w:t>
            </w:r>
          </w:p>
        </w:tc>
        <w:tc>
          <w:tcPr>
            <w:tcW w:w="1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302" w:right="0"/>
              <w:jc w:val="left"/>
              <w:rPr>
                <w:rFonts w:ascii="宋体" w:hAnsi="宋体" w:cs="宋体" w:eastAsia="宋体" w:hint="default"/>
                <w:sz w:val="18"/>
                <w:szCs w:val="18"/>
              </w:rPr>
            </w:pPr>
            <w:r>
              <w:rPr>
                <w:rFonts w:ascii="宋体"/>
                <w:sz w:val="18"/>
              </w:rPr>
              <w:t>18,960.30 </w:t>
            </w:r>
          </w:p>
        </w:tc>
        <w:tc>
          <w:tcPr>
            <w:tcW w:w="1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3"/>
              <w:jc w:val="right"/>
              <w:rPr>
                <w:rFonts w:ascii="宋体" w:hAnsi="宋体" w:cs="宋体" w:eastAsia="宋体" w:hint="default"/>
                <w:sz w:val="18"/>
                <w:szCs w:val="18"/>
              </w:rPr>
            </w:pPr>
            <w:r>
              <w:rPr>
                <w:rFonts w:ascii="宋体"/>
                <w:sz w:val="18"/>
              </w:rPr>
              <w:t> </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8"/>
              <w:jc w:val="right"/>
              <w:rPr>
                <w:rFonts w:ascii="宋体" w:hAnsi="宋体" w:cs="宋体" w:eastAsia="宋体" w:hint="default"/>
                <w:sz w:val="18"/>
                <w:szCs w:val="18"/>
              </w:rPr>
            </w:pPr>
            <w:r>
              <w:rPr>
                <w:rFonts w:ascii="宋体"/>
                <w:sz w:val="18"/>
              </w:rPr>
              <w:t> </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1"/>
              <w:jc w:val="right"/>
              <w:rPr>
                <w:rFonts w:ascii="宋体" w:hAnsi="宋体" w:cs="宋体" w:eastAsia="宋体" w:hint="default"/>
                <w:sz w:val="18"/>
                <w:szCs w:val="18"/>
              </w:rPr>
            </w:pPr>
            <w:r>
              <w:rPr>
                <w:rFonts w:ascii="宋体"/>
                <w:sz w:val="18"/>
              </w:rPr>
              <w:t> </w:t>
            </w:r>
          </w:p>
        </w:tc>
      </w:tr>
      <w:tr>
        <w:trPr>
          <w:trHeight w:val="499" w:hRule="exact"/>
        </w:trPr>
        <w:tc>
          <w:tcPr>
            <w:tcW w:w="2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left="103" w:right="0"/>
              <w:jc w:val="left"/>
              <w:rPr>
                <w:rFonts w:ascii="宋体" w:hAnsi="宋体" w:cs="宋体" w:eastAsia="宋体" w:hint="default"/>
                <w:sz w:val="18"/>
                <w:szCs w:val="18"/>
              </w:rPr>
            </w:pPr>
            <w:r>
              <w:rPr>
                <w:rFonts w:ascii="宋体" w:hAnsi="宋体" w:cs="宋体" w:eastAsia="宋体" w:hint="default"/>
                <w:sz w:val="18"/>
                <w:szCs w:val="18"/>
              </w:rPr>
              <w:t>武汉汉口新城</w:t>
            </w:r>
            <w:r>
              <w:rPr>
                <w:rFonts w:ascii="宋体" w:hAnsi="宋体" w:cs="宋体" w:eastAsia="宋体" w:hint="default"/>
                <w:spacing w:val="-47"/>
                <w:sz w:val="18"/>
                <w:szCs w:val="18"/>
              </w:rPr>
              <w:t> </w:t>
            </w:r>
            <w:r>
              <w:rPr>
                <w:rFonts w:ascii="宋体" w:hAnsi="宋体" w:cs="宋体" w:eastAsia="宋体" w:hint="default"/>
                <w:sz w:val="18"/>
                <w:szCs w:val="18"/>
              </w:rPr>
              <w:t>3</w:t>
            </w:r>
            <w:r>
              <w:rPr>
                <w:rFonts w:ascii="宋体" w:hAnsi="宋体" w:cs="宋体" w:eastAsia="宋体" w:hint="default"/>
                <w:spacing w:val="-46"/>
                <w:sz w:val="18"/>
                <w:szCs w:val="18"/>
              </w:rPr>
              <w:t> </w:t>
            </w:r>
            <w:r>
              <w:rPr>
                <w:rFonts w:ascii="宋体" w:hAnsi="宋体" w:cs="宋体" w:eastAsia="宋体" w:hint="default"/>
                <w:sz w:val="18"/>
                <w:szCs w:val="18"/>
              </w:rPr>
              <w:t>号楼站址建设</w:t>
            </w:r>
            <w:r>
              <w:rPr>
                <w:rFonts w:ascii="宋体" w:hAnsi="宋体" w:cs="宋体" w:eastAsia="宋体" w:hint="default"/>
                <w:sz w:val="18"/>
                <w:szCs w:val="18"/>
              </w:rPr>
              <w:t> </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left="194" w:right="0"/>
              <w:jc w:val="left"/>
              <w:rPr>
                <w:rFonts w:ascii="宋体" w:hAnsi="宋体" w:cs="宋体" w:eastAsia="宋体" w:hint="default"/>
                <w:sz w:val="18"/>
                <w:szCs w:val="18"/>
              </w:rPr>
            </w:pPr>
            <w:r>
              <w:rPr>
                <w:rFonts w:ascii="宋体"/>
                <w:sz w:val="18"/>
              </w:rPr>
              <w:t>29,217.35 </w:t>
            </w:r>
          </w:p>
        </w:tc>
        <w:tc>
          <w:tcPr>
            <w:tcW w:w="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11"/>
              <w:jc w:val="right"/>
              <w:rPr>
                <w:rFonts w:ascii="宋体" w:hAnsi="宋体" w:cs="宋体" w:eastAsia="宋体" w:hint="default"/>
                <w:sz w:val="18"/>
                <w:szCs w:val="18"/>
              </w:rPr>
            </w:pPr>
            <w:r>
              <w:rPr>
                <w:rFonts w:ascii="宋体"/>
                <w:sz w:val="18"/>
              </w:rPr>
              <w:t> </w:t>
            </w:r>
          </w:p>
        </w:tc>
        <w:tc>
          <w:tcPr>
            <w:tcW w:w="1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left="302" w:right="0"/>
              <w:jc w:val="left"/>
              <w:rPr>
                <w:rFonts w:ascii="宋体" w:hAnsi="宋体" w:cs="宋体" w:eastAsia="宋体" w:hint="default"/>
                <w:sz w:val="18"/>
                <w:szCs w:val="18"/>
              </w:rPr>
            </w:pPr>
            <w:r>
              <w:rPr>
                <w:rFonts w:ascii="宋体"/>
                <w:sz w:val="18"/>
              </w:rPr>
              <w:t>29,217.35 </w:t>
            </w:r>
          </w:p>
        </w:tc>
        <w:tc>
          <w:tcPr>
            <w:tcW w:w="1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13"/>
              <w:jc w:val="right"/>
              <w:rPr>
                <w:rFonts w:ascii="宋体" w:hAnsi="宋体" w:cs="宋体" w:eastAsia="宋体" w:hint="default"/>
                <w:sz w:val="18"/>
                <w:szCs w:val="18"/>
              </w:rPr>
            </w:pPr>
            <w:r>
              <w:rPr>
                <w:rFonts w:ascii="宋体"/>
                <w:sz w:val="18"/>
              </w:rPr>
              <w:t> </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8"/>
              <w:jc w:val="right"/>
              <w:rPr>
                <w:rFonts w:ascii="宋体" w:hAnsi="宋体" w:cs="宋体" w:eastAsia="宋体" w:hint="default"/>
                <w:sz w:val="18"/>
                <w:szCs w:val="18"/>
              </w:rPr>
            </w:pPr>
            <w:r>
              <w:rPr>
                <w:rFonts w:ascii="宋体"/>
                <w:sz w:val="18"/>
              </w:rPr>
              <w:t> </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9"/>
              <w:ind w:right="11"/>
              <w:jc w:val="right"/>
              <w:rPr>
                <w:rFonts w:ascii="宋体" w:hAnsi="宋体" w:cs="宋体" w:eastAsia="宋体" w:hint="default"/>
                <w:sz w:val="18"/>
                <w:szCs w:val="18"/>
              </w:rPr>
            </w:pPr>
            <w:r>
              <w:rPr>
                <w:rFonts w:ascii="宋体"/>
                <w:sz w:val="18"/>
              </w:rPr>
              <w:t> </w:t>
            </w:r>
          </w:p>
        </w:tc>
      </w:tr>
      <w:tr>
        <w:trPr>
          <w:trHeight w:val="398" w:hRule="exact"/>
        </w:trPr>
        <w:tc>
          <w:tcPr>
            <w:tcW w:w="2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94" w:right="0"/>
              <w:jc w:val="left"/>
              <w:rPr>
                <w:rFonts w:ascii="宋体" w:hAnsi="宋体" w:cs="宋体" w:eastAsia="宋体" w:hint="default"/>
                <w:sz w:val="18"/>
                <w:szCs w:val="18"/>
              </w:rPr>
            </w:pPr>
            <w:r>
              <w:rPr>
                <w:rFonts w:ascii="宋体"/>
                <w:sz w:val="18"/>
              </w:rPr>
              <w:t>48,177.65 </w:t>
            </w:r>
          </w:p>
        </w:tc>
        <w:tc>
          <w:tcPr>
            <w:tcW w:w="9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1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02" w:right="0"/>
              <w:jc w:val="left"/>
              <w:rPr>
                <w:rFonts w:ascii="宋体" w:hAnsi="宋体" w:cs="宋体" w:eastAsia="宋体" w:hint="default"/>
                <w:sz w:val="18"/>
                <w:szCs w:val="18"/>
              </w:rPr>
            </w:pPr>
            <w:r>
              <w:rPr>
                <w:rFonts w:ascii="宋体"/>
                <w:sz w:val="18"/>
              </w:rPr>
              <w:t>48,177.65 </w:t>
            </w:r>
          </w:p>
        </w:tc>
        <w:tc>
          <w:tcPr>
            <w:tcW w:w="11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
              <w:jc w:val="right"/>
              <w:rPr>
                <w:rFonts w:ascii="宋体" w:hAnsi="宋体" w:cs="宋体" w:eastAsia="宋体" w:hint="default"/>
                <w:sz w:val="18"/>
                <w:szCs w:val="18"/>
              </w:rPr>
            </w:pPr>
            <w:r>
              <w:rPr>
                <w:rFonts w:ascii="宋体"/>
                <w:sz w:val="18"/>
              </w:rPr>
              <w:t> </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z w:val="18"/>
              </w:rPr>
              <w:t> </w:t>
            </w:r>
          </w:p>
        </w:tc>
        <w:tc>
          <w:tcPr>
            <w:tcW w:w="13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r>
    </w:tbl>
    <w:p>
      <w:pPr>
        <w:spacing w:line="240" w:lineRule="auto" w:before="8"/>
        <w:rPr>
          <w:rFonts w:ascii="宋体" w:hAnsi="宋体" w:cs="宋体" w:eastAsia="宋体" w:hint="default"/>
          <w:sz w:val="6"/>
          <w:szCs w:val="6"/>
        </w:rPr>
      </w:pPr>
    </w:p>
    <w:p>
      <w:pPr>
        <w:pStyle w:val="BodyText"/>
        <w:spacing w:line="374" w:lineRule="auto" w:before="36"/>
        <w:ind w:left="603" w:right="6527" w:hanging="209"/>
        <w:jc w:val="left"/>
        <w:rPr>
          <w:rFonts w:ascii="宋体" w:hAnsi="宋体" w:cs="宋体" w:eastAsia="宋体" w:hint="default"/>
        </w:rPr>
      </w:pPr>
      <w:r>
        <w:rPr/>
        <w:t>（</w:t>
      </w:r>
      <w:r>
        <w:rPr>
          <w:rFonts w:ascii="宋体" w:hAnsi="宋体" w:cs="宋体" w:eastAsia="宋体" w:hint="default"/>
        </w:rPr>
        <w:t>2</w:t>
      </w:r>
      <w:r>
        <w:rPr/>
        <w:t>）重要在建工程项目本期变动情况</w:t>
      </w:r>
      <w:r>
        <w:rPr>
          <w:rFonts w:ascii="宋体" w:hAnsi="宋体" w:cs="宋体" w:eastAsia="宋体" w:hint="default"/>
          <w:w w:val="100"/>
        </w:rPr>
        <w:t> </w:t>
      </w:r>
      <w:r>
        <w:rPr/>
        <w:t>无。</w:t>
      </w:r>
      <w:r>
        <w:rPr>
          <w:rFonts w:ascii="宋体" w:hAnsi="宋体" w:cs="宋体" w:eastAsia="宋体" w:hint="default"/>
        </w:rPr>
        <w:t> </w:t>
      </w:r>
    </w:p>
    <w:p>
      <w:pPr>
        <w:pStyle w:val="BodyText"/>
        <w:spacing w:line="372" w:lineRule="auto" w:before="34"/>
        <w:ind w:left="603" w:right="6527" w:hanging="209"/>
        <w:jc w:val="left"/>
        <w:rPr>
          <w:rFonts w:ascii="宋体" w:hAnsi="宋体" w:cs="宋体" w:eastAsia="宋体" w:hint="default"/>
        </w:rPr>
      </w:pPr>
      <w:r>
        <w:rPr/>
        <w:t>（</w:t>
      </w:r>
      <w:r>
        <w:rPr>
          <w:rFonts w:ascii="宋体" w:hAnsi="宋体" w:cs="宋体" w:eastAsia="宋体" w:hint="default"/>
        </w:rPr>
        <w:t>3</w:t>
      </w:r>
      <w:r>
        <w:rPr/>
        <w:t>）本期计提在建工程减值准备情况</w:t>
      </w:r>
      <w:r>
        <w:rPr>
          <w:rFonts w:ascii="宋体" w:hAnsi="宋体" w:cs="宋体" w:eastAsia="宋体" w:hint="default"/>
          <w:w w:val="100"/>
        </w:rPr>
        <w:t> </w:t>
      </w:r>
      <w:r>
        <w:rPr/>
        <w:t>无。</w:t>
      </w:r>
      <w:r>
        <w:rPr>
          <w:rFonts w:ascii="宋体" w:hAnsi="宋体" w:cs="宋体" w:eastAsia="宋体" w:hint="default"/>
        </w:rPr>
        <w:t> </w:t>
      </w:r>
    </w:p>
    <w:p>
      <w:pPr>
        <w:spacing w:before="39"/>
        <w:ind w:left="606" w:right="6527" w:firstLine="0"/>
        <w:jc w:val="left"/>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b/>
          <w:bCs/>
          <w:sz w:val="21"/>
          <w:szCs w:val="21"/>
        </w:rPr>
        <w:t>、</w:t>
      </w:r>
      <w:r>
        <w:rPr>
          <w:rFonts w:ascii="宋体" w:hAnsi="宋体" w:cs="宋体" w:eastAsia="宋体" w:hint="default"/>
          <w:sz w:val="21"/>
          <w:szCs w:val="21"/>
        </w:rPr>
        <w:t>工程物资</w:t>
      </w:r>
      <w:r>
        <w:rPr>
          <w:rFonts w:ascii="宋体" w:hAnsi="宋体" w:cs="宋体" w:eastAsia="宋体" w:hint="default"/>
          <w:sz w:val="21"/>
          <w:szCs w:val="21"/>
        </w:rPr>
        <w:t> </w:t>
      </w:r>
    </w:p>
    <w:p>
      <w:pPr>
        <w:spacing w:after="0"/>
        <w:jc w:val="left"/>
        <w:rPr>
          <w:rFonts w:ascii="宋体" w:hAnsi="宋体" w:cs="宋体" w:eastAsia="宋体" w:hint="default"/>
          <w:sz w:val="21"/>
          <w:szCs w:val="21"/>
        </w:rPr>
        <w:sectPr>
          <w:pgSz w:w="11910" w:h="16840"/>
          <w:pgMar w:header="880" w:footer="975" w:top="1100" w:bottom="1160" w:left="1120" w:right="0"/>
        </w:sectPr>
      </w:pPr>
    </w:p>
    <w:p>
      <w:pPr>
        <w:spacing w:line="240" w:lineRule="auto" w:before="3"/>
        <w:rPr>
          <w:rFonts w:ascii="宋体" w:hAnsi="宋体" w:cs="宋体" w:eastAsia="宋体" w:hint="default"/>
          <w:sz w:val="19"/>
          <w:szCs w:val="19"/>
        </w:rPr>
      </w:pPr>
    </w:p>
    <w:p>
      <w:pPr>
        <w:pStyle w:val="BodyText"/>
        <w:spacing w:line="240" w:lineRule="auto" w:before="36"/>
        <w:ind w:left="563" w:right="7673"/>
        <w:jc w:val="left"/>
        <w:rPr>
          <w:rFonts w:ascii="宋体" w:hAnsi="宋体" w:cs="宋体" w:eastAsia="宋体" w:hint="default"/>
        </w:rPr>
      </w:pPr>
      <w:r>
        <w:rPr/>
        <w:t>无。</w:t>
      </w:r>
      <w:r>
        <w:rPr>
          <w:rFonts w:ascii="宋体" w:hAnsi="宋体" w:cs="宋体" w:eastAsia="宋体" w:hint="default"/>
        </w:rPr>
        <w:t> </w:t>
      </w:r>
    </w:p>
    <w:p>
      <w:pPr>
        <w:spacing w:line="374" w:lineRule="auto" w:before="152"/>
        <w:ind w:left="566" w:right="7673" w:hanging="70"/>
        <w:jc w:val="left"/>
        <w:rPr>
          <w:rFonts w:ascii="宋体" w:hAnsi="宋体" w:cs="宋体" w:eastAsia="宋体" w:hint="default"/>
          <w:sz w:val="21"/>
          <w:szCs w:val="21"/>
        </w:rPr>
      </w:pPr>
      <w:r>
        <w:rPr>
          <w:rFonts w:ascii="宋体" w:hAnsi="宋体" w:cs="宋体" w:eastAsia="宋体" w:hint="default"/>
          <w:b/>
          <w:bCs/>
          <w:sz w:val="21"/>
          <w:szCs w:val="21"/>
        </w:rPr>
        <w:t>（十三）无形资产</w:t>
      </w:r>
      <w:r>
        <w:rPr>
          <w:rFonts w:ascii="宋体" w:hAnsi="宋体" w:cs="宋体" w:eastAsia="宋体" w:hint="default"/>
          <w:b/>
          <w:bCs/>
          <w:w w:val="99"/>
          <w:sz w:val="21"/>
          <w:szCs w:val="21"/>
        </w:rPr>
        <w:t> </w:t>
      </w:r>
      <w:r>
        <w:rPr>
          <w:rFonts w:ascii="宋体" w:hAnsi="宋体" w:cs="宋体" w:eastAsia="宋体" w:hint="default"/>
          <w:b/>
          <w:bCs/>
          <w:sz w:val="21"/>
          <w:szCs w:val="21"/>
        </w:rPr>
        <w:t>1</w:t>
      </w:r>
      <w:r>
        <w:rPr>
          <w:rFonts w:ascii="宋体" w:hAnsi="宋体" w:cs="宋体" w:eastAsia="宋体" w:hint="default"/>
          <w:b/>
          <w:bCs/>
          <w:sz w:val="21"/>
          <w:szCs w:val="21"/>
        </w:rPr>
        <w:t>、</w:t>
      </w:r>
      <w:r>
        <w:rPr>
          <w:rFonts w:ascii="宋体" w:hAnsi="宋体" w:cs="宋体" w:eastAsia="宋体" w:hint="default"/>
          <w:sz w:val="21"/>
          <w:szCs w:val="21"/>
        </w:rPr>
        <w:t>无形资产情况</w:t>
      </w:r>
      <w:r>
        <w:rPr>
          <w:rFonts w:ascii="宋体" w:hAnsi="宋体" w:cs="宋体" w:eastAsia="宋体" w:hint="default"/>
          <w:sz w:val="21"/>
          <w:szCs w:val="21"/>
        </w:rPr>
        <w:t> </w:t>
      </w:r>
    </w:p>
    <w:p>
      <w:pPr>
        <w:spacing w:line="240" w:lineRule="auto" w:before="3"/>
        <w:rPr>
          <w:rFonts w:ascii="宋体" w:hAnsi="宋体" w:cs="宋体" w:eastAsia="宋体" w:hint="default"/>
          <w:sz w:val="5"/>
          <w:szCs w:val="5"/>
        </w:rPr>
      </w:pPr>
    </w:p>
    <w:tbl>
      <w:tblPr>
        <w:tblW w:w="0" w:type="auto"/>
        <w:jc w:val="left"/>
        <w:tblInd w:w="177" w:type="dxa"/>
        <w:tblLayout w:type="fixed"/>
        <w:tblCellMar>
          <w:top w:w="0" w:type="dxa"/>
          <w:left w:w="0" w:type="dxa"/>
          <w:bottom w:w="0" w:type="dxa"/>
          <w:right w:w="0" w:type="dxa"/>
        </w:tblCellMar>
        <w:tblLook w:val="01E0"/>
      </w:tblPr>
      <w:tblGrid>
        <w:gridCol w:w="2941"/>
        <w:gridCol w:w="3118"/>
        <w:gridCol w:w="3517"/>
      </w:tblGrid>
      <w:tr>
        <w:trPr>
          <w:trHeight w:val="398"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1"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7" w:right="0"/>
              <w:jc w:val="center"/>
              <w:rPr>
                <w:rFonts w:ascii="宋体" w:hAnsi="宋体" w:cs="宋体" w:eastAsia="宋体" w:hint="default"/>
                <w:sz w:val="18"/>
                <w:szCs w:val="18"/>
              </w:rPr>
            </w:pPr>
            <w:r>
              <w:rPr>
                <w:rFonts w:ascii="宋体" w:hAnsi="宋体" w:cs="宋体" w:eastAsia="宋体" w:hint="default"/>
                <w:sz w:val="18"/>
                <w:szCs w:val="18"/>
              </w:rPr>
              <w:t>软件</w:t>
            </w:r>
            <w:r>
              <w:rPr>
                <w:rFonts w:ascii="宋体" w:hAnsi="宋体" w:cs="宋体" w:eastAsia="宋体" w:hint="default"/>
                <w:sz w:val="18"/>
                <w:szCs w:val="18"/>
              </w:rPr>
              <w:t> </w:t>
            </w:r>
          </w:p>
        </w:tc>
        <w:tc>
          <w:tcPr>
            <w:tcW w:w="3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6"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r>
      <w:tr>
        <w:trPr>
          <w:trHeight w:val="396"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5" w:right="0"/>
              <w:jc w:val="left"/>
              <w:rPr>
                <w:rFonts w:ascii="宋体" w:hAnsi="宋体" w:cs="宋体" w:eastAsia="宋体" w:hint="default"/>
                <w:sz w:val="18"/>
                <w:szCs w:val="18"/>
              </w:rPr>
            </w:pPr>
            <w:r>
              <w:rPr>
                <w:rFonts w:ascii="宋体" w:hAnsi="宋体" w:cs="宋体" w:eastAsia="宋体" w:hint="default"/>
                <w:sz w:val="18"/>
                <w:szCs w:val="18"/>
              </w:rPr>
              <w:t>一、账面原值</w:t>
            </w:r>
            <w:r>
              <w:rPr>
                <w:rFonts w:ascii="宋体" w:hAnsi="宋体" w:cs="宋体" w:eastAsia="宋体" w:hint="default"/>
                <w:sz w:val="18"/>
                <w:szCs w:val="18"/>
              </w:rPr>
              <w:t> </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c>
          <w:tcPr>
            <w:tcW w:w="3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r>
      <w:tr>
        <w:trPr>
          <w:trHeight w:val="398"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5" w:right="0"/>
              <w:jc w:val="left"/>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pacing w:val="-2"/>
                <w:sz w:val="18"/>
                <w:szCs w:val="18"/>
              </w:rPr>
              <w:t> </w:t>
            </w:r>
            <w:r>
              <w:rPr>
                <w:rFonts w:ascii="宋体" w:hAnsi="宋体" w:cs="宋体" w:eastAsia="宋体" w:hint="default"/>
                <w:spacing w:val="1"/>
                <w:sz w:val="18"/>
                <w:szCs w:val="18"/>
              </w:rPr>
              <w:t> </w:t>
            </w:r>
            <w:r>
              <w:rPr>
                <w:rFonts w:ascii="宋体" w:hAnsi="宋体" w:cs="宋体" w:eastAsia="宋体" w:hint="default"/>
                <w:sz w:val="18"/>
                <w:szCs w:val="18"/>
              </w:rPr>
              <w:t>1.</w:t>
            </w:r>
            <w:r>
              <w:rPr>
                <w:rFonts w:ascii="宋体" w:hAnsi="宋体" w:cs="宋体" w:eastAsia="宋体" w:hint="default"/>
                <w:sz w:val="18"/>
                <w:szCs w:val="18"/>
              </w:rPr>
              <w:t>期初余额</w:t>
            </w:r>
            <w:r>
              <w:rPr>
                <w:rFonts w:ascii="宋体" w:hAnsi="宋体" w:cs="宋体" w:eastAsia="宋体" w:hint="default"/>
                <w:sz w:val="18"/>
                <w:szCs w:val="18"/>
              </w:rPr>
              <w:t> </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123,318,489.07 </w:t>
            </w:r>
          </w:p>
        </w:tc>
        <w:tc>
          <w:tcPr>
            <w:tcW w:w="3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123,318,489.07 </w:t>
            </w:r>
          </w:p>
        </w:tc>
      </w:tr>
      <w:tr>
        <w:trPr>
          <w:trHeight w:val="396"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13"/>
              <w:jc w:val="right"/>
              <w:rPr>
                <w:rFonts w:ascii="宋体" w:hAnsi="宋体" w:cs="宋体" w:eastAsia="宋体" w:hint="default"/>
                <w:sz w:val="18"/>
                <w:szCs w:val="18"/>
              </w:rPr>
            </w:pPr>
            <w:r>
              <w:rPr>
                <w:rFonts w:ascii="宋体" w:hAnsi="宋体" w:cs="宋体" w:eastAsia="宋体" w:hint="default"/>
                <w:spacing w:val="-1"/>
                <w:sz w:val="18"/>
                <w:szCs w:val="18"/>
              </w:rPr>
              <w:t>2.</w:t>
            </w:r>
            <w:r>
              <w:rPr>
                <w:rFonts w:ascii="宋体" w:hAnsi="宋体" w:cs="宋体" w:eastAsia="宋体" w:hint="default"/>
                <w:spacing w:val="-1"/>
                <w:sz w:val="18"/>
                <w:szCs w:val="18"/>
              </w:rPr>
              <w:t>本期增加金额</w:t>
            </w:r>
            <w:r>
              <w:rPr>
                <w:rFonts w:ascii="宋体" w:hAnsi="宋体" w:cs="宋体" w:eastAsia="宋体" w:hint="default"/>
                <w:sz w:val="18"/>
                <w:szCs w:val="18"/>
              </w:rPr>
              <w:t> </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2"/>
                <w:sz w:val="18"/>
              </w:rPr>
              <w:t> </w:t>
            </w:r>
            <w:r>
              <w:rPr>
                <w:rFonts w:ascii="宋体"/>
                <w:spacing w:val="-1"/>
                <w:sz w:val="18"/>
              </w:rPr>
              <w:t>27,079.65</w:t>
            </w:r>
            <w:r>
              <w:rPr>
                <w:rFonts w:ascii="宋体"/>
                <w:sz w:val="18"/>
              </w:rPr>
              <w:t> </w:t>
            </w:r>
          </w:p>
        </w:tc>
        <w:tc>
          <w:tcPr>
            <w:tcW w:w="3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3"/>
                <w:sz w:val="18"/>
              </w:rPr>
              <w:t> </w:t>
            </w:r>
            <w:r>
              <w:rPr>
                <w:rFonts w:ascii="宋体"/>
                <w:spacing w:val="-1"/>
                <w:sz w:val="18"/>
              </w:rPr>
              <w:t>27,079.65</w:t>
            </w:r>
            <w:r>
              <w:rPr>
                <w:rFonts w:ascii="宋体"/>
                <w:sz w:val="18"/>
              </w:rPr>
              <w:t> </w:t>
            </w:r>
          </w:p>
        </w:tc>
      </w:tr>
      <w:tr>
        <w:trPr>
          <w:trHeight w:val="398"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645"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购置</w:t>
            </w:r>
            <w:r>
              <w:rPr>
                <w:rFonts w:ascii="宋体" w:hAnsi="宋体" w:cs="宋体" w:eastAsia="宋体" w:hint="default"/>
                <w:sz w:val="18"/>
                <w:szCs w:val="18"/>
              </w:rPr>
              <w:t> </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2"/>
                <w:sz w:val="18"/>
              </w:rPr>
              <w:t> </w:t>
            </w:r>
            <w:r>
              <w:rPr>
                <w:rFonts w:ascii="宋体"/>
                <w:spacing w:val="-1"/>
                <w:sz w:val="18"/>
              </w:rPr>
              <w:t>27,079.65</w:t>
            </w:r>
            <w:r>
              <w:rPr>
                <w:rFonts w:ascii="宋体"/>
                <w:sz w:val="18"/>
              </w:rPr>
              <w:t> </w:t>
            </w:r>
          </w:p>
        </w:tc>
        <w:tc>
          <w:tcPr>
            <w:tcW w:w="3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3"/>
                <w:sz w:val="18"/>
              </w:rPr>
              <w:t> </w:t>
            </w:r>
            <w:r>
              <w:rPr>
                <w:rFonts w:ascii="宋体"/>
                <w:spacing w:val="-1"/>
                <w:sz w:val="18"/>
              </w:rPr>
              <w:t>27,079.65</w:t>
            </w:r>
            <w:r>
              <w:rPr>
                <w:rFonts w:ascii="宋体"/>
                <w:sz w:val="18"/>
              </w:rPr>
              <w:t> </w:t>
            </w:r>
          </w:p>
        </w:tc>
      </w:tr>
      <w:tr>
        <w:trPr>
          <w:trHeight w:val="396"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645"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内部研发</w:t>
            </w:r>
            <w:r>
              <w:rPr>
                <w:rFonts w:ascii="宋体" w:hAnsi="宋体" w:cs="宋体" w:eastAsia="宋体" w:hint="default"/>
                <w:sz w:val="18"/>
                <w:szCs w:val="18"/>
              </w:rPr>
              <w:t> </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c>
          <w:tcPr>
            <w:tcW w:w="3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r>
      <w:tr>
        <w:trPr>
          <w:trHeight w:val="396"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5"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企业合并增加</w:t>
            </w:r>
            <w:r>
              <w:rPr>
                <w:rFonts w:ascii="宋体" w:hAnsi="宋体" w:cs="宋体" w:eastAsia="宋体" w:hint="default"/>
                <w:sz w:val="18"/>
                <w:szCs w:val="18"/>
              </w:rPr>
              <w:t> </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3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r>
      <w:tr>
        <w:trPr>
          <w:trHeight w:val="399"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13"/>
              <w:jc w:val="right"/>
              <w:rPr>
                <w:rFonts w:ascii="宋体" w:hAnsi="宋体" w:cs="宋体" w:eastAsia="宋体" w:hint="default"/>
                <w:sz w:val="18"/>
                <w:szCs w:val="18"/>
              </w:rPr>
            </w:pPr>
            <w:r>
              <w:rPr>
                <w:rFonts w:ascii="宋体" w:hAnsi="宋体" w:cs="宋体" w:eastAsia="宋体" w:hint="default"/>
                <w:spacing w:val="-1"/>
                <w:sz w:val="18"/>
                <w:szCs w:val="18"/>
              </w:rPr>
              <w:t>3.</w:t>
            </w:r>
            <w:r>
              <w:rPr>
                <w:rFonts w:ascii="宋体" w:hAnsi="宋体" w:cs="宋体" w:eastAsia="宋体" w:hint="default"/>
                <w:spacing w:val="-1"/>
                <w:sz w:val="18"/>
                <w:szCs w:val="18"/>
              </w:rPr>
              <w:t>本期减少金额</w:t>
            </w:r>
            <w:r>
              <w:rPr>
                <w:rFonts w:ascii="宋体" w:hAnsi="宋体" w:cs="宋体" w:eastAsia="宋体" w:hint="default"/>
                <w:sz w:val="18"/>
                <w:szCs w:val="18"/>
              </w:rPr>
              <w:t> </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3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r>
      <w:tr>
        <w:trPr>
          <w:trHeight w:val="396"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645"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处置</w:t>
            </w:r>
            <w:r>
              <w:rPr>
                <w:rFonts w:ascii="宋体" w:hAnsi="宋体" w:cs="宋体" w:eastAsia="宋体" w:hint="default"/>
                <w:sz w:val="18"/>
                <w:szCs w:val="18"/>
              </w:rPr>
              <w:t> </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3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r>
      <w:tr>
        <w:trPr>
          <w:trHeight w:val="398"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5" w:right="0"/>
              <w:jc w:val="left"/>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pacing w:val="-2"/>
                <w:sz w:val="18"/>
                <w:szCs w:val="18"/>
              </w:rPr>
              <w:t> </w:t>
            </w:r>
            <w:r>
              <w:rPr>
                <w:rFonts w:ascii="宋体" w:hAnsi="宋体" w:cs="宋体" w:eastAsia="宋体" w:hint="default"/>
                <w:spacing w:val="1"/>
                <w:sz w:val="18"/>
                <w:szCs w:val="18"/>
              </w:rPr>
              <w:t> </w:t>
            </w:r>
            <w:r>
              <w:rPr>
                <w:rFonts w:ascii="宋体" w:hAnsi="宋体" w:cs="宋体" w:eastAsia="宋体" w:hint="default"/>
                <w:sz w:val="18"/>
                <w:szCs w:val="18"/>
              </w:rPr>
              <w:t>4.</w:t>
            </w:r>
            <w:r>
              <w:rPr>
                <w:rFonts w:ascii="宋体" w:hAnsi="宋体" w:cs="宋体" w:eastAsia="宋体" w:hint="default"/>
                <w:sz w:val="18"/>
                <w:szCs w:val="18"/>
              </w:rPr>
              <w:t>期末余额</w:t>
            </w:r>
            <w:r>
              <w:rPr>
                <w:rFonts w:ascii="宋体" w:hAnsi="宋体" w:cs="宋体" w:eastAsia="宋体" w:hint="default"/>
                <w:sz w:val="18"/>
                <w:szCs w:val="18"/>
              </w:rPr>
              <w:t> </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123,345,568.72</w:t>
            </w:r>
            <w:r>
              <w:rPr>
                <w:rFonts w:ascii="宋体"/>
                <w:sz w:val="18"/>
              </w:rPr>
              <w:t> </w:t>
            </w:r>
          </w:p>
        </w:tc>
        <w:tc>
          <w:tcPr>
            <w:tcW w:w="3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  </w:t>
            </w:r>
            <w:r>
              <w:rPr>
                <w:rFonts w:ascii="宋体"/>
                <w:spacing w:val="-1"/>
                <w:sz w:val="18"/>
              </w:rPr>
              <w:t> 123,345,568.72</w:t>
            </w:r>
            <w:r>
              <w:rPr>
                <w:rFonts w:ascii="宋体"/>
                <w:sz w:val="18"/>
              </w:rPr>
              <w:t> </w:t>
            </w:r>
          </w:p>
        </w:tc>
      </w:tr>
      <w:tr>
        <w:trPr>
          <w:trHeight w:val="396"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5" w:right="0"/>
              <w:jc w:val="left"/>
              <w:rPr>
                <w:rFonts w:ascii="宋体" w:hAnsi="宋体" w:cs="宋体" w:eastAsia="宋体" w:hint="default"/>
                <w:sz w:val="18"/>
                <w:szCs w:val="18"/>
              </w:rPr>
            </w:pPr>
            <w:r>
              <w:rPr>
                <w:rFonts w:ascii="宋体" w:hAnsi="宋体" w:cs="宋体" w:eastAsia="宋体" w:hint="default"/>
                <w:sz w:val="18"/>
                <w:szCs w:val="18"/>
              </w:rPr>
              <w:t>二、累计摊销</w:t>
            </w:r>
            <w:r>
              <w:rPr>
                <w:rFonts w:ascii="宋体" w:hAnsi="宋体" w:cs="宋体" w:eastAsia="宋体" w:hint="default"/>
                <w:sz w:val="18"/>
                <w:szCs w:val="18"/>
              </w:rPr>
              <w:t> </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c>
          <w:tcPr>
            <w:tcW w:w="3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r>
      <w:tr>
        <w:trPr>
          <w:trHeight w:val="396"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465"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期初余额</w:t>
            </w:r>
            <w:r>
              <w:rPr>
                <w:rFonts w:ascii="宋体" w:hAnsi="宋体" w:cs="宋体" w:eastAsia="宋体" w:hint="default"/>
                <w:sz w:val="18"/>
                <w:szCs w:val="18"/>
              </w:rPr>
              <w:t> </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42,832,455.66 </w:t>
            </w:r>
          </w:p>
        </w:tc>
        <w:tc>
          <w:tcPr>
            <w:tcW w:w="3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42,832,455.66</w:t>
            </w:r>
            <w:r>
              <w:rPr>
                <w:rFonts w:ascii="宋体"/>
                <w:sz w:val="18"/>
              </w:rPr>
              <w:t> </w:t>
            </w:r>
          </w:p>
        </w:tc>
      </w:tr>
      <w:tr>
        <w:trPr>
          <w:trHeight w:val="398"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13"/>
              <w:jc w:val="right"/>
              <w:rPr>
                <w:rFonts w:ascii="宋体" w:hAnsi="宋体" w:cs="宋体" w:eastAsia="宋体" w:hint="default"/>
                <w:sz w:val="18"/>
                <w:szCs w:val="18"/>
              </w:rPr>
            </w:pPr>
            <w:r>
              <w:rPr>
                <w:rFonts w:ascii="宋体" w:hAnsi="宋体" w:cs="宋体" w:eastAsia="宋体" w:hint="default"/>
                <w:spacing w:val="-1"/>
                <w:sz w:val="18"/>
                <w:szCs w:val="18"/>
              </w:rPr>
              <w:t>2.</w:t>
            </w:r>
            <w:r>
              <w:rPr>
                <w:rFonts w:ascii="宋体" w:hAnsi="宋体" w:cs="宋体" w:eastAsia="宋体" w:hint="default"/>
                <w:spacing w:val="-1"/>
                <w:sz w:val="18"/>
                <w:szCs w:val="18"/>
              </w:rPr>
              <w:t>本期增加金额</w:t>
            </w:r>
            <w:r>
              <w:rPr>
                <w:rFonts w:ascii="宋体" w:hAnsi="宋体" w:cs="宋体" w:eastAsia="宋体" w:hint="default"/>
                <w:sz w:val="18"/>
                <w:szCs w:val="18"/>
              </w:rPr>
              <w:t> </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3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r>
      <w:tr>
        <w:trPr>
          <w:trHeight w:val="396"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645"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计提</w:t>
            </w:r>
            <w:r>
              <w:rPr>
                <w:rFonts w:ascii="宋体" w:hAnsi="宋体" w:cs="宋体" w:eastAsia="宋体" w:hint="default"/>
                <w:sz w:val="18"/>
                <w:szCs w:val="18"/>
              </w:rPr>
              <w:t> </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2"/>
                <w:sz w:val="18"/>
              </w:rPr>
              <w:t> </w:t>
            </w:r>
            <w:r>
              <w:rPr>
                <w:rFonts w:ascii="宋体"/>
                <w:spacing w:val="-1"/>
                <w:sz w:val="18"/>
              </w:rPr>
              <w:t>12,224,544.82</w:t>
            </w:r>
            <w:r>
              <w:rPr>
                <w:rFonts w:ascii="宋体"/>
                <w:sz w:val="18"/>
              </w:rPr>
              <w:t> </w:t>
            </w:r>
          </w:p>
        </w:tc>
        <w:tc>
          <w:tcPr>
            <w:tcW w:w="3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2"/>
                <w:sz w:val="18"/>
              </w:rPr>
              <w:t> </w:t>
            </w:r>
            <w:r>
              <w:rPr>
                <w:rFonts w:ascii="宋体"/>
                <w:spacing w:val="-1"/>
                <w:sz w:val="18"/>
              </w:rPr>
              <w:t>12,224,544.82</w:t>
            </w:r>
            <w:r>
              <w:rPr>
                <w:rFonts w:ascii="宋体"/>
                <w:sz w:val="18"/>
              </w:rPr>
              <w:t> </w:t>
            </w:r>
          </w:p>
        </w:tc>
      </w:tr>
      <w:tr>
        <w:trPr>
          <w:trHeight w:val="398"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13"/>
              <w:jc w:val="right"/>
              <w:rPr>
                <w:rFonts w:ascii="宋体" w:hAnsi="宋体" w:cs="宋体" w:eastAsia="宋体" w:hint="default"/>
                <w:sz w:val="18"/>
                <w:szCs w:val="18"/>
              </w:rPr>
            </w:pPr>
            <w:r>
              <w:rPr>
                <w:rFonts w:ascii="宋体" w:hAnsi="宋体" w:cs="宋体" w:eastAsia="宋体" w:hint="default"/>
                <w:spacing w:val="-1"/>
                <w:sz w:val="18"/>
                <w:szCs w:val="18"/>
              </w:rPr>
              <w:t>3.</w:t>
            </w:r>
            <w:r>
              <w:rPr>
                <w:rFonts w:ascii="宋体" w:hAnsi="宋体" w:cs="宋体" w:eastAsia="宋体" w:hint="default"/>
                <w:spacing w:val="-1"/>
                <w:sz w:val="18"/>
                <w:szCs w:val="18"/>
              </w:rPr>
              <w:t>本期减少金额</w:t>
            </w:r>
            <w:r>
              <w:rPr>
                <w:rFonts w:ascii="宋体" w:hAnsi="宋体" w:cs="宋体" w:eastAsia="宋体" w:hint="default"/>
                <w:sz w:val="18"/>
                <w:szCs w:val="18"/>
              </w:rPr>
              <w:t> </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3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r>
      <w:tr>
        <w:trPr>
          <w:trHeight w:val="396"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645"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处置</w:t>
            </w:r>
            <w:r>
              <w:rPr>
                <w:rFonts w:ascii="宋体" w:hAnsi="宋体" w:cs="宋体" w:eastAsia="宋体" w:hint="default"/>
                <w:sz w:val="18"/>
                <w:szCs w:val="18"/>
              </w:rPr>
              <w:t> </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c>
          <w:tcPr>
            <w:tcW w:w="3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r>
      <w:tr>
        <w:trPr>
          <w:trHeight w:val="399"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5" w:right="0"/>
              <w:jc w:val="left"/>
              <w:rPr>
                <w:rFonts w:ascii="宋体" w:hAnsi="宋体" w:cs="宋体" w:eastAsia="宋体" w:hint="default"/>
                <w:sz w:val="18"/>
                <w:szCs w:val="18"/>
              </w:rPr>
            </w:pPr>
            <w:r>
              <w:rPr>
                <w:rFonts w:ascii="宋体" w:hAnsi="宋体" w:cs="宋体" w:eastAsia="宋体" w:hint="default"/>
                <w:sz w:val="18"/>
                <w:szCs w:val="18"/>
              </w:rPr>
              <w:t>4. </w:t>
            </w:r>
            <w:r>
              <w:rPr>
                <w:rFonts w:ascii="宋体" w:hAnsi="宋体" w:cs="宋体" w:eastAsia="宋体" w:hint="default"/>
                <w:sz w:val="18"/>
                <w:szCs w:val="18"/>
              </w:rPr>
              <w:t>期末余额</w:t>
            </w:r>
            <w:r>
              <w:rPr>
                <w:rFonts w:ascii="宋体" w:hAnsi="宋体" w:cs="宋体" w:eastAsia="宋体" w:hint="default"/>
                <w:sz w:val="18"/>
                <w:szCs w:val="18"/>
              </w:rPr>
              <w:t> </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2"/>
                <w:sz w:val="18"/>
              </w:rPr>
              <w:t> </w:t>
            </w:r>
            <w:r>
              <w:rPr>
                <w:rFonts w:ascii="宋体"/>
                <w:spacing w:val="-1"/>
                <w:sz w:val="18"/>
              </w:rPr>
              <w:t>55,057,000.48</w:t>
            </w:r>
            <w:r>
              <w:rPr>
                <w:rFonts w:ascii="宋体"/>
                <w:sz w:val="18"/>
              </w:rPr>
              <w:t> </w:t>
            </w:r>
          </w:p>
        </w:tc>
        <w:tc>
          <w:tcPr>
            <w:tcW w:w="3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2"/>
                <w:sz w:val="18"/>
              </w:rPr>
              <w:t> </w:t>
            </w:r>
            <w:r>
              <w:rPr>
                <w:rFonts w:ascii="宋体"/>
                <w:spacing w:val="-1"/>
                <w:sz w:val="18"/>
              </w:rPr>
              <w:t>55,057,000.48</w:t>
            </w:r>
            <w:r>
              <w:rPr>
                <w:rFonts w:ascii="宋体"/>
                <w:sz w:val="18"/>
              </w:rPr>
              <w:t> </w:t>
            </w:r>
          </w:p>
        </w:tc>
      </w:tr>
      <w:tr>
        <w:trPr>
          <w:trHeight w:val="396"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5" w:right="0"/>
              <w:jc w:val="left"/>
              <w:rPr>
                <w:rFonts w:ascii="宋体" w:hAnsi="宋体" w:cs="宋体" w:eastAsia="宋体" w:hint="default"/>
                <w:sz w:val="18"/>
                <w:szCs w:val="18"/>
              </w:rPr>
            </w:pPr>
            <w:r>
              <w:rPr>
                <w:rFonts w:ascii="宋体" w:hAnsi="宋体" w:cs="宋体" w:eastAsia="宋体" w:hint="default"/>
                <w:sz w:val="18"/>
                <w:szCs w:val="18"/>
              </w:rPr>
              <w:t>三、减值准备</w:t>
            </w:r>
            <w:r>
              <w:rPr>
                <w:rFonts w:ascii="宋体" w:hAnsi="宋体" w:cs="宋体" w:eastAsia="宋体" w:hint="default"/>
                <w:sz w:val="18"/>
                <w:szCs w:val="18"/>
              </w:rPr>
              <w:t> </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c>
          <w:tcPr>
            <w:tcW w:w="3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r>
      <w:tr>
        <w:trPr>
          <w:trHeight w:val="396"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5"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期初余额</w:t>
            </w:r>
            <w:r>
              <w:rPr>
                <w:rFonts w:ascii="宋体" w:hAnsi="宋体" w:cs="宋体" w:eastAsia="宋体" w:hint="default"/>
                <w:sz w:val="18"/>
                <w:szCs w:val="18"/>
              </w:rPr>
              <w:t> </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3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r>
      <w:tr>
        <w:trPr>
          <w:trHeight w:val="398"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13"/>
              <w:jc w:val="right"/>
              <w:rPr>
                <w:rFonts w:ascii="宋体" w:hAnsi="宋体" w:cs="宋体" w:eastAsia="宋体" w:hint="default"/>
                <w:sz w:val="18"/>
                <w:szCs w:val="18"/>
              </w:rPr>
            </w:pPr>
            <w:r>
              <w:rPr>
                <w:rFonts w:ascii="宋体" w:hAnsi="宋体" w:cs="宋体" w:eastAsia="宋体" w:hint="default"/>
                <w:spacing w:val="-1"/>
                <w:sz w:val="18"/>
                <w:szCs w:val="18"/>
              </w:rPr>
              <w:t>2.</w:t>
            </w:r>
            <w:r>
              <w:rPr>
                <w:rFonts w:ascii="宋体" w:hAnsi="宋体" w:cs="宋体" w:eastAsia="宋体" w:hint="default"/>
                <w:spacing w:val="-1"/>
                <w:sz w:val="18"/>
                <w:szCs w:val="18"/>
              </w:rPr>
              <w:t>本期增加金额</w:t>
            </w:r>
            <w:r>
              <w:rPr>
                <w:rFonts w:ascii="宋体" w:hAnsi="宋体" w:cs="宋体" w:eastAsia="宋体" w:hint="default"/>
                <w:sz w:val="18"/>
                <w:szCs w:val="18"/>
              </w:rPr>
              <w:t> </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3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r>
      <w:tr>
        <w:trPr>
          <w:trHeight w:val="396"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645"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计提</w:t>
            </w:r>
            <w:r>
              <w:rPr>
                <w:rFonts w:ascii="宋体" w:hAnsi="宋体" w:cs="宋体" w:eastAsia="宋体" w:hint="default"/>
                <w:sz w:val="18"/>
                <w:szCs w:val="18"/>
              </w:rPr>
              <w:t> </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3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r>
      <w:tr>
        <w:trPr>
          <w:trHeight w:val="398"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13"/>
              <w:jc w:val="right"/>
              <w:rPr>
                <w:rFonts w:ascii="宋体" w:hAnsi="宋体" w:cs="宋体" w:eastAsia="宋体" w:hint="default"/>
                <w:sz w:val="18"/>
                <w:szCs w:val="18"/>
              </w:rPr>
            </w:pPr>
            <w:r>
              <w:rPr>
                <w:rFonts w:ascii="宋体" w:hAnsi="宋体" w:cs="宋体" w:eastAsia="宋体" w:hint="default"/>
                <w:spacing w:val="-1"/>
                <w:sz w:val="18"/>
                <w:szCs w:val="18"/>
              </w:rPr>
              <w:t>3.</w:t>
            </w:r>
            <w:r>
              <w:rPr>
                <w:rFonts w:ascii="宋体" w:hAnsi="宋体" w:cs="宋体" w:eastAsia="宋体" w:hint="default"/>
                <w:spacing w:val="-1"/>
                <w:sz w:val="18"/>
                <w:szCs w:val="18"/>
              </w:rPr>
              <w:t>本期减少金额</w:t>
            </w:r>
            <w:r>
              <w:rPr>
                <w:rFonts w:ascii="宋体" w:hAnsi="宋体" w:cs="宋体" w:eastAsia="宋体" w:hint="default"/>
                <w:sz w:val="18"/>
                <w:szCs w:val="18"/>
              </w:rPr>
              <w:t> </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3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r>
      <w:tr>
        <w:trPr>
          <w:trHeight w:val="396"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736"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处置</w:t>
            </w:r>
            <w:r>
              <w:rPr>
                <w:rFonts w:ascii="宋体" w:hAnsi="宋体" w:cs="宋体" w:eastAsia="宋体" w:hint="default"/>
                <w:sz w:val="18"/>
                <w:szCs w:val="18"/>
              </w:rPr>
              <w:t> </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c>
          <w:tcPr>
            <w:tcW w:w="3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r>
      <w:tr>
        <w:trPr>
          <w:trHeight w:val="396"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465" w:right="0"/>
              <w:jc w:val="left"/>
              <w:rPr>
                <w:rFonts w:ascii="宋体" w:hAnsi="宋体" w:cs="宋体" w:eastAsia="宋体" w:hint="default"/>
                <w:sz w:val="18"/>
                <w:szCs w:val="18"/>
              </w:rPr>
            </w:pPr>
            <w:r>
              <w:rPr>
                <w:rFonts w:ascii="宋体" w:hAnsi="宋体" w:cs="宋体" w:eastAsia="宋体" w:hint="default"/>
                <w:sz w:val="18"/>
                <w:szCs w:val="18"/>
              </w:rPr>
              <w:t>4. </w:t>
            </w:r>
            <w:r>
              <w:rPr>
                <w:rFonts w:ascii="宋体" w:hAnsi="宋体" w:cs="宋体" w:eastAsia="宋体" w:hint="default"/>
                <w:sz w:val="18"/>
                <w:szCs w:val="18"/>
              </w:rPr>
              <w:t>期末余额</w:t>
            </w:r>
            <w:r>
              <w:rPr>
                <w:rFonts w:ascii="宋体" w:hAnsi="宋体" w:cs="宋体" w:eastAsia="宋体" w:hint="default"/>
                <w:sz w:val="18"/>
                <w:szCs w:val="18"/>
              </w:rPr>
              <w:t> </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3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r>
      <w:tr>
        <w:trPr>
          <w:trHeight w:val="398"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四、账面价值</w:t>
            </w:r>
            <w:r>
              <w:rPr>
                <w:rFonts w:ascii="宋体" w:hAnsi="宋体" w:cs="宋体" w:eastAsia="宋体" w:hint="default"/>
                <w:sz w:val="18"/>
                <w:szCs w:val="18"/>
              </w:rPr>
              <w:t> </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3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r>
      <w:tr>
        <w:trPr>
          <w:trHeight w:val="396"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5" w:right="0"/>
              <w:jc w:val="left"/>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pacing w:val="-2"/>
                <w:sz w:val="18"/>
                <w:szCs w:val="18"/>
              </w:rPr>
              <w:t> </w:t>
            </w:r>
            <w:r>
              <w:rPr>
                <w:rFonts w:ascii="宋体" w:hAnsi="宋体" w:cs="宋体" w:eastAsia="宋体" w:hint="default"/>
                <w:spacing w:val="1"/>
                <w:sz w:val="18"/>
                <w:szCs w:val="18"/>
              </w:rPr>
              <w:t> </w:t>
            </w:r>
            <w:r>
              <w:rPr>
                <w:rFonts w:ascii="宋体" w:hAnsi="宋体" w:cs="宋体" w:eastAsia="宋体" w:hint="default"/>
                <w:sz w:val="18"/>
                <w:szCs w:val="18"/>
              </w:rPr>
              <w:t>1.</w:t>
            </w:r>
            <w:r>
              <w:rPr>
                <w:rFonts w:ascii="宋体" w:hAnsi="宋体" w:cs="宋体" w:eastAsia="宋体" w:hint="default"/>
                <w:sz w:val="18"/>
                <w:szCs w:val="18"/>
              </w:rPr>
              <w:t>期末账面价值</w:t>
            </w:r>
            <w:r>
              <w:rPr>
                <w:rFonts w:ascii="宋体" w:hAnsi="宋体" w:cs="宋体" w:eastAsia="宋体" w:hint="default"/>
                <w:sz w:val="18"/>
                <w:szCs w:val="18"/>
              </w:rPr>
              <w:t> </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2"/>
                <w:sz w:val="18"/>
              </w:rPr>
              <w:t> </w:t>
            </w:r>
            <w:r>
              <w:rPr>
                <w:rFonts w:ascii="宋体"/>
                <w:spacing w:val="-1"/>
                <w:sz w:val="18"/>
              </w:rPr>
              <w:t>68,288,568.24</w:t>
            </w:r>
            <w:r>
              <w:rPr>
                <w:rFonts w:ascii="宋体"/>
                <w:sz w:val="18"/>
              </w:rPr>
              <w:t> </w:t>
            </w:r>
          </w:p>
        </w:tc>
        <w:tc>
          <w:tcPr>
            <w:tcW w:w="3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2"/>
                <w:sz w:val="18"/>
              </w:rPr>
              <w:t> </w:t>
            </w:r>
            <w:r>
              <w:rPr>
                <w:rFonts w:ascii="宋体"/>
                <w:spacing w:val="-1"/>
                <w:sz w:val="18"/>
              </w:rPr>
              <w:t>68,288,568.24</w:t>
            </w:r>
            <w:r>
              <w:rPr>
                <w:rFonts w:ascii="宋体"/>
                <w:sz w:val="18"/>
              </w:rPr>
              <w:t> </w:t>
            </w:r>
          </w:p>
        </w:tc>
      </w:tr>
      <w:tr>
        <w:trPr>
          <w:trHeight w:val="399" w:hRule="exact"/>
        </w:trPr>
        <w:tc>
          <w:tcPr>
            <w:tcW w:w="29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105" w:right="0"/>
              <w:jc w:val="left"/>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pacing w:val="-2"/>
                <w:sz w:val="18"/>
                <w:szCs w:val="18"/>
              </w:rPr>
              <w:t> </w:t>
            </w:r>
            <w:r>
              <w:rPr>
                <w:rFonts w:ascii="宋体" w:hAnsi="宋体" w:cs="宋体" w:eastAsia="宋体" w:hint="default"/>
                <w:spacing w:val="1"/>
                <w:sz w:val="18"/>
                <w:szCs w:val="18"/>
              </w:rPr>
              <w:t> </w:t>
            </w:r>
            <w:r>
              <w:rPr>
                <w:rFonts w:ascii="宋体" w:hAnsi="宋体" w:cs="宋体" w:eastAsia="宋体" w:hint="default"/>
                <w:sz w:val="18"/>
                <w:szCs w:val="18"/>
              </w:rPr>
              <w:t>2.</w:t>
            </w:r>
            <w:r>
              <w:rPr>
                <w:rFonts w:ascii="宋体" w:hAnsi="宋体" w:cs="宋体" w:eastAsia="宋体" w:hint="default"/>
                <w:sz w:val="18"/>
                <w:szCs w:val="18"/>
              </w:rPr>
              <w:t>期初账面价值</w:t>
            </w:r>
            <w:r>
              <w:rPr>
                <w:rFonts w:ascii="宋体" w:hAnsi="宋体" w:cs="宋体" w:eastAsia="宋体" w:hint="default"/>
                <w:sz w:val="18"/>
                <w:szCs w:val="18"/>
              </w:rPr>
              <w:t> </w:t>
            </w:r>
          </w:p>
        </w:tc>
        <w:tc>
          <w:tcPr>
            <w:tcW w:w="3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2"/>
                <w:sz w:val="18"/>
              </w:rPr>
              <w:t> </w:t>
            </w:r>
            <w:r>
              <w:rPr>
                <w:rFonts w:ascii="宋体"/>
                <w:spacing w:val="-1"/>
                <w:sz w:val="18"/>
              </w:rPr>
              <w:t>80,486,033.41</w:t>
            </w:r>
            <w:r>
              <w:rPr>
                <w:rFonts w:ascii="宋体"/>
                <w:sz w:val="18"/>
              </w:rPr>
              <w:t> </w:t>
            </w:r>
          </w:p>
        </w:tc>
        <w:tc>
          <w:tcPr>
            <w:tcW w:w="3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2"/>
                <w:sz w:val="18"/>
              </w:rPr>
              <w:t> </w:t>
            </w:r>
            <w:r>
              <w:rPr>
                <w:rFonts w:ascii="宋体"/>
                <w:spacing w:val="-1"/>
                <w:sz w:val="18"/>
              </w:rPr>
              <w:t>80,486,033.41</w:t>
            </w:r>
            <w:r>
              <w:rPr>
                <w:rFonts w:ascii="宋体"/>
                <w:sz w:val="18"/>
              </w:rPr>
              <w:t> </w:t>
            </w:r>
          </w:p>
        </w:tc>
      </w:tr>
    </w:tbl>
    <w:p>
      <w:pPr>
        <w:spacing w:line="240" w:lineRule="auto" w:before="7"/>
        <w:rPr>
          <w:rFonts w:ascii="宋体" w:hAnsi="宋体" w:cs="宋体" w:eastAsia="宋体" w:hint="default"/>
          <w:sz w:val="6"/>
          <w:szCs w:val="6"/>
        </w:rPr>
      </w:pPr>
    </w:p>
    <w:p>
      <w:pPr>
        <w:pStyle w:val="BodyText"/>
        <w:spacing w:line="240" w:lineRule="auto" w:before="36"/>
        <w:ind w:left="566" w:right="1146"/>
        <w:jc w:val="left"/>
        <w:rPr>
          <w:rFonts w:ascii="宋体" w:hAnsi="宋体" w:cs="宋体" w:eastAsia="宋体" w:hint="default"/>
        </w:rPr>
      </w:pPr>
      <w:r>
        <w:rPr>
          <w:rFonts w:ascii="宋体" w:hAnsi="宋体" w:cs="宋体" w:eastAsia="宋体" w:hint="default"/>
          <w:b/>
          <w:bCs/>
        </w:rPr>
        <w:t>2</w:t>
      </w:r>
      <w:r>
        <w:rPr>
          <w:rFonts w:ascii="宋体" w:hAnsi="宋体" w:cs="宋体" w:eastAsia="宋体" w:hint="default"/>
          <w:b/>
          <w:bCs/>
        </w:rPr>
        <w:t>、</w:t>
      </w:r>
      <w:r>
        <w:rPr/>
        <w:t>未办妥产权证书的土地使用权情况</w:t>
      </w:r>
      <w:r>
        <w:rPr>
          <w:rFonts w:ascii="宋体" w:hAnsi="宋体" w:cs="宋体" w:eastAsia="宋体" w:hint="default"/>
        </w:rPr>
        <w:t> </w:t>
      </w:r>
    </w:p>
    <w:p>
      <w:pPr>
        <w:spacing w:before="152"/>
        <w:ind w:left="714" w:right="7673" w:firstLine="0"/>
        <w:jc w:val="left"/>
        <w:rPr>
          <w:rFonts w:ascii="宋体" w:hAnsi="宋体" w:cs="宋体" w:eastAsia="宋体" w:hint="default"/>
          <w:sz w:val="21"/>
          <w:szCs w:val="21"/>
        </w:rPr>
      </w:pPr>
      <w:r>
        <w:rPr>
          <w:rFonts w:ascii="宋体" w:hAnsi="宋体" w:cs="宋体" w:eastAsia="宋体" w:hint="default"/>
          <w:sz w:val="21"/>
          <w:szCs w:val="21"/>
        </w:rPr>
        <w:t>无</w:t>
      </w:r>
      <w:r>
        <w:rPr>
          <w:rFonts w:ascii="宋体" w:hAnsi="宋体" w:cs="宋体" w:eastAsia="宋体" w:hint="default"/>
          <w:b/>
          <w:bCs/>
          <w:w w:val="99"/>
          <w:sz w:val="21"/>
          <w:szCs w:val="21"/>
        </w:rPr>
        <w:t> </w:t>
      </w:r>
      <w:r>
        <w:rPr>
          <w:rFonts w:ascii="宋体" w:hAnsi="宋体" w:cs="宋体" w:eastAsia="宋体" w:hint="default"/>
          <w:sz w:val="21"/>
          <w:szCs w:val="21"/>
        </w:rPr>
      </w:r>
    </w:p>
    <w:p>
      <w:pPr>
        <w:spacing w:line="372" w:lineRule="auto" w:before="154"/>
        <w:ind w:left="354" w:right="7673" w:hanging="70"/>
        <w:jc w:val="left"/>
        <w:rPr>
          <w:rFonts w:ascii="宋体" w:hAnsi="宋体" w:cs="宋体" w:eastAsia="宋体" w:hint="default"/>
          <w:sz w:val="21"/>
          <w:szCs w:val="21"/>
        </w:rPr>
      </w:pPr>
      <w:r>
        <w:rPr>
          <w:rFonts w:ascii="宋体" w:hAnsi="宋体" w:cs="宋体" w:eastAsia="宋体" w:hint="default"/>
          <w:b/>
          <w:bCs/>
          <w:sz w:val="21"/>
          <w:szCs w:val="21"/>
        </w:rPr>
        <w:t>（十四）商誉</w:t>
      </w:r>
      <w:r>
        <w:rPr>
          <w:rFonts w:ascii="宋体" w:hAnsi="宋体" w:cs="宋体" w:eastAsia="宋体" w:hint="default"/>
          <w:b/>
          <w:bCs/>
          <w:w w:val="99"/>
          <w:sz w:val="21"/>
          <w:szCs w:val="21"/>
        </w:rPr>
        <w:t> </w:t>
      </w:r>
      <w:r>
        <w:rPr>
          <w:rFonts w:ascii="宋体" w:hAnsi="宋体" w:cs="宋体" w:eastAsia="宋体" w:hint="default"/>
          <w:b/>
          <w:bCs/>
          <w:sz w:val="21"/>
          <w:szCs w:val="21"/>
        </w:rPr>
        <w:t>1</w:t>
      </w:r>
      <w:r>
        <w:rPr>
          <w:rFonts w:ascii="宋体" w:hAnsi="宋体" w:cs="宋体" w:eastAsia="宋体" w:hint="default"/>
          <w:b/>
          <w:bCs/>
          <w:sz w:val="21"/>
          <w:szCs w:val="21"/>
        </w:rPr>
        <w:t>、</w:t>
      </w:r>
      <w:r>
        <w:rPr>
          <w:rFonts w:ascii="宋体" w:hAnsi="宋体" w:cs="宋体" w:eastAsia="宋体" w:hint="default"/>
          <w:sz w:val="21"/>
          <w:szCs w:val="21"/>
        </w:rPr>
        <w:t>商誉账面原值</w:t>
      </w:r>
      <w:r>
        <w:rPr>
          <w:rFonts w:ascii="宋体" w:hAnsi="宋体" w:cs="宋体" w:eastAsia="宋体" w:hint="default"/>
          <w:sz w:val="21"/>
          <w:szCs w:val="21"/>
        </w:rPr>
        <w:t> </w:t>
      </w:r>
    </w:p>
    <w:p>
      <w:pPr>
        <w:spacing w:after="0" w:line="372" w:lineRule="auto"/>
        <w:jc w:val="left"/>
        <w:rPr>
          <w:rFonts w:ascii="宋体" w:hAnsi="宋体" w:cs="宋体" w:eastAsia="宋体" w:hint="default"/>
          <w:sz w:val="21"/>
          <w:szCs w:val="21"/>
        </w:rPr>
        <w:sectPr>
          <w:pgSz w:w="11910" w:h="16840"/>
          <w:pgMar w:header="880" w:footer="975" w:top="1100" w:bottom="1160" w:left="1160" w:right="0"/>
        </w:sectPr>
      </w:pPr>
    </w:p>
    <w:p>
      <w:pPr>
        <w:spacing w:line="240" w:lineRule="auto" w:before="8"/>
        <w:rPr>
          <w:rFonts w:ascii="宋体" w:hAnsi="宋体" w:cs="宋体" w:eastAsia="宋体" w:hint="default"/>
          <w:sz w:val="24"/>
          <w:szCs w:val="24"/>
        </w:rPr>
      </w:pPr>
    </w:p>
    <w:tbl>
      <w:tblPr>
        <w:tblW w:w="0" w:type="auto"/>
        <w:jc w:val="left"/>
        <w:tblInd w:w="113" w:type="dxa"/>
        <w:tblLayout w:type="fixed"/>
        <w:tblCellMar>
          <w:top w:w="0" w:type="dxa"/>
          <w:left w:w="0" w:type="dxa"/>
          <w:bottom w:w="0" w:type="dxa"/>
          <w:right w:w="0" w:type="dxa"/>
        </w:tblCellMar>
        <w:tblLook w:val="01E0"/>
      </w:tblPr>
      <w:tblGrid>
        <w:gridCol w:w="2951"/>
        <w:gridCol w:w="1692"/>
        <w:gridCol w:w="1527"/>
        <w:gridCol w:w="696"/>
        <w:gridCol w:w="586"/>
        <w:gridCol w:w="595"/>
        <w:gridCol w:w="1693"/>
      </w:tblGrid>
      <w:tr>
        <w:trPr>
          <w:trHeight w:val="634" w:hRule="exact"/>
        </w:trPr>
        <w:tc>
          <w:tcPr>
            <w:tcW w:w="2951"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20" w:right="0"/>
              <w:jc w:val="left"/>
              <w:rPr>
                <w:rFonts w:ascii="宋体" w:hAnsi="宋体" w:cs="宋体" w:eastAsia="宋体" w:hint="default"/>
                <w:sz w:val="18"/>
                <w:szCs w:val="18"/>
              </w:rPr>
            </w:pPr>
            <w:r>
              <w:rPr>
                <w:rFonts w:ascii="宋体" w:hAnsi="宋体" w:cs="宋体" w:eastAsia="宋体" w:hint="default"/>
                <w:sz w:val="18"/>
                <w:szCs w:val="18"/>
              </w:rPr>
              <w:t>被投资单位名称或形成商誉的事项</w:t>
            </w:r>
            <w:r>
              <w:rPr>
                <w:rFonts w:ascii="宋体" w:hAnsi="宋体" w:cs="宋体" w:eastAsia="宋体" w:hint="default"/>
                <w:sz w:val="18"/>
                <w:szCs w:val="18"/>
              </w:rPr>
              <w:t> </w:t>
            </w:r>
          </w:p>
        </w:tc>
        <w:tc>
          <w:tcPr>
            <w:tcW w:w="169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80"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c>
          <w:tcPr>
            <w:tcW w:w="222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746" w:right="0"/>
              <w:jc w:val="left"/>
              <w:rPr>
                <w:rFonts w:ascii="宋体" w:hAnsi="宋体" w:cs="宋体" w:eastAsia="宋体" w:hint="default"/>
                <w:sz w:val="18"/>
                <w:szCs w:val="18"/>
              </w:rPr>
            </w:pPr>
            <w:r>
              <w:rPr>
                <w:rFonts w:ascii="宋体" w:hAnsi="宋体" w:cs="宋体" w:eastAsia="宋体" w:hint="default"/>
                <w:sz w:val="18"/>
                <w:szCs w:val="18"/>
              </w:rPr>
              <w:t>本期增加</w:t>
            </w:r>
            <w:r>
              <w:rPr>
                <w:rFonts w:ascii="宋体" w:hAnsi="宋体" w:cs="宋体" w:eastAsia="宋体" w:hint="default"/>
                <w:sz w:val="18"/>
                <w:szCs w:val="18"/>
              </w:rPr>
              <w:t> </w:t>
            </w:r>
          </w:p>
        </w:tc>
        <w:tc>
          <w:tcPr>
            <w:tcW w:w="118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25" w:right="0"/>
              <w:jc w:val="left"/>
              <w:rPr>
                <w:rFonts w:ascii="宋体" w:hAnsi="宋体" w:cs="宋体" w:eastAsia="宋体" w:hint="default"/>
                <w:sz w:val="18"/>
                <w:szCs w:val="18"/>
              </w:rPr>
            </w:pPr>
            <w:r>
              <w:rPr>
                <w:rFonts w:ascii="宋体" w:hAnsi="宋体" w:cs="宋体" w:eastAsia="宋体" w:hint="default"/>
                <w:sz w:val="18"/>
                <w:szCs w:val="18"/>
              </w:rPr>
              <w:t>本期减少</w:t>
            </w:r>
            <w:r>
              <w:rPr>
                <w:rFonts w:ascii="宋体" w:hAnsi="宋体" w:cs="宋体" w:eastAsia="宋体" w:hint="default"/>
                <w:sz w:val="18"/>
                <w:szCs w:val="18"/>
              </w:rPr>
              <w:t> </w:t>
            </w:r>
          </w:p>
        </w:tc>
        <w:tc>
          <w:tcPr>
            <w:tcW w:w="169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80"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r>
      <w:tr>
        <w:trPr>
          <w:trHeight w:val="634" w:hRule="exact"/>
        </w:trPr>
        <w:tc>
          <w:tcPr>
            <w:tcW w:w="2951" w:type="dxa"/>
            <w:vMerge/>
            <w:tcBorders>
              <w:left w:val="single" w:sz="4" w:space="0" w:color="000000"/>
              <w:bottom w:val="single" w:sz="4" w:space="0" w:color="000000"/>
              <w:right w:val="single" w:sz="4" w:space="0" w:color="000000"/>
            </w:tcBorders>
          </w:tcPr>
          <w:p>
            <w:pPr/>
          </w:p>
        </w:tc>
        <w:tc>
          <w:tcPr>
            <w:tcW w:w="1692" w:type="dxa"/>
            <w:vMerge/>
            <w:tcBorders>
              <w:left w:val="single" w:sz="4" w:space="0" w:color="000000"/>
              <w:bottom w:val="single" w:sz="4" w:space="0" w:color="000000"/>
              <w:right w:val="single" w:sz="4" w:space="0" w:color="000000"/>
            </w:tcBorders>
          </w:tcPr>
          <w:p>
            <w:pPr/>
          </w:p>
        </w:tc>
        <w:tc>
          <w:tcPr>
            <w:tcW w:w="1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37"/>
              <w:jc w:val="right"/>
              <w:rPr>
                <w:rFonts w:ascii="宋体" w:hAnsi="宋体" w:cs="宋体" w:eastAsia="宋体" w:hint="default"/>
                <w:sz w:val="18"/>
                <w:szCs w:val="18"/>
              </w:rPr>
            </w:pPr>
            <w:r>
              <w:rPr>
                <w:rFonts w:ascii="宋体" w:hAnsi="宋体" w:cs="宋体" w:eastAsia="宋体" w:hint="default"/>
                <w:sz w:val="18"/>
                <w:szCs w:val="18"/>
              </w:rPr>
              <w:t>企业合并形成的</w:t>
            </w:r>
            <w:r>
              <w:rPr>
                <w:rFonts w:ascii="宋体" w:hAnsi="宋体" w:cs="宋体" w:eastAsia="宋体" w:hint="default"/>
                <w:sz w:val="18"/>
                <w:szCs w:val="18"/>
              </w:rPr>
              <w:t> </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71"/>
              <w:jc w:val="right"/>
              <w:rPr>
                <w:rFonts w:ascii="宋体" w:hAnsi="宋体" w:cs="宋体" w:eastAsia="宋体" w:hint="default"/>
                <w:sz w:val="18"/>
                <w:szCs w:val="18"/>
              </w:rPr>
            </w:pPr>
            <w:r>
              <w:rPr>
                <w:rFonts w:ascii="宋体" w:hAnsi="宋体" w:cs="宋体" w:eastAsia="宋体" w:hint="default"/>
                <w:sz w:val="18"/>
                <w:szCs w:val="18"/>
              </w:rPr>
              <w:t>其他</w:t>
            </w:r>
            <w:r>
              <w:rPr>
                <w:rFonts w:ascii="宋体" w:hAnsi="宋体" w:cs="宋体" w:eastAsia="宋体" w:hint="default"/>
                <w:sz w:val="18"/>
                <w:szCs w:val="18"/>
              </w:rPr>
              <w:t> </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7"/>
              <w:jc w:val="right"/>
              <w:rPr>
                <w:rFonts w:ascii="宋体" w:hAnsi="宋体" w:cs="宋体" w:eastAsia="宋体" w:hint="default"/>
                <w:sz w:val="18"/>
                <w:szCs w:val="18"/>
              </w:rPr>
            </w:pPr>
            <w:r>
              <w:rPr>
                <w:rFonts w:ascii="宋体" w:hAnsi="宋体" w:cs="宋体" w:eastAsia="宋体" w:hint="default"/>
                <w:sz w:val="18"/>
                <w:szCs w:val="18"/>
              </w:rPr>
              <w:t>处置</w:t>
            </w:r>
            <w:r>
              <w:rPr>
                <w:rFonts w:ascii="宋体" w:hAnsi="宋体" w:cs="宋体" w:eastAsia="宋体" w:hint="default"/>
                <w:sz w:val="18"/>
                <w:szCs w:val="18"/>
              </w:rPr>
              <w:t> </w:t>
            </w:r>
          </w:p>
        </w:tc>
        <w:tc>
          <w:tcPr>
            <w:tcW w:w="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20"/>
              <w:jc w:val="right"/>
              <w:rPr>
                <w:rFonts w:ascii="宋体" w:hAnsi="宋体" w:cs="宋体" w:eastAsia="宋体" w:hint="default"/>
                <w:sz w:val="18"/>
                <w:szCs w:val="18"/>
              </w:rPr>
            </w:pPr>
            <w:r>
              <w:rPr>
                <w:rFonts w:ascii="宋体" w:hAnsi="宋体" w:cs="宋体" w:eastAsia="宋体" w:hint="default"/>
                <w:sz w:val="18"/>
                <w:szCs w:val="18"/>
              </w:rPr>
              <w:t>其他</w:t>
            </w:r>
            <w:r>
              <w:rPr>
                <w:rFonts w:ascii="宋体" w:hAnsi="宋体" w:cs="宋体" w:eastAsia="宋体" w:hint="default"/>
                <w:sz w:val="18"/>
                <w:szCs w:val="18"/>
              </w:rPr>
              <w:t> </w:t>
            </w:r>
          </w:p>
        </w:tc>
        <w:tc>
          <w:tcPr>
            <w:tcW w:w="1693" w:type="dxa"/>
            <w:vMerge/>
            <w:tcBorders>
              <w:left w:val="single" w:sz="4" w:space="0" w:color="000000"/>
              <w:bottom w:val="single" w:sz="4" w:space="0" w:color="000000"/>
              <w:right w:val="single" w:sz="4" w:space="0" w:color="000000"/>
            </w:tcBorders>
          </w:tcPr>
          <w:p>
            <w:pPr/>
          </w:p>
        </w:tc>
      </w:tr>
      <w:tr>
        <w:trPr>
          <w:trHeight w:val="398" w:hRule="exact"/>
        </w:trPr>
        <w:tc>
          <w:tcPr>
            <w:tcW w:w="2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广东长实通信科技有限公司</w:t>
            </w:r>
            <w:r>
              <w:rPr>
                <w:rFonts w:ascii="宋体" w:hAnsi="宋体" w:cs="宋体" w:eastAsia="宋体" w:hint="default"/>
                <w:sz w:val="18"/>
                <w:szCs w:val="18"/>
              </w:rPr>
              <w:t> </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 </w:t>
            </w:r>
            <w:r>
              <w:rPr>
                <w:rFonts w:ascii="宋体"/>
                <w:spacing w:val="-1"/>
                <w:sz w:val="18"/>
              </w:rPr>
              <w:t>994,349,406.56</w:t>
            </w:r>
            <w:r>
              <w:rPr>
                <w:rFonts w:ascii="宋体"/>
                <w:sz w:val="18"/>
              </w:rPr>
              <w:t> </w:t>
            </w:r>
          </w:p>
        </w:tc>
        <w:tc>
          <w:tcPr>
            <w:tcW w:w="1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 </w:t>
            </w:r>
            <w:r>
              <w:rPr>
                <w:rFonts w:ascii="宋体"/>
                <w:sz w:val="18"/>
              </w:rPr>
              <w:t>- </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z w:val="18"/>
              </w:rPr>
              <w:t> </w:t>
            </w:r>
          </w:p>
        </w:tc>
        <w:tc>
          <w:tcPr>
            <w:tcW w:w="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1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 </w:t>
            </w:r>
            <w:r>
              <w:rPr>
                <w:rFonts w:ascii="宋体"/>
                <w:spacing w:val="-1"/>
                <w:sz w:val="18"/>
              </w:rPr>
              <w:t>994,349,406.56</w:t>
            </w:r>
            <w:r>
              <w:rPr>
                <w:rFonts w:ascii="宋体"/>
                <w:sz w:val="18"/>
              </w:rPr>
              <w:t> </w:t>
            </w:r>
          </w:p>
        </w:tc>
      </w:tr>
      <w:tr>
        <w:trPr>
          <w:trHeight w:val="396" w:hRule="exact"/>
        </w:trPr>
        <w:tc>
          <w:tcPr>
            <w:tcW w:w="2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北京创世漫道科技有限公司</w:t>
            </w:r>
            <w:r>
              <w:rPr>
                <w:rFonts w:ascii="宋体" w:hAnsi="宋体" w:cs="宋体" w:eastAsia="宋体" w:hint="default"/>
                <w:sz w:val="18"/>
                <w:szCs w:val="18"/>
              </w:rPr>
              <w:t> </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 </w:t>
            </w:r>
            <w:r>
              <w:rPr>
                <w:rFonts w:ascii="宋体"/>
                <w:spacing w:val="-1"/>
                <w:sz w:val="18"/>
              </w:rPr>
              <w:t>744,562,994.84</w:t>
            </w:r>
            <w:r>
              <w:rPr>
                <w:rFonts w:ascii="宋体"/>
                <w:sz w:val="18"/>
              </w:rPr>
              <w:t> </w:t>
            </w:r>
          </w:p>
        </w:tc>
        <w:tc>
          <w:tcPr>
            <w:tcW w:w="1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 </w:t>
            </w:r>
            <w:r>
              <w:rPr>
                <w:rFonts w:ascii="宋体"/>
                <w:sz w:val="18"/>
              </w:rPr>
              <w:t>- </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z w:val="18"/>
              </w:rPr>
              <w:t> </w:t>
            </w:r>
          </w:p>
        </w:tc>
        <w:tc>
          <w:tcPr>
            <w:tcW w:w="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1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 </w:t>
            </w:r>
            <w:r>
              <w:rPr>
                <w:rFonts w:ascii="宋体"/>
                <w:spacing w:val="-1"/>
                <w:sz w:val="18"/>
              </w:rPr>
              <w:t>744,562,994.84</w:t>
            </w:r>
            <w:r>
              <w:rPr>
                <w:rFonts w:ascii="宋体"/>
                <w:sz w:val="18"/>
              </w:rPr>
              <w:t> </w:t>
            </w:r>
          </w:p>
        </w:tc>
      </w:tr>
      <w:tr>
        <w:trPr>
          <w:trHeight w:val="398" w:hRule="exact"/>
        </w:trPr>
        <w:tc>
          <w:tcPr>
            <w:tcW w:w="2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新丝路融资租赁（深圳）有限公司</w:t>
            </w:r>
            <w:r>
              <w:rPr>
                <w:rFonts w:ascii="宋体" w:hAnsi="宋体" w:cs="宋体" w:eastAsia="宋体" w:hint="default"/>
                <w:sz w:val="18"/>
                <w:szCs w:val="18"/>
              </w:rPr>
              <w:t> </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 </w:t>
            </w:r>
            <w:r>
              <w:rPr>
                <w:rFonts w:ascii="宋体"/>
                <w:spacing w:val="-1"/>
                <w:sz w:val="18"/>
              </w:rPr>
              <w:t>1.00</w:t>
            </w:r>
            <w:r>
              <w:rPr>
                <w:rFonts w:ascii="宋体"/>
                <w:sz w:val="18"/>
              </w:rPr>
              <w:t> </w:t>
            </w:r>
          </w:p>
        </w:tc>
        <w:tc>
          <w:tcPr>
            <w:tcW w:w="1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 </w:t>
            </w:r>
            <w:r>
              <w:rPr>
                <w:rFonts w:ascii="宋体"/>
                <w:sz w:val="18"/>
              </w:rPr>
              <w:t>- </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z w:val="18"/>
              </w:rPr>
              <w:t> </w:t>
            </w:r>
          </w:p>
        </w:tc>
        <w:tc>
          <w:tcPr>
            <w:tcW w:w="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1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 </w:t>
            </w:r>
            <w:r>
              <w:rPr>
                <w:rFonts w:ascii="宋体"/>
                <w:spacing w:val="-1"/>
                <w:sz w:val="18"/>
              </w:rPr>
              <w:t>1.00</w:t>
            </w:r>
            <w:r>
              <w:rPr>
                <w:rFonts w:ascii="宋体"/>
                <w:sz w:val="18"/>
              </w:rPr>
              <w:t> </w:t>
            </w:r>
          </w:p>
        </w:tc>
      </w:tr>
      <w:tr>
        <w:trPr>
          <w:trHeight w:val="403" w:hRule="exact"/>
        </w:trPr>
        <w:tc>
          <w:tcPr>
            <w:tcW w:w="2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北京中天嘉华信息技术有限公司</w:t>
            </w:r>
            <w:r>
              <w:rPr>
                <w:rFonts w:ascii="宋体" w:hAnsi="宋体" w:cs="宋体" w:eastAsia="宋体" w:hint="default"/>
                <w:sz w:val="18"/>
                <w:szCs w:val="18"/>
              </w:rPr>
              <w:t> </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2"/>
              <w:jc w:val="right"/>
              <w:rPr>
                <w:rFonts w:ascii="宋体" w:hAnsi="宋体" w:cs="宋体" w:eastAsia="宋体" w:hint="default"/>
                <w:sz w:val="18"/>
                <w:szCs w:val="18"/>
              </w:rPr>
            </w:pPr>
            <w:r>
              <w:rPr>
                <w:rFonts w:ascii="宋体"/>
                <w:spacing w:val="-1"/>
                <w:sz w:val="18"/>
              </w:rPr>
              <w:t>1,232,627,130.62</w:t>
            </w:r>
            <w:r>
              <w:rPr>
                <w:rFonts w:ascii="宋体"/>
                <w:sz w:val="18"/>
              </w:rPr>
              <w:t> </w:t>
            </w:r>
          </w:p>
        </w:tc>
        <w:tc>
          <w:tcPr>
            <w:tcW w:w="1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
              <w:jc w:val="right"/>
              <w:rPr>
                <w:rFonts w:ascii="宋体" w:hAnsi="宋体" w:cs="宋体" w:eastAsia="宋体" w:hint="default"/>
                <w:sz w:val="18"/>
                <w:szCs w:val="18"/>
              </w:rPr>
            </w:pPr>
            <w:r>
              <w:rPr>
                <w:rFonts w:ascii="宋体"/>
                <w:spacing w:val="1"/>
                <w:sz w:val="18"/>
              </w:rPr>
              <w:t> </w:t>
            </w:r>
            <w:r>
              <w:rPr>
                <w:rFonts w:ascii="宋体"/>
                <w:sz w:val="18"/>
              </w:rPr>
              <w:t>- </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
              <w:jc w:val="right"/>
              <w:rPr>
                <w:rFonts w:ascii="宋体" w:hAnsi="宋体" w:cs="宋体" w:eastAsia="宋体" w:hint="default"/>
                <w:sz w:val="18"/>
                <w:szCs w:val="18"/>
              </w:rPr>
            </w:pPr>
            <w:r>
              <w:rPr>
                <w:rFonts w:ascii="宋体"/>
                <w:sz w:val="18"/>
              </w:rPr>
              <w:t> </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
              <w:jc w:val="right"/>
              <w:rPr>
                <w:rFonts w:ascii="宋体" w:hAnsi="宋体" w:cs="宋体" w:eastAsia="宋体" w:hint="default"/>
                <w:sz w:val="18"/>
                <w:szCs w:val="18"/>
              </w:rPr>
            </w:pPr>
            <w:r>
              <w:rPr>
                <w:rFonts w:ascii="宋体"/>
                <w:sz w:val="18"/>
              </w:rPr>
              <w:t> </w:t>
            </w:r>
          </w:p>
        </w:tc>
        <w:tc>
          <w:tcPr>
            <w:tcW w:w="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
              <w:jc w:val="right"/>
              <w:rPr>
                <w:rFonts w:ascii="宋体" w:hAnsi="宋体" w:cs="宋体" w:eastAsia="宋体" w:hint="default"/>
                <w:sz w:val="18"/>
                <w:szCs w:val="18"/>
              </w:rPr>
            </w:pPr>
            <w:r>
              <w:rPr>
                <w:rFonts w:ascii="宋体"/>
                <w:sz w:val="18"/>
              </w:rPr>
              <w:t> </w:t>
            </w:r>
          </w:p>
        </w:tc>
        <w:tc>
          <w:tcPr>
            <w:tcW w:w="1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2"/>
              <w:jc w:val="right"/>
              <w:rPr>
                <w:rFonts w:ascii="宋体" w:hAnsi="宋体" w:cs="宋体" w:eastAsia="宋体" w:hint="default"/>
                <w:sz w:val="18"/>
                <w:szCs w:val="18"/>
              </w:rPr>
            </w:pPr>
            <w:r>
              <w:rPr>
                <w:rFonts w:ascii="宋体"/>
                <w:spacing w:val="-1"/>
                <w:sz w:val="18"/>
              </w:rPr>
              <w:t>1,232,627,130.62</w:t>
            </w:r>
            <w:r>
              <w:rPr>
                <w:rFonts w:ascii="宋体"/>
                <w:sz w:val="18"/>
              </w:rPr>
              <w:t> </w:t>
            </w:r>
          </w:p>
        </w:tc>
      </w:tr>
      <w:tr>
        <w:trPr>
          <w:trHeight w:val="420" w:hRule="exact"/>
        </w:trPr>
        <w:tc>
          <w:tcPr>
            <w:tcW w:w="2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华赢融资租赁（深圳）有限公司</w:t>
            </w:r>
            <w:r>
              <w:rPr>
                <w:rFonts w:ascii="宋体" w:hAnsi="宋体" w:cs="宋体" w:eastAsia="宋体" w:hint="default"/>
                <w:sz w:val="18"/>
                <w:szCs w:val="18"/>
              </w:rPr>
              <w:t> </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1"/>
              <w:jc w:val="right"/>
              <w:rPr>
                <w:rFonts w:ascii="宋体" w:hAnsi="宋体" w:cs="宋体" w:eastAsia="宋体" w:hint="default"/>
                <w:sz w:val="18"/>
                <w:szCs w:val="18"/>
              </w:rPr>
            </w:pPr>
            <w:r>
              <w:rPr>
                <w:rFonts w:ascii="宋体"/>
                <w:spacing w:val="1"/>
                <w:sz w:val="18"/>
              </w:rPr>
              <w:t> </w:t>
            </w:r>
            <w:r>
              <w:rPr>
                <w:rFonts w:ascii="宋体"/>
                <w:spacing w:val="-1"/>
                <w:sz w:val="18"/>
              </w:rPr>
              <w:t>1.00</w:t>
            </w:r>
            <w:r>
              <w:rPr>
                <w:rFonts w:ascii="宋体"/>
                <w:sz w:val="18"/>
              </w:rPr>
              <w:t> </w:t>
            </w:r>
          </w:p>
        </w:tc>
        <w:tc>
          <w:tcPr>
            <w:tcW w:w="1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1"/>
              <w:jc w:val="right"/>
              <w:rPr>
                <w:rFonts w:ascii="宋体" w:hAnsi="宋体" w:cs="宋体" w:eastAsia="宋体" w:hint="default"/>
                <w:sz w:val="18"/>
                <w:szCs w:val="18"/>
              </w:rPr>
            </w:pPr>
            <w:r>
              <w:rPr>
                <w:rFonts w:ascii="宋体"/>
                <w:spacing w:val="1"/>
                <w:sz w:val="18"/>
              </w:rPr>
              <w:t> </w:t>
            </w:r>
            <w:r>
              <w:rPr>
                <w:rFonts w:ascii="宋体"/>
                <w:sz w:val="18"/>
              </w:rPr>
              <w:t>- </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1"/>
              <w:jc w:val="right"/>
              <w:rPr>
                <w:rFonts w:ascii="宋体" w:hAnsi="宋体" w:cs="宋体" w:eastAsia="宋体" w:hint="default"/>
                <w:sz w:val="18"/>
                <w:szCs w:val="18"/>
              </w:rPr>
            </w:pPr>
            <w:r>
              <w:rPr>
                <w:rFonts w:ascii="宋体"/>
                <w:sz w:val="18"/>
              </w:rPr>
              <w:t> </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8"/>
              <w:jc w:val="right"/>
              <w:rPr>
                <w:rFonts w:ascii="宋体" w:hAnsi="宋体" w:cs="宋体" w:eastAsia="宋体" w:hint="default"/>
                <w:sz w:val="18"/>
                <w:szCs w:val="18"/>
              </w:rPr>
            </w:pPr>
            <w:r>
              <w:rPr>
                <w:rFonts w:ascii="宋体"/>
                <w:sz w:val="18"/>
              </w:rPr>
              <w:t> </w:t>
            </w:r>
          </w:p>
        </w:tc>
        <w:tc>
          <w:tcPr>
            <w:tcW w:w="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1"/>
              <w:jc w:val="right"/>
              <w:rPr>
                <w:rFonts w:ascii="宋体" w:hAnsi="宋体" w:cs="宋体" w:eastAsia="宋体" w:hint="default"/>
                <w:sz w:val="18"/>
                <w:szCs w:val="18"/>
              </w:rPr>
            </w:pPr>
            <w:r>
              <w:rPr>
                <w:rFonts w:ascii="宋体"/>
                <w:sz w:val="18"/>
              </w:rPr>
              <w:t> </w:t>
            </w:r>
          </w:p>
        </w:tc>
        <w:tc>
          <w:tcPr>
            <w:tcW w:w="1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1"/>
              <w:ind w:right="11"/>
              <w:jc w:val="right"/>
              <w:rPr>
                <w:rFonts w:ascii="宋体" w:hAnsi="宋体" w:cs="宋体" w:eastAsia="宋体" w:hint="default"/>
                <w:sz w:val="18"/>
                <w:szCs w:val="18"/>
              </w:rPr>
            </w:pPr>
            <w:r>
              <w:rPr>
                <w:rFonts w:ascii="宋体"/>
                <w:spacing w:val="1"/>
                <w:sz w:val="18"/>
              </w:rPr>
              <w:t> </w:t>
            </w:r>
            <w:r>
              <w:rPr>
                <w:rFonts w:ascii="宋体"/>
                <w:spacing w:val="-1"/>
                <w:sz w:val="18"/>
              </w:rPr>
              <w:t>1.00</w:t>
            </w:r>
            <w:r>
              <w:rPr>
                <w:rFonts w:ascii="宋体"/>
                <w:sz w:val="18"/>
              </w:rPr>
              <w:t> </w:t>
            </w:r>
          </w:p>
        </w:tc>
      </w:tr>
      <w:tr>
        <w:trPr>
          <w:trHeight w:val="473" w:hRule="exact"/>
        </w:trPr>
        <w:tc>
          <w:tcPr>
            <w:tcW w:w="2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南京石鼓文信息技术有限公司</w:t>
            </w:r>
            <w:r>
              <w:rPr>
                <w:rFonts w:ascii="宋体" w:hAnsi="宋体" w:cs="宋体" w:eastAsia="宋体" w:hint="default"/>
                <w:sz w:val="18"/>
                <w:szCs w:val="18"/>
              </w:rPr>
              <w:t> </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1"/>
              <w:jc w:val="right"/>
              <w:rPr>
                <w:rFonts w:ascii="宋体" w:hAnsi="宋体" w:cs="宋体" w:eastAsia="宋体" w:hint="default"/>
                <w:sz w:val="18"/>
                <w:szCs w:val="18"/>
              </w:rPr>
            </w:pPr>
            <w:r>
              <w:rPr>
                <w:rFonts w:ascii="宋体"/>
                <w:sz w:val="18"/>
              </w:rPr>
              <w:t> </w:t>
            </w:r>
          </w:p>
        </w:tc>
        <w:tc>
          <w:tcPr>
            <w:tcW w:w="1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2"/>
              <w:jc w:val="right"/>
              <w:rPr>
                <w:rFonts w:ascii="宋体" w:hAnsi="宋体" w:cs="宋体" w:eastAsia="宋体" w:hint="default"/>
                <w:sz w:val="18"/>
                <w:szCs w:val="18"/>
              </w:rPr>
            </w:pPr>
            <w:r>
              <w:rPr>
                <w:rFonts w:ascii="宋体"/>
                <w:spacing w:val="1"/>
                <w:sz w:val="18"/>
              </w:rPr>
              <w:t> </w:t>
            </w:r>
            <w:r>
              <w:rPr>
                <w:rFonts w:ascii="宋体"/>
                <w:spacing w:val="-1"/>
                <w:sz w:val="18"/>
              </w:rPr>
              <w:t>477,952.30</w:t>
            </w:r>
            <w:r>
              <w:rPr>
                <w:rFonts w:ascii="宋体"/>
                <w:sz w:val="18"/>
              </w:rPr>
              <w:t> </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1"/>
              <w:jc w:val="right"/>
              <w:rPr>
                <w:rFonts w:ascii="宋体" w:hAnsi="宋体" w:cs="宋体" w:eastAsia="宋体" w:hint="default"/>
                <w:sz w:val="18"/>
                <w:szCs w:val="18"/>
              </w:rPr>
            </w:pPr>
            <w:r>
              <w:rPr>
                <w:rFonts w:ascii="宋体"/>
                <w:sz w:val="18"/>
              </w:rPr>
              <w:t> </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8"/>
              <w:jc w:val="right"/>
              <w:rPr>
                <w:rFonts w:ascii="宋体" w:hAnsi="宋体" w:cs="宋体" w:eastAsia="宋体" w:hint="default"/>
                <w:sz w:val="18"/>
                <w:szCs w:val="18"/>
              </w:rPr>
            </w:pPr>
            <w:r>
              <w:rPr>
                <w:rFonts w:ascii="宋体"/>
                <w:sz w:val="18"/>
              </w:rPr>
              <w:t> </w:t>
            </w:r>
          </w:p>
        </w:tc>
        <w:tc>
          <w:tcPr>
            <w:tcW w:w="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1"/>
              <w:jc w:val="right"/>
              <w:rPr>
                <w:rFonts w:ascii="宋体" w:hAnsi="宋体" w:cs="宋体" w:eastAsia="宋体" w:hint="default"/>
                <w:sz w:val="18"/>
                <w:szCs w:val="18"/>
              </w:rPr>
            </w:pPr>
            <w:r>
              <w:rPr>
                <w:rFonts w:ascii="宋体"/>
                <w:sz w:val="18"/>
              </w:rPr>
              <w:t> </w:t>
            </w:r>
          </w:p>
        </w:tc>
        <w:tc>
          <w:tcPr>
            <w:tcW w:w="1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12"/>
              <w:jc w:val="right"/>
              <w:rPr>
                <w:rFonts w:ascii="宋体" w:hAnsi="宋体" w:cs="宋体" w:eastAsia="宋体" w:hint="default"/>
                <w:sz w:val="18"/>
                <w:szCs w:val="18"/>
              </w:rPr>
            </w:pPr>
            <w:r>
              <w:rPr>
                <w:rFonts w:ascii="宋体"/>
                <w:spacing w:val="1"/>
                <w:sz w:val="18"/>
              </w:rPr>
              <w:t> </w:t>
            </w:r>
            <w:r>
              <w:rPr>
                <w:rFonts w:ascii="宋体"/>
                <w:spacing w:val="-1"/>
                <w:sz w:val="18"/>
              </w:rPr>
              <w:t>477,952.30</w:t>
            </w:r>
            <w:r>
              <w:rPr>
                <w:rFonts w:ascii="宋体"/>
                <w:sz w:val="18"/>
              </w:rPr>
              <w:t> </w:t>
            </w:r>
          </w:p>
        </w:tc>
      </w:tr>
      <w:tr>
        <w:trPr>
          <w:trHeight w:val="396" w:hRule="exact"/>
        </w:trPr>
        <w:tc>
          <w:tcPr>
            <w:tcW w:w="2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2,971,539,534.02 </w:t>
            </w:r>
          </w:p>
        </w:tc>
        <w:tc>
          <w:tcPr>
            <w:tcW w:w="1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477,952.30 </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c>
          <w:tcPr>
            <w:tcW w:w="5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z w:val="18"/>
              </w:rPr>
              <w:t> </w:t>
            </w:r>
          </w:p>
        </w:tc>
        <w:tc>
          <w:tcPr>
            <w:tcW w:w="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c>
          <w:tcPr>
            <w:tcW w:w="1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
              <w:jc w:val="right"/>
              <w:rPr>
                <w:rFonts w:ascii="宋体" w:hAnsi="宋体" w:cs="宋体" w:eastAsia="宋体" w:hint="default"/>
                <w:sz w:val="18"/>
                <w:szCs w:val="18"/>
              </w:rPr>
            </w:pPr>
            <w:r>
              <w:rPr>
                <w:rFonts w:ascii="宋体"/>
                <w:spacing w:val="-1"/>
                <w:sz w:val="18"/>
              </w:rPr>
              <w:t>2,972,017,486.32</w:t>
            </w:r>
            <w:r>
              <w:rPr>
                <w:rFonts w:ascii="宋体"/>
                <w:sz w:val="18"/>
              </w:rPr>
              <w:t> </w:t>
            </w:r>
          </w:p>
        </w:tc>
      </w:tr>
    </w:tbl>
    <w:p>
      <w:pPr>
        <w:spacing w:line="240" w:lineRule="auto" w:before="8"/>
        <w:rPr>
          <w:rFonts w:ascii="宋体" w:hAnsi="宋体" w:cs="宋体" w:eastAsia="宋体" w:hint="default"/>
          <w:sz w:val="6"/>
          <w:szCs w:val="6"/>
        </w:rPr>
      </w:pPr>
    </w:p>
    <w:p>
      <w:pPr>
        <w:spacing w:before="36"/>
        <w:ind w:left="666" w:right="0" w:firstLine="0"/>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w:t>
      </w:r>
      <w:r>
        <w:rPr>
          <w:rFonts w:ascii="宋体" w:hAnsi="宋体" w:cs="宋体" w:eastAsia="宋体" w:hint="default"/>
          <w:sz w:val="21"/>
          <w:szCs w:val="21"/>
        </w:rPr>
        <w:t>商誉减值准备</w:t>
      </w:r>
      <w:r>
        <w:rPr>
          <w:rFonts w:ascii="宋体" w:hAnsi="宋体" w:cs="宋体" w:eastAsia="宋体" w:hint="default"/>
          <w:sz w:val="21"/>
          <w:szCs w:val="21"/>
        </w:rPr>
        <w:t> </w:t>
      </w:r>
    </w:p>
    <w:p>
      <w:pPr>
        <w:spacing w:line="240" w:lineRule="auto" w:before="6"/>
        <w:rPr>
          <w:rFonts w:ascii="宋体" w:hAnsi="宋体" w:cs="宋体" w:eastAsia="宋体" w:hint="default"/>
          <w:sz w:val="14"/>
          <w:szCs w:val="14"/>
        </w:rPr>
      </w:pPr>
    </w:p>
    <w:tbl>
      <w:tblPr>
        <w:tblW w:w="0" w:type="auto"/>
        <w:jc w:val="left"/>
        <w:tblInd w:w="221" w:type="dxa"/>
        <w:tblLayout w:type="fixed"/>
        <w:tblCellMar>
          <w:top w:w="0" w:type="dxa"/>
          <w:left w:w="0" w:type="dxa"/>
          <w:bottom w:w="0" w:type="dxa"/>
          <w:right w:w="0" w:type="dxa"/>
        </w:tblCellMar>
        <w:tblLook w:val="01E0"/>
      </w:tblPr>
      <w:tblGrid>
        <w:gridCol w:w="2987"/>
        <w:gridCol w:w="1118"/>
        <w:gridCol w:w="1692"/>
        <w:gridCol w:w="816"/>
        <w:gridCol w:w="641"/>
        <w:gridCol w:w="696"/>
        <w:gridCol w:w="1664"/>
      </w:tblGrid>
      <w:tr>
        <w:trPr>
          <w:trHeight w:val="396" w:hRule="exact"/>
        </w:trPr>
        <w:tc>
          <w:tcPr>
            <w:tcW w:w="2987"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137" w:right="0"/>
              <w:jc w:val="left"/>
              <w:rPr>
                <w:rFonts w:ascii="宋体" w:hAnsi="宋体" w:cs="宋体" w:eastAsia="宋体" w:hint="default"/>
                <w:sz w:val="18"/>
                <w:szCs w:val="18"/>
              </w:rPr>
            </w:pPr>
            <w:r>
              <w:rPr>
                <w:rFonts w:ascii="宋体" w:hAnsi="宋体" w:cs="宋体" w:eastAsia="宋体" w:hint="default"/>
                <w:sz w:val="18"/>
                <w:szCs w:val="18"/>
              </w:rPr>
              <w:t>被投资单位名称或形成商誉的事项</w:t>
            </w:r>
            <w:r>
              <w:rPr>
                <w:rFonts w:ascii="宋体" w:hAnsi="宋体" w:cs="宋体" w:eastAsia="宋体" w:hint="default"/>
                <w:sz w:val="18"/>
                <w:szCs w:val="18"/>
              </w:rPr>
              <w:t> </w:t>
            </w:r>
          </w:p>
        </w:tc>
        <w:tc>
          <w:tcPr>
            <w:tcW w:w="1118"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194"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c>
          <w:tcPr>
            <w:tcW w:w="250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87" w:right="0"/>
              <w:jc w:val="left"/>
              <w:rPr>
                <w:rFonts w:ascii="宋体" w:hAnsi="宋体" w:cs="宋体" w:eastAsia="宋体" w:hint="default"/>
                <w:sz w:val="18"/>
                <w:szCs w:val="18"/>
              </w:rPr>
            </w:pPr>
            <w:r>
              <w:rPr>
                <w:rFonts w:ascii="宋体" w:hAnsi="宋体" w:cs="宋体" w:eastAsia="宋体" w:hint="default"/>
                <w:sz w:val="18"/>
                <w:szCs w:val="18"/>
              </w:rPr>
              <w:t>本期增加</w:t>
            </w:r>
            <w:r>
              <w:rPr>
                <w:rFonts w:ascii="宋体" w:hAnsi="宋体" w:cs="宋体" w:eastAsia="宋体" w:hint="default"/>
                <w:sz w:val="18"/>
                <w:szCs w:val="18"/>
              </w:rPr>
              <w:t> </w:t>
            </w:r>
          </w:p>
        </w:tc>
        <w:tc>
          <w:tcPr>
            <w:tcW w:w="133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304" w:right="0"/>
              <w:jc w:val="left"/>
              <w:rPr>
                <w:rFonts w:ascii="宋体" w:hAnsi="宋体" w:cs="宋体" w:eastAsia="宋体" w:hint="default"/>
                <w:sz w:val="18"/>
                <w:szCs w:val="18"/>
              </w:rPr>
            </w:pPr>
            <w:r>
              <w:rPr>
                <w:rFonts w:ascii="宋体" w:hAnsi="宋体" w:cs="宋体" w:eastAsia="宋体" w:hint="default"/>
                <w:sz w:val="18"/>
                <w:szCs w:val="18"/>
              </w:rPr>
              <w:t>本期减少</w:t>
            </w:r>
            <w:r>
              <w:rPr>
                <w:rFonts w:ascii="宋体" w:hAnsi="宋体" w:cs="宋体" w:eastAsia="宋体" w:hint="default"/>
                <w:sz w:val="18"/>
                <w:szCs w:val="18"/>
              </w:rPr>
              <w:t> </w:t>
            </w:r>
          </w:p>
        </w:tc>
        <w:tc>
          <w:tcPr>
            <w:tcW w:w="1664" w:type="dxa"/>
            <w:vMerge w:val="restart"/>
            <w:tcBorders>
              <w:top w:val="single" w:sz="4"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468"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r>
      <w:tr>
        <w:trPr>
          <w:trHeight w:val="473" w:hRule="exact"/>
        </w:trPr>
        <w:tc>
          <w:tcPr>
            <w:tcW w:w="2987" w:type="dxa"/>
            <w:vMerge/>
            <w:tcBorders>
              <w:left w:val="single" w:sz="4" w:space="0" w:color="000000"/>
              <w:bottom w:val="single" w:sz="4" w:space="0" w:color="000000"/>
              <w:right w:val="single" w:sz="4" w:space="0" w:color="000000"/>
            </w:tcBorders>
          </w:tcPr>
          <w:p>
            <w:pPr/>
          </w:p>
        </w:tc>
        <w:tc>
          <w:tcPr>
            <w:tcW w:w="1118" w:type="dxa"/>
            <w:vMerge/>
            <w:tcBorders>
              <w:left w:val="single" w:sz="4" w:space="0" w:color="000000"/>
              <w:bottom w:val="single" w:sz="4" w:space="0" w:color="000000"/>
              <w:right w:val="single" w:sz="4" w:space="0" w:color="000000"/>
            </w:tcBorders>
          </w:tcPr>
          <w:p>
            <w:pP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87" w:right="0"/>
              <w:jc w:val="center"/>
              <w:rPr>
                <w:rFonts w:ascii="宋体" w:hAnsi="宋体" w:cs="宋体" w:eastAsia="宋体" w:hint="default"/>
                <w:sz w:val="18"/>
                <w:szCs w:val="18"/>
              </w:rPr>
            </w:pPr>
            <w:r>
              <w:rPr>
                <w:rFonts w:ascii="宋体" w:hAnsi="宋体" w:cs="宋体" w:eastAsia="宋体" w:hint="default"/>
                <w:sz w:val="18"/>
                <w:szCs w:val="18"/>
              </w:rPr>
              <w:t>计提</w:t>
            </w:r>
            <w:r>
              <w:rPr>
                <w:rFonts w:ascii="宋体" w:hAnsi="宋体" w:cs="宋体" w:eastAsia="宋体" w:hint="default"/>
                <w:sz w:val="18"/>
                <w:szCs w:val="18"/>
              </w:rPr>
              <w:t> </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223" w:right="0"/>
              <w:jc w:val="left"/>
              <w:rPr>
                <w:rFonts w:ascii="宋体" w:hAnsi="宋体" w:cs="宋体" w:eastAsia="宋体" w:hint="default"/>
                <w:sz w:val="18"/>
                <w:szCs w:val="18"/>
              </w:rPr>
            </w:pPr>
            <w:r>
              <w:rPr>
                <w:rFonts w:ascii="宋体" w:hAnsi="宋体" w:cs="宋体" w:eastAsia="宋体" w:hint="default"/>
                <w:sz w:val="18"/>
                <w:szCs w:val="18"/>
              </w:rPr>
              <w:t>其他</w:t>
            </w:r>
            <w:r>
              <w:rPr>
                <w:rFonts w:ascii="宋体" w:hAnsi="宋体" w:cs="宋体" w:eastAsia="宋体" w:hint="default"/>
                <w:sz w:val="18"/>
                <w:szCs w:val="18"/>
              </w:rPr>
              <w:t> </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42"/>
              <w:jc w:val="right"/>
              <w:rPr>
                <w:rFonts w:ascii="宋体" w:hAnsi="宋体" w:cs="宋体" w:eastAsia="宋体" w:hint="default"/>
                <w:sz w:val="18"/>
                <w:szCs w:val="18"/>
              </w:rPr>
            </w:pPr>
            <w:r>
              <w:rPr>
                <w:rFonts w:ascii="宋体" w:hAnsi="宋体" w:cs="宋体" w:eastAsia="宋体" w:hint="default"/>
                <w:sz w:val="18"/>
                <w:szCs w:val="18"/>
              </w:rPr>
              <w:t>处置</w:t>
            </w:r>
            <w:r>
              <w:rPr>
                <w:rFonts w:ascii="宋体" w:hAnsi="宋体" w:cs="宋体" w:eastAsia="宋体" w:hint="default"/>
                <w:sz w:val="18"/>
                <w:szCs w:val="18"/>
              </w:rPr>
              <w:t> </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right="68"/>
              <w:jc w:val="right"/>
              <w:rPr>
                <w:rFonts w:ascii="宋体" w:hAnsi="宋体" w:cs="宋体" w:eastAsia="宋体" w:hint="default"/>
                <w:sz w:val="18"/>
                <w:szCs w:val="18"/>
              </w:rPr>
            </w:pPr>
            <w:r>
              <w:rPr>
                <w:rFonts w:ascii="宋体" w:hAnsi="宋体" w:cs="宋体" w:eastAsia="宋体" w:hint="default"/>
                <w:sz w:val="18"/>
                <w:szCs w:val="18"/>
              </w:rPr>
              <w:t>其他</w:t>
            </w:r>
            <w:r>
              <w:rPr>
                <w:rFonts w:ascii="宋体" w:hAnsi="宋体" w:cs="宋体" w:eastAsia="宋体" w:hint="default"/>
                <w:sz w:val="18"/>
                <w:szCs w:val="18"/>
              </w:rPr>
              <w:t> </w:t>
            </w:r>
          </w:p>
        </w:tc>
        <w:tc>
          <w:tcPr>
            <w:tcW w:w="1664" w:type="dxa"/>
            <w:vMerge/>
            <w:tcBorders>
              <w:left w:val="single" w:sz="4" w:space="0" w:color="000000"/>
              <w:bottom w:val="single" w:sz="4" w:space="0" w:color="000000"/>
              <w:right w:val="single" w:sz="4" w:space="0" w:color="000000"/>
            </w:tcBorders>
          </w:tcPr>
          <w:p>
            <w:pPr/>
          </w:p>
        </w:tc>
      </w:tr>
      <w:tr>
        <w:trPr>
          <w:trHeight w:val="396" w:hRule="exact"/>
        </w:trPr>
        <w:tc>
          <w:tcPr>
            <w:tcW w:w="29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广东长实通信科技有限公司</w:t>
            </w:r>
            <w:r>
              <w:rPr>
                <w:rFonts w:ascii="宋体" w:hAnsi="宋体" w:cs="宋体" w:eastAsia="宋体" w:hint="default"/>
                <w:sz w:val="18"/>
                <w:szCs w:val="18"/>
              </w:rPr>
              <w:t> </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739,260,000.00</w:t>
            </w:r>
            <w:r>
              <w:rPr>
                <w:rFonts w:ascii="宋体"/>
                <w:sz w:val="18"/>
              </w:rPr>
              <w:t> </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z w:val="18"/>
              </w:rPr>
              <w:t> </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z w:val="18"/>
              </w:rPr>
              <w:t> </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z w:val="18"/>
              </w:rPr>
              <w:t> </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
              <w:jc w:val="right"/>
              <w:rPr>
                <w:rFonts w:ascii="宋体" w:hAnsi="宋体" w:cs="宋体" w:eastAsia="宋体" w:hint="default"/>
                <w:sz w:val="18"/>
                <w:szCs w:val="18"/>
              </w:rPr>
            </w:pPr>
            <w:r>
              <w:rPr>
                <w:rFonts w:ascii="宋体"/>
                <w:spacing w:val="-1"/>
                <w:sz w:val="18"/>
              </w:rPr>
              <w:t>739,260,000.00</w:t>
            </w:r>
            <w:r>
              <w:rPr>
                <w:rFonts w:ascii="宋体"/>
                <w:sz w:val="18"/>
              </w:rPr>
              <w:t> </w:t>
            </w:r>
          </w:p>
        </w:tc>
      </w:tr>
      <w:tr>
        <w:trPr>
          <w:trHeight w:val="398" w:hRule="exact"/>
        </w:trPr>
        <w:tc>
          <w:tcPr>
            <w:tcW w:w="29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103" w:right="0"/>
              <w:jc w:val="left"/>
              <w:rPr>
                <w:rFonts w:ascii="宋体" w:hAnsi="宋体" w:cs="宋体" w:eastAsia="宋体" w:hint="default"/>
                <w:sz w:val="18"/>
                <w:szCs w:val="18"/>
              </w:rPr>
            </w:pPr>
            <w:r>
              <w:rPr>
                <w:rFonts w:ascii="宋体" w:hAnsi="宋体" w:cs="宋体" w:eastAsia="宋体" w:hint="default"/>
                <w:sz w:val="18"/>
                <w:szCs w:val="18"/>
              </w:rPr>
              <w:t>北京创世漫道科技有限公司</w:t>
            </w:r>
            <w:r>
              <w:rPr>
                <w:rFonts w:ascii="宋体" w:hAnsi="宋体" w:cs="宋体" w:eastAsia="宋体" w:hint="default"/>
                <w:sz w:val="18"/>
                <w:szCs w:val="18"/>
              </w:rPr>
              <w:t> </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463,440,000.00</w:t>
            </w:r>
            <w:r>
              <w:rPr>
                <w:rFonts w:ascii="宋体"/>
                <w:sz w:val="18"/>
              </w:rPr>
              <w:t> </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z w:val="18"/>
              </w:rPr>
              <w:t> </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z w:val="18"/>
              </w:rPr>
              <w:t> </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z w:val="18"/>
              </w:rPr>
              <w:t> </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
              <w:jc w:val="right"/>
              <w:rPr>
                <w:rFonts w:ascii="宋体" w:hAnsi="宋体" w:cs="宋体" w:eastAsia="宋体" w:hint="default"/>
                <w:sz w:val="18"/>
                <w:szCs w:val="18"/>
              </w:rPr>
            </w:pPr>
            <w:r>
              <w:rPr>
                <w:rFonts w:ascii="宋体"/>
                <w:spacing w:val="-1"/>
                <w:sz w:val="18"/>
              </w:rPr>
              <w:t>463,440,000.00</w:t>
            </w:r>
            <w:r>
              <w:rPr>
                <w:rFonts w:ascii="宋体"/>
                <w:sz w:val="18"/>
              </w:rPr>
              <w:t> </w:t>
            </w:r>
          </w:p>
        </w:tc>
      </w:tr>
      <w:tr>
        <w:trPr>
          <w:trHeight w:val="396" w:hRule="exact"/>
        </w:trPr>
        <w:tc>
          <w:tcPr>
            <w:tcW w:w="29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9"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1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3"/>
              <w:jc w:val="right"/>
              <w:rPr>
                <w:rFonts w:ascii="宋体" w:hAnsi="宋体" w:cs="宋体" w:eastAsia="宋体" w:hint="default"/>
                <w:sz w:val="18"/>
                <w:szCs w:val="18"/>
              </w:rPr>
            </w:pPr>
            <w:r>
              <w:rPr>
                <w:rFonts w:ascii="宋体"/>
                <w:spacing w:val="-1"/>
                <w:sz w:val="18"/>
              </w:rPr>
              <w:t>1,202,700,000.00</w:t>
            </w:r>
            <w:r>
              <w:rPr>
                <w:rFonts w:ascii="宋体"/>
                <w:sz w:val="18"/>
              </w:rPr>
              <w:t> </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z w:val="18"/>
              </w:rPr>
              <w:t> </w:t>
            </w:r>
          </w:p>
        </w:tc>
        <w:tc>
          <w:tcPr>
            <w:tcW w:w="6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z w:val="18"/>
              </w:rPr>
              <w:t> </w:t>
            </w:r>
          </w:p>
        </w:tc>
        <w:tc>
          <w:tcPr>
            <w:tcW w:w="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z w:val="18"/>
              </w:rPr>
              <w:t> </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
              <w:jc w:val="right"/>
              <w:rPr>
                <w:rFonts w:ascii="宋体" w:hAnsi="宋体" w:cs="宋体" w:eastAsia="宋体" w:hint="default"/>
                <w:sz w:val="18"/>
                <w:szCs w:val="18"/>
              </w:rPr>
            </w:pPr>
            <w:r>
              <w:rPr>
                <w:rFonts w:ascii="宋体"/>
                <w:spacing w:val="-1"/>
                <w:sz w:val="18"/>
              </w:rPr>
              <w:t>1,202,700,000.00</w:t>
            </w:r>
            <w:r>
              <w:rPr>
                <w:rFonts w:ascii="宋体"/>
                <w:sz w:val="18"/>
              </w:rPr>
              <w:t> </w:t>
            </w:r>
          </w:p>
        </w:tc>
      </w:tr>
    </w:tbl>
    <w:p>
      <w:pPr>
        <w:spacing w:line="240" w:lineRule="auto" w:before="7"/>
        <w:rPr>
          <w:rFonts w:ascii="宋体" w:hAnsi="宋体" w:cs="宋体" w:eastAsia="宋体" w:hint="default"/>
          <w:sz w:val="6"/>
          <w:szCs w:val="6"/>
        </w:rPr>
      </w:pPr>
    </w:p>
    <w:p>
      <w:pPr>
        <w:pStyle w:val="BodyText"/>
        <w:spacing w:line="240" w:lineRule="auto" w:before="36"/>
        <w:ind w:left="666" w:right="0"/>
        <w:jc w:val="left"/>
        <w:rPr>
          <w:rFonts w:ascii="宋体" w:hAnsi="宋体" w:cs="宋体" w:eastAsia="宋体" w:hint="default"/>
        </w:rPr>
      </w:pPr>
      <w:r>
        <w:rPr>
          <w:rFonts w:ascii="宋体" w:hAnsi="宋体" w:cs="宋体" w:eastAsia="宋体" w:hint="default"/>
          <w:b/>
          <w:bCs/>
        </w:rPr>
        <w:t>3</w:t>
      </w:r>
      <w:r>
        <w:rPr>
          <w:rFonts w:ascii="宋体" w:hAnsi="宋体" w:cs="宋体" w:eastAsia="宋体" w:hint="default"/>
          <w:b/>
          <w:bCs/>
        </w:rPr>
        <w:t>、</w:t>
      </w:r>
      <w:r>
        <w:rPr/>
        <w:t>大额商誉所在资产组或资产组组合的相关信息</w:t>
      </w:r>
      <w:r>
        <w:rPr>
          <w:rFonts w:ascii="宋体" w:hAnsi="宋体" w:cs="宋体" w:eastAsia="宋体" w:hint="default"/>
        </w:rPr>
        <w:t> </w:t>
      </w:r>
    </w:p>
    <w:p>
      <w:pPr>
        <w:pStyle w:val="BodyText"/>
        <w:spacing w:line="273" w:lineRule="exact" w:before="154"/>
        <w:ind w:left="663" w:right="0"/>
        <w:jc w:val="left"/>
      </w:pPr>
      <w:r>
        <w:rPr/>
        <w:t>（</w:t>
      </w:r>
      <w:r>
        <w:rPr>
          <w:rFonts w:ascii="宋体" w:hAnsi="宋体" w:cs="宋体" w:eastAsia="宋体" w:hint="default"/>
        </w:rPr>
        <w:t>1</w:t>
      </w:r>
      <w:r>
        <w:rPr/>
        <w:t>）</w:t>
      </w:r>
      <w:r>
        <w:rPr>
          <w:rFonts w:ascii="宋体" w:hAnsi="宋体" w:cs="宋体" w:eastAsia="宋体" w:hint="default"/>
        </w:rPr>
        <w:t>2014</w:t>
      </w:r>
      <w:r>
        <w:rPr>
          <w:rFonts w:ascii="宋体" w:hAnsi="宋体" w:cs="宋体" w:eastAsia="宋体" w:hint="default"/>
          <w:spacing w:val="-52"/>
        </w:rPr>
        <w:t> </w:t>
      </w:r>
      <w:r>
        <w:rPr/>
        <w:t>年</w:t>
      </w:r>
      <w:r>
        <w:rPr>
          <w:spacing w:val="-51"/>
        </w:rPr>
        <w:t> </w:t>
      </w:r>
      <w:r>
        <w:rPr>
          <w:rFonts w:ascii="宋体" w:hAnsi="宋体" w:cs="宋体" w:eastAsia="宋体" w:hint="default"/>
        </w:rPr>
        <w:t>10</w:t>
      </w:r>
      <w:r>
        <w:rPr>
          <w:rFonts w:ascii="宋体" w:hAnsi="宋体" w:cs="宋体" w:eastAsia="宋体" w:hint="default"/>
          <w:spacing w:val="-51"/>
        </w:rPr>
        <w:t> </w:t>
      </w:r>
      <w:r>
        <w:rPr/>
        <w:t>月，中嘉博创收购子公司创世漫道形成商誉</w:t>
      </w:r>
      <w:r>
        <w:rPr>
          <w:spacing w:val="-51"/>
        </w:rPr>
        <w:t> </w:t>
      </w:r>
      <w:r>
        <w:rPr>
          <w:rFonts w:ascii="宋体" w:hAnsi="宋体" w:cs="宋体" w:eastAsia="宋体" w:hint="default"/>
        </w:rPr>
        <w:t>74,456.30</w:t>
      </w:r>
      <w:r>
        <w:rPr>
          <w:rFonts w:ascii="宋体" w:hAnsi="宋体" w:cs="宋体" w:eastAsia="宋体" w:hint="default"/>
          <w:spacing w:val="-51"/>
        </w:rPr>
        <w:t> </w:t>
      </w:r>
      <w:r>
        <w:rPr/>
        <w:t>万元。资产组组合的业务主</w:t>
      </w:r>
    </w:p>
    <w:p>
      <w:pPr>
        <w:pStyle w:val="BodyText"/>
        <w:spacing w:line="273" w:lineRule="exact"/>
        <w:ind w:left="243" w:right="0"/>
        <w:jc w:val="left"/>
        <w:rPr>
          <w:rFonts w:ascii="宋体" w:hAnsi="宋体" w:cs="宋体" w:eastAsia="宋体" w:hint="default"/>
        </w:rPr>
      </w:pPr>
      <w:r>
        <w:rPr>
          <w:spacing w:val="-2"/>
        </w:rPr>
        <w:t>要是从事电信增值业务中的信息服务业务。资产组组合包含固定资产、无形资产及营运资金。截至</w:t>
      </w:r>
      <w:r>
        <w:rPr>
          <w:spacing w:val="54"/>
        </w:rPr>
        <w:t> </w:t>
      </w:r>
      <w:r>
        <w:rPr>
          <w:rFonts w:ascii="宋体" w:hAnsi="宋体" w:cs="宋体" w:eastAsia="宋体" w:hint="default"/>
          <w:spacing w:val="-2"/>
        </w:rPr>
        <w:t>2019</w:t>
      </w:r>
    </w:p>
    <w:p>
      <w:pPr>
        <w:pStyle w:val="BodyText"/>
        <w:spacing w:line="274" w:lineRule="exact"/>
        <w:ind w:left="243" w:right="0"/>
        <w:jc w:val="left"/>
        <w:rPr>
          <w:rFonts w:ascii="宋体" w:hAnsi="宋体" w:cs="宋体" w:eastAsia="宋体" w:hint="default"/>
        </w:rPr>
      </w:pPr>
      <w:r>
        <w:rPr/>
        <w:t>年</w:t>
      </w:r>
      <w:r>
        <w:rPr>
          <w:spacing w:val="-52"/>
        </w:rPr>
        <w:t> </w:t>
      </w:r>
      <w:r>
        <w:rPr>
          <w:rFonts w:ascii="宋体" w:hAnsi="宋体" w:cs="宋体" w:eastAsia="宋体" w:hint="default"/>
        </w:rPr>
        <w:t>12</w:t>
      </w:r>
      <w:r>
        <w:rPr>
          <w:rFonts w:ascii="宋体" w:hAnsi="宋体" w:cs="宋体" w:eastAsia="宋体" w:hint="default"/>
          <w:spacing w:val="-55"/>
        </w:rPr>
        <w:t> </w:t>
      </w:r>
      <w:r>
        <w:rPr/>
        <w:t>月</w:t>
      </w:r>
      <w:r>
        <w:rPr>
          <w:spacing w:val="-53"/>
        </w:rPr>
        <w:t> </w:t>
      </w:r>
      <w:r>
        <w:rPr>
          <w:rFonts w:ascii="宋体" w:hAnsi="宋体" w:cs="宋体" w:eastAsia="宋体" w:hint="default"/>
        </w:rPr>
        <w:t>31</w:t>
      </w:r>
      <w:r>
        <w:rPr>
          <w:rFonts w:ascii="宋体" w:hAnsi="宋体" w:cs="宋体" w:eastAsia="宋体" w:hint="default"/>
          <w:spacing w:val="-55"/>
        </w:rPr>
        <w:t> </w:t>
      </w:r>
      <w:r>
        <w:rPr/>
        <w:t>日，资产组组合账面价值</w:t>
      </w:r>
      <w:r>
        <w:rPr>
          <w:spacing w:val="-52"/>
        </w:rPr>
        <w:t> </w:t>
      </w:r>
      <w:r>
        <w:rPr>
          <w:rFonts w:ascii="宋体" w:hAnsi="宋体" w:cs="宋体" w:eastAsia="宋体" w:hint="default"/>
        </w:rPr>
        <w:t>18,280.96</w:t>
      </w:r>
      <w:r>
        <w:rPr>
          <w:rFonts w:ascii="宋体" w:hAnsi="宋体" w:cs="宋体" w:eastAsia="宋体" w:hint="default"/>
          <w:spacing w:val="-53"/>
        </w:rPr>
        <w:t> </w:t>
      </w:r>
      <w:r>
        <w:rPr/>
        <w:t>万元。</w:t>
      </w:r>
      <w:r>
        <w:rPr>
          <w:rFonts w:ascii="宋体" w:hAnsi="宋体" w:cs="宋体" w:eastAsia="宋体" w:hint="default"/>
        </w:rPr>
        <w:t> </w:t>
      </w:r>
    </w:p>
    <w:p>
      <w:pPr>
        <w:pStyle w:val="BodyText"/>
        <w:spacing w:line="237" w:lineRule="auto" w:before="155"/>
        <w:ind w:left="243" w:right="1071" w:firstLine="420"/>
        <w:jc w:val="both"/>
        <w:rPr>
          <w:rFonts w:ascii="宋体" w:hAnsi="宋体" w:cs="宋体" w:eastAsia="宋体" w:hint="default"/>
        </w:rPr>
      </w:pPr>
      <w:r>
        <w:rPr/>
        <w:t>（</w:t>
      </w:r>
      <w:r>
        <w:rPr>
          <w:rFonts w:ascii="宋体" w:hAnsi="宋体" w:cs="宋体" w:eastAsia="宋体" w:hint="default"/>
        </w:rPr>
        <w:t>2</w:t>
      </w:r>
      <w:r>
        <w:rPr/>
        <w:t>）</w:t>
      </w:r>
      <w:r>
        <w:rPr>
          <w:rFonts w:ascii="宋体" w:hAnsi="宋体" w:cs="宋体" w:eastAsia="宋体" w:hint="default"/>
        </w:rPr>
        <w:t>2015</w:t>
      </w:r>
      <w:r>
        <w:rPr>
          <w:rFonts w:ascii="宋体" w:hAnsi="宋体" w:cs="宋体" w:eastAsia="宋体" w:hint="default"/>
          <w:spacing w:val="-52"/>
        </w:rPr>
        <w:t> </w:t>
      </w:r>
      <w:r>
        <w:rPr/>
        <w:t>年</w:t>
      </w:r>
      <w:r>
        <w:rPr>
          <w:spacing w:val="-50"/>
        </w:rPr>
        <w:t> </w:t>
      </w:r>
      <w:r>
        <w:rPr>
          <w:rFonts w:ascii="宋体" w:hAnsi="宋体" w:cs="宋体" w:eastAsia="宋体" w:hint="default"/>
        </w:rPr>
        <w:t>10</w:t>
      </w:r>
      <w:r>
        <w:rPr>
          <w:rFonts w:ascii="宋体" w:hAnsi="宋体" w:cs="宋体" w:eastAsia="宋体" w:hint="default"/>
          <w:spacing w:val="-50"/>
        </w:rPr>
        <w:t> </w:t>
      </w:r>
      <w:r>
        <w:rPr/>
        <w:t>月，中嘉博创收购子公司长实通信形成商誉</w:t>
      </w:r>
      <w:r>
        <w:rPr>
          <w:spacing w:val="-50"/>
        </w:rPr>
        <w:t> </w:t>
      </w:r>
      <w:r>
        <w:rPr>
          <w:rFonts w:ascii="宋体" w:hAnsi="宋体" w:cs="宋体" w:eastAsia="宋体" w:hint="default"/>
        </w:rPr>
        <w:t>99,434.94</w:t>
      </w:r>
      <w:r>
        <w:rPr>
          <w:rFonts w:ascii="宋体" w:hAnsi="宋体" w:cs="宋体" w:eastAsia="宋体" w:hint="default"/>
          <w:spacing w:val="-50"/>
        </w:rPr>
        <w:t> </w:t>
      </w:r>
      <w:r>
        <w:rPr/>
        <w:t>万元。资产组组合的业务主</w:t>
      </w:r>
      <w:r>
        <w:rPr>
          <w:w w:val="100"/>
        </w:rPr>
        <w:t> </w:t>
      </w:r>
      <w:r>
        <w:rPr/>
        <w:t>要是从事通信网络维护，通信铁塔维护服务，通信网络优化工程业务。资产组组合包含固定资产、无形</w:t>
      </w:r>
      <w:r>
        <w:rPr>
          <w:spacing w:val="-36"/>
        </w:rPr>
        <w:t> </w:t>
      </w:r>
      <w:r>
        <w:rPr>
          <w:spacing w:val="-36"/>
        </w:rPr>
      </w:r>
      <w:r>
        <w:rPr/>
        <w:t>资产及营运资金。截至</w:t>
      </w:r>
      <w:r>
        <w:rPr>
          <w:spacing w:val="-54"/>
        </w:rPr>
        <w:t> </w:t>
      </w:r>
      <w:r>
        <w:rPr>
          <w:rFonts w:ascii="宋体" w:hAnsi="宋体" w:cs="宋体" w:eastAsia="宋体" w:hint="default"/>
        </w:rPr>
        <w:t>2019</w:t>
      </w:r>
      <w:r>
        <w:rPr>
          <w:rFonts w:ascii="宋体" w:hAnsi="宋体" w:cs="宋体" w:eastAsia="宋体" w:hint="default"/>
          <w:spacing w:val="-54"/>
        </w:rPr>
        <w:t> </w:t>
      </w:r>
      <w:r>
        <w:rPr/>
        <w:t>年</w:t>
      </w:r>
      <w:r>
        <w:rPr>
          <w:spacing w:val="-53"/>
        </w:rPr>
        <w:t> </w:t>
      </w:r>
      <w:r>
        <w:rPr>
          <w:rFonts w:ascii="宋体" w:hAnsi="宋体" w:cs="宋体" w:eastAsia="宋体" w:hint="default"/>
        </w:rPr>
        <w:t>12</w:t>
      </w:r>
      <w:r>
        <w:rPr>
          <w:rFonts w:ascii="宋体" w:hAnsi="宋体" w:cs="宋体" w:eastAsia="宋体" w:hint="default"/>
          <w:spacing w:val="-54"/>
        </w:rPr>
        <w:t> </w:t>
      </w:r>
      <w:r>
        <w:rPr/>
        <w:t>月</w:t>
      </w:r>
      <w:r>
        <w:rPr>
          <w:spacing w:val="-56"/>
        </w:rPr>
        <w:t> </w:t>
      </w:r>
      <w:r>
        <w:rPr>
          <w:rFonts w:ascii="宋体" w:hAnsi="宋体" w:cs="宋体" w:eastAsia="宋体" w:hint="default"/>
        </w:rPr>
        <w:t>31</w:t>
      </w:r>
      <w:r>
        <w:rPr>
          <w:rFonts w:ascii="宋体" w:hAnsi="宋体" w:cs="宋体" w:eastAsia="宋体" w:hint="default"/>
          <w:spacing w:val="-56"/>
        </w:rPr>
        <w:t> </w:t>
      </w:r>
      <w:r>
        <w:rPr/>
        <w:t>日，资产组组合账面价值</w:t>
      </w:r>
      <w:r>
        <w:rPr>
          <w:spacing w:val="-54"/>
        </w:rPr>
        <w:t> </w:t>
      </w:r>
      <w:r>
        <w:rPr>
          <w:rFonts w:ascii="宋体" w:hAnsi="宋体" w:cs="宋体" w:eastAsia="宋体" w:hint="default"/>
        </w:rPr>
        <w:t>24,847.42</w:t>
      </w:r>
      <w:r>
        <w:rPr>
          <w:rFonts w:ascii="宋体" w:hAnsi="宋体" w:cs="宋体" w:eastAsia="宋体" w:hint="default"/>
          <w:spacing w:val="-56"/>
        </w:rPr>
        <w:t> </w:t>
      </w:r>
      <w:r>
        <w:rPr/>
        <w:t>万元。</w:t>
      </w:r>
      <w:r>
        <w:rPr>
          <w:rFonts w:ascii="宋体" w:hAnsi="宋体" w:cs="宋体" w:eastAsia="宋体" w:hint="default"/>
        </w:rPr>
        <w:t> </w:t>
      </w:r>
    </w:p>
    <w:p>
      <w:pPr>
        <w:pStyle w:val="BodyText"/>
        <w:spacing w:line="237" w:lineRule="auto" w:before="155"/>
        <w:ind w:left="243" w:right="1071" w:firstLine="420"/>
        <w:jc w:val="both"/>
        <w:rPr>
          <w:rFonts w:ascii="宋体" w:hAnsi="宋体" w:cs="宋体" w:eastAsia="宋体" w:hint="default"/>
        </w:rPr>
      </w:pPr>
      <w:r>
        <w:rPr/>
        <w:t>（</w:t>
      </w:r>
      <w:r>
        <w:rPr>
          <w:rFonts w:ascii="宋体" w:hAnsi="宋体" w:cs="宋体" w:eastAsia="宋体" w:hint="default"/>
        </w:rPr>
        <w:t>3</w:t>
      </w:r>
      <w:r>
        <w:rPr/>
        <w:t>）</w:t>
      </w:r>
      <w:r>
        <w:rPr>
          <w:rFonts w:ascii="宋体" w:hAnsi="宋体" w:cs="宋体" w:eastAsia="宋体" w:hint="default"/>
        </w:rPr>
        <w:t>2018</w:t>
      </w:r>
      <w:r>
        <w:rPr>
          <w:rFonts w:ascii="宋体" w:hAnsi="宋体" w:cs="宋体" w:eastAsia="宋体" w:hint="default"/>
          <w:spacing w:val="-51"/>
        </w:rPr>
        <w:t> </w:t>
      </w:r>
      <w:r>
        <w:rPr/>
        <w:t>年</w:t>
      </w:r>
      <w:r>
        <w:rPr>
          <w:spacing w:val="-51"/>
        </w:rPr>
        <w:t> </w:t>
      </w:r>
      <w:r>
        <w:rPr>
          <w:rFonts w:ascii="宋体" w:hAnsi="宋体" w:cs="宋体" w:eastAsia="宋体" w:hint="default"/>
        </w:rPr>
        <w:t>5</w:t>
      </w:r>
      <w:r>
        <w:rPr>
          <w:rFonts w:ascii="宋体" w:hAnsi="宋体" w:cs="宋体" w:eastAsia="宋体" w:hint="default"/>
          <w:spacing w:val="-49"/>
        </w:rPr>
        <w:t> </w:t>
      </w:r>
      <w:r>
        <w:rPr/>
        <w:t>月，中嘉博创收购子公司嘉华信息成商誉</w:t>
      </w:r>
      <w:r>
        <w:rPr>
          <w:spacing w:val="-49"/>
        </w:rPr>
        <w:t> </w:t>
      </w:r>
      <w:r>
        <w:rPr>
          <w:rFonts w:ascii="宋体" w:hAnsi="宋体" w:cs="宋体" w:eastAsia="宋体" w:hint="default"/>
        </w:rPr>
        <w:t>123,262.71</w:t>
      </w:r>
      <w:r>
        <w:rPr>
          <w:rFonts w:ascii="宋体" w:hAnsi="宋体" w:cs="宋体" w:eastAsia="宋体" w:hint="default"/>
          <w:spacing w:val="-51"/>
        </w:rPr>
        <w:t> </w:t>
      </w:r>
      <w:r>
        <w:rPr/>
        <w:t>万元。资产组组合的业务主要</w:t>
      </w:r>
      <w:r>
        <w:rPr>
          <w:w w:val="100"/>
        </w:rPr>
        <w:t> </w:t>
      </w:r>
      <w:r>
        <w:rPr/>
        <w:t>是从事电信增值业务中的信息服务业务、金融服务外包。资产组组合包含固定资产、无形资产及营运资</w:t>
      </w:r>
      <w:r>
        <w:rPr>
          <w:spacing w:val="-36"/>
        </w:rPr>
        <w:t> </w:t>
      </w:r>
      <w:r>
        <w:rPr>
          <w:spacing w:val="-36"/>
        </w:rPr>
      </w:r>
      <w:r>
        <w:rPr/>
        <w:t>金。截至</w:t>
      </w:r>
      <w:r>
        <w:rPr>
          <w:spacing w:val="-52"/>
        </w:rPr>
        <w:t> </w:t>
      </w:r>
      <w:r>
        <w:rPr>
          <w:rFonts w:ascii="宋体" w:hAnsi="宋体" w:cs="宋体" w:eastAsia="宋体" w:hint="default"/>
        </w:rPr>
        <w:t>2019</w:t>
      </w:r>
      <w:r>
        <w:rPr>
          <w:rFonts w:ascii="宋体" w:hAnsi="宋体" w:cs="宋体" w:eastAsia="宋体" w:hint="default"/>
          <w:spacing w:val="-55"/>
        </w:rPr>
        <w:t> </w:t>
      </w:r>
      <w:r>
        <w:rPr/>
        <w:t>年</w:t>
      </w:r>
      <w:r>
        <w:rPr>
          <w:spacing w:val="-53"/>
        </w:rPr>
        <w:t> </w:t>
      </w:r>
      <w:r>
        <w:rPr>
          <w:rFonts w:ascii="宋体" w:hAnsi="宋体" w:cs="宋体" w:eastAsia="宋体" w:hint="default"/>
        </w:rPr>
        <w:t>12</w:t>
      </w:r>
      <w:r>
        <w:rPr>
          <w:rFonts w:ascii="宋体" w:hAnsi="宋体" w:cs="宋体" w:eastAsia="宋体" w:hint="default"/>
          <w:spacing w:val="-55"/>
        </w:rPr>
        <w:t> </w:t>
      </w:r>
      <w:r>
        <w:rPr/>
        <w:t>月</w:t>
      </w:r>
      <w:r>
        <w:rPr>
          <w:spacing w:val="-53"/>
        </w:rPr>
        <w:t> </w:t>
      </w:r>
      <w:r>
        <w:rPr>
          <w:rFonts w:ascii="宋体" w:hAnsi="宋体" w:cs="宋体" w:eastAsia="宋体" w:hint="default"/>
        </w:rPr>
        <w:t>31</w:t>
      </w:r>
      <w:r>
        <w:rPr>
          <w:rFonts w:ascii="宋体" w:hAnsi="宋体" w:cs="宋体" w:eastAsia="宋体" w:hint="default"/>
          <w:spacing w:val="-55"/>
        </w:rPr>
        <w:t> </w:t>
      </w:r>
      <w:r>
        <w:rPr/>
        <w:t>日，资产组组合账面价值</w:t>
      </w:r>
      <w:r>
        <w:rPr>
          <w:spacing w:val="-55"/>
        </w:rPr>
        <w:t> </w:t>
      </w:r>
      <w:r>
        <w:rPr>
          <w:rFonts w:ascii="宋体" w:hAnsi="宋体" w:cs="宋体" w:eastAsia="宋体" w:hint="default"/>
        </w:rPr>
        <w:t>31,855.42</w:t>
      </w:r>
      <w:r>
        <w:rPr>
          <w:rFonts w:ascii="宋体" w:hAnsi="宋体" w:cs="宋体" w:eastAsia="宋体" w:hint="default"/>
          <w:spacing w:val="-55"/>
        </w:rPr>
        <w:t> </w:t>
      </w:r>
      <w:r>
        <w:rPr/>
        <w:t>万元。</w:t>
      </w:r>
      <w:r>
        <w:rPr>
          <w:rFonts w:ascii="宋体" w:hAnsi="宋体" w:cs="宋体" w:eastAsia="宋体" w:hint="default"/>
        </w:rPr>
        <w:t> </w:t>
      </w:r>
    </w:p>
    <w:p>
      <w:pPr>
        <w:pStyle w:val="BodyText"/>
        <w:spacing w:line="273" w:lineRule="exact" w:before="155"/>
        <w:ind w:left="663" w:right="0"/>
        <w:jc w:val="left"/>
      </w:pPr>
      <w:r>
        <w:rPr>
          <w:w w:val="100"/>
        </w:rPr>
        <w:t>（</w:t>
      </w:r>
      <w:r>
        <w:rPr>
          <w:rFonts w:ascii="宋体" w:hAnsi="宋体" w:cs="宋体" w:eastAsia="宋体" w:hint="default"/>
          <w:spacing w:val="-1"/>
          <w:w w:val="100"/>
        </w:rPr>
        <w:t>4</w:t>
      </w:r>
      <w:r>
        <w:rPr>
          <w:spacing w:val="-96"/>
          <w:w w:val="100"/>
        </w:rPr>
        <w:t>）</w:t>
      </w:r>
      <w:r>
        <w:rPr>
          <w:rFonts w:ascii="宋体" w:hAnsi="宋体" w:cs="宋体" w:eastAsia="宋体" w:hint="default"/>
          <w:w w:val="100"/>
        </w:rPr>
        <w:t>2019</w:t>
      </w:r>
      <w:r>
        <w:rPr>
          <w:rFonts w:ascii="宋体" w:hAnsi="宋体" w:cs="宋体" w:eastAsia="宋体" w:hint="default"/>
          <w:spacing w:val="-55"/>
        </w:rPr>
        <w:t> </w:t>
      </w:r>
      <w:r>
        <w:rPr>
          <w:w w:val="100"/>
        </w:rPr>
        <w:t>年</w:t>
      </w:r>
      <w:r>
        <w:rPr>
          <w:spacing w:val="-53"/>
        </w:rPr>
        <w:t> </w:t>
      </w:r>
      <w:r>
        <w:rPr>
          <w:rFonts w:ascii="宋体" w:hAnsi="宋体" w:cs="宋体" w:eastAsia="宋体" w:hint="default"/>
          <w:spacing w:val="-3"/>
          <w:w w:val="100"/>
        </w:rPr>
        <w:t>1</w:t>
      </w:r>
      <w:r>
        <w:rPr>
          <w:rFonts w:ascii="宋体" w:hAnsi="宋体" w:cs="宋体" w:eastAsia="宋体" w:hint="default"/>
          <w:w w:val="100"/>
        </w:rPr>
        <w:t>2</w:t>
      </w:r>
      <w:r>
        <w:rPr>
          <w:rFonts w:ascii="宋体" w:hAnsi="宋体" w:cs="宋体" w:eastAsia="宋体" w:hint="default"/>
          <w:spacing w:val="-53"/>
        </w:rPr>
        <w:t> </w:t>
      </w:r>
      <w:r>
        <w:rPr>
          <w:spacing w:val="-3"/>
          <w:w w:val="100"/>
        </w:rPr>
        <w:t>月</w:t>
      </w:r>
      <w:r>
        <w:rPr>
          <w:spacing w:val="-94"/>
          <w:w w:val="100"/>
        </w:rPr>
        <w:t>，</w:t>
      </w:r>
      <w:r>
        <w:rPr>
          <w:spacing w:val="-3"/>
          <w:w w:val="100"/>
        </w:rPr>
        <w:t>子</w:t>
      </w:r>
      <w:r>
        <w:rPr>
          <w:w w:val="100"/>
        </w:rPr>
        <w:t>公</w:t>
      </w:r>
      <w:r>
        <w:rPr>
          <w:spacing w:val="-3"/>
          <w:w w:val="100"/>
        </w:rPr>
        <w:t>司</w:t>
      </w:r>
      <w:r>
        <w:rPr>
          <w:w w:val="100"/>
        </w:rPr>
        <w:t>嘉华</w:t>
      </w:r>
      <w:r>
        <w:rPr>
          <w:spacing w:val="-3"/>
          <w:w w:val="100"/>
        </w:rPr>
        <w:t>信</w:t>
      </w:r>
      <w:r>
        <w:rPr>
          <w:w w:val="100"/>
        </w:rPr>
        <w:t>息</w:t>
      </w:r>
      <w:r>
        <w:rPr>
          <w:spacing w:val="-3"/>
          <w:w w:val="100"/>
        </w:rPr>
        <w:t>收</w:t>
      </w:r>
      <w:r>
        <w:rPr>
          <w:w w:val="100"/>
        </w:rPr>
        <w:t>购</w:t>
      </w:r>
      <w:r>
        <w:rPr>
          <w:spacing w:val="-3"/>
          <w:w w:val="100"/>
        </w:rPr>
        <w:t>南</w:t>
      </w:r>
      <w:r>
        <w:rPr>
          <w:w w:val="100"/>
        </w:rPr>
        <w:t>京</w:t>
      </w:r>
      <w:r>
        <w:rPr>
          <w:spacing w:val="-3"/>
          <w:w w:val="100"/>
        </w:rPr>
        <w:t>石</w:t>
      </w:r>
      <w:r>
        <w:rPr>
          <w:w w:val="100"/>
        </w:rPr>
        <w:t>鼓</w:t>
      </w:r>
      <w:r>
        <w:rPr>
          <w:spacing w:val="-3"/>
          <w:w w:val="100"/>
        </w:rPr>
        <w:t>文</w:t>
      </w:r>
      <w:r>
        <w:rPr>
          <w:w w:val="100"/>
        </w:rPr>
        <w:t>信息</w:t>
      </w:r>
      <w:r>
        <w:rPr>
          <w:spacing w:val="-3"/>
          <w:w w:val="100"/>
        </w:rPr>
        <w:t>技</w:t>
      </w:r>
      <w:r>
        <w:rPr>
          <w:w w:val="100"/>
        </w:rPr>
        <w:t>术</w:t>
      </w:r>
      <w:r>
        <w:rPr>
          <w:spacing w:val="-3"/>
          <w:w w:val="100"/>
        </w:rPr>
        <w:t>有</w:t>
      </w:r>
      <w:r>
        <w:rPr>
          <w:w w:val="100"/>
        </w:rPr>
        <w:t>限</w:t>
      </w:r>
      <w:r>
        <w:rPr>
          <w:spacing w:val="-3"/>
          <w:w w:val="100"/>
        </w:rPr>
        <w:t>公</w:t>
      </w:r>
      <w:r>
        <w:rPr>
          <w:w w:val="100"/>
        </w:rPr>
        <w:t>司</w:t>
      </w:r>
      <w:r>
        <w:rPr>
          <w:spacing w:val="-3"/>
          <w:w w:val="100"/>
        </w:rPr>
        <w:t>的</w:t>
      </w:r>
      <w:r>
        <w:rPr>
          <w:w w:val="100"/>
        </w:rPr>
        <w:t>业</w:t>
      </w:r>
      <w:r>
        <w:rPr>
          <w:spacing w:val="-3"/>
          <w:w w:val="100"/>
        </w:rPr>
        <w:t>务</w:t>
      </w:r>
      <w:r>
        <w:rPr>
          <w:w w:val="100"/>
        </w:rPr>
        <w:t>形成</w:t>
      </w:r>
      <w:r>
        <w:rPr>
          <w:spacing w:val="-3"/>
          <w:w w:val="100"/>
        </w:rPr>
        <w:t>商</w:t>
      </w:r>
      <w:r>
        <w:rPr>
          <w:w w:val="100"/>
        </w:rPr>
        <w:t>誉</w:t>
      </w:r>
      <w:r>
        <w:rPr>
          <w:spacing w:val="-52"/>
        </w:rPr>
        <w:t> </w:t>
      </w:r>
      <w:r>
        <w:rPr>
          <w:rFonts w:ascii="宋体" w:hAnsi="宋体" w:cs="宋体" w:eastAsia="宋体" w:hint="default"/>
          <w:spacing w:val="-3"/>
          <w:w w:val="100"/>
        </w:rPr>
        <w:t>4</w:t>
      </w:r>
      <w:r>
        <w:rPr>
          <w:rFonts w:ascii="宋体" w:hAnsi="宋体" w:cs="宋体" w:eastAsia="宋体" w:hint="default"/>
          <w:w w:val="100"/>
        </w:rPr>
        <w:t>7.80</w:t>
      </w:r>
      <w:r>
        <w:rPr>
          <w:rFonts w:ascii="宋体" w:hAnsi="宋体" w:cs="宋体" w:eastAsia="宋体" w:hint="default"/>
          <w:spacing w:val="-55"/>
        </w:rPr>
        <w:t> </w:t>
      </w:r>
      <w:r>
        <w:rPr>
          <w:w w:val="100"/>
        </w:rPr>
        <w:t>万</w:t>
      </w:r>
      <w:r>
        <w:rPr>
          <w:spacing w:val="-3"/>
          <w:w w:val="100"/>
        </w:rPr>
        <w:t>元</w:t>
      </w:r>
      <w:r>
        <w:rPr>
          <w:w w:val="100"/>
        </w:rPr>
        <w:t>。</w:t>
      </w:r>
    </w:p>
    <w:p>
      <w:pPr>
        <w:pStyle w:val="BodyText"/>
        <w:spacing w:line="374" w:lineRule="auto"/>
        <w:ind w:left="663" w:right="0" w:hanging="421"/>
        <w:jc w:val="left"/>
        <w:rPr>
          <w:rFonts w:ascii="宋体" w:hAnsi="宋体" w:cs="宋体" w:eastAsia="宋体" w:hint="default"/>
        </w:rPr>
      </w:pPr>
      <w:r>
        <w:rPr/>
        <w:t>资产组组合的业务主要是信息技术服务。截至</w:t>
      </w:r>
      <w:r>
        <w:rPr>
          <w:spacing w:val="-53"/>
        </w:rPr>
        <w:t> </w:t>
      </w:r>
      <w:r>
        <w:rPr>
          <w:rFonts w:ascii="宋体" w:hAnsi="宋体" w:cs="宋体" w:eastAsia="宋体" w:hint="default"/>
        </w:rPr>
        <w:t>2019</w:t>
      </w:r>
      <w:r>
        <w:rPr>
          <w:rFonts w:ascii="宋体" w:hAnsi="宋体" w:cs="宋体" w:eastAsia="宋体" w:hint="default"/>
          <w:spacing w:val="-56"/>
        </w:rPr>
        <w:t> </w:t>
      </w:r>
      <w:r>
        <w:rPr/>
        <w:t>年</w:t>
      </w:r>
      <w:r>
        <w:rPr>
          <w:spacing w:val="-54"/>
        </w:rPr>
        <w:t> </w:t>
      </w:r>
      <w:r>
        <w:rPr>
          <w:rFonts w:ascii="宋体" w:hAnsi="宋体" w:cs="宋体" w:eastAsia="宋体" w:hint="default"/>
        </w:rPr>
        <w:t>12</w:t>
      </w:r>
      <w:r>
        <w:rPr>
          <w:rFonts w:ascii="宋体" w:hAnsi="宋体" w:cs="宋体" w:eastAsia="宋体" w:hint="default"/>
          <w:spacing w:val="-56"/>
        </w:rPr>
        <w:t> </w:t>
      </w:r>
      <w:r>
        <w:rPr/>
        <w:t>月</w:t>
      </w:r>
      <w:r>
        <w:rPr>
          <w:spacing w:val="-53"/>
        </w:rPr>
        <w:t> </w:t>
      </w:r>
      <w:r>
        <w:rPr>
          <w:rFonts w:ascii="宋体" w:hAnsi="宋体" w:cs="宋体" w:eastAsia="宋体" w:hint="default"/>
        </w:rPr>
        <w:t>31</w:t>
      </w:r>
      <w:r>
        <w:rPr>
          <w:rFonts w:ascii="宋体" w:hAnsi="宋体" w:cs="宋体" w:eastAsia="宋体" w:hint="default"/>
          <w:spacing w:val="-56"/>
        </w:rPr>
        <w:t> </w:t>
      </w:r>
      <w:r>
        <w:rPr/>
        <w:t>日资产组组合账面价值</w:t>
      </w:r>
      <w:r>
        <w:rPr>
          <w:spacing w:val="-54"/>
        </w:rPr>
        <w:t> </w:t>
      </w:r>
      <w:r>
        <w:rPr>
          <w:rFonts w:ascii="宋体" w:hAnsi="宋体" w:cs="宋体" w:eastAsia="宋体" w:hint="default"/>
        </w:rPr>
        <w:t>7.20</w:t>
      </w:r>
      <w:r>
        <w:rPr>
          <w:rFonts w:ascii="宋体" w:hAnsi="宋体" w:cs="宋体" w:eastAsia="宋体" w:hint="default"/>
          <w:spacing w:val="-56"/>
        </w:rPr>
        <w:t> </w:t>
      </w:r>
      <w:r>
        <w:rPr/>
        <w:t>万元。</w:t>
      </w:r>
      <w:r>
        <w:rPr>
          <w:rFonts w:ascii="宋体" w:hAnsi="宋体" w:cs="宋体" w:eastAsia="宋体" w:hint="default"/>
          <w:w w:val="100"/>
        </w:rPr>
        <w:t> </w:t>
      </w:r>
      <w:r>
        <w:rPr>
          <w:rFonts w:ascii="宋体" w:hAnsi="宋体" w:cs="宋体" w:eastAsia="宋体" w:hint="default"/>
        </w:rPr>
        <w:t>4</w:t>
      </w:r>
      <w:r>
        <w:rPr/>
        <w:t>、说明商誉减值测试过程、关键参数及商誉减值损失的确认方法</w:t>
      </w:r>
      <w:r>
        <w:rPr>
          <w:rFonts w:ascii="宋体" w:hAnsi="宋体" w:cs="宋体" w:eastAsia="宋体" w:hint="default"/>
        </w:rPr>
        <w:t> </w:t>
      </w:r>
    </w:p>
    <w:p>
      <w:pPr>
        <w:pStyle w:val="BodyText"/>
        <w:spacing w:line="240" w:lineRule="auto" w:before="34"/>
        <w:ind w:left="663" w:right="0"/>
        <w:jc w:val="left"/>
        <w:rPr>
          <w:rFonts w:ascii="宋体" w:hAnsi="宋体" w:cs="宋体" w:eastAsia="宋体" w:hint="default"/>
        </w:rPr>
      </w:pPr>
      <w:r>
        <w:rPr/>
        <w:t>（</w:t>
      </w:r>
      <w:r>
        <w:rPr>
          <w:rFonts w:ascii="宋体" w:hAnsi="宋体" w:cs="宋体" w:eastAsia="宋体" w:hint="default"/>
        </w:rPr>
        <w:t>1</w:t>
      </w:r>
      <w:r>
        <w:rPr/>
        <w:t>）商誉减值测试过程及减值损失确认方法</w:t>
      </w:r>
      <w:r>
        <w:rPr>
          <w:rFonts w:ascii="宋体" w:hAnsi="宋体" w:cs="宋体" w:eastAsia="宋体" w:hint="default"/>
        </w:rPr>
        <w:t> </w:t>
      </w:r>
    </w:p>
    <w:p>
      <w:pPr>
        <w:pStyle w:val="BodyText"/>
        <w:spacing w:line="237" w:lineRule="auto" w:before="158"/>
        <w:ind w:left="243" w:right="0" w:firstLine="420"/>
        <w:jc w:val="left"/>
        <w:rPr>
          <w:rFonts w:ascii="宋体" w:hAnsi="宋体" w:cs="宋体" w:eastAsia="宋体" w:hint="default"/>
        </w:rPr>
      </w:pPr>
      <w:r>
        <w:rPr/>
        <w:t>公司每年末对商誉进行减值测试。对于与商誉相关的资产组组合未来收益的预测完全是基于各资产</w:t>
      </w:r>
      <w:r>
        <w:rPr>
          <w:w w:val="100"/>
        </w:rPr>
        <w:t> </w:t>
      </w:r>
      <w:r>
        <w:rPr/>
        <w:t>组组合现状，使用资产组组合的方式、力度以及使用能力等方面的因素，即按照目前状态及使用、管理</w:t>
      </w:r>
      <w:r>
        <w:rPr>
          <w:spacing w:val="-36"/>
        </w:rPr>
        <w:t> </w:t>
      </w:r>
      <w:r>
        <w:rPr>
          <w:spacing w:val="-36"/>
        </w:rPr>
      </w:r>
      <w:r>
        <w:rPr>
          <w:spacing w:val="-3"/>
        </w:rPr>
        <w:t>水平使用资产组组合可以获取的预测收益。资产组组合的可收回金额采用收益法预测现金流量现值。 </w:t>
      </w:r>
      <w:r>
        <w:rPr>
          <w:rFonts w:ascii="宋体" w:hAnsi="宋体" w:cs="宋体" w:eastAsia="宋体" w:hint="default"/>
          <w:spacing w:val="-3"/>
        </w:rPr>
      </w:r>
      <w:r>
        <w:rPr/>
        <w:t>在</w:t>
      </w:r>
      <w:r>
        <w:rPr>
          <w:spacing w:val="-11"/>
        </w:rPr>
        <w:t> </w:t>
      </w:r>
      <w:r>
        <w:rPr>
          <w:spacing w:val="-2"/>
        </w:rPr>
        <w:t>对包含商誉的相关资产组组合进行减值测试时，先对不包含商誉的资产组或者资产组组合进行减值测试，</w:t>
      </w:r>
      <w:r>
        <w:rPr>
          <w:spacing w:val="-49"/>
        </w:rPr>
        <w:t> </w:t>
      </w:r>
      <w:r>
        <w:rPr>
          <w:spacing w:val="-49"/>
        </w:rPr>
      </w:r>
      <w:r>
        <w:rPr/>
        <w:t>计算可收回金额，并与相关账面价值相比较，确认是否发生减值损失。再对包含商誉的资产组或者资产</w:t>
      </w:r>
      <w:r>
        <w:rPr>
          <w:spacing w:val="-36"/>
        </w:rPr>
        <w:t> </w:t>
      </w:r>
      <w:r>
        <w:rPr>
          <w:spacing w:val="-36"/>
        </w:rPr>
      </w:r>
      <w:r>
        <w:rPr/>
        <w:t>组组合进行减值测试，比较这些相关资产组组合的账面价值（包括所分摊的商誉的账面价值部分）与其</w:t>
      </w:r>
      <w:r>
        <w:rPr>
          <w:spacing w:val="-36"/>
        </w:rPr>
        <w:t> </w:t>
      </w:r>
      <w:r>
        <w:rPr>
          <w:spacing w:val="-36"/>
        </w:rPr>
      </w:r>
      <w:r>
        <w:rPr>
          <w:spacing w:val="-5"/>
        </w:rPr>
        <w:t>可收回金额，如相关资产组或者资产组组合的可收回金额低于其账面价值的，应当确认商誉的减值损失。</w:t>
      </w:r>
      <w:r>
        <w:rPr>
          <w:rFonts w:ascii="宋体" w:hAnsi="宋体" w:cs="宋体" w:eastAsia="宋体" w:hint="default"/>
        </w:rPr>
        <w:t> </w:t>
      </w:r>
    </w:p>
    <w:p>
      <w:pPr>
        <w:spacing w:after="0" w:line="237" w:lineRule="auto"/>
        <w:jc w:val="left"/>
        <w:rPr>
          <w:rFonts w:ascii="宋体" w:hAnsi="宋体" w:cs="宋体" w:eastAsia="宋体" w:hint="default"/>
        </w:rPr>
        <w:sectPr>
          <w:pgSz w:w="11910" w:h="16840"/>
          <w:pgMar w:header="880" w:footer="975" w:top="1100" w:bottom="1160" w:left="1060" w:right="0"/>
        </w:sectPr>
      </w:pPr>
    </w:p>
    <w:p>
      <w:pPr>
        <w:spacing w:line="240" w:lineRule="auto" w:before="3"/>
        <w:rPr>
          <w:rFonts w:ascii="宋体" w:hAnsi="宋体" w:cs="宋体" w:eastAsia="宋体" w:hint="default"/>
          <w:sz w:val="19"/>
          <w:szCs w:val="19"/>
        </w:rPr>
      </w:pPr>
    </w:p>
    <w:p>
      <w:pPr>
        <w:pStyle w:val="BodyText"/>
        <w:spacing w:line="240" w:lineRule="auto" w:before="36"/>
        <w:ind w:left="563" w:right="1146"/>
        <w:jc w:val="left"/>
        <w:rPr>
          <w:rFonts w:ascii="宋体" w:hAnsi="宋体" w:cs="宋体" w:eastAsia="宋体" w:hint="default"/>
        </w:rPr>
      </w:pPr>
      <w:r>
        <w:rPr/>
        <w:t>（</w:t>
      </w:r>
      <w:r>
        <w:rPr>
          <w:rFonts w:ascii="宋体" w:hAnsi="宋体" w:cs="宋体" w:eastAsia="宋体" w:hint="default"/>
        </w:rPr>
        <w:t>2</w:t>
      </w:r>
      <w:r>
        <w:rPr/>
        <w:t>）主要资产组组合商誉减值测试的参数情况</w:t>
      </w:r>
      <w:r>
        <w:rPr>
          <w:rFonts w:ascii="宋体" w:hAnsi="宋体" w:cs="宋体" w:eastAsia="宋体" w:hint="default"/>
        </w:rPr>
        <w:t> </w:t>
      </w:r>
    </w:p>
    <w:p>
      <w:pPr>
        <w:spacing w:line="240" w:lineRule="auto" w:before="3"/>
        <w:rPr>
          <w:rFonts w:ascii="宋体" w:hAnsi="宋体" w:cs="宋体" w:eastAsia="宋体" w:hint="default"/>
          <w:sz w:val="14"/>
          <w:szCs w:val="14"/>
        </w:rPr>
      </w:pPr>
    </w:p>
    <w:tbl>
      <w:tblPr>
        <w:tblW w:w="0" w:type="auto"/>
        <w:jc w:val="left"/>
        <w:tblInd w:w="167" w:type="dxa"/>
        <w:tblLayout w:type="fixed"/>
        <w:tblCellMar>
          <w:top w:w="0" w:type="dxa"/>
          <w:left w:w="0" w:type="dxa"/>
          <w:bottom w:w="0" w:type="dxa"/>
          <w:right w:w="0" w:type="dxa"/>
        </w:tblCellMar>
        <w:tblLook w:val="01E0"/>
      </w:tblPr>
      <w:tblGrid>
        <w:gridCol w:w="1157"/>
        <w:gridCol w:w="2751"/>
        <w:gridCol w:w="2868"/>
        <w:gridCol w:w="2825"/>
      </w:tblGrid>
      <w:tr>
        <w:trPr>
          <w:trHeight w:val="399" w:hRule="exact"/>
        </w:trPr>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93" w:right="0"/>
              <w:jc w:val="left"/>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27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0" w:right="0"/>
              <w:jc w:val="center"/>
              <w:rPr>
                <w:rFonts w:ascii="宋体" w:hAnsi="宋体" w:cs="宋体" w:eastAsia="宋体" w:hint="default"/>
                <w:sz w:val="18"/>
                <w:szCs w:val="18"/>
              </w:rPr>
            </w:pPr>
            <w:r>
              <w:rPr>
                <w:rFonts w:ascii="宋体" w:hAnsi="宋体" w:cs="宋体" w:eastAsia="宋体" w:hint="default"/>
                <w:sz w:val="18"/>
                <w:szCs w:val="18"/>
              </w:rPr>
              <w:t>长实通信</w:t>
            </w:r>
            <w:r>
              <w:rPr>
                <w:rFonts w:ascii="宋体" w:hAnsi="宋体" w:cs="宋体" w:eastAsia="宋体" w:hint="default"/>
                <w:sz w:val="18"/>
                <w:szCs w:val="18"/>
              </w:rPr>
              <w:t> </w:t>
            </w:r>
          </w:p>
        </w:tc>
        <w:tc>
          <w:tcPr>
            <w:tcW w:w="28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2" w:right="0"/>
              <w:jc w:val="center"/>
              <w:rPr>
                <w:rFonts w:ascii="宋体" w:hAnsi="宋体" w:cs="宋体" w:eastAsia="宋体" w:hint="default"/>
                <w:sz w:val="18"/>
                <w:szCs w:val="18"/>
              </w:rPr>
            </w:pPr>
            <w:r>
              <w:rPr>
                <w:rFonts w:ascii="宋体" w:hAnsi="宋体" w:cs="宋体" w:eastAsia="宋体" w:hint="default"/>
                <w:sz w:val="18"/>
                <w:szCs w:val="18"/>
              </w:rPr>
              <w:t>创世漫道</w:t>
            </w:r>
            <w:r>
              <w:rPr>
                <w:rFonts w:ascii="宋体" w:hAnsi="宋体" w:cs="宋体" w:eastAsia="宋体" w:hint="default"/>
                <w:sz w:val="18"/>
                <w:szCs w:val="18"/>
              </w:rPr>
              <w:t> </w:t>
            </w:r>
          </w:p>
        </w:tc>
        <w:tc>
          <w:tcPr>
            <w:tcW w:w="2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7" w:right="0"/>
              <w:jc w:val="center"/>
              <w:rPr>
                <w:rFonts w:ascii="宋体" w:hAnsi="宋体" w:cs="宋体" w:eastAsia="宋体" w:hint="default"/>
                <w:sz w:val="18"/>
                <w:szCs w:val="18"/>
              </w:rPr>
            </w:pPr>
            <w:r>
              <w:rPr>
                <w:rFonts w:ascii="宋体" w:hAnsi="宋体" w:cs="宋体" w:eastAsia="宋体" w:hint="default"/>
                <w:sz w:val="18"/>
                <w:szCs w:val="18"/>
              </w:rPr>
              <w:t>嘉华信息</w:t>
            </w:r>
            <w:r>
              <w:rPr>
                <w:rFonts w:ascii="宋体" w:hAnsi="宋体" w:cs="宋体" w:eastAsia="宋体" w:hint="default"/>
                <w:sz w:val="18"/>
                <w:szCs w:val="18"/>
              </w:rPr>
              <w:t> </w:t>
            </w:r>
          </w:p>
        </w:tc>
      </w:tr>
      <w:tr>
        <w:trPr>
          <w:trHeight w:val="396" w:hRule="exact"/>
        </w:trPr>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02" w:right="0"/>
              <w:jc w:val="left"/>
              <w:rPr>
                <w:rFonts w:ascii="宋体" w:hAnsi="宋体" w:cs="宋体" w:eastAsia="宋体" w:hint="default"/>
                <w:sz w:val="18"/>
                <w:szCs w:val="18"/>
              </w:rPr>
            </w:pPr>
            <w:r>
              <w:rPr>
                <w:rFonts w:ascii="宋体" w:hAnsi="宋体" w:cs="宋体" w:eastAsia="宋体" w:hint="default"/>
                <w:sz w:val="18"/>
                <w:szCs w:val="18"/>
              </w:rPr>
              <w:t>预测期</w:t>
            </w:r>
            <w:r>
              <w:rPr>
                <w:rFonts w:ascii="宋体" w:hAnsi="宋体" w:cs="宋体" w:eastAsia="宋体" w:hint="default"/>
                <w:sz w:val="18"/>
                <w:szCs w:val="18"/>
              </w:rPr>
              <w:t> </w:t>
            </w:r>
          </w:p>
        </w:tc>
        <w:tc>
          <w:tcPr>
            <w:tcW w:w="27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2" w:right="0"/>
              <w:jc w:val="center"/>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z w:val="18"/>
                <w:szCs w:val="18"/>
              </w:rPr>
              <w:t> </w:t>
            </w:r>
          </w:p>
        </w:tc>
        <w:tc>
          <w:tcPr>
            <w:tcW w:w="28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4" w:right="0"/>
              <w:jc w:val="center"/>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pacing w:val="-46"/>
                <w:sz w:val="18"/>
                <w:szCs w:val="18"/>
              </w:rPr>
              <w:t> </w:t>
            </w:r>
            <w:r>
              <w:rPr>
                <w:rFonts w:ascii="宋体" w:hAnsi="宋体" w:cs="宋体" w:eastAsia="宋体" w:hint="default"/>
                <w:sz w:val="18"/>
                <w:szCs w:val="18"/>
              </w:rPr>
              <w:t>年</w:t>
            </w:r>
            <w:r>
              <w:rPr>
                <w:rFonts w:ascii="宋体" w:hAnsi="宋体" w:cs="宋体" w:eastAsia="宋体" w:hint="default"/>
                <w:sz w:val="18"/>
                <w:szCs w:val="18"/>
              </w:rPr>
              <w:t> </w:t>
            </w:r>
          </w:p>
        </w:tc>
        <w:tc>
          <w:tcPr>
            <w:tcW w:w="2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0" w:right="0"/>
              <w:jc w:val="center"/>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pacing w:val="-44"/>
                <w:sz w:val="18"/>
                <w:szCs w:val="18"/>
              </w:rPr>
              <w:t> </w:t>
            </w:r>
            <w:r>
              <w:rPr>
                <w:rFonts w:ascii="宋体" w:hAnsi="宋体" w:cs="宋体" w:eastAsia="宋体" w:hint="default"/>
                <w:spacing w:val="-3"/>
                <w:sz w:val="18"/>
                <w:szCs w:val="18"/>
              </w:rPr>
              <w:t>年</w:t>
            </w:r>
            <w:r>
              <w:rPr>
                <w:rFonts w:ascii="宋体" w:hAnsi="宋体" w:cs="宋体" w:eastAsia="宋体" w:hint="default"/>
                <w:sz w:val="18"/>
                <w:szCs w:val="18"/>
              </w:rPr>
              <w:t> </w:t>
            </w:r>
          </w:p>
        </w:tc>
      </w:tr>
      <w:tr>
        <w:trPr>
          <w:trHeight w:val="398" w:hRule="exact"/>
        </w:trPr>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收入增长率</w:t>
            </w:r>
            <w:r>
              <w:rPr>
                <w:rFonts w:ascii="宋体" w:hAnsi="宋体" w:cs="宋体" w:eastAsia="宋体" w:hint="default"/>
                <w:sz w:val="18"/>
                <w:szCs w:val="18"/>
              </w:rPr>
              <w:t> </w:t>
            </w:r>
          </w:p>
        </w:tc>
        <w:tc>
          <w:tcPr>
            <w:tcW w:w="27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15"/>
                <w:sz w:val="18"/>
                <w:szCs w:val="18"/>
              </w:rPr>
              <w:t>预</w:t>
            </w:r>
            <w:r>
              <w:rPr>
                <w:rFonts w:ascii="宋体" w:hAnsi="宋体" w:cs="宋体" w:eastAsia="宋体" w:hint="default"/>
                <w:spacing w:val="-17"/>
                <w:sz w:val="18"/>
                <w:szCs w:val="18"/>
              </w:rPr>
              <w:t>测期</w:t>
            </w:r>
            <w:r>
              <w:rPr>
                <w:rFonts w:ascii="宋体" w:hAnsi="宋体" w:cs="宋体" w:eastAsia="宋体" w:hint="default"/>
                <w:spacing w:val="-15"/>
                <w:sz w:val="18"/>
                <w:szCs w:val="18"/>
              </w:rPr>
              <w:t>分</w:t>
            </w:r>
            <w:r>
              <w:rPr>
                <w:rFonts w:ascii="宋体" w:hAnsi="宋体" w:cs="宋体" w:eastAsia="宋体" w:hint="default"/>
                <w:spacing w:val="-17"/>
                <w:sz w:val="18"/>
                <w:szCs w:val="18"/>
              </w:rPr>
              <w:t>别</w:t>
            </w:r>
            <w:r>
              <w:rPr>
                <w:rFonts w:ascii="宋体" w:hAnsi="宋体" w:cs="宋体" w:eastAsia="宋体" w:hint="default"/>
                <w:sz w:val="18"/>
                <w:szCs w:val="18"/>
              </w:rPr>
              <w:t>为</w:t>
            </w:r>
            <w:r>
              <w:rPr>
                <w:rFonts w:ascii="宋体" w:hAnsi="宋体" w:cs="宋体" w:eastAsia="宋体" w:hint="default"/>
                <w:spacing w:val="-67"/>
                <w:sz w:val="18"/>
                <w:szCs w:val="18"/>
              </w:rPr>
              <w:t> </w:t>
            </w:r>
            <w:r>
              <w:rPr>
                <w:rFonts w:ascii="宋体" w:hAnsi="宋体" w:cs="宋体" w:eastAsia="宋体" w:hint="default"/>
                <w:spacing w:val="-9"/>
                <w:sz w:val="18"/>
                <w:szCs w:val="18"/>
              </w:rPr>
              <w:t>7</w:t>
            </w:r>
            <w:r>
              <w:rPr>
                <w:rFonts w:ascii="宋体" w:hAnsi="宋体" w:cs="宋体" w:eastAsia="宋体" w:hint="default"/>
                <w:spacing w:val="-6"/>
                <w:sz w:val="18"/>
                <w:szCs w:val="18"/>
              </w:rPr>
              <w:t>.</w:t>
            </w:r>
            <w:r>
              <w:rPr>
                <w:rFonts w:ascii="宋体" w:hAnsi="宋体" w:cs="宋体" w:eastAsia="宋体" w:hint="default"/>
                <w:spacing w:val="-9"/>
                <w:sz w:val="18"/>
                <w:szCs w:val="18"/>
              </w:rPr>
              <w:t>00</w:t>
            </w:r>
            <w:r>
              <w:rPr>
                <w:rFonts w:ascii="宋体" w:hAnsi="宋体" w:cs="宋体" w:eastAsia="宋体" w:hint="default"/>
                <w:spacing w:val="-8"/>
                <w:sz w:val="18"/>
                <w:szCs w:val="18"/>
              </w:rPr>
              <w:t>%</w:t>
            </w:r>
            <w:r>
              <w:rPr>
                <w:rFonts w:ascii="宋体" w:hAnsi="宋体" w:cs="宋体" w:eastAsia="宋体" w:hint="default"/>
                <w:spacing w:val="-80"/>
                <w:sz w:val="18"/>
                <w:szCs w:val="18"/>
              </w:rPr>
              <w:t>、</w:t>
            </w:r>
            <w:r>
              <w:rPr>
                <w:rFonts w:ascii="宋体" w:hAnsi="宋体" w:cs="宋体" w:eastAsia="宋体" w:hint="default"/>
                <w:spacing w:val="-9"/>
                <w:sz w:val="18"/>
                <w:szCs w:val="18"/>
              </w:rPr>
              <w:t>9.48</w:t>
            </w:r>
            <w:r>
              <w:rPr>
                <w:rFonts w:ascii="宋体" w:hAnsi="宋体" w:cs="宋体" w:eastAsia="宋体" w:hint="default"/>
                <w:spacing w:val="-6"/>
                <w:sz w:val="18"/>
                <w:szCs w:val="18"/>
              </w:rPr>
              <w:t>%</w:t>
            </w:r>
            <w:r>
              <w:rPr>
                <w:rFonts w:ascii="宋体" w:hAnsi="宋体" w:cs="宋体" w:eastAsia="宋体" w:hint="default"/>
                <w:spacing w:val="-82"/>
                <w:sz w:val="18"/>
                <w:szCs w:val="18"/>
              </w:rPr>
              <w:t>、</w:t>
            </w:r>
            <w:r>
              <w:rPr>
                <w:rFonts w:ascii="宋体" w:hAnsi="宋体" w:cs="宋体" w:eastAsia="宋体" w:hint="default"/>
                <w:spacing w:val="-9"/>
                <w:sz w:val="18"/>
                <w:szCs w:val="18"/>
              </w:rPr>
              <w:t>8.2</w:t>
            </w:r>
            <w:r>
              <w:rPr>
                <w:rFonts w:ascii="宋体" w:hAnsi="宋体" w:cs="宋体" w:eastAsia="宋体" w:hint="default"/>
                <w:spacing w:val="-6"/>
                <w:sz w:val="18"/>
                <w:szCs w:val="18"/>
              </w:rPr>
              <w:t>3</w:t>
            </w:r>
            <w:r>
              <w:rPr>
                <w:rFonts w:ascii="宋体" w:hAnsi="宋体" w:cs="宋体" w:eastAsia="宋体" w:hint="default"/>
                <w:spacing w:val="-9"/>
                <w:sz w:val="18"/>
                <w:szCs w:val="18"/>
              </w:rPr>
              <w:t>%</w:t>
            </w:r>
            <w:r>
              <w:rPr>
                <w:rFonts w:ascii="宋体" w:hAnsi="宋体" w:cs="宋体" w:eastAsia="宋体" w:hint="default"/>
                <w:sz w:val="18"/>
                <w:szCs w:val="18"/>
              </w:rPr>
              <w:t>、</w:t>
            </w:r>
          </w:p>
        </w:tc>
        <w:tc>
          <w:tcPr>
            <w:tcW w:w="28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pacing w:val="-11"/>
                <w:sz w:val="18"/>
                <w:szCs w:val="18"/>
              </w:rPr>
              <w:t>预测期分别为</w:t>
            </w:r>
            <w:r>
              <w:rPr>
                <w:rFonts w:ascii="宋体" w:hAnsi="宋体" w:cs="宋体" w:eastAsia="宋体" w:hint="default"/>
                <w:spacing w:val="-11"/>
                <w:sz w:val="18"/>
                <w:szCs w:val="18"/>
              </w:rPr>
              <w:t>-7.69%</w:t>
            </w:r>
            <w:r>
              <w:rPr>
                <w:rFonts w:ascii="宋体" w:hAnsi="宋体" w:cs="宋体" w:eastAsia="宋体" w:hint="default"/>
                <w:spacing w:val="-11"/>
                <w:sz w:val="18"/>
                <w:szCs w:val="18"/>
              </w:rPr>
              <w:t>、</w:t>
            </w:r>
            <w:r>
              <w:rPr>
                <w:rFonts w:ascii="宋体" w:hAnsi="宋体" w:cs="宋体" w:eastAsia="宋体" w:hint="default"/>
                <w:spacing w:val="-11"/>
                <w:sz w:val="18"/>
                <w:szCs w:val="18"/>
              </w:rPr>
              <w:t>36.06%</w:t>
            </w:r>
            <w:r>
              <w:rPr>
                <w:rFonts w:ascii="宋体" w:hAnsi="宋体" w:cs="宋体" w:eastAsia="宋体" w:hint="default"/>
                <w:spacing w:val="-11"/>
                <w:sz w:val="18"/>
                <w:szCs w:val="18"/>
              </w:rPr>
              <w:t>、</w:t>
            </w:r>
          </w:p>
        </w:tc>
        <w:tc>
          <w:tcPr>
            <w:tcW w:w="2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14"/>
                <w:sz w:val="18"/>
                <w:szCs w:val="18"/>
              </w:rPr>
              <w:t>预测期分别为</w:t>
            </w:r>
            <w:r>
              <w:rPr>
                <w:rFonts w:ascii="宋体" w:hAnsi="宋体" w:cs="宋体" w:eastAsia="宋体" w:hint="default"/>
                <w:spacing w:val="-54"/>
                <w:sz w:val="18"/>
                <w:szCs w:val="18"/>
              </w:rPr>
              <w:t> </w:t>
            </w:r>
            <w:r>
              <w:rPr>
                <w:rFonts w:ascii="宋体" w:hAnsi="宋体" w:cs="宋体" w:eastAsia="宋体" w:hint="default"/>
                <w:spacing w:val="-9"/>
                <w:sz w:val="18"/>
                <w:szCs w:val="18"/>
              </w:rPr>
              <w:t>20.59%</w:t>
            </w:r>
            <w:r>
              <w:rPr>
                <w:rFonts w:ascii="宋体" w:hAnsi="宋体" w:cs="宋体" w:eastAsia="宋体" w:hint="default"/>
                <w:spacing w:val="-9"/>
                <w:sz w:val="18"/>
                <w:szCs w:val="18"/>
              </w:rPr>
              <w:t>、</w:t>
            </w:r>
            <w:r>
              <w:rPr>
                <w:rFonts w:ascii="宋体" w:hAnsi="宋体" w:cs="宋体" w:eastAsia="宋体" w:hint="default"/>
                <w:spacing w:val="-9"/>
                <w:sz w:val="18"/>
                <w:szCs w:val="18"/>
              </w:rPr>
              <w:t>19.49%</w:t>
            </w:r>
            <w:r>
              <w:rPr>
                <w:rFonts w:ascii="宋体" w:hAnsi="宋体" w:cs="宋体" w:eastAsia="宋体" w:hint="default"/>
                <w:spacing w:val="-9"/>
                <w:sz w:val="18"/>
                <w:szCs w:val="18"/>
              </w:rPr>
              <w:t>、</w:t>
            </w:r>
          </w:p>
        </w:tc>
      </w:tr>
      <w:tr>
        <w:trPr>
          <w:trHeight w:val="396" w:hRule="exact"/>
        </w:trPr>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营业利润率</w:t>
            </w:r>
            <w:r>
              <w:rPr>
                <w:rFonts w:ascii="宋体" w:hAnsi="宋体" w:cs="宋体" w:eastAsia="宋体" w:hint="default"/>
                <w:sz w:val="18"/>
                <w:szCs w:val="18"/>
              </w:rPr>
              <w:t> </w:t>
            </w:r>
          </w:p>
        </w:tc>
        <w:tc>
          <w:tcPr>
            <w:tcW w:w="27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15"/>
                <w:sz w:val="18"/>
                <w:szCs w:val="18"/>
              </w:rPr>
              <w:t>预</w:t>
            </w:r>
            <w:r>
              <w:rPr>
                <w:rFonts w:ascii="宋体" w:hAnsi="宋体" w:cs="宋体" w:eastAsia="宋体" w:hint="default"/>
                <w:spacing w:val="-17"/>
                <w:sz w:val="18"/>
                <w:szCs w:val="18"/>
              </w:rPr>
              <w:t>测期</w:t>
            </w:r>
            <w:r>
              <w:rPr>
                <w:rFonts w:ascii="宋体" w:hAnsi="宋体" w:cs="宋体" w:eastAsia="宋体" w:hint="default"/>
                <w:spacing w:val="-15"/>
                <w:sz w:val="18"/>
                <w:szCs w:val="18"/>
              </w:rPr>
              <w:t>分</w:t>
            </w:r>
            <w:r>
              <w:rPr>
                <w:rFonts w:ascii="宋体" w:hAnsi="宋体" w:cs="宋体" w:eastAsia="宋体" w:hint="default"/>
                <w:spacing w:val="-17"/>
                <w:sz w:val="18"/>
                <w:szCs w:val="18"/>
              </w:rPr>
              <w:t>别</w:t>
            </w:r>
            <w:r>
              <w:rPr>
                <w:rFonts w:ascii="宋体" w:hAnsi="宋体" w:cs="宋体" w:eastAsia="宋体" w:hint="default"/>
                <w:sz w:val="18"/>
                <w:szCs w:val="18"/>
              </w:rPr>
              <w:t>为</w:t>
            </w:r>
            <w:r>
              <w:rPr>
                <w:rFonts w:ascii="宋体" w:hAnsi="宋体" w:cs="宋体" w:eastAsia="宋体" w:hint="default"/>
                <w:spacing w:val="-67"/>
                <w:sz w:val="18"/>
                <w:szCs w:val="18"/>
              </w:rPr>
              <w:t> </w:t>
            </w:r>
            <w:r>
              <w:rPr>
                <w:rFonts w:ascii="宋体" w:hAnsi="宋体" w:cs="宋体" w:eastAsia="宋体" w:hint="default"/>
                <w:spacing w:val="-9"/>
                <w:sz w:val="18"/>
                <w:szCs w:val="18"/>
              </w:rPr>
              <w:t>4</w:t>
            </w:r>
            <w:r>
              <w:rPr>
                <w:rFonts w:ascii="宋体" w:hAnsi="宋体" w:cs="宋体" w:eastAsia="宋体" w:hint="default"/>
                <w:spacing w:val="-6"/>
                <w:sz w:val="18"/>
                <w:szCs w:val="18"/>
              </w:rPr>
              <w:t>.</w:t>
            </w:r>
            <w:r>
              <w:rPr>
                <w:rFonts w:ascii="宋体" w:hAnsi="宋体" w:cs="宋体" w:eastAsia="宋体" w:hint="default"/>
                <w:spacing w:val="-9"/>
                <w:sz w:val="18"/>
                <w:szCs w:val="18"/>
              </w:rPr>
              <w:t>40</w:t>
            </w:r>
            <w:r>
              <w:rPr>
                <w:rFonts w:ascii="宋体" w:hAnsi="宋体" w:cs="宋体" w:eastAsia="宋体" w:hint="default"/>
                <w:spacing w:val="-8"/>
                <w:sz w:val="18"/>
                <w:szCs w:val="18"/>
              </w:rPr>
              <w:t>%</w:t>
            </w:r>
            <w:r>
              <w:rPr>
                <w:rFonts w:ascii="宋体" w:hAnsi="宋体" w:cs="宋体" w:eastAsia="宋体" w:hint="default"/>
                <w:spacing w:val="-80"/>
                <w:sz w:val="18"/>
                <w:szCs w:val="18"/>
              </w:rPr>
              <w:t>、</w:t>
            </w:r>
            <w:r>
              <w:rPr>
                <w:rFonts w:ascii="宋体" w:hAnsi="宋体" w:cs="宋体" w:eastAsia="宋体" w:hint="default"/>
                <w:spacing w:val="-9"/>
                <w:sz w:val="18"/>
                <w:szCs w:val="18"/>
              </w:rPr>
              <w:t>5.09</w:t>
            </w:r>
            <w:r>
              <w:rPr>
                <w:rFonts w:ascii="宋体" w:hAnsi="宋体" w:cs="宋体" w:eastAsia="宋体" w:hint="default"/>
                <w:spacing w:val="-6"/>
                <w:sz w:val="18"/>
                <w:szCs w:val="18"/>
              </w:rPr>
              <w:t>%</w:t>
            </w:r>
            <w:r>
              <w:rPr>
                <w:rFonts w:ascii="宋体" w:hAnsi="宋体" w:cs="宋体" w:eastAsia="宋体" w:hint="default"/>
                <w:spacing w:val="-82"/>
                <w:sz w:val="18"/>
                <w:szCs w:val="18"/>
              </w:rPr>
              <w:t>、</w:t>
            </w:r>
            <w:r>
              <w:rPr>
                <w:rFonts w:ascii="宋体" w:hAnsi="宋体" w:cs="宋体" w:eastAsia="宋体" w:hint="default"/>
                <w:spacing w:val="-9"/>
                <w:sz w:val="18"/>
                <w:szCs w:val="18"/>
              </w:rPr>
              <w:t>5.0</w:t>
            </w:r>
            <w:r>
              <w:rPr>
                <w:rFonts w:ascii="宋体" w:hAnsi="宋体" w:cs="宋体" w:eastAsia="宋体" w:hint="default"/>
                <w:spacing w:val="-6"/>
                <w:sz w:val="18"/>
                <w:szCs w:val="18"/>
              </w:rPr>
              <w:t>1</w:t>
            </w:r>
            <w:r>
              <w:rPr>
                <w:rFonts w:ascii="宋体" w:hAnsi="宋体" w:cs="宋体" w:eastAsia="宋体" w:hint="default"/>
                <w:spacing w:val="-9"/>
                <w:sz w:val="18"/>
                <w:szCs w:val="18"/>
              </w:rPr>
              <w:t>%</w:t>
            </w:r>
            <w:r>
              <w:rPr>
                <w:rFonts w:ascii="宋体" w:hAnsi="宋体" w:cs="宋体" w:eastAsia="宋体" w:hint="default"/>
                <w:sz w:val="18"/>
                <w:szCs w:val="18"/>
              </w:rPr>
              <w:t>、</w:t>
            </w:r>
          </w:p>
        </w:tc>
        <w:tc>
          <w:tcPr>
            <w:tcW w:w="28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pacing w:val="-14"/>
                <w:sz w:val="18"/>
                <w:szCs w:val="18"/>
              </w:rPr>
              <w:t>预测期分别为</w:t>
            </w:r>
            <w:r>
              <w:rPr>
                <w:rFonts w:ascii="宋体" w:hAnsi="宋体" w:cs="宋体" w:eastAsia="宋体" w:hint="default"/>
                <w:spacing w:val="-55"/>
                <w:sz w:val="18"/>
                <w:szCs w:val="18"/>
              </w:rPr>
              <w:t> </w:t>
            </w:r>
            <w:r>
              <w:rPr>
                <w:rFonts w:ascii="宋体" w:hAnsi="宋体" w:cs="宋体" w:eastAsia="宋体" w:hint="default"/>
                <w:spacing w:val="-10"/>
                <w:sz w:val="18"/>
                <w:szCs w:val="18"/>
              </w:rPr>
              <w:t>4.59%</w:t>
            </w:r>
            <w:r>
              <w:rPr>
                <w:rFonts w:ascii="宋体" w:hAnsi="宋体" w:cs="宋体" w:eastAsia="宋体" w:hint="default"/>
                <w:spacing w:val="-10"/>
                <w:sz w:val="18"/>
                <w:szCs w:val="18"/>
              </w:rPr>
              <w:t>、</w:t>
            </w:r>
            <w:r>
              <w:rPr>
                <w:rFonts w:ascii="宋体" w:hAnsi="宋体" w:cs="宋体" w:eastAsia="宋体" w:hint="default"/>
                <w:spacing w:val="-10"/>
                <w:sz w:val="18"/>
                <w:szCs w:val="18"/>
              </w:rPr>
              <w:t>7.43%</w:t>
            </w:r>
            <w:r>
              <w:rPr>
                <w:rFonts w:ascii="宋体" w:hAnsi="宋体" w:cs="宋体" w:eastAsia="宋体" w:hint="default"/>
                <w:spacing w:val="-10"/>
                <w:sz w:val="18"/>
                <w:szCs w:val="18"/>
              </w:rPr>
              <w:t>、</w:t>
            </w:r>
            <w:r>
              <w:rPr>
                <w:rFonts w:ascii="宋体" w:hAnsi="宋体" w:cs="宋体" w:eastAsia="宋体" w:hint="default"/>
                <w:spacing w:val="-10"/>
                <w:sz w:val="18"/>
                <w:szCs w:val="18"/>
              </w:rPr>
              <w:t>8.20%</w:t>
            </w:r>
            <w:r>
              <w:rPr>
                <w:rFonts w:ascii="宋体" w:hAnsi="宋体" w:cs="宋体" w:eastAsia="宋体" w:hint="default"/>
                <w:spacing w:val="-10"/>
                <w:sz w:val="18"/>
                <w:szCs w:val="18"/>
              </w:rPr>
              <w:t>、</w:t>
            </w:r>
          </w:p>
        </w:tc>
        <w:tc>
          <w:tcPr>
            <w:tcW w:w="2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14"/>
                <w:sz w:val="18"/>
                <w:szCs w:val="18"/>
              </w:rPr>
              <w:t>预测期分别为</w:t>
            </w:r>
            <w:r>
              <w:rPr>
                <w:rFonts w:ascii="宋体" w:hAnsi="宋体" w:cs="宋体" w:eastAsia="宋体" w:hint="default"/>
                <w:spacing w:val="-54"/>
                <w:sz w:val="18"/>
                <w:szCs w:val="18"/>
              </w:rPr>
              <w:t> </w:t>
            </w:r>
            <w:r>
              <w:rPr>
                <w:rFonts w:ascii="宋体" w:hAnsi="宋体" w:cs="宋体" w:eastAsia="宋体" w:hint="default"/>
                <w:spacing w:val="-9"/>
                <w:sz w:val="18"/>
                <w:szCs w:val="18"/>
              </w:rPr>
              <w:t>15.52%</w:t>
            </w:r>
            <w:r>
              <w:rPr>
                <w:rFonts w:ascii="宋体" w:hAnsi="宋体" w:cs="宋体" w:eastAsia="宋体" w:hint="default"/>
                <w:spacing w:val="-9"/>
                <w:sz w:val="18"/>
                <w:szCs w:val="18"/>
              </w:rPr>
              <w:t>、</w:t>
            </w:r>
            <w:r>
              <w:rPr>
                <w:rFonts w:ascii="宋体" w:hAnsi="宋体" w:cs="宋体" w:eastAsia="宋体" w:hint="default"/>
                <w:spacing w:val="-9"/>
                <w:sz w:val="18"/>
                <w:szCs w:val="18"/>
              </w:rPr>
              <w:t>18.82%</w:t>
            </w:r>
            <w:r>
              <w:rPr>
                <w:rFonts w:ascii="宋体" w:hAnsi="宋体" w:cs="宋体" w:eastAsia="宋体" w:hint="default"/>
                <w:spacing w:val="-9"/>
                <w:sz w:val="18"/>
                <w:szCs w:val="18"/>
              </w:rPr>
              <w:t>、</w:t>
            </w:r>
          </w:p>
        </w:tc>
      </w:tr>
      <w:tr>
        <w:trPr>
          <w:trHeight w:val="398" w:hRule="exact"/>
        </w:trPr>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折现率</w:t>
            </w:r>
            <w:r>
              <w:rPr>
                <w:rFonts w:ascii="宋体" w:hAnsi="宋体" w:cs="宋体" w:eastAsia="宋体" w:hint="default"/>
                <w:sz w:val="18"/>
                <w:szCs w:val="18"/>
              </w:rPr>
              <w:t> </w:t>
            </w:r>
          </w:p>
        </w:tc>
        <w:tc>
          <w:tcPr>
            <w:tcW w:w="27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预测期和永续期均为</w:t>
            </w:r>
            <w:r>
              <w:rPr>
                <w:rFonts w:ascii="宋体" w:hAnsi="宋体" w:cs="宋体" w:eastAsia="宋体" w:hint="default"/>
                <w:spacing w:val="-48"/>
                <w:sz w:val="18"/>
                <w:szCs w:val="18"/>
              </w:rPr>
              <w:t> </w:t>
            </w:r>
            <w:r>
              <w:rPr>
                <w:rFonts w:ascii="宋体" w:hAnsi="宋体" w:cs="宋体" w:eastAsia="宋体" w:hint="default"/>
                <w:sz w:val="18"/>
                <w:szCs w:val="18"/>
              </w:rPr>
              <w:t>14.553% </w:t>
            </w:r>
          </w:p>
        </w:tc>
        <w:tc>
          <w:tcPr>
            <w:tcW w:w="28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预测期和永续期均为</w:t>
            </w:r>
            <w:r>
              <w:rPr>
                <w:rFonts w:ascii="宋体" w:hAnsi="宋体" w:cs="宋体" w:eastAsia="宋体" w:hint="default"/>
                <w:spacing w:val="-46"/>
                <w:sz w:val="18"/>
                <w:szCs w:val="18"/>
              </w:rPr>
              <w:t> </w:t>
            </w:r>
            <w:r>
              <w:rPr>
                <w:rFonts w:ascii="宋体" w:hAnsi="宋体" w:cs="宋体" w:eastAsia="宋体" w:hint="default"/>
                <w:sz w:val="18"/>
                <w:szCs w:val="18"/>
              </w:rPr>
              <w:t>14.63% </w:t>
            </w:r>
          </w:p>
        </w:tc>
        <w:tc>
          <w:tcPr>
            <w:tcW w:w="2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预测期和永续期均为</w:t>
            </w:r>
            <w:r>
              <w:rPr>
                <w:rFonts w:ascii="宋体" w:hAnsi="宋体" w:cs="宋体" w:eastAsia="宋体" w:hint="default"/>
                <w:spacing w:val="-46"/>
                <w:sz w:val="18"/>
                <w:szCs w:val="18"/>
              </w:rPr>
              <w:t> </w:t>
            </w:r>
            <w:r>
              <w:rPr>
                <w:rFonts w:ascii="宋体" w:hAnsi="宋体" w:cs="宋体" w:eastAsia="宋体" w:hint="default"/>
                <w:sz w:val="18"/>
                <w:szCs w:val="18"/>
              </w:rPr>
              <w:t>16.76% </w:t>
            </w:r>
          </w:p>
        </w:tc>
      </w:tr>
    </w:tbl>
    <w:p>
      <w:pPr>
        <w:spacing w:line="240" w:lineRule="auto" w:before="7"/>
        <w:rPr>
          <w:rFonts w:ascii="宋体" w:hAnsi="宋体" w:cs="宋体" w:eastAsia="宋体" w:hint="default"/>
          <w:sz w:val="6"/>
          <w:szCs w:val="6"/>
        </w:rPr>
      </w:pPr>
    </w:p>
    <w:p>
      <w:pPr>
        <w:pStyle w:val="BodyText"/>
        <w:spacing w:line="240" w:lineRule="auto" w:before="36"/>
        <w:ind w:left="566" w:right="1146"/>
        <w:jc w:val="left"/>
        <w:rPr>
          <w:rFonts w:ascii="宋体" w:hAnsi="宋体" w:cs="宋体" w:eastAsia="宋体" w:hint="default"/>
        </w:rPr>
      </w:pPr>
      <w:r>
        <w:rPr>
          <w:rFonts w:ascii="宋体" w:hAnsi="宋体" w:cs="宋体" w:eastAsia="宋体" w:hint="default"/>
          <w:b/>
          <w:bCs/>
        </w:rPr>
        <w:t>5</w:t>
      </w:r>
      <w:r>
        <w:rPr>
          <w:rFonts w:ascii="宋体" w:hAnsi="宋体" w:cs="宋体" w:eastAsia="宋体" w:hint="default"/>
          <w:b/>
          <w:bCs/>
        </w:rPr>
        <w:t>、</w:t>
      </w:r>
      <w:r>
        <w:rPr/>
        <w:t>主要资产组组合商誉减值测试的影响</w:t>
      </w:r>
      <w:r>
        <w:rPr>
          <w:rFonts w:ascii="宋体" w:hAnsi="宋体" w:cs="宋体" w:eastAsia="宋体" w:hint="default"/>
        </w:rPr>
        <w:t> </w:t>
      </w:r>
    </w:p>
    <w:p>
      <w:pPr>
        <w:pStyle w:val="BodyText"/>
        <w:spacing w:line="237" w:lineRule="auto" w:before="155"/>
        <w:ind w:left="143" w:right="1069" w:firstLine="420"/>
        <w:jc w:val="both"/>
        <w:rPr>
          <w:rFonts w:ascii="宋体" w:hAnsi="宋体" w:cs="宋体" w:eastAsia="宋体" w:hint="default"/>
        </w:rPr>
      </w:pPr>
      <w:r>
        <w:rPr/>
        <w:t>公司已聘请北京国融兴华资产评估有限责任公司对公司截止</w:t>
      </w:r>
      <w:r>
        <w:rPr>
          <w:spacing w:val="-69"/>
        </w:rPr>
        <w:t> </w:t>
      </w:r>
      <w:r>
        <w:rPr>
          <w:rFonts w:ascii="宋体" w:hAnsi="宋体" w:cs="宋体" w:eastAsia="宋体" w:hint="default"/>
        </w:rPr>
        <w:t>2019</w:t>
      </w:r>
      <w:r>
        <w:rPr>
          <w:rFonts w:ascii="宋体" w:hAnsi="宋体" w:cs="宋体" w:eastAsia="宋体" w:hint="default"/>
          <w:spacing w:val="-2"/>
        </w:rPr>
        <w:t> </w:t>
      </w:r>
      <w:r>
        <w:rPr/>
        <w:t>年</w:t>
      </w:r>
      <w:r>
        <w:rPr>
          <w:spacing w:val="-69"/>
        </w:rPr>
        <w:t> </w:t>
      </w:r>
      <w:r>
        <w:rPr>
          <w:rFonts w:ascii="宋体" w:hAnsi="宋体" w:cs="宋体" w:eastAsia="宋体" w:hint="default"/>
        </w:rPr>
        <w:t>12</w:t>
      </w:r>
      <w:r>
        <w:rPr>
          <w:rFonts w:ascii="宋体" w:hAnsi="宋体" w:cs="宋体" w:eastAsia="宋体" w:hint="default"/>
          <w:spacing w:val="-72"/>
        </w:rPr>
        <w:t> </w:t>
      </w:r>
      <w:r>
        <w:rPr/>
        <w:t>月</w:t>
      </w:r>
      <w:r>
        <w:rPr>
          <w:spacing w:val="-69"/>
        </w:rPr>
        <w:t> </w:t>
      </w:r>
      <w:r>
        <w:rPr>
          <w:rFonts w:ascii="宋体" w:hAnsi="宋体" w:cs="宋体" w:eastAsia="宋体" w:hint="default"/>
        </w:rPr>
        <w:t>31</w:t>
      </w:r>
      <w:r>
        <w:rPr>
          <w:rFonts w:ascii="宋体" w:hAnsi="宋体" w:cs="宋体" w:eastAsia="宋体" w:hint="default"/>
          <w:spacing w:val="-72"/>
        </w:rPr>
        <w:t> </w:t>
      </w:r>
      <w:r>
        <w:rPr/>
        <w:t>日商誉减值情况进行测</w:t>
      </w:r>
      <w:r>
        <w:rPr>
          <w:w w:val="100"/>
        </w:rPr>
        <w:t> </w:t>
      </w:r>
      <w:r>
        <w:rPr>
          <w:spacing w:val="-5"/>
        </w:rPr>
        <w:t>试，并针对收购创世漫道、长实通信、嘉华信息形成的商誉所在的资产组组合的可收回金额分别出具“国</w:t>
      </w:r>
      <w:r>
        <w:rPr>
          <w:spacing w:val="-19"/>
        </w:rPr>
        <w:t> </w:t>
      </w:r>
      <w:r>
        <w:rPr>
          <w:spacing w:val="-19"/>
        </w:rPr>
      </w:r>
      <w:r>
        <w:rPr>
          <w:spacing w:val="-1"/>
          <w:w w:val="100"/>
        </w:rPr>
        <w:t>融兴华评报字</w:t>
      </w:r>
      <w:r>
        <w:rPr>
          <w:rFonts w:ascii="宋体" w:hAnsi="宋体" w:cs="宋体" w:eastAsia="宋体" w:hint="default"/>
          <w:spacing w:val="-1"/>
          <w:w w:val="100"/>
        </w:rPr>
        <w:t>[2020]</w:t>
      </w:r>
      <w:r>
        <w:rPr>
          <w:spacing w:val="-1"/>
          <w:w w:val="100"/>
        </w:rPr>
        <w:t>第</w:t>
      </w:r>
      <w:r>
        <w:rPr>
          <w:spacing w:val="-53"/>
          <w:w w:val="100"/>
        </w:rPr>
        <w:t> </w:t>
      </w:r>
      <w:r>
        <w:rPr>
          <w:rFonts w:ascii="宋体" w:hAnsi="宋体" w:cs="宋体" w:eastAsia="宋体" w:hint="default"/>
          <w:spacing w:val="-1"/>
          <w:w w:val="100"/>
        </w:rPr>
        <w:t>030013</w:t>
      </w:r>
      <w:r>
        <w:rPr>
          <w:rFonts w:ascii="宋体" w:hAnsi="宋体" w:cs="宋体" w:eastAsia="宋体" w:hint="default"/>
          <w:spacing w:val="-55"/>
          <w:w w:val="100"/>
        </w:rPr>
        <w:t> </w:t>
      </w:r>
      <w:r>
        <w:rPr>
          <w:spacing w:val="-7"/>
          <w:w w:val="100"/>
        </w:rPr>
        <w:t>号、国融兴华评报字</w:t>
      </w:r>
      <w:r>
        <w:rPr>
          <w:rFonts w:ascii="宋体" w:hAnsi="宋体" w:cs="宋体" w:eastAsia="宋体" w:hint="default"/>
          <w:spacing w:val="-7"/>
          <w:w w:val="100"/>
        </w:rPr>
        <w:t>[2020]</w:t>
      </w:r>
      <w:r>
        <w:rPr>
          <w:spacing w:val="-7"/>
          <w:w w:val="100"/>
        </w:rPr>
        <w:t>第</w:t>
      </w:r>
      <w:r>
        <w:rPr>
          <w:spacing w:val="-52"/>
          <w:w w:val="100"/>
        </w:rPr>
        <w:t> </w:t>
      </w:r>
      <w:r>
        <w:rPr>
          <w:rFonts w:ascii="宋体" w:hAnsi="宋体" w:cs="宋体" w:eastAsia="宋体" w:hint="default"/>
          <w:spacing w:val="-1"/>
          <w:w w:val="100"/>
        </w:rPr>
        <w:t>030012</w:t>
      </w:r>
      <w:r>
        <w:rPr>
          <w:rFonts w:ascii="宋体" w:hAnsi="宋体" w:cs="宋体" w:eastAsia="宋体" w:hint="default"/>
          <w:spacing w:val="-55"/>
          <w:w w:val="100"/>
        </w:rPr>
        <w:t> </w:t>
      </w:r>
      <w:r>
        <w:rPr>
          <w:spacing w:val="-7"/>
          <w:w w:val="100"/>
        </w:rPr>
        <w:t>号、国融兴华评报字</w:t>
      </w:r>
      <w:r>
        <w:rPr>
          <w:rFonts w:ascii="宋体" w:hAnsi="宋体" w:cs="宋体" w:eastAsia="宋体" w:hint="default"/>
          <w:spacing w:val="-7"/>
          <w:w w:val="100"/>
        </w:rPr>
        <w:t>[2020]</w:t>
      </w:r>
      <w:r>
        <w:rPr>
          <w:spacing w:val="-7"/>
          <w:w w:val="100"/>
        </w:rPr>
        <w:t>第</w:t>
      </w:r>
      <w:r>
        <w:rPr>
          <w:spacing w:val="-53"/>
          <w:w w:val="100"/>
        </w:rPr>
        <w:t> </w:t>
      </w:r>
      <w:r>
        <w:rPr>
          <w:rFonts w:ascii="宋体" w:hAnsi="宋体" w:cs="宋体" w:eastAsia="宋体" w:hint="default"/>
          <w:spacing w:val="-1"/>
          <w:w w:val="100"/>
        </w:rPr>
        <w:t>030014</w:t>
      </w:r>
    </w:p>
    <w:p>
      <w:pPr>
        <w:pStyle w:val="BodyText"/>
        <w:spacing w:line="272" w:lineRule="exact" w:before="26"/>
        <w:ind w:left="143" w:right="1146"/>
        <w:jc w:val="left"/>
        <w:rPr>
          <w:rFonts w:ascii="宋体" w:hAnsi="宋体" w:cs="宋体" w:eastAsia="宋体" w:hint="default"/>
        </w:rPr>
      </w:pPr>
      <w:r>
        <w:rPr/>
        <w:t>号”评估报告。经测试后，创世漫道减值</w:t>
      </w:r>
      <w:r>
        <w:rPr>
          <w:spacing w:val="-55"/>
        </w:rPr>
        <w:t> </w:t>
      </w:r>
      <w:r>
        <w:rPr>
          <w:rFonts w:ascii="宋体" w:hAnsi="宋体" w:cs="宋体" w:eastAsia="宋体" w:hint="default"/>
        </w:rPr>
        <w:t>46,344.00</w:t>
      </w:r>
      <w:r>
        <w:rPr>
          <w:rFonts w:ascii="宋体" w:hAnsi="宋体" w:cs="宋体" w:eastAsia="宋体" w:hint="default"/>
          <w:spacing w:val="-56"/>
        </w:rPr>
        <w:t> </w:t>
      </w:r>
      <w:r>
        <w:rPr/>
        <w:t>万元，长实通信减值</w:t>
      </w:r>
      <w:r>
        <w:rPr>
          <w:spacing w:val="-56"/>
        </w:rPr>
        <w:t> </w:t>
      </w:r>
      <w:r>
        <w:rPr>
          <w:rFonts w:ascii="宋体" w:hAnsi="宋体" w:cs="宋体" w:eastAsia="宋体" w:hint="default"/>
        </w:rPr>
        <w:t>73,926.00</w:t>
      </w:r>
      <w:r>
        <w:rPr>
          <w:rFonts w:ascii="宋体" w:hAnsi="宋体" w:cs="宋体" w:eastAsia="宋体" w:hint="default"/>
          <w:spacing w:val="-56"/>
        </w:rPr>
        <w:t> </w:t>
      </w:r>
      <w:r>
        <w:rPr/>
        <w:t>万元，嘉华信息商</w:t>
      </w:r>
      <w:r>
        <w:rPr>
          <w:w w:val="100"/>
        </w:rPr>
        <w:t> </w:t>
      </w:r>
      <w:r>
        <w:rPr/>
        <w:t>誉无减值。</w:t>
      </w:r>
      <w:r>
        <w:rPr>
          <w:rFonts w:ascii="宋体" w:hAnsi="宋体" w:cs="宋体" w:eastAsia="宋体" w:hint="default"/>
        </w:rPr>
        <w:t> </w:t>
      </w:r>
    </w:p>
    <w:p>
      <w:pPr>
        <w:pStyle w:val="Heading3"/>
        <w:spacing w:line="240" w:lineRule="auto" w:before="130"/>
        <w:ind w:left="354" w:right="7673"/>
        <w:jc w:val="left"/>
        <w:rPr>
          <w:rFonts w:ascii="宋体" w:hAnsi="宋体" w:cs="宋体" w:eastAsia="宋体" w:hint="default"/>
          <w:b w:val="0"/>
          <w:bCs w:val="0"/>
        </w:rPr>
      </w:pPr>
      <w:r>
        <w:rPr/>
        <w:t>（十五）长期待摊费用</w:t>
      </w:r>
      <w:r>
        <w:rPr>
          <w:rFonts w:ascii="宋体" w:hAnsi="宋体" w:cs="宋体" w:eastAsia="宋体" w:hint="default"/>
          <w:w w:val="99"/>
        </w:rPr>
        <w:t> </w:t>
      </w:r>
      <w:r>
        <w:rPr>
          <w:rFonts w:ascii="宋体" w:hAnsi="宋体" w:cs="宋体" w:eastAsia="宋体" w:hint="default"/>
          <w:b w:val="0"/>
          <w:bCs w:val="0"/>
        </w:rPr>
      </w:r>
    </w:p>
    <w:p>
      <w:pPr>
        <w:spacing w:line="240" w:lineRule="auto" w:before="3"/>
        <w:rPr>
          <w:rFonts w:ascii="宋体" w:hAnsi="宋体" w:cs="宋体" w:eastAsia="宋体" w:hint="default"/>
          <w:b/>
          <w:bCs/>
          <w:sz w:val="14"/>
          <w:szCs w:val="14"/>
        </w:rPr>
      </w:pPr>
    </w:p>
    <w:tbl>
      <w:tblPr>
        <w:tblW w:w="0" w:type="auto"/>
        <w:jc w:val="left"/>
        <w:tblInd w:w="138" w:type="dxa"/>
        <w:tblLayout w:type="fixed"/>
        <w:tblCellMar>
          <w:top w:w="0" w:type="dxa"/>
          <w:left w:w="0" w:type="dxa"/>
          <w:bottom w:w="0" w:type="dxa"/>
          <w:right w:w="0" w:type="dxa"/>
        </w:tblCellMar>
        <w:tblLook w:val="01E0"/>
      </w:tblPr>
      <w:tblGrid>
        <w:gridCol w:w="1388"/>
        <w:gridCol w:w="1498"/>
        <w:gridCol w:w="1498"/>
        <w:gridCol w:w="1498"/>
        <w:gridCol w:w="1495"/>
        <w:gridCol w:w="2252"/>
      </w:tblGrid>
      <w:tr>
        <w:trPr>
          <w:trHeight w:val="396"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509" w:right="0"/>
              <w:jc w:val="left"/>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386"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03" w:right="0"/>
              <w:jc w:val="left"/>
              <w:rPr>
                <w:rFonts w:ascii="宋体" w:hAnsi="宋体" w:cs="宋体" w:eastAsia="宋体" w:hint="default"/>
                <w:sz w:val="18"/>
                <w:szCs w:val="18"/>
              </w:rPr>
            </w:pPr>
            <w:r>
              <w:rPr>
                <w:rFonts w:ascii="宋体" w:hAnsi="宋体" w:cs="宋体" w:eastAsia="宋体" w:hint="default"/>
                <w:sz w:val="18"/>
                <w:szCs w:val="18"/>
              </w:rPr>
              <w:t>本期增加金额</w:t>
            </w:r>
            <w:r>
              <w:rPr>
                <w:rFonts w:ascii="宋体" w:hAnsi="宋体" w:cs="宋体" w:eastAsia="宋体" w:hint="default"/>
                <w:sz w:val="18"/>
                <w:szCs w:val="18"/>
              </w:rPr>
              <w:t> </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04" w:right="0"/>
              <w:jc w:val="left"/>
              <w:rPr>
                <w:rFonts w:ascii="宋体" w:hAnsi="宋体" w:cs="宋体" w:eastAsia="宋体" w:hint="default"/>
                <w:sz w:val="18"/>
                <w:szCs w:val="18"/>
              </w:rPr>
            </w:pPr>
            <w:r>
              <w:rPr>
                <w:rFonts w:ascii="宋体" w:hAnsi="宋体" w:cs="宋体" w:eastAsia="宋体" w:hint="default"/>
                <w:sz w:val="18"/>
                <w:szCs w:val="18"/>
              </w:rPr>
              <w:t>本期摊销金额</w:t>
            </w:r>
            <w:r>
              <w:rPr>
                <w:rFonts w:ascii="宋体" w:hAnsi="宋体" w:cs="宋体" w:eastAsia="宋体" w:hint="default"/>
                <w:sz w:val="18"/>
                <w:szCs w:val="18"/>
              </w:rPr>
              <w:t> </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03" w:right="0"/>
              <w:jc w:val="left"/>
              <w:rPr>
                <w:rFonts w:ascii="宋体" w:hAnsi="宋体" w:cs="宋体" w:eastAsia="宋体" w:hint="default"/>
                <w:sz w:val="18"/>
                <w:szCs w:val="18"/>
              </w:rPr>
            </w:pPr>
            <w:r>
              <w:rPr>
                <w:rFonts w:ascii="宋体" w:hAnsi="宋体" w:cs="宋体" w:eastAsia="宋体" w:hint="default"/>
                <w:sz w:val="18"/>
                <w:szCs w:val="18"/>
              </w:rPr>
              <w:t>其他减少金额</w:t>
            </w:r>
            <w:r>
              <w:rPr>
                <w:rFonts w:ascii="宋体" w:hAnsi="宋体" w:cs="宋体" w:eastAsia="宋体" w:hint="default"/>
                <w:sz w:val="18"/>
                <w:szCs w:val="18"/>
              </w:rPr>
              <w:t> </w:t>
            </w:r>
          </w:p>
        </w:tc>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761"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r>
      <w:tr>
        <w:trPr>
          <w:trHeight w:val="398"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装修费</w:t>
            </w:r>
            <w:r>
              <w:rPr>
                <w:rFonts w:ascii="宋体" w:hAnsi="宋体" w:cs="宋体" w:eastAsia="宋体" w:hint="default"/>
                <w:sz w:val="18"/>
                <w:szCs w:val="18"/>
              </w:rPr>
              <w:t> </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2,158,419.48 </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2,718,892.57</w:t>
            </w:r>
            <w:r>
              <w:rPr>
                <w:rFonts w:ascii="宋体"/>
                <w:sz w:val="18"/>
              </w:rPr>
              <w:t> </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1,697,119.74</w:t>
            </w:r>
            <w:r>
              <w:rPr>
                <w:rFonts w:ascii="宋体"/>
                <w:sz w:val="18"/>
              </w:rPr>
              <w:t> </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z w:val="18"/>
              </w:rPr>
              <w:t> </w:t>
            </w:r>
          </w:p>
        </w:tc>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3,180,192.31</w:t>
            </w:r>
            <w:r>
              <w:rPr>
                <w:rFonts w:ascii="宋体"/>
                <w:sz w:val="18"/>
              </w:rPr>
              <w:t> </w:t>
            </w:r>
          </w:p>
        </w:tc>
      </w:tr>
      <w:tr>
        <w:trPr>
          <w:trHeight w:val="396"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短信通道费</w:t>
            </w:r>
            <w:r>
              <w:rPr>
                <w:rFonts w:ascii="宋体" w:hAnsi="宋体" w:cs="宋体" w:eastAsia="宋体" w:hint="default"/>
                <w:sz w:val="18"/>
                <w:szCs w:val="18"/>
              </w:rPr>
              <w:t> </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595,492.13 </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259,433.95</w:t>
            </w:r>
            <w:r>
              <w:rPr>
                <w:rFonts w:ascii="宋体"/>
                <w:sz w:val="18"/>
              </w:rPr>
              <w:t> </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623,601.73</w:t>
            </w:r>
            <w:r>
              <w:rPr>
                <w:rFonts w:ascii="宋体"/>
                <w:sz w:val="18"/>
              </w:rPr>
              <w:t> </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z w:val="18"/>
              </w:rPr>
              <w:t> </w:t>
            </w:r>
          </w:p>
        </w:tc>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231,324.35</w:t>
            </w:r>
            <w:r>
              <w:rPr>
                <w:rFonts w:ascii="宋体"/>
                <w:sz w:val="18"/>
              </w:rPr>
              <w:t> </w:t>
            </w:r>
          </w:p>
        </w:tc>
      </w:tr>
      <w:tr>
        <w:trPr>
          <w:trHeight w:val="398" w:hRule="exact"/>
        </w:trPr>
        <w:tc>
          <w:tcPr>
            <w:tcW w:w="13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509" w:right="0"/>
              <w:jc w:val="lef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2,753,911.61 </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2,978,326.52</w:t>
            </w:r>
            <w:r>
              <w:rPr>
                <w:rFonts w:ascii="宋体"/>
                <w:sz w:val="18"/>
              </w:rPr>
              <w:t> </w:t>
            </w:r>
          </w:p>
        </w:tc>
        <w:tc>
          <w:tcPr>
            <w:tcW w:w="14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2,320,721.47</w:t>
            </w:r>
            <w:r>
              <w:rPr>
                <w:rFonts w:ascii="宋体"/>
                <w:sz w:val="18"/>
              </w:rPr>
              <w:t> </w:t>
            </w:r>
          </w:p>
        </w:tc>
        <w:tc>
          <w:tcPr>
            <w:tcW w:w="14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z w:val="18"/>
              </w:rPr>
              <w:t> </w:t>
            </w:r>
          </w:p>
        </w:tc>
        <w:tc>
          <w:tcPr>
            <w:tcW w:w="22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3,411,516.66</w:t>
            </w:r>
            <w:r>
              <w:rPr>
                <w:rFonts w:ascii="宋体"/>
                <w:sz w:val="18"/>
              </w:rPr>
              <w:t> </w:t>
            </w:r>
          </w:p>
        </w:tc>
      </w:tr>
    </w:tbl>
    <w:p>
      <w:pPr>
        <w:spacing w:line="240" w:lineRule="auto" w:before="7"/>
        <w:rPr>
          <w:rFonts w:ascii="宋体" w:hAnsi="宋体" w:cs="宋体" w:eastAsia="宋体" w:hint="default"/>
          <w:b/>
          <w:bCs/>
          <w:sz w:val="6"/>
          <w:szCs w:val="6"/>
        </w:rPr>
      </w:pPr>
    </w:p>
    <w:p>
      <w:pPr>
        <w:spacing w:line="372" w:lineRule="auto" w:before="36"/>
        <w:ind w:left="566" w:right="6364" w:hanging="212"/>
        <w:jc w:val="left"/>
        <w:rPr>
          <w:rFonts w:ascii="宋体" w:hAnsi="宋体" w:cs="宋体" w:eastAsia="宋体" w:hint="default"/>
          <w:sz w:val="21"/>
          <w:szCs w:val="21"/>
        </w:rPr>
      </w:pPr>
      <w:r>
        <w:rPr>
          <w:rFonts w:ascii="宋体" w:hAnsi="宋体" w:cs="宋体" w:eastAsia="宋体" w:hint="default"/>
          <w:b/>
          <w:bCs/>
          <w:sz w:val="21"/>
          <w:szCs w:val="21"/>
        </w:rPr>
        <w:t>（十六）递延所得税资产</w:t>
      </w:r>
      <w:r>
        <w:rPr>
          <w:rFonts w:ascii="宋体" w:hAnsi="宋体" w:cs="宋体" w:eastAsia="宋体" w:hint="default"/>
          <w:b/>
          <w:bCs/>
          <w:sz w:val="21"/>
          <w:szCs w:val="21"/>
        </w:rPr>
        <w:t>/</w:t>
      </w:r>
      <w:r>
        <w:rPr>
          <w:rFonts w:ascii="宋体" w:hAnsi="宋体" w:cs="宋体" w:eastAsia="宋体" w:hint="default"/>
          <w:b/>
          <w:bCs/>
          <w:sz w:val="21"/>
          <w:szCs w:val="21"/>
        </w:rPr>
        <w:t>递延所得税负债</w:t>
      </w:r>
      <w:r>
        <w:rPr>
          <w:rFonts w:ascii="宋体" w:hAnsi="宋体" w:cs="宋体" w:eastAsia="宋体" w:hint="default"/>
          <w:b/>
          <w:bCs/>
          <w:w w:val="99"/>
          <w:sz w:val="21"/>
          <w:szCs w:val="21"/>
        </w:rPr>
        <w:t> </w:t>
      </w:r>
      <w:r>
        <w:rPr>
          <w:rFonts w:ascii="宋体" w:hAnsi="宋体" w:cs="宋体" w:eastAsia="宋体" w:hint="default"/>
          <w:b/>
          <w:bCs/>
          <w:sz w:val="21"/>
          <w:szCs w:val="21"/>
        </w:rPr>
        <w:t>1</w:t>
      </w:r>
      <w:r>
        <w:rPr>
          <w:rFonts w:ascii="宋体" w:hAnsi="宋体" w:cs="宋体" w:eastAsia="宋体" w:hint="default"/>
          <w:b/>
          <w:bCs/>
          <w:sz w:val="21"/>
          <w:szCs w:val="21"/>
        </w:rPr>
        <w:t>、</w:t>
      </w:r>
      <w:r>
        <w:rPr>
          <w:rFonts w:ascii="宋体" w:hAnsi="宋体" w:cs="宋体" w:eastAsia="宋体" w:hint="default"/>
          <w:sz w:val="21"/>
          <w:szCs w:val="21"/>
        </w:rPr>
        <w:t>未经抵销的递延所得税资产</w:t>
      </w:r>
      <w:r>
        <w:rPr>
          <w:rFonts w:ascii="宋体" w:hAnsi="宋体" w:cs="宋体" w:eastAsia="宋体" w:hint="default"/>
          <w:sz w:val="21"/>
          <w:szCs w:val="21"/>
        </w:rPr>
        <w:t> </w:t>
      </w:r>
    </w:p>
    <w:p>
      <w:pPr>
        <w:spacing w:line="240" w:lineRule="auto" w:before="8"/>
        <w:rPr>
          <w:rFonts w:ascii="宋体" w:hAnsi="宋体" w:cs="宋体" w:eastAsia="宋体" w:hint="default"/>
          <w:sz w:val="5"/>
          <w:szCs w:val="5"/>
        </w:rPr>
      </w:pPr>
    </w:p>
    <w:tbl>
      <w:tblPr>
        <w:tblW w:w="0" w:type="auto"/>
        <w:jc w:val="left"/>
        <w:tblInd w:w="121" w:type="dxa"/>
        <w:tblLayout w:type="fixed"/>
        <w:tblCellMar>
          <w:top w:w="0" w:type="dxa"/>
          <w:left w:w="0" w:type="dxa"/>
          <w:bottom w:w="0" w:type="dxa"/>
          <w:right w:w="0" w:type="dxa"/>
        </w:tblCellMar>
        <w:tblLook w:val="01E0"/>
      </w:tblPr>
      <w:tblGrid>
        <w:gridCol w:w="1760"/>
        <w:gridCol w:w="1909"/>
        <w:gridCol w:w="1870"/>
        <w:gridCol w:w="1771"/>
        <w:gridCol w:w="2305"/>
      </w:tblGrid>
      <w:tr>
        <w:trPr>
          <w:trHeight w:val="396" w:hRule="exact"/>
        </w:trPr>
        <w:tc>
          <w:tcPr>
            <w:tcW w:w="1760"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88"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377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0"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c>
          <w:tcPr>
            <w:tcW w:w="407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9" w:right="0"/>
              <w:jc w:val="center"/>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r>
      <w:tr>
        <w:trPr>
          <w:trHeight w:val="399" w:hRule="exact"/>
        </w:trPr>
        <w:tc>
          <w:tcPr>
            <w:tcW w:w="1760" w:type="dxa"/>
            <w:vMerge/>
            <w:tcBorders>
              <w:left w:val="single" w:sz="4" w:space="0" w:color="000000"/>
              <w:bottom w:val="single" w:sz="4" w:space="0" w:color="000000"/>
              <w:right w:val="single" w:sz="4" w:space="0" w:color="000000"/>
            </w:tcBorders>
          </w:tcPr>
          <w:p>
            <w:pPr/>
          </w:p>
        </w:tc>
        <w:tc>
          <w:tcPr>
            <w:tcW w:w="1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7" w:right="0"/>
              <w:jc w:val="left"/>
              <w:rPr>
                <w:rFonts w:ascii="宋体" w:hAnsi="宋体" w:cs="宋体" w:eastAsia="宋体" w:hint="default"/>
                <w:sz w:val="18"/>
                <w:szCs w:val="18"/>
              </w:rPr>
            </w:pPr>
            <w:r>
              <w:rPr>
                <w:rFonts w:ascii="宋体" w:hAnsi="宋体" w:cs="宋体" w:eastAsia="宋体" w:hint="default"/>
                <w:sz w:val="18"/>
                <w:szCs w:val="18"/>
              </w:rPr>
              <w:t>可抵扣暂时性差异</w:t>
            </w:r>
            <w:r>
              <w:rPr>
                <w:rFonts w:ascii="宋体" w:hAnsi="宋体" w:cs="宋体" w:eastAsia="宋体" w:hint="default"/>
                <w:sz w:val="18"/>
                <w:szCs w:val="18"/>
              </w:rPr>
              <w:t> </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00" w:right="0"/>
              <w:jc w:val="left"/>
              <w:rPr>
                <w:rFonts w:ascii="宋体" w:hAnsi="宋体" w:cs="宋体" w:eastAsia="宋体" w:hint="default"/>
                <w:sz w:val="18"/>
                <w:szCs w:val="18"/>
              </w:rPr>
            </w:pPr>
            <w:r>
              <w:rPr>
                <w:rFonts w:ascii="宋体" w:hAnsi="宋体" w:cs="宋体" w:eastAsia="宋体" w:hint="default"/>
                <w:sz w:val="18"/>
                <w:szCs w:val="18"/>
              </w:rPr>
              <w:t>递延所得税资产</w:t>
            </w:r>
            <w:r>
              <w:rPr>
                <w:rFonts w:ascii="宋体" w:hAnsi="宋体" w:cs="宋体" w:eastAsia="宋体" w:hint="default"/>
                <w:sz w:val="18"/>
                <w:szCs w:val="18"/>
              </w:rPr>
              <w:t> </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68"/>
              <w:jc w:val="right"/>
              <w:rPr>
                <w:rFonts w:ascii="宋体" w:hAnsi="宋体" w:cs="宋体" w:eastAsia="宋体" w:hint="default"/>
                <w:sz w:val="18"/>
                <w:szCs w:val="18"/>
              </w:rPr>
            </w:pPr>
            <w:r>
              <w:rPr>
                <w:rFonts w:ascii="宋体" w:hAnsi="宋体" w:cs="宋体" w:eastAsia="宋体" w:hint="default"/>
                <w:sz w:val="18"/>
                <w:szCs w:val="18"/>
              </w:rPr>
              <w:t>可抵扣暂时性差异</w:t>
            </w:r>
            <w:r>
              <w:rPr>
                <w:rFonts w:ascii="宋体" w:hAnsi="宋体" w:cs="宋体" w:eastAsia="宋体" w:hint="default"/>
                <w:sz w:val="18"/>
                <w:szCs w:val="18"/>
              </w:rPr>
              <w:t> </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18" w:right="0"/>
              <w:jc w:val="left"/>
              <w:rPr>
                <w:rFonts w:ascii="宋体" w:hAnsi="宋体" w:cs="宋体" w:eastAsia="宋体" w:hint="default"/>
                <w:sz w:val="18"/>
                <w:szCs w:val="18"/>
              </w:rPr>
            </w:pPr>
            <w:r>
              <w:rPr>
                <w:rFonts w:ascii="宋体" w:hAnsi="宋体" w:cs="宋体" w:eastAsia="宋体" w:hint="default"/>
                <w:sz w:val="18"/>
                <w:szCs w:val="18"/>
              </w:rPr>
              <w:t>递延所得税资产</w:t>
            </w:r>
            <w:r>
              <w:rPr>
                <w:rFonts w:ascii="宋体" w:hAnsi="宋体" w:cs="宋体" w:eastAsia="宋体" w:hint="default"/>
                <w:sz w:val="18"/>
                <w:szCs w:val="18"/>
              </w:rPr>
              <w:t> </w:t>
            </w:r>
          </w:p>
        </w:tc>
      </w:tr>
      <w:tr>
        <w:trPr>
          <w:trHeight w:val="396" w:hRule="exact"/>
        </w:trPr>
        <w:tc>
          <w:tcPr>
            <w:tcW w:w="17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资产减值准备</w:t>
            </w:r>
            <w:r>
              <w:rPr>
                <w:rFonts w:ascii="宋体" w:hAnsi="宋体" w:cs="宋体" w:eastAsia="宋体" w:hint="default"/>
                <w:sz w:val="18"/>
                <w:szCs w:val="18"/>
              </w:rPr>
              <w:t> </w:t>
            </w:r>
          </w:p>
        </w:tc>
        <w:tc>
          <w:tcPr>
            <w:tcW w:w="1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121,165,014.13 </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21,963,156.47 </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88,247,321.74</w:t>
            </w:r>
            <w:r>
              <w:rPr>
                <w:rFonts w:ascii="宋体"/>
                <w:sz w:val="18"/>
              </w:rPr>
              <w:t> </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14,091,105.06</w:t>
            </w:r>
            <w:r>
              <w:rPr>
                <w:rFonts w:ascii="宋体"/>
                <w:sz w:val="18"/>
              </w:rPr>
              <w:t> </w:t>
            </w:r>
          </w:p>
        </w:tc>
      </w:tr>
      <w:tr>
        <w:trPr>
          <w:trHeight w:val="398" w:hRule="exact"/>
        </w:trPr>
        <w:tc>
          <w:tcPr>
            <w:tcW w:w="17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可抵扣亏损</w:t>
            </w:r>
            <w:r>
              <w:rPr>
                <w:rFonts w:ascii="宋体" w:hAnsi="宋体" w:cs="宋体" w:eastAsia="宋体" w:hint="default"/>
                <w:sz w:val="18"/>
                <w:szCs w:val="18"/>
              </w:rPr>
              <w:t> </w:t>
            </w:r>
          </w:p>
        </w:tc>
        <w:tc>
          <w:tcPr>
            <w:tcW w:w="1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37,927,627.20 </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5,704,767.11 </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3,311,388.68</w:t>
            </w:r>
            <w:r>
              <w:rPr>
                <w:rFonts w:ascii="宋体"/>
                <w:sz w:val="18"/>
              </w:rPr>
              <w:t> </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827,847.17</w:t>
            </w:r>
            <w:r>
              <w:rPr>
                <w:rFonts w:ascii="宋体"/>
                <w:sz w:val="18"/>
              </w:rPr>
              <w:t> </w:t>
            </w:r>
          </w:p>
        </w:tc>
      </w:tr>
      <w:tr>
        <w:trPr>
          <w:trHeight w:val="396" w:hRule="exact"/>
        </w:trPr>
        <w:tc>
          <w:tcPr>
            <w:tcW w:w="17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8"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159,092,641.33 </w:t>
            </w:r>
          </w:p>
        </w:tc>
        <w:tc>
          <w:tcPr>
            <w:tcW w:w="1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27,667,923.58 </w:t>
            </w:r>
          </w:p>
        </w:tc>
        <w:tc>
          <w:tcPr>
            <w:tcW w:w="17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91,558,710.42</w:t>
            </w:r>
            <w:r>
              <w:rPr>
                <w:rFonts w:ascii="宋体"/>
                <w:sz w:val="18"/>
              </w:rPr>
              <w:t> </w:t>
            </w:r>
          </w:p>
        </w:tc>
        <w:tc>
          <w:tcPr>
            <w:tcW w:w="23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14,918,952.23</w:t>
            </w:r>
            <w:r>
              <w:rPr>
                <w:rFonts w:ascii="宋体"/>
                <w:sz w:val="18"/>
              </w:rPr>
              <w:t> </w:t>
            </w:r>
          </w:p>
        </w:tc>
      </w:tr>
    </w:tbl>
    <w:p>
      <w:pPr>
        <w:spacing w:line="240" w:lineRule="auto" w:before="7"/>
        <w:rPr>
          <w:rFonts w:ascii="宋体" w:hAnsi="宋体" w:cs="宋体" w:eastAsia="宋体" w:hint="default"/>
          <w:sz w:val="6"/>
          <w:szCs w:val="6"/>
        </w:rPr>
      </w:pPr>
    </w:p>
    <w:p>
      <w:pPr>
        <w:pStyle w:val="BodyText"/>
        <w:spacing w:line="240" w:lineRule="auto" w:before="36"/>
        <w:ind w:left="566" w:right="1146"/>
        <w:jc w:val="left"/>
        <w:rPr>
          <w:rFonts w:ascii="宋体" w:hAnsi="宋体" w:cs="宋体" w:eastAsia="宋体" w:hint="default"/>
        </w:rPr>
      </w:pPr>
      <w:r>
        <w:rPr>
          <w:rFonts w:ascii="宋体" w:hAnsi="宋体" w:cs="宋体" w:eastAsia="宋体" w:hint="default"/>
          <w:b/>
          <w:bCs/>
        </w:rPr>
        <w:t>2</w:t>
      </w:r>
      <w:r>
        <w:rPr>
          <w:rFonts w:ascii="宋体" w:hAnsi="宋体" w:cs="宋体" w:eastAsia="宋体" w:hint="default"/>
          <w:b/>
          <w:bCs/>
        </w:rPr>
        <w:t>、</w:t>
      </w:r>
      <w:r>
        <w:rPr/>
        <w:t>未经抵销的递延所得税负债</w:t>
      </w:r>
      <w:r>
        <w:rPr>
          <w:rFonts w:ascii="宋体" w:hAnsi="宋体" w:cs="宋体" w:eastAsia="宋体" w:hint="default"/>
        </w:rPr>
        <w:t> </w:t>
      </w:r>
    </w:p>
    <w:p>
      <w:pPr>
        <w:spacing w:line="240" w:lineRule="auto" w:before="6"/>
        <w:rPr>
          <w:rFonts w:ascii="宋体" w:hAnsi="宋体" w:cs="宋体" w:eastAsia="宋体" w:hint="default"/>
          <w:sz w:val="14"/>
          <w:szCs w:val="14"/>
        </w:rPr>
      </w:pPr>
    </w:p>
    <w:tbl>
      <w:tblPr>
        <w:tblW w:w="0" w:type="auto"/>
        <w:jc w:val="left"/>
        <w:tblInd w:w="121" w:type="dxa"/>
        <w:tblLayout w:type="fixed"/>
        <w:tblCellMar>
          <w:top w:w="0" w:type="dxa"/>
          <w:left w:w="0" w:type="dxa"/>
          <w:bottom w:w="0" w:type="dxa"/>
          <w:right w:w="0" w:type="dxa"/>
        </w:tblCellMar>
        <w:tblLook w:val="01E0"/>
      </w:tblPr>
      <w:tblGrid>
        <w:gridCol w:w="3068"/>
        <w:gridCol w:w="1800"/>
        <w:gridCol w:w="1541"/>
        <w:gridCol w:w="1745"/>
        <w:gridCol w:w="1500"/>
      </w:tblGrid>
      <w:tr>
        <w:trPr>
          <w:trHeight w:val="396" w:hRule="exact"/>
        </w:trPr>
        <w:tc>
          <w:tcPr>
            <w:tcW w:w="3068"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89"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334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4"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c>
          <w:tcPr>
            <w:tcW w:w="324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4" w:right="0"/>
              <w:jc w:val="center"/>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r>
      <w:tr>
        <w:trPr>
          <w:trHeight w:val="396" w:hRule="exact"/>
        </w:trPr>
        <w:tc>
          <w:tcPr>
            <w:tcW w:w="3068" w:type="dxa"/>
            <w:vMerge/>
            <w:tcBorders>
              <w:left w:val="single" w:sz="4" w:space="0" w:color="000000"/>
              <w:bottom w:val="single" w:sz="4" w:space="0" w:color="000000"/>
              <w:right w:val="single" w:sz="4" w:space="0" w:color="000000"/>
            </w:tcBorders>
          </w:tcPr>
          <w:p>
            <w:pP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77" w:right="0"/>
              <w:jc w:val="left"/>
              <w:rPr>
                <w:rFonts w:ascii="宋体" w:hAnsi="宋体" w:cs="宋体" w:eastAsia="宋体" w:hint="default"/>
                <w:sz w:val="18"/>
                <w:szCs w:val="18"/>
              </w:rPr>
            </w:pPr>
            <w:r>
              <w:rPr>
                <w:rFonts w:ascii="宋体" w:hAnsi="宋体" w:cs="宋体" w:eastAsia="宋体" w:hint="default"/>
                <w:sz w:val="18"/>
                <w:szCs w:val="18"/>
              </w:rPr>
              <w:t>应纳税暂时性差异</w:t>
            </w:r>
            <w:r>
              <w:rPr>
                <w:rFonts w:ascii="宋体" w:hAnsi="宋体" w:cs="宋体" w:eastAsia="宋体" w:hint="default"/>
                <w:sz w:val="18"/>
                <w:szCs w:val="18"/>
              </w:rPr>
              <w:t> </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2"/>
              <w:jc w:val="right"/>
              <w:rPr>
                <w:rFonts w:ascii="宋体" w:hAnsi="宋体" w:cs="宋体" w:eastAsia="宋体" w:hint="default"/>
                <w:sz w:val="18"/>
                <w:szCs w:val="18"/>
              </w:rPr>
            </w:pPr>
            <w:r>
              <w:rPr>
                <w:rFonts w:ascii="宋体" w:hAnsi="宋体" w:cs="宋体" w:eastAsia="宋体" w:hint="default"/>
                <w:sz w:val="18"/>
                <w:szCs w:val="18"/>
              </w:rPr>
              <w:t>递延所得税负债</w:t>
            </w:r>
            <w:r>
              <w:rPr>
                <w:rFonts w:ascii="宋体" w:hAnsi="宋体" w:cs="宋体" w:eastAsia="宋体" w:hint="default"/>
                <w:sz w:val="18"/>
                <w:szCs w:val="18"/>
              </w:rPr>
              <w:t>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56"/>
              <w:jc w:val="right"/>
              <w:rPr>
                <w:rFonts w:ascii="宋体" w:hAnsi="宋体" w:cs="宋体" w:eastAsia="宋体" w:hint="default"/>
                <w:sz w:val="18"/>
                <w:szCs w:val="18"/>
              </w:rPr>
            </w:pPr>
            <w:r>
              <w:rPr>
                <w:rFonts w:ascii="宋体" w:hAnsi="宋体" w:cs="宋体" w:eastAsia="宋体" w:hint="default"/>
                <w:sz w:val="18"/>
                <w:szCs w:val="18"/>
              </w:rPr>
              <w:t>应纳税暂时性差异</w:t>
            </w:r>
            <w:r>
              <w:rPr>
                <w:rFonts w:ascii="宋体" w:hAnsi="宋体" w:cs="宋体" w:eastAsia="宋体" w:hint="default"/>
                <w:sz w:val="18"/>
                <w:szCs w:val="18"/>
              </w:rPr>
              <w:t> </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
              <w:jc w:val="right"/>
              <w:rPr>
                <w:rFonts w:ascii="宋体" w:hAnsi="宋体" w:cs="宋体" w:eastAsia="宋体" w:hint="default"/>
                <w:sz w:val="18"/>
                <w:szCs w:val="18"/>
              </w:rPr>
            </w:pPr>
            <w:r>
              <w:rPr>
                <w:rFonts w:ascii="宋体" w:hAnsi="宋体" w:cs="宋体" w:eastAsia="宋体" w:hint="default"/>
                <w:sz w:val="18"/>
                <w:szCs w:val="18"/>
              </w:rPr>
              <w:t>递延所得税负债</w:t>
            </w:r>
            <w:r>
              <w:rPr>
                <w:rFonts w:ascii="宋体" w:hAnsi="宋体" w:cs="宋体" w:eastAsia="宋体" w:hint="default"/>
                <w:sz w:val="18"/>
                <w:szCs w:val="18"/>
              </w:rPr>
              <w:t> </w:t>
            </w:r>
          </w:p>
        </w:tc>
      </w:tr>
      <w:tr>
        <w:trPr>
          <w:trHeight w:val="398" w:hRule="exact"/>
        </w:trPr>
        <w:tc>
          <w:tcPr>
            <w:tcW w:w="3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非同一控制企业合并资产评估增值</w:t>
            </w:r>
            <w:r>
              <w:rPr>
                <w:rFonts w:ascii="宋体" w:hAnsi="宋体" w:cs="宋体" w:eastAsia="宋体" w:hint="default"/>
                <w:sz w:val="18"/>
                <w:szCs w:val="18"/>
              </w:rPr>
              <w:t> </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45,372,414.67</w:t>
            </w:r>
            <w:r>
              <w:rPr>
                <w:rFonts w:ascii="宋体"/>
                <w:sz w:val="18"/>
              </w:rPr>
              <w:t> </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
              <w:jc w:val="right"/>
              <w:rPr>
                <w:rFonts w:ascii="宋体" w:hAnsi="宋体" w:cs="宋体" w:eastAsia="宋体" w:hint="default"/>
                <w:sz w:val="18"/>
                <w:szCs w:val="18"/>
              </w:rPr>
            </w:pPr>
            <w:r>
              <w:rPr>
                <w:rFonts w:ascii="宋体"/>
                <w:spacing w:val="-1"/>
                <w:sz w:val="18"/>
              </w:rPr>
              <w:t>6,805,862.20</w:t>
            </w:r>
            <w:r>
              <w:rPr>
                <w:rFonts w:ascii="宋体"/>
                <w:sz w:val="18"/>
              </w:rPr>
              <w:t>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
              <w:jc w:val="right"/>
              <w:rPr>
                <w:rFonts w:ascii="宋体" w:hAnsi="宋体" w:cs="宋体" w:eastAsia="宋体" w:hint="default"/>
                <w:sz w:val="18"/>
                <w:szCs w:val="18"/>
              </w:rPr>
            </w:pPr>
            <w:r>
              <w:rPr>
                <w:rFonts w:ascii="宋体"/>
                <w:spacing w:val="-1"/>
                <w:sz w:val="18"/>
              </w:rPr>
              <w:t>52,277,346.40</w:t>
            </w:r>
            <w:r>
              <w:rPr>
                <w:rFonts w:ascii="宋体"/>
                <w:sz w:val="18"/>
              </w:rPr>
              <w:t> </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7,841,601.97</w:t>
            </w:r>
            <w:r>
              <w:rPr>
                <w:rFonts w:ascii="宋体"/>
                <w:sz w:val="18"/>
              </w:rPr>
              <w:t> </w:t>
            </w:r>
          </w:p>
        </w:tc>
      </w:tr>
      <w:tr>
        <w:trPr>
          <w:trHeight w:val="396" w:hRule="exact"/>
        </w:trPr>
        <w:tc>
          <w:tcPr>
            <w:tcW w:w="3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固定资产折旧暂时性差异</w:t>
            </w:r>
            <w:r>
              <w:rPr>
                <w:rFonts w:ascii="宋体" w:hAnsi="宋体" w:cs="宋体" w:eastAsia="宋体" w:hint="default"/>
                <w:sz w:val="18"/>
                <w:szCs w:val="18"/>
              </w:rPr>
              <w:t> </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30,069,895.60</w:t>
            </w:r>
            <w:r>
              <w:rPr>
                <w:rFonts w:ascii="宋体"/>
                <w:sz w:val="18"/>
              </w:rPr>
              <w:t> </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
              <w:jc w:val="right"/>
              <w:rPr>
                <w:rFonts w:ascii="宋体" w:hAnsi="宋体" w:cs="宋体" w:eastAsia="宋体" w:hint="default"/>
                <w:sz w:val="18"/>
                <w:szCs w:val="18"/>
              </w:rPr>
            </w:pPr>
            <w:r>
              <w:rPr>
                <w:rFonts w:ascii="宋体"/>
                <w:spacing w:val="-1"/>
                <w:sz w:val="18"/>
              </w:rPr>
              <w:t>4,510,484.34</w:t>
            </w:r>
            <w:r>
              <w:rPr>
                <w:rFonts w:ascii="宋体"/>
                <w:sz w:val="18"/>
              </w:rPr>
              <w:t>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
              <w:jc w:val="right"/>
              <w:rPr>
                <w:rFonts w:ascii="宋体" w:hAnsi="宋体" w:cs="宋体" w:eastAsia="宋体" w:hint="default"/>
                <w:sz w:val="18"/>
                <w:szCs w:val="18"/>
              </w:rPr>
            </w:pPr>
            <w:r>
              <w:rPr>
                <w:rFonts w:ascii="宋体"/>
                <w:spacing w:val="-1"/>
                <w:sz w:val="18"/>
              </w:rPr>
              <w:t>12,258,738.47</w:t>
            </w:r>
            <w:r>
              <w:rPr>
                <w:rFonts w:ascii="宋体"/>
                <w:sz w:val="18"/>
              </w:rPr>
              <w:t> </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1,838,810.77</w:t>
            </w:r>
            <w:r>
              <w:rPr>
                <w:rFonts w:ascii="宋体"/>
                <w:sz w:val="18"/>
              </w:rPr>
              <w:t> </w:t>
            </w:r>
          </w:p>
        </w:tc>
      </w:tr>
      <w:tr>
        <w:trPr>
          <w:trHeight w:val="399" w:hRule="exact"/>
        </w:trPr>
        <w:tc>
          <w:tcPr>
            <w:tcW w:w="30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8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75,442,310.27</w:t>
            </w:r>
            <w:r>
              <w:rPr>
                <w:rFonts w:ascii="宋体"/>
                <w:sz w:val="18"/>
              </w:rPr>
              <w:t> </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
              <w:jc w:val="right"/>
              <w:rPr>
                <w:rFonts w:ascii="宋体" w:hAnsi="宋体" w:cs="宋体" w:eastAsia="宋体" w:hint="default"/>
                <w:sz w:val="18"/>
                <w:szCs w:val="18"/>
              </w:rPr>
            </w:pPr>
            <w:r>
              <w:rPr>
                <w:rFonts w:ascii="宋体"/>
                <w:spacing w:val="-1"/>
                <w:sz w:val="18"/>
              </w:rPr>
              <w:t>11,316,346.54</w:t>
            </w:r>
            <w:r>
              <w:rPr>
                <w:rFonts w:ascii="宋体"/>
                <w:sz w:val="18"/>
              </w:rPr>
              <w:t>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9"/>
              <w:jc w:val="right"/>
              <w:rPr>
                <w:rFonts w:ascii="宋体" w:hAnsi="宋体" w:cs="宋体" w:eastAsia="宋体" w:hint="default"/>
                <w:sz w:val="18"/>
                <w:szCs w:val="18"/>
              </w:rPr>
            </w:pPr>
            <w:r>
              <w:rPr>
                <w:rFonts w:ascii="宋体"/>
                <w:spacing w:val="-1"/>
                <w:sz w:val="18"/>
              </w:rPr>
              <w:t>64,536,084.94</w:t>
            </w:r>
            <w:r>
              <w:rPr>
                <w:rFonts w:ascii="宋体"/>
                <w:sz w:val="18"/>
              </w:rPr>
              <w:t> </w:t>
            </w:r>
          </w:p>
        </w:tc>
        <w:tc>
          <w:tcPr>
            <w:tcW w:w="15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9,680,412.74</w:t>
            </w:r>
            <w:r>
              <w:rPr>
                <w:rFonts w:ascii="宋体"/>
                <w:sz w:val="18"/>
              </w:rPr>
              <w:t> </w:t>
            </w:r>
          </w:p>
        </w:tc>
      </w:tr>
    </w:tbl>
    <w:p>
      <w:pPr>
        <w:spacing w:line="240" w:lineRule="auto" w:before="7"/>
        <w:rPr>
          <w:rFonts w:ascii="宋体" w:hAnsi="宋体" w:cs="宋体" w:eastAsia="宋体" w:hint="default"/>
          <w:sz w:val="6"/>
          <w:szCs w:val="6"/>
        </w:rPr>
      </w:pPr>
    </w:p>
    <w:p>
      <w:pPr>
        <w:pStyle w:val="BodyText"/>
        <w:spacing w:line="240" w:lineRule="auto" w:before="36"/>
        <w:ind w:left="566" w:right="1146"/>
        <w:jc w:val="left"/>
        <w:rPr>
          <w:rFonts w:ascii="宋体" w:hAnsi="宋体" w:cs="宋体" w:eastAsia="宋体" w:hint="default"/>
        </w:rPr>
      </w:pPr>
      <w:r>
        <w:rPr>
          <w:rFonts w:ascii="宋体" w:hAnsi="宋体" w:cs="宋体" w:eastAsia="宋体" w:hint="default"/>
          <w:b/>
          <w:bCs/>
        </w:rPr>
        <w:t>3</w:t>
      </w:r>
      <w:r>
        <w:rPr>
          <w:rFonts w:ascii="宋体" w:hAnsi="宋体" w:cs="宋体" w:eastAsia="宋体" w:hint="default"/>
          <w:b/>
          <w:bCs/>
        </w:rPr>
        <w:t>、</w:t>
      </w:r>
      <w:r>
        <w:rPr/>
        <w:t>未确认递延所得税资产明细</w:t>
      </w:r>
      <w:r>
        <w:rPr>
          <w:rFonts w:ascii="宋体" w:hAnsi="宋体" w:cs="宋体" w:eastAsia="宋体" w:hint="default"/>
        </w:rPr>
        <w:t> </w:t>
      </w:r>
    </w:p>
    <w:p>
      <w:pPr>
        <w:spacing w:line="240" w:lineRule="auto" w:before="3"/>
        <w:rPr>
          <w:rFonts w:ascii="宋体" w:hAnsi="宋体" w:cs="宋体" w:eastAsia="宋体" w:hint="default"/>
          <w:sz w:val="14"/>
          <w:szCs w:val="14"/>
        </w:rPr>
      </w:pPr>
    </w:p>
    <w:tbl>
      <w:tblPr>
        <w:tblW w:w="0" w:type="auto"/>
        <w:jc w:val="left"/>
        <w:tblInd w:w="150" w:type="dxa"/>
        <w:tblLayout w:type="fixed"/>
        <w:tblCellMar>
          <w:top w:w="0" w:type="dxa"/>
          <w:left w:w="0" w:type="dxa"/>
          <w:bottom w:w="0" w:type="dxa"/>
          <w:right w:w="0" w:type="dxa"/>
        </w:tblCellMar>
        <w:tblLook w:val="01E0"/>
      </w:tblPr>
      <w:tblGrid>
        <w:gridCol w:w="2876"/>
        <w:gridCol w:w="2993"/>
        <w:gridCol w:w="3785"/>
      </w:tblGrid>
      <w:tr>
        <w:trPr>
          <w:trHeight w:val="398" w:hRule="exact"/>
        </w:trPr>
        <w:tc>
          <w:tcPr>
            <w:tcW w:w="2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9"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7"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c>
          <w:tcPr>
            <w:tcW w:w="3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2" w:right="0"/>
              <w:jc w:val="center"/>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r>
      <w:tr>
        <w:trPr>
          <w:trHeight w:val="396" w:hRule="exact"/>
        </w:trPr>
        <w:tc>
          <w:tcPr>
            <w:tcW w:w="2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可抵扣亏损</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74,228,138.70 </w:t>
            </w:r>
          </w:p>
        </w:tc>
        <w:tc>
          <w:tcPr>
            <w:tcW w:w="3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36,895,978.14</w:t>
            </w:r>
            <w:r>
              <w:rPr>
                <w:rFonts w:ascii="宋体"/>
                <w:sz w:val="18"/>
              </w:rPr>
              <w:t> </w:t>
            </w:r>
          </w:p>
        </w:tc>
      </w:tr>
      <w:tr>
        <w:trPr>
          <w:trHeight w:val="398" w:hRule="exact"/>
        </w:trPr>
        <w:tc>
          <w:tcPr>
            <w:tcW w:w="2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资产减值准备</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47,805,735.23 </w:t>
            </w:r>
          </w:p>
        </w:tc>
        <w:tc>
          <w:tcPr>
            <w:tcW w:w="3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10,000.00</w:t>
            </w:r>
            <w:r>
              <w:rPr>
                <w:rFonts w:ascii="宋体"/>
                <w:sz w:val="18"/>
              </w:rPr>
              <w:t> </w:t>
            </w:r>
          </w:p>
        </w:tc>
      </w:tr>
    </w:tbl>
    <w:p>
      <w:pPr>
        <w:spacing w:after="0" w:line="240" w:lineRule="auto"/>
        <w:jc w:val="right"/>
        <w:rPr>
          <w:rFonts w:ascii="宋体" w:hAnsi="宋体" w:cs="宋体" w:eastAsia="宋体" w:hint="default"/>
          <w:sz w:val="18"/>
          <w:szCs w:val="18"/>
        </w:rPr>
        <w:sectPr>
          <w:pgSz w:w="11910" w:h="16840"/>
          <w:pgMar w:header="880" w:footer="975" w:top="1100" w:bottom="1160" w:left="1160" w:right="0"/>
        </w:sectPr>
      </w:pPr>
    </w:p>
    <w:p>
      <w:pPr>
        <w:spacing w:line="240" w:lineRule="auto" w:before="8"/>
        <w:rPr>
          <w:rFonts w:ascii="宋体" w:hAnsi="宋体" w:cs="宋体" w:eastAsia="宋体" w:hint="default"/>
          <w:sz w:val="24"/>
          <w:szCs w:val="24"/>
        </w:rPr>
      </w:pPr>
    </w:p>
    <w:tbl>
      <w:tblPr>
        <w:tblW w:w="0" w:type="auto"/>
        <w:jc w:val="left"/>
        <w:tblInd w:w="230" w:type="dxa"/>
        <w:tblLayout w:type="fixed"/>
        <w:tblCellMar>
          <w:top w:w="0" w:type="dxa"/>
          <w:left w:w="0" w:type="dxa"/>
          <w:bottom w:w="0" w:type="dxa"/>
          <w:right w:w="0" w:type="dxa"/>
        </w:tblCellMar>
        <w:tblLook w:val="01E0"/>
      </w:tblPr>
      <w:tblGrid>
        <w:gridCol w:w="2876"/>
        <w:gridCol w:w="2993"/>
        <w:gridCol w:w="3785"/>
      </w:tblGrid>
      <w:tr>
        <w:trPr>
          <w:trHeight w:val="396" w:hRule="exact"/>
        </w:trPr>
        <w:tc>
          <w:tcPr>
            <w:tcW w:w="2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61"/>
              <w:jc w:val="right"/>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7"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c>
          <w:tcPr>
            <w:tcW w:w="3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2" w:right="0"/>
              <w:jc w:val="center"/>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r>
      <w:tr>
        <w:trPr>
          <w:trHeight w:val="399" w:hRule="exact"/>
        </w:trPr>
        <w:tc>
          <w:tcPr>
            <w:tcW w:w="28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61"/>
              <w:jc w:val="righ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620" w:right="0"/>
              <w:jc w:val="left"/>
              <w:rPr>
                <w:rFonts w:ascii="宋体" w:hAnsi="宋体" w:cs="宋体" w:eastAsia="宋体" w:hint="default"/>
                <w:sz w:val="18"/>
                <w:szCs w:val="18"/>
              </w:rPr>
            </w:pPr>
            <w:r>
              <w:rPr>
                <w:rFonts w:ascii="宋体"/>
                <w:sz w:val="18"/>
              </w:rPr>
              <w:t>122,033,873.93 </w:t>
            </w:r>
          </w:p>
        </w:tc>
        <w:tc>
          <w:tcPr>
            <w:tcW w:w="3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503" w:right="0"/>
              <w:jc w:val="left"/>
              <w:rPr>
                <w:rFonts w:ascii="宋体" w:hAnsi="宋体" w:cs="宋体" w:eastAsia="宋体" w:hint="default"/>
                <w:sz w:val="18"/>
                <w:szCs w:val="18"/>
              </w:rPr>
            </w:pPr>
            <w:r>
              <w:rPr>
                <w:rFonts w:ascii="宋体"/>
                <w:sz w:val="18"/>
              </w:rPr>
              <w:t>36,905,978.14 </w:t>
            </w:r>
          </w:p>
        </w:tc>
      </w:tr>
    </w:tbl>
    <w:p>
      <w:pPr>
        <w:spacing w:line="240" w:lineRule="auto" w:before="7"/>
        <w:rPr>
          <w:rFonts w:ascii="宋体" w:hAnsi="宋体" w:cs="宋体" w:eastAsia="宋体" w:hint="default"/>
          <w:sz w:val="6"/>
          <w:szCs w:val="6"/>
        </w:rPr>
      </w:pPr>
    </w:p>
    <w:p>
      <w:pPr>
        <w:pStyle w:val="BodyText"/>
        <w:spacing w:line="240" w:lineRule="auto" w:before="36"/>
        <w:ind w:left="646" w:right="0"/>
        <w:jc w:val="left"/>
        <w:rPr>
          <w:rFonts w:ascii="宋体" w:hAnsi="宋体" w:cs="宋体" w:eastAsia="宋体" w:hint="default"/>
        </w:rPr>
      </w:pPr>
      <w:r>
        <w:rPr>
          <w:rFonts w:ascii="宋体" w:hAnsi="宋体" w:cs="宋体" w:eastAsia="宋体" w:hint="default"/>
          <w:b/>
          <w:bCs/>
        </w:rPr>
        <w:t>4</w:t>
      </w:r>
      <w:r>
        <w:rPr>
          <w:rFonts w:ascii="宋体" w:hAnsi="宋体" w:cs="宋体" w:eastAsia="宋体" w:hint="default"/>
          <w:b/>
          <w:bCs/>
        </w:rPr>
        <w:t>、</w:t>
      </w:r>
      <w:r>
        <w:rPr/>
        <w:t>未确认递延所得税资产的可抵扣亏损将于以下年度到期</w:t>
      </w:r>
      <w:r>
        <w:rPr>
          <w:rFonts w:ascii="宋体" w:hAnsi="宋体" w:cs="宋体" w:eastAsia="宋体" w:hint="default"/>
        </w:rPr>
        <w:t> </w:t>
      </w:r>
    </w:p>
    <w:p>
      <w:pPr>
        <w:spacing w:line="240" w:lineRule="auto" w:before="3"/>
        <w:rPr>
          <w:rFonts w:ascii="宋体" w:hAnsi="宋体" w:cs="宋体" w:eastAsia="宋体" w:hint="default"/>
          <w:sz w:val="14"/>
          <w:szCs w:val="14"/>
        </w:rPr>
      </w:pPr>
    </w:p>
    <w:tbl>
      <w:tblPr>
        <w:tblW w:w="0" w:type="auto"/>
        <w:jc w:val="left"/>
        <w:tblInd w:w="110" w:type="dxa"/>
        <w:tblLayout w:type="fixed"/>
        <w:tblCellMar>
          <w:top w:w="0" w:type="dxa"/>
          <w:left w:w="0" w:type="dxa"/>
          <w:bottom w:w="0" w:type="dxa"/>
          <w:right w:w="0" w:type="dxa"/>
        </w:tblCellMar>
        <w:tblLook w:val="01E0"/>
      </w:tblPr>
      <w:tblGrid>
        <w:gridCol w:w="2254"/>
        <w:gridCol w:w="2242"/>
        <w:gridCol w:w="2244"/>
        <w:gridCol w:w="3037"/>
      </w:tblGrid>
      <w:tr>
        <w:trPr>
          <w:trHeight w:val="398" w:hRule="exact"/>
        </w:trPr>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51"/>
              <w:jc w:val="right"/>
              <w:rPr>
                <w:rFonts w:ascii="宋体" w:hAnsi="宋体" w:cs="宋体" w:eastAsia="宋体" w:hint="default"/>
                <w:sz w:val="18"/>
                <w:szCs w:val="18"/>
              </w:rPr>
            </w:pPr>
            <w:r>
              <w:rPr>
                <w:rFonts w:ascii="宋体" w:hAnsi="宋体" w:cs="宋体" w:eastAsia="宋体" w:hint="default"/>
                <w:sz w:val="18"/>
                <w:szCs w:val="18"/>
              </w:rPr>
              <w:t>年份</w:t>
            </w:r>
            <w:r>
              <w:rPr>
                <w:rFonts w:ascii="宋体" w:hAnsi="宋体" w:cs="宋体" w:eastAsia="宋体" w:hint="default"/>
                <w:sz w:val="18"/>
                <w:szCs w:val="18"/>
              </w:rPr>
              <w:t> </w:t>
            </w:r>
          </w:p>
        </w:tc>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756" w:right="0"/>
              <w:jc w:val="left"/>
              <w:rPr>
                <w:rFonts w:ascii="宋体" w:hAnsi="宋体" w:cs="宋体" w:eastAsia="宋体" w:hint="default"/>
                <w:sz w:val="18"/>
                <w:szCs w:val="18"/>
              </w:rPr>
            </w:pPr>
            <w:r>
              <w:rPr>
                <w:rFonts w:ascii="宋体" w:hAnsi="宋体" w:cs="宋体" w:eastAsia="宋体" w:hint="default"/>
                <w:sz w:val="18"/>
                <w:szCs w:val="18"/>
              </w:rPr>
              <w:t>期末金额</w:t>
            </w:r>
            <w:r>
              <w:rPr>
                <w:rFonts w:ascii="宋体" w:hAnsi="宋体" w:cs="宋体" w:eastAsia="宋体" w:hint="default"/>
                <w:sz w:val="18"/>
                <w:szCs w:val="18"/>
              </w:rPr>
              <w:t> </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758" w:right="0"/>
              <w:jc w:val="left"/>
              <w:rPr>
                <w:rFonts w:ascii="宋体" w:hAnsi="宋体" w:cs="宋体" w:eastAsia="宋体" w:hint="default"/>
                <w:sz w:val="18"/>
                <w:szCs w:val="18"/>
              </w:rPr>
            </w:pPr>
            <w:r>
              <w:rPr>
                <w:rFonts w:ascii="宋体" w:hAnsi="宋体" w:cs="宋体" w:eastAsia="宋体" w:hint="default"/>
                <w:sz w:val="18"/>
                <w:szCs w:val="18"/>
              </w:rPr>
              <w:t>期初金额</w:t>
            </w:r>
            <w:r>
              <w:rPr>
                <w:rFonts w:ascii="宋体" w:hAnsi="宋体" w:cs="宋体" w:eastAsia="宋体" w:hint="default"/>
                <w:sz w:val="18"/>
                <w:szCs w:val="18"/>
              </w:rPr>
              <w:t> </w:t>
            </w:r>
          </w:p>
        </w:tc>
        <w:tc>
          <w:tcPr>
            <w:tcW w:w="3037"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left="87" w:right="0"/>
              <w:jc w:val="center"/>
              <w:rPr>
                <w:rFonts w:ascii="宋体" w:hAnsi="宋体" w:cs="宋体" w:eastAsia="宋体" w:hint="default"/>
                <w:sz w:val="18"/>
                <w:szCs w:val="18"/>
              </w:rPr>
            </w:pPr>
            <w:r>
              <w:rPr>
                <w:rFonts w:ascii="宋体" w:hAnsi="宋体" w:cs="宋体" w:eastAsia="宋体" w:hint="default"/>
                <w:sz w:val="18"/>
                <w:szCs w:val="18"/>
              </w:rPr>
              <w:t>备注</w:t>
            </w:r>
            <w:r>
              <w:rPr>
                <w:rFonts w:ascii="宋体" w:hAnsi="宋体" w:cs="宋体" w:eastAsia="宋体" w:hint="default"/>
                <w:sz w:val="18"/>
                <w:szCs w:val="18"/>
              </w:rPr>
              <w:t> </w:t>
            </w:r>
          </w:p>
        </w:tc>
      </w:tr>
      <w:tr>
        <w:trPr>
          <w:trHeight w:val="396" w:hRule="exact"/>
        </w:trPr>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3"/>
                <w:sz w:val="18"/>
                <w:szCs w:val="18"/>
              </w:rPr>
              <w:t> </w:t>
            </w:r>
            <w:r>
              <w:rPr>
                <w:rFonts w:ascii="宋体" w:hAnsi="宋体" w:cs="宋体" w:eastAsia="宋体" w:hint="default"/>
                <w:spacing w:val="-3"/>
                <w:sz w:val="18"/>
                <w:szCs w:val="18"/>
              </w:rPr>
              <w:t>年</w:t>
            </w:r>
            <w:r>
              <w:rPr>
                <w:rFonts w:ascii="宋体" w:hAnsi="宋体" w:cs="宋体" w:eastAsia="宋体" w:hint="default"/>
                <w:sz w:val="18"/>
                <w:szCs w:val="18"/>
              </w:rPr>
              <w:t> </w:t>
            </w:r>
          </w:p>
        </w:tc>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z w:val="18"/>
              </w:rPr>
              <w:t> </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z w:val="18"/>
              </w:rPr>
              <w:t> </w:t>
            </w:r>
          </w:p>
        </w:tc>
        <w:tc>
          <w:tcPr>
            <w:tcW w:w="3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sz w:val="18"/>
              </w:rPr>
              <w:t> </w:t>
            </w:r>
          </w:p>
        </w:tc>
      </w:tr>
      <w:tr>
        <w:trPr>
          <w:trHeight w:val="398" w:hRule="exact"/>
        </w:trPr>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2020</w:t>
            </w:r>
            <w:r>
              <w:rPr>
                <w:rFonts w:ascii="宋体" w:hAnsi="宋体" w:cs="宋体" w:eastAsia="宋体" w:hint="default"/>
                <w:spacing w:val="-43"/>
                <w:sz w:val="18"/>
                <w:szCs w:val="18"/>
              </w:rPr>
              <w:t> </w:t>
            </w:r>
            <w:r>
              <w:rPr>
                <w:rFonts w:ascii="宋体" w:hAnsi="宋体" w:cs="宋体" w:eastAsia="宋体" w:hint="default"/>
                <w:spacing w:val="-3"/>
                <w:sz w:val="18"/>
                <w:szCs w:val="18"/>
              </w:rPr>
              <w:t>年</w:t>
            </w:r>
            <w:r>
              <w:rPr>
                <w:rFonts w:ascii="宋体" w:hAnsi="宋体" w:cs="宋体" w:eastAsia="宋体" w:hint="default"/>
                <w:sz w:val="18"/>
                <w:szCs w:val="18"/>
              </w:rPr>
              <w:t> </w:t>
            </w:r>
          </w:p>
        </w:tc>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z w:val="18"/>
              </w:rPr>
              <w:t> </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z w:val="18"/>
              </w:rPr>
              <w:t> </w:t>
            </w:r>
          </w:p>
        </w:tc>
        <w:tc>
          <w:tcPr>
            <w:tcW w:w="3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sz w:val="18"/>
              </w:rPr>
              <w:t> </w:t>
            </w:r>
          </w:p>
        </w:tc>
      </w:tr>
      <w:tr>
        <w:trPr>
          <w:trHeight w:val="396" w:hRule="exact"/>
        </w:trPr>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2021</w:t>
            </w:r>
            <w:r>
              <w:rPr>
                <w:rFonts w:ascii="宋体" w:hAnsi="宋体" w:cs="宋体" w:eastAsia="宋体" w:hint="default"/>
                <w:spacing w:val="-43"/>
                <w:sz w:val="18"/>
                <w:szCs w:val="18"/>
              </w:rPr>
              <w:t> </w:t>
            </w:r>
            <w:r>
              <w:rPr>
                <w:rFonts w:ascii="宋体" w:hAnsi="宋体" w:cs="宋体" w:eastAsia="宋体" w:hint="default"/>
                <w:spacing w:val="-3"/>
                <w:sz w:val="18"/>
                <w:szCs w:val="18"/>
              </w:rPr>
              <w:t>年</w:t>
            </w:r>
            <w:r>
              <w:rPr>
                <w:rFonts w:ascii="宋体" w:hAnsi="宋体" w:cs="宋体" w:eastAsia="宋体" w:hint="default"/>
                <w:sz w:val="18"/>
                <w:szCs w:val="18"/>
              </w:rPr>
              <w:t> </w:t>
            </w:r>
          </w:p>
        </w:tc>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7,517,966.37</w:t>
            </w:r>
            <w:r>
              <w:rPr>
                <w:rFonts w:ascii="宋体"/>
                <w:sz w:val="18"/>
              </w:rPr>
              <w:t> </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7,517,966.37</w:t>
            </w:r>
            <w:r>
              <w:rPr>
                <w:rFonts w:ascii="宋体"/>
                <w:sz w:val="18"/>
              </w:rPr>
              <w:t> </w:t>
            </w:r>
          </w:p>
        </w:tc>
        <w:tc>
          <w:tcPr>
            <w:tcW w:w="3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sz w:val="18"/>
              </w:rPr>
              <w:t> </w:t>
            </w:r>
          </w:p>
        </w:tc>
      </w:tr>
      <w:tr>
        <w:trPr>
          <w:trHeight w:val="398" w:hRule="exact"/>
        </w:trPr>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2022</w:t>
            </w:r>
            <w:r>
              <w:rPr>
                <w:rFonts w:ascii="宋体" w:hAnsi="宋体" w:cs="宋体" w:eastAsia="宋体" w:hint="default"/>
                <w:spacing w:val="-43"/>
                <w:sz w:val="18"/>
                <w:szCs w:val="18"/>
              </w:rPr>
              <w:t> </w:t>
            </w:r>
            <w:r>
              <w:rPr>
                <w:rFonts w:ascii="宋体" w:hAnsi="宋体" w:cs="宋体" w:eastAsia="宋体" w:hint="default"/>
                <w:spacing w:val="-3"/>
                <w:sz w:val="18"/>
                <w:szCs w:val="18"/>
              </w:rPr>
              <w:t>年</w:t>
            </w:r>
            <w:r>
              <w:rPr>
                <w:rFonts w:ascii="宋体" w:hAnsi="宋体" w:cs="宋体" w:eastAsia="宋体" w:hint="default"/>
                <w:sz w:val="18"/>
                <w:szCs w:val="18"/>
              </w:rPr>
              <w:t> </w:t>
            </w:r>
          </w:p>
        </w:tc>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10,110,618.47</w:t>
            </w:r>
            <w:r>
              <w:rPr>
                <w:rFonts w:ascii="宋体"/>
                <w:sz w:val="18"/>
              </w:rPr>
              <w:t> </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10,110,618.47 </w:t>
            </w:r>
          </w:p>
        </w:tc>
        <w:tc>
          <w:tcPr>
            <w:tcW w:w="3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sz w:val="18"/>
              </w:rPr>
              <w:t> </w:t>
            </w:r>
          </w:p>
        </w:tc>
      </w:tr>
      <w:tr>
        <w:trPr>
          <w:trHeight w:val="396" w:hRule="exact"/>
        </w:trPr>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2023</w:t>
            </w:r>
            <w:r>
              <w:rPr>
                <w:rFonts w:ascii="宋体" w:hAnsi="宋体" w:cs="宋体" w:eastAsia="宋体" w:hint="default"/>
                <w:spacing w:val="-43"/>
                <w:sz w:val="18"/>
                <w:szCs w:val="18"/>
              </w:rPr>
              <w:t> </w:t>
            </w:r>
            <w:r>
              <w:rPr>
                <w:rFonts w:ascii="宋体" w:hAnsi="宋体" w:cs="宋体" w:eastAsia="宋体" w:hint="default"/>
                <w:spacing w:val="-3"/>
                <w:sz w:val="18"/>
                <w:szCs w:val="18"/>
              </w:rPr>
              <w:t>年</w:t>
            </w:r>
            <w:r>
              <w:rPr>
                <w:rFonts w:ascii="宋体" w:hAnsi="宋体" w:cs="宋体" w:eastAsia="宋体" w:hint="default"/>
                <w:sz w:val="18"/>
                <w:szCs w:val="18"/>
              </w:rPr>
              <w:t> </w:t>
            </w:r>
          </w:p>
        </w:tc>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17,083,815.97</w:t>
            </w:r>
            <w:r>
              <w:rPr>
                <w:rFonts w:ascii="宋体"/>
                <w:sz w:val="18"/>
              </w:rPr>
              <w:t> </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19,267,393.30 </w:t>
            </w:r>
          </w:p>
        </w:tc>
        <w:tc>
          <w:tcPr>
            <w:tcW w:w="3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sz w:val="18"/>
              </w:rPr>
              <w:t> </w:t>
            </w:r>
          </w:p>
        </w:tc>
      </w:tr>
      <w:tr>
        <w:trPr>
          <w:trHeight w:val="396" w:hRule="exact"/>
        </w:trPr>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2024</w:t>
            </w:r>
            <w:r>
              <w:rPr>
                <w:rFonts w:ascii="宋体" w:hAnsi="宋体" w:cs="宋体" w:eastAsia="宋体" w:hint="default"/>
                <w:spacing w:val="-43"/>
                <w:sz w:val="18"/>
                <w:szCs w:val="18"/>
              </w:rPr>
              <w:t> </w:t>
            </w:r>
            <w:r>
              <w:rPr>
                <w:rFonts w:ascii="宋体" w:hAnsi="宋体" w:cs="宋体" w:eastAsia="宋体" w:hint="default"/>
                <w:spacing w:val="-3"/>
                <w:sz w:val="18"/>
                <w:szCs w:val="18"/>
              </w:rPr>
              <w:t>年</w:t>
            </w:r>
            <w:r>
              <w:rPr>
                <w:rFonts w:ascii="宋体" w:hAnsi="宋体" w:cs="宋体" w:eastAsia="宋体" w:hint="default"/>
                <w:sz w:val="18"/>
                <w:szCs w:val="18"/>
              </w:rPr>
              <w:t> </w:t>
            </w:r>
          </w:p>
        </w:tc>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39,515,737.89</w:t>
            </w:r>
            <w:r>
              <w:rPr>
                <w:rFonts w:ascii="宋体"/>
                <w:sz w:val="18"/>
              </w:rPr>
              <w:t> </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z w:val="18"/>
              </w:rPr>
              <w:t> </w:t>
            </w:r>
          </w:p>
        </w:tc>
        <w:tc>
          <w:tcPr>
            <w:tcW w:w="3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sz w:val="18"/>
              </w:rPr>
              <w:t> </w:t>
            </w:r>
          </w:p>
        </w:tc>
      </w:tr>
      <w:tr>
        <w:trPr>
          <w:trHeight w:val="399" w:hRule="exact"/>
        </w:trPr>
        <w:tc>
          <w:tcPr>
            <w:tcW w:w="22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51"/>
              <w:jc w:val="righ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2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74,228,138.70</w:t>
            </w:r>
            <w:r>
              <w:rPr>
                <w:rFonts w:ascii="宋体"/>
                <w:sz w:val="18"/>
              </w:rPr>
              <w:t> </w:t>
            </w:r>
          </w:p>
        </w:tc>
        <w:tc>
          <w:tcPr>
            <w:tcW w:w="2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36,895,978.14 </w:t>
            </w:r>
          </w:p>
        </w:tc>
        <w:tc>
          <w:tcPr>
            <w:tcW w:w="30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z w:val="18"/>
              </w:rPr>
              <w:t> </w:t>
            </w:r>
          </w:p>
        </w:tc>
      </w:tr>
    </w:tbl>
    <w:p>
      <w:pPr>
        <w:spacing w:line="240" w:lineRule="auto" w:before="7"/>
        <w:rPr>
          <w:rFonts w:ascii="宋体" w:hAnsi="宋体" w:cs="宋体" w:eastAsia="宋体" w:hint="default"/>
          <w:sz w:val="6"/>
          <w:szCs w:val="6"/>
        </w:rPr>
      </w:pPr>
    </w:p>
    <w:p>
      <w:pPr>
        <w:pStyle w:val="Heading3"/>
        <w:spacing w:line="240" w:lineRule="auto"/>
        <w:ind w:left="576" w:right="0"/>
        <w:jc w:val="left"/>
        <w:rPr>
          <w:rFonts w:ascii="宋体" w:hAnsi="宋体" w:cs="宋体" w:eastAsia="宋体" w:hint="default"/>
          <w:b w:val="0"/>
          <w:bCs w:val="0"/>
        </w:rPr>
      </w:pPr>
      <w:r>
        <w:rPr/>
        <w:t>（十七）其他非流动资产</w:t>
      </w:r>
      <w:r>
        <w:rPr>
          <w:rFonts w:ascii="宋体" w:hAnsi="宋体" w:cs="宋体" w:eastAsia="宋体" w:hint="default"/>
          <w:w w:val="99"/>
        </w:rPr>
        <w:t> </w:t>
      </w:r>
      <w:r>
        <w:rPr>
          <w:rFonts w:ascii="宋体" w:hAnsi="宋体" w:cs="宋体" w:eastAsia="宋体" w:hint="default"/>
          <w:b w:val="0"/>
          <w:bCs w:val="0"/>
        </w:rPr>
      </w:r>
    </w:p>
    <w:p>
      <w:pPr>
        <w:spacing w:line="240" w:lineRule="auto" w:before="3"/>
        <w:rPr>
          <w:rFonts w:ascii="宋体" w:hAnsi="宋体" w:cs="宋体" w:eastAsia="宋体" w:hint="default"/>
          <w:b/>
          <w:bCs/>
          <w:sz w:val="14"/>
          <w:szCs w:val="14"/>
        </w:rPr>
      </w:pPr>
    </w:p>
    <w:tbl>
      <w:tblPr>
        <w:tblW w:w="0" w:type="auto"/>
        <w:jc w:val="left"/>
        <w:tblInd w:w="110" w:type="dxa"/>
        <w:tblLayout w:type="fixed"/>
        <w:tblCellMar>
          <w:top w:w="0" w:type="dxa"/>
          <w:left w:w="0" w:type="dxa"/>
          <w:bottom w:w="0" w:type="dxa"/>
          <w:right w:w="0" w:type="dxa"/>
        </w:tblCellMar>
        <w:tblLook w:val="01E0"/>
      </w:tblPr>
      <w:tblGrid>
        <w:gridCol w:w="1865"/>
        <w:gridCol w:w="1541"/>
        <w:gridCol w:w="1133"/>
        <w:gridCol w:w="1308"/>
        <w:gridCol w:w="1406"/>
        <w:gridCol w:w="1090"/>
        <w:gridCol w:w="1433"/>
      </w:tblGrid>
      <w:tr>
        <w:trPr>
          <w:trHeight w:val="398" w:hRule="exact"/>
        </w:trPr>
        <w:tc>
          <w:tcPr>
            <w:tcW w:w="1865"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8"/>
                <w:szCs w:val="18"/>
              </w:rPr>
            </w:pPr>
          </w:p>
          <w:p>
            <w:pPr>
              <w:pStyle w:val="TableParagraph"/>
              <w:spacing w:line="240" w:lineRule="auto"/>
              <w:ind w:left="88"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3983"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7"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c>
          <w:tcPr>
            <w:tcW w:w="3929"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2" w:right="0"/>
              <w:jc w:val="center"/>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r>
      <w:tr>
        <w:trPr>
          <w:trHeight w:val="396" w:hRule="exact"/>
        </w:trPr>
        <w:tc>
          <w:tcPr>
            <w:tcW w:w="1865" w:type="dxa"/>
            <w:vMerge/>
            <w:tcBorders>
              <w:left w:val="single" w:sz="4" w:space="0" w:color="000000"/>
              <w:bottom w:val="single" w:sz="4" w:space="0" w:color="000000"/>
              <w:right w:val="single" w:sz="4" w:space="0" w:color="000000"/>
            </w:tcBorders>
          </w:tcPr>
          <w:p>
            <w:pP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405" w:right="0"/>
              <w:jc w:val="left"/>
              <w:rPr>
                <w:rFonts w:ascii="宋体" w:hAnsi="宋体" w:cs="宋体" w:eastAsia="宋体" w:hint="default"/>
                <w:sz w:val="18"/>
                <w:szCs w:val="18"/>
              </w:rPr>
            </w:pPr>
            <w:r>
              <w:rPr>
                <w:rFonts w:ascii="宋体" w:hAnsi="宋体" w:cs="宋体" w:eastAsia="宋体" w:hint="default"/>
                <w:sz w:val="18"/>
                <w:szCs w:val="18"/>
              </w:rPr>
              <w:t>账面余额</w:t>
            </w:r>
            <w:r>
              <w:rPr>
                <w:rFonts w:ascii="宋体" w:hAnsi="宋体" w:cs="宋体" w:eastAsia="宋体" w:hint="default"/>
                <w:sz w:val="18"/>
                <w:szCs w:val="18"/>
              </w:rPr>
              <w:t> </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01" w:right="0"/>
              <w:jc w:val="left"/>
              <w:rPr>
                <w:rFonts w:ascii="宋体" w:hAnsi="宋体" w:cs="宋体" w:eastAsia="宋体" w:hint="default"/>
                <w:sz w:val="18"/>
                <w:szCs w:val="18"/>
              </w:rPr>
            </w:pPr>
            <w:r>
              <w:rPr>
                <w:rFonts w:ascii="宋体" w:hAnsi="宋体" w:cs="宋体" w:eastAsia="宋体" w:hint="default"/>
                <w:sz w:val="18"/>
                <w:szCs w:val="18"/>
              </w:rPr>
              <w:t>减值准备</w:t>
            </w:r>
            <w:r>
              <w:rPr>
                <w:rFonts w:ascii="宋体" w:hAnsi="宋体" w:cs="宋体" w:eastAsia="宋体" w:hint="default"/>
                <w:sz w:val="18"/>
                <w:szCs w:val="18"/>
              </w:rPr>
              <w:t> </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7" w:right="0"/>
              <w:jc w:val="center"/>
              <w:rPr>
                <w:rFonts w:ascii="宋体" w:hAnsi="宋体" w:cs="宋体" w:eastAsia="宋体" w:hint="default"/>
                <w:sz w:val="18"/>
                <w:szCs w:val="18"/>
              </w:rPr>
            </w:pPr>
            <w:r>
              <w:rPr>
                <w:rFonts w:ascii="宋体" w:hAnsi="宋体" w:cs="宋体" w:eastAsia="宋体" w:hint="default"/>
                <w:sz w:val="18"/>
                <w:szCs w:val="18"/>
              </w:rPr>
              <w:t>账面价值</w:t>
            </w:r>
            <w:r>
              <w:rPr>
                <w:rFonts w:ascii="宋体" w:hAnsi="宋体" w:cs="宋体" w:eastAsia="宋体" w:hint="default"/>
                <w:sz w:val="18"/>
                <w:szCs w:val="18"/>
              </w:rPr>
              <w:t> </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338" w:right="0"/>
              <w:jc w:val="left"/>
              <w:rPr>
                <w:rFonts w:ascii="宋体" w:hAnsi="宋体" w:cs="宋体" w:eastAsia="宋体" w:hint="default"/>
                <w:sz w:val="18"/>
                <w:szCs w:val="18"/>
              </w:rPr>
            </w:pPr>
            <w:r>
              <w:rPr>
                <w:rFonts w:ascii="宋体" w:hAnsi="宋体" w:cs="宋体" w:eastAsia="宋体" w:hint="default"/>
                <w:sz w:val="18"/>
                <w:szCs w:val="18"/>
              </w:rPr>
              <w:t>账面余额</w:t>
            </w:r>
            <w:r>
              <w:rPr>
                <w:rFonts w:ascii="宋体" w:hAnsi="宋体" w:cs="宋体" w:eastAsia="宋体" w:hint="default"/>
                <w:sz w:val="18"/>
                <w:szCs w:val="18"/>
              </w:rPr>
              <w:t> </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79" w:right="0"/>
              <w:jc w:val="left"/>
              <w:rPr>
                <w:rFonts w:ascii="宋体" w:hAnsi="宋体" w:cs="宋体" w:eastAsia="宋体" w:hint="default"/>
                <w:sz w:val="18"/>
                <w:szCs w:val="18"/>
              </w:rPr>
            </w:pPr>
            <w:r>
              <w:rPr>
                <w:rFonts w:ascii="宋体" w:hAnsi="宋体" w:cs="宋体" w:eastAsia="宋体" w:hint="default"/>
                <w:sz w:val="18"/>
                <w:szCs w:val="18"/>
              </w:rPr>
              <w:t>减值准备</w:t>
            </w:r>
            <w:r>
              <w:rPr>
                <w:rFonts w:ascii="宋体" w:hAnsi="宋体" w:cs="宋体" w:eastAsia="宋体" w:hint="default"/>
                <w:sz w:val="18"/>
                <w:szCs w:val="18"/>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352" w:right="0"/>
              <w:jc w:val="left"/>
              <w:rPr>
                <w:rFonts w:ascii="宋体" w:hAnsi="宋体" w:cs="宋体" w:eastAsia="宋体" w:hint="default"/>
                <w:sz w:val="18"/>
                <w:szCs w:val="18"/>
              </w:rPr>
            </w:pPr>
            <w:r>
              <w:rPr>
                <w:rFonts w:ascii="宋体" w:hAnsi="宋体" w:cs="宋体" w:eastAsia="宋体" w:hint="default"/>
                <w:sz w:val="18"/>
                <w:szCs w:val="18"/>
              </w:rPr>
              <w:t>账面价值</w:t>
            </w:r>
            <w:r>
              <w:rPr>
                <w:rFonts w:ascii="宋体" w:hAnsi="宋体" w:cs="宋体" w:eastAsia="宋体" w:hint="default"/>
                <w:sz w:val="18"/>
                <w:szCs w:val="18"/>
              </w:rPr>
              <w:t> </w:t>
            </w:r>
          </w:p>
        </w:tc>
      </w:tr>
      <w:tr>
        <w:trPr>
          <w:trHeight w:val="398" w:hRule="exact"/>
        </w:trPr>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61" w:right="0"/>
              <w:jc w:val="center"/>
              <w:rPr>
                <w:rFonts w:ascii="宋体" w:hAnsi="宋体" w:cs="宋体" w:eastAsia="宋体" w:hint="default"/>
                <w:sz w:val="18"/>
                <w:szCs w:val="18"/>
              </w:rPr>
            </w:pPr>
            <w:r>
              <w:rPr>
                <w:rFonts w:ascii="宋体" w:hAnsi="宋体" w:cs="宋体" w:eastAsia="宋体" w:hint="default"/>
                <w:sz w:val="18"/>
                <w:szCs w:val="18"/>
              </w:rPr>
              <w:t>预付长期资产采购款</w:t>
            </w:r>
            <w:r>
              <w:rPr>
                <w:rFonts w:ascii="宋体" w:hAnsi="宋体" w:cs="宋体" w:eastAsia="宋体" w:hint="default"/>
                <w:sz w:val="18"/>
                <w:szCs w:val="18"/>
              </w:rPr>
              <w:t> </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45" w:right="0"/>
              <w:jc w:val="left"/>
              <w:rPr>
                <w:rFonts w:ascii="宋体" w:hAnsi="宋体" w:cs="宋体" w:eastAsia="宋体" w:hint="default"/>
                <w:sz w:val="18"/>
                <w:szCs w:val="18"/>
              </w:rPr>
            </w:pPr>
            <w:r>
              <w:rPr>
                <w:rFonts w:ascii="宋体"/>
                <w:sz w:val="18"/>
              </w:rPr>
              <w:t>1,196,581.19 </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8" w:right="0"/>
              <w:jc w:val="center"/>
              <w:rPr>
                <w:rFonts w:ascii="宋体" w:hAnsi="宋体" w:cs="宋体" w:eastAsia="宋体" w:hint="default"/>
                <w:sz w:val="18"/>
                <w:szCs w:val="18"/>
              </w:rPr>
            </w:pPr>
            <w:r>
              <w:rPr>
                <w:rFonts w:ascii="宋体"/>
                <w:sz w:val="18"/>
              </w:rPr>
              <w:t>1,196,581.19 </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1,212,067.19</w:t>
            </w:r>
            <w:r>
              <w:rPr>
                <w:rFonts w:ascii="宋体"/>
                <w:sz w:val="18"/>
              </w:rPr>
              <w:t> </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z w:val="18"/>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1,212,067.19</w:t>
            </w:r>
            <w:r>
              <w:rPr>
                <w:rFonts w:ascii="宋体"/>
                <w:sz w:val="18"/>
              </w:rPr>
              <w:t> </w:t>
            </w:r>
          </w:p>
        </w:tc>
      </w:tr>
      <w:tr>
        <w:trPr>
          <w:trHeight w:val="396" w:hRule="exact"/>
        </w:trPr>
        <w:tc>
          <w:tcPr>
            <w:tcW w:w="18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8"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5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45" w:right="0"/>
              <w:jc w:val="left"/>
              <w:rPr>
                <w:rFonts w:ascii="宋体" w:hAnsi="宋体" w:cs="宋体" w:eastAsia="宋体" w:hint="default"/>
                <w:sz w:val="18"/>
                <w:szCs w:val="18"/>
              </w:rPr>
            </w:pPr>
            <w:r>
              <w:rPr>
                <w:rFonts w:ascii="宋体"/>
                <w:sz w:val="18"/>
              </w:rPr>
              <w:t>1,196,581.19 </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8" w:right="0"/>
              <w:jc w:val="center"/>
              <w:rPr>
                <w:rFonts w:ascii="宋体" w:hAnsi="宋体" w:cs="宋体" w:eastAsia="宋体" w:hint="default"/>
                <w:sz w:val="18"/>
                <w:szCs w:val="18"/>
              </w:rPr>
            </w:pPr>
            <w:r>
              <w:rPr>
                <w:rFonts w:ascii="宋体"/>
                <w:sz w:val="18"/>
              </w:rPr>
              <w:t>1,196,581.19 </w:t>
            </w:r>
          </w:p>
        </w:tc>
        <w:tc>
          <w:tcPr>
            <w:tcW w:w="1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1,212,067.19</w:t>
            </w:r>
            <w:r>
              <w:rPr>
                <w:rFonts w:ascii="宋体"/>
                <w:sz w:val="18"/>
              </w:rPr>
              <w:t> </w:t>
            </w:r>
          </w:p>
        </w:tc>
        <w:tc>
          <w:tcPr>
            <w:tcW w:w="10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z w:val="18"/>
              </w:rPr>
              <w:t> </w:t>
            </w:r>
          </w:p>
        </w:tc>
        <w:tc>
          <w:tcPr>
            <w:tcW w:w="14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1,212,067.19</w:t>
            </w:r>
            <w:r>
              <w:rPr>
                <w:rFonts w:ascii="宋体"/>
                <w:sz w:val="18"/>
              </w:rPr>
              <w:t> </w:t>
            </w:r>
          </w:p>
        </w:tc>
      </w:tr>
    </w:tbl>
    <w:p>
      <w:pPr>
        <w:spacing w:line="240" w:lineRule="auto" w:before="7"/>
        <w:rPr>
          <w:rFonts w:ascii="宋体" w:hAnsi="宋体" w:cs="宋体" w:eastAsia="宋体" w:hint="default"/>
          <w:b/>
          <w:bCs/>
          <w:sz w:val="6"/>
          <w:szCs w:val="6"/>
        </w:rPr>
      </w:pPr>
    </w:p>
    <w:p>
      <w:pPr>
        <w:spacing w:line="374" w:lineRule="auto" w:before="36"/>
        <w:ind w:left="646" w:right="7149" w:hanging="212"/>
        <w:jc w:val="left"/>
        <w:rPr>
          <w:rFonts w:ascii="宋体" w:hAnsi="宋体" w:cs="宋体" w:eastAsia="宋体" w:hint="default"/>
          <w:sz w:val="21"/>
          <w:szCs w:val="21"/>
        </w:rPr>
      </w:pPr>
      <w:r>
        <w:rPr>
          <w:rFonts w:ascii="宋体" w:hAnsi="宋体" w:cs="宋体" w:eastAsia="宋体" w:hint="default"/>
          <w:b/>
          <w:bCs/>
          <w:sz w:val="21"/>
          <w:szCs w:val="21"/>
        </w:rPr>
        <w:t>（十八）短期借款</w:t>
      </w:r>
      <w:r>
        <w:rPr>
          <w:rFonts w:ascii="宋体" w:hAnsi="宋体" w:cs="宋体" w:eastAsia="宋体" w:hint="default"/>
          <w:b/>
          <w:bCs/>
          <w:w w:val="99"/>
          <w:sz w:val="21"/>
          <w:szCs w:val="21"/>
        </w:rPr>
        <w:t> </w:t>
      </w:r>
      <w:r>
        <w:rPr>
          <w:rFonts w:ascii="宋体" w:hAnsi="宋体" w:cs="宋体" w:eastAsia="宋体" w:hint="default"/>
          <w:b/>
          <w:bCs/>
          <w:sz w:val="21"/>
          <w:szCs w:val="21"/>
        </w:rPr>
        <w:t>1</w:t>
      </w:r>
      <w:r>
        <w:rPr>
          <w:rFonts w:ascii="宋体" w:hAnsi="宋体" w:cs="宋体" w:eastAsia="宋体" w:hint="default"/>
          <w:b/>
          <w:bCs/>
          <w:sz w:val="21"/>
          <w:szCs w:val="21"/>
        </w:rPr>
        <w:t>、</w:t>
      </w:r>
      <w:r>
        <w:rPr>
          <w:rFonts w:ascii="宋体" w:hAnsi="宋体" w:cs="宋体" w:eastAsia="宋体" w:hint="default"/>
          <w:sz w:val="21"/>
          <w:szCs w:val="21"/>
        </w:rPr>
        <w:t>短期借款分类</w:t>
      </w:r>
      <w:r>
        <w:rPr>
          <w:rFonts w:ascii="宋体" w:hAnsi="宋体" w:cs="宋体" w:eastAsia="宋体" w:hint="default"/>
          <w:sz w:val="21"/>
          <w:szCs w:val="21"/>
        </w:rPr>
        <w:t> </w:t>
      </w:r>
    </w:p>
    <w:p>
      <w:pPr>
        <w:spacing w:line="240" w:lineRule="auto" w:before="3"/>
        <w:rPr>
          <w:rFonts w:ascii="宋体" w:hAnsi="宋体" w:cs="宋体" w:eastAsia="宋体" w:hint="default"/>
          <w:sz w:val="5"/>
          <w:szCs w:val="5"/>
        </w:rPr>
      </w:pPr>
    </w:p>
    <w:tbl>
      <w:tblPr>
        <w:tblW w:w="0" w:type="auto"/>
        <w:jc w:val="left"/>
        <w:tblInd w:w="110" w:type="dxa"/>
        <w:tblLayout w:type="fixed"/>
        <w:tblCellMar>
          <w:top w:w="0" w:type="dxa"/>
          <w:left w:w="0" w:type="dxa"/>
          <w:bottom w:w="0" w:type="dxa"/>
          <w:right w:w="0" w:type="dxa"/>
        </w:tblCellMar>
        <w:tblLook w:val="01E0"/>
      </w:tblPr>
      <w:tblGrid>
        <w:gridCol w:w="2996"/>
        <w:gridCol w:w="2993"/>
        <w:gridCol w:w="3773"/>
      </w:tblGrid>
      <w:tr>
        <w:trPr>
          <w:trHeight w:val="399" w:hRule="exact"/>
        </w:trPr>
        <w:tc>
          <w:tcPr>
            <w:tcW w:w="2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221"/>
              <w:jc w:val="right"/>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87"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c>
          <w:tcPr>
            <w:tcW w:w="37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89" w:right="0"/>
              <w:jc w:val="center"/>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r>
      <w:tr>
        <w:trPr>
          <w:trHeight w:val="396" w:hRule="exact"/>
        </w:trPr>
        <w:tc>
          <w:tcPr>
            <w:tcW w:w="2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质押借款</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2"/>
                <w:sz w:val="18"/>
              </w:rPr>
              <w:t> </w:t>
            </w:r>
            <w:r>
              <w:rPr>
                <w:rFonts w:ascii="宋体"/>
                <w:spacing w:val="-1"/>
                <w:sz w:val="18"/>
              </w:rPr>
              <w:t>20,000,000.00</w:t>
            </w:r>
            <w:r>
              <w:rPr>
                <w:rFonts w:ascii="宋体"/>
                <w:sz w:val="18"/>
              </w:rPr>
              <w:t> </w:t>
            </w:r>
          </w:p>
        </w:tc>
        <w:tc>
          <w:tcPr>
            <w:tcW w:w="37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90,000,000.00</w:t>
            </w:r>
            <w:r>
              <w:rPr>
                <w:rFonts w:ascii="宋体"/>
                <w:sz w:val="18"/>
              </w:rPr>
              <w:t> </w:t>
            </w:r>
          </w:p>
        </w:tc>
      </w:tr>
      <w:tr>
        <w:trPr>
          <w:trHeight w:val="398" w:hRule="exact"/>
        </w:trPr>
        <w:tc>
          <w:tcPr>
            <w:tcW w:w="2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保证借款</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1"/>
                <w:sz w:val="18"/>
              </w:rPr>
              <w:t> 281,730,212.16</w:t>
            </w:r>
            <w:r>
              <w:rPr>
                <w:rFonts w:ascii="宋体"/>
                <w:sz w:val="18"/>
              </w:rPr>
              <w:t> </w:t>
            </w:r>
          </w:p>
        </w:tc>
        <w:tc>
          <w:tcPr>
            <w:tcW w:w="37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290,261,829.86 </w:t>
            </w:r>
          </w:p>
        </w:tc>
      </w:tr>
      <w:tr>
        <w:trPr>
          <w:trHeight w:val="396" w:hRule="exact"/>
        </w:trPr>
        <w:tc>
          <w:tcPr>
            <w:tcW w:w="2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21"/>
              <w:jc w:val="righ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1"/>
                <w:sz w:val="18"/>
              </w:rPr>
              <w:t> 301,730,212.16</w:t>
            </w:r>
            <w:r>
              <w:rPr>
                <w:rFonts w:ascii="宋体"/>
                <w:sz w:val="18"/>
              </w:rPr>
              <w:t> </w:t>
            </w:r>
          </w:p>
        </w:tc>
        <w:tc>
          <w:tcPr>
            <w:tcW w:w="37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380,261,829.86 </w:t>
            </w:r>
          </w:p>
        </w:tc>
      </w:tr>
    </w:tbl>
    <w:p>
      <w:pPr>
        <w:spacing w:line="240" w:lineRule="auto" w:before="3"/>
        <w:rPr>
          <w:rFonts w:ascii="宋体" w:hAnsi="宋体" w:cs="宋体" w:eastAsia="宋体" w:hint="default"/>
          <w:sz w:val="8"/>
          <w:szCs w:val="8"/>
        </w:rPr>
      </w:pPr>
    </w:p>
    <w:p>
      <w:pPr>
        <w:pStyle w:val="BodyText"/>
        <w:spacing w:line="240" w:lineRule="auto" w:before="36"/>
        <w:ind w:left="643" w:right="0"/>
        <w:jc w:val="left"/>
        <w:rPr>
          <w:rFonts w:ascii="宋体" w:hAnsi="宋体" w:cs="宋体" w:eastAsia="宋体" w:hint="default"/>
        </w:rPr>
      </w:pPr>
      <w:r>
        <w:rPr/>
        <w:t>（</w:t>
      </w:r>
      <w:r>
        <w:rPr>
          <w:rFonts w:ascii="宋体" w:hAnsi="宋体" w:cs="宋体" w:eastAsia="宋体" w:hint="default"/>
        </w:rPr>
        <w:t>1</w:t>
      </w:r>
      <w:r>
        <w:rPr/>
        <w:t>）质押借款情况：</w:t>
      </w:r>
      <w:r>
        <w:rPr>
          <w:rFonts w:ascii="宋体" w:hAnsi="宋体" w:cs="宋体" w:eastAsia="宋体" w:hint="default"/>
        </w:rPr>
        <w:t> </w:t>
      </w:r>
    </w:p>
    <w:p>
      <w:pPr>
        <w:pStyle w:val="BodyText"/>
        <w:spacing w:line="274" w:lineRule="exact" w:before="171"/>
        <w:ind w:left="643" w:right="0"/>
        <w:jc w:val="left"/>
        <w:rPr>
          <w:rFonts w:ascii="宋体" w:hAnsi="宋体" w:cs="宋体" w:eastAsia="宋体" w:hint="default"/>
        </w:rPr>
      </w:pPr>
      <w:r>
        <w:rPr>
          <w:rFonts w:ascii="宋体" w:hAnsi="宋体" w:cs="宋体" w:eastAsia="宋体" w:hint="default"/>
        </w:rPr>
        <w:t>2019</w:t>
      </w:r>
      <w:r>
        <w:rPr>
          <w:rFonts w:ascii="宋体" w:hAnsi="宋体" w:cs="宋体" w:eastAsia="宋体" w:hint="default"/>
          <w:spacing w:val="-29"/>
        </w:rPr>
        <w:t> </w:t>
      </w:r>
      <w:r>
        <w:rPr/>
        <w:t>年</w:t>
      </w:r>
      <w:r>
        <w:rPr>
          <w:spacing w:val="-29"/>
        </w:rPr>
        <w:t> </w:t>
      </w:r>
      <w:r>
        <w:rPr>
          <w:rFonts w:ascii="宋体" w:hAnsi="宋体" w:cs="宋体" w:eastAsia="宋体" w:hint="default"/>
        </w:rPr>
        <w:t>5</w:t>
      </w:r>
      <w:r>
        <w:rPr>
          <w:rFonts w:ascii="宋体" w:hAnsi="宋体" w:cs="宋体" w:eastAsia="宋体" w:hint="default"/>
          <w:spacing w:val="-29"/>
        </w:rPr>
        <w:t> </w:t>
      </w:r>
      <w:r>
        <w:rPr/>
        <w:t>月</w:t>
      </w:r>
      <w:r>
        <w:rPr>
          <w:spacing w:val="-26"/>
        </w:rPr>
        <w:t> </w:t>
      </w:r>
      <w:r>
        <w:rPr>
          <w:rFonts w:ascii="宋体" w:hAnsi="宋体" w:cs="宋体" w:eastAsia="宋体" w:hint="default"/>
        </w:rPr>
        <w:t>27</w:t>
      </w:r>
      <w:r>
        <w:rPr>
          <w:rFonts w:ascii="宋体" w:hAnsi="宋体" w:cs="宋体" w:eastAsia="宋体" w:hint="default"/>
          <w:spacing w:val="-29"/>
        </w:rPr>
        <w:t> </w:t>
      </w:r>
      <w:r>
        <w:rPr/>
        <w:t>日，长实通信与中国工商银行股份有限公司清远分行签订编号为“清远分行</w:t>
      </w:r>
      <w:r>
        <w:rPr>
          <w:rFonts w:ascii="宋体" w:hAnsi="宋体" w:cs="宋体" w:eastAsia="宋体" w:hint="default"/>
        </w:rPr>
        <w:t>[2019]</w:t>
      </w:r>
    </w:p>
    <w:p>
      <w:pPr>
        <w:pStyle w:val="BodyText"/>
        <w:spacing w:line="237" w:lineRule="auto" w:before="2"/>
        <w:ind w:left="223" w:right="1071"/>
        <w:jc w:val="both"/>
        <w:rPr>
          <w:rFonts w:ascii="宋体" w:hAnsi="宋体" w:cs="宋体" w:eastAsia="宋体" w:hint="default"/>
        </w:rPr>
      </w:pPr>
      <w:r>
        <w:rPr/>
        <w:t>借字第</w:t>
      </w:r>
      <w:r>
        <w:rPr>
          <w:spacing w:val="-47"/>
        </w:rPr>
        <w:t> </w:t>
      </w:r>
      <w:r>
        <w:rPr>
          <w:rFonts w:ascii="宋体" w:hAnsi="宋体" w:cs="宋体" w:eastAsia="宋体" w:hint="default"/>
        </w:rPr>
        <w:t>014</w:t>
      </w:r>
      <w:r>
        <w:rPr>
          <w:rFonts w:ascii="宋体" w:hAnsi="宋体" w:cs="宋体" w:eastAsia="宋体" w:hint="default"/>
          <w:spacing w:val="-48"/>
        </w:rPr>
        <w:t> </w:t>
      </w:r>
      <w:r>
        <w:rPr/>
        <w:t>号”的借款合同，借款</w:t>
      </w:r>
      <w:r>
        <w:rPr>
          <w:spacing w:val="-48"/>
        </w:rPr>
        <w:t> </w:t>
      </w:r>
      <w:r>
        <w:rPr>
          <w:rFonts w:ascii="宋体" w:hAnsi="宋体" w:cs="宋体" w:eastAsia="宋体" w:hint="default"/>
        </w:rPr>
        <w:t>2,000.00</w:t>
      </w:r>
      <w:r>
        <w:rPr>
          <w:rFonts w:ascii="宋体" w:hAnsi="宋体" w:cs="宋体" w:eastAsia="宋体" w:hint="default"/>
          <w:spacing w:val="-50"/>
        </w:rPr>
        <w:t> </w:t>
      </w:r>
      <w:r>
        <w:rPr/>
        <w:t>万元，借款期为</w:t>
      </w:r>
      <w:r>
        <w:rPr>
          <w:spacing w:val="-48"/>
        </w:rPr>
        <w:t> </w:t>
      </w:r>
      <w:r>
        <w:rPr>
          <w:rFonts w:ascii="宋体" w:hAnsi="宋体" w:cs="宋体" w:eastAsia="宋体" w:hint="default"/>
        </w:rPr>
        <w:t>2019</w:t>
      </w:r>
      <w:r>
        <w:rPr>
          <w:rFonts w:ascii="宋体" w:hAnsi="宋体" w:cs="宋体" w:eastAsia="宋体" w:hint="default"/>
          <w:spacing w:val="-50"/>
        </w:rPr>
        <w:t> </w:t>
      </w:r>
      <w:r>
        <w:rPr/>
        <w:t>年</w:t>
      </w:r>
      <w:r>
        <w:rPr>
          <w:spacing w:val="-48"/>
        </w:rPr>
        <w:t> </w:t>
      </w:r>
      <w:r>
        <w:rPr>
          <w:rFonts w:ascii="宋体" w:hAnsi="宋体" w:cs="宋体" w:eastAsia="宋体" w:hint="default"/>
        </w:rPr>
        <w:t>6</w:t>
      </w:r>
      <w:r>
        <w:rPr>
          <w:rFonts w:ascii="宋体" w:hAnsi="宋体" w:cs="宋体" w:eastAsia="宋体" w:hint="default"/>
          <w:spacing w:val="-50"/>
        </w:rPr>
        <w:t> </w:t>
      </w:r>
      <w:r>
        <w:rPr/>
        <w:t>月</w:t>
      </w:r>
      <w:r>
        <w:rPr>
          <w:spacing w:val="-48"/>
        </w:rPr>
        <w:t> </w:t>
      </w:r>
      <w:r>
        <w:rPr>
          <w:rFonts w:ascii="宋体" w:hAnsi="宋体" w:cs="宋体" w:eastAsia="宋体" w:hint="default"/>
        </w:rPr>
        <w:t>1</w:t>
      </w:r>
      <w:r>
        <w:rPr>
          <w:rFonts w:ascii="宋体" w:hAnsi="宋体" w:cs="宋体" w:eastAsia="宋体" w:hint="default"/>
          <w:spacing w:val="-50"/>
        </w:rPr>
        <w:t> </w:t>
      </w:r>
      <w:r>
        <w:rPr/>
        <w:t>日至</w:t>
      </w:r>
      <w:r>
        <w:rPr>
          <w:spacing w:val="-48"/>
        </w:rPr>
        <w:t> </w:t>
      </w:r>
      <w:r>
        <w:rPr>
          <w:rFonts w:ascii="宋体" w:hAnsi="宋体" w:cs="宋体" w:eastAsia="宋体" w:hint="default"/>
        </w:rPr>
        <w:t>2020</w:t>
      </w:r>
      <w:r>
        <w:rPr>
          <w:rFonts w:ascii="宋体" w:hAnsi="宋体" w:cs="宋体" w:eastAsia="宋体" w:hint="default"/>
          <w:spacing w:val="-48"/>
        </w:rPr>
        <w:t> </w:t>
      </w:r>
      <w:r>
        <w:rPr/>
        <w:t>年</w:t>
      </w:r>
      <w:r>
        <w:rPr>
          <w:spacing w:val="-50"/>
        </w:rPr>
        <w:t> </w:t>
      </w:r>
      <w:r>
        <w:rPr>
          <w:rFonts w:ascii="宋体" w:hAnsi="宋体" w:cs="宋体" w:eastAsia="宋体" w:hint="default"/>
        </w:rPr>
        <w:t>2</w:t>
      </w:r>
      <w:r>
        <w:rPr>
          <w:rFonts w:ascii="宋体" w:hAnsi="宋体" w:cs="宋体" w:eastAsia="宋体" w:hint="default"/>
          <w:spacing w:val="-50"/>
        </w:rPr>
        <w:t> </w:t>
      </w:r>
      <w:r>
        <w:rPr/>
        <w:t>月</w:t>
      </w:r>
      <w:r>
        <w:rPr>
          <w:spacing w:val="-48"/>
        </w:rPr>
        <w:t> </w:t>
      </w:r>
      <w:r>
        <w:rPr>
          <w:rFonts w:ascii="宋体" w:hAnsi="宋体" w:cs="宋体" w:eastAsia="宋体" w:hint="default"/>
        </w:rPr>
        <w:t>16</w:t>
      </w:r>
      <w:r>
        <w:rPr>
          <w:rFonts w:ascii="宋体" w:hAnsi="宋体" w:cs="宋体" w:eastAsia="宋体" w:hint="default"/>
          <w:spacing w:val="-50"/>
        </w:rPr>
        <w:t> </w:t>
      </w:r>
      <w:r>
        <w:rPr/>
        <w:t>日，借</w:t>
      </w:r>
      <w:r>
        <w:rPr>
          <w:w w:val="100"/>
        </w:rPr>
        <w:t> </w:t>
      </w:r>
      <w:r>
        <w:rPr/>
        <w:t>款利率为 </w:t>
      </w:r>
      <w:r>
        <w:rPr>
          <w:rFonts w:ascii="宋体" w:hAnsi="宋体" w:cs="宋体" w:eastAsia="宋体" w:hint="default"/>
          <w:spacing w:val="-4"/>
        </w:rPr>
        <w:t>5.0025%</w:t>
      </w:r>
      <w:r>
        <w:rPr>
          <w:spacing w:val="-4"/>
        </w:rPr>
        <w:t>，由邹军、钟秀清、中嘉博创作为连带责任保证人，以应收账款为质押，质押物账面余</w:t>
      </w:r>
      <w:r>
        <w:rPr>
          <w:spacing w:val="-72"/>
        </w:rPr>
        <w:t> </w:t>
      </w:r>
      <w:r>
        <w:rPr>
          <w:spacing w:val="-72"/>
        </w:rPr>
      </w:r>
      <w:r>
        <w:rPr/>
        <w:t>额</w:t>
      </w:r>
      <w:r>
        <w:rPr>
          <w:spacing w:val="-51"/>
        </w:rPr>
        <w:t> </w:t>
      </w:r>
      <w:r>
        <w:rPr>
          <w:rFonts w:ascii="宋体" w:hAnsi="宋体" w:cs="宋体" w:eastAsia="宋体" w:hint="default"/>
        </w:rPr>
        <w:t>36,543,757.35</w:t>
      </w:r>
      <w:r>
        <w:rPr>
          <w:rFonts w:ascii="宋体" w:hAnsi="宋体" w:cs="宋体" w:eastAsia="宋体" w:hint="default"/>
          <w:spacing w:val="-52"/>
        </w:rPr>
        <w:t> </w:t>
      </w:r>
      <w:r>
        <w:rPr>
          <w:spacing w:val="-3"/>
        </w:rPr>
        <w:t>元。</w:t>
      </w:r>
      <w:r>
        <w:rPr>
          <w:rFonts w:ascii="宋体" w:hAnsi="宋体" w:cs="宋体" w:eastAsia="宋体" w:hint="default"/>
        </w:rPr>
        <w:t> </w:t>
      </w:r>
    </w:p>
    <w:p>
      <w:pPr>
        <w:pStyle w:val="BodyText"/>
        <w:spacing w:line="240" w:lineRule="auto" w:before="152"/>
        <w:ind w:left="643" w:right="0"/>
        <w:jc w:val="left"/>
        <w:rPr>
          <w:rFonts w:ascii="宋体" w:hAnsi="宋体" w:cs="宋体" w:eastAsia="宋体" w:hint="default"/>
        </w:rPr>
      </w:pPr>
      <w:r>
        <w:rPr/>
        <w:t>（</w:t>
      </w:r>
      <w:r>
        <w:rPr>
          <w:rFonts w:ascii="宋体" w:hAnsi="宋体" w:cs="宋体" w:eastAsia="宋体" w:hint="default"/>
        </w:rPr>
        <w:t>2</w:t>
      </w:r>
      <w:r>
        <w:rPr/>
        <w:t>）保证借款情况</w:t>
      </w:r>
      <w:r>
        <w:rPr>
          <w:rFonts w:ascii="宋体" w:hAnsi="宋体" w:cs="宋体" w:eastAsia="宋体" w:hint="default"/>
        </w:rPr>
        <w:t> </w:t>
      </w:r>
    </w:p>
    <w:p>
      <w:pPr>
        <w:pStyle w:val="BodyText"/>
        <w:spacing w:line="274" w:lineRule="exact" w:before="153"/>
        <w:ind w:left="643" w:right="0"/>
        <w:jc w:val="left"/>
      </w:pPr>
      <w:r>
        <w:rPr>
          <w:rFonts w:ascii="宋体" w:hAnsi="宋体" w:cs="宋体" w:eastAsia="宋体" w:hint="default"/>
        </w:rPr>
        <w:t>2019</w:t>
      </w:r>
      <w:r>
        <w:rPr>
          <w:rFonts w:ascii="宋体" w:hAnsi="宋体" w:cs="宋体" w:eastAsia="宋体" w:hint="default"/>
          <w:spacing w:val="-42"/>
        </w:rPr>
        <w:t> </w:t>
      </w:r>
      <w:r>
        <w:rPr/>
        <w:t>年</w:t>
      </w:r>
      <w:r>
        <w:rPr>
          <w:spacing w:val="-40"/>
        </w:rPr>
        <w:t> </w:t>
      </w:r>
      <w:r>
        <w:rPr>
          <w:rFonts w:ascii="宋体" w:hAnsi="宋体" w:cs="宋体" w:eastAsia="宋体" w:hint="default"/>
        </w:rPr>
        <w:t>8</w:t>
      </w:r>
      <w:r>
        <w:rPr>
          <w:rFonts w:ascii="宋体" w:hAnsi="宋体" w:cs="宋体" w:eastAsia="宋体" w:hint="default"/>
          <w:spacing w:val="-42"/>
        </w:rPr>
        <w:t> </w:t>
      </w:r>
      <w:r>
        <w:rPr/>
        <w:t>月</w:t>
      </w:r>
      <w:r>
        <w:rPr>
          <w:spacing w:val="-40"/>
        </w:rPr>
        <w:t> </w:t>
      </w:r>
      <w:r>
        <w:rPr>
          <w:rFonts w:ascii="宋体" w:hAnsi="宋体" w:cs="宋体" w:eastAsia="宋体" w:hint="default"/>
        </w:rPr>
        <w:t>12</w:t>
      </w:r>
      <w:r>
        <w:rPr>
          <w:rFonts w:ascii="宋体" w:hAnsi="宋体" w:cs="宋体" w:eastAsia="宋体" w:hint="default"/>
          <w:spacing w:val="-42"/>
        </w:rPr>
        <w:t> </w:t>
      </w:r>
      <w:r>
        <w:rPr>
          <w:spacing w:val="-4"/>
        </w:rPr>
        <w:t>日，长实通信与招商银行股份有限公司广州分行签订授信协议（适用于流动资金贷款</w:t>
      </w:r>
    </w:p>
    <w:p>
      <w:pPr>
        <w:pStyle w:val="BodyText"/>
        <w:spacing w:line="272" w:lineRule="exact"/>
        <w:ind w:left="223" w:right="0"/>
        <w:jc w:val="both"/>
      </w:pPr>
      <w:r>
        <w:rPr>
          <w:spacing w:val="-2"/>
        </w:rPr>
        <w:t>无须另签借款合同的情形）编号为“</w:t>
      </w:r>
      <w:r>
        <w:rPr>
          <w:rFonts w:ascii="宋体" w:hAnsi="宋体" w:cs="宋体" w:eastAsia="宋体" w:hint="default"/>
          <w:spacing w:val="-2"/>
        </w:rPr>
        <w:t>120533XY2019073001</w:t>
      </w:r>
      <w:r>
        <w:rPr>
          <w:spacing w:val="-2"/>
        </w:rPr>
        <w:t>”的借款合同，借款</w:t>
      </w:r>
      <w:r>
        <w:rPr/>
        <w:t> </w:t>
      </w:r>
      <w:r>
        <w:rPr>
          <w:rFonts w:ascii="宋体" w:hAnsi="宋体" w:cs="宋体" w:eastAsia="宋体" w:hint="default"/>
          <w:spacing w:val="-1"/>
        </w:rPr>
        <w:t>2,000.00</w:t>
      </w:r>
      <w:r>
        <w:rPr>
          <w:rFonts w:ascii="宋体" w:hAnsi="宋体" w:cs="宋体" w:eastAsia="宋体" w:hint="default"/>
          <w:spacing w:val="-38"/>
        </w:rPr>
        <w:t> </w:t>
      </w:r>
      <w:r>
        <w:rPr>
          <w:spacing w:val="-2"/>
        </w:rPr>
        <w:t>万元，借款期为</w:t>
      </w:r>
    </w:p>
    <w:p>
      <w:pPr>
        <w:pStyle w:val="BodyText"/>
        <w:spacing w:line="273" w:lineRule="exact"/>
        <w:ind w:left="223" w:right="0"/>
        <w:jc w:val="both"/>
        <w:rPr>
          <w:rFonts w:ascii="宋体" w:hAnsi="宋体" w:cs="宋体" w:eastAsia="宋体" w:hint="default"/>
        </w:rPr>
      </w:pPr>
      <w:r>
        <w:rPr>
          <w:rFonts w:ascii="宋体" w:hAnsi="宋体" w:cs="宋体" w:eastAsia="宋体" w:hint="default"/>
        </w:rPr>
        <w:t>2019</w:t>
      </w:r>
      <w:r>
        <w:rPr>
          <w:rFonts w:ascii="宋体" w:hAnsi="宋体" w:cs="宋体" w:eastAsia="宋体" w:hint="default"/>
          <w:spacing w:val="-55"/>
        </w:rPr>
        <w:t> </w:t>
      </w:r>
      <w:r>
        <w:rPr/>
        <w:t>年</w:t>
      </w:r>
      <w:r>
        <w:rPr>
          <w:spacing w:val="-53"/>
        </w:rPr>
        <w:t> </w:t>
      </w:r>
      <w:r>
        <w:rPr>
          <w:rFonts w:ascii="宋体" w:hAnsi="宋体" w:cs="宋体" w:eastAsia="宋体" w:hint="default"/>
        </w:rPr>
        <w:t>9</w:t>
      </w:r>
      <w:r>
        <w:rPr>
          <w:rFonts w:ascii="宋体" w:hAnsi="宋体" w:cs="宋体" w:eastAsia="宋体" w:hint="default"/>
          <w:spacing w:val="-55"/>
        </w:rPr>
        <w:t> </w:t>
      </w:r>
      <w:r>
        <w:rPr/>
        <w:t>月</w:t>
      </w:r>
      <w:r>
        <w:rPr>
          <w:spacing w:val="-53"/>
        </w:rPr>
        <w:t> </w:t>
      </w:r>
      <w:r>
        <w:rPr>
          <w:rFonts w:ascii="宋体" w:hAnsi="宋体" w:cs="宋体" w:eastAsia="宋体" w:hint="default"/>
        </w:rPr>
        <w:t>26</w:t>
      </w:r>
      <w:r>
        <w:rPr>
          <w:rFonts w:ascii="宋体" w:hAnsi="宋体" w:cs="宋体" w:eastAsia="宋体" w:hint="default"/>
          <w:spacing w:val="-55"/>
        </w:rPr>
        <w:t> </w:t>
      </w:r>
      <w:r>
        <w:rPr/>
        <w:t>日至</w:t>
      </w:r>
      <w:r>
        <w:rPr>
          <w:spacing w:val="-55"/>
        </w:rPr>
        <w:t> </w:t>
      </w:r>
      <w:r>
        <w:rPr>
          <w:rFonts w:ascii="宋体" w:hAnsi="宋体" w:cs="宋体" w:eastAsia="宋体" w:hint="default"/>
        </w:rPr>
        <w:t>2020</w:t>
      </w:r>
      <w:r>
        <w:rPr>
          <w:rFonts w:ascii="宋体" w:hAnsi="宋体" w:cs="宋体" w:eastAsia="宋体" w:hint="default"/>
          <w:spacing w:val="-55"/>
        </w:rPr>
        <w:t> </w:t>
      </w:r>
      <w:r>
        <w:rPr/>
        <w:t>年</w:t>
      </w:r>
      <w:r>
        <w:rPr>
          <w:spacing w:val="-53"/>
        </w:rPr>
        <w:t> </w:t>
      </w:r>
      <w:r>
        <w:rPr>
          <w:rFonts w:ascii="宋体" w:hAnsi="宋体" w:cs="宋体" w:eastAsia="宋体" w:hint="default"/>
        </w:rPr>
        <w:t>9</w:t>
      </w:r>
      <w:r>
        <w:rPr>
          <w:rFonts w:ascii="宋体" w:hAnsi="宋体" w:cs="宋体" w:eastAsia="宋体" w:hint="default"/>
          <w:spacing w:val="-54"/>
        </w:rPr>
        <w:t> </w:t>
      </w:r>
      <w:r>
        <w:rPr/>
        <w:t>月</w:t>
      </w:r>
      <w:r>
        <w:rPr>
          <w:spacing w:val="-53"/>
        </w:rPr>
        <w:t> </w:t>
      </w:r>
      <w:r>
        <w:rPr>
          <w:rFonts w:ascii="宋体" w:hAnsi="宋体" w:cs="宋体" w:eastAsia="宋体" w:hint="default"/>
        </w:rPr>
        <w:t>26</w:t>
      </w:r>
      <w:r>
        <w:rPr>
          <w:rFonts w:ascii="宋体" w:hAnsi="宋体" w:cs="宋体" w:eastAsia="宋体" w:hint="default"/>
          <w:spacing w:val="-55"/>
        </w:rPr>
        <w:t> </w:t>
      </w:r>
      <w:r>
        <w:rPr/>
        <w:t>日，借款利率为</w:t>
      </w:r>
      <w:r>
        <w:rPr>
          <w:spacing w:val="-53"/>
        </w:rPr>
        <w:t> </w:t>
      </w:r>
      <w:r>
        <w:rPr>
          <w:rFonts w:ascii="宋体" w:hAnsi="宋体" w:cs="宋体" w:eastAsia="宋体" w:hint="default"/>
        </w:rPr>
        <w:t>5.0025%</w:t>
      </w:r>
      <w:r>
        <w:rPr/>
        <w:t>，由中嘉博创作为连带责任保证人；</w:t>
      </w:r>
      <w:r>
        <w:rPr>
          <w:rFonts w:ascii="宋体" w:hAnsi="宋体" w:cs="宋体" w:eastAsia="宋体" w:hint="default"/>
        </w:rPr>
        <w:t> </w:t>
      </w:r>
    </w:p>
    <w:p>
      <w:pPr>
        <w:pStyle w:val="BodyText"/>
        <w:spacing w:line="273" w:lineRule="exact" w:before="154"/>
        <w:ind w:left="643" w:right="0"/>
        <w:jc w:val="left"/>
      </w:pPr>
      <w:r>
        <w:rPr>
          <w:rFonts w:ascii="宋体" w:hAnsi="宋体" w:cs="宋体" w:eastAsia="宋体" w:hint="default"/>
        </w:rPr>
        <w:t>2019 </w:t>
      </w:r>
      <w:r>
        <w:rPr/>
        <w:t>年 </w:t>
      </w:r>
      <w:r>
        <w:rPr>
          <w:rFonts w:ascii="宋体" w:hAnsi="宋体" w:cs="宋体" w:eastAsia="宋体" w:hint="default"/>
        </w:rPr>
        <w:t>11 </w:t>
      </w:r>
      <w:r>
        <w:rPr/>
        <w:t>月 </w:t>
      </w:r>
      <w:r>
        <w:rPr>
          <w:rFonts w:ascii="宋体" w:hAnsi="宋体" w:cs="宋体" w:eastAsia="宋体" w:hint="default"/>
        </w:rPr>
        <w:t>7 </w:t>
      </w:r>
      <w:r>
        <w:rPr>
          <w:rFonts w:ascii="宋体" w:hAnsi="宋体" w:cs="宋体" w:eastAsia="宋体" w:hint="default"/>
          <w:spacing w:val="10"/>
        </w:rPr>
        <w:t> </w:t>
      </w:r>
      <w:r>
        <w:rPr>
          <w:spacing w:val="4"/>
        </w:rPr>
        <w:t>日，长实通信与中国民生银行股份有限公司广州分行签订编号为“公借贷字第</w:t>
      </w:r>
    </w:p>
    <w:p>
      <w:pPr>
        <w:pStyle w:val="BodyText"/>
        <w:spacing w:line="237" w:lineRule="auto"/>
        <w:ind w:left="223" w:right="1071"/>
        <w:jc w:val="both"/>
      </w:pPr>
      <w:r>
        <w:rPr>
          <w:rFonts w:ascii="宋体" w:hAnsi="宋体" w:cs="宋体" w:eastAsia="宋体" w:hint="default"/>
        </w:rPr>
        <w:t>ZX1900000182570</w:t>
      </w:r>
      <w:r>
        <w:rPr>
          <w:rFonts w:ascii="宋体" w:hAnsi="宋体" w:cs="宋体" w:eastAsia="宋体" w:hint="default"/>
          <w:spacing w:val="-47"/>
        </w:rPr>
        <w:t> </w:t>
      </w:r>
      <w:r>
        <w:rPr/>
        <w:t>号”的借款合同，借款</w:t>
      </w:r>
      <w:r>
        <w:rPr>
          <w:spacing w:val="-50"/>
        </w:rPr>
        <w:t> </w:t>
      </w:r>
      <w:r>
        <w:rPr>
          <w:rFonts w:ascii="宋体" w:hAnsi="宋体" w:cs="宋体" w:eastAsia="宋体" w:hint="default"/>
        </w:rPr>
        <w:t>1,000.00</w:t>
      </w:r>
      <w:r>
        <w:rPr>
          <w:rFonts w:ascii="宋体" w:hAnsi="宋体" w:cs="宋体" w:eastAsia="宋体" w:hint="default"/>
          <w:spacing w:val="-50"/>
        </w:rPr>
        <w:t> </w:t>
      </w:r>
      <w:r>
        <w:rPr/>
        <w:t>万元，借款期为</w:t>
      </w:r>
      <w:r>
        <w:rPr>
          <w:spacing w:val="-50"/>
        </w:rPr>
        <w:t> </w:t>
      </w:r>
      <w:r>
        <w:rPr>
          <w:rFonts w:ascii="宋体" w:hAnsi="宋体" w:cs="宋体" w:eastAsia="宋体" w:hint="default"/>
        </w:rPr>
        <w:t>2019</w:t>
      </w:r>
      <w:r>
        <w:rPr>
          <w:rFonts w:ascii="宋体" w:hAnsi="宋体" w:cs="宋体" w:eastAsia="宋体" w:hint="default"/>
          <w:spacing w:val="-50"/>
        </w:rPr>
        <w:t> </w:t>
      </w:r>
      <w:r>
        <w:rPr/>
        <w:t>年</w:t>
      </w:r>
      <w:r>
        <w:rPr>
          <w:spacing w:val="-47"/>
        </w:rPr>
        <w:t> </w:t>
      </w:r>
      <w:r>
        <w:rPr>
          <w:rFonts w:ascii="宋体" w:hAnsi="宋体" w:cs="宋体" w:eastAsia="宋体" w:hint="default"/>
        </w:rPr>
        <w:t>11</w:t>
      </w:r>
      <w:r>
        <w:rPr>
          <w:rFonts w:ascii="宋体" w:hAnsi="宋体" w:cs="宋体" w:eastAsia="宋体" w:hint="default"/>
          <w:spacing w:val="-47"/>
        </w:rPr>
        <w:t> </w:t>
      </w:r>
      <w:r>
        <w:rPr/>
        <w:t>月</w:t>
      </w:r>
      <w:r>
        <w:rPr>
          <w:spacing w:val="-47"/>
        </w:rPr>
        <w:t> </w:t>
      </w:r>
      <w:r>
        <w:rPr>
          <w:rFonts w:ascii="宋体" w:hAnsi="宋体" w:cs="宋体" w:eastAsia="宋体" w:hint="default"/>
        </w:rPr>
        <w:t>7</w:t>
      </w:r>
      <w:r>
        <w:rPr>
          <w:rFonts w:ascii="宋体" w:hAnsi="宋体" w:cs="宋体" w:eastAsia="宋体" w:hint="default"/>
          <w:spacing w:val="-47"/>
        </w:rPr>
        <w:t> </w:t>
      </w:r>
      <w:r>
        <w:rPr/>
        <w:t>日至</w:t>
      </w:r>
      <w:r>
        <w:rPr>
          <w:spacing w:val="-46"/>
        </w:rPr>
        <w:t> </w:t>
      </w:r>
      <w:r>
        <w:rPr>
          <w:rFonts w:ascii="宋体" w:hAnsi="宋体" w:cs="宋体" w:eastAsia="宋体" w:hint="default"/>
        </w:rPr>
        <w:t>2020</w:t>
      </w:r>
      <w:r>
        <w:rPr>
          <w:rFonts w:ascii="宋体" w:hAnsi="宋体" w:cs="宋体" w:eastAsia="宋体" w:hint="default"/>
          <w:spacing w:val="-50"/>
        </w:rPr>
        <w:t> </w:t>
      </w:r>
      <w:r>
        <w:rPr/>
        <w:t>年</w:t>
      </w:r>
      <w:r>
        <w:rPr>
          <w:spacing w:val="-47"/>
        </w:rPr>
        <w:t> </w:t>
      </w:r>
      <w:r>
        <w:rPr>
          <w:rFonts w:ascii="宋体" w:hAnsi="宋体" w:cs="宋体" w:eastAsia="宋体" w:hint="default"/>
        </w:rPr>
        <w:t>11</w:t>
      </w:r>
      <w:r>
        <w:rPr>
          <w:rFonts w:ascii="宋体" w:hAnsi="宋体" w:cs="宋体" w:eastAsia="宋体" w:hint="default"/>
          <w:spacing w:val="-50"/>
        </w:rPr>
        <w:t> </w:t>
      </w:r>
      <w:r>
        <w:rPr/>
        <w:t>月</w:t>
      </w:r>
      <w:r>
        <w:rPr>
          <w:spacing w:val="-50"/>
        </w:rPr>
        <w:t> </w:t>
      </w:r>
      <w:r>
        <w:rPr>
          <w:rFonts w:ascii="宋体" w:hAnsi="宋体" w:cs="宋体" w:eastAsia="宋体" w:hint="default"/>
        </w:rPr>
        <w:t>6</w:t>
      </w:r>
      <w:r>
        <w:rPr>
          <w:rFonts w:ascii="宋体" w:hAnsi="宋体" w:cs="宋体" w:eastAsia="宋体" w:hint="default"/>
          <w:w w:val="100"/>
        </w:rPr>
        <w:t> </w:t>
      </w:r>
      <w:r>
        <w:rPr/>
        <w:t>日，借款利率为</w:t>
      </w:r>
      <w:r>
        <w:rPr>
          <w:spacing w:val="-50"/>
        </w:rPr>
        <w:t> </w:t>
      </w:r>
      <w:r>
        <w:rPr>
          <w:rFonts w:ascii="宋体" w:hAnsi="宋体" w:cs="宋体" w:eastAsia="宋体" w:hint="default"/>
        </w:rPr>
        <w:t>4.80%</w:t>
      </w:r>
      <w:r>
        <w:rPr/>
        <w:t>，</w:t>
      </w:r>
      <w:r>
        <w:rPr>
          <w:rFonts w:ascii="宋体" w:hAnsi="宋体" w:cs="宋体" w:eastAsia="宋体" w:hint="default"/>
        </w:rPr>
        <w:t>2019</w:t>
      </w:r>
      <w:r>
        <w:rPr>
          <w:rFonts w:ascii="宋体" w:hAnsi="宋体" w:cs="宋体" w:eastAsia="宋体" w:hint="default"/>
          <w:spacing w:val="-52"/>
        </w:rPr>
        <w:t> </w:t>
      </w:r>
      <w:r>
        <w:rPr/>
        <w:t>年</w:t>
      </w:r>
      <w:r>
        <w:rPr>
          <w:spacing w:val="-50"/>
        </w:rPr>
        <w:t> </w:t>
      </w:r>
      <w:r>
        <w:rPr>
          <w:rFonts w:ascii="宋体" w:hAnsi="宋体" w:cs="宋体" w:eastAsia="宋体" w:hint="default"/>
        </w:rPr>
        <w:t>11</w:t>
      </w:r>
      <w:r>
        <w:rPr>
          <w:rFonts w:ascii="宋体" w:hAnsi="宋体" w:cs="宋体" w:eastAsia="宋体" w:hint="default"/>
          <w:spacing w:val="-5"/>
        </w:rPr>
        <w:t> </w:t>
      </w:r>
      <w:r>
        <w:rPr/>
        <w:t>月</w:t>
      </w:r>
      <w:r>
        <w:rPr>
          <w:spacing w:val="-50"/>
        </w:rPr>
        <w:t> </w:t>
      </w:r>
      <w:r>
        <w:rPr>
          <w:rFonts w:ascii="宋体" w:hAnsi="宋体" w:cs="宋体" w:eastAsia="宋体" w:hint="default"/>
        </w:rPr>
        <w:t>12</w:t>
      </w:r>
      <w:r>
        <w:rPr>
          <w:rFonts w:ascii="宋体" w:hAnsi="宋体" w:cs="宋体" w:eastAsia="宋体" w:hint="default"/>
          <w:spacing w:val="-50"/>
        </w:rPr>
        <w:t> </w:t>
      </w:r>
      <w:r>
        <w:rPr/>
        <w:t>日，长实通信与中国民生银行股份有限公司广州分行签订编号</w:t>
      </w:r>
      <w:r>
        <w:rPr>
          <w:w w:val="100"/>
        </w:rPr>
        <w:t> </w:t>
      </w:r>
      <w:r>
        <w:rPr>
          <w:spacing w:val="-3"/>
        </w:rPr>
        <w:t>为“公借贷字第</w:t>
      </w:r>
      <w:r>
        <w:rPr>
          <w:spacing w:val="-50"/>
        </w:rPr>
        <w:t> </w:t>
      </w:r>
      <w:r>
        <w:rPr>
          <w:rFonts w:ascii="宋体" w:hAnsi="宋体" w:cs="宋体" w:eastAsia="宋体" w:hint="default"/>
        </w:rPr>
        <w:t>ZX19000000183563</w:t>
      </w:r>
      <w:r>
        <w:rPr>
          <w:rFonts w:ascii="宋体" w:hAnsi="宋体" w:cs="宋体" w:eastAsia="宋体" w:hint="default"/>
          <w:spacing w:val="-52"/>
        </w:rPr>
        <w:t> </w:t>
      </w:r>
      <w:r>
        <w:rPr>
          <w:spacing w:val="-3"/>
        </w:rPr>
        <w:t>号”的借款合同，借款</w:t>
      </w:r>
      <w:r>
        <w:rPr>
          <w:spacing w:val="-50"/>
        </w:rPr>
        <w:t> </w:t>
      </w:r>
      <w:r>
        <w:rPr>
          <w:rFonts w:ascii="宋体" w:hAnsi="宋体" w:cs="宋体" w:eastAsia="宋体" w:hint="default"/>
        </w:rPr>
        <w:t>1,000.00</w:t>
      </w:r>
      <w:r>
        <w:rPr>
          <w:rFonts w:ascii="宋体" w:hAnsi="宋体" w:cs="宋体" w:eastAsia="宋体" w:hint="default"/>
          <w:spacing w:val="-50"/>
        </w:rPr>
        <w:t> </w:t>
      </w:r>
      <w:r>
        <w:rPr>
          <w:spacing w:val="-3"/>
        </w:rPr>
        <w:t>万元，借款期为</w:t>
      </w:r>
      <w:r>
        <w:rPr>
          <w:spacing w:val="-50"/>
        </w:rPr>
        <w:t> </w:t>
      </w:r>
      <w:r>
        <w:rPr>
          <w:rFonts w:ascii="宋体" w:hAnsi="宋体" w:cs="宋体" w:eastAsia="宋体" w:hint="default"/>
        </w:rPr>
        <w:t>2019</w:t>
      </w:r>
      <w:r>
        <w:rPr>
          <w:rFonts w:ascii="宋体" w:hAnsi="宋体" w:cs="宋体" w:eastAsia="宋体" w:hint="default"/>
          <w:spacing w:val="-49"/>
        </w:rPr>
        <w:t> </w:t>
      </w:r>
      <w:r>
        <w:rPr/>
        <w:t>年</w:t>
      </w:r>
      <w:r>
        <w:rPr>
          <w:spacing w:val="-52"/>
        </w:rPr>
        <w:t> </w:t>
      </w:r>
      <w:r>
        <w:rPr>
          <w:rFonts w:ascii="宋体" w:hAnsi="宋体" w:cs="宋体" w:eastAsia="宋体" w:hint="default"/>
        </w:rPr>
        <w:t>11</w:t>
      </w:r>
      <w:r>
        <w:rPr>
          <w:rFonts w:ascii="宋体" w:hAnsi="宋体" w:cs="宋体" w:eastAsia="宋体" w:hint="default"/>
          <w:spacing w:val="-52"/>
        </w:rPr>
        <w:t> </w:t>
      </w:r>
      <w:r>
        <w:rPr/>
        <w:t>月</w:t>
      </w:r>
      <w:r>
        <w:rPr>
          <w:spacing w:val="-50"/>
        </w:rPr>
        <w:t> </w:t>
      </w:r>
      <w:r>
        <w:rPr>
          <w:rFonts w:ascii="宋体" w:hAnsi="宋体" w:cs="宋体" w:eastAsia="宋体" w:hint="default"/>
        </w:rPr>
        <w:t>12</w:t>
      </w:r>
      <w:r>
        <w:rPr>
          <w:rFonts w:ascii="宋体" w:hAnsi="宋体" w:cs="宋体" w:eastAsia="宋体" w:hint="default"/>
          <w:spacing w:val="-52"/>
        </w:rPr>
        <w:t> </w:t>
      </w:r>
      <w:r>
        <w:rPr/>
        <w:t>日</w:t>
      </w:r>
    </w:p>
    <w:p>
      <w:pPr>
        <w:spacing w:after="0" w:line="237" w:lineRule="auto"/>
        <w:jc w:val="both"/>
        <w:sectPr>
          <w:pgSz w:w="11910" w:h="16840"/>
          <w:pgMar w:header="880" w:footer="975" w:top="1100" w:bottom="1160" w:left="1080" w:right="0"/>
        </w:sectPr>
      </w:pPr>
    </w:p>
    <w:p>
      <w:pPr>
        <w:spacing w:line="240" w:lineRule="auto" w:before="3"/>
        <w:rPr>
          <w:rFonts w:ascii="宋体" w:hAnsi="宋体" w:cs="宋体" w:eastAsia="宋体" w:hint="default"/>
          <w:sz w:val="19"/>
          <w:szCs w:val="19"/>
        </w:rPr>
      </w:pPr>
    </w:p>
    <w:p>
      <w:pPr>
        <w:pStyle w:val="BodyText"/>
        <w:spacing w:line="240" w:lineRule="auto" w:before="36"/>
        <w:ind w:left="143" w:right="0"/>
        <w:jc w:val="both"/>
        <w:rPr>
          <w:rFonts w:ascii="宋体" w:hAnsi="宋体" w:cs="宋体" w:eastAsia="宋体" w:hint="default"/>
        </w:rPr>
      </w:pPr>
      <w:r>
        <w:rPr/>
        <w:t>至</w:t>
      </w:r>
      <w:r>
        <w:rPr>
          <w:spacing w:val="-53"/>
        </w:rPr>
        <w:t> </w:t>
      </w:r>
      <w:r>
        <w:rPr>
          <w:rFonts w:ascii="宋体" w:hAnsi="宋体" w:cs="宋体" w:eastAsia="宋体" w:hint="default"/>
        </w:rPr>
        <w:t>2020</w:t>
      </w:r>
      <w:r>
        <w:rPr>
          <w:rFonts w:ascii="宋体" w:hAnsi="宋体" w:cs="宋体" w:eastAsia="宋体" w:hint="default"/>
          <w:spacing w:val="-54"/>
        </w:rPr>
        <w:t> </w:t>
      </w:r>
      <w:r>
        <w:rPr/>
        <w:t>年</w:t>
      </w:r>
      <w:r>
        <w:rPr>
          <w:spacing w:val="-56"/>
        </w:rPr>
        <w:t> </w:t>
      </w:r>
      <w:r>
        <w:rPr>
          <w:rFonts w:ascii="宋体" w:hAnsi="宋体" w:cs="宋体" w:eastAsia="宋体" w:hint="default"/>
        </w:rPr>
        <w:t>11</w:t>
      </w:r>
      <w:r>
        <w:rPr>
          <w:rFonts w:ascii="宋体" w:hAnsi="宋体" w:cs="宋体" w:eastAsia="宋体" w:hint="default"/>
          <w:spacing w:val="-56"/>
        </w:rPr>
        <w:t> </w:t>
      </w:r>
      <w:r>
        <w:rPr/>
        <w:t>月</w:t>
      </w:r>
      <w:r>
        <w:rPr>
          <w:spacing w:val="-54"/>
        </w:rPr>
        <w:t> </w:t>
      </w:r>
      <w:r>
        <w:rPr>
          <w:rFonts w:ascii="宋体" w:hAnsi="宋体" w:cs="宋体" w:eastAsia="宋体" w:hint="default"/>
        </w:rPr>
        <w:t>11</w:t>
      </w:r>
      <w:r>
        <w:rPr>
          <w:rFonts w:ascii="宋体" w:hAnsi="宋体" w:cs="宋体" w:eastAsia="宋体" w:hint="default"/>
          <w:spacing w:val="-56"/>
        </w:rPr>
        <w:t> </w:t>
      </w:r>
      <w:r>
        <w:rPr/>
        <w:t>日，借款利率为</w:t>
      </w:r>
      <w:r>
        <w:rPr>
          <w:spacing w:val="-53"/>
        </w:rPr>
        <w:t> </w:t>
      </w:r>
      <w:r>
        <w:rPr>
          <w:rFonts w:ascii="宋体" w:hAnsi="宋体" w:cs="宋体" w:eastAsia="宋体" w:hint="default"/>
        </w:rPr>
        <w:t>4.80%</w:t>
      </w:r>
      <w:r>
        <w:rPr/>
        <w:t>，上述借款由中嘉博创作为连带责任保证人。</w:t>
      </w:r>
      <w:r>
        <w:rPr>
          <w:rFonts w:ascii="宋体" w:hAnsi="宋体" w:cs="宋体" w:eastAsia="宋体" w:hint="default"/>
        </w:rPr>
        <w:t> </w:t>
      </w:r>
    </w:p>
    <w:p>
      <w:pPr>
        <w:pStyle w:val="BodyText"/>
        <w:spacing w:line="274" w:lineRule="exact" w:before="152"/>
        <w:ind w:left="563" w:right="703"/>
        <w:jc w:val="left"/>
        <w:rPr>
          <w:rFonts w:ascii="宋体" w:hAnsi="宋体" w:cs="宋体" w:eastAsia="宋体" w:hint="default"/>
        </w:rPr>
      </w:pPr>
      <w:r>
        <w:rPr>
          <w:rFonts w:ascii="宋体" w:hAnsi="宋体" w:cs="宋体" w:eastAsia="宋体" w:hint="default"/>
        </w:rPr>
        <w:t>2019</w:t>
      </w:r>
      <w:r>
        <w:rPr>
          <w:rFonts w:ascii="宋体" w:hAnsi="宋体" w:cs="宋体" w:eastAsia="宋体" w:hint="default"/>
          <w:spacing w:val="-29"/>
        </w:rPr>
        <w:t> </w:t>
      </w:r>
      <w:r>
        <w:rPr/>
        <w:t>年</w:t>
      </w:r>
      <w:r>
        <w:rPr>
          <w:spacing w:val="-29"/>
        </w:rPr>
        <w:t> </w:t>
      </w:r>
      <w:r>
        <w:rPr>
          <w:rFonts w:ascii="宋体" w:hAnsi="宋体" w:cs="宋体" w:eastAsia="宋体" w:hint="default"/>
        </w:rPr>
        <w:t>8</w:t>
      </w:r>
      <w:r>
        <w:rPr>
          <w:rFonts w:ascii="宋体" w:hAnsi="宋体" w:cs="宋体" w:eastAsia="宋体" w:hint="default"/>
          <w:spacing w:val="-29"/>
        </w:rPr>
        <w:t> </w:t>
      </w:r>
      <w:r>
        <w:rPr/>
        <w:t>月</w:t>
      </w:r>
      <w:r>
        <w:rPr>
          <w:spacing w:val="-26"/>
        </w:rPr>
        <w:t> </w:t>
      </w:r>
      <w:r>
        <w:rPr>
          <w:rFonts w:ascii="宋体" w:hAnsi="宋体" w:cs="宋体" w:eastAsia="宋体" w:hint="default"/>
        </w:rPr>
        <w:t>30</w:t>
      </w:r>
      <w:r>
        <w:rPr>
          <w:rFonts w:ascii="宋体" w:hAnsi="宋体" w:cs="宋体" w:eastAsia="宋体" w:hint="default"/>
          <w:spacing w:val="-29"/>
        </w:rPr>
        <w:t> </w:t>
      </w:r>
      <w:r>
        <w:rPr/>
        <w:t>日，长实通信与中国工商银行股份有限公司清远分行签订编号为“清远分行</w:t>
      </w:r>
      <w:r>
        <w:rPr>
          <w:rFonts w:ascii="宋体" w:hAnsi="宋体" w:cs="宋体" w:eastAsia="宋体" w:hint="default"/>
        </w:rPr>
        <w:t>[2019]</w:t>
      </w:r>
    </w:p>
    <w:p>
      <w:pPr>
        <w:pStyle w:val="BodyText"/>
        <w:spacing w:line="272" w:lineRule="exact"/>
        <w:ind w:left="143" w:right="0"/>
        <w:jc w:val="both"/>
      </w:pPr>
      <w:r>
        <w:rPr/>
        <w:t>借字第</w:t>
      </w:r>
      <w:r>
        <w:rPr>
          <w:spacing w:val="-48"/>
        </w:rPr>
        <w:t> </w:t>
      </w:r>
      <w:r>
        <w:rPr>
          <w:rFonts w:ascii="宋体" w:hAnsi="宋体" w:cs="宋体" w:eastAsia="宋体" w:hint="default"/>
        </w:rPr>
        <w:t>024</w:t>
      </w:r>
      <w:r>
        <w:rPr>
          <w:rFonts w:ascii="宋体" w:hAnsi="宋体" w:cs="宋体" w:eastAsia="宋体" w:hint="default"/>
          <w:spacing w:val="-49"/>
        </w:rPr>
        <w:t> </w:t>
      </w:r>
      <w:r>
        <w:rPr/>
        <w:t>号”的借款合同，借款</w:t>
      </w:r>
      <w:r>
        <w:rPr>
          <w:spacing w:val="-49"/>
        </w:rPr>
        <w:t> </w:t>
      </w:r>
      <w:r>
        <w:rPr>
          <w:rFonts w:ascii="宋体" w:hAnsi="宋体" w:cs="宋体" w:eastAsia="宋体" w:hint="default"/>
        </w:rPr>
        <w:t>1,000.00</w:t>
      </w:r>
      <w:r>
        <w:rPr>
          <w:rFonts w:ascii="宋体" w:hAnsi="宋体" w:cs="宋体" w:eastAsia="宋体" w:hint="default"/>
          <w:spacing w:val="-51"/>
        </w:rPr>
        <w:t> </w:t>
      </w:r>
      <w:r>
        <w:rPr/>
        <w:t>万元借款期为</w:t>
      </w:r>
      <w:r>
        <w:rPr>
          <w:spacing w:val="-49"/>
        </w:rPr>
        <w:t> </w:t>
      </w:r>
      <w:r>
        <w:rPr>
          <w:rFonts w:ascii="宋体" w:hAnsi="宋体" w:cs="宋体" w:eastAsia="宋体" w:hint="default"/>
        </w:rPr>
        <w:t>2019</w:t>
      </w:r>
      <w:r>
        <w:rPr>
          <w:rFonts w:ascii="宋体" w:hAnsi="宋体" w:cs="宋体" w:eastAsia="宋体" w:hint="default"/>
          <w:spacing w:val="-49"/>
        </w:rPr>
        <w:t> </w:t>
      </w:r>
      <w:r>
        <w:rPr/>
        <w:t>年</w:t>
      </w:r>
      <w:r>
        <w:rPr>
          <w:spacing w:val="-51"/>
        </w:rPr>
        <w:t> </w:t>
      </w:r>
      <w:r>
        <w:rPr>
          <w:rFonts w:ascii="宋体" w:hAnsi="宋体" w:cs="宋体" w:eastAsia="宋体" w:hint="default"/>
        </w:rPr>
        <w:t>9</w:t>
      </w:r>
      <w:r>
        <w:rPr>
          <w:rFonts w:ascii="宋体" w:hAnsi="宋体" w:cs="宋体" w:eastAsia="宋体" w:hint="default"/>
          <w:spacing w:val="-51"/>
        </w:rPr>
        <w:t> </w:t>
      </w:r>
      <w:r>
        <w:rPr/>
        <w:t>月</w:t>
      </w:r>
      <w:r>
        <w:rPr>
          <w:spacing w:val="-49"/>
        </w:rPr>
        <w:t> </w:t>
      </w:r>
      <w:r>
        <w:rPr>
          <w:rFonts w:ascii="宋体" w:hAnsi="宋体" w:cs="宋体" w:eastAsia="宋体" w:hint="default"/>
        </w:rPr>
        <w:t>2</w:t>
      </w:r>
      <w:r>
        <w:rPr>
          <w:rFonts w:ascii="宋体" w:hAnsi="宋体" w:cs="宋体" w:eastAsia="宋体" w:hint="default"/>
          <w:spacing w:val="-49"/>
        </w:rPr>
        <w:t> </w:t>
      </w:r>
      <w:r>
        <w:rPr/>
        <w:t>日至</w:t>
      </w:r>
      <w:r>
        <w:rPr>
          <w:spacing w:val="-49"/>
        </w:rPr>
        <w:t> </w:t>
      </w:r>
      <w:r>
        <w:rPr>
          <w:rFonts w:ascii="宋体" w:hAnsi="宋体" w:cs="宋体" w:eastAsia="宋体" w:hint="default"/>
        </w:rPr>
        <w:t>2020</w:t>
      </w:r>
      <w:r>
        <w:rPr>
          <w:rFonts w:ascii="宋体" w:hAnsi="宋体" w:cs="宋体" w:eastAsia="宋体" w:hint="default"/>
          <w:spacing w:val="-49"/>
        </w:rPr>
        <w:t> </w:t>
      </w:r>
      <w:r>
        <w:rPr/>
        <w:t>年</w:t>
      </w:r>
      <w:r>
        <w:rPr>
          <w:spacing w:val="-51"/>
        </w:rPr>
        <w:t> </w:t>
      </w:r>
      <w:r>
        <w:rPr>
          <w:rFonts w:ascii="宋体" w:hAnsi="宋体" w:cs="宋体" w:eastAsia="宋体" w:hint="default"/>
        </w:rPr>
        <w:t>8</w:t>
      </w:r>
      <w:r>
        <w:rPr>
          <w:rFonts w:ascii="宋体" w:hAnsi="宋体" w:cs="宋体" w:eastAsia="宋体" w:hint="default"/>
          <w:spacing w:val="-51"/>
        </w:rPr>
        <w:t> </w:t>
      </w:r>
      <w:r>
        <w:rPr/>
        <w:t>月</w:t>
      </w:r>
      <w:r>
        <w:rPr>
          <w:spacing w:val="-49"/>
        </w:rPr>
        <w:t> </w:t>
      </w:r>
      <w:r>
        <w:rPr>
          <w:rFonts w:ascii="宋体" w:hAnsi="宋体" w:cs="宋体" w:eastAsia="宋体" w:hint="default"/>
        </w:rPr>
        <w:t>27</w:t>
      </w:r>
      <w:r>
        <w:rPr>
          <w:rFonts w:ascii="宋体" w:hAnsi="宋体" w:cs="宋体" w:eastAsia="宋体" w:hint="default"/>
          <w:spacing w:val="-51"/>
        </w:rPr>
        <w:t> </w:t>
      </w:r>
      <w:r>
        <w:rPr/>
        <w:t>日，借款</w:t>
      </w:r>
    </w:p>
    <w:p>
      <w:pPr>
        <w:pStyle w:val="BodyText"/>
        <w:spacing w:line="272" w:lineRule="exact"/>
        <w:ind w:left="143" w:right="0"/>
        <w:jc w:val="both"/>
        <w:rPr>
          <w:rFonts w:ascii="宋体" w:hAnsi="宋体" w:cs="宋体" w:eastAsia="宋体" w:hint="default"/>
        </w:rPr>
      </w:pPr>
      <w:r>
        <w:rPr>
          <w:rFonts w:ascii="宋体" w:hAnsi="宋体" w:cs="宋体" w:eastAsia="宋体" w:hint="default"/>
        </w:rPr>
        <w:t>2,000.00</w:t>
      </w:r>
      <w:r>
        <w:rPr>
          <w:rFonts w:ascii="宋体" w:hAnsi="宋体" w:cs="宋体" w:eastAsia="宋体" w:hint="default"/>
          <w:spacing w:val="-43"/>
        </w:rPr>
        <w:t> </w:t>
      </w:r>
      <w:r>
        <w:rPr/>
        <w:t>万元借款期为</w:t>
      </w:r>
      <w:r>
        <w:rPr>
          <w:spacing w:val="-43"/>
        </w:rPr>
        <w:t> </w:t>
      </w:r>
      <w:r>
        <w:rPr>
          <w:rFonts w:ascii="宋体" w:hAnsi="宋体" w:cs="宋体" w:eastAsia="宋体" w:hint="default"/>
        </w:rPr>
        <w:t>2019</w:t>
      </w:r>
      <w:r>
        <w:rPr>
          <w:rFonts w:ascii="宋体" w:hAnsi="宋体" w:cs="宋体" w:eastAsia="宋体" w:hint="default"/>
          <w:spacing w:val="-43"/>
        </w:rPr>
        <w:t> </w:t>
      </w:r>
      <w:r>
        <w:rPr/>
        <w:t>年</w:t>
      </w:r>
      <w:r>
        <w:rPr>
          <w:spacing w:val="-43"/>
        </w:rPr>
        <w:t> </w:t>
      </w:r>
      <w:r>
        <w:rPr>
          <w:rFonts w:ascii="宋体" w:hAnsi="宋体" w:cs="宋体" w:eastAsia="宋体" w:hint="default"/>
        </w:rPr>
        <w:t>9</w:t>
      </w:r>
      <w:r>
        <w:rPr>
          <w:rFonts w:ascii="宋体" w:hAnsi="宋体" w:cs="宋体" w:eastAsia="宋体" w:hint="default"/>
          <w:spacing w:val="-45"/>
        </w:rPr>
        <w:t> </w:t>
      </w:r>
      <w:r>
        <w:rPr/>
        <w:t>月</w:t>
      </w:r>
      <w:r>
        <w:rPr>
          <w:spacing w:val="-43"/>
        </w:rPr>
        <w:t> </w:t>
      </w:r>
      <w:r>
        <w:rPr>
          <w:rFonts w:ascii="宋体" w:hAnsi="宋体" w:cs="宋体" w:eastAsia="宋体" w:hint="default"/>
        </w:rPr>
        <w:t>3</w:t>
      </w:r>
      <w:r>
        <w:rPr>
          <w:rFonts w:ascii="宋体" w:hAnsi="宋体" w:cs="宋体" w:eastAsia="宋体" w:hint="default"/>
          <w:spacing w:val="-43"/>
        </w:rPr>
        <w:t> </w:t>
      </w:r>
      <w:r>
        <w:rPr/>
        <w:t>日至</w:t>
      </w:r>
      <w:r>
        <w:rPr>
          <w:spacing w:val="-43"/>
        </w:rPr>
        <w:t> </w:t>
      </w:r>
      <w:r>
        <w:rPr>
          <w:rFonts w:ascii="宋体" w:hAnsi="宋体" w:cs="宋体" w:eastAsia="宋体" w:hint="default"/>
        </w:rPr>
        <w:t>2020</w:t>
      </w:r>
      <w:r>
        <w:rPr>
          <w:rFonts w:ascii="宋体" w:hAnsi="宋体" w:cs="宋体" w:eastAsia="宋体" w:hint="default"/>
          <w:spacing w:val="-43"/>
        </w:rPr>
        <w:t> </w:t>
      </w:r>
      <w:r>
        <w:rPr/>
        <w:t>年</w:t>
      </w:r>
      <w:r>
        <w:rPr>
          <w:spacing w:val="-45"/>
        </w:rPr>
        <w:t> </w:t>
      </w:r>
      <w:r>
        <w:rPr>
          <w:rFonts w:ascii="宋体" w:hAnsi="宋体" w:cs="宋体" w:eastAsia="宋体" w:hint="default"/>
        </w:rPr>
        <w:t>9</w:t>
      </w:r>
      <w:r>
        <w:rPr>
          <w:rFonts w:ascii="宋体" w:hAnsi="宋体" w:cs="宋体" w:eastAsia="宋体" w:hint="default"/>
          <w:spacing w:val="-43"/>
        </w:rPr>
        <w:t> </w:t>
      </w:r>
      <w:r>
        <w:rPr/>
        <w:t>月</w:t>
      </w:r>
      <w:r>
        <w:rPr>
          <w:spacing w:val="-43"/>
        </w:rPr>
        <w:t> </w:t>
      </w:r>
      <w:r>
        <w:rPr>
          <w:rFonts w:ascii="宋体" w:hAnsi="宋体" w:cs="宋体" w:eastAsia="宋体" w:hint="default"/>
        </w:rPr>
        <w:t>2</w:t>
      </w:r>
      <w:r>
        <w:rPr>
          <w:rFonts w:ascii="宋体" w:hAnsi="宋体" w:cs="宋体" w:eastAsia="宋体" w:hint="default"/>
          <w:spacing w:val="-43"/>
        </w:rPr>
        <w:t> </w:t>
      </w:r>
      <w:r>
        <w:rPr/>
        <w:t>日，借款利率为</w:t>
      </w:r>
      <w:r>
        <w:rPr>
          <w:spacing w:val="-46"/>
        </w:rPr>
        <w:t> </w:t>
      </w:r>
      <w:r>
        <w:rPr>
          <w:rFonts w:ascii="宋体" w:hAnsi="宋体" w:cs="宋体" w:eastAsia="宋体" w:hint="default"/>
        </w:rPr>
        <w:t>5.00250%</w:t>
      </w:r>
      <w:r>
        <w:rPr/>
        <w:t>，</w:t>
      </w:r>
      <w:r>
        <w:rPr>
          <w:rFonts w:ascii="宋体" w:hAnsi="宋体" w:cs="宋体" w:eastAsia="宋体" w:hint="default"/>
        </w:rPr>
        <w:t>2019</w:t>
      </w:r>
      <w:r>
        <w:rPr>
          <w:rFonts w:ascii="宋体" w:hAnsi="宋体" w:cs="宋体" w:eastAsia="宋体" w:hint="default"/>
          <w:spacing w:val="-43"/>
        </w:rPr>
        <w:t> </w:t>
      </w:r>
      <w:r>
        <w:rPr/>
        <w:t>年</w:t>
      </w:r>
      <w:r>
        <w:rPr>
          <w:spacing w:val="-43"/>
        </w:rPr>
        <w:t> </w:t>
      </w:r>
      <w:r>
        <w:rPr>
          <w:rFonts w:ascii="宋体" w:hAnsi="宋体" w:cs="宋体" w:eastAsia="宋体" w:hint="default"/>
        </w:rPr>
        <w:t>11</w:t>
      </w:r>
      <w:r>
        <w:rPr>
          <w:rFonts w:ascii="宋体" w:hAnsi="宋体" w:cs="宋体" w:eastAsia="宋体" w:hint="default"/>
          <w:spacing w:val="-43"/>
        </w:rPr>
        <w:t> </w:t>
      </w:r>
      <w:r>
        <w:rPr/>
        <w:t>月</w:t>
      </w:r>
      <w:r>
        <w:rPr>
          <w:spacing w:val="-43"/>
        </w:rPr>
        <w:t> </w:t>
      </w:r>
      <w:r>
        <w:rPr>
          <w:rFonts w:ascii="宋体" w:hAnsi="宋体" w:cs="宋体" w:eastAsia="宋体" w:hint="default"/>
          <w:spacing w:val="-3"/>
        </w:rPr>
        <w:t>29</w:t>
      </w:r>
      <w:r>
        <w:rPr>
          <w:rFonts w:ascii="宋体" w:hAnsi="宋体" w:cs="宋体" w:eastAsia="宋体" w:hint="default"/>
        </w:rPr>
      </w:r>
    </w:p>
    <w:p>
      <w:pPr>
        <w:pStyle w:val="BodyText"/>
        <w:spacing w:line="272" w:lineRule="exact"/>
        <w:ind w:left="143" w:right="0"/>
        <w:jc w:val="both"/>
      </w:pPr>
      <w:r>
        <w:rPr/>
        <w:t>日，长实通信与中国工商银行股份有限公司清远分行签订编号为“清远分行</w:t>
      </w:r>
      <w:r>
        <w:rPr>
          <w:rFonts w:ascii="宋体" w:hAnsi="宋体" w:cs="宋体" w:eastAsia="宋体" w:hint="default"/>
        </w:rPr>
        <w:t>[2019]</w:t>
      </w:r>
      <w:r>
        <w:rPr/>
        <w:t>借字第 </w:t>
      </w:r>
      <w:r>
        <w:rPr>
          <w:rFonts w:ascii="宋体" w:hAnsi="宋体" w:cs="宋体" w:eastAsia="宋体" w:hint="default"/>
        </w:rPr>
        <w:t>038</w:t>
      </w:r>
      <w:r>
        <w:rPr>
          <w:rFonts w:ascii="宋体" w:hAnsi="宋体" w:cs="宋体" w:eastAsia="宋体" w:hint="default"/>
          <w:spacing w:val="-41"/>
        </w:rPr>
        <w:t> </w:t>
      </w:r>
      <w:r>
        <w:rPr/>
        <w:t>号”的借</w:t>
      </w:r>
    </w:p>
    <w:p>
      <w:pPr>
        <w:pStyle w:val="BodyText"/>
        <w:spacing w:line="240" w:lineRule="auto"/>
        <w:ind w:left="143" w:right="703"/>
        <w:jc w:val="left"/>
        <w:rPr>
          <w:rFonts w:ascii="宋体" w:hAnsi="宋体" w:cs="宋体" w:eastAsia="宋体" w:hint="default"/>
        </w:rPr>
      </w:pPr>
      <w:r>
        <w:rPr/>
        <w:t>款合同，借款</w:t>
      </w:r>
      <w:r>
        <w:rPr>
          <w:spacing w:val="-53"/>
        </w:rPr>
        <w:t> </w:t>
      </w:r>
      <w:r>
        <w:rPr>
          <w:rFonts w:ascii="宋体" w:hAnsi="宋体" w:cs="宋体" w:eastAsia="宋体" w:hint="default"/>
        </w:rPr>
        <w:t>2,000.00</w:t>
      </w:r>
      <w:r>
        <w:rPr>
          <w:rFonts w:ascii="宋体" w:hAnsi="宋体" w:cs="宋体" w:eastAsia="宋体" w:hint="default"/>
          <w:spacing w:val="-51"/>
        </w:rPr>
        <w:t> </w:t>
      </w:r>
      <w:r>
        <w:rPr/>
        <w:t>万元，借款期为</w:t>
      </w:r>
      <w:r>
        <w:rPr>
          <w:spacing w:val="-53"/>
        </w:rPr>
        <w:t> </w:t>
      </w:r>
      <w:r>
        <w:rPr>
          <w:rFonts w:ascii="宋体" w:hAnsi="宋体" w:cs="宋体" w:eastAsia="宋体" w:hint="default"/>
        </w:rPr>
        <w:t>2019</w:t>
      </w:r>
      <w:r>
        <w:rPr>
          <w:rFonts w:ascii="宋体" w:hAnsi="宋体" w:cs="宋体" w:eastAsia="宋体" w:hint="default"/>
          <w:spacing w:val="-54"/>
        </w:rPr>
        <w:t> </w:t>
      </w:r>
      <w:r>
        <w:rPr/>
        <w:t>年</w:t>
      </w:r>
      <w:r>
        <w:rPr>
          <w:spacing w:val="-51"/>
        </w:rPr>
        <w:t> </w:t>
      </w:r>
      <w:r>
        <w:rPr>
          <w:rFonts w:ascii="宋体" w:hAnsi="宋体" w:cs="宋体" w:eastAsia="宋体" w:hint="default"/>
        </w:rPr>
        <w:t>12</w:t>
      </w:r>
      <w:r>
        <w:rPr>
          <w:rFonts w:ascii="宋体" w:hAnsi="宋体" w:cs="宋体" w:eastAsia="宋体" w:hint="default"/>
          <w:spacing w:val="-54"/>
        </w:rPr>
        <w:t> </w:t>
      </w:r>
      <w:r>
        <w:rPr/>
        <w:t>月</w:t>
      </w:r>
      <w:r>
        <w:rPr>
          <w:spacing w:val="-54"/>
        </w:rPr>
        <w:t> </w:t>
      </w:r>
      <w:r>
        <w:rPr>
          <w:rFonts w:ascii="宋体" w:hAnsi="宋体" w:cs="宋体" w:eastAsia="宋体" w:hint="default"/>
        </w:rPr>
        <w:t>5</w:t>
      </w:r>
      <w:r>
        <w:rPr>
          <w:rFonts w:ascii="宋体" w:hAnsi="宋体" w:cs="宋体" w:eastAsia="宋体" w:hint="default"/>
          <w:spacing w:val="-51"/>
        </w:rPr>
        <w:t> </w:t>
      </w:r>
      <w:r>
        <w:rPr/>
        <w:t>日至</w:t>
      </w:r>
      <w:r>
        <w:rPr>
          <w:spacing w:val="-51"/>
        </w:rPr>
        <w:t> </w:t>
      </w:r>
      <w:r>
        <w:rPr>
          <w:rFonts w:ascii="宋体" w:hAnsi="宋体" w:cs="宋体" w:eastAsia="宋体" w:hint="default"/>
        </w:rPr>
        <w:t>2020</w:t>
      </w:r>
      <w:r>
        <w:rPr>
          <w:rFonts w:ascii="宋体" w:hAnsi="宋体" w:cs="宋体" w:eastAsia="宋体" w:hint="default"/>
          <w:spacing w:val="-54"/>
        </w:rPr>
        <w:t> </w:t>
      </w:r>
      <w:r>
        <w:rPr/>
        <w:t>年</w:t>
      </w:r>
      <w:r>
        <w:rPr>
          <w:spacing w:val="-51"/>
        </w:rPr>
        <w:t> </w:t>
      </w:r>
      <w:r>
        <w:rPr>
          <w:rFonts w:ascii="宋体" w:hAnsi="宋体" w:cs="宋体" w:eastAsia="宋体" w:hint="default"/>
        </w:rPr>
        <w:t>11</w:t>
      </w:r>
      <w:r>
        <w:rPr>
          <w:rFonts w:ascii="宋体" w:hAnsi="宋体" w:cs="宋体" w:eastAsia="宋体" w:hint="default"/>
          <w:spacing w:val="-54"/>
        </w:rPr>
        <w:t> </w:t>
      </w:r>
      <w:r>
        <w:rPr/>
        <w:t>月</w:t>
      </w:r>
      <w:r>
        <w:rPr>
          <w:spacing w:val="-51"/>
        </w:rPr>
        <w:t> </w:t>
      </w:r>
      <w:r>
        <w:rPr>
          <w:rFonts w:ascii="宋体" w:hAnsi="宋体" w:cs="宋体" w:eastAsia="宋体" w:hint="default"/>
        </w:rPr>
        <w:t>29</w:t>
      </w:r>
      <w:r>
        <w:rPr>
          <w:rFonts w:ascii="宋体" w:hAnsi="宋体" w:cs="宋体" w:eastAsia="宋体" w:hint="default"/>
          <w:spacing w:val="-54"/>
        </w:rPr>
        <w:t> </w:t>
      </w:r>
      <w:r>
        <w:rPr/>
        <w:t>日，借款利率为</w:t>
      </w:r>
      <w:r>
        <w:rPr>
          <w:spacing w:val="-51"/>
        </w:rPr>
        <w:t> </w:t>
      </w:r>
      <w:r>
        <w:rPr>
          <w:rFonts w:ascii="宋体" w:hAnsi="宋体" w:cs="宋体" w:eastAsia="宋体" w:hint="default"/>
        </w:rPr>
        <w:t>5.0025%</w:t>
      </w:r>
      <w:r>
        <w:rPr/>
        <w:t>，</w:t>
      </w:r>
      <w:r>
        <w:rPr>
          <w:w w:val="100"/>
        </w:rPr>
        <w:t> </w:t>
      </w:r>
      <w:r>
        <w:rPr/>
        <w:t>上述借款由中嘉博创作为连带责任保证人。</w:t>
      </w:r>
      <w:r>
        <w:rPr>
          <w:rFonts w:ascii="宋体" w:hAnsi="宋体" w:cs="宋体" w:eastAsia="宋体" w:hint="default"/>
        </w:rPr>
        <w:t> </w:t>
      </w:r>
    </w:p>
    <w:p>
      <w:pPr>
        <w:pStyle w:val="BodyText"/>
        <w:spacing w:line="237" w:lineRule="auto" w:before="155"/>
        <w:ind w:left="143" w:right="1068" w:firstLine="420"/>
        <w:jc w:val="both"/>
        <w:rPr>
          <w:rFonts w:ascii="宋体" w:hAnsi="宋体" w:cs="宋体" w:eastAsia="宋体" w:hint="default"/>
        </w:rPr>
      </w:pPr>
      <w:r>
        <w:rPr>
          <w:rFonts w:ascii="宋体" w:hAnsi="宋体" w:cs="宋体" w:eastAsia="宋体" w:hint="default"/>
        </w:rPr>
        <w:t>2019</w:t>
      </w:r>
      <w:r>
        <w:rPr>
          <w:rFonts w:ascii="宋体" w:hAnsi="宋体" w:cs="宋体" w:eastAsia="宋体" w:hint="default"/>
          <w:spacing w:val="48"/>
        </w:rPr>
        <w:t> </w:t>
      </w:r>
      <w:r>
        <w:rPr/>
        <w:t>年</w:t>
      </w:r>
      <w:r>
        <w:rPr>
          <w:spacing w:val="51"/>
        </w:rPr>
        <w:t> </w:t>
      </w:r>
      <w:r>
        <w:rPr>
          <w:rFonts w:ascii="宋体" w:hAnsi="宋体" w:cs="宋体" w:eastAsia="宋体" w:hint="default"/>
        </w:rPr>
        <w:t>6</w:t>
      </w:r>
      <w:r>
        <w:rPr>
          <w:rFonts w:ascii="宋体" w:hAnsi="宋体" w:cs="宋体" w:eastAsia="宋体" w:hint="default"/>
          <w:spacing w:val="48"/>
        </w:rPr>
        <w:t> </w:t>
      </w:r>
      <w:r>
        <w:rPr/>
        <w:t>月</w:t>
      </w:r>
      <w:r>
        <w:rPr>
          <w:spacing w:val="51"/>
        </w:rPr>
        <w:t> </w:t>
      </w:r>
      <w:r>
        <w:rPr>
          <w:rFonts w:ascii="宋体" w:hAnsi="宋体" w:cs="宋体" w:eastAsia="宋体" w:hint="default"/>
        </w:rPr>
        <w:t>15</w:t>
      </w:r>
      <w:r>
        <w:rPr>
          <w:rFonts w:ascii="宋体" w:hAnsi="宋体" w:cs="宋体" w:eastAsia="宋体" w:hint="default"/>
          <w:spacing w:val="48"/>
        </w:rPr>
        <w:t> </w:t>
      </w:r>
      <w:r>
        <w:rPr/>
        <w:t>日</w:t>
      </w:r>
      <w:r>
        <w:rPr>
          <w:spacing w:val="-58"/>
        </w:rPr>
        <w:t> </w:t>
      </w:r>
      <w:r>
        <w:rPr/>
        <w:t>，</w:t>
      </w:r>
      <w:r>
        <w:rPr>
          <w:spacing w:val="-60"/>
        </w:rPr>
        <w:t> </w:t>
      </w:r>
      <w:r>
        <w:rPr/>
        <w:t>长</w:t>
      </w:r>
      <w:r>
        <w:rPr>
          <w:spacing w:val="-58"/>
        </w:rPr>
        <w:t> </w:t>
      </w:r>
      <w:r>
        <w:rPr/>
        <w:t>实</w:t>
      </w:r>
      <w:r>
        <w:rPr>
          <w:spacing w:val="-58"/>
        </w:rPr>
        <w:t> </w:t>
      </w:r>
      <w:r>
        <w:rPr/>
        <w:t>通</w:t>
      </w:r>
      <w:r>
        <w:rPr>
          <w:spacing w:val="-58"/>
        </w:rPr>
        <w:t> </w:t>
      </w:r>
      <w:r>
        <w:rPr/>
        <w:t>信</w:t>
      </w:r>
      <w:r>
        <w:rPr>
          <w:spacing w:val="-60"/>
        </w:rPr>
        <w:t> </w:t>
      </w:r>
      <w:r>
        <w:rPr/>
        <w:t>与</w:t>
      </w:r>
      <w:r>
        <w:rPr>
          <w:spacing w:val="-58"/>
        </w:rPr>
        <w:t> </w:t>
      </w:r>
      <w:r>
        <w:rPr/>
        <w:t>中</w:t>
      </w:r>
      <w:r>
        <w:rPr>
          <w:spacing w:val="-60"/>
        </w:rPr>
        <w:t> </w:t>
      </w:r>
      <w:r>
        <w:rPr/>
        <w:t>国</w:t>
      </w:r>
      <w:r>
        <w:rPr>
          <w:spacing w:val="-58"/>
        </w:rPr>
        <w:t> </w:t>
      </w:r>
      <w:r>
        <w:rPr/>
        <w:t>建</w:t>
      </w:r>
      <w:r>
        <w:rPr>
          <w:spacing w:val="-58"/>
        </w:rPr>
        <w:t> </w:t>
      </w:r>
      <w:r>
        <w:rPr/>
        <w:t>设</w:t>
      </w:r>
      <w:r>
        <w:rPr>
          <w:spacing w:val="-60"/>
        </w:rPr>
        <w:t> </w:t>
      </w:r>
      <w:r>
        <w:rPr/>
        <w:t>银</w:t>
      </w:r>
      <w:r>
        <w:rPr>
          <w:spacing w:val="-58"/>
        </w:rPr>
        <w:t> </w:t>
      </w:r>
      <w:r>
        <w:rPr/>
        <w:t>行</w:t>
      </w:r>
      <w:r>
        <w:rPr>
          <w:spacing w:val="-58"/>
        </w:rPr>
        <w:t> </w:t>
      </w:r>
      <w:r>
        <w:rPr/>
        <w:t>股</w:t>
      </w:r>
      <w:r>
        <w:rPr>
          <w:spacing w:val="-58"/>
        </w:rPr>
        <w:t> </w:t>
      </w:r>
      <w:r>
        <w:rPr/>
        <w:t>份</w:t>
      </w:r>
      <w:r>
        <w:rPr>
          <w:spacing w:val="-60"/>
        </w:rPr>
        <w:t> </w:t>
      </w:r>
      <w:r>
        <w:rPr/>
        <w:t>有</w:t>
      </w:r>
      <w:r>
        <w:rPr>
          <w:spacing w:val="-58"/>
        </w:rPr>
        <w:t> </w:t>
      </w:r>
      <w:r>
        <w:rPr/>
        <w:t>限</w:t>
      </w:r>
      <w:r>
        <w:rPr>
          <w:spacing w:val="-60"/>
        </w:rPr>
        <w:t> </w:t>
      </w:r>
      <w:r>
        <w:rPr/>
        <w:t>公</w:t>
      </w:r>
      <w:r>
        <w:rPr>
          <w:spacing w:val="-58"/>
        </w:rPr>
        <w:t> </w:t>
      </w:r>
      <w:r>
        <w:rPr/>
        <w:t>司</w:t>
      </w:r>
      <w:r>
        <w:rPr>
          <w:spacing w:val="-58"/>
        </w:rPr>
        <w:t> </w:t>
      </w:r>
      <w:r>
        <w:rPr/>
        <w:t>清</w:t>
      </w:r>
      <w:r>
        <w:rPr>
          <w:spacing w:val="-60"/>
        </w:rPr>
        <w:t> </w:t>
      </w:r>
      <w:r>
        <w:rPr/>
        <w:t>远</w:t>
      </w:r>
      <w:r>
        <w:rPr>
          <w:spacing w:val="-58"/>
        </w:rPr>
        <w:t> </w:t>
      </w:r>
      <w:r>
        <w:rPr/>
        <w:t>分</w:t>
      </w:r>
      <w:r>
        <w:rPr>
          <w:spacing w:val="-58"/>
        </w:rPr>
        <w:t> </w:t>
      </w:r>
      <w:r>
        <w:rPr/>
        <w:t>行</w:t>
      </w:r>
      <w:r>
        <w:rPr>
          <w:spacing w:val="-58"/>
        </w:rPr>
        <w:t> </w:t>
      </w:r>
      <w:r>
        <w:rPr/>
        <w:t>签</w:t>
      </w:r>
      <w:r>
        <w:rPr>
          <w:spacing w:val="-60"/>
        </w:rPr>
        <w:t> </w:t>
      </w:r>
      <w:r>
        <w:rPr/>
        <w:t>订</w:t>
      </w:r>
      <w:r>
        <w:rPr>
          <w:spacing w:val="-58"/>
        </w:rPr>
        <w:t> </w:t>
      </w:r>
      <w:r>
        <w:rPr/>
        <w:t>编</w:t>
      </w:r>
      <w:r>
        <w:rPr>
          <w:spacing w:val="-60"/>
        </w:rPr>
        <w:t> </w:t>
      </w:r>
      <w:r>
        <w:rPr/>
        <w:t>号</w:t>
      </w:r>
      <w:r>
        <w:rPr>
          <w:spacing w:val="-58"/>
        </w:rPr>
        <w:t> </w:t>
      </w:r>
      <w:r>
        <w:rPr/>
        <w:t>为</w:t>
      </w:r>
      <w:r>
        <w:rPr>
          <w:w w:val="100"/>
        </w:rPr>
        <w:t> </w:t>
      </w:r>
      <w:r>
        <w:rPr>
          <w:spacing w:val="-7"/>
          <w:w w:val="100"/>
        </w:rPr>
        <w:t>“</w:t>
      </w:r>
      <w:r>
        <w:rPr>
          <w:rFonts w:ascii="宋体" w:hAnsi="宋体" w:cs="宋体" w:eastAsia="宋体" w:hint="default"/>
          <w:spacing w:val="-7"/>
          <w:w w:val="100"/>
        </w:rPr>
        <w:t>HTZ440760000LDZJ201900019</w:t>
      </w:r>
      <w:r>
        <w:rPr>
          <w:spacing w:val="-7"/>
          <w:w w:val="100"/>
        </w:rPr>
        <w:t>”的借款合同，借款</w:t>
      </w:r>
      <w:r>
        <w:rPr>
          <w:spacing w:val="-52"/>
          <w:w w:val="100"/>
        </w:rPr>
        <w:t> </w:t>
      </w:r>
      <w:r>
        <w:rPr>
          <w:rFonts w:ascii="宋体" w:hAnsi="宋体" w:cs="宋体" w:eastAsia="宋体" w:hint="default"/>
          <w:spacing w:val="-1"/>
          <w:w w:val="100"/>
        </w:rPr>
        <w:t>2,000.00</w:t>
      </w:r>
      <w:r>
        <w:rPr>
          <w:rFonts w:ascii="宋体" w:hAnsi="宋体" w:cs="宋体" w:eastAsia="宋体" w:hint="default"/>
          <w:spacing w:val="-50"/>
          <w:w w:val="100"/>
        </w:rPr>
        <w:t> </w:t>
      </w:r>
      <w:r>
        <w:rPr>
          <w:spacing w:val="-16"/>
          <w:w w:val="100"/>
        </w:rPr>
        <w:t>万元，借款期为</w:t>
      </w:r>
      <w:r>
        <w:rPr>
          <w:spacing w:val="-52"/>
          <w:w w:val="100"/>
        </w:rPr>
        <w:t> </w:t>
      </w:r>
      <w:r>
        <w:rPr>
          <w:rFonts w:ascii="宋体" w:hAnsi="宋体" w:cs="宋体" w:eastAsia="宋体" w:hint="default"/>
          <w:spacing w:val="-2"/>
          <w:w w:val="100"/>
        </w:rPr>
        <w:t>2019</w:t>
      </w:r>
      <w:r>
        <w:rPr>
          <w:rFonts w:ascii="宋体" w:hAnsi="宋体" w:cs="宋体" w:eastAsia="宋体" w:hint="default"/>
          <w:spacing w:val="-52"/>
          <w:w w:val="100"/>
        </w:rPr>
        <w:t> </w:t>
      </w:r>
      <w:r>
        <w:rPr>
          <w:w w:val="100"/>
        </w:rPr>
        <w:t>年</w:t>
      </w:r>
      <w:r>
        <w:rPr>
          <w:spacing w:val="-52"/>
          <w:w w:val="100"/>
        </w:rPr>
        <w:t> </w:t>
      </w:r>
      <w:r>
        <w:rPr>
          <w:rFonts w:ascii="宋体" w:hAnsi="宋体" w:cs="宋体" w:eastAsia="宋体" w:hint="default"/>
          <w:w w:val="100"/>
        </w:rPr>
        <w:t>6</w:t>
      </w:r>
      <w:r>
        <w:rPr>
          <w:rFonts w:ascii="宋体" w:hAnsi="宋体" w:cs="宋体" w:eastAsia="宋体" w:hint="default"/>
          <w:spacing w:val="-54"/>
          <w:w w:val="100"/>
        </w:rPr>
        <w:t> </w:t>
      </w:r>
      <w:r>
        <w:rPr>
          <w:w w:val="100"/>
        </w:rPr>
        <w:t>月</w:t>
      </w:r>
      <w:r>
        <w:rPr>
          <w:spacing w:val="-50"/>
          <w:w w:val="100"/>
        </w:rPr>
        <w:t> </w:t>
      </w:r>
      <w:r>
        <w:rPr>
          <w:rFonts w:ascii="宋体" w:hAnsi="宋体" w:cs="宋体" w:eastAsia="宋体" w:hint="default"/>
          <w:spacing w:val="-2"/>
          <w:w w:val="100"/>
        </w:rPr>
        <w:t>21</w:t>
      </w:r>
      <w:r>
        <w:rPr>
          <w:rFonts w:ascii="宋体" w:hAnsi="宋体" w:cs="宋体" w:eastAsia="宋体" w:hint="default"/>
          <w:spacing w:val="-52"/>
          <w:w w:val="100"/>
        </w:rPr>
        <w:t> </w:t>
      </w:r>
      <w:r>
        <w:rPr>
          <w:spacing w:val="-2"/>
          <w:w w:val="100"/>
        </w:rPr>
        <w:t>日至</w:t>
      </w:r>
      <w:r>
        <w:rPr>
          <w:spacing w:val="-52"/>
          <w:w w:val="100"/>
        </w:rPr>
        <w:t> </w:t>
      </w:r>
      <w:r>
        <w:rPr>
          <w:rFonts w:ascii="宋体" w:hAnsi="宋体" w:cs="宋体" w:eastAsia="宋体" w:hint="default"/>
          <w:spacing w:val="-1"/>
          <w:w w:val="100"/>
        </w:rPr>
        <w:t>2020</w:t>
      </w:r>
      <w:r>
        <w:rPr>
          <w:rFonts w:ascii="宋体" w:hAnsi="宋体" w:cs="宋体" w:eastAsia="宋体" w:hint="default"/>
          <w:spacing w:val="4"/>
          <w:w w:val="100"/>
        </w:rPr>
        <w:t> </w:t>
      </w:r>
      <w:r>
        <w:rPr>
          <w:w w:val="100"/>
        </w:rPr>
        <w:t>年 </w:t>
      </w:r>
      <w:r>
        <w:rPr>
          <w:rFonts w:ascii="宋体" w:hAnsi="宋体" w:cs="宋体" w:eastAsia="宋体" w:hint="default"/>
        </w:rPr>
        <w:t>6 </w:t>
      </w:r>
      <w:r>
        <w:rPr/>
        <w:t>月</w:t>
      </w:r>
      <w:r>
        <w:rPr>
          <w:spacing w:val="-41"/>
        </w:rPr>
        <w:t> </w:t>
      </w:r>
      <w:r>
        <w:rPr>
          <w:rFonts w:ascii="宋体" w:hAnsi="宋体" w:cs="宋体" w:eastAsia="宋体" w:hint="default"/>
        </w:rPr>
        <w:t>20</w:t>
      </w:r>
      <w:r>
        <w:rPr>
          <w:rFonts w:ascii="宋体" w:hAnsi="宋体" w:cs="宋体" w:eastAsia="宋体" w:hint="default"/>
          <w:spacing w:val="-43"/>
        </w:rPr>
        <w:t> </w:t>
      </w:r>
      <w:r>
        <w:rPr/>
        <w:t>日，借款利率为</w:t>
      </w:r>
      <w:r>
        <w:rPr>
          <w:spacing w:val="-41"/>
        </w:rPr>
        <w:t> </w:t>
      </w:r>
      <w:r>
        <w:rPr>
          <w:rFonts w:ascii="宋体" w:hAnsi="宋体" w:cs="宋体" w:eastAsia="宋体" w:hint="default"/>
        </w:rPr>
        <w:t>4.35%</w:t>
      </w:r>
      <w:r>
        <w:rPr/>
        <w:t>；</w:t>
      </w:r>
      <w:r>
        <w:rPr>
          <w:rFonts w:ascii="宋体" w:hAnsi="宋体" w:cs="宋体" w:eastAsia="宋体" w:hint="default"/>
        </w:rPr>
        <w:t>2019</w:t>
      </w:r>
      <w:r>
        <w:rPr>
          <w:rFonts w:ascii="宋体" w:hAnsi="宋体" w:cs="宋体" w:eastAsia="宋体" w:hint="default"/>
          <w:spacing w:val="-1"/>
        </w:rPr>
        <w:t> </w:t>
      </w:r>
      <w:r>
        <w:rPr/>
        <w:t>年</w:t>
      </w:r>
      <w:r>
        <w:rPr>
          <w:spacing w:val="-41"/>
        </w:rPr>
        <w:t> </w:t>
      </w:r>
      <w:r>
        <w:rPr>
          <w:rFonts w:ascii="宋体" w:hAnsi="宋体" w:cs="宋体" w:eastAsia="宋体" w:hint="default"/>
          <w:spacing w:val="-3"/>
        </w:rPr>
        <w:t>8</w:t>
      </w:r>
      <w:r>
        <w:rPr>
          <w:rFonts w:ascii="宋体" w:hAnsi="宋体" w:cs="宋体" w:eastAsia="宋体" w:hint="default"/>
        </w:rPr>
        <w:t> </w:t>
      </w:r>
      <w:r>
        <w:rPr/>
        <w:t>月</w:t>
      </w:r>
      <w:r>
        <w:rPr>
          <w:spacing w:val="-41"/>
        </w:rPr>
        <w:t> </w:t>
      </w:r>
      <w:r>
        <w:rPr>
          <w:rFonts w:ascii="宋体" w:hAnsi="宋体" w:cs="宋体" w:eastAsia="宋体" w:hint="default"/>
        </w:rPr>
        <w:t>9</w:t>
      </w:r>
      <w:r>
        <w:rPr>
          <w:rFonts w:ascii="宋体" w:hAnsi="宋体" w:cs="宋体" w:eastAsia="宋体" w:hint="default"/>
          <w:spacing w:val="-43"/>
        </w:rPr>
        <w:t> </w:t>
      </w:r>
      <w:r>
        <w:rPr/>
        <w:t>日，长实通信与中国建设银行股份有限公司清远分行签</w:t>
      </w:r>
      <w:r>
        <w:rPr>
          <w:w w:val="100"/>
        </w:rPr>
        <w:t> </w:t>
      </w:r>
      <w:r>
        <w:rPr/>
        <w:t>订编号为“</w:t>
      </w:r>
      <w:r>
        <w:rPr>
          <w:rFonts w:ascii="宋体" w:hAnsi="宋体" w:cs="宋体" w:eastAsia="宋体" w:hint="default"/>
        </w:rPr>
        <w:t>HTZ440760000LDZJ201900027</w:t>
      </w:r>
      <w:r>
        <w:rPr/>
        <w:t>”的借款合同，借款</w:t>
      </w:r>
      <w:r>
        <w:rPr>
          <w:spacing w:val="-36"/>
        </w:rPr>
        <w:t> </w:t>
      </w:r>
      <w:r>
        <w:rPr>
          <w:rFonts w:ascii="宋体" w:hAnsi="宋体" w:cs="宋体" w:eastAsia="宋体" w:hint="default"/>
        </w:rPr>
        <w:t>3,000.00</w:t>
      </w:r>
      <w:r>
        <w:rPr>
          <w:rFonts w:ascii="宋体" w:hAnsi="宋体" w:cs="宋体" w:eastAsia="宋体" w:hint="default"/>
          <w:spacing w:val="-38"/>
        </w:rPr>
        <w:t> </w:t>
      </w:r>
      <w:r>
        <w:rPr/>
        <w:t>万元，借款期为</w:t>
      </w:r>
      <w:r>
        <w:rPr>
          <w:spacing w:val="-34"/>
        </w:rPr>
        <w:t> </w:t>
      </w:r>
      <w:r>
        <w:rPr>
          <w:rFonts w:ascii="宋体" w:hAnsi="宋体" w:cs="宋体" w:eastAsia="宋体" w:hint="default"/>
        </w:rPr>
        <w:t>2019</w:t>
      </w:r>
      <w:r>
        <w:rPr>
          <w:rFonts w:ascii="宋体" w:hAnsi="宋体" w:cs="宋体" w:eastAsia="宋体" w:hint="default"/>
          <w:spacing w:val="-36"/>
        </w:rPr>
        <w:t> </w:t>
      </w:r>
      <w:r>
        <w:rPr/>
        <w:t>年</w:t>
      </w:r>
      <w:r>
        <w:rPr>
          <w:spacing w:val="-36"/>
        </w:rPr>
        <w:t> </w:t>
      </w:r>
      <w:r>
        <w:rPr>
          <w:rFonts w:ascii="宋体" w:hAnsi="宋体" w:cs="宋体" w:eastAsia="宋体" w:hint="default"/>
        </w:rPr>
        <w:t>8</w:t>
      </w:r>
      <w:r>
        <w:rPr>
          <w:rFonts w:ascii="宋体" w:hAnsi="宋体" w:cs="宋体" w:eastAsia="宋体" w:hint="default"/>
          <w:spacing w:val="-36"/>
        </w:rPr>
        <w:t> </w:t>
      </w:r>
      <w:r>
        <w:rPr/>
        <w:t>月</w:t>
      </w:r>
      <w:r>
        <w:rPr>
          <w:spacing w:val="-36"/>
        </w:rPr>
        <w:t> </w:t>
      </w:r>
      <w:r>
        <w:rPr>
          <w:rFonts w:ascii="宋体" w:hAnsi="宋体" w:cs="宋体" w:eastAsia="宋体" w:hint="default"/>
        </w:rPr>
        <w:t>12</w:t>
      </w:r>
    </w:p>
    <w:p>
      <w:pPr>
        <w:pStyle w:val="BodyText"/>
        <w:spacing w:line="271" w:lineRule="exact"/>
        <w:ind w:left="143" w:right="0"/>
        <w:jc w:val="both"/>
        <w:rPr>
          <w:rFonts w:ascii="宋体" w:hAnsi="宋体" w:cs="宋体" w:eastAsia="宋体" w:hint="default"/>
        </w:rPr>
      </w:pPr>
      <w:r>
        <w:rPr/>
        <w:t>日至</w:t>
      </w:r>
      <w:r>
        <w:rPr>
          <w:spacing w:val="-53"/>
        </w:rPr>
        <w:t> </w:t>
      </w:r>
      <w:r>
        <w:rPr>
          <w:rFonts w:ascii="宋体" w:hAnsi="宋体" w:cs="宋体" w:eastAsia="宋体" w:hint="default"/>
        </w:rPr>
        <w:t>2020</w:t>
      </w:r>
      <w:r>
        <w:rPr>
          <w:rFonts w:ascii="宋体" w:hAnsi="宋体" w:cs="宋体" w:eastAsia="宋体" w:hint="default"/>
          <w:spacing w:val="-56"/>
        </w:rPr>
        <w:t> </w:t>
      </w:r>
      <w:r>
        <w:rPr/>
        <w:t>年</w:t>
      </w:r>
      <w:r>
        <w:rPr>
          <w:spacing w:val="-54"/>
        </w:rPr>
        <w:t> </w:t>
      </w:r>
      <w:r>
        <w:rPr>
          <w:rFonts w:ascii="宋体" w:hAnsi="宋体" w:cs="宋体" w:eastAsia="宋体" w:hint="default"/>
        </w:rPr>
        <w:t>8</w:t>
      </w:r>
      <w:r>
        <w:rPr>
          <w:rFonts w:ascii="宋体" w:hAnsi="宋体" w:cs="宋体" w:eastAsia="宋体" w:hint="default"/>
          <w:spacing w:val="-56"/>
        </w:rPr>
        <w:t> </w:t>
      </w:r>
      <w:r>
        <w:rPr/>
        <w:t>月</w:t>
      </w:r>
      <w:r>
        <w:rPr>
          <w:spacing w:val="-54"/>
        </w:rPr>
        <w:t> </w:t>
      </w:r>
      <w:r>
        <w:rPr>
          <w:rFonts w:ascii="宋体" w:hAnsi="宋体" w:cs="宋体" w:eastAsia="宋体" w:hint="default"/>
        </w:rPr>
        <w:t>11</w:t>
      </w:r>
      <w:r>
        <w:rPr>
          <w:rFonts w:ascii="宋体" w:hAnsi="宋体" w:cs="宋体" w:eastAsia="宋体" w:hint="default"/>
          <w:spacing w:val="-56"/>
        </w:rPr>
        <w:t> </w:t>
      </w:r>
      <w:r>
        <w:rPr/>
        <w:t>日，借款利率为</w:t>
      </w:r>
      <w:r>
        <w:rPr>
          <w:spacing w:val="-53"/>
        </w:rPr>
        <w:t> </w:t>
      </w:r>
      <w:r>
        <w:rPr>
          <w:rFonts w:ascii="宋体" w:hAnsi="宋体" w:cs="宋体" w:eastAsia="宋体" w:hint="default"/>
        </w:rPr>
        <w:t>4.35%</w:t>
      </w:r>
      <w:r>
        <w:rPr/>
        <w:t>。上述借款由中嘉博创作为连带责任保证人。</w:t>
      </w:r>
      <w:r>
        <w:rPr>
          <w:rFonts w:ascii="宋体" w:hAnsi="宋体" w:cs="宋体" w:eastAsia="宋体" w:hint="default"/>
        </w:rPr>
        <w:t> </w:t>
      </w:r>
    </w:p>
    <w:p>
      <w:pPr>
        <w:pStyle w:val="BodyText"/>
        <w:spacing w:line="237" w:lineRule="auto" w:before="157"/>
        <w:ind w:left="143" w:right="1069" w:firstLine="420"/>
        <w:jc w:val="both"/>
        <w:rPr>
          <w:rFonts w:ascii="宋体" w:hAnsi="宋体" w:cs="宋体" w:eastAsia="宋体" w:hint="default"/>
        </w:rPr>
      </w:pPr>
      <w:r>
        <w:rPr>
          <w:rFonts w:ascii="宋体" w:hAnsi="宋体" w:cs="宋体" w:eastAsia="宋体" w:hint="default"/>
          <w:w w:val="100"/>
        </w:rPr>
        <w:t>2018</w:t>
      </w:r>
      <w:r>
        <w:rPr>
          <w:rFonts w:ascii="宋体" w:hAnsi="宋体" w:cs="宋体" w:eastAsia="宋体" w:hint="default"/>
          <w:spacing w:val="-46"/>
          <w:w w:val="100"/>
        </w:rPr>
        <w:t> </w:t>
      </w:r>
      <w:r>
        <w:rPr>
          <w:w w:val="100"/>
        </w:rPr>
        <w:t>年</w:t>
      </w:r>
      <w:r>
        <w:rPr>
          <w:spacing w:val="-43"/>
          <w:w w:val="100"/>
        </w:rPr>
        <w:t> </w:t>
      </w:r>
      <w:r>
        <w:rPr>
          <w:rFonts w:ascii="宋体" w:hAnsi="宋体" w:cs="宋体" w:eastAsia="宋体" w:hint="default"/>
          <w:spacing w:val="-2"/>
          <w:w w:val="100"/>
        </w:rPr>
        <w:t>12</w:t>
      </w:r>
      <w:r>
        <w:rPr>
          <w:rFonts w:ascii="宋体" w:hAnsi="宋体" w:cs="宋体" w:eastAsia="宋体" w:hint="default"/>
          <w:spacing w:val="-43"/>
          <w:w w:val="100"/>
        </w:rPr>
        <w:t> </w:t>
      </w:r>
      <w:r>
        <w:rPr>
          <w:w w:val="100"/>
        </w:rPr>
        <w:t>月</w:t>
      </w:r>
      <w:r>
        <w:rPr>
          <w:spacing w:val="-46"/>
          <w:w w:val="100"/>
        </w:rPr>
        <w:t> </w:t>
      </w:r>
      <w:r>
        <w:rPr>
          <w:rFonts w:ascii="宋体" w:hAnsi="宋体" w:cs="宋体" w:eastAsia="宋体" w:hint="default"/>
          <w:w w:val="100"/>
        </w:rPr>
        <w:t>5</w:t>
      </w:r>
      <w:r>
        <w:rPr>
          <w:rFonts w:ascii="宋体" w:hAnsi="宋体" w:cs="宋体" w:eastAsia="宋体" w:hint="default"/>
          <w:spacing w:val="-43"/>
          <w:w w:val="100"/>
        </w:rPr>
        <w:t> </w:t>
      </w:r>
      <w:r>
        <w:rPr>
          <w:spacing w:val="-5"/>
          <w:w w:val="100"/>
        </w:rPr>
        <w:t>日，长实通信、中国建设银行股份有限公司广东省分行（简称：建行广东分行）、建</w:t>
      </w:r>
      <w:r>
        <w:rPr>
          <w:w w:val="100"/>
        </w:rPr>
        <w:t> </w:t>
      </w:r>
      <w:r>
        <w:rPr>
          <w:spacing w:val="-3"/>
          <w:w w:val="100"/>
        </w:rPr>
        <w:t>信融通有限责任公司（简称：建信融通）签订“网络供应链</w:t>
      </w:r>
      <w:r>
        <w:rPr>
          <w:spacing w:val="-42"/>
          <w:w w:val="100"/>
        </w:rPr>
        <w:t> </w:t>
      </w:r>
      <w:r>
        <w:rPr>
          <w:rFonts w:ascii="宋体" w:hAnsi="宋体" w:cs="宋体" w:eastAsia="宋体" w:hint="default"/>
          <w:w w:val="100"/>
        </w:rPr>
        <w:t>e</w:t>
      </w:r>
      <w:r>
        <w:rPr>
          <w:rFonts w:ascii="宋体" w:hAnsi="宋体" w:cs="宋体" w:eastAsia="宋体" w:hint="default"/>
          <w:spacing w:val="-45"/>
          <w:w w:val="100"/>
        </w:rPr>
        <w:t> </w:t>
      </w:r>
      <w:r>
        <w:rPr>
          <w:spacing w:val="-8"/>
          <w:w w:val="100"/>
        </w:rPr>
        <w:t>信通业务合作协议（集中模式）：长实通信</w:t>
      </w:r>
      <w:r>
        <w:rPr>
          <w:spacing w:val="-100"/>
          <w:w w:val="100"/>
        </w:rPr>
        <w:t> </w:t>
      </w:r>
      <w:r>
        <w:rPr>
          <w:spacing w:val="-100"/>
          <w:w w:val="100"/>
        </w:rPr>
      </w:r>
      <w:r>
        <w:rPr/>
        <w:t>及其子分公司与上游供应商符合条件的前提下与建行广东分行开展供应链融资业务合作，建行广东分行</w:t>
      </w:r>
      <w:r>
        <w:rPr>
          <w:spacing w:val="-36"/>
        </w:rPr>
        <w:t> </w:t>
      </w:r>
      <w:r>
        <w:rPr>
          <w:spacing w:val="-36"/>
        </w:rPr>
      </w:r>
      <w:r>
        <w:rPr/>
        <w:t>与建信融通系统对接，为长实通信及其子分公司与上游供应商提供网络供应链服务：建信融通利用其供</w:t>
      </w:r>
      <w:r>
        <w:rPr>
          <w:spacing w:val="-36"/>
        </w:rPr>
        <w:t> </w:t>
      </w:r>
      <w:r>
        <w:rPr>
          <w:spacing w:val="-36"/>
        </w:rPr>
      </w:r>
      <w:r>
        <w:rPr/>
        <w:t>应链管理平台为长实通信及其子分公司与上游供应商的采购销售交易提供应收账款确权、流转等供应链</w:t>
      </w:r>
      <w:r>
        <w:rPr>
          <w:spacing w:val="-36"/>
        </w:rPr>
        <w:t> </w:t>
      </w:r>
      <w:r>
        <w:rPr>
          <w:spacing w:val="-36"/>
        </w:rPr>
      </w:r>
      <w:r>
        <w:rPr/>
        <w:t>金融管理服务。供应商委托建信融通平台将对长实通信及其子分公司的应收账款转让给建行广东分行，</w:t>
      </w:r>
      <w:r>
        <w:rPr>
          <w:spacing w:val="-36"/>
        </w:rPr>
        <w:t> </w:t>
      </w:r>
      <w:r>
        <w:rPr>
          <w:spacing w:val="-36"/>
        </w:rPr>
      </w:r>
      <w:r>
        <w:rPr/>
        <w:t>向建行广东分行申请在线供应链融资服务。建行广东分行根据收到建信融通平台的供应商客户信息、长</w:t>
      </w:r>
      <w:r>
        <w:rPr>
          <w:spacing w:val="-36"/>
        </w:rPr>
        <w:t> </w:t>
      </w:r>
      <w:r>
        <w:rPr>
          <w:spacing w:val="-36"/>
        </w:rPr>
      </w:r>
      <w:r>
        <w:rPr/>
        <w:t>实通信及其子分公司与供应商历史交易记录、长实通信及其子分公司对供应商的客户信息、应收账款信</w:t>
      </w:r>
      <w:r>
        <w:rPr>
          <w:spacing w:val="-36"/>
        </w:rPr>
        <w:t> </w:t>
      </w:r>
      <w:r>
        <w:rPr>
          <w:spacing w:val="-36"/>
        </w:rPr>
      </w:r>
      <w:r>
        <w:rPr/>
        <w:t>息等，在此条件下，为供应商提供网络供应链融资服务。中国建设银行股份有限公司清远市分行（简称</w:t>
      </w:r>
      <w:r>
        <w:rPr>
          <w:spacing w:val="-33"/>
        </w:rPr>
        <w:t> </w:t>
      </w:r>
      <w:r>
        <w:rPr>
          <w:spacing w:val="-33"/>
        </w:rPr>
      </w:r>
      <w:r>
        <w:rPr>
          <w:spacing w:val="-2"/>
        </w:rPr>
        <w:t>建行清远分行）作为中国建设银行股份有限公司广东省分行下属经办行，负责具体业务操作。截至</w:t>
      </w:r>
      <w:r>
        <w:rPr>
          <w:spacing w:val="54"/>
        </w:rPr>
        <w:t> </w:t>
      </w:r>
      <w:r>
        <w:rPr>
          <w:rFonts w:ascii="宋体" w:hAnsi="宋体" w:cs="宋体" w:eastAsia="宋体" w:hint="default"/>
          <w:spacing w:val="-2"/>
        </w:rPr>
        <w:t>2019</w:t>
      </w:r>
    </w:p>
    <w:p>
      <w:pPr>
        <w:pStyle w:val="BodyText"/>
        <w:spacing w:line="237" w:lineRule="auto"/>
        <w:ind w:left="143" w:right="1071"/>
        <w:jc w:val="both"/>
        <w:rPr>
          <w:rFonts w:ascii="宋体" w:hAnsi="宋体" w:cs="宋体" w:eastAsia="宋体" w:hint="default"/>
        </w:rPr>
      </w:pPr>
      <w:r>
        <w:rPr/>
        <w:t>年</w:t>
      </w:r>
      <w:r>
        <w:rPr>
          <w:spacing w:val="-51"/>
        </w:rPr>
        <w:t> </w:t>
      </w:r>
      <w:r>
        <w:rPr>
          <w:rFonts w:ascii="宋体" w:hAnsi="宋体" w:cs="宋体" w:eastAsia="宋体" w:hint="default"/>
        </w:rPr>
        <w:t>12</w:t>
      </w:r>
      <w:r>
        <w:rPr>
          <w:rFonts w:ascii="宋体" w:hAnsi="宋体" w:cs="宋体" w:eastAsia="宋体" w:hint="default"/>
          <w:spacing w:val="-54"/>
        </w:rPr>
        <w:t> </w:t>
      </w:r>
      <w:r>
        <w:rPr/>
        <w:t>月</w:t>
      </w:r>
      <w:r>
        <w:rPr>
          <w:spacing w:val="-51"/>
        </w:rPr>
        <w:t> </w:t>
      </w:r>
      <w:r>
        <w:rPr>
          <w:rFonts w:ascii="宋体" w:hAnsi="宋体" w:cs="宋体" w:eastAsia="宋体" w:hint="default"/>
        </w:rPr>
        <w:t>31</w:t>
      </w:r>
      <w:r>
        <w:rPr>
          <w:rFonts w:ascii="宋体" w:hAnsi="宋体" w:cs="宋体" w:eastAsia="宋体" w:hint="default"/>
          <w:spacing w:val="-54"/>
        </w:rPr>
        <w:t> </w:t>
      </w:r>
      <w:r>
        <w:rPr/>
        <w:t>日，贷款余额为</w:t>
      </w:r>
      <w:r>
        <w:rPr>
          <w:spacing w:val="-52"/>
        </w:rPr>
        <w:t> </w:t>
      </w:r>
      <w:r>
        <w:rPr>
          <w:rFonts w:ascii="宋体" w:hAnsi="宋体" w:cs="宋体" w:eastAsia="宋体" w:hint="default"/>
        </w:rPr>
        <w:t>16,763,977.66</w:t>
      </w:r>
      <w:r>
        <w:rPr>
          <w:rFonts w:ascii="宋体" w:hAnsi="宋体" w:cs="宋体" w:eastAsia="宋体" w:hint="default"/>
          <w:spacing w:val="-51"/>
        </w:rPr>
        <w:t> </w:t>
      </w:r>
      <w:r>
        <w:rPr/>
        <w:t>元，借款期限</w:t>
      </w:r>
      <w:r>
        <w:rPr>
          <w:spacing w:val="-52"/>
        </w:rPr>
        <w:t> </w:t>
      </w:r>
      <w:r>
        <w:rPr>
          <w:rFonts w:ascii="宋体" w:hAnsi="宋体" w:cs="宋体" w:eastAsia="宋体" w:hint="default"/>
        </w:rPr>
        <w:t>3</w:t>
      </w:r>
      <w:r>
        <w:rPr>
          <w:rFonts w:ascii="宋体" w:hAnsi="宋体" w:cs="宋体" w:eastAsia="宋体" w:hint="default"/>
          <w:spacing w:val="-51"/>
        </w:rPr>
        <w:t> </w:t>
      </w:r>
      <w:r>
        <w:rPr/>
        <w:t>个月</w:t>
      </w:r>
      <w:r>
        <w:rPr>
          <w:rFonts w:ascii="宋体" w:hAnsi="宋体" w:cs="宋体" w:eastAsia="宋体" w:hint="default"/>
        </w:rPr>
        <w:t>-1</w:t>
      </w:r>
      <w:r>
        <w:rPr>
          <w:rFonts w:ascii="宋体" w:hAnsi="宋体" w:cs="宋体" w:eastAsia="宋体" w:hint="default"/>
          <w:spacing w:val="-54"/>
        </w:rPr>
        <w:t> </w:t>
      </w:r>
      <w:r>
        <w:rPr/>
        <w:t>年不等，建行清远分行收取的借款年</w:t>
      </w:r>
      <w:r>
        <w:rPr>
          <w:w w:val="100"/>
        </w:rPr>
        <w:t> </w:t>
      </w:r>
      <w:r>
        <w:rPr/>
        <w:t>利率为</w:t>
      </w:r>
      <w:r>
        <w:rPr>
          <w:spacing w:val="-49"/>
        </w:rPr>
        <w:t> </w:t>
      </w:r>
      <w:r>
        <w:rPr>
          <w:rFonts w:ascii="宋体" w:hAnsi="宋体" w:cs="宋体" w:eastAsia="宋体" w:hint="default"/>
        </w:rPr>
        <w:t>4.35%</w:t>
      </w:r>
      <w:r>
        <w:rPr/>
        <w:t>，借款年化费率为</w:t>
      </w:r>
      <w:r>
        <w:rPr>
          <w:spacing w:val="-50"/>
        </w:rPr>
        <w:t> </w:t>
      </w:r>
      <w:r>
        <w:rPr>
          <w:rFonts w:ascii="宋体" w:hAnsi="宋体" w:cs="宋体" w:eastAsia="宋体" w:hint="default"/>
        </w:rPr>
        <w:t>0.24%</w:t>
      </w:r>
      <w:r>
        <w:rPr/>
        <w:t>，建信融通收取的借款年化费率为</w:t>
      </w:r>
      <w:r>
        <w:rPr>
          <w:spacing w:val="-48"/>
        </w:rPr>
        <w:t> </w:t>
      </w:r>
      <w:r>
        <w:rPr>
          <w:rFonts w:ascii="宋体" w:hAnsi="宋体" w:cs="宋体" w:eastAsia="宋体" w:hint="default"/>
        </w:rPr>
        <w:t>0.20%</w:t>
      </w:r>
      <w:r>
        <w:rPr/>
        <w:t>。上述借款由中嘉博创作</w:t>
      </w:r>
      <w:r>
        <w:rPr>
          <w:w w:val="100"/>
        </w:rPr>
        <w:t> </w:t>
      </w:r>
      <w:r>
        <w:rPr/>
        <w:t>为连带责任保证人。</w:t>
      </w:r>
      <w:r>
        <w:rPr>
          <w:rFonts w:ascii="宋体" w:hAnsi="宋体" w:cs="宋体" w:eastAsia="宋体" w:hint="default"/>
        </w:rPr>
        <w:t> </w:t>
      </w:r>
    </w:p>
    <w:p>
      <w:pPr>
        <w:pStyle w:val="BodyText"/>
        <w:spacing w:line="273" w:lineRule="exact" w:before="155"/>
        <w:ind w:left="563" w:right="703"/>
        <w:jc w:val="left"/>
        <w:rPr>
          <w:rFonts w:ascii="宋体" w:hAnsi="宋体" w:cs="宋体" w:eastAsia="宋体" w:hint="default"/>
        </w:rPr>
      </w:pPr>
      <w:r>
        <w:rPr>
          <w:rFonts w:ascii="宋体" w:hAnsi="宋体" w:cs="宋体" w:eastAsia="宋体" w:hint="default"/>
        </w:rPr>
        <w:t>2019</w:t>
      </w:r>
      <w:r>
        <w:rPr>
          <w:rFonts w:ascii="宋体" w:hAnsi="宋体" w:cs="宋体" w:eastAsia="宋体" w:hint="default"/>
          <w:spacing w:val="-47"/>
        </w:rPr>
        <w:t> </w:t>
      </w:r>
      <w:r>
        <w:rPr/>
        <w:t>年</w:t>
      </w:r>
      <w:r>
        <w:rPr>
          <w:spacing w:val="-45"/>
        </w:rPr>
        <w:t> </w:t>
      </w:r>
      <w:r>
        <w:rPr>
          <w:rFonts w:ascii="宋体" w:hAnsi="宋体" w:cs="宋体" w:eastAsia="宋体" w:hint="default"/>
        </w:rPr>
        <w:t>11</w:t>
      </w:r>
      <w:r>
        <w:rPr>
          <w:rFonts w:ascii="宋体" w:hAnsi="宋体" w:cs="宋体" w:eastAsia="宋体" w:hint="default"/>
          <w:spacing w:val="-47"/>
        </w:rPr>
        <w:t> </w:t>
      </w:r>
      <w:r>
        <w:rPr/>
        <w:t>月</w:t>
      </w:r>
      <w:r>
        <w:rPr>
          <w:spacing w:val="-45"/>
        </w:rPr>
        <w:t> </w:t>
      </w:r>
      <w:r>
        <w:rPr>
          <w:rFonts w:ascii="宋体" w:hAnsi="宋体" w:cs="宋体" w:eastAsia="宋体" w:hint="default"/>
        </w:rPr>
        <w:t>20</w:t>
      </w:r>
      <w:r>
        <w:rPr>
          <w:rFonts w:ascii="宋体" w:hAnsi="宋体" w:cs="宋体" w:eastAsia="宋体" w:hint="default"/>
          <w:spacing w:val="-45"/>
        </w:rPr>
        <w:t> </w:t>
      </w:r>
      <w:r>
        <w:rPr>
          <w:spacing w:val="-3"/>
        </w:rPr>
        <w:t>日，创世漫道与杭州银行股份有限公司北京丰台支行签订编号为</w:t>
      </w:r>
      <w:r>
        <w:rPr>
          <w:spacing w:val="-45"/>
        </w:rPr>
        <w:t> </w:t>
      </w:r>
      <w:r>
        <w:rPr>
          <w:rFonts w:ascii="宋体" w:hAnsi="宋体" w:cs="宋体" w:eastAsia="宋体" w:hint="default"/>
        </w:rPr>
        <w:t>142C110201900006</w:t>
      </w:r>
    </w:p>
    <w:p>
      <w:pPr>
        <w:pStyle w:val="BodyText"/>
        <w:spacing w:line="273" w:lineRule="exact"/>
        <w:ind w:left="143" w:right="0"/>
        <w:jc w:val="both"/>
        <w:rPr>
          <w:rFonts w:ascii="宋体" w:hAnsi="宋体" w:cs="宋体" w:eastAsia="宋体" w:hint="default"/>
        </w:rPr>
      </w:pPr>
      <w:r>
        <w:rPr>
          <w:spacing w:val="-11"/>
        </w:rPr>
        <w:t>的借款合同，借款</w:t>
      </w:r>
      <w:r>
        <w:rPr>
          <w:spacing w:val="-42"/>
        </w:rPr>
        <w:t> </w:t>
      </w:r>
      <w:r>
        <w:rPr>
          <w:rFonts w:ascii="宋体" w:hAnsi="宋体" w:cs="宋体" w:eastAsia="宋体" w:hint="default"/>
        </w:rPr>
        <w:t>987.70721</w:t>
      </w:r>
      <w:r>
        <w:rPr>
          <w:rFonts w:ascii="宋体" w:hAnsi="宋体" w:cs="宋体" w:eastAsia="宋体" w:hint="default"/>
          <w:spacing w:val="-42"/>
        </w:rPr>
        <w:t> </w:t>
      </w:r>
      <w:r>
        <w:rPr>
          <w:spacing w:val="-12"/>
        </w:rPr>
        <w:t>万元，借款期为</w:t>
      </w:r>
      <w:r>
        <w:rPr>
          <w:spacing w:val="-41"/>
        </w:rPr>
        <w:t> </w:t>
      </w:r>
      <w:r>
        <w:rPr>
          <w:rFonts w:ascii="宋体" w:hAnsi="宋体" w:cs="宋体" w:eastAsia="宋体" w:hint="default"/>
        </w:rPr>
        <w:t>1</w:t>
      </w:r>
      <w:r>
        <w:rPr>
          <w:rFonts w:ascii="宋体" w:hAnsi="宋体" w:cs="宋体" w:eastAsia="宋体" w:hint="default"/>
          <w:spacing w:val="-45"/>
        </w:rPr>
        <w:t> </w:t>
      </w:r>
      <w:r>
        <w:rPr>
          <w:spacing w:val="-12"/>
        </w:rPr>
        <w:t>年，借款利率为</w:t>
      </w:r>
      <w:r>
        <w:rPr>
          <w:spacing w:val="-42"/>
        </w:rPr>
        <w:t> </w:t>
      </w:r>
      <w:r>
        <w:rPr>
          <w:rFonts w:ascii="宋体" w:hAnsi="宋体" w:cs="宋体" w:eastAsia="宋体" w:hint="default"/>
          <w:spacing w:val="-5"/>
        </w:rPr>
        <w:t>5.22%</w:t>
      </w:r>
      <w:r>
        <w:rPr>
          <w:spacing w:val="-5"/>
        </w:rPr>
        <w:t>，由中嘉博创作为连带责任保证人。</w:t>
      </w:r>
      <w:r>
        <w:rPr>
          <w:rFonts w:ascii="宋体" w:hAnsi="宋体" w:cs="宋体" w:eastAsia="宋体" w:hint="default"/>
        </w:rPr>
        <w:t> </w:t>
      </w:r>
    </w:p>
    <w:p>
      <w:pPr>
        <w:pStyle w:val="BodyText"/>
        <w:spacing w:line="273" w:lineRule="exact" w:before="155"/>
        <w:ind w:left="563" w:right="703"/>
        <w:jc w:val="left"/>
        <w:rPr>
          <w:rFonts w:ascii="宋体" w:hAnsi="宋体" w:cs="宋体" w:eastAsia="宋体" w:hint="default"/>
        </w:rPr>
      </w:pPr>
      <w:r>
        <w:rPr>
          <w:rFonts w:ascii="宋体" w:hAnsi="宋体" w:cs="宋体" w:eastAsia="宋体" w:hint="default"/>
        </w:rPr>
        <w:t>2019</w:t>
      </w:r>
      <w:r>
        <w:rPr>
          <w:rFonts w:ascii="宋体" w:hAnsi="宋体" w:cs="宋体" w:eastAsia="宋体" w:hint="default"/>
          <w:spacing w:val="-41"/>
        </w:rPr>
        <w:t> </w:t>
      </w:r>
      <w:r>
        <w:rPr/>
        <w:t>年</w:t>
      </w:r>
      <w:r>
        <w:rPr>
          <w:spacing w:val="-43"/>
        </w:rPr>
        <w:t> </w:t>
      </w:r>
      <w:r>
        <w:rPr>
          <w:rFonts w:ascii="宋体" w:hAnsi="宋体" w:cs="宋体" w:eastAsia="宋体" w:hint="default"/>
        </w:rPr>
        <w:t>12</w:t>
      </w:r>
      <w:r>
        <w:rPr>
          <w:rFonts w:ascii="宋体" w:hAnsi="宋体" w:cs="宋体" w:eastAsia="宋体" w:hint="default"/>
          <w:spacing w:val="-41"/>
        </w:rPr>
        <w:t> </w:t>
      </w:r>
      <w:r>
        <w:rPr/>
        <w:t>月</w:t>
      </w:r>
      <w:r>
        <w:rPr>
          <w:spacing w:val="-41"/>
        </w:rPr>
        <w:t> </w:t>
      </w:r>
      <w:r>
        <w:rPr>
          <w:rFonts w:ascii="宋体" w:hAnsi="宋体" w:cs="宋体" w:eastAsia="宋体" w:hint="default"/>
        </w:rPr>
        <w:t>4</w:t>
      </w:r>
      <w:r>
        <w:rPr>
          <w:rFonts w:ascii="宋体" w:hAnsi="宋体" w:cs="宋体" w:eastAsia="宋体" w:hint="default"/>
          <w:spacing w:val="-43"/>
        </w:rPr>
        <w:t> </w:t>
      </w:r>
      <w:r>
        <w:rPr/>
        <w:t>日，创世漫道与杭州银行股份有限公司北京丰台支行签订编号为</w:t>
      </w:r>
      <w:r>
        <w:rPr>
          <w:spacing w:val="-41"/>
        </w:rPr>
        <w:t> </w:t>
      </w:r>
      <w:r>
        <w:rPr>
          <w:rFonts w:ascii="宋体" w:hAnsi="宋体" w:cs="宋体" w:eastAsia="宋体" w:hint="default"/>
        </w:rPr>
        <w:t>142C110201900007</w:t>
      </w:r>
    </w:p>
    <w:p>
      <w:pPr>
        <w:pStyle w:val="BodyText"/>
        <w:spacing w:line="240" w:lineRule="auto"/>
        <w:ind w:left="143" w:right="703"/>
        <w:jc w:val="left"/>
        <w:rPr>
          <w:rFonts w:ascii="宋体" w:hAnsi="宋体" w:cs="宋体" w:eastAsia="宋体" w:hint="default"/>
        </w:rPr>
      </w:pPr>
      <w:r>
        <w:rPr/>
        <w:t>的借款合同，借款</w:t>
      </w:r>
      <w:r>
        <w:rPr>
          <w:spacing w:val="-50"/>
        </w:rPr>
        <w:t> </w:t>
      </w:r>
      <w:r>
        <w:rPr>
          <w:rFonts w:ascii="宋体" w:hAnsi="宋体" w:cs="宋体" w:eastAsia="宋体" w:hint="default"/>
        </w:rPr>
        <w:t>949.422445</w:t>
      </w:r>
      <w:r>
        <w:rPr>
          <w:rFonts w:ascii="宋体" w:hAnsi="宋体" w:cs="宋体" w:eastAsia="宋体" w:hint="default"/>
          <w:spacing w:val="-52"/>
        </w:rPr>
        <w:t> </w:t>
      </w:r>
      <w:r>
        <w:rPr/>
        <w:t>万元，借款期为</w:t>
      </w:r>
      <w:r>
        <w:rPr>
          <w:spacing w:val="-50"/>
        </w:rPr>
        <w:t> </w:t>
      </w:r>
      <w:r>
        <w:rPr>
          <w:rFonts w:ascii="宋体" w:hAnsi="宋体" w:cs="宋体" w:eastAsia="宋体" w:hint="default"/>
        </w:rPr>
        <w:t>1</w:t>
      </w:r>
      <w:r>
        <w:rPr>
          <w:rFonts w:ascii="宋体" w:hAnsi="宋体" w:cs="宋体" w:eastAsia="宋体" w:hint="default"/>
          <w:spacing w:val="-52"/>
        </w:rPr>
        <w:t> </w:t>
      </w:r>
      <w:r>
        <w:rPr/>
        <w:t>年，借款利率为</w:t>
      </w:r>
      <w:r>
        <w:rPr>
          <w:spacing w:val="-50"/>
        </w:rPr>
        <w:t> </w:t>
      </w:r>
      <w:r>
        <w:rPr>
          <w:rFonts w:ascii="宋体" w:hAnsi="宋体" w:cs="宋体" w:eastAsia="宋体" w:hint="default"/>
        </w:rPr>
        <w:t>5.22%</w:t>
      </w:r>
      <w:r>
        <w:rPr/>
        <w:t>，由中嘉博创作为连带责任保证</w:t>
      </w:r>
      <w:r>
        <w:rPr>
          <w:w w:val="100"/>
        </w:rPr>
        <w:t> </w:t>
      </w:r>
      <w:r>
        <w:rPr/>
        <w:t>人。</w:t>
      </w:r>
      <w:r>
        <w:rPr>
          <w:rFonts w:ascii="宋体" w:hAnsi="宋体" w:cs="宋体" w:eastAsia="宋体" w:hint="default"/>
        </w:rPr>
        <w:t> </w:t>
      </w:r>
    </w:p>
    <w:p>
      <w:pPr>
        <w:pStyle w:val="BodyText"/>
        <w:spacing w:line="274" w:lineRule="exact" w:before="152"/>
        <w:ind w:left="563" w:right="703"/>
        <w:jc w:val="left"/>
        <w:rPr>
          <w:rFonts w:ascii="宋体" w:hAnsi="宋体" w:cs="宋体" w:eastAsia="宋体" w:hint="default"/>
        </w:rPr>
      </w:pPr>
      <w:r>
        <w:rPr>
          <w:rFonts w:ascii="宋体" w:hAnsi="宋体" w:cs="宋体" w:eastAsia="宋体" w:hint="default"/>
        </w:rPr>
        <w:t>2019</w:t>
      </w:r>
      <w:r>
        <w:rPr>
          <w:rFonts w:ascii="宋体" w:hAnsi="宋体" w:cs="宋体" w:eastAsia="宋体" w:hint="default"/>
          <w:spacing w:val="-47"/>
        </w:rPr>
        <w:t> </w:t>
      </w:r>
      <w:r>
        <w:rPr/>
        <w:t>年</w:t>
      </w:r>
      <w:r>
        <w:rPr>
          <w:spacing w:val="-45"/>
        </w:rPr>
        <w:t> </w:t>
      </w:r>
      <w:r>
        <w:rPr>
          <w:rFonts w:ascii="宋体" w:hAnsi="宋体" w:cs="宋体" w:eastAsia="宋体" w:hint="default"/>
        </w:rPr>
        <w:t>12</w:t>
      </w:r>
      <w:r>
        <w:rPr>
          <w:rFonts w:ascii="宋体" w:hAnsi="宋体" w:cs="宋体" w:eastAsia="宋体" w:hint="default"/>
          <w:spacing w:val="-47"/>
        </w:rPr>
        <w:t> </w:t>
      </w:r>
      <w:r>
        <w:rPr/>
        <w:t>月</w:t>
      </w:r>
      <w:r>
        <w:rPr>
          <w:spacing w:val="-45"/>
        </w:rPr>
        <w:t> </w:t>
      </w:r>
      <w:r>
        <w:rPr>
          <w:rFonts w:ascii="宋体" w:hAnsi="宋体" w:cs="宋体" w:eastAsia="宋体" w:hint="default"/>
        </w:rPr>
        <w:t>19</w:t>
      </w:r>
      <w:r>
        <w:rPr>
          <w:rFonts w:ascii="宋体" w:hAnsi="宋体" w:cs="宋体" w:eastAsia="宋体" w:hint="default"/>
          <w:spacing w:val="-45"/>
        </w:rPr>
        <w:t> </w:t>
      </w:r>
      <w:r>
        <w:rPr>
          <w:spacing w:val="-3"/>
        </w:rPr>
        <w:t>日，创世漫道与杭州银行股份有限公司北京丰台支行签订编号为</w:t>
      </w:r>
      <w:r>
        <w:rPr>
          <w:spacing w:val="-45"/>
        </w:rPr>
        <w:t> </w:t>
      </w:r>
      <w:r>
        <w:rPr>
          <w:rFonts w:ascii="宋体" w:hAnsi="宋体" w:cs="宋体" w:eastAsia="宋体" w:hint="default"/>
        </w:rPr>
        <w:t>142C110201900008</w:t>
      </w:r>
    </w:p>
    <w:p>
      <w:pPr>
        <w:pStyle w:val="BodyText"/>
        <w:spacing w:line="272" w:lineRule="exact" w:before="27"/>
        <w:ind w:left="143" w:right="703"/>
        <w:jc w:val="left"/>
        <w:rPr>
          <w:rFonts w:ascii="宋体" w:hAnsi="宋体" w:cs="宋体" w:eastAsia="宋体" w:hint="default"/>
        </w:rPr>
      </w:pPr>
      <w:r>
        <w:rPr/>
        <w:t>的借款合同，借款</w:t>
      </w:r>
      <w:r>
        <w:rPr>
          <w:spacing w:val="-50"/>
        </w:rPr>
        <w:t> </w:t>
      </w:r>
      <w:r>
        <w:rPr>
          <w:rFonts w:ascii="宋体" w:hAnsi="宋体" w:cs="宋体" w:eastAsia="宋体" w:hint="default"/>
        </w:rPr>
        <w:t>1,649.421765</w:t>
      </w:r>
      <w:r>
        <w:rPr>
          <w:rFonts w:ascii="宋体" w:hAnsi="宋体" w:cs="宋体" w:eastAsia="宋体" w:hint="default"/>
          <w:spacing w:val="-50"/>
        </w:rPr>
        <w:t> </w:t>
      </w:r>
      <w:r>
        <w:rPr/>
        <w:t>万元，借款期为</w:t>
      </w:r>
      <w:r>
        <w:rPr>
          <w:spacing w:val="-53"/>
        </w:rPr>
        <w:t> </w:t>
      </w:r>
      <w:r>
        <w:rPr>
          <w:rFonts w:ascii="宋体" w:hAnsi="宋体" w:cs="宋体" w:eastAsia="宋体" w:hint="default"/>
        </w:rPr>
        <w:t>1</w:t>
      </w:r>
      <w:r>
        <w:rPr>
          <w:rFonts w:ascii="宋体" w:hAnsi="宋体" w:cs="宋体" w:eastAsia="宋体" w:hint="default"/>
          <w:spacing w:val="-52"/>
        </w:rPr>
        <w:t> </w:t>
      </w:r>
      <w:r>
        <w:rPr/>
        <w:t>年，借款利率为</w:t>
      </w:r>
      <w:r>
        <w:rPr>
          <w:spacing w:val="-50"/>
        </w:rPr>
        <w:t> </w:t>
      </w:r>
      <w:r>
        <w:rPr>
          <w:rFonts w:ascii="宋体" w:hAnsi="宋体" w:cs="宋体" w:eastAsia="宋体" w:hint="default"/>
        </w:rPr>
        <w:t>5.22%</w:t>
      </w:r>
      <w:r>
        <w:rPr/>
        <w:t>，由中嘉博创作为连带责任保</w:t>
      </w:r>
      <w:r>
        <w:rPr>
          <w:w w:val="100"/>
        </w:rPr>
        <w:t> </w:t>
      </w:r>
      <w:r>
        <w:rPr/>
        <w:t>证人。</w:t>
      </w:r>
      <w:r>
        <w:rPr>
          <w:rFonts w:ascii="宋体" w:hAnsi="宋体" w:cs="宋体" w:eastAsia="宋体" w:hint="default"/>
        </w:rPr>
        <w:t> </w:t>
      </w:r>
    </w:p>
    <w:p>
      <w:pPr>
        <w:pStyle w:val="BodyText"/>
        <w:spacing w:line="273" w:lineRule="exact" w:before="130"/>
        <w:ind w:left="563" w:right="703"/>
        <w:jc w:val="left"/>
      </w:pPr>
      <w:r>
        <w:rPr>
          <w:rFonts w:ascii="宋体" w:hAnsi="宋体" w:cs="宋体" w:eastAsia="宋体" w:hint="default"/>
        </w:rPr>
        <w:t>2019</w:t>
      </w:r>
      <w:r>
        <w:rPr>
          <w:rFonts w:ascii="宋体" w:hAnsi="宋体" w:cs="宋体" w:eastAsia="宋体" w:hint="default"/>
          <w:spacing w:val="-50"/>
        </w:rPr>
        <w:t> </w:t>
      </w:r>
      <w:r>
        <w:rPr/>
        <w:t>年</w:t>
      </w:r>
      <w:r>
        <w:rPr>
          <w:spacing w:val="-50"/>
        </w:rPr>
        <w:t> </w:t>
      </w:r>
      <w:r>
        <w:rPr>
          <w:rFonts w:ascii="宋体" w:hAnsi="宋体" w:cs="宋体" w:eastAsia="宋体" w:hint="default"/>
        </w:rPr>
        <w:t>5</w:t>
      </w:r>
      <w:r>
        <w:rPr>
          <w:rFonts w:ascii="宋体" w:hAnsi="宋体" w:cs="宋体" w:eastAsia="宋体" w:hint="default"/>
          <w:spacing w:val="-50"/>
        </w:rPr>
        <w:t> </w:t>
      </w:r>
      <w:r>
        <w:rPr/>
        <w:t>月</w:t>
      </w:r>
      <w:r>
        <w:rPr>
          <w:spacing w:val="-53"/>
        </w:rPr>
        <w:t> </w:t>
      </w:r>
      <w:r>
        <w:rPr>
          <w:rFonts w:ascii="宋体" w:hAnsi="宋体" w:cs="宋体" w:eastAsia="宋体" w:hint="default"/>
        </w:rPr>
        <w:t>15</w:t>
      </w:r>
      <w:r>
        <w:rPr>
          <w:rFonts w:ascii="宋体" w:hAnsi="宋体" w:cs="宋体" w:eastAsia="宋体" w:hint="default"/>
          <w:spacing w:val="-50"/>
        </w:rPr>
        <w:t> </w:t>
      </w:r>
      <w:r>
        <w:rPr/>
        <w:t>日，创世漫道与北京银行股份有限公司清华园支行签订编号为</w:t>
      </w:r>
      <w:r>
        <w:rPr>
          <w:spacing w:val="-51"/>
        </w:rPr>
        <w:t> </w:t>
      </w:r>
      <w:r>
        <w:rPr>
          <w:rFonts w:ascii="宋体" w:hAnsi="宋体" w:cs="宋体" w:eastAsia="宋体" w:hint="default"/>
        </w:rPr>
        <w:t>0551059</w:t>
      </w:r>
      <w:r>
        <w:rPr>
          <w:rFonts w:ascii="宋体" w:hAnsi="宋体" w:cs="宋体" w:eastAsia="宋体" w:hint="default"/>
          <w:spacing w:val="-50"/>
        </w:rPr>
        <w:t> </w:t>
      </w:r>
      <w:r>
        <w:rPr/>
        <w:t>的借款合同，</w:t>
      </w:r>
    </w:p>
    <w:p>
      <w:pPr>
        <w:pStyle w:val="BodyText"/>
        <w:spacing w:line="240" w:lineRule="auto"/>
        <w:ind w:left="143" w:right="703"/>
        <w:jc w:val="left"/>
        <w:rPr>
          <w:rFonts w:ascii="宋体" w:hAnsi="宋体" w:cs="宋体" w:eastAsia="宋体" w:hint="default"/>
        </w:rPr>
      </w:pPr>
      <w:r>
        <w:rPr/>
        <w:t>最高借款额为</w:t>
      </w:r>
      <w:r>
        <w:rPr>
          <w:spacing w:val="-50"/>
        </w:rPr>
        <w:t> </w:t>
      </w:r>
      <w:r>
        <w:rPr>
          <w:rFonts w:ascii="宋体" w:hAnsi="宋体" w:cs="宋体" w:eastAsia="宋体" w:hint="default"/>
        </w:rPr>
        <w:t>3,000</w:t>
      </w:r>
      <w:r>
        <w:rPr>
          <w:rFonts w:ascii="宋体" w:hAnsi="宋体" w:cs="宋体" w:eastAsia="宋体" w:hint="default"/>
          <w:spacing w:val="-53"/>
        </w:rPr>
        <w:t> </w:t>
      </w:r>
      <w:r>
        <w:rPr>
          <w:spacing w:val="-10"/>
        </w:rPr>
        <w:t>万元，截止</w:t>
      </w:r>
      <w:r>
        <w:rPr>
          <w:spacing w:val="-53"/>
        </w:rPr>
        <w:t> </w:t>
      </w:r>
      <w:r>
        <w:rPr>
          <w:rFonts w:ascii="宋体" w:hAnsi="宋体" w:cs="宋体" w:eastAsia="宋体" w:hint="default"/>
        </w:rPr>
        <w:t>2019</w:t>
      </w:r>
      <w:r>
        <w:rPr>
          <w:rFonts w:ascii="宋体" w:hAnsi="宋体" w:cs="宋体" w:eastAsia="宋体" w:hint="default"/>
          <w:spacing w:val="-53"/>
        </w:rPr>
        <w:t> </w:t>
      </w:r>
      <w:r>
        <w:rPr/>
        <w:t>年</w:t>
      </w:r>
      <w:r>
        <w:rPr>
          <w:spacing w:val="-51"/>
        </w:rPr>
        <w:t> </w:t>
      </w:r>
      <w:r>
        <w:rPr>
          <w:rFonts w:ascii="宋体" w:hAnsi="宋体" w:cs="宋体" w:eastAsia="宋体" w:hint="default"/>
        </w:rPr>
        <w:t>12</w:t>
      </w:r>
      <w:r>
        <w:rPr>
          <w:rFonts w:ascii="宋体" w:hAnsi="宋体" w:cs="宋体" w:eastAsia="宋体" w:hint="default"/>
          <w:spacing w:val="-51"/>
        </w:rPr>
        <w:t> </w:t>
      </w:r>
      <w:r>
        <w:rPr/>
        <w:t>月</w:t>
      </w:r>
      <w:r>
        <w:rPr>
          <w:spacing w:val="-53"/>
        </w:rPr>
        <w:t> </w:t>
      </w:r>
      <w:r>
        <w:rPr>
          <w:rFonts w:ascii="宋体" w:hAnsi="宋体" w:cs="宋体" w:eastAsia="宋体" w:hint="default"/>
        </w:rPr>
        <w:t>31</w:t>
      </w:r>
      <w:r>
        <w:rPr>
          <w:rFonts w:ascii="宋体" w:hAnsi="宋体" w:cs="宋体" w:eastAsia="宋体" w:hint="default"/>
          <w:spacing w:val="-51"/>
        </w:rPr>
        <w:t> </w:t>
      </w:r>
      <w:r>
        <w:rPr>
          <w:spacing w:val="-8"/>
        </w:rPr>
        <w:t>日，借款余额为</w:t>
      </w:r>
      <w:r>
        <w:rPr>
          <w:spacing w:val="-50"/>
        </w:rPr>
        <w:t> </w:t>
      </w:r>
      <w:r>
        <w:rPr>
          <w:rFonts w:ascii="宋体" w:hAnsi="宋体" w:cs="宋体" w:eastAsia="宋体" w:hint="default"/>
        </w:rPr>
        <w:t>2,964.965082</w:t>
      </w:r>
      <w:r>
        <w:rPr>
          <w:rFonts w:ascii="宋体" w:hAnsi="宋体" w:cs="宋体" w:eastAsia="宋体" w:hint="default"/>
          <w:spacing w:val="-51"/>
        </w:rPr>
        <w:t> </w:t>
      </w:r>
      <w:r>
        <w:rPr>
          <w:spacing w:val="-7"/>
        </w:rPr>
        <w:t>万元，借款期限为</w:t>
      </w:r>
      <w:r>
        <w:rPr>
          <w:spacing w:val="-53"/>
        </w:rPr>
        <w:t> </w:t>
      </w:r>
      <w:r>
        <w:rPr>
          <w:rFonts w:ascii="宋体" w:hAnsi="宋体" w:cs="宋体" w:eastAsia="宋体" w:hint="default"/>
        </w:rPr>
        <w:t>1</w:t>
      </w:r>
      <w:r>
        <w:rPr>
          <w:rFonts w:ascii="宋体" w:hAnsi="宋体" w:cs="宋体" w:eastAsia="宋体" w:hint="default"/>
          <w:spacing w:val="-51"/>
        </w:rPr>
        <w:t> </w:t>
      </w:r>
      <w:r>
        <w:rPr>
          <w:spacing w:val="-3"/>
        </w:rPr>
        <w:t>年，</w:t>
      </w:r>
      <w:r>
        <w:rPr>
          <w:spacing w:val="-3"/>
          <w:w w:val="100"/>
        </w:rPr>
        <w:t> </w:t>
      </w:r>
      <w:r>
        <w:rPr/>
        <w:t>借款利率为</w:t>
      </w:r>
      <w:r>
        <w:rPr>
          <w:spacing w:val="-58"/>
        </w:rPr>
        <w:t> </w:t>
      </w:r>
      <w:r>
        <w:rPr>
          <w:rFonts w:ascii="宋体" w:hAnsi="宋体" w:cs="宋体" w:eastAsia="宋体" w:hint="default"/>
        </w:rPr>
        <w:t>5.22%</w:t>
      </w:r>
      <w:r>
        <w:rPr/>
        <w:t>，由中嘉博创作为连带责任保证人。</w:t>
      </w:r>
      <w:r>
        <w:rPr>
          <w:rFonts w:ascii="宋体" w:hAnsi="宋体" w:cs="宋体" w:eastAsia="宋体" w:hint="default"/>
        </w:rPr>
        <w:t> </w:t>
      </w:r>
    </w:p>
    <w:p>
      <w:pPr>
        <w:pStyle w:val="BodyText"/>
        <w:spacing w:line="274" w:lineRule="exact" w:before="152"/>
        <w:ind w:left="563" w:right="703"/>
        <w:jc w:val="left"/>
      </w:pPr>
      <w:r>
        <w:rPr>
          <w:rFonts w:ascii="宋体" w:hAnsi="宋体" w:cs="宋体" w:eastAsia="宋体" w:hint="default"/>
        </w:rPr>
        <w:t>2019</w:t>
      </w:r>
      <w:r>
        <w:rPr>
          <w:rFonts w:ascii="宋体" w:hAnsi="宋体" w:cs="宋体" w:eastAsia="宋体" w:hint="default"/>
          <w:spacing w:val="-50"/>
        </w:rPr>
        <w:t> </w:t>
      </w:r>
      <w:r>
        <w:rPr/>
        <w:t>年</w:t>
      </w:r>
      <w:r>
        <w:rPr>
          <w:spacing w:val="-50"/>
        </w:rPr>
        <w:t> </w:t>
      </w:r>
      <w:r>
        <w:rPr>
          <w:rFonts w:ascii="宋体" w:hAnsi="宋体" w:cs="宋体" w:eastAsia="宋体" w:hint="default"/>
        </w:rPr>
        <w:t>7</w:t>
      </w:r>
      <w:r>
        <w:rPr>
          <w:rFonts w:ascii="宋体" w:hAnsi="宋体" w:cs="宋体" w:eastAsia="宋体" w:hint="default"/>
          <w:spacing w:val="-50"/>
        </w:rPr>
        <w:t> </w:t>
      </w:r>
      <w:r>
        <w:rPr/>
        <w:t>月</w:t>
      </w:r>
      <w:r>
        <w:rPr>
          <w:spacing w:val="-50"/>
        </w:rPr>
        <w:t> </w:t>
      </w:r>
      <w:r>
        <w:rPr>
          <w:rFonts w:ascii="宋体" w:hAnsi="宋体" w:cs="宋体" w:eastAsia="宋体" w:hint="default"/>
        </w:rPr>
        <w:t>1</w:t>
      </w:r>
      <w:r>
        <w:rPr>
          <w:rFonts w:ascii="宋体" w:hAnsi="宋体" w:cs="宋体" w:eastAsia="宋体" w:hint="default"/>
          <w:spacing w:val="-53"/>
        </w:rPr>
        <w:t> </w:t>
      </w:r>
      <w:r>
        <w:rPr/>
        <w:t>日，创世漫道与北京银行股份有限公司清华园支行签订编号为</w:t>
      </w:r>
      <w:r>
        <w:rPr>
          <w:spacing w:val="-53"/>
        </w:rPr>
        <w:t> </w:t>
      </w:r>
      <w:r>
        <w:rPr>
          <w:rFonts w:ascii="宋体" w:hAnsi="宋体" w:cs="宋体" w:eastAsia="宋体" w:hint="default"/>
        </w:rPr>
        <w:t>0559324</w:t>
      </w:r>
      <w:r>
        <w:rPr>
          <w:rFonts w:ascii="宋体" w:hAnsi="宋体" w:cs="宋体" w:eastAsia="宋体" w:hint="default"/>
          <w:spacing w:val="-50"/>
        </w:rPr>
        <w:t> </w:t>
      </w:r>
      <w:r>
        <w:rPr/>
        <w:t>的借款合同，</w:t>
      </w:r>
    </w:p>
    <w:p>
      <w:pPr>
        <w:pStyle w:val="BodyText"/>
        <w:spacing w:line="272" w:lineRule="exact" w:before="27"/>
        <w:ind w:left="143" w:right="703"/>
        <w:jc w:val="left"/>
        <w:rPr>
          <w:rFonts w:ascii="宋体" w:hAnsi="宋体" w:cs="宋体" w:eastAsia="宋体" w:hint="default"/>
        </w:rPr>
      </w:pPr>
      <w:r>
        <w:rPr/>
        <w:t>最高借款额为</w:t>
      </w:r>
      <w:r>
        <w:rPr>
          <w:spacing w:val="-50"/>
        </w:rPr>
        <w:t> </w:t>
      </w:r>
      <w:r>
        <w:rPr>
          <w:rFonts w:ascii="宋体" w:hAnsi="宋体" w:cs="宋体" w:eastAsia="宋体" w:hint="default"/>
        </w:rPr>
        <w:t>5,000</w:t>
      </w:r>
      <w:r>
        <w:rPr>
          <w:rFonts w:ascii="宋体" w:hAnsi="宋体" w:cs="宋体" w:eastAsia="宋体" w:hint="default"/>
          <w:spacing w:val="-53"/>
        </w:rPr>
        <w:t> </w:t>
      </w:r>
      <w:r>
        <w:rPr>
          <w:spacing w:val="-10"/>
        </w:rPr>
        <w:t>万元，截止</w:t>
      </w:r>
      <w:r>
        <w:rPr>
          <w:spacing w:val="-53"/>
        </w:rPr>
        <w:t> </w:t>
      </w:r>
      <w:r>
        <w:rPr>
          <w:rFonts w:ascii="宋体" w:hAnsi="宋体" w:cs="宋体" w:eastAsia="宋体" w:hint="default"/>
        </w:rPr>
        <w:t>2019</w:t>
      </w:r>
      <w:r>
        <w:rPr>
          <w:rFonts w:ascii="宋体" w:hAnsi="宋体" w:cs="宋体" w:eastAsia="宋体" w:hint="default"/>
          <w:spacing w:val="-53"/>
        </w:rPr>
        <w:t> </w:t>
      </w:r>
      <w:r>
        <w:rPr/>
        <w:t>年</w:t>
      </w:r>
      <w:r>
        <w:rPr>
          <w:spacing w:val="-51"/>
        </w:rPr>
        <w:t> </w:t>
      </w:r>
      <w:r>
        <w:rPr>
          <w:rFonts w:ascii="宋体" w:hAnsi="宋体" w:cs="宋体" w:eastAsia="宋体" w:hint="default"/>
        </w:rPr>
        <w:t>12</w:t>
      </w:r>
      <w:r>
        <w:rPr>
          <w:rFonts w:ascii="宋体" w:hAnsi="宋体" w:cs="宋体" w:eastAsia="宋体" w:hint="default"/>
          <w:spacing w:val="-51"/>
        </w:rPr>
        <w:t> </w:t>
      </w:r>
      <w:r>
        <w:rPr/>
        <w:t>月</w:t>
      </w:r>
      <w:r>
        <w:rPr>
          <w:spacing w:val="-53"/>
        </w:rPr>
        <w:t> </w:t>
      </w:r>
      <w:r>
        <w:rPr>
          <w:rFonts w:ascii="宋体" w:hAnsi="宋体" w:cs="宋体" w:eastAsia="宋体" w:hint="default"/>
        </w:rPr>
        <w:t>31</w:t>
      </w:r>
      <w:r>
        <w:rPr>
          <w:rFonts w:ascii="宋体" w:hAnsi="宋体" w:cs="宋体" w:eastAsia="宋体" w:hint="default"/>
          <w:spacing w:val="-51"/>
        </w:rPr>
        <w:t> </w:t>
      </w:r>
      <w:r>
        <w:rPr>
          <w:spacing w:val="-8"/>
        </w:rPr>
        <w:t>日，借款余额为</w:t>
      </w:r>
      <w:r>
        <w:rPr>
          <w:spacing w:val="-50"/>
        </w:rPr>
        <w:t> </w:t>
      </w:r>
      <w:r>
        <w:rPr>
          <w:rFonts w:ascii="宋体" w:hAnsi="宋体" w:cs="宋体" w:eastAsia="宋体" w:hint="default"/>
        </w:rPr>
        <w:t>4,945.106948</w:t>
      </w:r>
      <w:r>
        <w:rPr>
          <w:rFonts w:ascii="宋体" w:hAnsi="宋体" w:cs="宋体" w:eastAsia="宋体" w:hint="default"/>
          <w:spacing w:val="-51"/>
        </w:rPr>
        <w:t> </w:t>
      </w:r>
      <w:r>
        <w:rPr>
          <w:spacing w:val="-7"/>
        </w:rPr>
        <w:t>万元，借款期限为</w:t>
      </w:r>
      <w:r>
        <w:rPr>
          <w:spacing w:val="-53"/>
        </w:rPr>
        <w:t> </w:t>
      </w:r>
      <w:r>
        <w:rPr>
          <w:rFonts w:ascii="宋体" w:hAnsi="宋体" w:cs="宋体" w:eastAsia="宋体" w:hint="default"/>
        </w:rPr>
        <w:t>1</w:t>
      </w:r>
      <w:r>
        <w:rPr>
          <w:rFonts w:ascii="宋体" w:hAnsi="宋体" w:cs="宋体" w:eastAsia="宋体" w:hint="default"/>
          <w:spacing w:val="-51"/>
        </w:rPr>
        <w:t> </w:t>
      </w:r>
      <w:r>
        <w:rPr>
          <w:spacing w:val="-3"/>
        </w:rPr>
        <w:t>年，</w:t>
      </w:r>
      <w:r>
        <w:rPr>
          <w:spacing w:val="-3"/>
          <w:w w:val="100"/>
        </w:rPr>
        <w:t> </w:t>
      </w:r>
      <w:r>
        <w:rPr/>
        <w:t>借款利率为</w:t>
      </w:r>
      <w:r>
        <w:rPr>
          <w:spacing w:val="-54"/>
        </w:rPr>
        <w:t> </w:t>
      </w:r>
      <w:r>
        <w:rPr>
          <w:rFonts w:ascii="宋体" w:hAnsi="宋体" w:cs="宋体" w:eastAsia="宋体" w:hint="default"/>
        </w:rPr>
        <w:t>4.88%</w:t>
      </w:r>
      <w:r>
        <w:rPr/>
        <w:t>和</w:t>
      </w:r>
      <w:r>
        <w:rPr>
          <w:spacing w:val="-57"/>
        </w:rPr>
        <w:t> </w:t>
      </w:r>
      <w:r>
        <w:rPr>
          <w:rFonts w:ascii="宋体" w:hAnsi="宋体" w:cs="宋体" w:eastAsia="宋体" w:hint="default"/>
        </w:rPr>
        <w:t>4.82%</w:t>
      </w:r>
      <w:r>
        <w:rPr/>
        <w:t>，由中嘉博创作为连带责任保证人。</w:t>
      </w:r>
      <w:r>
        <w:rPr>
          <w:rFonts w:ascii="宋体" w:hAnsi="宋体" w:cs="宋体" w:eastAsia="宋体" w:hint="default"/>
        </w:rPr>
        <w:t> </w:t>
      </w:r>
    </w:p>
    <w:p>
      <w:pPr>
        <w:pStyle w:val="BodyText"/>
        <w:spacing w:line="273" w:lineRule="exact" w:before="130"/>
        <w:ind w:left="563" w:right="703"/>
        <w:jc w:val="left"/>
      </w:pPr>
      <w:r>
        <w:rPr>
          <w:rFonts w:ascii="宋体" w:hAnsi="宋体" w:cs="宋体" w:eastAsia="宋体" w:hint="default"/>
        </w:rPr>
        <w:t>2019</w:t>
      </w:r>
      <w:r>
        <w:rPr>
          <w:rFonts w:ascii="宋体" w:hAnsi="宋体" w:cs="宋体" w:eastAsia="宋体" w:hint="default"/>
          <w:spacing w:val="-35"/>
        </w:rPr>
        <w:t> </w:t>
      </w:r>
      <w:r>
        <w:rPr/>
        <w:t>年</w:t>
      </w:r>
      <w:r>
        <w:rPr>
          <w:spacing w:val="-35"/>
        </w:rPr>
        <w:t> </w:t>
      </w:r>
      <w:r>
        <w:rPr>
          <w:rFonts w:ascii="宋体" w:hAnsi="宋体" w:cs="宋体" w:eastAsia="宋体" w:hint="default"/>
        </w:rPr>
        <w:t>12</w:t>
      </w:r>
      <w:r>
        <w:rPr>
          <w:rFonts w:ascii="宋体" w:hAnsi="宋体" w:cs="宋体" w:eastAsia="宋体" w:hint="default"/>
          <w:spacing w:val="-35"/>
        </w:rPr>
        <w:t> </w:t>
      </w:r>
      <w:r>
        <w:rPr/>
        <w:t>月</w:t>
      </w:r>
      <w:r>
        <w:rPr>
          <w:spacing w:val="-35"/>
        </w:rPr>
        <w:t> </w:t>
      </w:r>
      <w:r>
        <w:rPr>
          <w:rFonts w:ascii="宋体" w:hAnsi="宋体" w:cs="宋体" w:eastAsia="宋体" w:hint="default"/>
        </w:rPr>
        <w:t>5</w:t>
      </w:r>
      <w:r>
        <w:rPr>
          <w:rFonts w:ascii="宋体" w:hAnsi="宋体" w:cs="宋体" w:eastAsia="宋体" w:hint="default"/>
          <w:spacing w:val="-35"/>
        </w:rPr>
        <w:t> </w:t>
      </w:r>
      <w:r>
        <w:rPr/>
        <w:t>日，嘉华信息与交通银行北京天通苑支行签订编号为</w:t>
      </w:r>
      <w:r>
        <w:rPr>
          <w:spacing w:val="-37"/>
        </w:rPr>
        <w:t> </w:t>
      </w:r>
      <w:r>
        <w:rPr>
          <w:rFonts w:ascii="宋体" w:hAnsi="宋体" w:cs="宋体" w:eastAsia="宋体" w:hint="default"/>
        </w:rPr>
        <w:t>401910009</w:t>
      </w:r>
      <w:r>
        <w:rPr>
          <w:rFonts w:ascii="宋体" w:hAnsi="宋体" w:cs="宋体" w:eastAsia="宋体" w:hint="default"/>
          <w:spacing w:val="-35"/>
        </w:rPr>
        <w:t> </w:t>
      </w:r>
      <w:r>
        <w:rPr/>
        <w:t>的借款合同，借款</w:t>
      </w:r>
    </w:p>
    <w:p>
      <w:pPr>
        <w:pStyle w:val="BodyText"/>
        <w:spacing w:line="272" w:lineRule="exact"/>
        <w:ind w:left="143" w:right="0"/>
        <w:jc w:val="both"/>
      </w:pPr>
      <w:r>
        <w:rPr>
          <w:rFonts w:ascii="宋体" w:hAnsi="宋体" w:cs="宋体" w:eastAsia="宋体" w:hint="default"/>
        </w:rPr>
        <w:t>500</w:t>
      </w:r>
      <w:r>
        <w:rPr>
          <w:rFonts w:ascii="宋体" w:hAnsi="宋体" w:cs="宋体" w:eastAsia="宋体" w:hint="default"/>
          <w:spacing w:val="-49"/>
        </w:rPr>
        <w:t> </w:t>
      </w:r>
      <w:r>
        <w:rPr>
          <w:spacing w:val="-4"/>
        </w:rPr>
        <w:t>万元，借款期为</w:t>
      </w:r>
      <w:r>
        <w:rPr>
          <w:spacing w:val="-50"/>
        </w:rPr>
        <w:t> </w:t>
      </w:r>
      <w:r>
        <w:rPr>
          <w:rFonts w:ascii="宋体" w:hAnsi="宋体" w:cs="宋体" w:eastAsia="宋体" w:hint="default"/>
        </w:rPr>
        <w:t>1</w:t>
      </w:r>
      <w:r>
        <w:rPr>
          <w:rFonts w:ascii="宋体" w:hAnsi="宋体" w:cs="宋体" w:eastAsia="宋体" w:hint="default"/>
          <w:spacing w:val="-50"/>
        </w:rPr>
        <w:t> </w:t>
      </w:r>
      <w:r>
        <w:rPr>
          <w:spacing w:val="-4"/>
        </w:rPr>
        <w:t>年，借款利率为</w:t>
      </w:r>
      <w:r>
        <w:rPr>
          <w:spacing w:val="-49"/>
        </w:rPr>
        <w:t> </w:t>
      </w:r>
      <w:r>
        <w:rPr>
          <w:rFonts w:ascii="宋体" w:hAnsi="宋体" w:cs="宋体" w:eastAsia="宋体" w:hint="default"/>
        </w:rPr>
        <w:t>4.35%</w:t>
      </w:r>
      <w:r>
        <w:rPr/>
        <w:t>。北京中关村科技融资担保有限公司作为连带责任保证人为</w:t>
      </w:r>
    </w:p>
    <w:p>
      <w:pPr>
        <w:pStyle w:val="BodyText"/>
        <w:spacing w:line="272" w:lineRule="exact" w:before="27"/>
        <w:ind w:left="143" w:right="1066"/>
        <w:jc w:val="left"/>
        <w:rPr>
          <w:rFonts w:ascii="宋体" w:hAnsi="宋体" w:cs="宋体" w:eastAsia="宋体" w:hint="default"/>
        </w:rPr>
      </w:pPr>
      <w:r>
        <w:rPr/>
        <w:t>嘉华信息提供最高额授信额度，金额为</w:t>
      </w:r>
      <w:r>
        <w:rPr>
          <w:spacing w:val="-37"/>
        </w:rPr>
        <w:t> </w:t>
      </w:r>
      <w:r>
        <w:rPr>
          <w:rFonts w:ascii="宋体" w:hAnsi="宋体" w:cs="宋体" w:eastAsia="宋体" w:hint="default"/>
        </w:rPr>
        <w:t>3000</w:t>
      </w:r>
      <w:r>
        <w:rPr>
          <w:rFonts w:ascii="宋体" w:hAnsi="宋体" w:cs="宋体" w:eastAsia="宋体" w:hint="default"/>
          <w:spacing w:val="-36"/>
        </w:rPr>
        <w:t> </w:t>
      </w:r>
      <w:r>
        <w:rPr/>
        <w:t>万元，担保期限为</w:t>
      </w:r>
      <w:r>
        <w:rPr>
          <w:spacing w:val="-35"/>
        </w:rPr>
        <w:t> </w:t>
      </w:r>
      <w:r>
        <w:rPr>
          <w:rFonts w:ascii="宋体" w:hAnsi="宋体" w:cs="宋体" w:eastAsia="宋体" w:hint="default"/>
        </w:rPr>
        <w:t>18</w:t>
      </w:r>
      <w:r>
        <w:rPr>
          <w:rFonts w:ascii="宋体" w:hAnsi="宋体" w:cs="宋体" w:eastAsia="宋体" w:hint="default"/>
          <w:spacing w:val="-35"/>
        </w:rPr>
        <w:t> </w:t>
      </w:r>
      <w:r>
        <w:rPr/>
        <w:t>个月，同时，中嘉博创和刘英魁与北</w:t>
      </w:r>
      <w:r>
        <w:rPr>
          <w:w w:val="100"/>
        </w:rPr>
        <w:t> </w:t>
      </w:r>
      <w:r>
        <w:rPr>
          <w:spacing w:val="-2"/>
          <w:w w:val="100"/>
        </w:rPr>
        <w:t>京中关村科技融资担保有限公司对该借款签订</w:t>
      </w:r>
      <w:r>
        <w:rPr>
          <w:spacing w:val="-45"/>
          <w:w w:val="100"/>
        </w:rPr>
        <w:t> </w:t>
      </w:r>
      <w:r>
        <w:rPr>
          <w:rFonts w:ascii="宋体" w:hAnsi="宋体" w:cs="宋体" w:eastAsia="宋体" w:hint="default"/>
          <w:spacing w:val="-1"/>
          <w:w w:val="100"/>
        </w:rPr>
        <w:t>2019</w:t>
      </w:r>
      <w:r>
        <w:rPr>
          <w:rFonts w:ascii="宋体" w:hAnsi="宋体" w:cs="宋体" w:eastAsia="宋体" w:hint="default"/>
          <w:spacing w:val="-48"/>
          <w:w w:val="100"/>
        </w:rPr>
        <w:t> </w:t>
      </w:r>
      <w:r>
        <w:rPr>
          <w:w w:val="100"/>
        </w:rPr>
        <w:t>年</w:t>
      </w:r>
      <w:r>
        <w:rPr>
          <w:spacing w:val="-46"/>
          <w:w w:val="100"/>
        </w:rPr>
        <w:t> </w:t>
      </w:r>
      <w:r>
        <w:rPr>
          <w:rFonts w:ascii="宋体" w:hAnsi="宋体" w:cs="宋体" w:eastAsia="宋体" w:hint="default"/>
          <w:spacing w:val="-1"/>
          <w:w w:val="100"/>
        </w:rPr>
        <w:t>BZ1438</w:t>
      </w:r>
      <w:r>
        <w:rPr>
          <w:rFonts w:ascii="宋体" w:hAnsi="宋体" w:cs="宋体" w:eastAsia="宋体" w:hint="default"/>
          <w:spacing w:val="-48"/>
          <w:w w:val="100"/>
        </w:rPr>
        <w:t> </w:t>
      </w:r>
      <w:r>
        <w:rPr>
          <w:spacing w:val="-9"/>
          <w:w w:val="100"/>
        </w:rPr>
        <w:t>号《最高额反担保（保证）合同》。</w:t>
      </w:r>
      <w:r>
        <w:rPr>
          <w:rFonts w:ascii="宋体" w:hAnsi="宋体" w:cs="宋体" w:eastAsia="宋体" w:hint="default"/>
          <w:w w:val="100"/>
        </w:rPr>
        <w:t> </w:t>
      </w:r>
    </w:p>
    <w:p>
      <w:pPr>
        <w:pStyle w:val="BodyText"/>
        <w:spacing w:line="274" w:lineRule="exact" w:before="127"/>
        <w:ind w:left="563" w:right="703"/>
        <w:jc w:val="left"/>
      </w:pPr>
      <w:r>
        <w:rPr>
          <w:rFonts w:ascii="宋体" w:hAnsi="宋体" w:cs="宋体" w:eastAsia="宋体" w:hint="default"/>
        </w:rPr>
        <w:t>2019</w:t>
      </w:r>
      <w:r>
        <w:rPr>
          <w:rFonts w:ascii="宋体" w:hAnsi="宋体" w:cs="宋体" w:eastAsia="宋体" w:hint="default"/>
          <w:spacing w:val="-49"/>
        </w:rPr>
        <w:t> </w:t>
      </w:r>
      <w:r>
        <w:rPr/>
        <w:t>年</w:t>
      </w:r>
      <w:r>
        <w:rPr>
          <w:spacing w:val="-47"/>
        </w:rPr>
        <w:t> </w:t>
      </w:r>
      <w:r>
        <w:rPr>
          <w:rFonts w:ascii="宋体" w:hAnsi="宋体" w:cs="宋体" w:eastAsia="宋体" w:hint="default"/>
        </w:rPr>
        <w:t>12</w:t>
      </w:r>
      <w:r>
        <w:rPr>
          <w:rFonts w:ascii="宋体" w:hAnsi="宋体" w:cs="宋体" w:eastAsia="宋体" w:hint="default"/>
          <w:spacing w:val="-49"/>
        </w:rPr>
        <w:t> </w:t>
      </w:r>
      <w:r>
        <w:rPr/>
        <w:t>月</w:t>
      </w:r>
      <w:r>
        <w:rPr>
          <w:spacing w:val="-47"/>
        </w:rPr>
        <w:t> </w:t>
      </w:r>
      <w:r>
        <w:rPr>
          <w:rFonts w:ascii="宋体" w:hAnsi="宋体" w:cs="宋体" w:eastAsia="宋体" w:hint="default"/>
        </w:rPr>
        <w:t>12</w:t>
      </w:r>
      <w:r>
        <w:rPr>
          <w:rFonts w:ascii="宋体" w:hAnsi="宋体" w:cs="宋体" w:eastAsia="宋体" w:hint="default"/>
          <w:spacing w:val="-47"/>
        </w:rPr>
        <w:t> </w:t>
      </w:r>
      <w:r>
        <w:rPr>
          <w:spacing w:val="-5"/>
        </w:rPr>
        <w:t>日，嘉华信息与江苏银行股份有限公司北京分行签订编号为</w:t>
      </w:r>
      <w:r>
        <w:rPr>
          <w:spacing w:val="-49"/>
        </w:rPr>
        <w:t> </w:t>
      </w:r>
      <w:r>
        <w:rPr>
          <w:rFonts w:ascii="宋体" w:hAnsi="宋体" w:cs="宋体" w:eastAsia="宋体" w:hint="default"/>
        </w:rPr>
        <w:t>JK174019000066</w:t>
      </w:r>
      <w:r>
        <w:rPr>
          <w:rFonts w:ascii="宋体" w:hAnsi="宋体" w:cs="宋体" w:eastAsia="宋体" w:hint="default"/>
          <w:spacing w:val="-46"/>
        </w:rPr>
        <w:t> </w:t>
      </w:r>
      <w:r>
        <w:rPr/>
        <w:t>的借款</w:t>
      </w:r>
    </w:p>
    <w:p>
      <w:pPr>
        <w:pStyle w:val="BodyText"/>
        <w:spacing w:line="274" w:lineRule="exact"/>
        <w:ind w:left="143" w:right="0"/>
        <w:jc w:val="both"/>
        <w:rPr>
          <w:rFonts w:ascii="宋体" w:hAnsi="宋体" w:cs="宋体" w:eastAsia="宋体" w:hint="default"/>
        </w:rPr>
      </w:pPr>
      <w:r>
        <w:rPr/>
        <w:t>合同，借款</w:t>
      </w:r>
      <w:r>
        <w:rPr>
          <w:spacing w:val="-53"/>
        </w:rPr>
        <w:t> </w:t>
      </w:r>
      <w:r>
        <w:rPr>
          <w:rFonts w:ascii="宋体" w:hAnsi="宋体" w:cs="宋体" w:eastAsia="宋体" w:hint="default"/>
        </w:rPr>
        <w:t>500</w:t>
      </w:r>
      <w:r>
        <w:rPr>
          <w:rFonts w:ascii="宋体" w:hAnsi="宋体" w:cs="宋体" w:eastAsia="宋体" w:hint="default"/>
          <w:spacing w:val="-56"/>
        </w:rPr>
        <w:t> </w:t>
      </w:r>
      <w:r>
        <w:rPr/>
        <w:t>万元，借款期为</w:t>
      </w:r>
      <w:r>
        <w:rPr>
          <w:spacing w:val="-53"/>
        </w:rPr>
        <w:t> </w:t>
      </w:r>
      <w:r>
        <w:rPr>
          <w:rFonts w:ascii="宋体" w:hAnsi="宋体" w:cs="宋体" w:eastAsia="宋体" w:hint="default"/>
        </w:rPr>
        <w:t>1</w:t>
      </w:r>
      <w:r>
        <w:rPr>
          <w:rFonts w:ascii="宋体" w:hAnsi="宋体" w:cs="宋体" w:eastAsia="宋体" w:hint="default"/>
          <w:spacing w:val="-54"/>
        </w:rPr>
        <w:t> </w:t>
      </w:r>
      <w:r>
        <w:rPr/>
        <w:t>年，借款利率为</w:t>
      </w:r>
      <w:r>
        <w:rPr>
          <w:spacing w:val="-56"/>
        </w:rPr>
        <w:t> </w:t>
      </w:r>
      <w:r>
        <w:rPr>
          <w:rFonts w:ascii="宋体" w:hAnsi="宋体" w:cs="宋体" w:eastAsia="宋体" w:hint="default"/>
        </w:rPr>
        <w:t>6.525%</w:t>
      </w:r>
      <w:r>
        <w:rPr/>
        <w:t>，由中嘉博创、刘英魁作为连带责任保证人。</w:t>
      </w:r>
      <w:r>
        <w:rPr>
          <w:rFonts w:ascii="宋体" w:hAnsi="宋体" w:cs="宋体" w:eastAsia="宋体" w:hint="default"/>
        </w:rPr>
        <w:t> </w:t>
      </w:r>
    </w:p>
    <w:p>
      <w:pPr>
        <w:spacing w:after="0" w:line="274" w:lineRule="exact"/>
        <w:jc w:val="both"/>
        <w:rPr>
          <w:rFonts w:ascii="宋体" w:hAnsi="宋体" w:cs="宋体" w:eastAsia="宋体" w:hint="default"/>
        </w:rPr>
        <w:sectPr>
          <w:pgSz w:w="11910" w:h="16840"/>
          <w:pgMar w:header="880" w:footer="975" w:top="1100" w:bottom="1160" w:left="1160" w:right="0"/>
        </w:sectPr>
      </w:pPr>
    </w:p>
    <w:p>
      <w:pPr>
        <w:spacing w:line="240" w:lineRule="auto" w:before="3"/>
        <w:rPr>
          <w:rFonts w:ascii="宋体" w:hAnsi="宋体" w:cs="宋体" w:eastAsia="宋体" w:hint="default"/>
          <w:sz w:val="19"/>
          <w:szCs w:val="19"/>
        </w:rPr>
      </w:pPr>
    </w:p>
    <w:p>
      <w:pPr>
        <w:pStyle w:val="BodyText"/>
        <w:spacing w:line="240" w:lineRule="auto" w:before="36"/>
        <w:ind w:left="566" w:right="1146"/>
        <w:jc w:val="left"/>
        <w:rPr>
          <w:rFonts w:ascii="宋体" w:hAnsi="宋体" w:cs="宋体" w:eastAsia="宋体" w:hint="default"/>
        </w:rPr>
      </w:pPr>
      <w:r>
        <w:rPr>
          <w:rFonts w:ascii="宋体" w:hAnsi="宋体" w:cs="宋体" w:eastAsia="宋体" w:hint="default"/>
          <w:b/>
          <w:bCs/>
        </w:rPr>
        <w:t>2</w:t>
      </w:r>
      <w:r>
        <w:rPr>
          <w:rFonts w:ascii="宋体" w:hAnsi="宋体" w:cs="宋体" w:eastAsia="宋体" w:hint="default"/>
          <w:b/>
          <w:bCs/>
        </w:rPr>
        <w:t>、</w:t>
      </w:r>
      <w:r>
        <w:rPr/>
        <w:t>已逾期未偿还的短期借款情况</w:t>
      </w:r>
      <w:r>
        <w:rPr>
          <w:rFonts w:ascii="宋体" w:hAnsi="宋体" w:cs="宋体" w:eastAsia="宋体" w:hint="default"/>
        </w:rPr>
        <w:t> </w:t>
      </w:r>
    </w:p>
    <w:p>
      <w:pPr>
        <w:pStyle w:val="BodyText"/>
        <w:spacing w:line="240" w:lineRule="auto" w:before="152"/>
        <w:ind w:left="563" w:right="7673"/>
        <w:jc w:val="left"/>
        <w:rPr>
          <w:rFonts w:ascii="宋体" w:hAnsi="宋体" w:cs="宋体" w:eastAsia="宋体" w:hint="default"/>
        </w:rPr>
      </w:pPr>
      <w:r>
        <w:rPr/>
        <w:t>无。</w:t>
      </w:r>
      <w:r>
        <w:rPr>
          <w:rFonts w:ascii="宋体" w:hAnsi="宋体" w:cs="宋体" w:eastAsia="宋体" w:hint="default"/>
        </w:rPr>
        <w:t> </w:t>
      </w:r>
    </w:p>
    <w:p>
      <w:pPr>
        <w:pStyle w:val="Heading3"/>
        <w:spacing w:line="240" w:lineRule="auto" w:before="154"/>
        <w:ind w:left="496" w:right="7673"/>
        <w:jc w:val="left"/>
        <w:rPr>
          <w:rFonts w:ascii="宋体" w:hAnsi="宋体" w:cs="宋体" w:eastAsia="宋体" w:hint="default"/>
          <w:b w:val="0"/>
          <w:bCs w:val="0"/>
        </w:rPr>
      </w:pPr>
      <w:r>
        <w:rPr/>
        <w:t>（十九）应付票据</w:t>
      </w:r>
      <w:r>
        <w:rPr>
          <w:rFonts w:ascii="宋体" w:hAnsi="宋体" w:cs="宋体" w:eastAsia="宋体" w:hint="default"/>
          <w:w w:val="99"/>
        </w:rPr>
        <w:t> </w:t>
      </w:r>
      <w:r>
        <w:rPr>
          <w:rFonts w:ascii="宋体" w:hAnsi="宋体" w:cs="宋体" w:eastAsia="宋体" w:hint="default"/>
          <w:b w:val="0"/>
          <w:bCs w:val="0"/>
        </w:rPr>
      </w:r>
    </w:p>
    <w:p>
      <w:pPr>
        <w:spacing w:line="240" w:lineRule="auto" w:before="3"/>
        <w:rPr>
          <w:rFonts w:ascii="宋体" w:hAnsi="宋体" w:cs="宋体" w:eastAsia="宋体" w:hint="default"/>
          <w:b/>
          <w:bCs/>
          <w:sz w:val="14"/>
          <w:szCs w:val="14"/>
        </w:rPr>
      </w:pPr>
    </w:p>
    <w:tbl>
      <w:tblPr>
        <w:tblW w:w="0" w:type="auto"/>
        <w:jc w:val="left"/>
        <w:tblInd w:w="167" w:type="dxa"/>
        <w:tblLayout w:type="fixed"/>
        <w:tblCellMar>
          <w:top w:w="0" w:type="dxa"/>
          <w:left w:w="0" w:type="dxa"/>
          <w:bottom w:w="0" w:type="dxa"/>
          <w:right w:w="0" w:type="dxa"/>
        </w:tblCellMar>
        <w:tblLook w:val="01E0"/>
      </w:tblPr>
      <w:tblGrid>
        <w:gridCol w:w="2862"/>
        <w:gridCol w:w="2993"/>
        <w:gridCol w:w="3747"/>
      </w:tblGrid>
      <w:tr>
        <w:trPr>
          <w:trHeight w:val="398" w:hRule="exact"/>
        </w:trPr>
        <w:tc>
          <w:tcPr>
            <w:tcW w:w="2862"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54"/>
              <w:jc w:val="right"/>
              <w:rPr>
                <w:rFonts w:ascii="宋体" w:hAnsi="宋体" w:cs="宋体" w:eastAsia="宋体" w:hint="default"/>
                <w:sz w:val="18"/>
                <w:szCs w:val="18"/>
              </w:rPr>
            </w:pPr>
            <w:r>
              <w:rPr>
                <w:rFonts w:ascii="宋体" w:hAnsi="宋体" w:cs="宋体" w:eastAsia="宋体" w:hint="default"/>
                <w:sz w:val="18"/>
                <w:szCs w:val="18"/>
              </w:rPr>
              <w:t>种类</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7"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c>
          <w:tcPr>
            <w:tcW w:w="37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7" w:right="0"/>
              <w:jc w:val="center"/>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r>
      <w:tr>
        <w:trPr>
          <w:trHeight w:val="396" w:hRule="exact"/>
        </w:trPr>
        <w:tc>
          <w:tcPr>
            <w:tcW w:w="2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商业承兑汇票</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z w:val="18"/>
              </w:rPr>
              <w:t> </w:t>
            </w:r>
            <w:r>
              <w:rPr>
                <w:rFonts w:ascii="宋体"/>
                <w:spacing w:val="-1"/>
                <w:sz w:val="18"/>
              </w:rPr>
              <w:t>894,900.00</w:t>
            </w:r>
            <w:r>
              <w:rPr>
                <w:rFonts w:ascii="宋体"/>
                <w:sz w:val="18"/>
              </w:rPr>
              <w:t> </w:t>
            </w:r>
          </w:p>
        </w:tc>
        <w:tc>
          <w:tcPr>
            <w:tcW w:w="37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r>
      <w:tr>
        <w:trPr>
          <w:trHeight w:val="398" w:hRule="exact"/>
        </w:trPr>
        <w:tc>
          <w:tcPr>
            <w:tcW w:w="2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银行承兑汇票</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3"/>
                <w:sz w:val="18"/>
              </w:rPr>
              <w:t> </w:t>
            </w:r>
            <w:r>
              <w:rPr>
                <w:rFonts w:ascii="宋体"/>
                <w:spacing w:val="-2"/>
                <w:w w:val="95"/>
                <w:sz w:val="18"/>
              </w:rPr>
              <w:t>-</w:t>
            </w:r>
            <w:r>
              <w:rPr>
                <w:rFonts w:ascii="宋体"/>
                <w:w w:val="95"/>
                <w:sz w:val="18"/>
              </w:rPr>
              <w:t> </w:t>
            </w:r>
          </w:p>
        </w:tc>
        <w:tc>
          <w:tcPr>
            <w:tcW w:w="37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r>
      <w:tr>
        <w:trPr>
          <w:trHeight w:val="396" w:hRule="exact"/>
        </w:trPr>
        <w:tc>
          <w:tcPr>
            <w:tcW w:w="2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54"/>
              <w:jc w:val="righ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z w:val="18"/>
              </w:rPr>
              <w:t> </w:t>
            </w:r>
            <w:r>
              <w:rPr>
                <w:rFonts w:ascii="宋体"/>
                <w:spacing w:val="-1"/>
                <w:sz w:val="18"/>
              </w:rPr>
              <w:t>894,900.00</w:t>
            </w:r>
            <w:r>
              <w:rPr>
                <w:rFonts w:ascii="宋体"/>
                <w:sz w:val="18"/>
              </w:rPr>
              <w:t> </w:t>
            </w:r>
          </w:p>
        </w:tc>
        <w:tc>
          <w:tcPr>
            <w:tcW w:w="37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r>
    </w:tbl>
    <w:p>
      <w:pPr>
        <w:spacing w:line="240" w:lineRule="auto" w:before="7"/>
        <w:rPr>
          <w:rFonts w:ascii="宋体" w:hAnsi="宋体" w:cs="宋体" w:eastAsia="宋体" w:hint="default"/>
          <w:b/>
          <w:bCs/>
          <w:sz w:val="6"/>
          <w:szCs w:val="6"/>
        </w:rPr>
      </w:pPr>
    </w:p>
    <w:p>
      <w:pPr>
        <w:spacing w:line="374" w:lineRule="auto" w:before="36"/>
        <w:ind w:left="563" w:right="7673" w:hanging="68"/>
        <w:jc w:val="left"/>
        <w:rPr>
          <w:rFonts w:ascii="宋体" w:hAnsi="宋体" w:cs="宋体" w:eastAsia="宋体" w:hint="default"/>
          <w:sz w:val="21"/>
          <w:szCs w:val="21"/>
        </w:rPr>
      </w:pPr>
      <w:r>
        <w:rPr>
          <w:rFonts w:ascii="宋体" w:hAnsi="宋体" w:cs="宋体" w:eastAsia="宋体" w:hint="default"/>
          <w:b/>
          <w:bCs/>
          <w:sz w:val="21"/>
          <w:szCs w:val="21"/>
        </w:rPr>
        <w:t>（二十）应付账款</w:t>
      </w:r>
      <w:r>
        <w:rPr>
          <w:rFonts w:ascii="宋体" w:hAnsi="宋体" w:cs="宋体" w:eastAsia="宋体" w:hint="default"/>
          <w:b/>
          <w:bCs/>
          <w:w w:val="99"/>
          <w:sz w:val="21"/>
          <w:szCs w:val="21"/>
        </w:rPr>
        <w:t> </w:t>
      </w:r>
      <w:r>
        <w:rPr>
          <w:rFonts w:ascii="宋体" w:hAnsi="宋体" w:cs="宋体" w:eastAsia="宋体" w:hint="default"/>
          <w:sz w:val="21"/>
          <w:szCs w:val="21"/>
        </w:rPr>
        <w:t>1</w:t>
      </w:r>
      <w:r>
        <w:rPr>
          <w:rFonts w:ascii="宋体" w:hAnsi="宋体" w:cs="宋体" w:eastAsia="宋体" w:hint="default"/>
          <w:sz w:val="21"/>
          <w:szCs w:val="21"/>
        </w:rPr>
        <w:t>、应付账款列示</w:t>
      </w:r>
      <w:r>
        <w:rPr>
          <w:rFonts w:ascii="宋体" w:hAnsi="宋体" w:cs="宋体" w:eastAsia="宋体" w:hint="default"/>
          <w:sz w:val="21"/>
          <w:szCs w:val="21"/>
        </w:rPr>
        <w:t> </w:t>
      </w:r>
    </w:p>
    <w:p>
      <w:pPr>
        <w:spacing w:line="240" w:lineRule="auto" w:before="3"/>
        <w:rPr>
          <w:rFonts w:ascii="宋体" w:hAnsi="宋体" w:cs="宋体" w:eastAsia="宋体" w:hint="default"/>
          <w:sz w:val="5"/>
          <w:szCs w:val="5"/>
        </w:rPr>
      </w:pPr>
    </w:p>
    <w:tbl>
      <w:tblPr>
        <w:tblW w:w="0" w:type="auto"/>
        <w:jc w:val="left"/>
        <w:tblInd w:w="189" w:type="dxa"/>
        <w:tblLayout w:type="fixed"/>
        <w:tblCellMar>
          <w:top w:w="0" w:type="dxa"/>
          <w:left w:w="0" w:type="dxa"/>
          <w:bottom w:w="0" w:type="dxa"/>
          <w:right w:w="0" w:type="dxa"/>
        </w:tblCellMar>
        <w:tblLook w:val="01E0"/>
      </w:tblPr>
      <w:tblGrid>
        <w:gridCol w:w="3209"/>
        <w:gridCol w:w="2621"/>
        <w:gridCol w:w="3730"/>
      </w:tblGrid>
      <w:tr>
        <w:trPr>
          <w:trHeight w:val="399" w:hRule="exact"/>
        </w:trPr>
        <w:tc>
          <w:tcPr>
            <w:tcW w:w="32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1"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2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45"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c>
          <w:tcPr>
            <w:tcW w:w="3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9" w:right="0"/>
              <w:jc w:val="center"/>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r>
      <w:tr>
        <w:trPr>
          <w:trHeight w:val="396" w:hRule="exact"/>
        </w:trPr>
        <w:tc>
          <w:tcPr>
            <w:tcW w:w="32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5" w:right="0"/>
              <w:jc w:val="left"/>
              <w:rPr>
                <w:rFonts w:ascii="宋体" w:hAnsi="宋体" w:cs="宋体" w:eastAsia="宋体" w:hint="default"/>
                <w:sz w:val="18"/>
                <w:szCs w:val="18"/>
              </w:rPr>
            </w:pPr>
            <w:r>
              <w:rPr>
                <w:rFonts w:ascii="宋体" w:hAnsi="宋体" w:cs="宋体" w:eastAsia="宋体" w:hint="default"/>
                <w:sz w:val="18"/>
                <w:szCs w:val="18"/>
              </w:rPr>
              <w:t>劳务及工程物资采购款</w:t>
            </w:r>
            <w:r>
              <w:rPr>
                <w:rFonts w:ascii="宋体" w:hAnsi="宋体" w:cs="宋体" w:eastAsia="宋体" w:hint="default"/>
                <w:sz w:val="18"/>
                <w:szCs w:val="18"/>
              </w:rPr>
              <w:t> </w:t>
            </w:r>
          </w:p>
        </w:tc>
        <w:tc>
          <w:tcPr>
            <w:tcW w:w="2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407,703,467.31 </w:t>
            </w:r>
          </w:p>
        </w:tc>
        <w:tc>
          <w:tcPr>
            <w:tcW w:w="3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331,062,960.41 </w:t>
            </w:r>
          </w:p>
        </w:tc>
      </w:tr>
      <w:tr>
        <w:trPr>
          <w:trHeight w:val="396" w:hRule="exact"/>
        </w:trPr>
        <w:tc>
          <w:tcPr>
            <w:tcW w:w="32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5" w:right="0"/>
              <w:jc w:val="left"/>
              <w:rPr>
                <w:rFonts w:ascii="宋体" w:hAnsi="宋体" w:cs="宋体" w:eastAsia="宋体" w:hint="default"/>
                <w:sz w:val="18"/>
                <w:szCs w:val="18"/>
              </w:rPr>
            </w:pPr>
            <w:r>
              <w:rPr>
                <w:rFonts w:ascii="宋体" w:hAnsi="宋体" w:cs="宋体" w:eastAsia="宋体" w:hint="default"/>
                <w:sz w:val="18"/>
                <w:szCs w:val="18"/>
              </w:rPr>
              <w:t>短彩信通道及服务费等款项</w:t>
            </w:r>
            <w:r>
              <w:rPr>
                <w:rFonts w:ascii="宋体" w:hAnsi="宋体" w:cs="宋体" w:eastAsia="宋体" w:hint="default"/>
                <w:sz w:val="18"/>
                <w:szCs w:val="18"/>
              </w:rPr>
              <w:t> </w:t>
            </w:r>
          </w:p>
        </w:tc>
        <w:tc>
          <w:tcPr>
            <w:tcW w:w="2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68,941,452.90 </w:t>
            </w:r>
          </w:p>
        </w:tc>
        <w:tc>
          <w:tcPr>
            <w:tcW w:w="3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67,540,984.20</w:t>
            </w:r>
            <w:r>
              <w:rPr>
                <w:rFonts w:ascii="宋体"/>
                <w:sz w:val="18"/>
              </w:rPr>
              <w:t> </w:t>
            </w:r>
          </w:p>
        </w:tc>
      </w:tr>
      <w:tr>
        <w:trPr>
          <w:trHeight w:val="398" w:hRule="exact"/>
        </w:trPr>
        <w:tc>
          <w:tcPr>
            <w:tcW w:w="32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其他零星款项</w:t>
            </w:r>
            <w:r>
              <w:rPr>
                <w:rFonts w:ascii="宋体" w:hAnsi="宋体" w:cs="宋体" w:eastAsia="宋体" w:hint="default"/>
                <w:sz w:val="18"/>
                <w:szCs w:val="18"/>
              </w:rPr>
              <w:t> </w:t>
            </w:r>
          </w:p>
        </w:tc>
        <w:tc>
          <w:tcPr>
            <w:tcW w:w="2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891,298.36 </w:t>
            </w:r>
          </w:p>
        </w:tc>
        <w:tc>
          <w:tcPr>
            <w:tcW w:w="3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104,000.00</w:t>
            </w:r>
            <w:r>
              <w:rPr>
                <w:rFonts w:ascii="宋体"/>
                <w:sz w:val="18"/>
              </w:rPr>
              <w:t> </w:t>
            </w:r>
          </w:p>
        </w:tc>
      </w:tr>
      <w:tr>
        <w:trPr>
          <w:trHeight w:val="396" w:hRule="exact"/>
        </w:trPr>
        <w:tc>
          <w:tcPr>
            <w:tcW w:w="32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1"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2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477,536,218.57 </w:t>
            </w:r>
          </w:p>
        </w:tc>
        <w:tc>
          <w:tcPr>
            <w:tcW w:w="3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398,707,944.61 </w:t>
            </w:r>
          </w:p>
        </w:tc>
      </w:tr>
    </w:tbl>
    <w:p>
      <w:pPr>
        <w:spacing w:line="240" w:lineRule="auto" w:before="7"/>
        <w:rPr>
          <w:rFonts w:ascii="宋体" w:hAnsi="宋体" w:cs="宋体" w:eastAsia="宋体" w:hint="default"/>
          <w:sz w:val="6"/>
          <w:szCs w:val="6"/>
        </w:rPr>
      </w:pPr>
    </w:p>
    <w:p>
      <w:pPr>
        <w:pStyle w:val="BodyText"/>
        <w:spacing w:line="240" w:lineRule="auto" w:before="36"/>
        <w:ind w:left="563" w:right="1146"/>
        <w:jc w:val="left"/>
        <w:rPr>
          <w:rFonts w:ascii="宋体" w:hAnsi="宋体" w:cs="宋体" w:eastAsia="宋体" w:hint="default"/>
        </w:rPr>
      </w:pPr>
      <w:r>
        <w:rPr>
          <w:rFonts w:ascii="宋体" w:hAnsi="宋体" w:cs="宋体" w:eastAsia="宋体" w:hint="default"/>
        </w:rPr>
        <w:t>2</w:t>
      </w:r>
      <w:r>
        <w:rPr/>
        <w:t>、账龄超过</w:t>
      </w:r>
      <w:r>
        <w:rPr>
          <w:spacing w:val="-55"/>
        </w:rPr>
        <w:t> </w:t>
      </w:r>
      <w:r>
        <w:rPr>
          <w:rFonts w:ascii="宋体" w:hAnsi="宋体" w:cs="宋体" w:eastAsia="宋体" w:hint="default"/>
        </w:rPr>
        <w:t>1</w:t>
      </w:r>
      <w:r>
        <w:rPr>
          <w:rFonts w:ascii="宋体" w:hAnsi="宋体" w:cs="宋体" w:eastAsia="宋体" w:hint="default"/>
          <w:spacing w:val="-57"/>
        </w:rPr>
        <w:t> </w:t>
      </w:r>
      <w:r>
        <w:rPr/>
        <w:t>年的重要应付账款</w:t>
      </w:r>
      <w:r>
        <w:rPr>
          <w:rFonts w:ascii="宋体" w:hAnsi="宋体" w:cs="宋体" w:eastAsia="宋体" w:hint="default"/>
        </w:rPr>
        <w:t> </w:t>
      </w:r>
    </w:p>
    <w:p>
      <w:pPr>
        <w:spacing w:line="240" w:lineRule="auto" w:before="6"/>
        <w:rPr>
          <w:rFonts w:ascii="宋体" w:hAnsi="宋体" w:cs="宋体" w:eastAsia="宋体" w:hint="default"/>
          <w:sz w:val="14"/>
          <w:szCs w:val="14"/>
        </w:rPr>
      </w:pPr>
    </w:p>
    <w:tbl>
      <w:tblPr>
        <w:tblW w:w="0" w:type="auto"/>
        <w:jc w:val="left"/>
        <w:tblInd w:w="189" w:type="dxa"/>
        <w:tblLayout w:type="fixed"/>
        <w:tblCellMar>
          <w:top w:w="0" w:type="dxa"/>
          <w:left w:w="0" w:type="dxa"/>
          <w:bottom w:w="0" w:type="dxa"/>
          <w:right w:w="0" w:type="dxa"/>
        </w:tblCellMar>
        <w:tblLook w:val="01E0"/>
      </w:tblPr>
      <w:tblGrid>
        <w:gridCol w:w="3209"/>
        <w:gridCol w:w="2693"/>
        <w:gridCol w:w="3673"/>
      </w:tblGrid>
      <w:tr>
        <w:trPr>
          <w:trHeight w:val="396" w:hRule="exact"/>
        </w:trPr>
        <w:tc>
          <w:tcPr>
            <w:tcW w:w="32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1"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81"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c>
          <w:tcPr>
            <w:tcW w:w="3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7" w:right="0"/>
              <w:jc w:val="center"/>
              <w:rPr>
                <w:rFonts w:ascii="宋体" w:hAnsi="宋体" w:cs="宋体" w:eastAsia="宋体" w:hint="default"/>
                <w:sz w:val="18"/>
                <w:szCs w:val="18"/>
              </w:rPr>
            </w:pPr>
            <w:r>
              <w:rPr>
                <w:rFonts w:ascii="宋体" w:hAnsi="宋体" w:cs="宋体" w:eastAsia="宋体" w:hint="default"/>
                <w:sz w:val="18"/>
                <w:szCs w:val="18"/>
              </w:rPr>
              <w:t>未偿还或结转的原因</w:t>
            </w:r>
            <w:r>
              <w:rPr>
                <w:rFonts w:ascii="宋体" w:hAnsi="宋体" w:cs="宋体" w:eastAsia="宋体" w:hint="default"/>
                <w:sz w:val="18"/>
                <w:szCs w:val="18"/>
              </w:rPr>
              <w:t> </w:t>
            </w:r>
          </w:p>
        </w:tc>
      </w:tr>
      <w:tr>
        <w:trPr>
          <w:trHeight w:val="398" w:hRule="exact"/>
        </w:trPr>
        <w:tc>
          <w:tcPr>
            <w:tcW w:w="32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5" w:right="0"/>
              <w:jc w:val="left"/>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贵州博皓通信技术服务有限公司</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2"/>
              <w:jc w:val="right"/>
              <w:rPr>
                <w:rFonts w:ascii="宋体" w:hAnsi="宋体" w:cs="宋体" w:eastAsia="宋体" w:hint="default"/>
                <w:sz w:val="18"/>
                <w:szCs w:val="18"/>
              </w:rPr>
            </w:pPr>
            <w:r>
              <w:rPr>
                <w:rFonts w:ascii="宋体"/>
                <w:spacing w:val="1"/>
                <w:sz w:val="18"/>
              </w:rPr>
              <w:t> </w:t>
            </w:r>
            <w:r>
              <w:rPr>
                <w:rFonts w:ascii="宋体"/>
                <w:spacing w:val="-1"/>
                <w:sz w:val="18"/>
              </w:rPr>
              <w:t>8,576,050.61</w:t>
            </w:r>
            <w:r>
              <w:rPr>
                <w:rFonts w:ascii="宋体"/>
                <w:sz w:val="18"/>
              </w:rPr>
              <w:t> </w:t>
            </w:r>
          </w:p>
        </w:tc>
        <w:tc>
          <w:tcPr>
            <w:tcW w:w="3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87" w:right="0"/>
              <w:jc w:val="center"/>
              <w:rPr>
                <w:rFonts w:ascii="宋体" w:hAnsi="宋体" w:cs="宋体" w:eastAsia="宋体" w:hint="default"/>
                <w:sz w:val="18"/>
                <w:szCs w:val="18"/>
              </w:rPr>
            </w:pPr>
            <w:r>
              <w:rPr>
                <w:rFonts w:ascii="宋体" w:hAnsi="宋体" w:cs="宋体" w:eastAsia="宋体" w:hint="default"/>
                <w:sz w:val="18"/>
                <w:szCs w:val="18"/>
              </w:rPr>
              <w:t>未到结算期</w:t>
            </w:r>
            <w:r>
              <w:rPr>
                <w:rFonts w:ascii="宋体" w:hAnsi="宋体" w:cs="宋体" w:eastAsia="宋体" w:hint="default"/>
                <w:sz w:val="18"/>
                <w:szCs w:val="18"/>
              </w:rPr>
              <w:t> </w:t>
            </w:r>
          </w:p>
        </w:tc>
      </w:tr>
      <w:tr>
        <w:trPr>
          <w:trHeight w:val="396" w:hRule="exact"/>
        </w:trPr>
        <w:tc>
          <w:tcPr>
            <w:tcW w:w="32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上海商美通信工程有限公司</w:t>
            </w:r>
            <w:r>
              <w:rPr>
                <w:rFonts w:ascii="宋体" w:hAnsi="宋体" w:cs="宋体" w:eastAsia="宋体" w:hint="default"/>
                <w:spacing w:val="-2"/>
                <w:sz w:val="18"/>
                <w:szCs w:val="18"/>
              </w:rPr>
              <w:t> </w:t>
            </w:r>
            <w:r>
              <w:rPr>
                <w:rFonts w:ascii="宋体" w:hAnsi="宋体" w:cs="宋体" w:eastAsia="宋体" w:hint="default"/>
                <w:sz w:val="18"/>
                <w:szCs w:val="18"/>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2"/>
              <w:jc w:val="right"/>
              <w:rPr>
                <w:rFonts w:ascii="宋体" w:hAnsi="宋体" w:cs="宋体" w:eastAsia="宋体" w:hint="default"/>
                <w:sz w:val="18"/>
                <w:szCs w:val="18"/>
              </w:rPr>
            </w:pPr>
            <w:r>
              <w:rPr>
                <w:rFonts w:ascii="宋体"/>
                <w:spacing w:val="1"/>
                <w:sz w:val="18"/>
              </w:rPr>
              <w:t> </w:t>
            </w:r>
            <w:r>
              <w:rPr>
                <w:rFonts w:ascii="宋体"/>
                <w:spacing w:val="-1"/>
                <w:sz w:val="18"/>
              </w:rPr>
              <w:t>5,631,913.38</w:t>
            </w:r>
            <w:r>
              <w:rPr>
                <w:rFonts w:ascii="宋体"/>
                <w:sz w:val="18"/>
              </w:rPr>
              <w:t> </w:t>
            </w:r>
          </w:p>
        </w:tc>
        <w:tc>
          <w:tcPr>
            <w:tcW w:w="3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7" w:right="0"/>
              <w:jc w:val="center"/>
              <w:rPr>
                <w:rFonts w:ascii="宋体" w:hAnsi="宋体" w:cs="宋体" w:eastAsia="宋体" w:hint="default"/>
                <w:sz w:val="18"/>
                <w:szCs w:val="18"/>
              </w:rPr>
            </w:pPr>
            <w:r>
              <w:rPr>
                <w:rFonts w:ascii="宋体" w:hAnsi="宋体" w:cs="宋体" w:eastAsia="宋体" w:hint="default"/>
                <w:sz w:val="18"/>
                <w:szCs w:val="18"/>
              </w:rPr>
              <w:t>未到结算期</w:t>
            </w:r>
            <w:r>
              <w:rPr>
                <w:rFonts w:ascii="宋体" w:hAnsi="宋体" w:cs="宋体" w:eastAsia="宋体" w:hint="default"/>
                <w:sz w:val="18"/>
                <w:szCs w:val="18"/>
              </w:rPr>
              <w:t> </w:t>
            </w:r>
          </w:p>
        </w:tc>
      </w:tr>
      <w:tr>
        <w:trPr>
          <w:trHeight w:val="399" w:hRule="exact"/>
        </w:trPr>
        <w:tc>
          <w:tcPr>
            <w:tcW w:w="32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上海亚通通信工程有限公司</w:t>
            </w:r>
            <w:r>
              <w:rPr>
                <w:rFonts w:ascii="宋体" w:hAnsi="宋体" w:cs="宋体" w:eastAsia="宋体" w:hint="default"/>
                <w:spacing w:val="-2"/>
                <w:sz w:val="18"/>
                <w:szCs w:val="18"/>
              </w:rPr>
              <w:t> </w:t>
            </w:r>
            <w:r>
              <w:rPr>
                <w:rFonts w:ascii="宋体" w:hAnsi="宋体" w:cs="宋体" w:eastAsia="宋体" w:hint="default"/>
                <w:sz w:val="18"/>
                <w:szCs w:val="18"/>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2"/>
              <w:jc w:val="right"/>
              <w:rPr>
                <w:rFonts w:ascii="宋体" w:hAnsi="宋体" w:cs="宋体" w:eastAsia="宋体" w:hint="default"/>
                <w:sz w:val="18"/>
                <w:szCs w:val="18"/>
              </w:rPr>
            </w:pPr>
            <w:r>
              <w:rPr>
                <w:rFonts w:ascii="宋体"/>
                <w:spacing w:val="1"/>
                <w:sz w:val="18"/>
              </w:rPr>
              <w:t> </w:t>
            </w:r>
            <w:r>
              <w:rPr>
                <w:rFonts w:ascii="宋体"/>
                <w:spacing w:val="-1"/>
                <w:sz w:val="18"/>
              </w:rPr>
              <w:t>5,569,444.51</w:t>
            </w:r>
            <w:r>
              <w:rPr>
                <w:rFonts w:ascii="宋体"/>
                <w:sz w:val="18"/>
              </w:rPr>
              <w:t> </w:t>
            </w:r>
          </w:p>
        </w:tc>
        <w:tc>
          <w:tcPr>
            <w:tcW w:w="3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7" w:right="0"/>
              <w:jc w:val="center"/>
              <w:rPr>
                <w:rFonts w:ascii="宋体" w:hAnsi="宋体" w:cs="宋体" w:eastAsia="宋体" w:hint="default"/>
                <w:sz w:val="18"/>
                <w:szCs w:val="18"/>
              </w:rPr>
            </w:pPr>
            <w:r>
              <w:rPr>
                <w:rFonts w:ascii="宋体" w:hAnsi="宋体" w:cs="宋体" w:eastAsia="宋体" w:hint="default"/>
                <w:sz w:val="18"/>
                <w:szCs w:val="18"/>
              </w:rPr>
              <w:t>未到结算期</w:t>
            </w:r>
            <w:r>
              <w:rPr>
                <w:rFonts w:ascii="宋体" w:hAnsi="宋体" w:cs="宋体" w:eastAsia="宋体" w:hint="default"/>
                <w:sz w:val="18"/>
                <w:szCs w:val="18"/>
              </w:rPr>
              <w:t> </w:t>
            </w:r>
          </w:p>
        </w:tc>
      </w:tr>
      <w:tr>
        <w:trPr>
          <w:trHeight w:val="396" w:hRule="exact"/>
        </w:trPr>
        <w:tc>
          <w:tcPr>
            <w:tcW w:w="32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广东长高通信服务有限公司</w:t>
            </w:r>
            <w:r>
              <w:rPr>
                <w:rFonts w:ascii="宋体" w:hAnsi="宋体" w:cs="宋体" w:eastAsia="宋体" w:hint="default"/>
                <w:spacing w:val="-2"/>
                <w:sz w:val="18"/>
                <w:szCs w:val="18"/>
              </w:rPr>
              <w:t> </w:t>
            </w:r>
            <w:r>
              <w:rPr>
                <w:rFonts w:ascii="宋体" w:hAnsi="宋体" w:cs="宋体" w:eastAsia="宋体" w:hint="default"/>
                <w:sz w:val="18"/>
                <w:szCs w:val="18"/>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pacing w:val="-1"/>
                <w:sz w:val="18"/>
              </w:rPr>
              <w:t>3,903,722.29 </w:t>
            </w:r>
          </w:p>
        </w:tc>
        <w:tc>
          <w:tcPr>
            <w:tcW w:w="3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7" w:right="0"/>
              <w:jc w:val="center"/>
              <w:rPr>
                <w:rFonts w:ascii="宋体" w:hAnsi="宋体" w:cs="宋体" w:eastAsia="宋体" w:hint="default"/>
                <w:sz w:val="18"/>
                <w:szCs w:val="18"/>
              </w:rPr>
            </w:pPr>
            <w:r>
              <w:rPr>
                <w:rFonts w:ascii="宋体" w:hAnsi="宋体" w:cs="宋体" w:eastAsia="宋体" w:hint="default"/>
                <w:sz w:val="18"/>
                <w:szCs w:val="18"/>
              </w:rPr>
              <w:t>未到结算期</w:t>
            </w:r>
            <w:r>
              <w:rPr>
                <w:rFonts w:ascii="宋体" w:hAnsi="宋体" w:cs="宋体" w:eastAsia="宋体" w:hint="default"/>
                <w:sz w:val="18"/>
                <w:szCs w:val="18"/>
              </w:rPr>
              <w:t> </w:t>
            </w:r>
          </w:p>
        </w:tc>
      </w:tr>
      <w:tr>
        <w:trPr>
          <w:trHeight w:val="396" w:hRule="exact"/>
        </w:trPr>
        <w:tc>
          <w:tcPr>
            <w:tcW w:w="32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南宁市鹤桥建筑工程劳务有限公司</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2"/>
              <w:jc w:val="right"/>
              <w:rPr>
                <w:rFonts w:ascii="宋体" w:hAnsi="宋体" w:cs="宋体" w:eastAsia="宋体" w:hint="default"/>
                <w:sz w:val="18"/>
                <w:szCs w:val="18"/>
              </w:rPr>
            </w:pPr>
            <w:r>
              <w:rPr>
                <w:rFonts w:ascii="宋体"/>
                <w:spacing w:val="1"/>
                <w:sz w:val="18"/>
              </w:rPr>
              <w:t> </w:t>
            </w:r>
            <w:r>
              <w:rPr>
                <w:rFonts w:ascii="宋体"/>
                <w:spacing w:val="-1"/>
                <w:sz w:val="18"/>
              </w:rPr>
              <w:t>2,409,856.57</w:t>
            </w:r>
            <w:r>
              <w:rPr>
                <w:rFonts w:ascii="宋体"/>
                <w:sz w:val="18"/>
              </w:rPr>
              <w:t> </w:t>
            </w:r>
          </w:p>
        </w:tc>
        <w:tc>
          <w:tcPr>
            <w:tcW w:w="3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7" w:right="0"/>
              <w:jc w:val="center"/>
              <w:rPr>
                <w:rFonts w:ascii="宋体" w:hAnsi="宋体" w:cs="宋体" w:eastAsia="宋体" w:hint="default"/>
                <w:sz w:val="18"/>
                <w:szCs w:val="18"/>
              </w:rPr>
            </w:pPr>
            <w:r>
              <w:rPr>
                <w:rFonts w:ascii="宋体" w:hAnsi="宋体" w:cs="宋体" w:eastAsia="宋体" w:hint="default"/>
                <w:sz w:val="18"/>
                <w:szCs w:val="18"/>
              </w:rPr>
              <w:t>未到结算期</w:t>
            </w:r>
            <w:r>
              <w:rPr>
                <w:rFonts w:ascii="宋体" w:hAnsi="宋体" w:cs="宋体" w:eastAsia="宋体" w:hint="default"/>
                <w:sz w:val="18"/>
                <w:szCs w:val="18"/>
              </w:rPr>
              <w:t> </w:t>
            </w:r>
          </w:p>
        </w:tc>
      </w:tr>
      <w:tr>
        <w:trPr>
          <w:trHeight w:val="398" w:hRule="exact"/>
        </w:trPr>
        <w:tc>
          <w:tcPr>
            <w:tcW w:w="32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5" w:right="0"/>
              <w:jc w:val="left"/>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诸城市三源通讯工程有限公司</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2"/>
              <w:jc w:val="right"/>
              <w:rPr>
                <w:rFonts w:ascii="宋体" w:hAnsi="宋体" w:cs="宋体" w:eastAsia="宋体" w:hint="default"/>
                <w:sz w:val="18"/>
                <w:szCs w:val="18"/>
              </w:rPr>
            </w:pPr>
            <w:r>
              <w:rPr>
                <w:rFonts w:ascii="宋体"/>
                <w:spacing w:val="1"/>
                <w:sz w:val="18"/>
              </w:rPr>
              <w:t> </w:t>
            </w:r>
            <w:r>
              <w:rPr>
                <w:rFonts w:ascii="宋体"/>
                <w:spacing w:val="-1"/>
                <w:sz w:val="18"/>
              </w:rPr>
              <w:t>2,157,204.99</w:t>
            </w:r>
            <w:r>
              <w:rPr>
                <w:rFonts w:ascii="宋体"/>
                <w:sz w:val="18"/>
              </w:rPr>
              <w:t> </w:t>
            </w:r>
          </w:p>
        </w:tc>
        <w:tc>
          <w:tcPr>
            <w:tcW w:w="3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87" w:right="0"/>
              <w:jc w:val="center"/>
              <w:rPr>
                <w:rFonts w:ascii="宋体" w:hAnsi="宋体" w:cs="宋体" w:eastAsia="宋体" w:hint="default"/>
                <w:sz w:val="18"/>
                <w:szCs w:val="18"/>
              </w:rPr>
            </w:pPr>
            <w:r>
              <w:rPr>
                <w:rFonts w:ascii="宋体" w:hAnsi="宋体" w:cs="宋体" w:eastAsia="宋体" w:hint="default"/>
                <w:sz w:val="18"/>
                <w:szCs w:val="18"/>
              </w:rPr>
              <w:t>未到结算期</w:t>
            </w:r>
            <w:r>
              <w:rPr>
                <w:rFonts w:ascii="宋体" w:hAnsi="宋体" w:cs="宋体" w:eastAsia="宋体" w:hint="default"/>
                <w:sz w:val="18"/>
                <w:szCs w:val="18"/>
              </w:rPr>
              <w:t> </w:t>
            </w:r>
          </w:p>
        </w:tc>
      </w:tr>
      <w:tr>
        <w:trPr>
          <w:trHeight w:val="396" w:hRule="exact"/>
        </w:trPr>
        <w:tc>
          <w:tcPr>
            <w:tcW w:w="32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上海翔发通讯安装工程有限公司</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2"/>
              <w:jc w:val="right"/>
              <w:rPr>
                <w:rFonts w:ascii="宋体" w:hAnsi="宋体" w:cs="宋体" w:eastAsia="宋体" w:hint="default"/>
                <w:sz w:val="18"/>
                <w:szCs w:val="18"/>
              </w:rPr>
            </w:pPr>
            <w:r>
              <w:rPr>
                <w:rFonts w:ascii="宋体"/>
                <w:spacing w:val="1"/>
                <w:sz w:val="18"/>
              </w:rPr>
              <w:t> </w:t>
            </w:r>
            <w:r>
              <w:rPr>
                <w:rFonts w:ascii="宋体"/>
                <w:spacing w:val="-1"/>
                <w:sz w:val="18"/>
              </w:rPr>
              <w:t>2,098,361.77</w:t>
            </w:r>
            <w:r>
              <w:rPr>
                <w:rFonts w:ascii="宋体"/>
                <w:sz w:val="18"/>
              </w:rPr>
              <w:t> </w:t>
            </w:r>
          </w:p>
        </w:tc>
        <w:tc>
          <w:tcPr>
            <w:tcW w:w="3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7" w:right="0"/>
              <w:jc w:val="center"/>
              <w:rPr>
                <w:rFonts w:ascii="宋体" w:hAnsi="宋体" w:cs="宋体" w:eastAsia="宋体" w:hint="default"/>
                <w:sz w:val="18"/>
                <w:szCs w:val="18"/>
              </w:rPr>
            </w:pPr>
            <w:r>
              <w:rPr>
                <w:rFonts w:ascii="宋体" w:hAnsi="宋体" w:cs="宋体" w:eastAsia="宋体" w:hint="default"/>
                <w:sz w:val="18"/>
                <w:szCs w:val="18"/>
              </w:rPr>
              <w:t>未到结算期</w:t>
            </w:r>
            <w:r>
              <w:rPr>
                <w:rFonts w:ascii="宋体" w:hAnsi="宋体" w:cs="宋体" w:eastAsia="宋体" w:hint="default"/>
                <w:sz w:val="18"/>
                <w:szCs w:val="18"/>
              </w:rPr>
              <w:t> </w:t>
            </w:r>
          </w:p>
        </w:tc>
      </w:tr>
      <w:tr>
        <w:trPr>
          <w:trHeight w:val="398" w:hRule="exact"/>
        </w:trPr>
        <w:tc>
          <w:tcPr>
            <w:tcW w:w="32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广东飞通建设工程有限公司</w:t>
            </w:r>
            <w:r>
              <w:rPr>
                <w:rFonts w:ascii="宋体" w:hAnsi="宋体" w:cs="宋体" w:eastAsia="宋体" w:hint="default"/>
                <w:spacing w:val="-2"/>
                <w:sz w:val="18"/>
                <w:szCs w:val="18"/>
              </w:rPr>
              <w:t> </w:t>
            </w:r>
            <w:r>
              <w:rPr>
                <w:rFonts w:ascii="宋体" w:hAnsi="宋体" w:cs="宋体" w:eastAsia="宋体" w:hint="default"/>
                <w:sz w:val="18"/>
                <w:szCs w:val="18"/>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2"/>
              <w:jc w:val="right"/>
              <w:rPr>
                <w:rFonts w:ascii="宋体" w:hAnsi="宋体" w:cs="宋体" w:eastAsia="宋体" w:hint="default"/>
                <w:sz w:val="18"/>
                <w:szCs w:val="18"/>
              </w:rPr>
            </w:pPr>
            <w:r>
              <w:rPr>
                <w:rFonts w:ascii="宋体"/>
                <w:spacing w:val="1"/>
                <w:sz w:val="18"/>
              </w:rPr>
              <w:t> </w:t>
            </w:r>
            <w:r>
              <w:rPr>
                <w:rFonts w:ascii="宋体"/>
                <w:spacing w:val="-1"/>
                <w:sz w:val="18"/>
              </w:rPr>
              <w:t>1,492,244.31</w:t>
            </w:r>
            <w:r>
              <w:rPr>
                <w:rFonts w:ascii="宋体"/>
                <w:sz w:val="18"/>
              </w:rPr>
              <w:t> </w:t>
            </w:r>
          </w:p>
        </w:tc>
        <w:tc>
          <w:tcPr>
            <w:tcW w:w="3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7" w:right="0"/>
              <w:jc w:val="center"/>
              <w:rPr>
                <w:rFonts w:ascii="宋体" w:hAnsi="宋体" w:cs="宋体" w:eastAsia="宋体" w:hint="default"/>
                <w:sz w:val="18"/>
                <w:szCs w:val="18"/>
              </w:rPr>
            </w:pPr>
            <w:r>
              <w:rPr>
                <w:rFonts w:ascii="宋体" w:hAnsi="宋体" w:cs="宋体" w:eastAsia="宋体" w:hint="default"/>
                <w:sz w:val="18"/>
                <w:szCs w:val="18"/>
              </w:rPr>
              <w:t>未到结算期</w:t>
            </w:r>
            <w:r>
              <w:rPr>
                <w:rFonts w:ascii="宋体" w:hAnsi="宋体" w:cs="宋体" w:eastAsia="宋体" w:hint="default"/>
                <w:sz w:val="18"/>
                <w:szCs w:val="18"/>
              </w:rPr>
              <w:t> </w:t>
            </w:r>
          </w:p>
        </w:tc>
      </w:tr>
      <w:tr>
        <w:trPr>
          <w:trHeight w:val="396" w:hRule="exact"/>
        </w:trPr>
        <w:tc>
          <w:tcPr>
            <w:tcW w:w="32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烟台鑫联通信科技有限公司一分公司</w:t>
            </w:r>
            <w:r>
              <w:rPr>
                <w:rFonts w:ascii="宋体" w:hAnsi="宋体" w:cs="宋体" w:eastAsia="宋体" w:hint="default"/>
                <w:sz w:val="18"/>
                <w:szCs w:val="18"/>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 </w:t>
            </w:r>
            <w:r>
              <w:rPr>
                <w:rFonts w:ascii="宋体"/>
                <w:spacing w:val="-1"/>
                <w:sz w:val="18"/>
              </w:rPr>
              <w:t>1,370,581.64</w:t>
            </w:r>
            <w:r>
              <w:rPr>
                <w:rFonts w:ascii="宋体"/>
                <w:sz w:val="18"/>
              </w:rPr>
              <w:t> </w:t>
            </w:r>
          </w:p>
        </w:tc>
        <w:tc>
          <w:tcPr>
            <w:tcW w:w="3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7" w:right="0"/>
              <w:jc w:val="center"/>
              <w:rPr>
                <w:rFonts w:ascii="宋体" w:hAnsi="宋体" w:cs="宋体" w:eastAsia="宋体" w:hint="default"/>
                <w:sz w:val="18"/>
                <w:szCs w:val="18"/>
              </w:rPr>
            </w:pPr>
            <w:r>
              <w:rPr>
                <w:rFonts w:ascii="宋体" w:hAnsi="宋体" w:cs="宋体" w:eastAsia="宋体" w:hint="default"/>
                <w:sz w:val="18"/>
                <w:szCs w:val="18"/>
              </w:rPr>
              <w:t>未到结算期</w:t>
            </w:r>
            <w:r>
              <w:rPr>
                <w:rFonts w:ascii="宋体" w:hAnsi="宋体" w:cs="宋体" w:eastAsia="宋体" w:hint="default"/>
                <w:sz w:val="18"/>
                <w:szCs w:val="18"/>
              </w:rPr>
              <w:t> </w:t>
            </w:r>
          </w:p>
        </w:tc>
      </w:tr>
      <w:tr>
        <w:trPr>
          <w:trHeight w:val="398" w:hRule="exact"/>
        </w:trPr>
        <w:tc>
          <w:tcPr>
            <w:tcW w:w="32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清远市康成通信工程劳务有限公司</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2"/>
              <w:jc w:val="right"/>
              <w:rPr>
                <w:rFonts w:ascii="宋体" w:hAnsi="宋体" w:cs="宋体" w:eastAsia="宋体" w:hint="default"/>
                <w:sz w:val="18"/>
                <w:szCs w:val="18"/>
              </w:rPr>
            </w:pPr>
            <w:r>
              <w:rPr>
                <w:rFonts w:ascii="宋体"/>
                <w:spacing w:val="1"/>
                <w:sz w:val="18"/>
              </w:rPr>
              <w:t> </w:t>
            </w:r>
            <w:r>
              <w:rPr>
                <w:rFonts w:ascii="宋体"/>
                <w:spacing w:val="-1"/>
                <w:sz w:val="18"/>
              </w:rPr>
              <w:t>736,531.26</w:t>
            </w:r>
            <w:r>
              <w:rPr>
                <w:rFonts w:ascii="宋体"/>
                <w:sz w:val="18"/>
              </w:rPr>
              <w:t> </w:t>
            </w:r>
          </w:p>
        </w:tc>
        <w:tc>
          <w:tcPr>
            <w:tcW w:w="3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7" w:right="0"/>
              <w:jc w:val="center"/>
              <w:rPr>
                <w:rFonts w:ascii="宋体" w:hAnsi="宋体" w:cs="宋体" w:eastAsia="宋体" w:hint="default"/>
                <w:sz w:val="18"/>
                <w:szCs w:val="18"/>
              </w:rPr>
            </w:pPr>
            <w:r>
              <w:rPr>
                <w:rFonts w:ascii="宋体" w:hAnsi="宋体" w:cs="宋体" w:eastAsia="宋体" w:hint="default"/>
                <w:sz w:val="18"/>
                <w:szCs w:val="18"/>
              </w:rPr>
              <w:t>未到结算期</w:t>
            </w:r>
            <w:r>
              <w:rPr>
                <w:rFonts w:ascii="宋体" w:hAnsi="宋体" w:cs="宋体" w:eastAsia="宋体" w:hint="default"/>
                <w:sz w:val="18"/>
                <w:szCs w:val="18"/>
              </w:rPr>
              <w:t> </w:t>
            </w:r>
          </w:p>
        </w:tc>
      </w:tr>
      <w:tr>
        <w:trPr>
          <w:trHeight w:val="396" w:hRule="exact"/>
        </w:trPr>
        <w:tc>
          <w:tcPr>
            <w:tcW w:w="32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清远市弘力劳务有限公司</w:t>
            </w:r>
            <w:r>
              <w:rPr>
                <w:rFonts w:ascii="宋体" w:hAnsi="宋体" w:cs="宋体" w:eastAsia="宋体" w:hint="default"/>
                <w:spacing w:val="-2"/>
                <w:sz w:val="18"/>
                <w:szCs w:val="18"/>
              </w:rPr>
              <w:t> </w:t>
            </w:r>
            <w:r>
              <w:rPr>
                <w:rFonts w:ascii="宋体" w:hAnsi="宋体" w:cs="宋体" w:eastAsia="宋体" w:hint="default"/>
                <w:sz w:val="18"/>
                <w:szCs w:val="18"/>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2"/>
              <w:jc w:val="right"/>
              <w:rPr>
                <w:rFonts w:ascii="宋体" w:hAnsi="宋体" w:cs="宋体" w:eastAsia="宋体" w:hint="default"/>
                <w:sz w:val="18"/>
                <w:szCs w:val="18"/>
              </w:rPr>
            </w:pPr>
            <w:r>
              <w:rPr>
                <w:rFonts w:ascii="宋体"/>
                <w:spacing w:val="1"/>
                <w:sz w:val="18"/>
              </w:rPr>
              <w:t> </w:t>
            </w:r>
            <w:r>
              <w:rPr>
                <w:rFonts w:ascii="宋体"/>
                <w:spacing w:val="-1"/>
                <w:sz w:val="18"/>
              </w:rPr>
              <w:t>724,042.69</w:t>
            </w:r>
            <w:r>
              <w:rPr>
                <w:rFonts w:ascii="宋体"/>
                <w:sz w:val="18"/>
              </w:rPr>
              <w:t> </w:t>
            </w:r>
          </w:p>
        </w:tc>
        <w:tc>
          <w:tcPr>
            <w:tcW w:w="3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7" w:right="0"/>
              <w:jc w:val="center"/>
              <w:rPr>
                <w:rFonts w:ascii="宋体" w:hAnsi="宋体" w:cs="宋体" w:eastAsia="宋体" w:hint="default"/>
                <w:sz w:val="18"/>
                <w:szCs w:val="18"/>
              </w:rPr>
            </w:pPr>
            <w:r>
              <w:rPr>
                <w:rFonts w:ascii="宋体" w:hAnsi="宋体" w:cs="宋体" w:eastAsia="宋体" w:hint="default"/>
                <w:sz w:val="18"/>
                <w:szCs w:val="18"/>
              </w:rPr>
              <w:t>未到结算期</w:t>
            </w:r>
            <w:r>
              <w:rPr>
                <w:rFonts w:ascii="宋体" w:hAnsi="宋体" w:cs="宋体" w:eastAsia="宋体" w:hint="default"/>
                <w:sz w:val="18"/>
                <w:szCs w:val="18"/>
              </w:rPr>
              <w:t> </w:t>
            </w:r>
          </w:p>
        </w:tc>
      </w:tr>
      <w:tr>
        <w:trPr>
          <w:trHeight w:val="396" w:hRule="exact"/>
        </w:trPr>
        <w:tc>
          <w:tcPr>
            <w:tcW w:w="32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广东维能工程设备有限公司</w:t>
            </w:r>
            <w:r>
              <w:rPr>
                <w:rFonts w:ascii="宋体" w:hAnsi="宋体" w:cs="宋体" w:eastAsia="宋体" w:hint="default"/>
                <w:spacing w:val="-2"/>
                <w:sz w:val="18"/>
                <w:szCs w:val="18"/>
              </w:rPr>
              <w:t> </w:t>
            </w:r>
            <w:r>
              <w:rPr>
                <w:rFonts w:ascii="宋体" w:hAnsi="宋体" w:cs="宋体" w:eastAsia="宋体" w:hint="default"/>
                <w:sz w:val="18"/>
                <w:szCs w:val="18"/>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2"/>
              <w:jc w:val="right"/>
              <w:rPr>
                <w:rFonts w:ascii="宋体" w:hAnsi="宋体" w:cs="宋体" w:eastAsia="宋体" w:hint="default"/>
                <w:sz w:val="18"/>
                <w:szCs w:val="18"/>
              </w:rPr>
            </w:pPr>
            <w:r>
              <w:rPr>
                <w:rFonts w:ascii="宋体"/>
                <w:spacing w:val="1"/>
                <w:sz w:val="18"/>
              </w:rPr>
              <w:t> </w:t>
            </w:r>
            <w:r>
              <w:rPr>
                <w:rFonts w:ascii="宋体"/>
                <w:spacing w:val="-1"/>
                <w:sz w:val="18"/>
              </w:rPr>
              <w:t>539,363.30</w:t>
            </w:r>
            <w:r>
              <w:rPr>
                <w:rFonts w:ascii="宋体"/>
                <w:sz w:val="18"/>
              </w:rPr>
              <w:t> </w:t>
            </w:r>
          </w:p>
        </w:tc>
        <w:tc>
          <w:tcPr>
            <w:tcW w:w="3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7" w:right="0"/>
              <w:jc w:val="center"/>
              <w:rPr>
                <w:rFonts w:ascii="宋体" w:hAnsi="宋体" w:cs="宋体" w:eastAsia="宋体" w:hint="default"/>
                <w:sz w:val="18"/>
                <w:szCs w:val="18"/>
              </w:rPr>
            </w:pPr>
            <w:r>
              <w:rPr>
                <w:rFonts w:ascii="宋体" w:hAnsi="宋体" w:cs="宋体" w:eastAsia="宋体" w:hint="default"/>
                <w:sz w:val="18"/>
                <w:szCs w:val="18"/>
              </w:rPr>
              <w:t>未到结算期</w:t>
            </w:r>
            <w:r>
              <w:rPr>
                <w:rFonts w:ascii="宋体" w:hAnsi="宋体" w:cs="宋体" w:eastAsia="宋体" w:hint="default"/>
                <w:sz w:val="18"/>
                <w:szCs w:val="18"/>
              </w:rPr>
              <w:t> </w:t>
            </w:r>
          </w:p>
        </w:tc>
      </w:tr>
      <w:tr>
        <w:trPr>
          <w:trHeight w:val="399" w:hRule="exact"/>
        </w:trPr>
        <w:tc>
          <w:tcPr>
            <w:tcW w:w="32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5" w:right="0"/>
              <w:jc w:val="left"/>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珠海市长亿建设有限公司</w:t>
            </w:r>
            <w:r>
              <w:rPr>
                <w:rFonts w:ascii="宋体" w:hAnsi="宋体" w:cs="宋体" w:eastAsia="宋体" w:hint="default"/>
                <w:spacing w:val="-2"/>
                <w:sz w:val="18"/>
                <w:szCs w:val="18"/>
              </w:rPr>
              <w:t> </w:t>
            </w:r>
            <w:r>
              <w:rPr>
                <w:rFonts w:ascii="宋体" w:hAnsi="宋体" w:cs="宋体" w:eastAsia="宋体" w:hint="default"/>
                <w:sz w:val="18"/>
                <w:szCs w:val="18"/>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2"/>
              <w:jc w:val="right"/>
              <w:rPr>
                <w:rFonts w:ascii="宋体" w:hAnsi="宋体" w:cs="宋体" w:eastAsia="宋体" w:hint="default"/>
                <w:sz w:val="18"/>
                <w:szCs w:val="18"/>
              </w:rPr>
            </w:pPr>
            <w:r>
              <w:rPr>
                <w:rFonts w:ascii="宋体"/>
                <w:spacing w:val="1"/>
                <w:sz w:val="18"/>
              </w:rPr>
              <w:t> </w:t>
            </w:r>
            <w:r>
              <w:rPr>
                <w:rFonts w:ascii="宋体"/>
                <w:spacing w:val="-1"/>
                <w:sz w:val="18"/>
              </w:rPr>
              <w:t>457,828.26</w:t>
            </w:r>
            <w:r>
              <w:rPr>
                <w:rFonts w:ascii="宋体"/>
                <w:sz w:val="18"/>
              </w:rPr>
              <w:t> </w:t>
            </w:r>
          </w:p>
        </w:tc>
        <w:tc>
          <w:tcPr>
            <w:tcW w:w="3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87" w:right="0"/>
              <w:jc w:val="center"/>
              <w:rPr>
                <w:rFonts w:ascii="宋体" w:hAnsi="宋体" w:cs="宋体" w:eastAsia="宋体" w:hint="default"/>
                <w:sz w:val="18"/>
                <w:szCs w:val="18"/>
              </w:rPr>
            </w:pPr>
            <w:r>
              <w:rPr>
                <w:rFonts w:ascii="宋体" w:hAnsi="宋体" w:cs="宋体" w:eastAsia="宋体" w:hint="default"/>
                <w:sz w:val="18"/>
                <w:szCs w:val="18"/>
              </w:rPr>
              <w:t>未到结算期</w:t>
            </w:r>
            <w:r>
              <w:rPr>
                <w:rFonts w:ascii="宋体" w:hAnsi="宋体" w:cs="宋体" w:eastAsia="宋体" w:hint="default"/>
                <w:sz w:val="18"/>
                <w:szCs w:val="18"/>
              </w:rPr>
              <w:t> </w:t>
            </w:r>
          </w:p>
        </w:tc>
      </w:tr>
      <w:tr>
        <w:trPr>
          <w:trHeight w:val="396" w:hRule="exact"/>
        </w:trPr>
        <w:tc>
          <w:tcPr>
            <w:tcW w:w="32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福建省冠联建设工程有限公司</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2"/>
              <w:jc w:val="right"/>
              <w:rPr>
                <w:rFonts w:ascii="宋体" w:hAnsi="宋体" w:cs="宋体" w:eastAsia="宋体" w:hint="default"/>
                <w:sz w:val="18"/>
                <w:szCs w:val="18"/>
              </w:rPr>
            </w:pPr>
            <w:r>
              <w:rPr>
                <w:rFonts w:ascii="宋体"/>
                <w:spacing w:val="1"/>
                <w:sz w:val="18"/>
              </w:rPr>
              <w:t> </w:t>
            </w:r>
            <w:r>
              <w:rPr>
                <w:rFonts w:ascii="宋体"/>
                <w:spacing w:val="-1"/>
                <w:sz w:val="18"/>
              </w:rPr>
              <w:t>443,357.93</w:t>
            </w:r>
            <w:r>
              <w:rPr>
                <w:rFonts w:ascii="宋体"/>
                <w:sz w:val="18"/>
              </w:rPr>
              <w:t> </w:t>
            </w:r>
          </w:p>
        </w:tc>
        <w:tc>
          <w:tcPr>
            <w:tcW w:w="3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7" w:right="0"/>
              <w:jc w:val="center"/>
              <w:rPr>
                <w:rFonts w:ascii="宋体" w:hAnsi="宋体" w:cs="宋体" w:eastAsia="宋体" w:hint="default"/>
                <w:sz w:val="18"/>
                <w:szCs w:val="18"/>
              </w:rPr>
            </w:pPr>
            <w:r>
              <w:rPr>
                <w:rFonts w:ascii="宋体" w:hAnsi="宋体" w:cs="宋体" w:eastAsia="宋体" w:hint="default"/>
                <w:sz w:val="18"/>
                <w:szCs w:val="18"/>
              </w:rPr>
              <w:t>未到结算期</w:t>
            </w:r>
            <w:r>
              <w:rPr>
                <w:rFonts w:ascii="宋体" w:hAnsi="宋体" w:cs="宋体" w:eastAsia="宋体" w:hint="default"/>
                <w:sz w:val="18"/>
                <w:szCs w:val="18"/>
              </w:rPr>
              <w:t> </w:t>
            </w:r>
          </w:p>
        </w:tc>
      </w:tr>
      <w:tr>
        <w:trPr>
          <w:trHeight w:val="487" w:hRule="exact"/>
        </w:trPr>
        <w:tc>
          <w:tcPr>
            <w:tcW w:w="32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安徽永腾通信技术有限公司</w:t>
            </w:r>
            <w:r>
              <w:rPr>
                <w:rFonts w:ascii="宋体" w:hAnsi="宋体" w:cs="宋体" w:eastAsia="宋体" w:hint="default"/>
                <w:spacing w:val="-2"/>
                <w:sz w:val="18"/>
                <w:szCs w:val="18"/>
              </w:rPr>
              <w:t> </w:t>
            </w:r>
            <w:r>
              <w:rPr>
                <w:rFonts w:ascii="宋体" w:hAnsi="宋体" w:cs="宋体" w:eastAsia="宋体" w:hint="default"/>
                <w:sz w:val="18"/>
                <w:szCs w:val="18"/>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2"/>
              <w:jc w:val="right"/>
              <w:rPr>
                <w:rFonts w:ascii="宋体" w:hAnsi="宋体" w:cs="宋体" w:eastAsia="宋体" w:hint="default"/>
                <w:sz w:val="18"/>
                <w:szCs w:val="18"/>
              </w:rPr>
            </w:pPr>
            <w:r>
              <w:rPr>
                <w:rFonts w:ascii="宋体"/>
                <w:spacing w:val="1"/>
                <w:sz w:val="18"/>
              </w:rPr>
              <w:t> </w:t>
            </w:r>
            <w:r>
              <w:rPr>
                <w:rFonts w:ascii="宋体"/>
                <w:spacing w:val="-1"/>
                <w:sz w:val="18"/>
              </w:rPr>
              <w:t>412,007.45</w:t>
            </w:r>
            <w:r>
              <w:rPr>
                <w:rFonts w:ascii="宋体"/>
                <w:sz w:val="18"/>
              </w:rPr>
              <w:t> </w:t>
            </w:r>
          </w:p>
        </w:tc>
        <w:tc>
          <w:tcPr>
            <w:tcW w:w="3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7" w:right="0"/>
              <w:jc w:val="center"/>
              <w:rPr>
                <w:rFonts w:ascii="宋体" w:hAnsi="宋体" w:cs="宋体" w:eastAsia="宋体" w:hint="default"/>
                <w:sz w:val="18"/>
                <w:szCs w:val="18"/>
              </w:rPr>
            </w:pPr>
            <w:r>
              <w:rPr>
                <w:rFonts w:ascii="宋体" w:hAnsi="宋体" w:cs="宋体" w:eastAsia="宋体" w:hint="default"/>
                <w:sz w:val="18"/>
                <w:szCs w:val="18"/>
              </w:rPr>
              <w:t>未到结算期</w:t>
            </w:r>
            <w:r>
              <w:rPr>
                <w:rFonts w:ascii="宋体" w:hAnsi="宋体" w:cs="宋体" w:eastAsia="宋体" w:hint="default"/>
                <w:sz w:val="18"/>
                <w:szCs w:val="18"/>
              </w:rPr>
              <w:t> </w:t>
            </w:r>
          </w:p>
        </w:tc>
      </w:tr>
      <w:tr>
        <w:trPr>
          <w:trHeight w:val="458" w:hRule="exact"/>
        </w:trPr>
        <w:tc>
          <w:tcPr>
            <w:tcW w:w="32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广东亿迅科技有限公司</w:t>
            </w:r>
            <w:r>
              <w:rPr>
                <w:rFonts w:ascii="宋体" w:hAnsi="宋体" w:cs="宋体" w:eastAsia="宋体" w:hint="default"/>
                <w:spacing w:val="-2"/>
                <w:sz w:val="18"/>
                <w:szCs w:val="18"/>
              </w:rPr>
              <w:t> </w:t>
            </w:r>
            <w:r>
              <w:rPr>
                <w:rFonts w:ascii="宋体" w:hAnsi="宋体" w:cs="宋体" w:eastAsia="宋体" w:hint="default"/>
                <w:sz w:val="18"/>
                <w:szCs w:val="18"/>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2"/>
              <w:jc w:val="right"/>
              <w:rPr>
                <w:rFonts w:ascii="宋体" w:hAnsi="宋体" w:cs="宋体" w:eastAsia="宋体" w:hint="default"/>
                <w:sz w:val="18"/>
                <w:szCs w:val="18"/>
              </w:rPr>
            </w:pPr>
            <w:r>
              <w:rPr>
                <w:rFonts w:ascii="宋体"/>
                <w:spacing w:val="1"/>
                <w:sz w:val="18"/>
              </w:rPr>
              <w:t> </w:t>
            </w:r>
            <w:r>
              <w:rPr>
                <w:rFonts w:ascii="宋体"/>
                <w:spacing w:val="-1"/>
                <w:sz w:val="18"/>
              </w:rPr>
              <w:t>612,425.00</w:t>
            </w:r>
            <w:r>
              <w:rPr>
                <w:rFonts w:ascii="宋体"/>
                <w:sz w:val="18"/>
              </w:rPr>
              <w:t> </w:t>
            </w:r>
          </w:p>
        </w:tc>
        <w:tc>
          <w:tcPr>
            <w:tcW w:w="3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7" w:right="0"/>
              <w:jc w:val="center"/>
              <w:rPr>
                <w:rFonts w:ascii="宋体" w:hAnsi="宋体" w:cs="宋体" w:eastAsia="宋体" w:hint="default"/>
                <w:sz w:val="18"/>
                <w:szCs w:val="18"/>
              </w:rPr>
            </w:pPr>
            <w:r>
              <w:rPr>
                <w:rFonts w:ascii="宋体" w:hAnsi="宋体" w:cs="宋体" w:eastAsia="宋体" w:hint="default"/>
                <w:sz w:val="18"/>
                <w:szCs w:val="18"/>
              </w:rPr>
              <w:t>未到结算期</w:t>
            </w:r>
            <w:r>
              <w:rPr>
                <w:rFonts w:ascii="宋体" w:hAnsi="宋体" w:cs="宋体" w:eastAsia="宋体" w:hint="default"/>
                <w:sz w:val="18"/>
                <w:szCs w:val="18"/>
              </w:rPr>
              <w:t> </w:t>
            </w:r>
          </w:p>
        </w:tc>
      </w:tr>
      <w:tr>
        <w:trPr>
          <w:trHeight w:val="398" w:hRule="exact"/>
        </w:trPr>
        <w:tc>
          <w:tcPr>
            <w:tcW w:w="32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4" w:right="0"/>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3"/>
                <w:sz w:val="18"/>
                <w:szCs w:val="18"/>
              </w:rPr>
              <w:t> </w:t>
            </w:r>
            <w:r>
              <w:rPr>
                <w:rFonts w:ascii="宋体" w:hAnsi="宋体" w:cs="宋体" w:eastAsia="宋体" w:hint="default"/>
                <w:spacing w:val="3"/>
                <w:sz w:val="18"/>
                <w:szCs w:val="18"/>
              </w:rPr>
            </w:r>
            <w:r>
              <w:rPr>
                <w:rFonts w:ascii="宋体" w:hAnsi="宋体" w:cs="宋体" w:eastAsia="宋体" w:hint="default"/>
                <w:spacing w:val="-3"/>
                <w:sz w:val="18"/>
                <w:szCs w:val="18"/>
              </w:rPr>
              <w:t>计</w:t>
            </w:r>
            <w:r>
              <w:rPr>
                <w:rFonts w:ascii="宋体" w:hAnsi="宋体" w:cs="宋体" w:eastAsia="宋体" w:hint="default"/>
                <w:sz w:val="18"/>
                <w:szCs w:val="18"/>
              </w:rPr>
              <w:t> </w:t>
            </w:r>
          </w:p>
        </w:tc>
        <w:tc>
          <w:tcPr>
            <w:tcW w:w="26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2"/>
              <w:jc w:val="right"/>
              <w:rPr>
                <w:rFonts w:ascii="宋体" w:hAnsi="宋体" w:cs="宋体" w:eastAsia="宋体" w:hint="default"/>
                <w:sz w:val="18"/>
                <w:szCs w:val="18"/>
              </w:rPr>
            </w:pPr>
            <w:r>
              <w:rPr>
                <w:rFonts w:ascii="宋体"/>
                <w:spacing w:val="1"/>
                <w:sz w:val="18"/>
              </w:rPr>
              <w:t> </w:t>
            </w:r>
            <w:r>
              <w:rPr>
                <w:rFonts w:ascii="宋体"/>
                <w:spacing w:val="-1"/>
                <w:sz w:val="18"/>
              </w:rPr>
              <w:t>37,134,935.96</w:t>
            </w:r>
            <w:r>
              <w:rPr>
                <w:rFonts w:ascii="宋体"/>
                <w:sz w:val="18"/>
              </w:rPr>
              <w:t> </w:t>
            </w:r>
          </w:p>
        </w:tc>
        <w:tc>
          <w:tcPr>
            <w:tcW w:w="36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9" w:right="0"/>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 </w:t>
            </w:r>
          </w:p>
        </w:tc>
      </w:tr>
    </w:tbl>
    <w:p>
      <w:pPr>
        <w:spacing w:after="0" w:line="240" w:lineRule="auto"/>
        <w:jc w:val="center"/>
        <w:rPr>
          <w:rFonts w:ascii="宋体" w:hAnsi="宋体" w:cs="宋体" w:eastAsia="宋体" w:hint="default"/>
          <w:sz w:val="18"/>
          <w:szCs w:val="18"/>
        </w:rPr>
        <w:sectPr>
          <w:pgSz w:w="11910" w:h="16840"/>
          <w:pgMar w:header="880" w:footer="975" w:top="1100" w:bottom="1160" w:left="1160" w:right="0"/>
        </w:sectPr>
      </w:pPr>
    </w:p>
    <w:p>
      <w:pPr>
        <w:spacing w:line="240" w:lineRule="auto" w:before="3"/>
        <w:rPr>
          <w:rFonts w:ascii="宋体" w:hAnsi="宋体" w:cs="宋体" w:eastAsia="宋体" w:hint="default"/>
          <w:sz w:val="19"/>
          <w:szCs w:val="19"/>
        </w:rPr>
      </w:pPr>
    </w:p>
    <w:p>
      <w:pPr>
        <w:spacing w:line="374" w:lineRule="auto" w:before="36"/>
        <w:ind w:left="566" w:right="7673" w:hanging="70"/>
        <w:jc w:val="left"/>
        <w:rPr>
          <w:rFonts w:ascii="宋体" w:hAnsi="宋体" w:cs="宋体" w:eastAsia="宋体" w:hint="default"/>
          <w:sz w:val="21"/>
          <w:szCs w:val="21"/>
        </w:rPr>
      </w:pPr>
      <w:r>
        <w:rPr>
          <w:rFonts w:ascii="宋体" w:hAnsi="宋体" w:cs="宋体" w:eastAsia="宋体" w:hint="default"/>
          <w:b/>
          <w:bCs/>
          <w:sz w:val="21"/>
          <w:szCs w:val="21"/>
        </w:rPr>
        <w:t>（二十一）预收款项</w:t>
      </w:r>
      <w:r>
        <w:rPr>
          <w:rFonts w:ascii="宋体" w:hAnsi="宋体" w:cs="宋体" w:eastAsia="宋体" w:hint="default"/>
          <w:b/>
          <w:bCs/>
          <w:w w:val="99"/>
          <w:sz w:val="21"/>
          <w:szCs w:val="21"/>
        </w:rPr>
        <w:t> </w:t>
      </w:r>
      <w:r>
        <w:rPr>
          <w:rFonts w:ascii="宋体" w:hAnsi="宋体" w:cs="宋体" w:eastAsia="宋体" w:hint="default"/>
          <w:b/>
          <w:bCs/>
          <w:sz w:val="21"/>
          <w:szCs w:val="21"/>
        </w:rPr>
        <w:t>1</w:t>
      </w:r>
      <w:r>
        <w:rPr>
          <w:rFonts w:ascii="宋体" w:hAnsi="宋体" w:cs="宋体" w:eastAsia="宋体" w:hint="default"/>
          <w:b/>
          <w:bCs/>
          <w:sz w:val="21"/>
          <w:szCs w:val="21"/>
        </w:rPr>
        <w:t>、</w:t>
      </w:r>
      <w:r>
        <w:rPr>
          <w:rFonts w:ascii="宋体" w:hAnsi="宋体" w:cs="宋体" w:eastAsia="宋体" w:hint="default"/>
          <w:sz w:val="21"/>
          <w:szCs w:val="21"/>
        </w:rPr>
        <w:t>预收款项列示</w:t>
      </w:r>
      <w:r>
        <w:rPr>
          <w:rFonts w:ascii="宋体" w:hAnsi="宋体" w:cs="宋体" w:eastAsia="宋体" w:hint="default"/>
          <w:sz w:val="21"/>
          <w:szCs w:val="21"/>
        </w:rPr>
        <w:t> </w:t>
      </w:r>
    </w:p>
    <w:p>
      <w:pPr>
        <w:spacing w:line="240" w:lineRule="auto" w:before="6"/>
        <w:rPr>
          <w:rFonts w:ascii="宋体" w:hAnsi="宋体" w:cs="宋体" w:eastAsia="宋体" w:hint="default"/>
          <w:sz w:val="5"/>
          <w:szCs w:val="5"/>
        </w:rPr>
      </w:pPr>
    </w:p>
    <w:tbl>
      <w:tblPr>
        <w:tblW w:w="0" w:type="auto"/>
        <w:jc w:val="left"/>
        <w:tblInd w:w="177" w:type="dxa"/>
        <w:tblLayout w:type="fixed"/>
        <w:tblCellMar>
          <w:top w:w="0" w:type="dxa"/>
          <w:left w:w="0" w:type="dxa"/>
          <w:bottom w:w="0" w:type="dxa"/>
          <w:right w:w="0" w:type="dxa"/>
        </w:tblCellMar>
        <w:tblLook w:val="01E0"/>
      </w:tblPr>
      <w:tblGrid>
        <w:gridCol w:w="2849"/>
        <w:gridCol w:w="2993"/>
        <w:gridCol w:w="3733"/>
      </w:tblGrid>
      <w:tr>
        <w:trPr>
          <w:trHeight w:val="396" w:hRule="exact"/>
        </w:trPr>
        <w:tc>
          <w:tcPr>
            <w:tcW w:w="2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1"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7"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c>
          <w:tcPr>
            <w:tcW w:w="37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7" w:right="0"/>
              <w:jc w:val="center"/>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r>
      <w:tr>
        <w:trPr>
          <w:trHeight w:val="398" w:hRule="exact"/>
        </w:trPr>
        <w:tc>
          <w:tcPr>
            <w:tcW w:w="2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预收运营商维护工程款</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17,750,510.52 </w:t>
            </w:r>
          </w:p>
        </w:tc>
        <w:tc>
          <w:tcPr>
            <w:tcW w:w="37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36,854,437.67</w:t>
            </w:r>
            <w:r>
              <w:rPr>
                <w:rFonts w:ascii="宋体"/>
                <w:sz w:val="18"/>
              </w:rPr>
              <w:t> </w:t>
            </w:r>
          </w:p>
        </w:tc>
      </w:tr>
      <w:tr>
        <w:trPr>
          <w:trHeight w:val="396" w:hRule="exact"/>
        </w:trPr>
        <w:tc>
          <w:tcPr>
            <w:tcW w:w="2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预收短信发送款</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70,100,058.34 </w:t>
            </w:r>
          </w:p>
        </w:tc>
        <w:tc>
          <w:tcPr>
            <w:tcW w:w="37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76,576,349.03</w:t>
            </w:r>
            <w:r>
              <w:rPr>
                <w:rFonts w:ascii="宋体"/>
                <w:sz w:val="18"/>
              </w:rPr>
              <w:t> </w:t>
            </w:r>
          </w:p>
        </w:tc>
      </w:tr>
      <w:tr>
        <w:trPr>
          <w:trHeight w:val="398" w:hRule="exact"/>
        </w:trPr>
        <w:tc>
          <w:tcPr>
            <w:tcW w:w="2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预收流量款</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c>
          <w:tcPr>
            <w:tcW w:w="37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76,379.49</w:t>
            </w:r>
            <w:r>
              <w:rPr>
                <w:rFonts w:ascii="宋体"/>
                <w:sz w:val="18"/>
              </w:rPr>
              <w:t> </w:t>
            </w:r>
          </w:p>
        </w:tc>
      </w:tr>
      <w:tr>
        <w:trPr>
          <w:trHeight w:val="396" w:hRule="exact"/>
        </w:trPr>
        <w:tc>
          <w:tcPr>
            <w:tcW w:w="28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1"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87,850,568.86 </w:t>
            </w:r>
          </w:p>
        </w:tc>
        <w:tc>
          <w:tcPr>
            <w:tcW w:w="37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113,507,166.19 </w:t>
            </w:r>
          </w:p>
        </w:tc>
      </w:tr>
    </w:tbl>
    <w:p>
      <w:pPr>
        <w:spacing w:line="240" w:lineRule="auto" w:before="7"/>
        <w:rPr>
          <w:rFonts w:ascii="宋体" w:hAnsi="宋体" w:cs="宋体" w:eastAsia="宋体" w:hint="default"/>
          <w:sz w:val="6"/>
          <w:szCs w:val="6"/>
        </w:rPr>
      </w:pPr>
    </w:p>
    <w:p>
      <w:pPr>
        <w:pStyle w:val="BodyText"/>
        <w:spacing w:line="240" w:lineRule="auto" w:before="36"/>
        <w:ind w:left="566" w:right="1146"/>
        <w:jc w:val="left"/>
        <w:rPr>
          <w:rFonts w:ascii="宋体" w:hAnsi="宋体" w:cs="宋体" w:eastAsia="宋体" w:hint="default"/>
        </w:rPr>
      </w:pPr>
      <w:r>
        <w:rPr>
          <w:rFonts w:ascii="宋体" w:hAnsi="宋体" w:cs="宋体" w:eastAsia="宋体" w:hint="default"/>
          <w:b/>
          <w:bCs/>
        </w:rPr>
        <w:t>2</w:t>
      </w:r>
      <w:r>
        <w:rPr>
          <w:rFonts w:ascii="宋体" w:hAnsi="宋体" w:cs="宋体" w:eastAsia="宋体" w:hint="default"/>
          <w:b/>
          <w:bCs/>
        </w:rPr>
        <w:t>、</w:t>
      </w:r>
      <w:r>
        <w:rPr/>
        <w:t>账龄超过</w:t>
      </w:r>
      <w:r>
        <w:rPr>
          <w:spacing w:val="-56"/>
        </w:rPr>
        <w:t> </w:t>
      </w:r>
      <w:r>
        <w:rPr>
          <w:rFonts w:ascii="宋体" w:hAnsi="宋体" w:cs="宋体" w:eastAsia="宋体" w:hint="default"/>
        </w:rPr>
        <w:t>1</w:t>
      </w:r>
      <w:r>
        <w:rPr>
          <w:rFonts w:ascii="宋体" w:hAnsi="宋体" w:cs="宋体" w:eastAsia="宋体" w:hint="default"/>
          <w:spacing w:val="-54"/>
        </w:rPr>
        <w:t> </w:t>
      </w:r>
      <w:r>
        <w:rPr/>
        <w:t>年的重要预收款项</w:t>
      </w:r>
      <w:r>
        <w:rPr>
          <w:rFonts w:ascii="宋体" w:hAnsi="宋体" w:cs="宋体" w:eastAsia="宋体" w:hint="default"/>
        </w:rPr>
        <w:t> </w:t>
      </w:r>
    </w:p>
    <w:p>
      <w:pPr>
        <w:spacing w:line="240" w:lineRule="auto" w:before="6"/>
        <w:rPr>
          <w:rFonts w:ascii="宋体" w:hAnsi="宋体" w:cs="宋体" w:eastAsia="宋体" w:hint="default"/>
          <w:sz w:val="14"/>
          <w:szCs w:val="14"/>
        </w:rPr>
      </w:pPr>
    </w:p>
    <w:tbl>
      <w:tblPr>
        <w:tblW w:w="0" w:type="auto"/>
        <w:jc w:val="left"/>
        <w:tblInd w:w="206" w:type="dxa"/>
        <w:tblLayout w:type="fixed"/>
        <w:tblCellMar>
          <w:top w:w="0" w:type="dxa"/>
          <w:left w:w="0" w:type="dxa"/>
          <w:bottom w:w="0" w:type="dxa"/>
          <w:right w:w="0" w:type="dxa"/>
        </w:tblCellMar>
        <w:tblLook w:val="01E0"/>
      </w:tblPr>
      <w:tblGrid>
        <w:gridCol w:w="3337"/>
        <w:gridCol w:w="1776"/>
        <w:gridCol w:w="4451"/>
      </w:tblGrid>
      <w:tr>
        <w:trPr>
          <w:trHeight w:val="396" w:hRule="exact"/>
        </w:trPr>
        <w:tc>
          <w:tcPr>
            <w:tcW w:w="3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4"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525"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c>
          <w:tcPr>
            <w:tcW w:w="4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411"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r>
              <w:rPr>
                <w:rFonts w:ascii="宋体" w:hAnsi="宋体" w:cs="宋体" w:eastAsia="宋体" w:hint="default"/>
                <w:sz w:val="18"/>
                <w:szCs w:val="18"/>
              </w:rPr>
              <w:t> </w:t>
            </w:r>
          </w:p>
        </w:tc>
      </w:tr>
      <w:tr>
        <w:trPr>
          <w:trHeight w:val="488" w:hRule="exact"/>
        </w:trPr>
        <w:tc>
          <w:tcPr>
            <w:tcW w:w="3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5" w:right="0"/>
              <w:jc w:val="left"/>
              <w:rPr>
                <w:rFonts w:ascii="宋体" w:hAnsi="宋体" w:cs="宋体" w:eastAsia="宋体" w:hint="default"/>
                <w:sz w:val="18"/>
                <w:szCs w:val="18"/>
              </w:rPr>
            </w:pPr>
            <w:r>
              <w:rPr>
                <w:rFonts w:ascii="宋体" w:hAnsi="宋体" w:cs="宋体" w:eastAsia="宋体" w:hint="default"/>
                <w:sz w:val="18"/>
                <w:szCs w:val="18"/>
              </w:rPr>
              <w:t>广州华多网络科技有限公司</w:t>
            </w:r>
            <w:r>
              <w:rPr>
                <w:rFonts w:ascii="宋体" w:hAnsi="宋体" w:cs="宋体" w:eastAsia="宋体" w:hint="default"/>
                <w:sz w:val="18"/>
                <w:szCs w:val="18"/>
              </w:rPr>
              <w:t> </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8"/>
              <w:jc w:val="right"/>
              <w:rPr>
                <w:rFonts w:ascii="宋体" w:hAnsi="宋体" w:cs="宋体" w:eastAsia="宋体" w:hint="default"/>
                <w:sz w:val="18"/>
                <w:szCs w:val="18"/>
              </w:rPr>
            </w:pPr>
            <w:r>
              <w:rPr>
                <w:rFonts w:ascii="宋体"/>
                <w:spacing w:val="-1"/>
                <w:sz w:val="18"/>
              </w:rPr>
              <w:t>908,326.67</w:t>
            </w:r>
            <w:r>
              <w:rPr>
                <w:rFonts w:ascii="宋体"/>
                <w:sz w:val="18"/>
              </w:rPr>
              <w:t> </w:t>
            </w:r>
          </w:p>
        </w:tc>
        <w:tc>
          <w:tcPr>
            <w:tcW w:w="4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5" w:right="0"/>
              <w:jc w:val="left"/>
              <w:rPr>
                <w:rFonts w:ascii="宋体" w:hAnsi="宋体" w:cs="宋体" w:eastAsia="宋体" w:hint="default"/>
                <w:sz w:val="18"/>
                <w:szCs w:val="18"/>
              </w:rPr>
            </w:pPr>
            <w:r>
              <w:rPr>
                <w:rFonts w:ascii="宋体" w:hAnsi="宋体" w:cs="宋体" w:eastAsia="宋体" w:hint="default"/>
                <w:sz w:val="18"/>
                <w:szCs w:val="18"/>
              </w:rPr>
              <w:t>未提供相应劳务不符合收入确认条件</w:t>
            </w:r>
            <w:r>
              <w:rPr>
                <w:rFonts w:ascii="宋体" w:hAnsi="宋体" w:cs="宋体" w:eastAsia="宋体" w:hint="default"/>
                <w:sz w:val="18"/>
                <w:szCs w:val="18"/>
              </w:rPr>
              <w:t> </w:t>
            </w:r>
          </w:p>
        </w:tc>
      </w:tr>
      <w:tr>
        <w:trPr>
          <w:trHeight w:val="665" w:hRule="exact"/>
        </w:trPr>
        <w:tc>
          <w:tcPr>
            <w:tcW w:w="3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百胜咨询（上海）有限公司</w:t>
            </w:r>
            <w:r>
              <w:rPr>
                <w:rFonts w:ascii="宋体" w:hAnsi="宋体" w:cs="宋体" w:eastAsia="宋体" w:hint="default"/>
                <w:sz w:val="18"/>
                <w:szCs w:val="18"/>
              </w:rPr>
              <w:t> </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8"/>
              <w:jc w:val="right"/>
              <w:rPr>
                <w:rFonts w:ascii="宋体" w:hAnsi="宋体" w:cs="宋体" w:eastAsia="宋体" w:hint="default"/>
                <w:sz w:val="18"/>
                <w:szCs w:val="18"/>
              </w:rPr>
            </w:pPr>
            <w:r>
              <w:rPr>
                <w:rFonts w:ascii="宋体"/>
                <w:spacing w:val="-1"/>
                <w:sz w:val="18"/>
              </w:rPr>
              <w:t>1,327,234.89</w:t>
            </w:r>
            <w:r>
              <w:rPr>
                <w:rFonts w:ascii="宋体"/>
                <w:sz w:val="18"/>
              </w:rPr>
              <w:t> </w:t>
            </w:r>
          </w:p>
        </w:tc>
        <w:tc>
          <w:tcPr>
            <w:tcW w:w="445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25"/>
              <w:ind w:left="105" w:right="98"/>
              <w:jc w:val="left"/>
              <w:rPr>
                <w:rFonts w:ascii="宋体" w:hAnsi="宋体" w:cs="宋体" w:eastAsia="宋体" w:hint="default"/>
                <w:sz w:val="18"/>
                <w:szCs w:val="18"/>
              </w:rPr>
            </w:pPr>
            <w:r>
              <w:rPr>
                <w:rFonts w:ascii="宋体" w:hAnsi="宋体" w:cs="宋体" w:eastAsia="宋体" w:hint="default"/>
                <w:sz w:val="18"/>
                <w:szCs w:val="18"/>
              </w:rPr>
              <w:t>其中</w:t>
            </w:r>
            <w:r>
              <w:rPr>
                <w:rFonts w:ascii="宋体" w:hAnsi="宋体" w:cs="宋体" w:eastAsia="宋体" w:hint="default"/>
                <w:spacing w:val="-45"/>
                <w:sz w:val="18"/>
                <w:szCs w:val="18"/>
              </w:rPr>
              <w:t> </w:t>
            </w:r>
            <w:r>
              <w:rPr>
                <w:rFonts w:ascii="宋体" w:hAnsi="宋体" w:cs="宋体" w:eastAsia="宋体" w:hint="default"/>
                <w:sz w:val="18"/>
                <w:szCs w:val="18"/>
              </w:rPr>
              <w:t>1</w:t>
            </w:r>
            <w:r>
              <w:rPr>
                <w:rFonts w:ascii="宋体" w:hAnsi="宋体" w:cs="宋体" w:eastAsia="宋体" w:hint="default"/>
                <w:spacing w:val="-45"/>
                <w:sz w:val="18"/>
                <w:szCs w:val="18"/>
              </w:rPr>
              <w:t> </w:t>
            </w:r>
            <w:r>
              <w:rPr>
                <w:rFonts w:ascii="宋体" w:hAnsi="宋体" w:cs="宋体" w:eastAsia="宋体" w:hint="default"/>
                <w:sz w:val="18"/>
                <w:szCs w:val="18"/>
              </w:rPr>
              <w:t>年以上金额为</w:t>
            </w:r>
            <w:r>
              <w:rPr>
                <w:rFonts w:ascii="宋体" w:hAnsi="宋体" w:cs="宋体" w:eastAsia="宋体" w:hint="default"/>
                <w:spacing w:val="-48"/>
                <w:sz w:val="18"/>
                <w:szCs w:val="18"/>
              </w:rPr>
              <w:t> </w:t>
            </w:r>
            <w:r>
              <w:rPr>
                <w:rFonts w:ascii="宋体" w:hAnsi="宋体" w:cs="宋体" w:eastAsia="宋体" w:hint="default"/>
                <w:sz w:val="18"/>
                <w:szCs w:val="18"/>
              </w:rPr>
              <w:t>1,222,932.66</w:t>
            </w:r>
            <w:r>
              <w:rPr>
                <w:rFonts w:ascii="宋体" w:hAnsi="宋体" w:cs="宋体" w:eastAsia="宋体" w:hint="default"/>
                <w:spacing w:val="-43"/>
                <w:sz w:val="18"/>
                <w:szCs w:val="18"/>
              </w:rPr>
              <w:t> </w:t>
            </w:r>
            <w:r>
              <w:rPr>
                <w:rFonts w:ascii="宋体" w:hAnsi="宋体" w:cs="宋体" w:eastAsia="宋体" w:hint="default"/>
                <w:sz w:val="18"/>
                <w:szCs w:val="18"/>
              </w:rPr>
              <w:t>元。未提供相应劳 务不符合收入确认条件</w:t>
            </w:r>
            <w:r>
              <w:rPr>
                <w:rFonts w:ascii="宋体" w:hAnsi="宋体" w:cs="宋体" w:eastAsia="宋体" w:hint="default"/>
                <w:sz w:val="18"/>
                <w:szCs w:val="18"/>
              </w:rPr>
              <w:t> </w:t>
            </w:r>
          </w:p>
        </w:tc>
      </w:tr>
      <w:tr>
        <w:trPr>
          <w:trHeight w:val="432" w:hRule="exact"/>
        </w:trPr>
        <w:tc>
          <w:tcPr>
            <w:tcW w:w="3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05" w:right="0"/>
              <w:jc w:val="left"/>
              <w:rPr>
                <w:rFonts w:ascii="宋体" w:hAnsi="宋体" w:cs="宋体" w:eastAsia="宋体" w:hint="default"/>
                <w:sz w:val="18"/>
                <w:szCs w:val="18"/>
              </w:rPr>
            </w:pPr>
            <w:r>
              <w:rPr>
                <w:rFonts w:ascii="宋体" w:hAnsi="宋体" w:cs="宋体" w:eastAsia="宋体" w:hint="default"/>
                <w:sz w:val="18"/>
                <w:szCs w:val="18"/>
              </w:rPr>
              <w:t>中国免税品（集团）有限责任公司</w:t>
            </w:r>
            <w:r>
              <w:rPr>
                <w:rFonts w:ascii="宋体" w:hAnsi="宋体" w:cs="宋体" w:eastAsia="宋体" w:hint="default"/>
                <w:sz w:val="18"/>
                <w:szCs w:val="18"/>
              </w:rPr>
              <w:t> </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right="8"/>
              <w:jc w:val="right"/>
              <w:rPr>
                <w:rFonts w:ascii="宋体" w:hAnsi="宋体" w:cs="宋体" w:eastAsia="宋体" w:hint="default"/>
                <w:sz w:val="18"/>
                <w:szCs w:val="18"/>
              </w:rPr>
            </w:pPr>
            <w:r>
              <w:rPr>
                <w:rFonts w:ascii="宋体"/>
                <w:spacing w:val="-1"/>
                <w:sz w:val="18"/>
              </w:rPr>
              <w:t>414,565.72</w:t>
            </w:r>
            <w:r>
              <w:rPr>
                <w:rFonts w:ascii="宋体"/>
                <w:sz w:val="18"/>
              </w:rPr>
              <w:t> </w:t>
            </w:r>
          </w:p>
        </w:tc>
        <w:tc>
          <w:tcPr>
            <w:tcW w:w="4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5"/>
              <w:ind w:left="105" w:right="0"/>
              <w:jc w:val="left"/>
              <w:rPr>
                <w:rFonts w:ascii="宋体" w:hAnsi="宋体" w:cs="宋体" w:eastAsia="宋体" w:hint="default"/>
                <w:sz w:val="18"/>
                <w:szCs w:val="18"/>
              </w:rPr>
            </w:pPr>
            <w:r>
              <w:rPr>
                <w:rFonts w:ascii="宋体" w:hAnsi="宋体" w:cs="宋体" w:eastAsia="宋体" w:hint="default"/>
                <w:sz w:val="18"/>
                <w:szCs w:val="18"/>
              </w:rPr>
              <w:t>未提供相应劳务不符合收入确认条件</w:t>
            </w:r>
            <w:r>
              <w:rPr>
                <w:rFonts w:ascii="宋体" w:hAnsi="宋体" w:cs="宋体" w:eastAsia="宋体" w:hint="default"/>
                <w:sz w:val="18"/>
                <w:szCs w:val="18"/>
              </w:rPr>
              <w:t> </w:t>
            </w:r>
          </w:p>
        </w:tc>
      </w:tr>
      <w:tr>
        <w:trPr>
          <w:trHeight w:val="511" w:hRule="exact"/>
        </w:trPr>
        <w:tc>
          <w:tcPr>
            <w:tcW w:w="3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5" w:right="0"/>
              <w:jc w:val="left"/>
              <w:rPr>
                <w:rFonts w:ascii="宋体" w:hAnsi="宋体" w:cs="宋体" w:eastAsia="宋体" w:hint="default"/>
                <w:sz w:val="18"/>
                <w:szCs w:val="18"/>
              </w:rPr>
            </w:pPr>
            <w:r>
              <w:rPr>
                <w:rFonts w:ascii="宋体" w:hAnsi="宋体" w:cs="宋体" w:eastAsia="宋体" w:hint="default"/>
                <w:sz w:val="18"/>
                <w:szCs w:val="18"/>
              </w:rPr>
              <w:t>中铁十四局集团隧道工程有限公司</w:t>
            </w:r>
            <w:r>
              <w:rPr>
                <w:rFonts w:ascii="宋体" w:hAnsi="宋体" w:cs="宋体" w:eastAsia="宋体" w:hint="default"/>
                <w:sz w:val="18"/>
                <w:szCs w:val="18"/>
              </w:rPr>
              <w:t> </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right="8"/>
              <w:jc w:val="right"/>
              <w:rPr>
                <w:rFonts w:ascii="宋体" w:hAnsi="宋体" w:cs="宋体" w:eastAsia="宋体" w:hint="default"/>
                <w:sz w:val="18"/>
                <w:szCs w:val="18"/>
              </w:rPr>
            </w:pPr>
            <w:r>
              <w:rPr>
                <w:rFonts w:ascii="宋体"/>
                <w:spacing w:val="-1"/>
                <w:sz w:val="18"/>
              </w:rPr>
              <w:t>432,713.45</w:t>
            </w:r>
            <w:r>
              <w:rPr>
                <w:rFonts w:ascii="宋体"/>
                <w:sz w:val="18"/>
              </w:rPr>
              <w:t> </w:t>
            </w:r>
          </w:p>
        </w:tc>
        <w:tc>
          <w:tcPr>
            <w:tcW w:w="4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5" w:right="0"/>
              <w:jc w:val="left"/>
              <w:rPr>
                <w:rFonts w:ascii="宋体" w:hAnsi="宋体" w:cs="宋体" w:eastAsia="宋体" w:hint="default"/>
                <w:sz w:val="18"/>
                <w:szCs w:val="18"/>
              </w:rPr>
            </w:pPr>
            <w:r>
              <w:rPr>
                <w:rFonts w:ascii="宋体" w:hAnsi="宋体" w:cs="宋体" w:eastAsia="宋体" w:hint="default"/>
                <w:sz w:val="18"/>
                <w:szCs w:val="18"/>
              </w:rPr>
              <w:t>未到结算期</w:t>
            </w:r>
            <w:r>
              <w:rPr>
                <w:rFonts w:ascii="宋体" w:hAnsi="宋体" w:cs="宋体" w:eastAsia="宋体" w:hint="default"/>
                <w:sz w:val="18"/>
                <w:szCs w:val="18"/>
              </w:rPr>
              <w:t> </w:t>
            </w:r>
          </w:p>
        </w:tc>
      </w:tr>
      <w:tr>
        <w:trPr>
          <w:trHeight w:val="398" w:hRule="exact"/>
        </w:trPr>
        <w:tc>
          <w:tcPr>
            <w:tcW w:w="3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5"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 </w:t>
            </w:r>
          </w:p>
        </w:tc>
        <w:tc>
          <w:tcPr>
            <w:tcW w:w="17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3,082,840.73</w:t>
            </w:r>
            <w:r>
              <w:rPr>
                <w:rFonts w:ascii="宋体"/>
                <w:sz w:val="18"/>
              </w:rPr>
              <w:t> </w:t>
            </w:r>
          </w:p>
        </w:tc>
        <w:tc>
          <w:tcPr>
            <w:tcW w:w="44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5"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 </w:t>
            </w:r>
          </w:p>
        </w:tc>
      </w:tr>
    </w:tbl>
    <w:p>
      <w:pPr>
        <w:spacing w:line="240" w:lineRule="auto" w:before="7"/>
        <w:rPr>
          <w:rFonts w:ascii="宋体" w:hAnsi="宋体" w:cs="宋体" w:eastAsia="宋体" w:hint="default"/>
          <w:sz w:val="6"/>
          <w:szCs w:val="6"/>
        </w:rPr>
      </w:pPr>
    </w:p>
    <w:p>
      <w:pPr>
        <w:spacing w:line="372" w:lineRule="auto" w:before="36"/>
        <w:ind w:left="566" w:right="7673" w:hanging="70"/>
        <w:jc w:val="left"/>
        <w:rPr>
          <w:rFonts w:ascii="宋体" w:hAnsi="宋体" w:cs="宋体" w:eastAsia="宋体" w:hint="default"/>
          <w:sz w:val="21"/>
          <w:szCs w:val="21"/>
        </w:rPr>
      </w:pPr>
      <w:r>
        <w:rPr>
          <w:rFonts w:ascii="宋体" w:hAnsi="宋体" w:cs="宋体" w:eastAsia="宋体" w:hint="default"/>
          <w:b/>
          <w:bCs/>
          <w:sz w:val="21"/>
          <w:szCs w:val="21"/>
        </w:rPr>
        <w:t>（二十二）应付职工薪酬</w:t>
      </w:r>
      <w:r>
        <w:rPr>
          <w:rFonts w:ascii="宋体" w:hAnsi="宋体" w:cs="宋体" w:eastAsia="宋体" w:hint="default"/>
          <w:b/>
          <w:bCs/>
          <w:w w:val="99"/>
          <w:sz w:val="21"/>
          <w:szCs w:val="21"/>
        </w:rPr>
        <w:t> </w:t>
      </w:r>
      <w:r>
        <w:rPr>
          <w:rFonts w:ascii="宋体" w:hAnsi="宋体" w:cs="宋体" w:eastAsia="宋体" w:hint="default"/>
          <w:b/>
          <w:bCs/>
          <w:sz w:val="21"/>
          <w:szCs w:val="21"/>
        </w:rPr>
        <w:t>1</w:t>
      </w:r>
      <w:r>
        <w:rPr>
          <w:rFonts w:ascii="宋体" w:hAnsi="宋体" w:cs="宋体" w:eastAsia="宋体" w:hint="default"/>
          <w:b/>
          <w:bCs/>
          <w:sz w:val="21"/>
          <w:szCs w:val="21"/>
        </w:rPr>
        <w:t>、</w:t>
      </w:r>
      <w:r>
        <w:rPr>
          <w:rFonts w:ascii="宋体" w:hAnsi="宋体" w:cs="宋体" w:eastAsia="宋体" w:hint="default"/>
          <w:sz w:val="21"/>
          <w:szCs w:val="21"/>
        </w:rPr>
        <w:t>应付职工薪酬列示</w:t>
      </w:r>
      <w:r>
        <w:rPr>
          <w:rFonts w:ascii="宋体" w:hAnsi="宋体" w:cs="宋体" w:eastAsia="宋体" w:hint="default"/>
          <w:sz w:val="21"/>
          <w:szCs w:val="21"/>
        </w:rPr>
        <w:t> </w:t>
      </w:r>
    </w:p>
    <w:p>
      <w:pPr>
        <w:spacing w:line="240" w:lineRule="auto" w:before="8"/>
        <w:rPr>
          <w:rFonts w:ascii="宋体" w:hAnsi="宋体" w:cs="宋体" w:eastAsia="宋体" w:hint="default"/>
          <w:sz w:val="5"/>
          <w:szCs w:val="5"/>
        </w:rPr>
      </w:pPr>
    </w:p>
    <w:tbl>
      <w:tblPr>
        <w:tblW w:w="0" w:type="auto"/>
        <w:jc w:val="left"/>
        <w:tblInd w:w="206" w:type="dxa"/>
        <w:tblLayout w:type="fixed"/>
        <w:tblCellMar>
          <w:top w:w="0" w:type="dxa"/>
          <w:left w:w="0" w:type="dxa"/>
          <w:bottom w:w="0" w:type="dxa"/>
          <w:right w:w="0" w:type="dxa"/>
        </w:tblCellMar>
        <w:tblLook w:val="01E0"/>
      </w:tblPr>
      <w:tblGrid>
        <w:gridCol w:w="2801"/>
        <w:gridCol w:w="1579"/>
        <w:gridCol w:w="1476"/>
        <w:gridCol w:w="1476"/>
        <w:gridCol w:w="2230"/>
      </w:tblGrid>
      <w:tr>
        <w:trPr>
          <w:trHeight w:val="396" w:hRule="exact"/>
        </w:trPr>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1"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24"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7" w:right="0"/>
              <w:jc w:val="center"/>
              <w:rPr>
                <w:rFonts w:ascii="宋体" w:hAnsi="宋体" w:cs="宋体" w:eastAsia="宋体" w:hint="default"/>
                <w:sz w:val="18"/>
                <w:szCs w:val="18"/>
              </w:rPr>
            </w:pPr>
            <w:r>
              <w:rPr>
                <w:rFonts w:ascii="宋体" w:hAnsi="宋体" w:cs="宋体" w:eastAsia="宋体" w:hint="default"/>
                <w:sz w:val="18"/>
                <w:szCs w:val="18"/>
              </w:rPr>
              <w:t>本期增加</w:t>
            </w:r>
            <w:r>
              <w:rPr>
                <w:rFonts w:ascii="宋体" w:hAnsi="宋体" w:cs="宋体" w:eastAsia="宋体" w:hint="default"/>
                <w:sz w:val="18"/>
                <w:szCs w:val="18"/>
              </w:rPr>
              <w:t> </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7" w:right="0"/>
              <w:jc w:val="center"/>
              <w:rPr>
                <w:rFonts w:ascii="宋体" w:hAnsi="宋体" w:cs="宋体" w:eastAsia="宋体" w:hint="default"/>
                <w:sz w:val="18"/>
                <w:szCs w:val="18"/>
              </w:rPr>
            </w:pPr>
            <w:r>
              <w:rPr>
                <w:rFonts w:ascii="宋体" w:hAnsi="宋体" w:cs="宋体" w:eastAsia="宋体" w:hint="default"/>
                <w:sz w:val="18"/>
                <w:szCs w:val="18"/>
              </w:rPr>
              <w:t>本期减少</w:t>
            </w:r>
            <w:r>
              <w:rPr>
                <w:rFonts w:ascii="宋体" w:hAnsi="宋体" w:cs="宋体" w:eastAsia="宋体" w:hint="default"/>
                <w:sz w:val="18"/>
                <w:szCs w:val="18"/>
              </w:rPr>
              <w:t> </w:t>
            </w:r>
          </w:p>
        </w:tc>
        <w:tc>
          <w:tcPr>
            <w:tcW w:w="2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8"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r>
      <w:tr>
        <w:trPr>
          <w:trHeight w:val="399" w:hRule="exact"/>
        </w:trPr>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一、短期薪酬</w:t>
            </w:r>
            <w:r>
              <w:rPr>
                <w:rFonts w:ascii="宋体" w:hAnsi="宋体" w:cs="宋体" w:eastAsia="宋体" w:hint="default"/>
                <w:sz w:val="18"/>
                <w:szCs w:val="18"/>
              </w:rPr>
              <w:t> </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83" w:right="0"/>
              <w:jc w:val="left"/>
              <w:rPr>
                <w:rFonts w:ascii="宋体" w:hAnsi="宋体" w:cs="宋体" w:eastAsia="宋体" w:hint="default"/>
                <w:sz w:val="18"/>
                <w:szCs w:val="18"/>
              </w:rPr>
            </w:pPr>
            <w:r>
              <w:rPr>
                <w:rFonts w:ascii="宋体"/>
                <w:sz w:val="18"/>
              </w:rPr>
              <w:t>82,663,567.21 </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 w:right="0"/>
              <w:jc w:val="center"/>
              <w:rPr>
                <w:rFonts w:ascii="宋体" w:hAnsi="宋体" w:cs="宋体" w:eastAsia="宋体" w:hint="default"/>
                <w:sz w:val="18"/>
                <w:szCs w:val="18"/>
              </w:rPr>
            </w:pPr>
            <w:r>
              <w:rPr>
                <w:rFonts w:ascii="宋体"/>
                <w:sz w:val="18"/>
              </w:rPr>
              <w:t>551,186,366.03 </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0" w:right="0"/>
              <w:jc w:val="center"/>
              <w:rPr>
                <w:rFonts w:ascii="宋体" w:hAnsi="宋体" w:cs="宋体" w:eastAsia="宋体" w:hint="default"/>
                <w:sz w:val="18"/>
                <w:szCs w:val="18"/>
              </w:rPr>
            </w:pPr>
            <w:r>
              <w:rPr>
                <w:rFonts w:ascii="宋体"/>
                <w:sz w:val="18"/>
              </w:rPr>
              <w:t>581,418,801.91 </w:t>
            </w:r>
          </w:p>
        </w:tc>
        <w:tc>
          <w:tcPr>
            <w:tcW w:w="2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7" w:right="0"/>
              <w:jc w:val="center"/>
              <w:rPr>
                <w:rFonts w:ascii="宋体" w:hAnsi="宋体" w:cs="宋体" w:eastAsia="宋体" w:hint="default"/>
                <w:sz w:val="18"/>
                <w:szCs w:val="18"/>
              </w:rPr>
            </w:pPr>
            <w:r>
              <w:rPr>
                <w:rFonts w:ascii="宋体"/>
                <w:sz w:val="18"/>
              </w:rPr>
              <w:t>52,431,131.33 </w:t>
            </w:r>
          </w:p>
        </w:tc>
      </w:tr>
      <w:tr>
        <w:trPr>
          <w:trHeight w:val="396" w:hRule="exact"/>
        </w:trPr>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二、离职后福利</w:t>
            </w:r>
            <w:r>
              <w:rPr>
                <w:rFonts w:ascii="宋体" w:hAnsi="宋体" w:cs="宋体" w:eastAsia="宋体" w:hint="default"/>
                <w:sz w:val="18"/>
                <w:szCs w:val="18"/>
              </w:rPr>
              <w:t>-</w:t>
            </w:r>
            <w:r>
              <w:rPr>
                <w:rFonts w:ascii="宋体" w:hAnsi="宋体" w:cs="宋体" w:eastAsia="宋体" w:hint="default"/>
                <w:sz w:val="18"/>
                <w:szCs w:val="18"/>
              </w:rPr>
              <w:t>设定提存计划</w:t>
            </w:r>
            <w:r>
              <w:rPr>
                <w:rFonts w:ascii="宋体" w:hAnsi="宋体" w:cs="宋体" w:eastAsia="宋体" w:hint="default"/>
                <w:sz w:val="18"/>
                <w:szCs w:val="18"/>
              </w:rPr>
              <w:t> </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4" w:right="0"/>
              <w:jc w:val="left"/>
              <w:rPr>
                <w:rFonts w:ascii="宋体" w:hAnsi="宋体" w:cs="宋体" w:eastAsia="宋体" w:hint="default"/>
                <w:sz w:val="18"/>
                <w:szCs w:val="18"/>
              </w:rPr>
            </w:pPr>
            <w:r>
              <w:rPr>
                <w:rFonts w:ascii="宋体"/>
                <w:sz w:val="18"/>
              </w:rPr>
              <w:t>1,201,171.22 </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7" w:right="0"/>
              <w:jc w:val="center"/>
              <w:rPr>
                <w:rFonts w:ascii="宋体" w:hAnsi="宋体" w:cs="宋体" w:eastAsia="宋体" w:hint="default"/>
                <w:sz w:val="18"/>
                <w:szCs w:val="18"/>
              </w:rPr>
            </w:pPr>
            <w:r>
              <w:rPr>
                <w:rFonts w:ascii="宋体"/>
                <w:sz w:val="18"/>
              </w:rPr>
              <w:t>45,987,684.17 </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7" w:right="0"/>
              <w:jc w:val="center"/>
              <w:rPr>
                <w:rFonts w:ascii="宋体" w:hAnsi="宋体" w:cs="宋体" w:eastAsia="宋体" w:hint="default"/>
                <w:sz w:val="18"/>
                <w:szCs w:val="18"/>
              </w:rPr>
            </w:pPr>
            <w:r>
              <w:rPr>
                <w:rFonts w:ascii="宋体"/>
                <w:sz w:val="18"/>
              </w:rPr>
              <w:t>45,886,930.67 </w:t>
            </w:r>
          </w:p>
        </w:tc>
        <w:tc>
          <w:tcPr>
            <w:tcW w:w="2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7" w:right="0"/>
              <w:jc w:val="center"/>
              <w:rPr>
                <w:rFonts w:ascii="宋体" w:hAnsi="宋体" w:cs="宋体" w:eastAsia="宋体" w:hint="default"/>
                <w:sz w:val="18"/>
                <w:szCs w:val="18"/>
              </w:rPr>
            </w:pPr>
            <w:r>
              <w:rPr>
                <w:rFonts w:ascii="宋体"/>
                <w:sz w:val="18"/>
              </w:rPr>
              <w:t>1,301,924.72 </w:t>
            </w:r>
          </w:p>
        </w:tc>
      </w:tr>
      <w:tr>
        <w:trPr>
          <w:trHeight w:val="398" w:hRule="exact"/>
        </w:trPr>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三、辞退福利</w:t>
            </w:r>
            <w:r>
              <w:rPr>
                <w:rFonts w:ascii="宋体" w:hAnsi="宋体" w:cs="宋体" w:eastAsia="宋体" w:hint="default"/>
                <w:sz w:val="18"/>
                <w:szCs w:val="18"/>
              </w:rPr>
              <w:t> </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 w:right="0"/>
              <w:jc w:val="center"/>
              <w:rPr>
                <w:rFonts w:ascii="宋体" w:hAnsi="宋体" w:cs="宋体" w:eastAsia="宋体" w:hint="default"/>
                <w:sz w:val="18"/>
                <w:szCs w:val="18"/>
              </w:rPr>
            </w:pPr>
            <w:r>
              <w:rPr>
                <w:rFonts w:ascii="宋体"/>
                <w:sz w:val="18"/>
              </w:rPr>
              <w:t> </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7" w:right="0"/>
              <w:jc w:val="center"/>
              <w:rPr>
                <w:rFonts w:ascii="宋体" w:hAnsi="宋体" w:cs="宋体" w:eastAsia="宋体" w:hint="default"/>
                <w:sz w:val="18"/>
                <w:szCs w:val="18"/>
              </w:rPr>
            </w:pPr>
            <w:r>
              <w:rPr>
                <w:rFonts w:ascii="宋体"/>
                <w:sz w:val="18"/>
              </w:rPr>
              <w:t>- </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7" w:right="0"/>
              <w:jc w:val="center"/>
              <w:rPr>
                <w:rFonts w:ascii="宋体" w:hAnsi="宋体" w:cs="宋体" w:eastAsia="宋体" w:hint="default"/>
                <w:sz w:val="18"/>
                <w:szCs w:val="18"/>
              </w:rPr>
            </w:pPr>
            <w:r>
              <w:rPr>
                <w:rFonts w:ascii="宋体"/>
                <w:sz w:val="18"/>
              </w:rPr>
              <w:t>- </w:t>
            </w:r>
          </w:p>
        </w:tc>
        <w:tc>
          <w:tcPr>
            <w:tcW w:w="2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8" w:right="0"/>
              <w:jc w:val="center"/>
              <w:rPr>
                <w:rFonts w:ascii="宋体" w:hAnsi="宋体" w:cs="宋体" w:eastAsia="宋体" w:hint="default"/>
                <w:sz w:val="18"/>
                <w:szCs w:val="18"/>
              </w:rPr>
            </w:pPr>
            <w:r>
              <w:rPr>
                <w:rFonts w:ascii="宋体"/>
                <w:sz w:val="18"/>
              </w:rPr>
              <w:t>- </w:t>
            </w:r>
          </w:p>
        </w:tc>
      </w:tr>
      <w:tr>
        <w:trPr>
          <w:trHeight w:val="396" w:hRule="exact"/>
        </w:trPr>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5" w:right="0"/>
              <w:jc w:val="left"/>
              <w:rPr>
                <w:rFonts w:ascii="宋体" w:hAnsi="宋体" w:cs="宋体" w:eastAsia="宋体" w:hint="default"/>
                <w:sz w:val="18"/>
                <w:szCs w:val="18"/>
              </w:rPr>
            </w:pPr>
            <w:r>
              <w:rPr>
                <w:rFonts w:ascii="宋体" w:hAnsi="宋体" w:cs="宋体" w:eastAsia="宋体" w:hint="default"/>
                <w:sz w:val="18"/>
                <w:szCs w:val="18"/>
              </w:rPr>
              <w:t>四、一年内到期的其他福利</w:t>
            </w:r>
            <w:r>
              <w:rPr>
                <w:rFonts w:ascii="宋体" w:hAnsi="宋体" w:cs="宋体" w:eastAsia="宋体" w:hint="default"/>
                <w:sz w:val="18"/>
                <w:szCs w:val="18"/>
              </w:rPr>
              <w:t> </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9" w:right="0"/>
              <w:jc w:val="center"/>
              <w:rPr>
                <w:rFonts w:ascii="宋体" w:hAnsi="宋体" w:cs="宋体" w:eastAsia="宋体" w:hint="default"/>
                <w:sz w:val="18"/>
                <w:szCs w:val="18"/>
              </w:rPr>
            </w:pPr>
            <w:r>
              <w:rPr>
                <w:rFonts w:ascii="宋体"/>
                <w:sz w:val="18"/>
              </w:rPr>
              <w:t> </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7" w:right="0"/>
              <w:jc w:val="center"/>
              <w:rPr>
                <w:rFonts w:ascii="宋体" w:hAnsi="宋体" w:cs="宋体" w:eastAsia="宋体" w:hint="default"/>
                <w:sz w:val="18"/>
                <w:szCs w:val="18"/>
              </w:rPr>
            </w:pPr>
            <w:r>
              <w:rPr>
                <w:rFonts w:ascii="宋体"/>
                <w:sz w:val="18"/>
              </w:rPr>
              <w:t>- </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7" w:right="0"/>
              <w:jc w:val="center"/>
              <w:rPr>
                <w:rFonts w:ascii="宋体" w:hAnsi="宋体" w:cs="宋体" w:eastAsia="宋体" w:hint="default"/>
                <w:sz w:val="18"/>
                <w:szCs w:val="18"/>
              </w:rPr>
            </w:pPr>
            <w:r>
              <w:rPr>
                <w:rFonts w:ascii="宋体"/>
                <w:sz w:val="18"/>
              </w:rPr>
              <w:t>- </w:t>
            </w:r>
          </w:p>
        </w:tc>
        <w:tc>
          <w:tcPr>
            <w:tcW w:w="2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8" w:right="0"/>
              <w:jc w:val="center"/>
              <w:rPr>
                <w:rFonts w:ascii="宋体" w:hAnsi="宋体" w:cs="宋体" w:eastAsia="宋体" w:hint="default"/>
                <w:sz w:val="18"/>
                <w:szCs w:val="18"/>
              </w:rPr>
            </w:pPr>
            <w:r>
              <w:rPr>
                <w:rFonts w:ascii="宋体"/>
                <w:sz w:val="18"/>
              </w:rPr>
              <w:t>- </w:t>
            </w:r>
          </w:p>
        </w:tc>
      </w:tr>
      <w:tr>
        <w:trPr>
          <w:trHeight w:val="398" w:hRule="exact"/>
        </w:trPr>
        <w:tc>
          <w:tcPr>
            <w:tcW w:w="2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1"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5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99" w:right="0"/>
              <w:jc w:val="left"/>
              <w:rPr>
                <w:rFonts w:ascii="宋体" w:hAnsi="宋体" w:cs="宋体" w:eastAsia="宋体" w:hint="default"/>
                <w:sz w:val="18"/>
                <w:szCs w:val="18"/>
              </w:rPr>
            </w:pPr>
            <w:r>
              <w:rPr>
                <w:rFonts w:ascii="宋体"/>
                <w:sz w:val="18"/>
              </w:rPr>
              <w:t>83,864,738.43 </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 w:right="0"/>
              <w:jc w:val="center"/>
              <w:rPr>
                <w:rFonts w:ascii="宋体" w:hAnsi="宋体" w:cs="宋体" w:eastAsia="宋体" w:hint="default"/>
                <w:sz w:val="18"/>
                <w:szCs w:val="18"/>
              </w:rPr>
            </w:pPr>
            <w:r>
              <w:rPr>
                <w:rFonts w:ascii="宋体"/>
                <w:sz w:val="18"/>
              </w:rPr>
              <w:t>597,174,050.20 </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0" w:right="0"/>
              <w:jc w:val="center"/>
              <w:rPr>
                <w:rFonts w:ascii="宋体" w:hAnsi="宋体" w:cs="宋体" w:eastAsia="宋体" w:hint="default"/>
                <w:sz w:val="18"/>
                <w:szCs w:val="18"/>
              </w:rPr>
            </w:pPr>
            <w:r>
              <w:rPr>
                <w:rFonts w:ascii="宋体"/>
                <w:sz w:val="18"/>
              </w:rPr>
              <w:t>627,305,732.58 </w:t>
            </w:r>
          </w:p>
        </w:tc>
        <w:tc>
          <w:tcPr>
            <w:tcW w:w="22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7" w:right="0"/>
              <w:jc w:val="center"/>
              <w:rPr>
                <w:rFonts w:ascii="宋体" w:hAnsi="宋体" w:cs="宋体" w:eastAsia="宋体" w:hint="default"/>
                <w:sz w:val="18"/>
                <w:szCs w:val="18"/>
              </w:rPr>
            </w:pPr>
            <w:r>
              <w:rPr>
                <w:rFonts w:ascii="宋体"/>
                <w:sz w:val="18"/>
              </w:rPr>
              <w:t>53,733,056.05 </w:t>
            </w:r>
          </w:p>
        </w:tc>
      </w:tr>
    </w:tbl>
    <w:p>
      <w:pPr>
        <w:spacing w:line="240" w:lineRule="auto" w:before="7"/>
        <w:rPr>
          <w:rFonts w:ascii="宋体" w:hAnsi="宋体" w:cs="宋体" w:eastAsia="宋体" w:hint="default"/>
          <w:sz w:val="6"/>
          <w:szCs w:val="6"/>
        </w:rPr>
      </w:pPr>
    </w:p>
    <w:p>
      <w:pPr>
        <w:spacing w:before="36"/>
        <w:ind w:left="566" w:right="7673" w:firstLine="0"/>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w:t>
      </w:r>
      <w:r>
        <w:rPr>
          <w:rFonts w:ascii="宋体" w:hAnsi="宋体" w:cs="宋体" w:eastAsia="宋体" w:hint="default"/>
          <w:sz w:val="21"/>
          <w:szCs w:val="21"/>
        </w:rPr>
        <w:t>短期薪酬列示</w:t>
      </w:r>
      <w:r>
        <w:rPr>
          <w:rFonts w:ascii="宋体" w:hAnsi="宋体" w:cs="宋体" w:eastAsia="宋体" w:hint="default"/>
          <w:sz w:val="21"/>
          <w:szCs w:val="21"/>
        </w:rPr>
        <w:t> </w:t>
      </w:r>
    </w:p>
    <w:p>
      <w:pPr>
        <w:spacing w:line="240" w:lineRule="auto" w:before="3"/>
        <w:rPr>
          <w:rFonts w:ascii="宋体" w:hAnsi="宋体" w:cs="宋体" w:eastAsia="宋体" w:hint="default"/>
          <w:sz w:val="14"/>
          <w:szCs w:val="14"/>
        </w:rPr>
      </w:pPr>
    </w:p>
    <w:tbl>
      <w:tblPr>
        <w:tblW w:w="0" w:type="auto"/>
        <w:jc w:val="left"/>
        <w:tblInd w:w="206" w:type="dxa"/>
        <w:tblLayout w:type="fixed"/>
        <w:tblCellMar>
          <w:top w:w="0" w:type="dxa"/>
          <w:left w:w="0" w:type="dxa"/>
          <w:bottom w:w="0" w:type="dxa"/>
          <w:right w:w="0" w:type="dxa"/>
        </w:tblCellMar>
        <w:tblLook w:val="01E0"/>
      </w:tblPr>
      <w:tblGrid>
        <w:gridCol w:w="2580"/>
        <w:gridCol w:w="1661"/>
        <w:gridCol w:w="1532"/>
        <w:gridCol w:w="1894"/>
        <w:gridCol w:w="1909"/>
      </w:tblGrid>
      <w:tr>
        <w:trPr>
          <w:trHeight w:val="408" w:hRule="exact"/>
        </w:trPr>
        <w:tc>
          <w:tcPr>
            <w:tcW w:w="2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92"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66"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c>
          <w:tcPr>
            <w:tcW w:w="1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00" w:right="0"/>
              <w:jc w:val="left"/>
              <w:rPr>
                <w:rFonts w:ascii="宋体" w:hAnsi="宋体" w:cs="宋体" w:eastAsia="宋体" w:hint="default"/>
                <w:sz w:val="18"/>
                <w:szCs w:val="18"/>
              </w:rPr>
            </w:pPr>
            <w:r>
              <w:rPr>
                <w:rFonts w:ascii="宋体" w:hAnsi="宋体" w:cs="宋体" w:eastAsia="宋体" w:hint="default"/>
                <w:sz w:val="18"/>
                <w:szCs w:val="18"/>
              </w:rPr>
              <w:t>本期增加</w:t>
            </w:r>
            <w:r>
              <w:rPr>
                <w:rFonts w:ascii="宋体" w:hAnsi="宋体" w:cs="宋体" w:eastAsia="宋体" w:hint="default"/>
                <w:sz w:val="18"/>
                <w:szCs w:val="18"/>
              </w:rPr>
              <w:t> </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0" w:right="0"/>
              <w:jc w:val="left"/>
              <w:rPr>
                <w:rFonts w:ascii="宋体" w:hAnsi="宋体" w:cs="宋体" w:eastAsia="宋体" w:hint="default"/>
                <w:sz w:val="18"/>
                <w:szCs w:val="18"/>
              </w:rPr>
            </w:pPr>
            <w:r>
              <w:rPr>
                <w:rFonts w:ascii="宋体" w:hAnsi="宋体" w:cs="宋体" w:eastAsia="宋体" w:hint="default"/>
                <w:sz w:val="18"/>
                <w:szCs w:val="18"/>
              </w:rPr>
              <w:t>本期减少</w:t>
            </w:r>
            <w:r>
              <w:rPr>
                <w:rFonts w:ascii="宋体" w:hAnsi="宋体" w:cs="宋体" w:eastAsia="宋体" w:hint="default"/>
                <w:sz w:val="18"/>
                <w:szCs w:val="18"/>
              </w:rPr>
              <w:t> </w:t>
            </w:r>
          </w:p>
        </w:tc>
        <w:tc>
          <w:tcPr>
            <w:tcW w:w="1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88"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r>
      <w:tr>
        <w:trPr>
          <w:trHeight w:val="406" w:hRule="exact"/>
        </w:trPr>
        <w:tc>
          <w:tcPr>
            <w:tcW w:w="2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一、工资、奖金、津贴和补贴</w:t>
            </w:r>
            <w:r>
              <w:rPr>
                <w:rFonts w:ascii="宋体" w:hAnsi="宋体" w:cs="宋体" w:eastAsia="宋体" w:hint="default"/>
                <w:sz w:val="18"/>
                <w:szCs w:val="18"/>
              </w:rPr>
              <w:t> </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
              <w:jc w:val="right"/>
              <w:rPr>
                <w:rFonts w:ascii="宋体" w:hAnsi="宋体" w:cs="宋体" w:eastAsia="宋体" w:hint="default"/>
                <w:sz w:val="18"/>
                <w:szCs w:val="18"/>
              </w:rPr>
            </w:pPr>
            <w:r>
              <w:rPr>
                <w:rFonts w:ascii="宋体"/>
                <w:spacing w:val="-1"/>
                <w:sz w:val="18"/>
              </w:rPr>
              <w:t>81,018,998.20</w:t>
            </w:r>
            <w:r>
              <w:rPr>
                <w:rFonts w:ascii="宋体"/>
                <w:sz w:val="18"/>
              </w:rPr>
              <w:t> </w:t>
            </w:r>
          </w:p>
        </w:tc>
        <w:tc>
          <w:tcPr>
            <w:tcW w:w="1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2"/>
              <w:jc w:val="right"/>
              <w:rPr>
                <w:rFonts w:ascii="宋体" w:hAnsi="宋体" w:cs="宋体" w:eastAsia="宋体" w:hint="default"/>
                <w:sz w:val="18"/>
                <w:szCs w:val="18"/>
              </w:rPr>
            </w:pPr>
            <w:r>
              <w:rPr>
                <w:rFonts w:ascii="宋体"/>
                <w:spacing w:val="-1"/>
                <w:sz w:val="18"/>
              </w:rPr>
              <w:t>498,963,405.24</w:t>
            </w:r>
            <w:r>
              <w:rPr>
                <w:rFonts w:ascii="宋体"/>
                <w:sz w:val="18"/>
              </w:rPr>
              <w:t> </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2"/>
              <w:jc w:val="right"/>
              <w:rPr>
                <w:rFonts w:ascii="宋体" w:hAnsi="宋体" w:cs="宋体" w:eastAsia="宋体" w:hint="default"/>
                <w:sz w:val="18"/>
                <w:szCs w:val="18"/>
              </w:rPr>
            </w:pPr>
            <w:r>
              <w:rPr>
                <w:rFonts w:ascii="宋体"/>
                <w:spacing w:val="-1"/>
                <w:sz w:val="18"/>
              </w:rPr>
              <w:t>529,305,211.91</w:t>
            </w:r>
            <w:r>
              <w:rPr>
                <w:rFonts w:ascii="宋体"/>
                <w:sz w:val="18"/>
              </w:rPr>
              <w:t> </w:t>
            </w:r>
          </w:p>
        </w:tc>
        <w:tc>
          <w:tcPr>
            <w:tcW w:w="1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pacing w:val="-1"/>
                <w:sz w:val="18"/>
              </w:rPr>
              <w:t>50,677,191.53</w:t>
            </w:r>
            <w:r>
              <w:rPr>
                <w:rFonts w:ascii="宋体"/>
                <w:sz w:val="18"/>
              </w:rPr>
              <w:t> </w:t>
            </w:r>
          </w:p>
        </w:tc>
      </w:tr>
      <w:tr>
        <w:trPr>
          <w:trHeight w:val="408" w:hRule="exact"/>
        </w:trPr>
        <w:tc>
          <w:tcPr>
            <w:tcW w:w="2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二、职工福利费</w:t>
            </w:r>
            <w:r>
              <w:rPr>
                <w:rFonts w:ascii="宋体" w:hAnsi="宋体" w:cs="宋体" w:eastAsia="宋体" w:hint="default"/>
                <w:sz w:val="18"/>
                <w:szCs w:val="18"/>
              </w:rPr>
              <w:t> </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
              <w:jc w:val="right"/>
              <w:rPr>
                <w:rFonts w:ascii="宋体" w:hAnsi="宋体" w:cs="宋体" w:eastAsia="宋体" w:hint="default"/>
                <w:sz w:val="18"/>
                <w:szCs w:val="18"/>
              </w:rPr>
            </w:pPr>
            <w:r>
              <w:rPr>
                <w:rFonts w:ascii="宋体"/>
                <w:sz w:val="18"/>
              </w:rPr>
              <w:t>- </w:t>
            </w:r>
          </w:p>
        </w:tc>
        <w:tc>
          <w:tcPr>
            <w:tcW w:w="1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2"/>
              <w:jc w:val="right"/>
              <w:rPr>
                <w:rFonts w:ascii="宋体" w:hAnsi="宋体" w:cs="宋体" w:eastAsia="宋体" w:hint="default"/>
                <w:sz w:val="18"/>
                <w:szCs w:val="18"/>
              </w:rPr>
            </w:pPr>
            <w:r>
              <w:rPr>
                <w:rFonts w:ascii="宋体"/>
                <w:spacing w:val="-1"/>
                <w:sz w:val="18"/>
              </w:rPr>
              <w:t>6,927,211.65</w:t>
            </w:r>
            <w:r>
              <w:rPr>
                <w:rFonts w:ascii="宋体"/>
                <w:sz w:val="18"/>
              </w:rPr>
              <w:t> </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2"/>
              <w:jc w:val="right"/>
              <w:rPr>
                <w:rFonts w:ascii="宋体" w:hAnsi="宋体" w:cs="宋体" w:eastAsia="宋体" w:hint="default"/>
                <w:sz w:val="18"/>
                <w:szCs w:val="18"/>
              </w:rPr>
            </w:pPr>
            <w:r>
              <w:rPr>
                <w:rFonts w:ascii="宋体"/>
                <w:spacing w:val="-1"/>
                <w:sz w:val="18"/>
              </w:rPr>
              <w:t>6,927,211.65</w:t>
            </w:r>
            <w:r>
              <w:rPr>
                <w:rFonts w:ascii="宋体"/>
                <w:sz w:val="18"/>
              </w:rPr>
              <w:t> </w:t>
            </w:r>
          </w:p>
        </w:tc>
        <w:tc>
          <w:tcPr>
            <w:tcW w:w="1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z w:val="18"/>
              </w:rPr>
              <w:t>- </w:t>
            </w:r>
          </w:p>
        </w:tc>
      </w:tr>
      <w:tr>
        <w:trPr>
          <w:trHeight w:val="406" w:hRule="exact"/>
        </w:trPr>
        <w:tc>
          <w:tcPr>
            <w:tcW w:w="2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5" w:right="0"/>
              <w:jc w:val="left"/>
              <w:rPr>
                <w:rFonts w:ascii="宋体" w:hAnsi="宋体" w:cs="宋体" w:eastAsia="宋体" w:hint="default"/>
                <w:sz w:val="18"/>
                <w:szCs w:val="18"/>
              </w:rPr>
            </w:pPr>
            <w:r>
              <w:rPr>
                <w:rFonts w:ascii="宋体" w:hAnsi="宋体" w:cs="宋体" w:eastAsia="宋体" w:hint="default"/>
                <w:sz w:val="18"/>
                <w:szCs w:val="18"/>
              </w:rPr>
              <w:t>三、社会保险费</w:t>
            </w:r>
            <w:r>
              <w:rPr>
                <w:rFonts w:ascii="宋体" w:hAnsi="宋体" w:cs="宋体" w:eastAsia="宋体" w:hint="default"/>
                <w:sz w:val="18"/>
                <w:szCs w:val="18"/>
              </w:rPr>
              <w:t> </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8"/>
              <w:jc w:val="right"/>
              <w:rPr>
                <w:rFonts w:ascii="宋体" w:hAnsi="宋体" w:cs="宋体" w:eastAsia="宋体" w:hint="default"/>
                <w:sz w:val="18"/>
                <w:szCs w:val="18"/>
              </w:rPr>
            </w:pPr>
            <w:r>
              <w:rPr>
                <w:rFonts w:ascii="宋体"/>
                <w:spacing w:val="-1"/>
                <w:sz w:val="18"/>
              </w:rPr>
              <w:t>649,141.47</w:t>
            </w:r>
            <w:r>
              <w:rPr>
                <w:rFonts w:ascii="宋体"/>
                <w:sz w:val="18"/>
              </w:rPr>
              <w:t> </w:t>
            </w:r>
          </w:p>
        </w:tc>
        <w:tc>
          <w:tcPr>
            <w:tcW w:w="1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2"/>
              <w:jc w:val="right"/>
              <w:rPr>
                <w:rFonts w:ascii="宋体" w:hAnsi="宋体" w:cs="宋体" w:eastAsia="宋体" w:hint="default"/>
                <w:sz w:val="18"/>
                <w:szCs w:val="18"/>
              </w:rPr>
            </w:pPr>
            <w:r>
              <w:rPr>
                <w:rFonts w:ascii="宋体"/>
                <w:spacing w:val="-1"/>
                <w:sz w:val="18"/>
              </w:rPr>
              <w:t>29,319,184.80</w:t>
            </w:r>
            <w:r>
              <w:rPr>
                <w:rFonts w:ascii="宋体"/>
                <w:sz w:val="18"/>
              </w:rPr>
              <w:t> </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4"/>
              <w:ind w:right="12"/>
              <w:jc w:val="right"/>
              <w:rPr>
                <w:rFonts w:ascii="宋体" w:hAnsi="宋体" w:cs="宋体" w:eastAsia="宋体" w:hint="default"/>
                <w:sz w:val="18"/>
                <w:szCs w:val="18"/>
              </w:rPr>
            </w:pPr>
            <w:r>
              <w:rPr>
                <w:rFonts w:ascii="宋体"/>
                <w:spacing w:val="-1"/>
                <w:sz w:val="18"/>
              </w:rPr>
              <w:t>29,095,349.96</w:t>
            </w:r>
            <w:r>
              <w:rPr>
                <w:rFonts w:ascii="宋体"/>
                <w:sz w:val="18"/>
              </w:rPr>
              <w:t> </w:t>
            </w:r>
          </w:p>
        </w:tc>
        <w:tc>
          <w:tcPr>
            <w:tcW w:w="1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1"/>
              <w:jc w:val="right"/>
              <w:rPr>
                <w:rFonts w:ascii="宋体" w:hAnsi="宋体" w:cs="宋体" w:eastAsia="宋体" w:hint="default"/>
                <w:sz w:val="18"/>
                <w:szCs w:val="18"/>
              </w:rPr>
            </w:pPr>
            <w:r>
              <w:rPr>
                <w:rFonts w:ascii="宋体"/>
                <w:spacing w:val="-1"/>
                <w:sz w:val="18"/>
              </w:rPr>
              <w:t>872,976.31</w:t>
            </w:r>
            <w:r>
              <w:rPr>
                <w:rFonts w:ascii="宋体"/>
                <w:sz w:val="18"/>
              </w:rPr>
              <w:t> </w:t>
            </w:r>
          </w:p>
        </w:tc>
      </w:tr>
      <w:tr>
        <w:trPr>
          <w:trHeight w:val="408" w:hRule="exact"/>
        </w:trPr>
        <w:tc>
          <w:tcPr>
            <w:tcW w:w="2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5" w:right="0"/>
              <w:jc w:val="left"/>
              <w:rPr>
                <w:rFonts w:ascii="宋体" w:hAnsi="宋体" w:cs="宋体" w:eastAsia="宋体" w:hint="default"/>
                <w:sz w:val="18"/>
                <w:szCs w:val="18"/>
              </w:rPr>
            </w:pPr>
            <w:r>
              <w:rPr>
                <w:rFonts w:ascii="宋体" w:hAnsi="宋体" w:cs="宋体" w:eastAsia="宋体" w:hint="default"/>
                <w:sz w:val="18"/>
                <w:szCs w:val="18"/>
              </w:rPr>
              <w:t>其中：医疗保险费</w:t>
            </w:r>
            <w:r>
              <w:rPr>
                <w:rFonts w:ascii="宋体" w:hAnsi="宋体" w:cs="宋体" w:eastAsia="宋体" w:hint="default"/>
                <w:sz w:val="18"/>
                <w:szCs w:val="18"/>
              </w:rPr>
              <w:t> </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8"/>
              <w:jc w:val="right"/>
              <w:rPr>
                <w:rFonts w:ascii="宋体" w:hAnsi="宋体" w:cs="宋体" w:eastAsia="宋体" w:hint="default"/>
                <w:sz w:val="18"/>
                <w:szCs w:val="18"/>
              </w:rPr>
            </w:pPr>
            <w:r>
              <w:rPr>
                <w:rFonts w:ascii="宋体"/>
                <w:spacing w:val="-1"/>
                <w:sz w:val="18"/>
              </w:rPr>
              <w:t>575,646.33</w:t>
            </w:r>
            <w:r>
              <w:rPr>
                <w:rFonts w:ascii="宋体"/>
                <w:sz w:val="18"/>
              </w:rPr>
              <w:t> </w:t>
            </w:r>
          </w:p>
        </w:tc>
        <w:tc>
          <w:tcPr>
            <w:tcW w:w="1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2"/>
              <w:jc w:val="right"/>
              <w:rPr>
                <w:rFonts w:ascii="宋体" w:hAnsi="宋体" w:cs="宋体" w:eastAsia="宋体" w:hint="default"/>
                <w:sz w:val="18"/>
                <w:szCs w:val="18"/>
              </w:rPr>
            </w:pPr>
            <w:r>
              <w:rPr>
                <w:rFonts w:ascii="宋体"/>
                <w:spacing w:val="-1"/>
                <w:sz w:val="18"/>
              </w:rPr>
              <w:t>26,383,410.58</w:t>
            </w:r>
            <w:r>
              <w:rPr>
                <w:rFonts w:ascii="宋体"/>
                <w:sz w:val="18"/>
              </w:rPr>
              <w:t> </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2"/>
              <w:jc w:val="right"/>
              <w:rPr>
                <w:rFonts w:ascii="宋体" w:hAnsi="宋体" w:cs="宋体" w:eastAsia="宋体" w:hint="default"/>
                <w:sz w:val="18"/>
                <w:szCs w:val="18"/>
              </w:rPr>
            </w:pPr>
            <w:r>
              <w:rPr>
                <w:rFonts w:ascii="宋体"/>
                <w:spacing w:val="-1"/>
                <w:sz w:val="18"/>
              </w:rPr>
              <w:t>26,147,345.97</w:t>
            </w:r>
            <w:r>
              <w:rPr>
                <w:rFonts w:ascii="宋体"/>
                <w:sz w:val="18"/>
              </w:rPr>
              <w:t> </w:t>
            </w:r>
          </w:p>
        </w:tc>
        <w:tc>
          <w:tcPr>
            <w:tcW w:w="1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1"/>
              <w:jc w:val="right"/>
              <w:rPr>
                <w:rFonts w:ascii="宋体" w:hAnsi="宋体" w:cs="宋体" w:eastAsia="宋体" w:hint="default"/>
                <w:sz w:val="18"/>
                <w:szCs w:val="18"/>
              </w:rPr>
            </w:pPr>
            <w:r>
              <w:rPr>
                <w:rFonts w:ascii="宋体"/>
                <w:spacing w:val="-1"/>
                <w:sz w:val="18"/>
              </w:rPr>
              <w:t>811,710.94</w:t>
            </w:r>
            <w:r>
              <w:rPr>
                <w:rFonts w:ascii="宋体"/>
                <w:sz w:val="18"/>
              </w:rPr>
              <w:t> </w:t>
            </w:r>
          </w:p>
        </w:tc>
      </w:tr>
      <w:tr>
        <w:trPr>
          <w:trHeight w:val="408" w:hRule="exact"/>
        </w:trPr>
        <w:tc>
          <w:tcPr>
            <w:tcW w:w="2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645" w:right="0"/>
              <w:jc w:val="left"/>
              <w:rPr>
                <w:rFonts w:ascii="宋体" w:hAnsi="宋体" w:cs="宋体" w:eastAsia="宋体" w:hint="default"/>
                <w:sz w:val="18"/>
                <w:szCs w:val="18"/>
              </w:rPr>
            </w:pPr>
            <w:r>
              <w:rPr>
                <w:rFonts w:ascii="宋体" w:hAnsi="宋体" w:cs="宋体" w:eastAsia="宋体" w:hint="default"/>
                <w:sz w:val="18"/>
                <w:szCs w:val="18"/>
              </w:rPr>
              <w:t>工伤保险费</w:t>
            </w:r>
            <w:r>
              <w:rPr>
                <w:rFonts w:ascii="宋体" w:hAnsi="宋体" w:cs="宋体" w:eastAsia="宋体" w:hint="default"/>
                <w:sz w:val="18"/>
                <w:szCs w:val="18"/>
              </w:rPr>
              <w:t> </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
              <w:jc w:val="right"/>
              <w:rPr>
                <w:rFonts w:ascii="宋体" w:hAnsi="宋体" w:cs="宋体" w:eastAsia="宋体" w:hint="default"/>
                <w:sz w:val="18"/>
                <w:szCs w:val="18"/>
              </w:rPr>
            </w:pPr>
            <w:r>
              <w:rPr>
                <w:rFonts w:ascii="宋体"/>
                <w:spacing w:val="-1"/>
                <w:sz w:val="18"/>
              </w:rPr>
              <w:t>28,417.97</w:t>
            </w:r>
            <w:r>
              <w:rPr>
                <w:rFonts w:ascii="宋体"/>
                <w:sz w:val="18"/>
              </w:rPr>
              <w:t> </w:t>
            </w:r>
          </w:p>
        </w:tc>
        <w:tc>
          <w:tcPr>
            <w:tcW w:w="1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2"/>
              <w:jc w:val="right"/>
              <w:rPr>
                <w:rFonts w:ascii="宋体" w:hAnsi="宋体" w:cs="宋体" w:eastAsia="宋体" w:hint="default"/>
                <w:sz w:val="18"/>
                <w:szCs w:val="18"/>
              </w:rPr>
            </w:pPr>
            <w:r>
              <w:rPr>
                <w:rFonts w:ascii="宋体"/>
                <w:spacing w:val="-1"/>
                <w:sz w:val="18"/>
              </w:rPr>
              <w:t>886,010.80</w:t>
            </w:r>
            <w:r>
              <w:rPr>
                <w:rFonts w:ascii="宋体"/>
                <w:sz w:val="18"/>
              </w:rPr>
              <w:t> </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2"/>
              <w:jc w:val="right"/>
              <w:rPr>
                <w:rFonts w:ascii="宋体" w:hAnsi="宋体" w:cs="宋体" w:eastAsia="宋体" w:hint="default"/>
                <w:sz w:val="18"/>
                <w:szCs w:val="18"/>
              </w:rPr>
            </w:pPr>
            <w:r>
              <w:rPr>
                <w:rFonts w:ascii="宋体"/>
                <w:spacing w:val="-1"/>
                <w:sz w:val="18"/>
              </w:rPr>
              <w:t>890,384.75</w:t>
            </w:r>
            <w:r>
              <w:rPr>
                <w:rFonts w:ascii="宋体"/>
                <w:sz w:val="18"/>
              </w:rPr>
              <w:t> </w:t>
            </w:r>
          </w:p>
        </w:tc>
        <w:tc>
          <w:tcPr>
            <w:tcW w:w="1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pacing w:val="-1"/>
                <w:sz w:val="18"/>
              </w:rPr>
              <w:t>24,044.02</w:t>
            </w:r>
            <w:r>
              <w:rPr>
                <w:rFonts w:ascii="宋体"/>
                <w:sz w:val="18"/>
              </w:rPr>
              <w:t> </w:t>
            </w:r>
          </w:p>
        </w:tc>
      </w:tr>
      <w:tr>
        <w:trPr>
          <w:trHeight w:val="406" w:hRule="exact"/>
        </w:trPr>
        <w:tc>
          <w:tcPr>
            <w:tcW w:w="2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645" w:right="0"/>
              <w:jc w:val="left"/>
              <w:rPr>
                <w:rFonts w:ascii="宋体" w:hAnsi="宋体" w:cs="宋体" w:eastAsia="宋体" w:hint="default"/>
                <w:sz w:val="18"/>
                <w:szCs w:val="18"/>
              </w:rPr>
            </w:pPr>
            <w:r>
              <w:rPr>
                <w:rFonts w:ascii="宋体" w:hAnsi="宋体" w:cs="宋体" w:eastAsia="宋体" w:hint="default"/>
                <w:sz w:val="18"/>
                <w:szCs w:val="18"/>
              </w:rPr>
              <w:t>生育保险费</w:t>
            </w:r>
            <w:r>
              <w:rPr>
                <w:rFonts w:ascii="宋体" w:hAnsi="宋体" w:cs="宋体" w:eastAsia="宋体" w:hint="default"/>
                <w:sz w:val="18"/>
                <w:szCs w:val="18"/>
              </w:rPr>
              <w:t> </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
              <w:jc w:val="right"/>
              <w:rPr>
                <w:rFonts w:ascii="宋体" w:hAnsi="宋体" w:cs="宋体" w:eastAsia="宋体" w:hint="default"/>
                <w:sz w:val="18"/>
                <w:szCs w:val="18"/>
              </w:rPr>
            </w:pPr>
            <w:r>
              <w:rPr>
                <w:rFonts w:ascii="宋体"/>
                <w:spacing w:val="-1"/>
                <w:sz w:val="18"/>
              </w:rPr>
              <w:t>45,077.17</w:t>
            </w:r>
            <w:r>
              <w:rPr>
                <w:rFonts w:ascii="宋体"/>
                <w:sz w:val="18"/>
              </w:rPr>
              <w:t> </w:t>
            </w:r>
          </w:p>
        </w:tc>
        <w:tc>
          <w:tcPr>
            <w:tcW w:w="1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2"/>
              <w:jc w:val="right"/>
              <w:rPr>
                <w:rFonts w:ascii="宋体" w:hAnsi="宋体" w:cs="宋体" w:eastAsia="宋体" w:hint="default"/>
                <w:sz w:val="18"/>
                <w:szCs w:val="18"/>
              </w:rPr>
            </w:pPr>
            <w:r>
              <w:rPr>
                <w:rFonts w:ascii="宋体"/>
                <w:spacing w:val="-1"/>
                <w:sz w:val="18"/>
              </w:rPr>
              <w:t>2,049,763.42</w:t>
            </w:r>
            <w:r>
              <w:rPr>
                <w:rFonts w:ascii="宋体"/>
                <w:sz w:val="18"/>
              </w:rPr>
              <w:t> </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2"/>
              <w:jc w:val="right"/>
              <w:rPr>
                <w:rFonts w:ascii="宋体" w:hAnsi="宋体" w:cs="宋体" w:eastAsia="宋体" w:hint="default"/>
                <w:sz w:val="18"/>
                <w:szCs w:val="18"/>
              </w:rPr>
            </w:pPr>
            <w:r>
              <w:rPr>
                <w:rFonts w:ascii="宋体"/>
                <w:spacing w:val="-1"/>
                <w:sz w:val="18"/>
              </w:rPr>
              <w:t>2,057,619.24</w:t>
            </w:r>
            <w:r>
              <w:rPr>
                <w:rFonts w:ascii="宋体"/>
                <w:sz w:val="18"/>
              </w:rPr>
              <w:t> </w:t>
            </w:r>
          </w:p>
        </w:tc>
        <w:tc>
          <w:tcPr>
            <w:tcW w:w="1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pacing w:val="-1"/>
                <w:sz w:val="18"/>
              </w:rPr>
              <w:t>37,221.35</w:t>
            </w:r>
            <w:r>
              <w:rPr>
                <w:rFonts w:ascii="宋体"/>
                <w:sz w:val="18"/>
              </w:rPr>
              <w:t> </w:t>
            </w:r>
          </w:p>
        </w:tc>
      </w:tr>
      <w:tr>
        <w:trPr>
          <w:trHeight w:val="408" w:hRule="exact"/>
        </w:trPr>
        <w:tc>
          <w:tcPr>
            <w:tcW w:w="2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四、住房公积金</w:t>
            </w:r>
            <w:r>
              <w:rPr>
                <w:rFonts w:ascii="宋体" w:hAnsi="宋体" w:cs="宋体" w:eastAsia="宋体" w:hint="default"/>
                <w:sz w:val="18"/>
                <w:szCs w:val="18"/>
              </w:rPr>
              <w:t> </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
              <w:jc w:val="right"/>
              <w:rPr>
                <w:rFonts w:ascii="宋体" w:hAnsi="宋体" w:cs="宋体" w:eastAsia="宋体" w:hint="default"/>
                <w:sz w:val="18"/>
                <w:szCs w:val="18"/>
              </w:rPr>
            </w:pPr>
            <w:r>
              <w:rPr>
                <w:rFonts w:ascii="宋体"/>
                <w:spacing w:val="-1"/>
                <w:sz w:val="18"/>
              </w:rPr>
              <w:t>375,305.92</w:t>
            </w:r>
            <w:r>
              <w:rPr>
                <w:rFonts w:ascii="宋体"/>
                <w:sz w:val="18"/>
              </w:rPr>
              <w:t> </w:t>
            </w:r>
          </w:p>
        </w:tc>
        <w:tc>
          <w:tcPr>
            <w:tcW w:w="1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2"/>
              <w:jc w:val="right"/>
              <w:rPr>
                <w:rFonts w:ascii="宋体" w:hAnsi="宋体" w:cs="宋体" w:eastAsia="宋体" w:hint="default"/>
                <w:sz w:val="18"/>
                <w:szCs w:val="18"/>
              </w:rPr>
            </w:pPr>
            <w:r>
              <w:rPr>
                <w:rFonts w:ascii="宋体"/>
                <w:spacing w:val="-1"/>
                <w:sz w:val="18"/>
              </w:rPr>
              <w:t>15,332,808.93</w:t>
            </w:r>
            <w:r>
              <w:rPr>
                <w:rFonts w:ascii="宋体"/>
                <w:sz w:val="18"/>
              </w:rPr>
              <w:t> </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2"/>
              <w:jc w:val="right"/>
              <w:rPr>
                <w:rFonts w:ascii="宋体" w:hAnsi="宋体" w:cs="宋体" w:eastAsia="宋体" w:hint="default"/>
                <w:sz w:val="18"/>
                <w:szCs w:val="18"/>
              </w:rPr>
            </w:pPr>
            <w:r>
              <w:rPr>
                <w:rFonts w:ascii="宋体"/>
                <w:spacing w:val="-1"/>
                <w:sz w:val="18"/>
              </w:rPr>
              <w:t>15,371,462.21</w:t>
            </w:r>
            <w:r>
              <w:rPr>
                <w:rFonts w:ascii="宋体"/>
                <w:sz w:val="18"/>
              </w:rPr>
              <w:t> </w:t>
            </w:r>
          </w:p>
        </w:tc>
        <w:tc>
          <w:tcPr>
            <w:tcW w:w="1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pacing w:val="-1"/>
                <w:sz w:val="18"/>
              </w:rPr>
              <w:t>336,652.64</w:t>
            </w:r>
            <w:r>
              <w:rPr>
                <w:rFonts w:ascii="宋体"/>
                <w:sz w:val="18"/>
              </w:rPr>
              <w:t> </w:t>
            </w:r>
          </w:p>
        </w:tc>
      </w:tr>
    </w:tbl>
    <w:p>
      <w:pPr>
        <w:spacing w:after="0" w:line="240" w:lineRule="auto"/>
        <w:jc w:val="right"/>
        <w:rPr>
          <w:rFonts w:ascii="宋体" w:hAnsi="宋体" w:cs="宋体" w:eastAsia="宋体" w:hint="default"/>
          <w:sz w:val="18"/>
          <w:szCs w:val="18"/>
        </w:rPr>
        <w:sectPr>
          <w:pgSz w:w="11910" w:h="16840"/>
          <w:pgMar w:header="880" w:footer="975" w:top="1100" w:bottom="1160" w:left="1160" w:right="0"/>
        </w:sectPr>
      </w:pPr>
    </w:p>
    <w:p>
      <w:pPr>
        <w:spacing w:line="240" w:lineRule="auto" w:before="8"/>
        <w:rPr>
          <w:rFonts w:ascii="宋体" w:hAnsi="宋体" w:cs="宋体" w:eastAsia="宋体" w:hint="default"/>
          <w:sz w:val="24"/>
          <w:szCs w:val="24"/>
        </w:rPr>
      </w:pPr>
    </w:p>
    <w:tbl>
      <w:tblPr>
        <w:tblW w:w="0" w:type="auto"/>
        <w:jc w:val="left"/>
        <w:tblInd w:w="206" w:type="dxa"/>
        <w:tblLayout w:type="fixed"/>
        <w:tblCellMar>
          <w:top w:w="0" w:type="dxa"/>
          <w:left w:w="0" w:type="dxa"/>
          <w:bottom w:w="0" w:type="dxa"/>
          <w:right w:w="0" w:type="dxa"/>
        </w:tblCellMar>
        <w:tblLook w:val="01E0"/>
      </w:tblPr>
      <w:tblGrid>
        <w:gridCol w:w="2580"/>
        <w:gridCol w:w="1661"/>
        <w:gridCol w:w="1532"/>
        <w:gridCol w:w="1894"/>
        <w:gridCol w:w="1909"/>
      </w:tblGrid>
      <w:tr>
        <w:trPr>
          <w:trHeight w:val="408" w:hRule="exact"/>
        </w:trPr>
        <w:tc>
          <w:tcPr>
            <w:tcW w:w="2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五、工会经费和职工教育经费</w:t>
            </w:r>
            <w:r>
              <w:rPr>
                <w:rFonts w:ascii="宋体" w:hAnsi="宋体" w:cs="宋体" w:eastAsia="宋体" w:hint="default"/>
                <w:sz w:val="18"/>
                <w:szCs w:val="18"/>
              </w:rPr>
              <w:t> </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
              <w:jc w:val="right"/>
              <w:rPr>
                <w:rFonts w:ascii="宋体" w:hAnsi="宋体" w:cs="宋体" w:eastAsia="宋体" w:hint="default"/>
                <w:sz w:val="18"/>
                <w:szCs w:val="18"/>
              </w:rPr>
            </w:pPr>
            <w:r>
              <w:rPr>
                <w:rFonts w:ascii="宋体"/>
                <w:spacing w:val="-1"/>
                <w:sz w:val="18"/>
              </w:rPr>
              <w:t>620,121.62</w:t>
            </w:r>
            <w:r>
              <w:rPr>
                <w:rFonts w:ascii="宋体"/>
                <w:sz w:val="18"/>
              </w:rPr>
              <w:t> </w:t>
            </w:r>
          </w:p>
        </w:tc>
        <w:tc>
          <w:tcPr>
            <w:tcW w:w="1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2"/>
              <w:jc w:val="right"/>
              <w:rPr>
                <w:rFonts w:ascii="宋体" w:hAnsi="宋体" w:cs="宋体" w:eastAsia="宋体" w:hint="default"/>
                <w:sz w:val="18"/>
                <w:szCs w:val="18"/>
              </w:rPr>
            </w:pPr>
            <w:r>
              <w:rPr>
                <w:rFonts w:ascii="宋体"/>
                <w:spacing w:val="-1"/>
                <w:sz w:val="18"/>
              </w:rPr>
              <w:t>516,806.41</w:t>
            </w:r>
            <w:r>
              <w:rPr>
                <w:rFonts w:ascii="宋体"/>
                <w:sz w:val="18"/>
              </w:rPr>
              <w:t> </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2"/>
              <w:jc w:val="right"/>
              <w:rPr>
                <w:rFonts w:ascii="宋体" w:hAnsi="宋体" w:cs="宋体" w:eastAsia="宋体" w:hint="default"/>
                <w:sz w:val="18"/>
                <w:szCs w:val="18"/>
              </w:rPr>
            </w:pPr>
            <w:r>
              <w:rPr>
                <w:rFonts w:ascii="宋体"/>
                <w:spacing w:val="-1"/>
                <w:sz w:val="18"/>
              </w:rPr>
              <w:t>592,617.18</w:t>
            </w:r>
            <w:r>
              <w:rPr>
                <w:rFonts w:ascii="宋体"/>
                <w:sz w:val="18"/>
              </w:rPr>
              <w:t> </w:t>
            </w:r>
          </w:p>
        </w:tc>
        <w:tc>
          <w:tcPr>
            <w:tcW w:w="1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pacing w:val="-1"/>
                <w:sz w:val="18"/>
              </w:rPr>
              <w:t>544,310.85</w:t>
            </w:r>
            <w:r>
              <w:rPr>
                <w:rFonts w:ascii="宋体"/>
                <w:sz w:val="18"/>
              </w:rPr>
              <w:t> </w:t>
            </w:r>
          </w:p>
        </w:tc>
      </w:tr>
      <w:tr>
        <w:trPr>
          <w:trHeight w:val="406" w:hRule="exact"/>
        </w:trPr>
        <w:tc>
          <w:tcPr>
            <w:tcW w:w="2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六、短期带薪缺勤</w:t>
            </w:r>
            <w:r>
              <w:rPr>
                <w:rFonts w:ascii="宋体" w:hAnsi="宋体" w:cs="宋体" w:eastAsia="宋体" w:hint="default"/>
                <w:sz w:val="18"/>
                <w:szCs w:val="18"/>
              </w:rPr>
              <w:t> </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8"/>
              <w:jc w:val="right"/>
              <w:rPr>
                <w:rFonts w:ascii="宋体" w:hAnsi="宋体" w:cs="宋体" w:eastAsia="宋体" w:hint="default"/>
                <w:sz w:val="18"/>
                <w:szCs w:val="18"/>
              </w:rPr>
            </w:pPr>
            <w:r>
              <w:rPr>
                <w:rFonts w:ascii="宋体"/>
                <w:sz w:val="18"/>
              </w:rPr>
              <w:t>- </w:t>
            </w:r>
          </w:p>
        </w:tc>
        <w:tc>
          <w:tcPr>
            <w:tcW w:w="1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
              <w:jc w:val="right"/>
              <w:rPr>
                <w:rFonts w:ascii="宋体" w:hAnsi="宋体" w:cs="宋体" w:eastAsia="宋体" w:hint="default"/>
                <w:sz w:val="18"/>
                <w:szCs w:val="18"/>
              </w:rPr>
            </w:pPr>
            <w:r>
              <w:rPr>
                <w:rFonts w:ascii="宋体"/>
                <w:sz w:val="18"/>
              </w:rPr>
              <w:t>- </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
              <w:jc w:val="right"/>
              <w:rPr>
                <w:rFonts w:ascii="宋体" w:hAnsi="宋体" w:cs="宋体" w:eastAsia="宋体" w:hint="default"/>
                <w:sz w:val="18"/>
                <w:szCs w:val="18"/>
              </w:rPr>
            </w:pPr>
            <w:r>
              <w:rPr>
                <w:rFonts w:ascii="宋体"/>
                <w:sz w:val="18"/>
              </w:rPr>
              <w:t>- </w:t>
            </w:r>
          </w:p>
        </w:tc>
        <w:tc>
          <w:tcPr>
            <w:tcW w:w="1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11"/>
              <w:jc w:val="right"/>
              <w:rPr>
                <w:rFonts w:ascii="宋体" w:hAnsi="宋体" w:cs="宋体" w:eastAsia="宋体" w:hint="default"/>
                <w:sz w:val="18"/>
                <w:szCs w:val="18"/>
              </w:rPr>
            </w:pPr>
            <w:r>
              <w:rPr>
                <w:rFonts w:ascii="宋体"/>
                <w:sz w:val="18"/>
              </w:rPr>
              <w:t>- </w:t>
            </w:r>
          </w:p>
        </w:tc>
      </w:tr>
      <w:tr>
        <w:trPr>
          <w:trHeight w:val="408" w:hRule="exact"/>
        </w:trPr>
        <w:tc>
          <w:tcPr>
            <w:tcW w:w="2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七、短期利润分享计划</w:t>
            </w:r>
            <w:r>
              <w:rPr>
                <w:rFonts w:ascii="宋体" w:hAnsi="宋体" w:cs="宋体" w:eastAsia="宋体" w:hint="default"/>
                <w:sz w:val="18"/>
                <w:szCs w:val="18"/>
              </w:rPr>
              <w:t> </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
              <w:jc w:val="right"/>
              <w:rPr>
                <w:rFonts w:ascii="宋体" w:hAnsi="宋体" w:cs="宋体" w:eastAsia="宋体" w:hint="default"/>
                <w:sz w:val="18"/>
                <w:szCs w:val="18"/>
              </w:rPr>
            </w:pPr>
            <w:r>
              <w:rPr>
                <w:rFonts w:ascii="宋体"/>
                <w:sz w:val="18"/>
              </w:rPr>
              <w:t>- </w:t>
            </w:r>
          </w:p>
        </w:tc>
        <w:tc>
          <w:tcPr>
            <w:tcW w:w="1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1"/>
              <w:jc w:val="right"/>
              <w:rPr>
                <w:rFonts w:ascii="宋体" w:hAnsi="宋体" w:cs="宋体" w:eastAsia="宋体" w:hint="default"/>
                <w:sz w:val="18"/>
                <w:szCs w:val="18"/>
              </w:rPr>
            </w:pPr>
            <w:r>
              <w:rPr>
                <w:rFonts w:ascii="宋体"/>
                <w:sz w:val="18"/>
              </w:rPr>
              <w:t>- </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1"/>
              <w:jc w:val="right"/>
              <w:rPr>
                <w:rFonts w:ascii="宋体" w:hAnsi="宋体" w:cs="宋体" w:eastAsia="宋体" w:hint="default"/>
                <w:sz w:val="18"/>
                <w:szCs w:val="18"/>
              </w:rPr>
            </w:pPr>
            <w:r>
              <w:rPr>
                <w:rFonts w:ascii="宋体"/>
                <w:sz w:val="18"/>
              </w:rPr>
              <w:t>- </w:t>
            </w:r>
          </w:p>
        </w:tc>
        <w:tc>
          <w:tcPr>
            <w:tcW w:w="1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z w:val="18"/>
              </w:rPr>
              <w:t>- </w:t>
            </w:r>
          </w:p>
        </w:tc>
      </w:tr>
      <w:tr>
        <w:trPr>
          <w:trHeight w:val="406" w:hRule="exact"/>
        </w:trPr>
        <w:tc>
          <w:tcPr>
            <w:tcW w:w="2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八、其他短期薪酬</w:t>
            </w:r>
            <w:r>
              <w:rPr>
                <w:rFonts w:ascii="宋体" w:hAnsi="宋体" w:cs="宋体" w:eastAsia="宋体" w:hint="default"/>
                <w:sz w:val="18"/>
                <w:szCs w:val="18"/>
              </w:rPr>
              <w:t> </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
              <w:jc w:val="right"/>
              <w:rPr>
                <w:rFonts w:ascii="宋体" w:hAnsi="宋体" w:cs="宋体" w:eastAsia="宋体" w:hint="default"/>
                <w:sz w:val="18"/>
                <w:szCs w:val="18"/>
              </w:rPr>
            </w:pPr>
            <w:r>
              <w:rPr>
                <w:rFonts w:ascii="宋体"/>
                <w:sz w:val="18"/>
              </w:rPr>
              <w:t>- </w:t>
            </w:r>
          </w:p>
        </w:tc>
        <w:tc>
          <w:tcPr>
            <w:tcW w:w="1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2"/>
              <w:jc w:val="right"/>
              <w:rPr>
                <w:rFonts w:ascii="宋体" w:hAnsi="宋体" w:cs="宋体" w:eastAsia="宋体" w:hint="default"/>
                <w:sz w:val="18"/>
                <w:szCs w:val="18"/>
              </w:rPr>
            </w:pPr>
            <w:r>
              <w:rPr>
                <w:rFonts w:ascii="宋体"/>
                <w:spacing w:val="-1"/>
                <w:sz w:val="18"/>
              </w:rPr>
              <w:t>126,949.00</w:t>
            </w:r>
            <w:r>
              <w:rPr>
                <w:rFonts w:ascii="宋体"/>
                <w:sz w:val="18"/>
              </w:rPr>
              <w:t> </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2"/>
              <w:jc w:val="right"/>
              <w:rPr>
                <w:rFonts w:ascii="宋体" w:hAnsi="宋体" w:cs="宋体" w:eastAsia="宋体" w:hint="default"/>
                <w:sz w:val="18"/>
                <w:szCs w:val="18"/>
              </w:rPr>
            </w:pPr>
            <w:r>
              <w:rPr>
                <w:rFonts w:ascii="宋体"/>
                <w:spacing w:val="-1"/>
                <w:sz w:val="18"/>
              </w:rPr>
              <w:t>126,949.00</w:t>
            </w:r>
            <w:r>
              <w:rPr>
                <w:rFonts w:ascii="宋体"/>
                <w:sz w:val="18"/>
              </w:rPr>
              <w:t> </w:t>
            </w:r>
          </w:p>
        </w:tc>
        <w:tc>
          <w:tcPr>
            <w:tcW w:w="1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z w:val="18"/>
              </w:rPr>
              <w:t>- </w:t>
            </w:r>
          </w:p>
        </w:tc>
      </w:tr>
      <w:tr>
        <w:trPr>
          <w:trHeight w:val="408" w:hRule="exact"/>
        </w:trPr>
        <w:tc>
          <w:tcPr>
            <w:tcW w:w="2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92"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6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8"/>
              <w:jc w:val="right"/>
              <w:rPr>
                <w:rFonts w:ascii="宋体" w:hAnsi="宋体" w:cs="宋体" w:eastAsia="宋体" w:hint="default"/>
                <w:sz w:val="18"/>
                <w:szCs w:val="18"/>
              </w:rPr>
            </w:pPr>
            <w:r>
              <w:rPr>
                <w:rFonts w:ascii="宋体"/>
                <w:spacing w:val="-1"/>
                <w:sz w:val="18"/>
              </w:rPr>
              <w:t>82,663,567.21</w:t>
            </w:r>
            <w:r>
              <w:rPr>
                <w:rFonts w:ascii="宋体"/>
                <w:sz w:val="18"/>
              </w:rPr>
              <w:t> </w:t>
            </w:r>
          </w:p>
        </w:tc>
        <w:tc>
          <w:tcPr>
            <w:tcW w:w="15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left="292" w:right="0"/>
              <w:jc w:val="left"/>
              <w:rPr>
                <w:rFonts w:ascii="Times New Roman" w:hAnsi="Times New Roman" w:cs="Times New Roman" w:eastAsia="Times New Roman" w:hint="default"/>
                <w:sz w:val="18"/>
                <w:szCs w:val="18"/>
              </w:rPr>
            </w:pPr>
            <w:r>
              <w:rPr>
                <w:rFonts w:ascii="Times New Roman"/>
                <w:sz w:val="18"/>
              </w:rPr>
              <w:t>551,186,366.03</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pacing w:val="-1"/>
                <w:sz w:val="18"/>
              </w:rPr>
              <w:t>581,418,801.91</w:t>
            </w:r>
          </w:p>
        </w:tc>
        <w:tc>
          <w:tcPr>
            <w:tcW w:w="19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1"/>
              <w:jc w:val="right"/>
              <w:rPr>
                <w:rFonts w:ascii="宋体" w:hAnsi="宋体" w:cs="宋体" w:eastAsia="宋体" w:hint="default"/>
                <w:sz w:val="18"/>
                <w:szCs w:val="18"/>
              </w:rPr>
            </w:pPr>
            <w:r>
              <w:rPr>
                <w:rFonts w:ascii="宋体"/>
                <w:spacing w:val="-1"/>
                <w:sz w:val="18"/>
              </w:rPr>
              <w:t>52,431,131.33</w:t>
            </w:r>
            <w:r>
              <w:rPr>
                <w:rFonts w:ascii="宋体"/>
                <w:sz w:val="18"/>
              </w:rPr>
              <w:t> </w:t>
            </w:r>
          </w:p>
        </w:tc>
      </w:tr>
    </w:tbl>
    <w:p>
      <w:pPr>
        <w:spacing w:line="240" w:lineRule="auto" w:before="7"/>
        <w:rPr>
          <w:rFonts w:ascii="宋体" w:hAnsi="宋体" w:cs="宋体" w:eastAsia="宋体" w:hint="default"/>
          <w:sz w:val="6"/>
          <w:szCs w:val="6"/>
        </w:rPr>
      </w:pPr>
    </w:p>
    <w:p>
      <w:pPr>
        <w:pStyle w:val="BodyText"/>
        <w:spacing w:line="240" w:lineRule="auto" w:before="36"/>
        <w:ind w:left="566" w:right="7673"/>
        <w:jc w:val="left"/>
        <w:rPr>
          <w:rFonts w:ascii="宋体" w:hAnsi="宋体" w:cs="宋体" w:eastAsia="宋体" w:hint="default"/>
        </w:rPr>
      </w:pPr>
      <w:r>
        <w:rPr>
          <w:rFonts w:ascii="宋体" w:hAnsi="宋体" w:cs="宋体" w:eastAsia="宋体" w:hint="default"/>
          <w:b/>
          <w:bCs/>
        </w:rPr>
        <w:t>3</w:t>
      </w:r>
      <w:r>
        <w:rPr>
          <w:rFonts w:ascii="宋体" w:hAnsi="宋体" w:cs="宋体" w:eastAsia="宋体" w:hint="default"/>
          <w:b/>
          <w:bCs/>
        </w:rPr>
        <w:t>、</w:t>
      </w:r>
      <w:r>
        <w:rPr/>
        <w:t>设定提存计划列示</w:t>
      </w:r>
      <w:r>
        <w:rPr>
          <w:rFonts w:ascii="宋体" w:hAnsi="宋体" w:cs="宋体" w:eastAsia="宋体" w:hint="default"/>
        </w:rPr>
        <w:t> </w:t>
      </w:r>
    </w:p>
    <w:p>
      <w:pPr>
        <w:spacing w:line="240" w:lineRule="auto" w:before="6"/>
        <w:rPr>
          <w:rFonts w:ascii="宋体" w:hAnsi="宋体" w:cs="宋体" w:eastAsia="宋体" w:hint="default"/>
          <w:sz w:val="14"/>
          <w:szCs w:val="14"/>
        </w:rPr>
      </w:pPr>
    </w:p>
    <w:tbl>
      <w:tblPr>
        <w:tblW w:w="0" w:type="auto"/>
        <w:jc w:val="left"/>
        <w:tblInd w:w="206" w:type="dxa"/>
        <w:tblLayout w:type="fixed"/>
        <w:tblCellMar>
          <w:top w:w="0" w:type="dxa"/>
          <w:left w:w="0" w:type="dxa"/>
          <w:bottom w:w="0" w:type="dxa"/>
          <w:right w:w="0" w:type="dxa"/>
        </w:tblCellMar>
        <w:tblLook w:val="01E0"/>
      </w:tblPr>
      <w:tblGrid>
        <w:gridCol w:w="3008"/>
        <w:gridCol w:w="1476"/>
        <w:gridCol w:w="1414"/>
        <w:gridCol w:w="1414"/>
        <w:gridCol w:w="2264"/>
      </w:tblGrid>
      <w:tr>
        <w:trPr>
          <w:trHeight w:val="396" w:hRule="exact"/>
        </w:trPr>
        <w:tc>
          <w:tcPr>
            <w:tcW w:w="3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26"/>
              <w:jc w:val="right"/>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371"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340" w:right="0"/>
              <w:jc w:val="left"/>
              <w:rPr>
                <w:rFonts w:ascii="宋体" w:hAnsi="宋体" w:cs="宋体" w:eastAsia="宋体" w:hint="default"/>
                <w:sz w:val="18"/>
                <w:szCs w:val="18"/>
              </w:rPr>
            </w:pPr>
            <w:r>
              <w:rPr>
                <w:rFonts w:ascii="宋体" w:hAnsi="宋体" w:cs="宋体" w:eastAsia="宋体" w:hint="default"/>
                <w:sz w:val="18"/>
                <w:szCs w:val="18"/>
              </w:rPr>
              <w:t>本期增加</w:t>
            </w:r>
            <w:r>
              <w:rPr>
                <w:rFonts w:ascii="宋体" w:hAnsi="宋体" w:cs="宋体" w:eastAsia="宋体" w:hint="default"/>
                <w:sz w:val="18"/>
                <w:szCs w:val="18"/>
              </w:rPr>
              <w:t> </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340" w:right="0"/>
              <w:jc w:val="left"/>
              <w:rPr>
                <w:rFonts w:ascii="宋体" w:hAnsi="宋体" w:cs="宋体" w:eastAsia="宋体" w:hint="default"/>
                <w:sz w:val="18"/>
                <w:szCs w:val="18"/>
              </w:rPr>
            </w:pPr>
            <w:r>
              <w:rPr>
                <w:rFonts w:ascii="宋体" w:hAnsi="宋体" w:cs="宋体" w:eastAsia="宋体" w:hint="default"/>
                <w:sz w:val="18"/>
                <w:szCs w:val="18"/>
              </w:rPr>
              <w:t>本期减少</w:t>
            </w:r>
            <w:r>
              <w:rPr>
                <w:rFonts w:ascii="宋体" w:hAnsi="宋体" w:cs="宋体" w:eastAsia="宋体" w:hint="default"/>
                <w:sz w:val="18"/>
                <w:szCs w:val="18"/>
              </w:rPr>
              <w:t> </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766"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r>
      <w:tr>
        <w:trPr>
          <w:trHeight w:val="396" w:hRule="exact"/>
        </w:trPr>
        <w:tc>
          <w:tcPr>
            <w:tcW w:w="3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、基本养老保险</w:t>
            </w:r>
            <w:r>
              <w:rPr>
                <w:rFonts w:ascii="宋体" w:hAnsi="宋体" w:cs="宋体" w:eastAsia="宋体" w:hint="default"/>
                <w:sz w:val="18"/>
                <w:szCs w:val="18"/>
              </w:rPr>
              <w:t> </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1,106,977.25</w:t>
            </w:r>
            <w:r>
              <w:rPr>
                <w:rFonts w:ascii="宋体"/>
                <w:sz w:val="18"/>
              </w:rPr>
              <w:t> </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44,414,162.54 </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44,263,994.42</w:t>
            </w:r>
            <w:r>
              <w:rPr>
                <w:rFonts w:ascii="宋体"/>
                <w:sz w:val="18"/>
              </w:rPr>
              <w:t> </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1,257,145.37</w:t>
            </w:r>
            <w:r>
              <w:rPr>
                <w:rFonts w:ascii="宋体"/>
                <w:sz w:val="18"/>
              </w:rPr>
              <w:t> </w:t>
            </w:r>
          </w:p>
        </w:tc>
      </w:tr>
      <w:tr>
        <w:trPr>
          <w:trHeight w:val="398" w:hRule="exact"/>
        </w:trPr>
        <w:tc>
          <w:tcPr>
            <w:tcW w:w="3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5"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、失业保险费</w:t>
            </w:r>
            <w:r>
              <w:rPr>
                <w:rFonts w:ascii="宋体" w:hAnsi="宋体" w:cs="宋体" w:eastAsia="宋体" w:hint="default"/>
                <w:sz w:val="18"/>
                <w:szCs w:val="18"/>
              </w:rPr>
              <w:t> </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94,193.97</w:t>
            </w:r>
            <w:r>
              <w:rPr>
                <w:rFonts w:ascii="宋体"/>
                <w:sz w:val="18"/>
              </w:rPr>
              <w:t> </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1,573,521.63 </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1,622,936.25</w:t>
            </w:r>
            <w:r>
              <w:rPr>
                <w:rFonts w:ascii="宋体"/>
                <w:sz w:val="18"/>
              </w:rPr>
              <w:t> </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44,779.35</w:t>
            </w:r>
            <w:r>
              <w:rPr>
                <w:rFonts w:ascii="宋体"/>
                <w:sz w:val="18"/>
              </w:rPr>
              <w:t> </w:t>
            </w:r>
          </w:p>
        </w:tc>
      </w:tr>
      <w:tr>
        <w:trPr>
          <w:trHeight w:val="396" w:hRule="exact"/>
        </w:trPr>
        <w:tc>
          <w:tcPr>
            <w:tcW w:w="3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、企业年金缴费</w:t>
            </w:r>
            <w:r>
              <w:rPr>
                <w:rFonts w:ascii="宋体" w:hAnsi="宋体" w:cs="宋体" w:eastAsia="宋体" w:hint="default"/>
                <w:sz w:val="18"/>
                <w:szCs w:val="18"/>
              </w:rPr>
              <w:t> </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r>
      <w:tr>
        <w:trPr>
          <w:trHeight w:val="399" w:hRule="exact"/>
        </w:trPr>
        <w:tc>
          <w:tcPr>
            <w:tcW w:w="3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26"/>
              <w:jc w:val="righ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4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1,201,171.22</w:t>
            </w:r>
            <w:r>
              <w:rPr>
                <w:rFonts w:ascii="宋体"/>
                <w:sz w:val="18"/>
              </w:rPr>
              <w:t> </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45,987,684.17 </w:t>
            </w:r>
          </w:p>
        </w:tc>
        <w:tc>
          <w:tcPr>
            <w:tcW w:w="14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45,886,930.67</w:t>
            </w:r>
            <w:r>
              <w:rPr>
                <w:rFonts w:ascii="宋体"/>
                <w:sz w:val="18"/>
              </w:rPr>
              <w:t> </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1,301,924.72</w:t>
            </w:r>
            <w:r>
              <w:rPr>
                <w:rFonts w:ascii="宋体"/>
                <w:sz w:val="18"/>
              </w:rPr>
              <w:t> </w:t>
            </w:r>
          </w:p>
        </w:tc>
      </w:tr>
    </w:tbl>
    <w:p>
      <w:pPr>
        <w:spacing w:line="240" w:lineRule="auto" w:before="7"/>
        <w:rPr>
          <w:rFonts w:ascii="宋体" w:hAnsi="宋体" w:cs="宋体" w:eastAsia="宋体" w:hint="default"/>
          <w:sz w:val="6"/>
          <w:szCs w:val="6"/>
        </w:rPr>
      </w:pPr>
    </w:p>
    <w:p>
      <w:pPr>
        <w:pStyle w:val="Heading3"/>
        <w:spacing w:line="240" w:lineRule="auto"/>
        <w:ind w:left="496" w:right="7673"/>
        <w:jc w:val="left"/>
        <w:rPr>
          <w:rFonts w:ascii="宋体" w:hAnsi="宋体" w:cs="宋体" w:eastAsia="宋体" w:hint="default"/>
          <w:b w:val="0"/>
          <w:bCs w:val="0"/>
        </w:rPr>
      </w:pPr>
      <w:r>
        <w:rPr/>
        <w:t>（二十三）应交税费</w:t>
      </w:r>
      <w:r>
        <w:rPr>
          <w:rFonts w:ascii="宋体" w:hAnsi="宋体" w:cs="宋体" w:eastAsia="宋体" w:hint="default"/>
          <w:w w:val="99"/>
        </w:rPr>
        <w:t> </w:t>
      </w:r>
      <w:r>
        <w:rPr>
          <w:rFonts w:ascii="宋体" w:hAnsi="宋体" w:cs="宋体" w:eastAsia="宋体" w:hint="default"/>
          <w:b w:val="0"/>
          <w:bCs w:val="0"/>
        </w:rPr>
      </w:r>
    </w:p>
    <w:p>
      <w:pPr>
        <w:spacing w:line="240" w:lineRule="auto" w:before="3"/>
        <w:rPr>
          <w:rFonts w:ascii="宋体" w:hAnsi="宋体" w:cs="宋体" w:eastAsia="宋体" w:hint="default"/>
          <w:b/>
          <w:bCs/>
          <w:sz w:val="14"/>
          <w:szCs w:val="14"/>
        </w:rPr>
      </w:pPr>
    </w:p>
    <w:tbl>
      <w:tblPr>
        <w:tblW w:w="0" w:type="auto"/>
        <w:jc w:val="left"/>
        <w:tblInd w:w="218" w:type="dxa"/>
        <w:tblLayout w:type="fixed"/>
        <w:tblCellMar>
          <w:top w:w="0" w:type="dxa"/>
          <w:left w:w="0" w:type="dxa"/>
          <w:bottom w:w="0" w:type="dxa"/>
          <w:right w:w="0" w:type="dxa"/>
        </w:tblCellMar>
        <w:tblLook w:val="01E0"/>
      </w:tblPr>
      <w:tblGrid>
        <w:gridCol w:w="2809"/>
        <w:gridCol w:w="2993"/>
        <w:gridCol w:w="3773"/>
      </w:tblGrid>
      <w:tr>
        <w:trPr>
          <w:trHeight w:val="398" w:hRule="exact"/>
        </w:trPr>
        <w:tc>
          <w:tcPr>
            <w:tcW w:w="2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27"/>
              <w:jc w:val="right"/>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7"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c>
          <w:tcPr>
            <w:tcW w:w="37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 w:right="0"/>
              <w:jc w:val="center"/>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r>
      <w:tr>
        <w:trPr>
          <w:trHeight w:val="396" w:hRule="exact"/>
        </w:trPr>
        <w:tc>
          <w:tcPr>
            <w:tcW w:w="2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增值税</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2"/>
                <w:sz w:val="18"/>
              </w:rPr>
              <w:t> </w:t>
            </w:r>
            <w:r>
              <w:rPr>
                <w:rFonts w:ascii="宋体"/>
                <w:spacing w:val="-1"/>
                <w:sz w:val="18"/>
              </w:rPr>
              <w:t>23,421,920.27</w:t>
            </w:r>
            <w:r>
              <w:rPr>
                <w:rFonts w:ascii="宋体"/>
                <w:sz w:val="18"/>
              </w:rPr>
              <w:t> </w:t>
            </w:r>
          </w:p>
        </w:tc>
        <w:tc>
          <w:tcPr>
            <w:tcW w:w="37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21,217,941.35</w:t>
            </w:r>
            <w:r>
              <w:rPr>
                <w:rFonts w:ascii="宋体"/>
                <w:sz w:val="18"/>
              </w:rPr>
              <w:t> </w:t>
            </w:r>
          </w:p>
        </w:tc>
      </w:tr>
      <w:tr>
        <w:trPr>
          <w:trHeight w:val="398" w:hRule="exact"/>
        </w:trPr>
        <w:tc>
          <w:tcPr>
            <w:tcW w:w="2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城市维护建设税</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1"/>
                <w:sz w:val="18"/>
              </w:rPr>
              <w:t> 1,255,150.88</w:t>
            </w:r>
            <w:r>
              <w:rPr>
                <w:rFonts w:ascii="宋体"/>
                <w:sz w:val="18"/>
              </w:rPr>
              <w:t> </w:t>
            </w:r>
          </w:p>
        </w:tc>
        <w:tc>
          <w:tcPr>
            <w:tcW w:w="37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1,507,256.27</w:t>
            </w:r>
            <w:r>
              <w:rPr>
                <w:rFonts w:ascii="宋体"/>
                <w:sz w:val="18"/>
              </w:rPr>
              <w:t> </w:t>
            </w:r>
          </w:p>
        </w:tc>
      </w:tr>
      <w:tr>
        <w:trPr>
          <w:trHeight w:val="396" w:hRule="exact"/>
        </w:trPr>
        <w:tc>
          <w:tcPr>
            <w:tcW w:w="2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教育费附加</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1"/>
                <w:sz w:val="18"/>
              </w:rPr>
              <w:t> 579,400.97</w:t>
            </w:r>
            <w:r>
              <w:rPr>
                <w:rFonts w:ascii="宋体"/>
                <w:sz w:val="18"/>
              </w:rPr>
              <w:t> </w:t>
            </w:r>
          </w:p>
        </w:tc>
        <w:tc>
          <w:tcPr>
            <w:tcW w:w="37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687,758.95</w:t>
            </w:r>
            <w:r>
              <w:rPr>
                <w:rFonts w:ascii="宋体"/>
                <w:sz w:val="18"/>
              </w:rPr>
              <w:t> </w:t>
            </w:r>
          </w:p>
        </w:tc>
      </w:tr>
      <w:tr>
        <w:trPr>
          <w:trHeight w:val="396" w:hRule="exact"/>
        </w:trPr>
        <w:tc>
          <w:tcPr>
            <w:tcW w:w="2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地方教育费附加</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1"/>
                <w:sz w:val="18"/>
              </w:rPr>
              <w:t> 317,135.72</w:t>
            </w:r>
            <w:r>
              <w:rPr>
                <w:rFonts w:ascii="宋体"/>
                <w:sz w:val="18"/>
              </w:rPr>
              <w:t> </w:t>
            </w:r>
          </w:p>
        </w:tc>
        <w:tc>
          <w:tcPr>
            <w:tcW w:w="37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389,311.49</w:t>
            </w:r>
            <w:r>
              <w:rPr>
                <w:rFonts w:ascii="宋体"/>
                <w:sz w:val="18"/>
              </w:rPr>
              <w:t> </w:t>
            </w:r>
          </w:p>
        </w:tc>
      </w:tr>
      <w:tr>
        <w:trPr>
          <w:trHeight w:val="398" w:hRule="exact"/>
        </w:trPr>
        <w:tc>
          <w:tcPr>
            <w:tcW w:w="2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个人所得税</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1"/>
                <w:sz w:val="18"/>
              </w:rPr>
              <w:t> 1,086,533.97</w:t>
            </w:r>
            <w:r>
              <w:rPr>
                <w:rFonts w:ascii="宋体"/>
                <w:sz w:val="18"/>
              </w:rPr>
              <w:t> </w:t>
            </w:r>
          </w:p>
        </w:tc>
        <w:tc>
          <w:tcPr>
            <w:tcW w:w="37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1,240,327.99</w:t>
            </w:r>
            <w:r>
              <w:rPr>
                <w:rFonts w:ascii="宋体"/>
                <w:sz w:val="18"/>
              </w:rPr>
              <w:t> </w:t>
            </w:r>
          </w:p>
        </w:tc>
      </w:tr>
      <w:tr>
        <w:trPr>
          <w:trHeight w:val="396" w:hRule="exact"/>
        </w:trPr>
        <w:tc>
          <w:tcPr>
            <w:tcW w:w="2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企业所得税</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2"/>
                <w:sz w:val="18"/>
              </w:rPr>
              <w:t> </w:t>
            </w:r>
            <w:r>
              <w:rPr>
                <w:rFonts w:ascii="宋体"/>
                <w:spacing w:val="-1"/>
                <w:sz w:val="18"/>
              </w:rPr>
              <w:t>23,943,825.77</w:t>
            </w:r>
            <w:r>
              <w:rPr>
                <w:rFonts w:ascii="宋体"/>
                <w:sz w:val="18"/>
              </w:rPr>
              <w:t> </w:t>
            </w:r>
          </w:p>
        </w:tc>
        <w:tc>
          <w:tcPr>
            <w:tcW w:w="37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33,735,708.93</w:t>
            </w:r>
            <w:r>
              <w:rPr>
                <w:rFonts w:ascii="宋体"/>
                <w:sz w:val="18"/>
              </w:rPr>
              <w:t> </w:t>
            </w:r>
          </w:p>
        </w:tc>
      </w:tr>
      <w:tr>
        <w:trPr>
          <w:trHeight w:val="399" w:hRule="exact"/>
        </w:trPr>
        <w:tc>
          <w:tcPr>
            <w:tcW w:w="2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其他税费</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1"/>
                <w:sz w:val="18"/>
              </w:rPr>
              <w:t> 536,349.10</w:t>
            </w:r>
            <w:r>
              <w:rPr>
                <w:rFonts w:ascii="宋体"/>
                <w:sz w:val="18"/>
              </w:rPr>
              <w:t> </w:t>
            </w:r>
          </w:p>
        </w:tc>
        <w:tc>
          <w:tcPr>
            <w:tcW w:w="37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846,348.13</w:t>
            </w:r>
            <w:r>
              <w:rPr>
                <w:rFonts w:ascii="宋体"/>
                <w:sz w:val="18"/>
              </w:rPr>
              <w:t> </w:t>
            </w:r>
          </w:p>
        </w:tc>
      </w:tr>
      <w:tr>
        <w:trPr>
          <w:trHeight w:val="396" w:hRule="exact"/>
        </w:trPr>
        <w:tc>
          <w:tcPr>
            <w:tcW w:w="2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27"/>
              <w:jc w:val="righ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2"/>
                <w:sz w:val="18"/>
              </w:rPr>
              <w:t> </w:t>
            </w:r>
            <w:r>
              <w:rPr>
                <w:rFonts w:ascii="宋体"/>
                <w:spacing w:val="-1"/>
                <w:sz w:val="18"/>
              </w:rPr>
              <w:t>51,140,316.68</w:t>
            </w:r>
            <w:r>
              <w:rPr>
                <w:rFonts w:ascii="宋体"/>
                <w:sz w:val="18"/>
              </w:rPr>
              <w:t> </w:t>
            </w:r>
          </w:p>
        </w:tc>
        <w:tc>
          <w:tcPr>
            <w:tcW w:w="37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59,624,653.11</w:t>
            </w:r>
            <w:r>
              <w:rPr>
                <w:rFonts w:ascii="宋体"/>
                <w:sz w:val="18"/>
              </w:rPr>
              <w:t> </w:t>
            </w:r>
          </w:p>
        </w:tc>
      </w:tr>
    </w:tbl>
    <w:p>
      <w:pPr>
        <w:spacing w:line="240" w:lineRule="auto" w:before="7"/>
        <w:rPr>
          <w:rFonts w:ascii="宋体" w:hAnsi="宋体" w:cs="宋体" w:eastAsia="宋体" w:hint="default"/>
          <w:b/>
          <w:bCs/>
          <w:sz w:val="6"/>
          <w:szCs w:val="6"/>
        </w:rPr>
      </w:pPr>
    </w:p>
    <w:p>
      <w:pPr>
        <w:spacing w:line="374" w:lineRule="auto" w:before="36"/>
        <w:ind w:left="563" w:right="7673" w:hanging="68"/>
        <w:jc w:val="left"/>
        <w:rPr>
          <w:rFonts w:ascii="宋体" w:hAnsi="宋体" w:cs="宋体" w:eastAsia="宋体" w:hint="default"/>
          <w:sz w:val="21"/>
          <w:szCs w:val="21"/>
        </w:rPr>
      </w:pPr>
      <w:r>
        <w:rPr>
          <w:rFonts w:ascii="宋体" w:hAnsi="宋体" w:cs="宋体" w:eastAsia="宋体" w:hint="default"/>
          <w:b/>
          <w:bCs/>
          <w:sz w:val="21"/>
          <w:szCs w:val="21"/>
        </w:rPr>
        <w:t>（二十四）其他应付款</w:t>
      </w:r>
      <w:r>
        <w:rPr>
          <w:rFonts w:ascii="宋体" w:hAnsi="宋体" w:cs="宋体" w:eastAsia="宋体" w:hint="default"/>
          <w:b/>
          <w:bCs/>
          <w:w w:val="99"/>
          <w:sz w:val="21"/>
          <w:szCs w:val="21"/>
        </w:rPr>
        <w:t> </w:t>
      </w:r>
      <w:r>
        <w:rPr>
          <w:rFonts w:ascii="宋体" w:hAnsi="宋体" w:cs="宋体" w:eastAsia="宋体" w:hint="default"/>
          <w:sz w:val="21"/>
          <w:szCs w:val="21"/>
        </w:rPr>
        <w:t>1</w:t>
      </w:r>
      <w:r>
        <w:rPr>
          <w:rFonts w:ascii="宋体" w:hAnsi="宋体" w:cs="宋体" w:eastAsia="宋体" w:hint="default"/>
          <w:sz w:val="21"/>
          <w:szCs w:val="21"/>
        </w:rPr>
        <w:t>、项目列示</w:t>
      </w:r>
      <w:r>
        <w:rPr>
          <w:rFonts w:ascii="宋体" w:hAnsi="宋体" w:cs="宋体" w:eastAsia="宋体" w:hint="default"/>
          <w:sz w:val="21"/>
          <w:szCs w:val="21"/>
        </w:rPr>
        <w:t> </w:t>
      </w:r>
    </w:p>
    <w:p>
      <w:pPr>
        <w:spacing w:line="240" w:lineRule="auto" w:before="3"/>
        <w:rPr>
          <w:rFonts w:ascii="宋体" w:hAnsi="宋体" w:cs="宋体" w:eastAsia="宋体" w:hint="default"/>
          <w:sz w:val="5"/>
          <w:szCs w:val="5"/>
        </w:rPr>
      </w:pPr>
    </w:p>
    <w:tbl>
      <w:tblPr>
        <w:tblW w:w="0" w:type="auto"/>
        <w:jc w:val="left"/>
        <w:tblInd w:w="218" w:type="dxa"/>
        <w:tblLayout w:type="fixed"/>
        <w:tblCellMar>
          <w:top w:w="0" w:type="dxa"/>
          <w:left w:w="0" w:type="dxa"/>
          <w:bottom w:w="0" w:type="dxa"/>
          <w:right w:w="0" w:type="dxa"/>
        </w:tblCellMar>
        <w:tblLook w:val="01E0"/>
      </w:tblPr>
      <w:tblGrid>
        <w:gridCol w:w="2809"/>
        <w:gridCol w:w="2993"/>
        <w:gridCol w:w="3759"/>
      </w:tblGrid>
      <w:tr>
        <w:trPr>
          <w:trHeight w:val="398" w:hRule="exact"/>
        </w:trPr>
        <w:tc>
          <w:tcPr>
            <w:tcW w:w="2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27"/>
              <w:jc w:val="right"/>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7"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c>
          <w:tcPr>
            <w:tcW w:w="3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 w:right="0"/>
              <w:jc w:val="center"/>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r>
      <w:tr>
        <w:trPr>
          <w:trHeight w:val="396" w:hRule="exact"/>
        </w:trPr>
        <w:tc>
          <w:tcPr>
            <w:tcW w:w="2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8" w:right="0"/>
              <w:jc w:val="left"/>
              <w:rPr>
                <w:rFonts w:ascii="宋体" w:hAnsi="宋体" w:cs="宋体" w:eastAsia="宋体" w:hint="default"/>
                <w:sz w:val="18"/>
                <w:szCs w:val="18"/>
              </w:rPr>
            </w:pPr>
            <w:r>
              <w:rPr>
                <w:rFonts w:ascii="宋体" w:hAnsi="宋体" w:cs="宋体" w:eastAsia="宋体" w:hint="default"/>
                <w:sz w:val="18"/>
                <w:szCs w:val="18"/>
              </w:rPr>
              <w:t>应付利息</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816,667.91 </w:t>
            </w:r>
          </w:p>
        </w:tc>
        <w:tc>
          <w:tcPr>
            <w:tcW w:w="3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1,243,294.48</w:t>
            </w:r>
            <w:r>
              <w:rPr>
                <w:rFonts w:ascii="宋体"/>
                <w:sz w:val="18"/>
              </w:rPr>
              <w:t> </w:t>
            </w:r>
          </w:p>
        </w:tc>
      </w:tr>
      <w:tr>
        <w:trPr>
          <w:trHeight w:val="396" w:hRule="exact"/>
        </w:trPr>
        <w:tc>
          <w:tcPr>
            <w:tcW w:w="2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8" w:right="0"/>
              <w:jc w:val="left"/>
              <w:rPr>
                <w:rFonts w:ascii="宋体" w:hAnsi="宋体" w:cs="宋体" w:eastAsia="宋体" w:hint="default"/>
                <w:sz w:val="18"/>
                <w:szCs w:val="18"/>
              </w:rPr>
            </w:pPr>
            <w:r>
              <w:rPr>
                <w:rFonts w:ascii="宋体" w:hAnsi="宋体" w:cs="宋体" w:eastAsia="宋体" w:hint="default"/>
                <w:sz w:val="18"/>
                <w:szCs w:val="18"/>
              </w:rPr>
              <w:t>应付股利</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z w:val="18"/>
              </w:rPr>
              <w:t> </w:t>
            </w:r>
            <w:r>
              <w:rPr>
                <w:rFonts w:ascii="宋体"/>
                <w:spacing w:val="-1"/>
                <w:sz w:val="18"/>
              </w:rPr>
              <w:t>874,026.67</w:t>
            </w:r>
            <w:r>
              <w:rPr>
                <w:rFonts w:ascii="宋体"/>
                <w:sz w:val="18"/>
              </w:rPr>
              <w:t> </w:t>
            </w:r>
          </w:p>
        </w:tc>
        <w:tc>
          <w:tcPr>
            <w:tcW w:w="3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874,026.67</w:t>
            </w:r>
            <w:r>
              <w:rPr>
                <w:rFonts w:ascii="宋体"/>
                <w:sz w:val="18"/>
              </w:rPr>
              <w:t> </w:t>
            </w:r>
          </w:p>
        </w:tc>
      </w:tr>
      <w:tr>
        <w:trPr>
          <w:trHeight w:val="398" w:hRule="exact"/>
        </w:trPr>
        <w:tc>
          <w:tcPr>
            <w:tcW w:w="2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z w:val="18"/>
                <w:szCs w:val="18"/>
              </w:rPr>
              <w:t>其他应付款</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1"/>
                <w:sz w:val="18"/>
              </w:rPr>
              <w:t> 390,358,372.82</w:t>
            </w:r>
            <w:r>
              <w:rPr>
                <w:rFonts w:ascii="宋体"/>
                <w:sz w:val="18"/>
              </w:rPr>
              <w:t> </w:t>
            </w:r>
          </w:p>
        </w:tc>
        <w:tc>
          <w:tcPr>
            <w:tcW w:w="3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416,004,157.79 </w:t>
            </w:r>
          </w:p>
        </w:tc>
      </w:tr>
      <w:tr>
        <w:trPr>
          <w:trHeight w:val="397" w:hRule="exact"/>
        </w:trPr>
        <w:tc>
          <w:tcPr>
            <w:tcW w:w="2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27"/>
              <w:jc w:val="righ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392,049,067.40</w:t>
            </w:r>
            <w:r>
              <w:rPr>
                <w:rFonts w:ascii="宋体"/>
                <w:sz w:val="18"/>
              </w:rPr>
              <w:t> </w:t>
            </w:r>
          </w:p>
        </w:tc>
        <w:tc>
          <w:tcPr>
            <w:tcW w:w="3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418,121,478.94 </w:t>
            </w:r>
          </w:p>
        </w:tc>
      </w:tr>
    </w:tbl>
    <w:p>
      <w:pPr>
        <w:spacing w:line="240" w:lineRule="auto" w:before="7"/>
        <w:rPr>
          <w:rFonts w:ascii="宋体" w:hAnsi="宋体" w:cs="宋体" w:eastAsia="宋体" w:hint="default"/>
          <w:sz w:val="6"/>
          <w:szCs w:val="6"/>
        </w:rPr>
      </w:pPr>
    </w:p>
    <w:p>
      <w:pPr>
        <w:pStyle w:val="BodyText"/>
        <w:spacing w:line="240" w:lineRule="auto" w:before="36"/>
        <w:ind w:left="563" w:right="7673"/>
        <w:jc w:val="left"/>
        <w:rPr>
          <w:rFonts w:ascii="宋体" w:hAnsi="宋体" w:cs="宋体" w:eastAsia="宋体" w:hint="default"/>
        </w:rPr>
      </w:pPr>
      <w:r>
        <w:rPr>
          <w:rFonts w:ascii="宋体" w:hAnsi="宋体" w:cs="宋体" w:eastAsia="宋体" w:hint="default"/>
        </w:rPr>
        <w:t>2</w:t>
      </w:r>
      <w:r>
        <w:rPr/>
        <w:t>、应付利息</w:t>
      </w:r>
      <w:r>
        <w:rPr>
          <w:rFonts w:ascii="宋体" w:hAnsi="宋体" w:cs="宋体" w:eastAsia="宋体" w:hint="default"/>
        </w:rPr>
        <w:t> </w:t>
      </w:r>
    </w:p>
    <w:p>
      <w:pPr>
        <w:pStyle w:val="BodyText"/>
        <w:spacing w:line="240" w:lineRule="auto" w:before="154"/>
        <w:ind w:left="354" w:right="7673"/>
        <w:jc w:val="left"/>
        <w:rPr>
          <w:rFonts w:ascii="宋体" w:hAnsi="宋体" w:cs="宋体" w:eastAsia="宋体" w:hint="default"/>
        </w:rPr>
      </w:pPr>
      <w:r>
        <w:rPr/>
        <w:t>（</w:t>
      </w:r>
      <w:r>
        <w:rPr>
          <w:rFonts w:ascii="宋体" w:hAnsi="宋体" w:cs="宋体" w:eastAsia="宋体" w:hint="default"/>
        </w:rPr>
        <w:t>1</w:t>
      </w:r>
      <w:r>
        <w:rPr/>
        <w:t>）分类列示</w:t>
      </w:r>
      <w:r>
        <w:rPr>
          <w:rFonts w:ascii="宋体" w:hAnsi="宋体" w:cs="宋体" w:eastAsia="宋体" w:hint="default"/>
        </w:rPr>
        <w:t> </w:t>
      </w:r>
    </w:p>
    <w:p>
      <w:pPr>
        <w:spacing w:line="240" w:lineRule="auto" w:before="3"/>
        <w:rPr>
          <w:rFonts w:ascii="宋体" w:hAnsi="宋体" w:cs="宋体" w:eastAsia="宋体" w:hint="default"/>
          <w:sz w:val="14"/>
          <w:szCs w:val="14"/>
        </w:rPr>
      </w:pPr>
    </w:p>
    <w:tbl>
      <w:tblPr>
        <w:tblW w:w="0" w:type="auto"/>
        <w:jc w:val="left"/>
        <w:tblInd w:w="218" w:type="dxa"/>
        <w:tblLayout w:type="fixed"/>
        <w:tblCellMar>
          <w:top w:w="0" w:type="dxa"/>
          <w:left w:w="0" w:type="dxa"/>
          <w:bottom w:w="0" w:type="dxa"/>
          <w:right w:w="0" w:type="dxa"/>
        </w:tblCellMar>
        <w:tblLook w:val="01E0"/>
      </w:tblPr>
      <w:tblGrid>
        <w:gridCol w:w="3082"/>
        <w:gridCol w:w="2720"/>
        <w:gridCol w:w="3785"/>
      </w:tblGrid>
      <w:tr>
        <w:trPr>
          <w:trHeight w:val="398" w:hRule="exact"/>
        </w:trPr>
        <w:tc>
          <w:tcPr>
            <w:tcW w:w="3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2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7"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c>
          <w:tcPr>
            <w:tcW w:w="3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2" w:right="0"/>
              <w:jc w:val="center"/>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r>
      <w:tr>
        <w:trPr>
          <w:trHeight w:val="396" w:hRule="exact"/>
        </w:trPr>
        <w:tc>
          <w:tcPr>
            <w:tcW w:w="3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8" w:right="0"/>
              <w:jc w:val="left"/>
              <w:rPr>
                <w:rFonts w:ascii="宋体" w:hAnsi="宋体" w:cs="宋体" w:eastAsia="宋体" w:hint="default"/>
                <w:sz w:val="18"/>
                <w:szCs w:val="18"/>
              </w:rPr>
            </w:pPr>
            <w:r>
              <w:rPr>
                <w:rFonts w:ascii="宋体" w:hAnsi="宋体" w:cs="宋体" w:eastAsia="宋体" w:hint="default"/>
                <w:sz w:val="18"/>
                <w:szCs w:val="18"/>
              </w:rPr>
              <w:t>分期付息到期还本的长期借款利息</w:t>
            </w:r>
            <w:r>
              <w:rPr>
                <w:rFonts w:ascii="宋体" w:hAnsi="宋体" w:cs="宋体" w:eastAsia="宋体" w:hint="default"/>
                <w:sz w:val="18"/>
                <w:szCs w:val="18"/>
              </w:rPr>
              <w:t> </w:t>
            </w:r>
          </w:p>
        </w:tc>
        <w:tc>
          <w:tcPr>
            <w:tcW w:w="2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706" w:right="0"/>
              <w:jc w:val="left"/>
              <w:rPr>
                <w:rFonts w:ascii="宋体" w:hAnsi="宋体" w:cs="宋体" w:eastAsia="宋体" w:hint="default"/>
                <w:sz w:val="18"/>
                <w:szCs w:val="18"/>
              </w:rPr>
            </w:pPr>
            <w:r>
              <w:rPr>
                <w:rFonts w:ascii="宋体"/>
                <w:sz w:val="18"/>
              </w:rPr>
              <w:t>447,081.70 </w:t>
            </w:r>
          </w:p>
        </w:tc>
        <w:tc>
          <w:tcPr>
            <w:tcW w:w="3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504,929.75</w:t>
            </w:r>
            <w:r>
              <w:rPr>
                <w:rFonts w:ascii="宋体"/>
                <w:sz w:val="18"/>
              </w:rPr>
              <w:t> </w:t>
            </w:r>
          </w:p>
        </w:tc>
      </w:tr>
    </w:tbl>
    <w:p>
      <w:pPr>
        <w:spacing w:after="0" w:line="240" w:lineRule="auto"/>
        <w:jc w:val="right"/>
        <w:rPr>
          <w:rFonts w:ascii="宋体" w:hAnsi="宋体" w:cs="宋体" w:eastAsia="宋体" w:hint="default"/>
          <w:sz w:val="18"/>
          <w:szCs w:val="18"/>
        </w:rPr>
        <w:sectPr>
          <w:pgSz w:w="11910" w:h="16840"/>
          <w:pgMar w:header="880" w:footer="975" w:top="1100" w:bottom="1160" w:left="1160" w:right="0"/>
        </w:sectPr>
      </w:pPr>
    </w:p>
    <w:p>
      <w:pPr>
        <w:spacing w:line="240" w:lineRule="auto" w:before="8"/>
        <w:rPr>
          <w:rFonts w:ascii="宋体" w:hAnsi="宋体" w:cs="宋体" w:eastAsia="宋体" w:hint="default"/>
          <w:sz w:val="24"/>
          <w:szCs w:val="24"/>
        </w:rPr>
      </w:pPr>
    </w:p>
    <w:tbl>
      <w:tblPr>
        <w:tblW w:w="0" w:type="auto"/>
        <w:jc w:val="left"/>
        <w:tblInd w:w="218" w:type="dxa"/>
        <w:tblLayout w:type="fixed"/>
        <w:tblCellMar>
          <w:top w:w="0" w:type="dxa"/>
          <w:left w:w="0" w:type="dxa"/>
          <w:bottom w:w="0" w:type="dxa"/>
          <w:right w:w="0" w:type="dxa"/>
        </w:tblCellMar>
        <w:tblLook w:val="01E0"/>
      </w:tblPr>
      <w:tblGrid>
        <w:gridCol w:w="3082"/>
        <w:gridCol w:w="2720"/>
        <w:gridCol w:w="3785"/>
      </w:tblGrid>
      <w:tr>
        <w:trPr>
          <w:trHeight w:val="396" w:hRule="exact"/>
        </w:trPr>
        <w:tc>
          <w:tcPr>
            <w:tcW w:w="3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64"/>
              <w:jc w:val="right"/>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2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7"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c>
          <w:tcPr>
            <w:tcW w:w="3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2" w:right="0"/>
              <w:jc w:val="center"/>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r>
      <w:tr>
        <w:trPr>
          <w:trHeight w:val="399" w:hRule="exact"/>
        </w:trPr>
        <w:tc>
          <w:tcPr>
            <w:tcW w:w="3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8" w:right="0"/>
              <w:jc w:val="left"/>
              <w:rPr>
                <w:rFonts w:ascii="宋体" w:hAnsi="宋体" w:cs="宋体" w:eastAsia="宋体" w:hint="default"/>
                <w:sz w:val="18"/>
                <w:szCs w:val="18"/>
              </w:rPr>
            </w:pPr>
            <w:r>
              <w:rPr>
                <w:rFonts w:ascii="宋体" w:hAnsi="宋体" w:cs="宋体" w:eastAsia="宋体" w:hint="default"/>
                <w:sz w:val="18"/>
                <w:szCs w:val="18"/>
              </w:rPr>
              <w:t>短期借款应付利息</w:t>
            </w:r>
            <w:r>
              <w:rPr>
                <w:rFonts w:ascii="宋体" w:hAnsi="宋体" w:cs="宋体" w:eastAsia="宋体" w:hint="default"/>
                <w:sz w:val="18"/>
                <w:szCs w:val="18"/>
              </w:rPr>
              <w:t> </w:t>
            </w:r>
          </w:p>
        </w:tc>
        <w:tc>
          <w:tcPr>
            <w:tcW w:w="2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369,586.21 </w:t>
            </w:r>
          </w:p>
        </w:tc>
        <w:tc>
          <w:tcPr>
            <w:tcW w:w="3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738,364.73</w:t>
            </w:r>
            <w:r>
              <w:rPr>
                <w:rFonts w:ascii="宋体"/>
                <w:sz w:val="18"/>
              </w:rPr>
              <w:t> </w:t>
            </w:r>
          </w:p>
        </w:tc>
      </w:tr>
      <w:tr>
        <w:trPr>
          <w:trHeight w:val="396" w:hRule="exact"/>
        </w:trPr>
        <w:tc>
          <w:tcPr>
            <w:tcW w:w="30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64"/>
              <w:jc w:val="righ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2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816,667.91 </w:t>
            </w:r>
          </w:p>
        </w:tc>
        <w:tc>
          <w:tcPr>
            <w:tcW w:w="3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1,243,294.48</w:t>
            </w:r>
            <w:r>
              <w:rPr>
                <w:rFonts w:ascii="宋体"/>
                <w:sz w:val="18"/>
              </w:rPr>
              <w:t> </w:t>
            </w:r>
          </w:p>
        </w:tc>
      </w:tr>
    </w:tbl>
    <w:p>
      <w:pPr>
        <w:spacing w:line="240" w:lineRule="auto" w:before="7"/>
        <w:rPr>
          <w:rFonts w:ascii="宋体" w:hAnsi="宋体" w:cs="宋体" w:eastAsia="宋体" w:hint="default"/>
          <w:sz w:val="6"/>
          <w:szCs w:val="6"/>
        </w:rPr>
      </w:pPr>
    </w:p>
    <w:p>
      <w:pPr>
        <w:pStyle w:val="BodyText"/>
        <w:spacing w:line="240" w:lineRule="auto" w:before="36"/>
        <w:ind w:left="563" w:right="7673"/>
        <w:jc w:val="left"/>
        <w:rPr>
          <w:rFonts w:ascii="宋体" w:hAnsi="宋体" w:cs="宋体" w:eastAsia="宋体" w:hint="default"/>
        </w:rPr>
      </w:pPr>
      <w:r>
        <w:rPr>
          <w:rFonts w:ascii="宋体" w:hAnsi="宋体" w:cs="宋体" w:eastAsia="宋体" w:hint="default"/>
        </w:rPr>
        <w:t>3</w:t>
      </w:r>
      <w:r>
        <w:rPr/>
        <w:t>、应付股利</w:t>
      </w:r>
      <w:r>
        <w:rPr>
          <w:rFonts w:ascii="宋体" w:hAnsi="宋体" w:cs="宋体" w:eastAsia="宋体" w:hint="default"/>
        </w:rPr>
        <w:t> </w:t>
      </w:r>
    </w:p>
    <w:p>
      <w:pPr>
        <w:pStyle w:val="BodyText"/>
        <w:spacing w:line="240" w:lineRule="auto" w:before="154"/>
        <w:ind w:left="354" w:right="7673"/>
        <w:jc w:val="left"/>
        <w:rPr>
          <w:rFonts w:ascii="宋体" w:hAnsi="宋体" w:cs="宋体" w:eastAsia="宋体" w:hint="default"/>
        </w:rPr>
      </w:pPr>
      <w:r>
        <w:rPr/>
        <w:t>（</w:t>
      </w:r>
      <w:r>
        <w:rPr>
          <w:rFonts w:ascii="宋体" w:hAnsi="宋体" w:cs="宋体" w:eastAsia="宋体" w:hint="default"/>
        </w:rPr>
        <w:t>1</w:t>
      </w:r>
      <w:r>
        <w:rPr/>
        <w:t>）分类列示</w:t>
      </w:r>
      <w:r>
        <w:rPr>
          <w:rFonts w:ascii="宋体" w:hAnsi="宋体" w:cs="宋体" w:eastAsia="宋体" w:hint="default"/>
        </w:rPr>
        <w:t> </w:t>
      </w:r>
    </w:p>
    <w:p>
      <w:pPr>
        <w:spacing w:line="240" w:lineRule="auto" w:before="3"/>
        <w:rPr>
          <w:rFonts w:ascii="宋体" w:hAnsi="宋体" w:cs="宋体" w:eastAsia="宋体" w:hint="default"/>
          <w:sz w:val="14"/>
          <w:szCs w:val="14"/>
        </w:rPr>
      </w:pPr>
    </w:p>
    <w:tbl>
      <w:tblPr>
        <w:tblW w:w="0" w:type="auto"/>
        <w:jc w:val="left"/>
        <w:tblInd w:w="164" w:type="dxa"/>
        <w:tblLayout w:type="fixed"/>
        <w:tblCellMar>
          <w:top w:w="0" w:type="dxa"/>
          <w:left w:w="0" w:type="dxa"/>
          <w:bottom w:w="0" w:type="dxa"/>
          <w:right w:w="0" w:type="dxa"/>
        </w:tblCellMar>
        <w:tblLook w:val="01E0"/>
      </w:tblPr>
      <w:tblGrid>
        <w:gridCol w:w="2862"/>
        <w:gridCol w:w="2993"/>
        <w:gridCol w:w="3788"/>
      </w:tblGrid>
      <w:tr>
        <w:trPr>
          <w:trHeight w:val="398" w:hRule="exact"/>
        </w:trPr>
        <w:tc>
          <w:tcPr>
            <w:tcW w:w="2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54"/>
              <w:jc w:val="right"/>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7"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c>
          <w:tcPr>
            <w:tcW w:w="3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 w:right="0"/>
              <w:jc w:val="center"/>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r>
      <w:tr>
        <w:trPr>
          <w:trHeight w:val="396" w:hRule="exact"/>
        </w:trPr>
        <w:tc>
          <w:tcPr>
            <w:tcW w:w="2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普通股股利</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874,026.67 </w:t>
            </w:r>
          </w:p>
        </w:tc>
        <w:tc>
          <w:tcPr>
            <w:tcW w:w="3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874,026.67</w:t>
            </w:r>
            <w:r>
              <w:rPr>
                <w:rFonts w:ascii="宋体"/>
                <w:sz w:val="18"/>
              </w:rPr>
              <w:t> </w:t>
            </w:r>
          </w:p>
        </w:tc>
      </w:tr>
      <w:tr>
        <w:trPr>
          <w:trHeight w:val="398" w:hRule="exact"/>
        </w:trPr>
        <w:tc>
          <w:tcPr>
            <w:tcW w:w="28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54"/>
              <w:jc w:val="righ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874,026.67 </w:t>
            </w:r>
          </w:p>
        </w:tc>
        <w:tc>
          <w:tcPr>
            <w:tcW w:w="3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874,026.67</w:t>
            </w:r>
            <w:r>
              <w:rPr>
                <w:rFonts w:ascii="宋体"/>
                <w:sz w:val="18"/>
              </w:rPr>
              <w:t> </w:t>
            </w:r>
          </w:p>
        </w:tc>
      </w:tr>
    </w:tbl>
    <w:p>
      <w:pPr>
        <w:spacing w:line="240" w:lineRule="auto" w:before="7"/>
        <w:rPr>
          <w:rFonts w:ascii="宋体" w:hAnsi="宋体" w:cs="宋体" w:eastAsia="宋体" w:hint="default"/>
          <w:sz w:val="6"/>
          <w:szCs w:val="6"/>
        </w:rPr>
      </w:pPr>
    </w:p>
    <w:p>
      <w:pPr>
        <w:pStyle w:val="BodyText"/>
        <w:spacing w:line="240" w:lineRule="auto" w:before="36"/>
        <w:ind w:left="563" w:right="7673"/>
        <w:jc w:val="left"/>
        <w:rPr>
          <w:rFonts w:ascii="宋体" w:hAnsi="宋体" w:cs="宋体" w:eastAsia="宋体" w:hint="default"/>
        </w:rPr>
      </w:pPr>
      <w:r>
        <w:rPr>
          <w:rFonts w:ascii="宋体" w:hAnsi="宋体" w:cs="宋体" w:eastAsia="宋体" w:hint="default"/>
        </w:rPr>
        <w:t>4</w:t>
      </w:r>
      <w:r>
        <w:rPr/>
        <w:t>、其他应付款</w:t>
      </w:r>
      <w:r>
        <w:rPr>
          <w:rFonts w:ascii="宋体" w:hAnsi="宋体" w:cs="宋体" w:eastAsia="宋体" w:hint="default"/>
        </w:rPr>
        <w:t> </w:t>
      </w:r>
    </w:p>
    <w:p>
      <w:pPr>
        <w:pStyle w:val="BodyText"/>
        <w:spacing w:line="240" w:lineRule="auto" w:before="152"/>
        <w:ind w:left="563" w:right="1146"/>
        <w:jc w:val="left"/>
        <w:rPr>
          <w:rFonts w:ascii="宋体" w:hAnsi="宋体" w:cs="宋体" w:eastAsia="宋体" w:hint="default"/>
        </w:rPr>
      </w:pPr>
      <w:r>
        <w:rPr/>
        <w:t>（</w:t>
      </w:r>
      <w:r>
        <w:rPr>
          <w:rFonts w:ascii="宋体" w:hAnsi="宋体" w:cs="宋体" w:eastAsia="宋体" w:hint="default"/>
        </w:rPr>
        <w:t>1</w:t>
      </w:r>
      <w:r>
        <w:rPr/>
        <w:t>）按款项性质列示其他应付款</w:t>
      </w:r>
      <w:r>
        <w:rPr>
          <w:rFonts w:ascii="宋体" w:hAnsi="宋体" w:cs="宋体" w:eastAsia="宋体" w:hint="default"/>
        </w:rPr>
        <w:t> </w:t>
      </w:r>
    </w:p>
    <w:p>
      <w:pPr>
        <w:spacing w:line="240" w:lineRule="auto" w:before="6"/>
        <w:rPr>
          <w:rFonts w:ascii="宋体" w:hAnsi="宋体" w:cs="宋体" w:eastAsia="宋体" w:hint="default"/>
          <w:sz w:val="14"/>
          <w:szCs w:val="14"/>
        </w:rPr>
      </w:pPr>
    </w:p>
    <w:tbl>
      <w:tblPr>
        <w:tblW w:w="0" w:type="auto"/>
        <w:jc w:val="left"/>
        <w:tblInd w:w="189" w:type="dxa"/>
        <w:tblLayout w:type="fixed"/>
        <w:tblCellMar>
          <w:top w:w="0" w:type="dxa"/>
          <w:left w:w="0" w:type="dxa"/>
          <w:bottom w:w="0" w:type="dxa"/>
          <w:right w:w="0" w:type="dxa"/>
        </w:tblCellMar>
        <w:tblLook w:val="01E0"/>
      </w:tblPr>
      <w:tblGrid>
        <w:gridCol w:w="2833"/>
        <w:gridCol w:w="2993"/>
        <w:gridCol w:w="3773"/>
      </w:tblGrid>
      <w:tr>
        <w:trPr>
          <w:trHeight w:val="396" w:hRule="exact"/>
        </w:trPr>
        <w:tc>
          <w:tcPr>
            <w:tcW w:w="28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4"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1"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c>
          <w:tcPr>
            <w:tcW w:w="37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4" w:right="0"/>
              <w:jc w:val="center"/>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r>
      <w:tr>
        <w:trPr>
          <w:trHeight w:val="398" w:hRule="exact"/>
        </w:trPr>
        <w:tc>
          <w:tcPr>
            <w:tcW w:w="28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供应商保证金</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z w:val="18"/>
              </w:rPr>
              <w:t> </w:t>
            </w:r>
            <w:r>
              <w:rPr>
                <w:rFonts w:ascii="宋体"/>
                <w:spacing w:val="-1"/>
                <w:sz w:val="18"/>
              </w:rPr>
              <w:t>8,821,790.39</w:t>
            </w:r>
            <w:r>
              <w:rPr>
                <w:rFonts w:ascii="宋体"/>
                <w:sz w:val="18"/>
              </w:rPr>
              <w:t> </w:t>
            </w:r>
          </w:p>
        </w:tc>
        <w:tc>
          <w:tcPr>
            <w:tcW w:w="37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12,332,953.81</w:t>
            </w:r>
            <w:r>
              <w:rPr>
                <w:rFonts w:ascii="宋体"/>
                <w:sz w:val="18"/>
              </w:rPr>
              <w:t> </w:t>
            </w:r>
          </w:p>
        </w:tc>
      </w:tr>
      <w:tr>
        <w:trPr>
          <w:trHeight w:val="396" w:hRule="exact"/>
        </w:trPr>
        <w:tc>
          <w:tcPr>
            <w:tcW w:w="28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5" w:right="0"/>
              <w:jc w:val="left"/>
              <w:rPr>
                <w:rFonts w:ascii="宋体" w:hAnsi="宋体" w:cs="宋体" w:eastAsia="宋体" w:hint="default"/>
                <w:sz w:val="18"/>
                <w:szCs w:val="18"/>
              </w:rPr>
            </w:pPr>
            <w:r>
              <w:rPr>
                <w:rFonts w:ascii="宋体" w:hAnsi="宋体" w:cs="宋体" w:eastAsia="宋体" w:hint="default"/>
                <w:sz w:val="18"/>
                <w:szCs w:val="18"/>
              </w:rPr>
              <w:t>往来款项及其他</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9"/>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2"/>
                <w:sz w:val="18"/>
              </w:rPr>
              <w:t> </w:t>
            </w:r>
            <w:r>
              <w:rPr>
                <w:rFonts w:ascii="宋体"/>
                <w:spacing w:val="-1"/>
                <w:sz w:val="18"/>
              </w:rPr>
              <w:t>28,223,862.43</w:t>
            </w:r>
            <w:r>
              <w:rPr>
                <w:rFonts w:ascii="宋体"/>
                <w:sz w:val="18"/>
              </w:rPr>
              <w:t> </w:t>
            </w:r>
          </w:p>
        </w:tc>
        <w:tc>
          <w:tcPr>
            <w:tcW w:w="37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26,271,203.98</w:t>
            </w:r>
            <w:r>
              <w:rPr>
                <w:rFonts w:ascii="宋体"/>
                <w:sz w:val="18"/>
              </w:rPr>
              <w:t> </w:t>
            </w:r>
          </w:p>
        </w:tc>
      </w:tr>
      <w:tr>
        <w:trPr>
          <w:trHeight w:val="396" w:hRule="exact"/>
        </w:trPr>
        <w:tc>
          <w:tcPr>
            <w:tcW w:w="28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资产重组股权转让款</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z w:val="18"/>
              </w:rPr>
              <w:t> </w:t>
            </w:r>
            <w:r>
              <w:rPr>
                <w:rFonts w:ascii="宋体"/>
                <w:spacing w:val="-1"/>
                <w:sz w:val="18"/>
              </w:rPr>
              <w:t>353,312,720.00</w:t>
            </w:r>
            <w:r>
              <w:rPr>
                <w:rFonts w:ascii="宋体"/>
                <w:sz w:val="18"/>
              </w:rPr>
              <w:t> </w:t>
            </w:r>
          </w:p>
        </w:tc>
        <w:tc>
          <w:tcPr>
            <w:tcW w:w="37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377,400,000.00 </w:t>
            </w:r>
          </w:p>
        </w:tc>
      </w:tr>
      <w:tr>
        <w:trPr>
          <w:trHeight w:val="398" w:hRule="exact"/>
        </w:trPr>
        <w:tc>
          <w:tcPr>
            <w:tcW w:w="28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4"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z w:val="18"/>
              </w:rPr>
              <w:t> </w:t>
            </w:r>
            <w:r>
              <w:rPr>
                <w:rFonts w:ascii="宋体"/>
                <w:spacing w:val="-1"/>
                <w:sz w:val="18"/>
              </w:rPr>
              <w:t>390,358,372.82</w:t>
            </w:r>
            <w:r>
              <w:rPr>
                <w:rFonts w:ascii="宋体"/>
                <w:sz w:val="18"/>
              </w:rPr>
              <w:t> </w:t>
            </w:r>
          </w:p>
        </w:tc>
        <w:tc>
          <w:tcPr>
            <w:tcW w:w="37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416,004,157.79 </w:t>
            </w:r>
          </w:p>
        </w:tc>
      </w:tr>
    </w:tbl>
    <w:p>
      <w:pPr>
        <w:spacing w:line="240" w:lineRule="auto" w:before="7"/>
        <w:rPr>
          <w:rFonts w:ascii="宋体" w:hAnsi="宋体" w:cs="宋体" w:eastAsia="宋体" w:hint="default"/>
          <w:sz w:val="6"/>
          <w:szCs w:val="6"/>
        </w:rPr>
      </w:pPr>
    </w:p>
    <w:p>
      <w:pPr>
        <w:pStyle w:val="BodyText"/>
        <w:spacing w:line="240" w:lineRule="auto" w:before="36"/>
        <w:ind w:left="563" w:right="1146"/>
        <w:jc w:val="left"/>
        <w:rPr>
          <w:rFonts w:ascii="宋体" w:hAnsi="宋体" w:cs="宋体" w:eastAsia="宋体" w:hint="default"/>
        </w:rPr>
      </w:pPr>
      <w:r>
        <w:rPr/>
        <w:t>（</w:t>
      </w:r>
      <w:r>
        <w:rPr>
          <w:rFonts w:ascii="宋体" w:hAnsi="宋体" w:cs="宋体" w:eastAsia="宋体" w:hint="default"/>
        </w:rPr>
        <w:t>2</w:t>
      </w:r>
      <w:r>
        <w:rPr/>
        <w:t>）账龄超过</w:t>
      </w:r>
      <w:r>
        <w:rPr>
          <w:spacing w:val="-57"/>
        </w:rPr>
        <w:t> </w:t>
      </w:r>
      <w:r>
        <w:rPr>
          <w:rFonts w:ascii="宋体" w:hAnsi="宋体" w:cs="宋体" w:eastAsia="宋体" w:hint="default"/>
        </w:rPr>
        <w:t>1</w:t>
      </w:r>
      <w:r>
        <w:rPr>
          <w:rFonts w:ascii="宋体" w:hAnsi="宋体" w:cs="宋体" w:eastAsia="宋体" w:hint="default"/>
          <w:spacing w:val="-55"/>
        </w:rPr>
        <w:t> </w:t>
      </w:r>
      <w:r>
        <w:rPr/>
        <w:t>年的重要其他应付款</w:t>
      </w:r>
      <w:r>
        <w:rPr>
          <w:rFonts w:ascii="宋体" w:hAnsi="宋体" w:cs="宋体" w:eastAsia="宋体" w:hint="default"/>
        </w:rPr>
        <w:t> </w:t>
      </w:r>
    </w:p>
    <w:p>
      <w:pPr>
        <w:spacing w:line="240" w:lineRule="auto" w:before="3"/>
        <w:rPr>
          <w:rFonts w:ascii="宋体" w:hAnsi="宋体" w:cs="宋体" w:eastAsia="宋体" w:hint="default"/>
          <w:sz w:val="14"/>
          <w:szCs w:val="14"/>
        </w:rPr>
      </w:pPr>
    </w:p>
    <w:tbl>
      <w:tblPr>
        <w:tblW w:w="0" w:type="auto"/>
        <w:jc w:val="left"/>
        <w:tblInd w:w="206" w:type="dxa"/>
        <w:tblLayout w:type="fixed"/>
        <w:tblCellMar>
          <w:top w:w="0" w:type="dxa"/>
          <w:left w:w="0" w:type="dxa"/>
          <w:bottom w:w="0" w:type="dxa"/>
          <w:right w:w="0" w:type="dxa"/>
        </w:tblCellMar>
        <w:tblLook w:val="01E0"/>
      </w:tblPr>
      <w:tblGrid>
        <w:gridCol w:w="4390"/>
        <w:gridCol w:w="2264"/>
        <w:gridCol w:w="2945"/>
      </w:tblGrid>
      <w:tr>
        <w:trPr>
          <w:trHeight w:val="398" w:hRule="exact"/>
        </w:trPr>
        <w:tc>
          <w:tcPr>
            <w:tcW w:w="4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6"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765"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c>
          <w:tcPr>
            <w:tcW w:w="29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 w:right="0"/>
              <w:jc w:val="center"/>
              <w:rPr>
                <w:rFonts w:ascii="宋体" w:hAnsi="宋体" w:cs="宋体" w:eastAsia="宋体" w:hint="default"/>
                <w:sz w:val="18"/>
                <w:szCs w:val="18"/>
              </w:rPr>
            </w:pPr>
            <w:r>
              <w:rPr>
                <w:rFonts w:ascii="宋体" w:hAnsi="宋体" w:cs="宋体" w:eastAsia="宋体" w:hint="default"/>
                <w:sz w:val="18"/>
                <w:szCs w:val="18"/>
              </w:rPr>
              <w:t>未偿还或结转的原因</w:t>
            </w:r>
            <w:r>
              <w:rPr>
                <w:rFonts w:ascii="宋体" w:hAnsi="宋体" w:cs="宋体" w:eastAsia="宋体" w:hint="default"/>
                <w:sz w:val="18"/>
                <w:szCs w:val="18"/>
              </w:rPr>
              <w:t> </w:t>
            </w:r>
          </w:p>
        </w:tc>
      </w:tr>
      <w:tr>
        <w:trPr>
          <w:trHeight w:val="396" w:hRule="exact"/>
        </w:trPr>
        <w:tc>
          <w:tcPr>
            <w:tcW w:w="4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刘大勇</w:t>
            </w:r>
            <w:r>
              <w:rPr>
                <w:rFonts w:ascii="宋体" w:hAnsi="宋体" w:cs="宋体" w:eastAsia="宋体" w:hint="default"/>
                <w:spacing w:val="-2"/>
                <w:sz w:val="18"/>
                <w:szCs w:val="18"/>
              </w:rPr>
              <w:t> </w:t>
            </w:r>
            <w:r>
              <w:rPr>
                <w:rFonts w:ascii="宋体" w:hAnsi="宋体" w:cs="宋体" w:eastAsia="宋体" w:hint="default"/>
                <w:sz w:val="18"/>
                <w:szCs w:val="18"/>
              </w:rPr>
              <w:t> </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2"/>
                <w:sz w:val="18"/>
              </w:rPr>
              <w:t> </w:t>
            </w:r>
            <w:r>
              <w:rPr>
                <w:rFonts w:ascii="宋体"/>
                <w:spacing w:val="-1"/>
                <w:sz w:val="18"/>
              </w:rPr>
              <w:t>600,000.00</w:t>
            </w:r>
            <w:r>
              <w:rPr>
                <w:rFonts w:ascii="宋体"/>
                <w:sz w:val="18"/>
              </w:rPr>
              <w:t> </w:t>
            </w:r>
          </w:p>
        </w:tc>
        <w:tc>
          <w:tcPr>
            <w:tcW w:w="29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78" w:right="0"/>
              <w:jc w:val="center"/>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未到结算期</w:t>
            </w:r>
            <w:r>
              <w:rPr>
                <w:rFonts w:ascii="宋体" w:hAnsi="宋体" w:cs="宋体" w:eastAsia="宋体" w:hint="default"/>
                <w:spacing w:val="-2"/>
                <w:sz w:val="18"/>
                <w:szCs w:val="18"/>
              </w:rPr>
              <w:t> </w:t>
            </w:r>
            <w:r>
              <w:rPr>
                <w:rFonts w:ascii="宋体" w:hAnsi="宋体" w:cs="宋体" w:eastAsia="宋体" w:hint="default"/>
                <w:sz w:val="18"/>
                <w:szCs w:val="18"/>
              </w:rPr>
              <w:t> </w:t>
            </w:r>
          </w:p>
        </w:tc>
      </w:tr>
      <w:tr>
        <w:trPr>
          <w:trHeight w:val="399" w:hRule="exact"/>
        </w:trPr>
        <w:tc>
          <w:tcPr>
            <w:tcW w:w="4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河南振兴建设工程集团有限公司</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2"/>
                <w:sz w:val="18"/>
              </w:rPr>
              <w:t> </w:t>
            </w:r>
            <w:r>
              <w:rPr>
                <w:rFonts w:ascii="宋体"/>
                <w:spacing w:val="-1"/>
                <w:sz w:val="18"/>
              </w:rPr>
              <w:t>500,000.00</w:t>
            </w:r>
            <w:r>
              <w:rPr>
                <w:rFonts w:ascii="宋体"/>
                <w:sz w:val="18"/>
              </w:rPr>
              <w:t> </w:t>
            </w:r>
          </w:p>
        </w:tc>
        <w:tc>
          <w:tcPr>
            <w:tcW w:w="29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78" w:right="0"/>
              <w:jc w:val="center"/>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未到结算期</w:t>
            </w:r>
            <w:r>
              <w:rPr>
                <w:rFonts w:ascii="宋体" w:hAnsi="宋体" w:cs="宋体" w:eastAsia="宋体" w:hint="default"/>
                <w:spacing w:val="-2"/>
                <w:sz w:val="18"/>
                <w:szCs w:val="18"/>
              </w:rPr>
              <w:t> </w:t>
            </w:r>
            <w:r>
              <w:rPr>
                <w:rFonts w:ascii="宋体" w:hAnsi="宋体" w:cs="宋体" w:eastAsia="宋体" w:hint="default"/>
                <w:sz w:val="18"/>
                <w:szCs w:val="18"/>
              </w:rPr>
              <w:t> </w:t>
            </w:r>
          </w:p>
        </w:tc>
      </w:tr>
      <w:tr>
        <w:trPr>
          <w:trHeight w:val="396" w:hRule="exact"/>
        </w:trPr>
        <w:tc>
          <w:tcPr>
            <w:tcW w:w="4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贵州博皓通信技术服务有限公司</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2"/>
                <w:sz w:val="18"/>
              </w:rPr>
              <w:t> </w:t>
            </w:r>
            <w:r>
              <w:rPr>
                <w:rFonts w:ascii="宋体"/>
                <w:spacing w:val="-1"/>
                <w:sz w:val="18"/>
              </w:rPr>
              <w:t>481,778.00</w:t>
            </w:r>
            <w:r>
              <w:rPr>
                <w:rFonts w:ascii="宋体"/>
                <w:sz w:val="18"/>
              </w:rPr>
              <w:t> </w:t>
            </w:r>
          </w:p>
        </w:tc>
        <w:tc>
          <w:tcPr>
            <w:tcW w:w="29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78" w:right="0"/>
              <w:jc w:val="center"/>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未到结算期</w:t>
            </w:r>
            <w:r>
              <w:rPr>
                <w:rFonts w:ascii="宋体" w:hAnsi="宋体" w:cs="宋体" w:eastAsia="宋体" w:hint="default"/>
                <w:spacing w:val="-2"/>
                <w:sz w:val="18"/>
                <w:szCs w:val="18"/>
              </w:rPr>
              <w:t> </w:t>
            </w:r>
            <w:r>
              <w:rPr>
                <w:rFonts w:ascii="宋体" w:hAnsi="宋体" w:cs="宋体" w:eastAsia="宋体" w:hint="default"/>
                <w:sz w:val="18"/>
                <w:szCs w:val="18"/>
              </w:rPr>
              <w:t> </w:t>
            </w:r>
          </w:p>
        </w:tc>
      </w:tr>
      <w:tr>
        <w:trPr>
          <w:trHeight w:val="398" w:hRule="exact"/>
        </w:trPr>
        <w:tc>
          <w:tcPr>
            <w:tcW w:w="4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深圳市通网通信工程有限公司</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2"/>
                <w:sz w:val="18"/>
              </w:rPr>
              <w:t> </w:t>
            </w:r>
            <w:r>
              <w:rPr>
                <w:rFonts w:ascii="宋体"/>
                <w:spacing w:val="-1"/>
                <w:sz w:val="18"/>
              </w:rPr>
              <w:t>432,201.16</w:t>
            </w:r>
            <w:r>
              <w:rPr>
                <w:rFonts w:ascii="宋体"/>
                <w:sz w:val="18"/>
              </w:rPr>
              <w:t> </w:t>
            </w:r>
          </w:p>
        </w:tc>
        <w:tc>
          <w:tcPr>
            <w:tcW w:w="29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78" w:right="0"/>
              <w:jc w:val="center"/>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未到结算期</w:t>
            </w:r>
            <w:r>
              <w:rPr>
                <w:rFonts w:ascii="宋体" w:hAnsi="宋体" w:cs="宋体" w:eastAsia="宋体" w:hint="default"/>
                <w:spacing w:val="-2"/>
                <w:sz w:val="18"/>
                <w:szCs w:val="18"/>
              </w:rPr>
              <w:t> </w:t>
            </w:r>
            <w:r>
              <w:rPr>
                <w:rFonts w:ascii="宋体" w:hAnsi="宋体" w:cs="宋体" w:eastAsia="宋体" w:hint="default"/>
                <w:sz w:val="18"/>
                <w:szCs w:val="18"/>
              </w:rPr>
              <w:t> </w:t>
            </w:r>
          </w:p>
        </w:tc>
      </w:tr>
      <w:tr>
        <w:trPr>
          <w:trHeight w:val="396" w:hRule="exact"/>
        </w:trPr>
        <w:tc>
          <w:tcPr>
            <w:tcW w:w="4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刘英魁</w:t>
            </w:r>
            <w:r>
              <w:rPr>
                <w:rFonts w:ascii="宋体" w:hAnsi="宋体" w:cs="宋体" w:eastAsia="宋体" w:hint="default"/>
                <w:spacing w:val="-2"/>
                <w:sz w:val="18"/>
                <w:szCs w:val="18"/>
              </w:rPr>
              <w:t> </w:t>
            </w:r>
            <w:r>
              <w:rPr>
                <w:rFonts w:ascii="宋体" w:hAnsi="宋体" w:cs="宋体" w:eastAsia="宋体" w:hint="default"/>
                <w:sz w:val="18"/>
                <w:szCs w:val="18"/>
              </w:rPr>
              <w:t> </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2"/>
                <w:sz w:val="18"/>
              </w:rPr>
              <w:t> </w:t>
            </w:r>
            <w:r>
              <w:rPr>
                <w:rFonts w:ascii="宋体"/>
                <w:spacing w:val="-1"/>
                <w:sz w:val="18"/>
              </w:rPr>
              <w:t>4,400,000.00</w:t>
            </w:r>
            <w:r>
              <w:rPr>
                <w:rFonts w:ascii="宋体"/>
                <w:sz w:val="18"/>
              </w:rPr>
              <w:t> </w:t>
            </w:r>
          </w:p>
        </w:tc>
        <w:tc>
          <w:tcPr>
            <w:tcW w:w="29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9" w:right="0"/>
              <w:jc w:val="center"/>
              <w:rPr>
                <w:rFonts w:ascii="宋体" w:hAnsi="宋体" w:cs="宋体" w:eastAsia="宋体" w:hint="default"/>
                <w:sz w:val="18"/>
                <w:szCs w:val="18"/>
              </w:rPr>
            </w:pPr>
            <w:r>
              <w:rPr>
                <w:rFonts w:ascii="宋体" w:hAnsi="宋体" w:cs="宋体" w:eastAsia="宋体" w:hint="default"/>
                <w:sz w:val="18"/>
                <w:szCs w:val="18"/>
              </w:rPr>
              <w:t>签订补充协议，延期支付</w:t>
            </w:r>
            <w:r>
              <w:rPr>
                <w:rFonts w:ascii="宋体" w:hAnsi="宋体" w:cs="宋体" w:eastAsia="宋体" w:hint="default"/>
                <w:sz w:val="18"/>
                <w:szCs w:val="18"/>
              </w:rPr>
              <w:t> </w:t>
            </w:r>
          </w:p>
        </w:tc>
      </w:tr>
      <w:tr>
        <w:trPr>
          <w:trHeight w:val="396" w:hRule="exact"/>
        </w:trPr>
        <w:tc>
          <w:tcPr>
            <w:tcW w:w="4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pacing w:val="-3"/>
                <w:sz w:val="18"/>
                <w:szCs w:val="18"/>
              </w:rPr>
              <w:t>宁波保税区嘉惠秋实创业投资合伙企业（有限合伙）</w:t>
            </w:r>
            <w:r>
              <w:rPr>
                <w:rFonts w:ascii="宋体" w:hAnsi="宋体" w:cs="宋体" w:eastAsia="宋体" w:hint="default"/>
                <w:sz w:val="18"/>
                <w:szCs w:val="18"/>
              </w:rPr>
              <w:t> </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1"/>
                <w:sz w:val="18"/>
              </w:rPr>
              <w:t> 74,000,000.00</w:t>
            </w:r>
            <w:r>
              <w:rPr>
                <w:rFonts w:ascii="宋体"/>
                <w:sz w:val="18"/>
              </w:rPr>
              <w:t> </w:t>
            </w:r>
          </w:p>
        </w:tc>
        <w:tc>
          <w:tcPr>
            <w:tcW w:w="29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 w:right="0"/>
              <w:jc w:val="center"/>
              <w:rPr>
                <w:rFonts w:ascii="宋体" w:hAnsi="宋体" w:cs="宋体" w:eastAsia="宋体" w:hint="default"/>
                <w:sz w:val="18"/>
                <w:szCs w:val="18"/>
              </w:rPr>
            </w:pPr>
            <w:r>
              <w:rPr>
                <w:rFonts w:ascii="宋体" w:hAnsi="宋体" w:cs="宋体" w:eastAsia="宋体" w:hint="default"/>
                <w:sz w:val="18"/>
                <w:szCs w:val="18"/>
              </w:rPr>
              <w:t>签订补充协议，延期支付</w:t>
            </w:r>
            <w:r>
              <w:rPr>
                <w:rFonts w:ascii="宋体" w:hAnsi="宋体" w:cs="宋体" w:eastAsia="宋体" w:hint="default"/>
                <w:sz w:val="18"/>
                <w:szCs w:val="18"/>
              </w:rPr>
              <w:t> </w:t>
            </w:r>
          </w:p>
        </w:tc>
      </w:tr>
      <w:tr>
        <w:trPr>
          <w:trHeight w:val="398" w:hRule="exact"/>
        </w:trPr>
        <w:tc>
          <w:tcPr>
            <w:tcW w:w="4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pacing w:val="-3"/>
                <w:sz w:val="18"/>
                <w:szCs w:val="18"/>
              </w:rPr>
              <w:t>宁波保税区嘉语春华创业投资合伙企业（有限合伙）</w:t>
            </w:r>
            <w:r>
              <w:rPr>
                <w:rFonts w:ascii="宋体" w:hAnsi="宋体" w:cs="宋体" w:eastAsia="宋体" w:hint="default"/>
                <w:sz w:val="18"/>
                <w:szCs w:val="18"/>
              </w:rPr>
              <w:t> </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z w:val="18"/>
              </w:rPr>
              <w:t>259,000,000.00 </w:t>
            </w:r>
          </w:p>
        </w:tc>
        <w:tc>
          <w:tcPr>
            <w:tcW w:w="29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 w:right="0"/>
              <w:jc w:val="center"/>
              <w:rPr>
                <w:rFonts w:ascii="宋体" w:hAnsi="宋体" w:cs="宋体" w:eastAsia="宋体" w:hint="default"/>
                <w:sz w:val="18"/>
                <w:szCs w:val="18"/>
              </w:rPr>
            </w:pPr>
            <w:r>
              <w:rPr>
                <w:rFonts w:ascii="宋体" w:hAnsi="宋体" w:cs="宋体" w:eastAsia="宋体" w:hint="default"/>
                <w:sz w:val="18"/>
                <w:szCs w:val="18"/>
              </w:rPr>
              <w:t>签订补充协议，延期支付</w:t>
            </w:r>
            <w:r>
              <w:rPr>
                <w:rFonts w:ascii="宋体" w:hAnsi="宋体" w:cs="宋体" w:eastAsia="宋体" w:hint="default"/>
                <w:sz w:val="18"/>
                <w:szCs w:val="18"/>
              </w:rPr>
              <w:t> </w:t>
            </w:r>
          </w:p>
        </w:tc>
      </w:tr>
      <w:tr>
        <w:trPr>
          <w:trHeight w:val="396" w:hRule="exact"/>
        </w:trPr>
        <w:tc>
          <w:tcPr>
            <w:tcW w:w="4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6"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339,413,979.16 </w:t>
            </w:r>
          </w:p>
        </w:tc>
        <w:tc>
          <w:tcPr>
            <w:tcW w:w="29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0" w:right="0"/>
              <w:jc w:val="center"/>
              <w:rPr>
                <w:rFonts w:ascii="宋体" w:hAnsi="宋体" w:cs="宋体" w:eastAsia="宋体" w:hint="default"/>
                <w:sz w:val="18"/>
                <w:szCs w:val="18"/>
              </w:rPr>
            </w:pPr>
            <w:r>
              <w:rPr>
                <w:rFonts w:ascii="宋体"/>
                <w:sz w:val="18"/>
              </w:rPr>
              <w:t>-- </w:t>
            </w:r>
          </w:p>
        </w:tc>
      </w:tr>
    </w:tbl>
    <w:p>
      <w:pPr>
        <w:spacing w:line="240" w:lineRule="auto" w:before="7"/>
        <w:rPr>
          <w:rFonts w:ascii="宋体" w:hAnsi="宋体" w:cs="宋体" w:eastAsia="宋体" w:hint="default"/>
          <w:sz w:val="6"/>
          <w:szCs w:val="6"/>
        </w:rPr>
      </w:pPr>
    </w:p>
    <w:p>
      <w:pPr>
        <w:pStyle w:val="Heading3"/>
        <w:spacing w:line="240" w:lineRule="auto"/>
        <w:ind w:left="496" w:right="1146"/>
        <w:jc w:val="left"/>
        <w:rPr>
          <w:rFonts w:ascii="宋体" w:hAnsi="宋体" w:cs="宋体" w:eastAsia="宋体" w:hint="default"/>
          <w:b w:val="0"/>
          <w:bCs w:val="0"/>
        </w:rPr>
      </w:pPr>
      <w:r>
        <w:rPr/>
        <w:t>（二十五）一年内到期的非流动负债</w:t>
      </w:r>
      <w:r>
        <w:rPr>
          <w:rFonts w:ascii="宋体" w:hAnsi="宋体" w:cs="宋体" w:eastAsia="宋体" w:hint="default"/>
          <w:w w:val="99"/>
        </w:rPr>
        <w:t> </w:t>
      </w:r>
      <w:r>
        <w:rPr>
          <w:rFonts w:ascii="宋体" w:hAnsi="宋体" w:cs="宋体" w:eastAsia="宋体" w:hint="default"/>
          <w:b w:val="0"/>
          <w:bCs w:val="0"/>
        </w:rPr>
      </w:r>
    </w:p>
    <w:p>
      <w:pPr>
        <w:spacing w:line="240" w:lineRule="auto" w:before="6"/>
        <w:rPr>
          <w:rFonts w:ascii="宋体" w:hAnsi="宋体" w:cs="宋体" w:eastAsia="宋体" w:hint="default"/>
          <w:b/>
          <w:bCs/>
          <w:sz w:val="14"/>
          <w:szCs w:val="14"/>
        </w:rPr>
      </w:pPr>
    </w:p>
    <w:tbl>
      <w:tblPr>
        <w:tblW w:w="0" w:type="auto"/>
        <w:jc w:val="left"/>
        <w:tblInd w:w="191" w:type="dxa"/>
        <w:tblLayout w:type="fixed"/>
        <w:tblCellMar>
          <w:top w:w="0" w:type="dxa"/>
          <w:left w:w="0" w:type="dxa"/>
          <w:bottom w:w="0" w:type="dxa"/>
          <w:right w:w="0" w:type="dxa"/>
        </w:tblCellMar>
        <w:tblLook w:val="01E0"/>
      </w:tblPr>
      <w:tblGrid>
        <w:gridCol w:w="3944"/>
        <w:gridCol w:w="2441"/>
        <w:gridCol w:w="3219"/>
      </w:tblGrid>
      <w:tr>
        <w:trPr>
          <w:trHeight w:val="396" w:hRule="exact"/>
        </w:trPr>
        <w:tc>
          <w:tcPr>
            <w:tcW w:w="3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696"/>
              <w:jc w:val="right"/>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2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56"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c>
          <w:tcPr>
            <w:tcW w:w="3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7" w:right="0"/>
              <w:jc w:val="center"/>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r>
      <w:tr>
        <w:trPr>
          <w:trHeight w:val="399" w:hRule="exact"/>
        </w:trPr>
        <w:tc>
          <w:tcPr>
            <w:tcW w:w="3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一年内到期的长期借款</w:t>
            </w:r>
            <w:r>
              <w:rPr>
                <w:rFonts w:ascii="宋体" w:hAnsi="宋体" w:cs="宋体" w:eastAsia="宋体" w:hint="default"/>
                <w:sz w:val="18"/>
                <w:szCs w:val="18"/>
              </w:rPr>
              <w:t> </w:t>
            </w:r>
          </w:p>
        </w:tc>
        <w:tc>
          <w:tcPr>
            <w:tcW w:w="2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119,099,654.38 </w:t>
            </w:r>
          </w:p>
        </w:tc>
        <w:tc>
          <w:tcPr>
            <w:tcW w:w="3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38,983,181.92</w:t>
            </w:r>
            <w:r>
              <w:rPr>
                <w:rFonts w:ascii="宋体"/>
                <w:sz w:val="18"/>
              </w:rPr>
              <w:t> </w:t>
            </w:r>
          </w:p>
        </w:tc>
      </w:tr>
      <w:tr>
        <w:trPr>
          <w:trHeight w:val="396" w:hRule="exact"/>
        </w:trPr>
        <w:tc>
          <w:tcPr>
            <w:tcW w:w="39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696"/>
              <w:jc w:val="righ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2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119,099,654.38 </w:t>
            </w:r>
          </w:p>
        </w:tc>
        <w:tc>
          <w:tcPr>
            <w:tcW w:w="3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38,983,181.92</w:t>
            </w:r>
            <w:r>
              <w:rPr>
                <w:rFonts w:ascii="宋体"/>
                <w:sz w:val="18"/>
              </w:rPr>
              <w:t> </w:t>
            </w:r>
          </w:p>
        </w:tc>
      </w:tr>
    </w:tbl>
    <w:p>
      <w:pPr>
        <w:spacing w:line="240" w:lineRule="auto" w:before="7"/>
        <w:rPr>
          <w:rFonts w:ascii="宋体" w:hAnsi="宋体" w:cs="宋体" w:eastAsia="宋体" w:hint="default"/>
          <w:b/>
          <w:bCs/>
          <w:sz w:val="6"/>
          <w:szCs w:val="6"/>
        </w:rPr>
      </w:pPr>
    </w:p>
    <w:p>
      <w:pPr>
        <w:pStyle w:val="BodyText"/>
        <w:spacing w:line="240" w:lineRule="auto" w:before="36"/>
        <w:ind w:left="563" w:right="1146"/>
        <w:jc w:val="left"/>
        <w:rPr>
          <w:rFonts w:ascii="宋体" w:hAnsi="宋体" w:cs="宋体" w:eastAsia="宋体" w:hint="default"/>
        </w:rPr>
      </w:pPr>
      <w:r>
        <w:rPr/>
        <w:t>说明：见“附注六（二十七）长期借款”</w:t>
      </w:r>
      <w:r>
        <w:rPr>
          <w:rFonts w:ascii="宋体" w:hAnsi="宋体" w:cs="宋体" w:eastAsia="宋体" w:hint="default"/>
        </w:rPr>
        <w:t> </w:t>
      </w:r>
    </w:p>
    <w:p>
      <w:pPr>
        <w:pStyle w:val="Heading3"/>
        <w:spacing w:line="240" w:lineRule="auto" w:before="154"/>
        <w:ind w:left="496" w:right="7673"/>
        <w:jc w:val="left"/>
        <w:rPr>
          <w:rFonts w:ascii="宋体" w:hAnsi="宋体" w:cs="宋体" w:eastAsia="宋体" w:hint="default"/>
          <w:b w:val="0"/>
          <w:bCs w:val="0"/>
        </w:rPr>
      </w:pPr>
      <w:r>
        <w:rPr/>
        <w:t>（二十六）其他流动负债</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152"/>
        <w:ind w:left="563" w:right="7673"/>
        <w:jc w:val="left"/>
        <w:rPr>
          <w:rFonts w:ascii="宋体" w:hAnsi="宋体" w:cs="宋体" w:eastAsia="宋体" w:hint="default"/>
        </w:rPr>
      </w:pPr>
      <w:r>
        <w:rPr/>
        <w:t>（</w:t>
      </w:r>
      <w:r>
        <w:rPr>
          <w:rFonts w:ascii="宋体" w:hAnsi="宋体" w:cs="宋体" w:eastAsia="宋体" w:hint="default"/>
        </w:rPr>
        <w:t>1</w:t>
      </w:r>
      <w:r>
        <w:rPr/>
        <w:t>）其他流动负债情况</w:t>
      </w:r>
      <w:r>
        <w:rPr>
          <w:rFonts w:ascii="宋体" w:hAnsi="宋体" w:cs="宋体" w:eastAsia="宋体" w:hint="default"/>
        </w:rPr>
        <w:t> </w:t>
      </w:r>
    </w:p>
    <w:p>
      <w:pPr>
        <w:spacing w:after="0" w:line="240" w:lineRule="auto"/>
        <w:jc w:val="left"/>
        <w:rPr>
          <w:rFonts w:ascii="宋体" w:hAnsi="宋体" w:cs="宋体" w:eastAsia="宋体" w:hint="default"/>
        </w:rPr>
        <w:sectPr>
          <w:pgSz w:w="11910" w:h="16840"/>
          <w:pgMar w:header="880" w:footer="975" w:top="1100" w:bottom="1160" w:left="1160" w:right="0"/>
        </w:sectPr>
      </w:pPr>
    </w:p>
    <w:p>
      <w:pPr>
        <w:spacing w:line="240" w:lineRule="auto" w:before="8"/>
        <w:rPr>
          <w:rFonts w:ascii="宋体" w:hAnsi="宋体" w:cs="宋体" w:eastAsia="宋体" w:hint="default"/>
          <w:sz w:val="24"/>
          <w:szCs w:val="24"/>
        </w:rPr>
      </w:pPr>
    </w:p>
    <w:tbl>
      <w:tblPr>
        <w:tblW w:w="0" w:type="auto"/>
        <w:jc w:val="left"/>
        <w:tblInd w:w="226" w:type="dxa"/>
        <w:tblLayout w:type="fixed"/>
        <w:tblCellMar>
          <w:top w:w="0" w:type="dxa"/>
          <w:left w:w="0" w:type="dxa"/>
          <w:bottom w:w="0" w:type="dxa"/>
          <w:right w:w="0" w:type="dxa"/>
        </w:tblCellMar>
        <w:tblLook w:val="01E0"/>
      </w:tblPr>
      <w:tblGrid>
        <w:gridCol w:w="2823"/>
        <w:gridCol w:w="2993"/>
        <w:gridCol w:w="3759"/>
      </w:tblGrid>
      <w:tr>
        <w:trPr>
          <w:trHeight w:val="396" w:hRule="exact"/>
        </w:trPr>
        <w:tc>
          <w:tcPr>
            <w:tcW w:w="2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36"/>
              <w:jc w:val="right"/>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7"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c>
          <w:tcPr>
            <w:tcW w:w="3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 w:right="0"/>
              <w:jc w:val="center"/>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r>
      <w:tr>
        <w:trPr>
          <w:trHeight w:val="399" w:hRule="exact"/>
        </w:trPr>
        <w:tc>
          <w:tcPr>
            <w:tcW w:w="2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待转销项税额</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2"/>
                <w:sz w:val="18"/>
              </w:rPr>
              <w:t> </w:t>
            </w:r>
            <w:r>
              <w:rPr>
                <w:rFonts w:ascii="宋体"/>
                <w:spacing w:val="-1"/>
                <w:sz w:val="18"/>
              </w:rPr>
              <w:t>23,352,100.91</w:t>
            </w:r>
            <w:r>
              <w:rPr>
                <w:rFonts w:ascii="宋体"/>
                <w:sz w:val="18"/>
              </w:rPr>
              <w:t> </w:t>
            </w:r>
          </w:p>
        </w:tc>
        <w:tc>
          <w:tcPr>
            <w:tcW w:w="3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33,813,295.74</w:t>
            </w:r>
            <w:r>
              <w:rPr>
                <w:rFonts w:ascii="宋体"/>
                <w:sz w:val="18"/>
              </w:rPr>
              <w:t> </w:t>
            </w:r>
          </w:p>
        </w:tc>
      </w:tr>
      <w:tr>
        <w:trPr>
          <w:trHeight w:val="396" w:hRule="exact"/>
        </w:trPr>
        <w:tc>
          <w:tcPr>
            <w:tcW w:w="2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预提租金</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3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964,670.00</w:t>
            </w:r>
            <w:r>
              <w:rPr>
                <w:rFonts w:ascii="宋体"/>
                <w:sz w:val="18"/>
              </w:rPr>
              <w:t> </w:t>
            </w:r>
          </w:p>
        </w:tc>
      </w:tr>
      <w:tr>
        <w:trPr>
          <w:trHeight w:val="398" w:hRule="exact"/>
        </w:trPr>
        <w:tc>
          <w:tcPr>
            <w:tcW w:w="2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36"/>
              <w:jc w:val="righ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2"/>
                <w:sz w:val="18"/>
              </w:rPr>
              <w:t> </w:t>
            </w:r>
            <w:r>
              <w:rPr>
                <w:rFonts w:ascii="宋体"/>
                <w:spacing w:val="-1"/>
                <w:sz w:val="18"/>
              </w:rPr>
              <w:t>23,352,100.91</w:t>
            </w:r>
            <w:r>
              <w:rPr>
                <w:rFonts w:ascii="宋体"/>
                <w:sz w:val="18"/>
              </w:rPr>
              <w:t> </w:t>
            </w:r>
          </w:p>
        </w:tc>
        <w:tc>
          <w:tcPr>
            <w:tcW w:w="37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34,777,965.74</w:t>
            </w:r>
            <w:r>
              <w:rPr>
                <w:rFonts w:ascii="宋体"/>
                <w:sz w:val="18"/>
              </w:rPr>
              <w:t> </w:t>
            </w:r>
          </w:p>
        </w:tc>
      </w:tr>
    </w:tbl>
    <w:p>
      <w:pPr>
        <w:spacing w:line="240" w:lineRule="auto" w:before="7"/>
        <w:rPr>
          <w:rFonts w:ascii="宋体" w:hAnsi="宋体" w:cs="宋体" w:eastAsia="宋体" w:hint="default"/>
          <w:sz w:val="6"/>
          <w:szCs w:val="6"/>
        </w:rPr>
      </w:pPr>
    </w:p>
    <w:p>
      <w:pPr>
        <w:spacing w:line="372" w:lineRule="auto" w:before="36"/>
        <w:ind w:left="586" w:right="8066" w:hanging="70"/>
        <w:jc w:val="left"/>
        <w:rPr>
          <w:rFonts w:ascii="宋体" w:hAnsi="宋体" w:cs="宋体" w:eastAsia="宋体" w:hint="default"/>
          <w:sz w:val="21"/>
          <w:szCs w:val="21"/>
        </w:rPr>
      </w:pPr>
      <w:r>
        <w:rPr>
          <w:rFonts w:ascii="宋体" w:hAnsi="宋体" w:cs="宋体" w:eastAsia="宋体" w:hint="default"/>
          <w:b/>
          <w:bCs/>
          <w:sz w:val="21"/>
          <w:szCs w:val="21"/>
        </w:rPr>
        <w:t>（二十七）长期借款</w:t>
      </w:r>
      <w:r>
        <w:rPr>
          <w:rFonts w:ascii="宋体" w:hAnsi="宋体" w:cs="宋体" w:eastAsia="宋体" w:hint="default"/>
          <w:b/>
          <w:bCs/>
          <w:w w:val="99"/>
          <w:sz w:val="21"/>
          <w:szCs w:val="21"/>
        </w:rPr>
        <w:t> </w:t>
      </w:r>
      <w:r>
        <w:rPr>
          <w:rFonts w:ascii="宋体" w:hAnsi="宋体" w:cs="宋体" w:eastAsia="宋体" w:hint="default"/>
          <w:b/>
          <w:bCs/>
          <w:sz w:val="21"/>
          <w:szCs w:val="21"/>
        </w:rPr>
        <w:t>1</w:t>
      </w:r>
      <w:r>
        <w:rPr>
          <w:rFonts w:ascii="宋体" w:hAnsi="宋体" w:cs="宋体" w:eastAsia="宋体" w:hint="default"/>
          <w:b/>
          <w:bCs/>
          <w:sz w:val="21"/>
          <w:szCs w:val="21"/>
        </w:rPr>
        <w:t>、</w:t>
      </w:r>
      <w:r>
        <w:rPr>
          <w:rFonts w:ascii="宋体" w:hAnsi="宋体" w:cs="宋体" w:eastAsia="宋体" w:hint="default"/>
          <w:sz w:val="21"/>
          <w:szCs w:val="21"/>
        </w:rPr>
        <w:t>长期借款分类</w:t>
      </w:r>
      <w:r>
        <w:rPr>
          <w:rFonts w:ascii="宋体" w:hAnsi="宋体" w:cs="宋体" w:eastAsia="宋体" w:hint="default"/>
          <w:sz w:val="21"/>
          <w:szCs w:val="21"/>
        </w:rPr>
        <w:t> </w:t>
      </w:r>
    </w:p>
    <w:p>
      <w:pPr>
        <w:spacing w:line="240" w:lineRule="auto" w:before="8"/>
        <w:rPr>
          <w:rFonts w:ascii="宋体" w:hAnsi="宋体" w:cs="宋体" w:eastAsia="宋体" w:hint="default"/>
          <w:sz w:val="5"/>
          <w:szCs w:val="5"/>
        </w:rPr>
      </w:pPr>
    </w:p>
    <w:tbl>
      <w:tblPr>
        <w:tblW w:w="0" w:type="auto"/>
        <w:jc w:val="left"/>
        <w:tblInd w:w="156" w:type="dxa"/>
        <w:tblLayout w:type="fixed"/>
        <w:tblCellMar>
          <w:top w:w="0" w:type="dxa"/>
          <w:left w:w="0" w:type="dxa"/>
          <w:bottom w:w="0" w:type="dxa"/>
          <w:right w:w="0" w:type="dxa"/>
        </w:tblCellMar>
        <w:tblLook w:val="01E0"/>
      </w:tblPr>
      <w:tblGrid>
        <w:gridCol w:w="3373"/>
        <w:gridCol w:w="3219"/>
        <w:gridCol w:w="3053"/>
      </w:tblGrid>
      <w:tr>
        <w:trPr>
          <w:trHeight w:val="396" w:hRule="exact"/>
        </w:trPr>
        <w:tc>
          <w:tcPr>
            <w:tcW w:w="3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7"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3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7"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c>
          <w:tcPr>
            <w:tcW w:w="30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 w:right="0"/>
              <w:jc w:val="center"/>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r>
      <w:tr>
        <w:trPr>
          <w:trHeight w:val="398" w:hRule="exact"/>
        </w:trPr>
        <w:tc>
          <w:tcPr>
            <w:tcW w:w="3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质押借款</w:t>
            </w:r>
            <w:r>
              <w:rPr>
                <w:rFonts w:ascii="宋体" w:hAnsi="宋体" w:cs="宋体" w:eastAsia="宋体" w:hint="default"/>
                <w:sz w:val="18"/>
                <w:szCs w:val="18"/>
              </w:rPr>
              <w:t> </w:t>
            </w:r>
          </w:p>
        </w:tc>
        <w:tc>
          <w:tcPr>
            <w:tcW w:w="3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185,365,255.92</w:t>
            </w:r>
            <w:r>
              <w:rPr>
                <w:rFonts w:ascii="宋体"/>
                <w:sz w:val="18"/>
              </w:rPr>
              <w:t> </w:t>
            </w:r>
          </w:p>
        </w:tc>
        <w:tc>
          <w:tcPr>
            <w:tcW w:w="30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224,348,437.84</w:t>
            </w:r>
            <w:r>
              <w:rPr>
                <w:rFonts w:ascii="宋体"/>
                <w:sz w:val="18"/>
              </w:rPr>
              <w:t> </w:t>
            </w:r>
          </w:p>
        </w:tc>
      </w:tr>
      <w:tr>
        <w:trPr>
          <w:trHeight w:val="396" w:hRule="exact"/>
        </w:trPr>
        <w:tc>
          <w:tcPr>
            <w:tcW w:w="3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减：一年内到期的长期借款等调整</w:t>
            </w:r>
            <w:r>
              <w:rPr>
                <w:rFonts w:ascii="宋体" w:hAnsi="宋体" w:cs="宋体" w:eastAsia="宋体" w:hint="default"/>
                <w:sz w:val="18"/>
                <w:szCs w:val="18"/>
              </w:rPr>
              <w:t> </w:t>
            </w:r>
          </w:p>
        </w:tc>
        <w:tc>
          <w:tcPr>
            <w:tcW w:w="3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
              <w:jc w:val="right"/>
              <w:rPr>
                <w:rFonts w:ascii="宋体" w:hAnsi="宋体" w:cs="宋体" w:eastAsia="宋体" w:hint="default"/>
                <w:sz w:val="18"/>
                <w:szCs w:val="18"/>
              </w:rPr>
            </w:pPr>
            <w:r>
              <w:rPr>
                <w:rFonts w:ascii="宋体"/>
                <w:spacing w:val="-1"/>
                <w:sz w:val="18"/>
              </w:rPr>
              <w:t>119,099,654.38</w:t>
            </w:r>
            <w:r>
              <w:rPr>
                <w:rFonts w:ascii="宋体"/>
                <w:sz w:val="18"/>
              </w:rPr>
              <w:t> </w:t>
            </w:r>
          </w:p>
        </w:tc>
        <w:tc>
          <w:tcPr>
            <w:tcW w:w="30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
              <w:jc w:val="right"/>
              <w:rPr>
                <w:rFonts w:ascii="宋体" w:hAnsi="宋体" w:cs="宋体" w:eastAsia="宋体" w:hint="default"/>
                <w:sz w:val="18"/>
                <w:szCs w:val="18"/>
              </w:rPr>
            </w:pPr>
            <w:r>
              <w:rPr>
                <w:rFonts w:ascii="宋体"/>
                <w:spacing w:val="-1"/>
                <w:sz w:val="18"/>
              </w:rPr>
              <w:t>38,983,181.92</w:t>
            </w:r>
            <w:r>
              <w:rPr>
                <w:rFonts w:ascii="宋体"/>
                <w:sz w:val="18"/>
              </w:rPr>
              <w:t> </w:t>
            </w:r>
          </w:p>
        </w:tc>
      </w:tr>
      <w:tr>
        <w:trPr>
          <w:trHeight w:val="398" w:hRule="exact"/>
        </w:trPr>
        <w:tc>
          <w:tcPr>
            <w:tcW w:w="33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7"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32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66,265,601.54</w:t>
            </w:r>
            <w:r>
              <w:rPr>
                <w:rFonts w:ascii="宋体"/>
                <w:sz w:val="18"/>
              </w:rPr>
              <w:t> </w:t>
            </w:r>
          </w:p>
        </w:tc>
        <w:tc>
          <w:tcPr>
            <w:tcW w:w="30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185,365,255.92</w:t>
            </w:r>
            <w:r>
              <w:rPr>
                <w:rFonts w:ascii="宋体"/>
                <w:sz w:val="18"/>
              </w:rPr>
              <w:t> </w:t>
            </w:r>
          </w:p>
        </w:tc>
      </w:tr>
    </w:tbl>
    <w:p>
      <w:pPr>
        <w:spacing w:line="240" w:lineRule="auto" w:before="8"/>
        <w:rPr>
          <w:rFonts w:ascii="宋体" w:hAnsi="宋体" w:cs="宋体" w:eastAsia="宋体" w:hint="default"/>
          <w:sz w:val="6"/>
          <w:szCs w:val="6"/>
        </w:rPr>
      </w:pPr>
    </w:p>
    <w:p>
      <w:pPr>
        <w:pStyle w:val="BodyText"/>
        <w:spacing w:line="272" w:lineRule="exact" w:before="64"/>
        <w:ind w:left="163" w:right="1067" w:firstLine="420"/>
        <w:jc w:val="left"/>
      </w:pPr>
      <w:r>
        <w:rPr/>
        <w:t>说明：</w:t>
      </w:r>
      <w:r>
        <w:rPr>
          <w:rFonts w:ascii="宋体" w:hAnsi="宋体" w:cs="宋体" w:eastAsia="宋体" w:hint="default"/>
        </w:rPr>
        <w:t>2018</w:t>
      </w:r>
      <w:r>
        <w:rPr>
          <w:rFonts w:ascii="宋体" w:hAnsi="宋体" w:cs="宋体" w:eastAsia="宋体" w:hint="default"/>
          <w:spacing w:val="-53"/>
        </w:rPr>
        <w:t> </w:t>
      </w:r>
      <w:r>
        <w:rPr/>
        <w:t>年</w:t>
      </w:r>
      <w:r>
        <w:rPr>
          <w:spacing w:val="-50"/>
        </w:rPr>
        <w:t> </w:t>
      </w:r>
      <w:r>
        <w:rPr>
          <w:rFonts w:ascii="宋体" w:hAnsi="宋体" w:cs="宋体" w:eastAsia="宋体" w:hint="default"/>
        </w:rPr>
        <w:t>11</w:t>
      </w:r>
      <w:r>
        <w:rPr>
          <w:rFonts w:ascii="宋体" w:hAnsi="宋体" w:cs="宋体" w:eastAsia="宋体" w:hint="default"/>
          <w:spacing w:val="-50"/>
        </w:rPr>
        <w:t> </w:t>
      </w:r>
      <w:r>
        <w:rPr/>
        <w:t>月</w:t>
      </w:r>
      <w:r>
        <w:rPr>
          <w:spacing w:val="-50"/>
        </w:rPr>
        <w:t> </w:t>
      </w:r>
      <w:r>
        <w:rPr>
          <w:rFonts w:ascii="宋体" w:hAnsi="宋体" w:cs="宋体" w:eastAsia="宋体" w:hint="default"/>
        </w:rPr>
        <w:t>16</w:t>
      </w:r>
      <w:r>
        <w:rPr>
          <w:rFonts w:ascii="宋体" w:hAnsi="宋体" w:cs="宋体" w:eastAsia="宋体" w:hint="default"/>
          <w:spacing w:val="-53"/>
        </w:rPr>
        <w:t> </w:t>
      </w:r>
      <w:r>
        <w:rPr/>
        <w:t>日，公司与中国民生北京分行签订编号为</w:t>
      </w:r>
      <w:r>
        <w:rPr>
          <w:spacing w:val="-50"/>
        </w:rPr>
        <w:t> </w:t>
      </w:r>
      <w:r>
        <w:rPr>
          <w:rFonts w:ascii="宋体" w:hAnsi="宋体" w:cs="宋体" w:eastAsia="宋体" w:hint="default"/>
        </w:rPr>
        <w:t>CMBC-HT-313(</w:t>
      </w:r>
      <w:r>
        <w:rPr/>
        <w:t>公司</w:t>
      </w:r>
      <w:r>
        <w:rPr>
          <w:spacing w:val="-52"/>
        </w:rPr>
        <w:t> </w:t>
      </w:r>
      <w:r>
        <w:rPr>
          <w:rFonts w:ascii="宋体" w:hAnsi="宋体" w:cs="宋体" w:eastAsia="宋体" w:hint="default"/>
        </w:rPr>
        <w:t>2010)</w:t>
      </w:r>
      <w:r>
        <w:rPr/>
        <w:t>号的借款</w:t>
      </w:r>
      <w:r>
        <w:rPr>
          <w:w w:val="100"/>
        </w:rPr>
        <w:t> </w:t>
      </w:r>
      <w:r>
        <w:rPr>
          <w:spacing w:val="-4"/>
          <w:w w:val="100"/>
        </w:rPr>
        <w:t>合同，授信额度为肆亿伍仟贰佰捌拾捌万元（具体金额以最终发放借款金额为准），借款期间为</w:t>
      </w:r>
      <w:r>
        <w:rPr>
          <w:w w:val="100"/>
        </w:rPr>
        <w:t> </w:t>
      </w:r>
      <w:r>
        <w:rPr>
          <w:rFonts w:ascii="宋体" w:hAnsi="宋体" w:cs="宋体" w:eastAsia="宋体" w:hint="default"/>
          <w:spacing w:val="-1"/>
          <w:w w:val="100"/>
        </w:rPr>
        <w:t>2018</w:t>
      </w:r>
      <w:r>
        <w:rPr>
          <w:rFonts w:ascii="宋体" w:hAnsi="宋体" w:cs="宋体" w:eastAsia="宋体" w:hint="default"/>
          <w:spacing w:val="-27"/>
          <w:w w:val="100"/>
        </w:rPr>
        <w:t> </w:t>
      </w:r>
      <w:r>
        <w:rPr>
          <w:w w:val="100"/>
        </w:rPr>
        <w:t>年</w:t>
      </w:r>
    </w:p>
    <w:p>
      <w:pPr>
        <w:pStyle w:val="BodyText"/>
        <w:spacing w:line="272" w:lineRule="exact" w:before="1"/>
        <w:ind w:left="163" w:right="1070"/>
        <w:jc w:val="left"/>
      </w:pPr>
      <w:r>
        <w:rPr>
          <w:rFonts w:ascii="宋体" w:hAnsi="宋体" w:cs="宋体" w:eastAsia="宋体" w:hint="default"/>
        </w:rPr>
        <w:t>11</w:t>
      </w:r>
      <w:r>
        <w:rPr>
          <w:rFonts w:ascii="宋体" w:hAnsi="宋体" w:cs="宋体" w:eastAsia="宋体" w:hint="default"/>
          <w:spacing w:val="-53"/>
        </w:rPr>
        <w:t> </w:t>
      </w:r>
      <w:r>
        <w:rPr/>
        <w:t>月</w:t>
      </w:r>
      <w:r>
        <w:rPr>
          <w:spacing w:val="-51"/>
        </w:rPr>
        <w:t> </w:t>
      </w:r>
      <w:r>
        <w:rPr>
          <w:rFonts w:ascii="宋体" w:hAnsi="宋体" w:cs="宋体" w:eastAsia="宋体" w:hint="default"/>
        </w:rPr>
        <w:t>16</w:t>
      </w:r>
      <w:r>
        <w:rPr>
          <w:rFonts w:ascii="宋体" w:hAnsi="宋体" w:cs="宋体" w:eastAsia="宋体" w:hint="default"/>
          <w:spacing w:val="-54"/>
        </w:rPr>
        <w:t> </w:t>
      </w:r>
      <w:r>
        <w:rPr/>
        <w:t>日到</w:t>
      </w:r>
      <w:r>
        <w:rPr>
          <w:spacing w:val="-51"/>
        </w:rPr>
        <w:t> </w:t>
      </w:r>
      <w:r>
        <w:rPr>
          <w:rFonts w:ascii="宋体" w:hAnsi="宋体" w:cs="宋体" w:eastAsia="宋体" w:hint="default"/>
        </w:rPr>
        <w:t>2021</w:t>
      </w:r>
      <w:r>
        <w:rPr>
          <w:rFonts w:ascii="宋体" w:hAnsi="宋体" w:cs="宋体" w:eastAsia="宋体" w:hint="default"/>
          <w:spacing w:val="-54"/>
        </w:rPr>
        <w:t> </w:t>
      </w:r>
      <w:r>
        <w:rPr/>
        <w:t>年</w:t>
      </w:r>
      <w:r>
        <w:rPr>
          <w:spacing w:val="-51"/>
        </w:rPr>
        <w:t> </w:t>
      </w:r>
      <w:r>
        <w:rPr>
          <w:rFonts w:ascii="宋体" w:hAnsi="宋体" w:cs="宋体" w:eastAsia="宋体" w:hint="default"/>
        </w:rPr>
        <w:t>11</w:t>
      </w:r>
      <w:r>
        <w:rPr>
          <w:rFonts w:ascii="宋体" w:hAnsi="宋体" w:cs="宋体" w:eastAsia="宋体" w:hint="default"/>
          <w:spacing w:val="-54"/>
        </w:rPr>
        <w:t> </w:t>
      </w:r>
      <w:r>
        <w:rPr/>
        <w:t>月</w:t>
      </w:r>
      <w:r>
        <w:rPr>
          <w:spacing w:val="-51"/>
        </w:rPr>
        <w:t> </w:t>
      </w:r>
      <w:r>
        <w:rPr>
          <w:rFonts w:ascii="宋体" w:hAnsi="宋体" w:cs="宋体" w:eastAsia="宋体" w:hint="default"/>
        </w:rPr>
        <w:t>15</w:t>
      </w:r>
      <w:r>
        <w:rPr>
          <w:rFonts w:ascii="宋体" w:hAnsi="宋体" w:cs="宋体" w:eastAsia="宋体" w:hint="default"/>
          <w:spacing w:val="-51"/>
        </w:rPr>
        <w:t> </w:t>
      </w:r>
      <w:r>
        <w:rPr/>
        <w:t>日，借款年利率为</w:t>
      </w:r>
      <w:r>
        <w:rPr>
          <w:spacing w:val="-52"/>
        </w:rPr>
        <w:t> </w:t>
      </w:r>
      <w:r>
        <w:rPr>
          <w:rFonts w:ascii="宋体" w:hAnsi="宋体" w:cs="宋体" w:eastAsia="宋体" w:hint="default"/>
        </w:rPr>
        <w:t>8.0275%</w:t>
      </w:r>
      <w:r>
        <w:rPr/>
        <w:t>。公司以对嘉华信息的</w:t>
      </w:r>
      <w:r>
        <w:rPr>
          <w:spacing w:val="-54"/>
        </w:rPr>
        <w:t> </w:t>
      </w:r>
      <w:r>
        <w:rPr>
          <w:rFonts w:ascii="宋体" w:hAnsi="宋体" w:cs="宋体" w:eastAsia="宋体" w:hint="default"/>
        </w:rPr>
        <w:t>100%</w:t>
      </w:r>
      <w:r>
        <w:rPr/>
        <w:t>股权质押，并由嘉</w:t>
      </w:r>
      <w:r>
        <w:rPr>
          <w:w w:val="100"/>
        </w:rPr>
        <w:t> </w:t>
      </w:r>
      <w:r>
        <w:rPr>
          <w:spacing w:val="-3"/>
        </w:rPr>
        <w:t>华信息、创世漫道作为连带责任保证人</w:t>
      </w:r>
      <w:r>
        <w:rPr>
          <w:rFonts w:ascii="宋体" w:hAnsi="宋体" w:cs="宋体" w:eastAsia="宋体" w:hint="default"/>
          <w:spacing w:val="-3"/>
        </w:rPr>
        <w:t>,</w:t>
      </w:r>
      <w:r>
        <w:rPr>
          <w:spacing w:val="-3"/>
        </w:rPr>
        <w:t>由吴鹰为公司债务提供连带保证责任。</w:t>
      </w:r>
      <w:r>
        <w:rPr>
          <w:rFonts w:ascii="宋体" w:hAnsi="宋体" w:cs="宋体" w:eastAsia="宋体" w:hint="default"/>
          <w:spacing w:val="-3"/>
        </w:rPr>
        <w:t>2018</w:t>
      </w:r>
      <w:r>
        <w:rPr>
          <w:rFonts w:ascii="宋体" w:hAnsi="宋体" w:cs="宋体" w:eastAsia="宋体" w:hint="default"/>
          <w:spacing w:val="15"/>
        </w:rPr>
        <w:t> </w:t>
      </w:r>
      <w:r>
        <w:rPr>
          <w:spacing w:val="-5"/>
        </w:rPr>
        <w:t>年度，公司收到借款</w:t>
      </w:r>
    </w:p>
    <w:p>
      <w:pPr>
        <w:pStyle w:val="BodyText"/>
        <w:spacing w:line="249" w:lineRule="exact"/>
        <w:ind w:left="163" w:right="1067"/>
        <w:jc w:val="left"/>
        <w:rPr>
          <w:rFonts w:ascii="宋体" w:hAnsi="宋体" w:cs="宋体" w:eastAsia="宋体" w:hint="default"/>
        </w:rPr>
      </w:pPr>
      <w:r>
        <w:rPr>
          <w:rFonts w:ascii="宋体" w:hAnsi="宋体" w:cs="宋体" w:eastAsia="宋体" w:hint="default"/>
        </w:rPr>
        <w:t>226,440,000.00</w:t>
      </w:r>
      <w:r>
        <w:rPr>
          <w:rFonts w:ascii="宋体" w:hAnsi="宋体" w:cs="宋体" w:eastAsia="宋体" w:hint="default"/>
          <w:spacing w:val="-56"/>
        </w:rPr>
        <w:t> </w:t>
      </w:r>
      <w:r>
        <w:rPr/>
        <w:t>元，支付融资费用</w:t>
      </w:r>
      <w:r>
        <w:rPr>
          <w:spacing w:val="-55"/>
        </w:rPr>
        <w:t> </w:t>
      </w:r>
      <w:r>
        <w:rPr>
          <w:rFonts w:ascii="宋体" w:hAnsi="宋体" w:cs="宋体" w:eastAsia="宋体" w:hint="default"/>
        </w:rPr>
        <w:t>2,250,000.00</w:t>
      </w:r>
      <w:r>
        <w:rPr>
          <w:rFonts w:ascii="宋体" w:hAnsi="宋体" w:cs="宋体" w:eastAsia="宋体" w:hint="default"/>
          <w:spacing w:val="-58"/>
        </w:rPr>
        <w:t> </w:t>
      </w:r>
      <w:r>
        <w:rPr/>
        <w:t>元，公司按摊余成本法进行后续计量。</w:t>
      </w:r>
      <w:r>
        <w:rPr>
          <w:rFonts w:ascii="宋体" w:hAnsi="宋体" w:cs="宋体" w:eastAsia="宋体" w:hint="default"/>
        </w:rPr>
        <w:t> </w:t>
      </w:r>
    </w:p>
    <w:p>
      <w:pPr>
        <w:pStyle w:val="Heading3"/>
        <w:spacing w:line="240" w:lineRule="auto" w:before="152"/>
        <w:ind w:left="586" w:right="8066"/>
        <w:jc w:val="left"/>
        <w:rPr>
          <w:rFonts w:ascii="宋体" w:hAnsi="宋体" w:cs="宋体" w:eastAsia="宋体" w:hint="default"/>
          <w:b w:val="0"/>
          <w:bCs w:val="0"/>
        </w:rPr>
      </w:pPr>
      <w:r>
        <w:rPr/>
        <w:t>（二十八）股本</w:t>
      </w:r>
      <w:r>
        <w:rPr>
          <w:rFonts w:ascii="宋体" w:hAnsi="宋体" w:cs="宋体" w:eastAsia="宋体" w:hint="default"/>
          <w:w w:val="99"/>
        </w:rPr>
        <w:t> </w:t>
      </w:r>
      <w:r>
        <w:rPr>
          <w:rFonts w:ascii="宋体" w:hAnsi="宋体" w:cs="宋体" w:eastAsia="宋体" w:hint="default"/>
          <w:b w:val="0"/>
          <w:bCs w:val="0"/>
        </w:rPr>
      </w:r>
    </w:p>
    <w:p>
      <w:pPr>
        <w:spacing w:line="240" w:lineRule="auto" w:before="3"/>
        <w:rPr>
          <w:rFonts w:ascii="宋体" w:hAnsi="宋体" w:cs="宋体" w:eastAsia="宋体" w:hint="default"/>
          <w:b/>
          <w:bCs/>
          <w:sz w:val="14"/>
          <w:szCs w:val="14"/>
        </w:rPr>
      </w:pPr>
    </w:p>
    <w:tbl>
      <w:tblPr>
        <w:tblW w:w="0" w:type="auto"/>
        <w:jc w:val="left"/>
        <w:tblInd w:w="141" w:type="dxa"/>
        <w:tblLayout w:type="fixed"/>
        <w:tblCellMar>
          <w:top w:w="0" w:type="dxa"/>
          <w:left w:w="0" w:type="dxa"/>
          <w:bottom w:w="0" w:type="dxa"/>
          <w:right w:w="0" w:type="dxa"/>
        </w:tblCellMar>
        <w:tblLook w:val="01E0"/>
      </w:tblPr>
      <w:tblGrid>
        <w:gridCol w:w="963"/>
        <w:gridCol w:w="1603"/>
        <w:gridCol w:w="1006"/>
        <w:gridCol w:w="816"/>
        <w:gridCol w:w="1126"/>
        <w:gridCol w:w="962"/>
        <w:gridCol w:w="888"/>
        <w:gridCol w:w="2290"/>
      </w:tblGrid>
      <w:tr>
        <w:trPr>
          <w:trHeight w:val="398" w:hRule="exact"/>
        </w:trPr>
        <w:tc>
          <w:tcPr>
            <w:tcW w:w="963"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295" w:right="0"/>
              <w:jc w:val="left"/>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1603"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436"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c>
          <w:tcPr>
            <w:tcW w:w="479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450" w:right="0"/>
              <w:jc w:val="left"/>
              <w:rPr>
                <w:rFonts w:ascii="宋体" w:hAnsi="宋体" w:cs="宋体" w:eastAsia="宋体" w:hint="default"/>
                <w:sz w:val="18"/>
                <w:szCs w:val="18"/>
              </w:rPr>
            </w:pPr>
            <w:r>
              <w:rPr>
                <w:rFonts w:ascii="宋体" w:hAnsi="宋体" w:cs="宋体" w:eastAsia="宋体" w:hint="default"/>
                <w:sz w:val="18"/>
                <w:szCs w:val="18"/>
              </w:rPr>
              <w:t>本次增减变动（</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 </w:t>
            </w:r>
          </w:p>
        </w:tc>
        <w:tc>
          <w:tcPr>
            <w:tcW w:w="2290"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783"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r>
      <w:tr>
        <w:trPr>
          <w:trHeight w:val="396" w:hRule="exact"/>
        </w:trPr>
        <w:tc>
          <w:tcPr>
            <w:tcW w:w="963" w:type="dxa"/>
            <w:vMerge/>
            <w:tcBorders>
              <w:left w:val="single" w:sz="4" w:space="0" w:color="000000"/>
              <w:bottom w:val="single" w:sz="4" w:space="0" w:color="000000"/>
              <w:right w:val="single" w:sz="4" w:space="0" w:color="000000"/>
            </w:tcBorders>
          </w:tcPr>
          <w:p>
            <w:pPr/>
          </w:p>
        </w:tc>
        <w:tc>
          <w:tcPr>
            <w:tcW w:w="1603" w:type="dxa"/>
            <w:vMerge/>
            <w:tcBorders>
              <w:left w:val="single" w:sz="4" w:space="0" w:color="000000"/>
              <w:bottom w:val="single" w:sz="4" w:space="0" w:color="000000"/>
              <w:right w:val="single" w:sz="4" w:space="0" w:color="000000"/>
            </w:tcBorders>
          </w:tcPr>
          <w:p>
            <w:pP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47"/>
              <w:jc w:val="right"/>
              <w:rPr>
                <w:rFonts w:ascii="宋体" w:hAnsi="宋体" w:cs="宋体" w:eastAsia="宋体" w:hint="default"/>
                <w:sz w:val="18"/>
                <w:szCs w:val="18"/>
              </w:rPr>
            </w:pPr>
            <w:r>
              <w:rPr>
                <w:rFonts w:ascii="宋体" w:hAnsi="宋体" w:cs="宋体" w:eastAsia="宋体" w:hint="default"/>
                <w:sz w:val="18"/>
                <w:szCs w:val="18"/>
              </w:rPr>
              <w:t>发行新股</w:t>
            </w:r>
            <w:r>
              <w:rPr>
                <w:rFonts w:ascii="宋体" w:hAnsi="宋体" w:cs="宋体" w:eastAsia="宋体" w:hint="default"/>
                <w:sz w:val="18"/>
                <w:szCs w:val="18"/>
              </w:rPr>
              <w:t> </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3" w:right="0"/>
              <w:jc w:val="left"/>
              <w:rPr>
                <w:rFonts w:ascii="宋体" w:hAnsi="宋体" w:cs="宋体" w:eastAsia="宋体" w:hint="default"/>
                <w:sz w:val="18"/>
                <w:szCs w:val="18"/>
              </w:rPr>
            </w:pPr>
            <w:r>
              <w:rPr>
                <w:rFonts w:ascii="宋体" w:hAnsi="宋体" w:cs="宋体" w:eastAsia="宋体" w:hint="default"/>
                <w:sz w:val="18"/>
                <w:szCs w:val="18"/>
              </w:rPr>
              <w:t>送股</w:t>
            </w:r>
            <w:r>
              <w:rPr>
                <w:rFonts w:ascii="宋体" w:hAnsi="宋体" w:cs="宋体" w:eastAsia="宋体" w:hint="default"/>
                <w:sz w:val="18"/>
                <w:szCs w:val="18"/>
              </w:rPr>
              <w:t> </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7"/>
              <w:jc w:val="right"/>
              <w:rPr>
                <w:rFonts w:ascii="宋体" w:hAnsi="宋体" w:cs="宋体" w:eastAsia="宋体" w:hint="default"/>
                <w:sz w:val="18"/>
                <w:szCs w:val="18"/>
              </w:rPr>
            </w:pPr>
            <w:r>
              <w:rPr>
                <w:rFonts w:ascii="宋体" w:hAnsi="宋体" w:cs="宋体" w:eastAsia="宋体" w:hint="default"/>
                <w:sz w:val="18"/>
                <w:szCs w:val="18"/>
              </w:rPr>
              <w:t>公积金转股</w:t>
            </w:r>
            <w:r>
              <w:rPr>
                <w:rFonts w:ascii="宋体" w:hAnsi="宋体" w:cs="宋体" w:eastAsia="宋体" w:hint="default"/>
                <w:sz w:val="18"/>
                <w:szCs w:val="18"/>
              </w:rPr>
              <w:t> </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97" w:right="0"/>
              <w:jc w:val="left"/>
              <w:rPr>
                <w:rFonts w:ascii="宋体" w:hAnsi="宋体" w:cs="宋体" w:eastAsia="宋体" w:hint="default"/>
                <w:sz w:val="18"/>
                <w:szCs w:val="18"/>
              </w:rPr>
            </w:pPr>
            <w:r>
              <w:rPr>
                <w:rFonts w:ascii="宋体" w:hAnsi="宋体" w:cs="宋体" w:eastAsia="宋体" w:hint="default"/>
                <w:sz w:val="18"/>
                <w:szCs w:val="18"/>
              </w:rPr>
              <w:t>其他</w:t>
            </w:r>
            <w:r>
              <w:rPr>
                <w:rFonts w:ascii="宋体" w:hAnsi="宋体" w:cs="宋体" w:eastAsia="宋体" w:hint="default"/>
                <w:sz w:val="18"/>
                <w:szCs w:val="18"/>
              </w:rPr>
              <w:t> </w:t>
            </w:r>
          </w:p>
        </w:tc>
        <w:tc>
          <w:tcPr>
            <w:tcW w:w="8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1" w:right="0"/>
              <w:jc w:val="left"/>
              <w:rPr>
                <w:rFonts w:ascii="宋体" w:hAnsi="宋体" w:cs="宋体" w:eastAsia="宋体" w:hint="default"/>
                <w:sz w:val="18"/>
                <w:szCs w:val="18"/>
              </w:rPr>
            </w:pPr>
            <w:r>
              <w:rPr>
                <w:rFonts w:ascii="宋体" w:hAnsi="宋体" w:cs="宋体" w:eastAsia="宋体" w:hint="default"/>
                <w:sz w:val="18"/>
                <w:szCs w:val="18"/>
              </w:rPr>
              <w:t>小计</w:t>
            </w:r>
            <w:r>
              <w:rPr>
                <w:rFonts w:ascii="宋体" w:hAnsi="宋体" w:cs="宋体" w:eastAsia="宋体" w:hint="default"/>
                <w:sz w:val="18"/>
                <w:szCs w:val="18"/>
              </w:rPr>
              <w:t> </w:t>
            </w:r>
          </w:p>
        </w:tc>
        <w:tc>
          <w:tcPr>
            <w:tcW w:w="2290" w:type="dxa"/>
            <w:vMerge/>
            <w:tcBorders>
              <w:left w:val="single" w:sz="4" w:space="0" w:color="000000"/>
              <w:bottom w:val="single" w:sz="4" w:space="0" w:color="000000"/>
              <w:right w:val="single" w:sz="4" w:space="0" w:color="000000"/>
            </w:tcBorders>
          </w:tcPr>
          <w:p>
            <w:pPr/>
          </w:p>
        </w:tc>
      </w:tr>
      <w:tr>
        <w:trPr>
          <w:trHeight w:val="398" w:hRule="exact"/>
        </w:trPr>
        <w:tc>
          <w:tcPr>
            <w:tcW w:w="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股份总数</w:t>
            </w:r>
            <w:r>
              <w:rPr>
                <w:rFonts w:ascii="宋体" w:hAnsi="宋体" w:cs="宋体" w:eastAsia="宋体" w:hint="default"/>
                <w:sz w:val="18"/>
                <w:szCs w:val="18"/>
              </w:rPr>
              <w:t> </w:t>
            </w:r>
          </w:p>
        </w:tc>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0" w:right="0"/>
              <w:jc w:val="left"/>
              <w:rPr>
                <w:rFonts w:ascii="宋体" w:hAnsi="宋体" w:cs="宋体" w:eastAsia="宋体" w:hint="default"/>
                <w:sz w:val="18"/>
                <w:szCs w:val="18"/>
              </w:rPr>
            </w:pPr>
            <w:r>
              <w:rPr>
                <w:rFonts w:ascii="宋体"/>
                <w:sz w:val="18"/>
              </w:rPr>
              <w:t>669,101,883.00 </w:t>
            </w:r>
          </w:p>
        </w:tc>
        <w:tc>
          <w:tcPr>
            <w:tcW w:w="10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8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z w:val="18"/>
              </w:rPr>
              <w:t> </w:t>
            </w:r>
          </w:p>
        </w:tc>
        <w:tc>
          <w:tcPr>
            <w:tcW w:w="9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z w:val="18"/>
              </w:rPr>
              <w:t> </w:t>
            </w:r>
          </w:p>
        </w:tc>
        <w:tc>
          <w:tcPr>
            <w:tcW w:w="8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z w:val="18"/>
              </w:rPr>
              <w:t> </w:t>
            </w:r>
          </w:p>
        </w:tc>
        <w:tc>
          <w:tcPr>
            <w:tcW w:w="22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19" w:right="0"/>
              <w:jc w:val="left"/>
              <w:rPr>
                <w:rFonts w:ascii="宋体" w:hAnsi="宋体" w:cs="宋体" w:eastAsia="宋体" w:hint="default"/>
                <w:sz w:val="18"/>
                <w:szCs w:val="18"/>
              </w:rPr>
            </w:pPr>
            <w:r>
              <w:rPr>
                <w:rFonts w:ascii="宋体"/>
                <w:sz w:val="18"/>
              </w:rPr>
              <w:t>669,101,883.00 </w:t>
            </w:r>
          </w:p>
        </w:tc>
      </w:tr>
    </w:tbl>
    <w:p>
      <w:pPr>
        <w:spacing w:line="240" w:lineRule="auto" w:before="7"/>
        <w:rPr>
          <w:rFonts w:ascii="宋体" w:hAnsi="宋体" w:cs="宋体" w:eastAsia="宋体" w:hint="default"/>
          <w:b/>
          <w:bCs/>
          <w:sz w:val="6"/>
          <w:szCs w:val="6"/>
        </w:rPr>
      </w:pPr>
    </w:p>
    <w:p>
      <w:pPr>
        <w:spacing w:before="36"/>
        <w:ind w:left="516" w:right="8066" w:firstLine="0"/>
        <w:jc w:val="left"/>
        <w:rPr>
          <w:rFonts w:ascii="宋体" w:hAnsi="宋体" w:cs="宋体" w:eastAsia="宋体" w:hint="default"/>
          <w:sz w:val="21"/>
          <w:szCs w:val="21"/>
        </w:rPr>
      </w:pPr>
      <w:r>
        <w:rPr>
          <w:rFonts w:ascii="宋体" w:hAnsi="宋体" w:cs="宋体" w:eastAsia="宋体" w:hint="default"/>
          <w:b/>
          <w:bCs/>
          <w:sz w:val="21"/>
          <w:szCs w:val="21"/>
        </w:rPr>
        <w:t>（二十九）资本公积</w:t>
      </w:r>
      <w:r>
        <w:rPr>
          <w:rFonts w:ascii="宋体" w:hAnsi="宋体" w:cs="宋体" w:eastAsia="宋体" w:hint="default"/>
          <w:b/>
          <w:bCs/>
          <w:w w:val="99"/>
          <w:sz w:val="21"/>
          <w:szCs w:val="21"/>
        </w:rPr>
        <w:t> </w:t>
      </w:r>
      <w:r>
        <w:rPr>
          <w:rFonts w:ascii="宋体" w:hAnsi="宋体" w:cs="宋体" w:eastAsia="宋体" w:hint="default"/>
          <w:sz w:val="21"/>
          <w:szCs w:val="21"/>
        </w:rPr>
      </w:r>
    </w:p>
    <w:p>
      <w:pPr>
        <w:spacing w:line="240" w:lineRule="auto" w:before="4"/>
        <w:rPr>
          <w:rFonts w:ascii="宋体" w:hAnsi="宋体" w:cs="宋体" w:eastAsia="宋体" w:hint="default"/>
          <w:b/>
          <w:bCs/>
          <w:sz w:val="14"/>
          <w:szCs w:val="14"/>
        </w:rPr>
      </w:pPr>
    </w:p>
    <w:tbl>
      <w:tblPr>
        <w:tblW w:w="0" w:type="auto"/>
        <w:jc w:val="left"/>
        <w:tblInd w:w="112" w:type="dxa"/>
        <w:tblLayout w:type="fixed"/>
        <w:tblCellMar>
          <w:top w:w="0" w:type="dxa"/>
          <w:left w:w="0" w:type="dxa"/>
          <w:bottom w:w="0" w:type="dxa"/>
          <w:right w:w="0" w:type="dxa"/>
        </w:tblCellMar>
        <w:tblLook w:val="01E0"/>
      </w:tblPr>
      <w:tblGrid>
        <w:gridCol w:w="2069"/>
        <w:gridCol w:w="1894"/>
        <w:gridCol w:w="1649"/>
        <w:gridCol w:w="1649"/>
        <w:gridCol w:w="2396"/>
      </w:tblGrid>
      <w:tr>
        <w:trPr>
          <w:trHeight w:val="398" w:hRule="exact"/>
        </w:trPr>
        <w:tc>
          <w:tcPr>
            <w:tcW w:w="20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0"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0"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58" w:right="0"/>
              <w:jc w:val="left"/>
              <w:rPr>
                <w:rFonts w:ascii="宋体" w:hAnsi="宋体" w:cs="宋体" w:eastAsia="宋体" w:hint="default"/>
                <w:sz w:val="18"/>
                <w:szCs w:val="18"/>
              </w:rPr>
            </w:pPr>
            <w:r>
              <w:rPr>
                <w:rFonts w:ascii="宋体" w:hAnsi="宋体" w:cs="宋体" w:eastAsia="宋体" w:hint="default"/>
                <w:sz w:val="18"/>
                <w:szCs w:val="18"/>
              </w:rPr>
              <w:t>本期增加</w:t>
            </w:r>
            <w:r>
              <w:rPr>
                <w:rFonts w:ascii="宋体" w:hAnsi="宋体" w:cs="宋体" w:eastAsia="宋体" w:hint="default"/>
                <w:sz w:val="18"/>
                <w:szCs w:val="18"/>
              </w:rPr>
              <w:t> </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58" w:right="0"/>
              <w:jc w:val="left"/>
              <w:rPr>
                <w:rFonts w:ascii="宋体" w:hAnsi="宋体" w:cs="宋体" w:eastAsia="宋体" w:hint="default"/>
                <w:sz w:val="18"/>
                <w:szCs w:val="18"/>
              </w:rPr>
            </w:pPr>
            <w:r>
              <w:rPr>
                <w:rFonts w:ascii="宋体" w:hAnsi="宋体" w:cs="宋体" w:eastAsia="宋体" w:hint="default"/>
                <w:sz w:val="18"/>
                <w:szCs w:val="18"/>
              </w:rPr>
              <w:t>本期减少</w:t>
            </w:r>
            <w:r>
              <w:rPr>
                <w:rFonts w:ascii="宋体" w:hAnsi="宋体" w:cs="宋体" w:eastAsia="宋体" w:hint="default"/>
                <w:sz w:val="18"/>
                <w:szCs w:val="18"/>
              </w:rPr>
              <w:t> </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33"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r>
      <w:tr>
        <w:trPr>
          <w:trHeight w:val="396" w:hRule="exact"/>
        </w:trPr>
        <w:tc>
          <w:tcPr>
            <w:tcW w:w="20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资本溢价（股本溢价）</w:t>
            </w:r>
            <w:r>
              <w:rPr>
                <w:rFonts w:ascii="宋体" w:hAnsi="宋体" w:cs="宋体" w:eastAsia="宋体" w:hint="default"/>
                <w:sz w:val="18"/>
                <w:szCs w:val="18"/>
              </w:rPr>
              <w:t> </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1,769,042,910.62 </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1,769,042,910.62 </w:t>
            </w:r>
          </w:p>
        </w:tc>
      </w:tr>
      <w:tr>
        <w:trPr>
          <w:trHeight w:val="398" w:hRule="exact"/>
        </w:trPr>
        <w:tc>
          <w:tcPr>
            <w:tcW w:w="20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其他资本公积</w:t>
            </w:r>
            <w:r>
              <w:rPr>
                <w:rFonts w:ascii="宋体" w:hAnsi="宋体" w:cs="宋体" w:eastAsia="宋体" w:hint="default"/>
                <w:sz w:val="18"/>
                <w:szCs w:val="18"/>
              </w:rPr>
              <w:t> </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r>
      <w:tr>
        <w:trPr>
          <w:trHeight w:val="396" w:hRule="exact"/>
        </w:trPr>
        <w:tc>
          <w:tcPr>
            <w:tcW w:w="20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0"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8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1,769,042,910.62 </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c>
          <w:tcPr>
            <w:tcW w:w="16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1,769,042,910.62 </w:t>
            </w:r>
          </w:p>
        </w:tc>
      </w:tr>
    </w:tbl>
    <w:p>
      <w:pPr>
        <w:spacing w:line="240" w:lineRule="auto" w:before="7"/>
        <w:rPr>
          <w:rFonts w:ascii="宋体" w:hAnsi="宋体" w:cs="宋体" w:eastAsia="宋体" w:hint="default"/>
          <w:b/>
          <w:bCs/>
          <w:sz w:val="6"/>
          <w:szCs w:val="6"/>
        </w:rPr>
      </w:pPr>
    </w:p>
    <w:p>
      <w:pPr>
        <w:spacing w:before="36"/>
        <w:ind w:left="516" w:right="8066" w:firstLine="0"/>
        <w:jc w:val="left"/>
        <w:rPr>
          <w:rFonts w:ascii="宋体" w:hAnsi="宋体" w:cs="宋体" w:eastAsia="宋体" w:hint="default"/>
          <w:sz w:val="21"/>
          <w:szCs w:val="21"/>
        </w:rPr>
      </w:pPr>
      <w:r>
        <w:rPr>
          <w:rFonts w:ascii="宋体" w:hAnsi="宋体" w:cs="宋体" w:eastAsia="宋体" w:hint="default"/>
          <w:b/>
          <w:bCs/>
          <w:sz w:val="21"/>
          <w:szCs w:val="21"/>
        </w:rPr>
        <w:t>（三十）库存股</w:t>
      </w:r>
      <w:r>
        <w:rPr>
          <w:rFonts w:ascii="宋体" w:hAnsi="宋体" w:cs="宋体" w:eastAsia="宋体" w:hint="default"/>
          <w:b/>
          <w:bCs/>
          <w:w w:val="99"/>
          <w:sz w:val="21"/>
          <w:szCs w:val="21"/>
        </w:rPr>
        <w:t> </w:t>
      </w:r>
      <w:r>
        <w:rPr>
          <w:rFonts w:ascii="宋体" w:hAnsi="宋体" w:cs="宋体" w:eastAsia="宋体" w:hint="default"/>
          <w:sz w:val="21"/>
          <w:szCs w:val="21"/>
        </w:rPr>
      </w:r>
    </w:p>
    <w:p>
      <w:pPr>
        <w:spacing w:line="240" w:lineRule="auto" w:before="6"/>
        <w:rPr>
          <w:rFonts w:ascii="宋体" w:hAnsi="宋体" w:cs="宋体" w:eastAsia="宋体" w:hint="default"/>
          <w:b/>
          <w:bCs/>
          <w:sz w:val="14"/>
          <w:szCs w:val="14"/>
        </w:rPr>
      </w:pPr>
    </w:p>
    <w:tbl>
      <w:tblPr>
        <w:tblW w:w="0" w:type="auto"/>
        <w:jc w:val="left"/>
        <w:tblInd w:w="141" w:type="dxa"/>
        <w:tblLayout w:type="fixed"/>
        <w:tblCellMar>
          <w:top w:w="0" w:type="dxa"/>
          <w:left w:w="0" w:type="dxa"/>
          <w:bottom w:w="0" w:type="dxa"/>
          <w:right w:w="0" w:type="dxa"/>
        </w:tblCellMar>
        <w:tblLook w:val="01E0"/>
      </w:tblPr>
      <w:tblGrid>
        <w:gridCol w:w="2141"/>
        <w:gridCol w:w="1666"/>
        <w:gridCol w:w="1666"/>
        <w:gridCol w:w="1666"/>
        <w:gridCol w:w="2475"/>
      </w:tblGrid>
      <w:tr>
        <w:trPr>
          <w:trHeight w:val="396" w:hRule="exact"/>
        </w:trPr>
        <w:tc>
          <w:tcPr>
            <w:tcW w:w="2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793"/>
              <w:jc w:val="right"/>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470"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467" w:right="0"/>
              <w:jc w:val="left"/>
              <w:rPr>
                <w:rFonts w:ascii="宋体" w:hAnsi="宋体" w:cs="宋体" w:eastAsia="宋体" w:hint="default"/>
                <w:sz w:val="18"/>
                <w:szCs w:val="18"/>
              </w:rPr>
            </w:pPr>
            <w:r>
              <w:rPr>
                <w:rFonts w:ascii="宋体" w:hAnsi="宋体" w:cs="宋体" w:eastAsia="宋体" w:hint="default"/>
                <w:sz w:val="18"/>
                <w:szCs w:val="18"/>
              </w:rPr>
              <w:t>本期增加</w:t>
            </w:r>
            <w:r>
              <w:rPr>
                <w:rFonts w:ascii="宋体" w:hAnsi="宋体" w:cs="宋体" w:eastAsia="宋体" w:hint="default"/>
                <w:sz w:val="18"/>
                <w:szCs w:val="18"/>
              </w:rPr>
              <w:t> </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470" w:right="0"/>
              <w:jc w:val="left"/>
              <w:rPr>
                <w:rFonts w:ascii="宋体" w:hAnsi="宋体" w:cs="宋体" w:eastAsia="宋体" w:hint="default"/>
                <w:sz w:val="18"/>
                <w:szCs w:val="18"/>
              </w:rPr>
            </w:pPr>
            <w:r>
              <w:rPr>
                <w:rFonts w:ascii="宋体" w:hAnsi="宋体" w:cs="宋体" w:eastAsia="宋体" w:hint="default"/>
                <w:sz w:val="18"/>
                <w:szCs w:val="18"/>
              </w:rPr>
              <w:t>本期减少</w:t>
            </w:r>
            <w:r>
              <w:rPr>
                <w:rFonts w:ascii="宋体" w:hAnsi="宋体" w:cs="宋体" w:eastAsia="宋体" w:hint="default"/>
                <w:sz w:val="18"/>
                <w:szCs w:val="18"/>
              </w:rPr>
              <w:t> </w:t>
            </w:r>
          </w:p>
        </w:tc>
        <w:tc>
          <w:tcPr>
            <w:tcW w:w="2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71"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r>
      <w:tr>
        <w:trPr>
          <w:trHeight w:val="398" w:hRule="exact"/>
        </w:trPr>
        <w:tc>
          <w:tcPr>
            <w:tcW w:w="2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57"/>
              <w:jc w:val="right"/>
              <w:rPr>
                <w:rFonts w:ascii="宋体" w:hAnsi="宋体" w:cs="宋体" w:eastAsia="宋体" w:hint="default"/>
                <w:sz w:val="18"/>
                <w:szCs w:val="18"/>
              </w:rPr>
            </w:pPr>
            <w:r>
              <w:rPr>
                <w:rFonts w:ascii="宋体" w:hAnsi="宋体" w:cs="宋体" w:eastAsia="宋体" w:hint="default"/>
                <w:spacing w:val="-1"/>
                <w:sz w:val="18"/>
                <w:szCs w:val="18"/>
              </w:rPr>
              <w:t>收购股东股份</w:t>
            </w:r>
            <w:r>
              <w:rPr>
                <w:rFonts w:ascii="宋体" w:hAnsi="宋体" w:cs="宋体" w:eastAsia="宋体" w:hint="default"/>
                <w:sz w:val="18"/>
                <w:szCs w:val="18"/>
              </w:rPr>
              <w:t> </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z w:val="18"/>
              </w:rPr>
              <w:t> </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14,436,163.60</w:t>
            </w:r>
            <w:r>
              <w:rPr>
                <w:rFonts w:ascii="宋体"/>
                <w:sz w:val="18"/>
              </w:rPr>
              <w:t> </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z w:val="18"/>
              </w:rPr>
              <w:t> </w:t>
            </w:r>
          </w:p>
        </w:tc>
        <w:tc>
          <w:tcPr>
            <w:tcW w:w="2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14,436,163.60</w:t>
            </w:r>
            <w:r>
              <w:rPr>
                <w:rFonts w:ascii="宋体"/>
                <w:sz w:val="18"/>
              </w:rPr>
              <w:t> </w:t>
            </w:r>
          </w:p>
        </w:tc>
      </w:tr>
      <w:tr>
        <w:trPr>
          <w:trHeight w:val="396" w:hRule="exact"/>
        </w:trPr>
        <w:tc>
          <w:tcPr>
            <w:tcW w:w="21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793"/>
              <w:jc w:val="righ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z w:val="18"/>
              </w:rPr>
              <w:t> </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
              <w:jc w:val="right"/>
              <w:rPr>
                <w:rFonts w:ascii="宋体" w:hAnsi="宋体" w:cs="宋体" w:eastAsia="宋体" w:hint="default"/>
                <w:sz w:val="18"/>
                <w:szCs w:val="18"/>
              </w:rPr>
            </w:pPr>
            <w:r>
              <w:rPr>
                <w:rFonts w:ascii="宋体"/>
                <w:spacing w:val="-1"/>
                <w:sz w:val="18"/>
              </w:rPr>
              <w:t>14,436,163.60</w:t>
            </w:r>
            <w:r>
              <w:rPr>
                <w:rFonts w:ascii="宋体"/>
                <w:sz w:val="18"/>
              </w:rPr>
              <w:t> </w:t>
            </w:r>
          </w:p>
        </w:tc>
        <w:tc>
          <w:tcPr>
            <w:tcW w:w="16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z w:val="18"/>
              </w:rPr>
              <w:t> </w:t>
            </w:r>
          </w:p>
        </w:tc>
        <w:tc>
          <w:tcPr>
            <w:tcW w:w="24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
              <w:jc w:val="right"/>
              <w:rPr>
                <w:rFonts w:ascii="宋体" w:hAnsi="宋体" w:cs="宋体" w:eastAsia="宋体" w:hint="default"/>
                <w:sz w:val="18"/>
                <w:szCs w:val="18"/>
              </w:rPr>
            </w:pPr>
            <w:r>
              <w:rPr>
                <w:rFonts w:ascii="宋体"/>
                <w:spacing w:val="-1"/>
                <w:sz w:val="18"/>
              </w:rPr>
              <w:t>14,436,163.60</w:t>
            </w:r>
            <w:r>
              <w:rPr>
                <w:rFonts w:ascii="宋体"/>
                <w:sz w:val="18"/>
              </w:rPr>
              <w:t> </w:t>
            </w:r>
          </w:p>
        </w:tc>
      </w:tr>
    </w:tbl>
    <w:p>
      <w:pPr>
        <w:spacing w:line="240" w:lineRule="auto" w:before="8"/>
        <w:rPr>
          <w:rFonts w:ascii="宋体" w:hAnsi="宋体" w:cs="宋体" w:eastAsia="宋体" w:hint="default"/>
          <w:b/>
          <w:bCs/>
          <w:sz w:val="6"/>
          <w:szCs w:val="6"/>
        </w:rPr>
      </w:pPr>
    </w:p>
    <w:p>
      <w:pPr>
        <w:pStyle w:val="BodyText"/>
        <w:spacing w:line="274" w:lineRule="exact" w:before="36"/>
        <w:ind w:left="583" w:right="0"/>
        <w:jc w:val="left"/>
        <w:rPr>
          <w:rFonts w:ascii="宋体" w:hAnsi="宋体" w:cs="宋体" w:eastAsia="宋体" w:hint="default"/>
        </w:rPr>
      </w:pPr>
      <w:r>
        <w:rPr/>
        <w:t>说明：</w:t>
      </w:r>
      <w:r>
        <w:rPr>
          <w:rFonts w:ascii="宋体" w:hAnsi="宋体" w:cs="宋体" w:eastAsia="宋体" w:hint="default"/>
        </w:rPr>
        <w:t>2019 </w:t>
      </w:r>
      <w:r>
        <w:rPr/>
        <w:t>年 </w:t>
      </w:r>
      <w:r>
        <w:rPr>
          <w:rFonts w:ascii="宋体" w:hAnsi="宋体" w:cs="宋体" w:eastAsia="宋体" w:hint="default"/>
        </w:rPr>
        <w:t>3 </w:t>
      </w:r>
      <w:r>
        <w:rPr/>
        <w:t>月，公司股东大会决议，以集中竞价交易的方式回购部分流通股股份。截至</w:t>
      </w:r>
      <w:r>
        <w:rPr>
          <w:spacing w:val="-36"/>
        </w:rPr>
        <w:t> </w:t>
      </w:r>
      <w:r>
        <w:rPr>
          <w:rFonts w:ascii="宋体" w:hAnsi="宋体" w:cs="宋体" w:eastAsia="宋体" w:hint="default"/>
        </w:rPr>
        <w:t>2019</w:t>
      </w:r>
    </w:p>
    <w:p>
      <w:pPr>
        <w:pStyle w:val="BodyText"/>
        <w:spacing w:line="272" w:lineRule="exact"/>
        <w:ind w:left="163" w:right="0"/>
        <w:jc w:val="left"/>
        <w:rPr>
          <w:rFonts w:ascii="宋体" w:hAnsi="宋体" w:cs="宋体" w:eastAsia="宋体" w:hint="default"/>
        </w:rPr>
      </w:pPr>
      <w:r>
        <w:rPr/>
        <w:t>年</w:t>
      </w:r>
      <w:r>
        <w:rPr>
          <w:spacing w:val="-49"/>
        </w:rPr>
        <w:t> </w:t>
      </w:r>
      <w:r>
        <w:rPr>
          <w:rFonts w:ascii="宋体" w:hAnsi="宋体" w:cs="宋体" w:eastAsia="宋体" w:hint="default"/>
        </w:rPr>
        <w:t>12</w:t>
      </w:r>
      <w:r>
        <w:rPr>
          <w:rFonts w:ascii="宋体" w:hAnsi="宋体" w:cs="宋体" w:eastAsia="宋体" w:hint="default"/>
          <w:spacing w:val="-52"/>
        </w:rPr>
        <w:t> </w:t>
      </w:r>
      <w:r>
        <w:rPr/>
        <w:t>月</w:t>
      </w:r>
      <w:r>
        <w:rPr>
          <w:spacing w:val="-50"/>
        </w:rPr>
        <w:t> </w:t>
      </w:r>
      <w:r>
        <w:rPr>
          <w:rFonts w:ascii="宋体" w:hAnsi="宋体" w:cs="宋体" w:eastAsia="宋体" w:hint="default"/>
        </w:rPr>
        <w:t>31</w:t>
      </w:r>
      <w:r>
        <w:rPr>
          <w:rFonts w:ascii="宋体" w:hAnsi="宋体" w:cs="宋体" w:eastAsia="宋体" w:hint="default"/>
          <w:spacing w:val="-52"/>
        </w:rPr>
        <w:t> </w:t>
      </w:r>
      <w:r>
        <w:rPr>
          <w:spacing w:val="-9"/>
        </w:rPr>
        <w:t>日，累计回购股份</w:t>
      </w:r>
      <w:r>
        <w:rPr>
          <w:spacing w:val="7"/>
        </w:rPr>
        <w:t> </w:t>
      </w:r>
      <w:r>
        <w:rPr>
          <w:rFonts w:ascii="宋体" w:hAnsi="宋体" w:cs="宋体" w:eastAsia="宋体" w:hint="default"/>
          <w:spacing w:val="7"/>
        </w:rPr>
      </w:r>
      <w:r>
        <w:rPr>
          <w:rFonts w:ascii="宋体" w:hAnsi="宋体" w:cs="宋体" w:eastAsia="宋体" w:hint="default"/>
        </w:rPr>
        <w:t>1,128,800</w:t>
      </w:r>
      <w:r>
        <w:rPr>
          <w:rFonts w:ascii="宋体" w:hAnsi="宋体" w:cs="宋体" w:eastAsia="宋体" w:hint="default"/>
          <w:spacing w:val="6"/>
        </w:rPr>
        <w:t> </w:t>
      </w:r>
      <w:r>
        <w:rPr>
          <w:spacing w:val="-9"/>
        </w:rPr>
        <w:t>股，占公司总股本的</w:t>
      </w:r>
      <w:r>
        <w:rPr>
          <w:spacing w:val="7"/>
        </w:rPr>
        <w:t> </w:t>
      </w:r>
      <w:r>
        <w:rPr>
          <w:rFonts w:ascii="宋体" w:hAnsi="宋体" w:cs="宋体" w:eastAsia="宋体" w:hint="default"/>
          <w:spacing w:val="7"/>
        </w:rPr>
      </w:r>
      <w:r>
        <w:rPr>
          <w:rFonts w:ascii="宋体" w:hAnsi="宋体" w:cs="宋体" w:eastAsia="宋体" w:hint="default"/>
          <w:spacing w:val="-6"/>
        </w:rPr>
        <w:t>0.17%</w:t>
      </w:r>
      <w:r>
        <w:rPr>
          <w:spacing w:val="-6"/>
        </w:rPr>
        <w:t>，支付的股份回购款</w:t>
      </w:r>
      <w:r>
        <w:rPr>
          <w:spacing w:val="-49"/>
        </w:rPr>
        <w:t> </w:t>
      </w:r>
      <w:r>
        <w:rPr>
          <w:rFonts w:ascii="宋体" w:hAnsi="宋体" w:cs="宋体" w:eastAsia="宋体" w:hint="default"/>
        </w:rPr>
        <w:t>14,436,163.60 </w:t>
      </w:r>
    </w:p>
    <w:p>
      <w:pPr>
        <w:pStyle w:val="BodyText"/>
        <w:spacing w:line="273" w:lineRule="exact"/>
        <w:ind w:left="163" w:right="8066"/>
        <w:jc w:val="left"/>
        <w:rPr>
          <w:rFonts w:ascii="宋体" w:hAnsi="宋体" w:cs="宋体" w:eastAsia="宋体" w:hint="default"/>
        </w:rPr>
      </w:pPr>
      <w:r>
        <w:rPr/>
        <w:t>元。</w:t>
      </w:r>
      <w:r>
        <w:rPr>
          <w:rFonts w:ascii="宋体" w:hAnsi="宋体" w:cs="宋体" w:eastAsia="宋体" w:hint="default"/>
        </w:rPr>
        <w:t> </w:t>
      </w:r>
    </w:p>
    <w:p>
      <w:pPr>
        <w:pStyle w:val="Heading3"/>
        <w:spacing w:line="240" w:lineRule="auto" w:before="154"/>
        <w:ind w:left="516" w:right="8066"/>
        <w:jc w:val="left"/>
        <w:rPr>
          <w:rFonts w:ascii="宋体" w:hAnsi="宋体" w:cs="宋体" w:eastAsia="宋体" w:hint="default"/>
          <w:b w:val="0"/>
          <w:bCs w:val="0"/>
        </w:rPr>
      </w:pPr>
      <w:r>
        <w:rPr/>
        <w:t>（三十一）盈余公积</w:t>
      </w:r>
      <w:r>
        <w:rPr>
          <w:rFonts w:ascii="宋体" w:hAnsi="宋体" w:cs="宋体" w:eastAsia="宋体" w:hint="default"/>
          <w:w w:val="99"/>
        </w:rPr>
        <w:t> </w:t>
      </w:r>
      <w:r>
        <w:rPr>
          <w:rFonts w:ascii="宋体" w:hAnsi="宋体" w:cs="宋体" w:eastAsia="宋体" w:hint="default"/>
          <w:b w:val="0"/>
          <w:bCs w:val="0"/>
        </w:rPr>
      </w:r>
    </w:p>
    <w:p>
      <w:pPr>
        <w:spacing w:line="240" w:lineRule="auto" w:before="3"/>
        <w:rPr>
          <w:rFonts w:ascii="宋体" w:hAnsi="宋体" w:cs="宋体" w:eastAsia="宋体" w:hint="default"/>
          <w:b/>
          <w:bCs/>
          <w:sz w:val="14"/>
          <w:szCs w:val="14"/>
        </w:rPr>
      </w:pPr>
    </w:p>
    <w:tbl>
      <w:tblPr>
        <w:tblW w:w="0" w:type="auto"/>
        <w:jc w:val="left"/>
        <w:tblInd w:w="141" w:type="dxa"/>
        <w:tblLayout w:type="fixed"/>
        <w:tblCellMar>
          <w:top w:w="0" w:type="dxa"/>
          <w:left w:w="0" w:type="dxa"/>
          <w:bottom w:w="0" w:type="dxa"/>
          <w:right w:w="0" w:type="dxa"/>
        </w:tblCellMar>
        <w:tblLook w:val="01E0"/>
      </w:tblPr>
      <w:tblGrid>
        <w:gridCol w:w="1760"/>
        <w:gridCol w:w="1762"/>
        <w:gridCol w:w="1964"/>
        <w:gridCol w:w="1963"/>
        <w:gridCol w:w="2180"/>
      </w:tblGrid>
      <w:tr>
        <w:trPr>
          <w:trHeight w:val="396" w:hRule="exact"/>
        </w:trPr>
        <w:tc>
          <w:tcPr>
            <w:tcW w:w="17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8"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18"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616" w:right="0"/>
              <w:jc w:val="left"/>
              <w:rPr>
                <w:rFonts w:ascii="宋体" w:hAnsi="宋体" w:cs="宋体" w:eastAsia="宋体" w:hint="default"/>
                <w:sz w:val="18"/>
                <w:szCs w:val="18"/>
              </w:rPr>
            </w:pPr>
            <w:r>
              <w:rPr>
                <w:rFonts w:ascii="宋体" w:hAnsi="宋体" w:cs="宋体" w:eastAsia="宋体" w:hint="default"/>
                <w:sz w:val="18"/>
                <w:szCs w:val="18"/>
              </w:rPr>
              <w:t>本期增加</w:t>
            </w:r>
            <w:r>
              <w:rPr>
                <w:rFonts w:ascii="宋体" w:hAnsi="宋体" w:cs="宋体" w:eastAsia="宋体" w:hint="default"/>
                <w:sz w:val="18"/>
                <w:szCs w:val="18"/>
              </w:rPr>
              <w:t> </w:t>
            </w:r>
          </w:p>
        </w:tc>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616" w:right="0"/>
              <w:jc w:val="left"/>
              <w:rPr>
                <w:rFonts w:ascii="宋体" w:hAnsi="宋体" w:cs="宋体" w:eastAsia="宋体" w:hint="default"/>
                <w:sz w:val="18"/>
                <w:szCs w:val="18"/>
              </w:rPr>
            </w:pPr>
            <w:r>
              <w:rPr>
                <w:rFonts w:ascii="宋体" w:hAnsi="宋体" w:cs="宋体" w:eastAsia="宋体" w:hint="default"/>
                <w:sz w:val="18"/>
                <w:szCs w:val="18"/>
              </w:rPr>
              <w:t>本期减少</w:t>
            </w:r>
            <w:r>
              <w:rPr>
                <w:rFonts w:ascii="宋体" w:hAnsi="宋体" w:cs="宋体" w:eastAsia="宋体" w:hint="default"/>
                <w:sz w:val="18"/>
                <w:szCs w:val="18"/>
              </w:rPr>
              <w:t> </w:t>
            </w:r>
          </w:p>
        </w:tc>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725"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r>
      <w:tr>
        <w:trPr>
          <w:trHeight w:val="398" w:hRule="exact"/>
        </w:trPr>
        <w:tc>
          <w:tcPr>
            <w:tcW w:w="17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法定盈余公积</w:t>
            </w:r>
            <w:r>
              <w:rPr>
                <w:rFonts w:ascii="宋体" w:hAnsi="宋体" w:cs="宋体" w:eastAsia="宋体" w:hint="default"/>
                <w:sz w:val="18"/>
                <w:szCs w:val="18"/>
              </w:rPr>
              <w:t> </w:t>
            </w:r>
          </w:p>
        </w:tc>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91" w:right="0"/>
              <w:jc w:val="left"/>
              <w:rPr>
                <w:rFonts w:ascii="宋体" w:hAnsi="宋体" w:cs="宋体" w:eastAsia="宋体" w:hint="default"/>
                <w:sz w:val="18"/>
                <w:szCs w:val="18"/>
              </w:rPr>
            </w:pPr>
            <w:r>
              <w:rPr>
                <w:rFonts w:ascii="宋体"/>
                <w:sz w:val="18"/>
              </w:rPr>
              <w:t>104,445,528.28 </w:t>
            </w:r>
          </w:p>
        </w:tc>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06" w:right="0"/>
              <w:jc w:val="left"/>
              <w:rPr>
                <w:rFonts w:ascii="宋体" w:hAnsi="宋体" w:cs="宋体" w:eastAsia="宋体" w:hint="default"/>
                <w:sz w:val="18"/>
                <w:szCs w:val="18"/>
              </w:rPr>
            </w:pPr>
            <w:r>
              <w:rPr>
                <w:rFonts w:ascii="宋体"/>
                <w:sz w:val="18"/>
              </w:rPr>
              <w:t>104,445,528.28 </w:t>
            </w:r>
          </w:p>
        </w:tc>
      </w:tr>
    </w:tbl>
    <w:p>
      <w:pPr>
        <w:spacing w:after="0" w:line="240" w:lineRule="auto"/>
        <w:jc w:val="left"/>
        <w:rPr>
          <w:rFonts w:ascii="宋体" w:hAnsi="宋体" w:cs="宋体" w:eastAsia="宋体" w:hint="default"/>
          <w:sz w:val="18"/>
          <w:szCs w:val="18"/>
        </w:rPr>
        <w:sectPr>
          <w:pgSz w:w="11910" w:h="16840"/>
          <w:pgMar w:header="880" w:footer="975" w:top="1100" w:bottom="1160" w:left="1140" w:right="0"/>
        </w:sectPr>
      </w:pPr>
    </w:p>
    <w:p>
      <w:pPr>
        <w:spacing w:line="240" w:lineRule="auto" w:before="8"/>
        <w:rPr>
          <w:rFonts w:ascii="宋体" w:hAnsi="宋体" w:cs="宋体" w:eastAsia="宋体" w:hint="default"/>
          <w:b/>
          <w:bCs/>
          <w:sz w:val="24"/>
          <w:szCs w:val="24"/>
        </w:rPr>
      </w:pPr>
    </w:p>
    <w:tbl>
      <w:tblPr>
        <w:tblW w:w="0" w:type="auto"/>
        <w:jc w:val="left"/>
        <w:tblInd w:w="201" w:type="dxa"/>
        <w:tblLayout w:type="fixed"/>
        <w:tblCellMar>
          <w:top w:w="0" w:type="dxa"/>
          <w:left w:w="0" w:type="dxa"/>
          <w:bottom w:w="0" w:type="dxa"/>
          <w:right w:w="0" w:type="dxa"/>
        </w:tblCellMar>
        <w:tblLook w:val="01E0"/>
      </w:tblPr>
      <w:tblGrid>
        <w:gridCol w:w="1760"/>
        <w:gridCol w:w="1762"/>
        <w:gridCol w:w="1964"/>
        <w:gridCol w:w="1963"/>
        <w:gridCol w:w="2180"/>
      </w:tblGrid>
      <w:tr>
        <w:trPr>
          <w:trHeight w:val="398" w:hRule="exact"/>
        </w:trPr>
        <w:tc>
          <w:tcPr>
            <w:tcW w:w="17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8"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91" w:right="0"/>
              <w:jc w:val="left"/>
              <w:rPr>
                <w:rFonts w:ascii="宋体" w:hAnsi="宋体" w:cs="宋体" w:eastAsia="宋体" w:hint="default"/>
                <w:sz w:val="18"/>
                <w:szCs w:val="18"/>
              </w:rPr>
            </w:pPr>
            <w:r>
              <w:rPr>
                <w:rFonts w:ascii="宋体"/>
                <w:sz w:val="18"/>
              </w:rPr>
              <w:t>104,445,528.28 </w:t>
            </w:r>
          </w:p>
        </w:tc>
        <w:tc>
          <w:tcPr>
            <w:tcW w:w="19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21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06" w:right="0"/>
              <w:jc w:val="left"/>
              <w:rPr>
                <w:rFonts w:ascii="宋体" w:hAnsi="宋体" w:cs="宋体" w:eastAsia="宋体" w:hint="default"/>
                <w:sz w:val="18"/>
                <w:szCs w:val="18"/>
              </w:rPr>
            </w:pPr>
            <w:r>
              <w:rPr>
                <w:rFonts w:ascii="宋体"/>
                <w:sz w:val="18"/>
              </w:rPr>
              <w:t>104,445,528.28 </w:t>
            </w:r>
          </w:p>
        </w:tc>
      </w:tr>
    </w:tbl>
    <w:p>
      <w:pPr>
        <w:spacing w:line="240" w:lineRule="auto" w:before="8"/>
        <w:rPr>
          <w:rFonts w:ascii="宋体" w:hAnsi="宋体" w:cs="宋体" w:eastAsia="宋体" w:hint="default"/>
          <w:b/>
          <w:bCs/>
          <w:sz w:val="6"/>
          <w:szCs w:val="6"/>
        </w:rPr>
      </w:pPr>
    </w:p>
    <w:p>
      <w:pPr>
        <w:spacing w:before="36"/>
        <w:ind w:left="576" w:right="0" w:firstLine="0"/>
        <w:jc w:val="left"/>
        <w:rPr>
          <w:rFonts w:ascii="宋体" w:hAnsi="宋体" w:cs="宋体" w:eastAsia="宋体" w:hint="default"/>
          <w:sz w:val="21"/>
          <w:szCs w:val="21"/>
        </w:rPr>
      </w:pPr>
      <w:r>
        <w:rPr>
          <w:rFonts w:ascii="宋体" w:hAnsi="宋体" w:cs="宋体" w:eastAsia="宋体" w:hint="default"/>
          <w:b/>
          <w:bCs/>
          <w:sz w:val="21"/>
          <w:szCs w:val="21"/>
        </w:rPr>
        <w:t>（三十二）未分配利润</w:t>
      </w:r>
      <w:r>
        <w:rPr>
          <w:rFonts w:ascii="宋体" w:hAnsi="宋体" w:cs="宋体" w:eastAsia="宋体" w:hint="default"/>
          <w:b/>
          <w:bCs/>
          <w:w w:val="99"/>
          <w:sz w:val="21"/>
          <w:szCs w:val="21"/>
        </w:rPr>
        <w:t> </w:t>
      </w:r>
      <w:r>
        <w:rPr>
          <w:rFonts w:ascii="宋体" w:hAnsi="宋体" w:cs="宋体" w:eastAsia="宋体" w:hint="default"/>
          <w:sz w:val="21"/>
          <w:szCs w:val="21"/>
        </w:rPr>
      </w:r>
    </w:p>
    <w:p>
      <w:pPr>
        <w:spacing w:line="240" w:lineRule="auto" w:before="3"/>
        <w:rPr>
          <w:rFonts w:ascii="宋体" w:hAnsi="宋体" w:cs="宋体" w:eastAsia="宋体" w:hint="default"/>
          <w:b/>
          <w:bCs/>
          <w:sz w:val="14"/>
          <w:szCs w:val="14"/>
        </w:rPr>
      </w:pPr>
    </w:p>
    <w:tbl>
      <w:tblPr>
        <w:tblW w:w="0" w:type="auto"/>
        <w:jc w:val="left"/>
        <w:tblInd w:w="230" w:type="dxa"/>
        <w:tblLayout w:type="fixed"/>
        <w:tblCellMar>
          <w:top w:w="0" w:type="dxa"/>
          <w:left w:w="0" w:type="dxa"/>
          <w:bottom w:w="0" w:type="dxa"/>
          <w:right w:w="0" w:type="dxa"/>
        </w:tblCellMar>
        <w:tblLook w:val="01E0"/>
      </w:tblPr>
      <w:tblGrid>
        <w:gridCol w:w="4242"/>
        <w:gridCol w:w="2309"/>
        <w:gridCol w:w="3022"/>
      </w:tblGrid>
      <w:tr>
        <w:trPr>
          <w:trHeight w:val="396" w:hRule="exact"/>
        </w:trPr>
        <w:tc>
          <w:tcPr>
            <w:tcW w:w="4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2"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 w:right="0"/>
              <w:jc w:val="center"/>
              <w:rPr>
                <w:rFonts w:ascii="宋体" w:hAnsi="宋体" w:cs="宋体" w:eastAsia="宋体" w:hint="default"/>
                <w:sz w:val="18"/>
                <w:szCs w:val="18"/>
              </w:rPr>
            </w:pPr>
            <w:r>
              <w:rPr>
                <w:rFonts w:ascii="宋体" w:hAnsi="宋体" w:cs="宋体" w:eastAsia="宋体" w:hint="default"/>
                <w:sz w:val="18"/>
                <w:szCs w:val="18"/>
              </w:rPr>
              <w:t>本期</w:t>
            </w:r>
            <w:r>
              <w:rPr>
                <w:rFonts w:ascii="宋体" w:hAnsi="宋体" w:cs="宋体" w:eastAsia="宋体" w:hint="default"/>
                <w:sz w:val="18"/>
                <w:szCs w:val="18"/>
              </w:rPr>
              <w:t> </w:t>
            </w:r>
          </w:p>
        </w:tc>
        <w:tc>
          <w:tcPr>
            <w:tcW w:w="3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7" w:right="0"/>
              <w:jc w:val="center"/>
              <w:rPr>
                <w:rFonts w:ascii="宋体" w:hAnsi="宋体" w:cs="宋体" w:eastAsia="宋体" w:hint="default"/>
                <w:sz w:val="18"/>
                <w:szCs w:val="18"/>
              </w:rPr>
            </w:pPr>
            <w:r>
              <w:rPr>
                <w:rFonts w:ascii="宋体" w:hAnsi="宋体" w:cs="宋体" w:eastAsia="宋体" w:hint="default"/>
                <w:sz w:val="18"/>
                <w:szCs w:val="18"/>
              </w:rPr>
              <w:t>上期</w:t>
            </w:r>
            <w:r>
              <w:rPr>
                <w:rFonts w:ascii="宋体" w:hAnsi="宋体" w:cs="宋体" w:eastAsia="宋体" w:hint="default"/>
                <w:sz w:val="18"/>
                <w:szCs w:val="18"/>
              </w:rPr>
              <w:t> </w:t>
            </w:r>
          </w:p>
        </w:tc>
      </w:tr>
      <w:tr>
        <w:trPr>
          <w:trHeight w:val="398" w:hRule="exact"/>
        </w:trPr>
        <w:tc>
          <w:tcPr>
            <w:tcW w:w="4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调整前上期末未分配利润</w:t>
            </w:r>
            <w:r>
              <w:rPr>
                <w:rFonts w:ascii="宋体" w:hAnsi="宋体" w:cs="宋体" w:eastAsia="宋体" w:hint="default"/>
                <w:sz w:val="18"/>
                <w:szCs w:val="18"/>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
              <w:jc w:val="right"/>
              <w:rPr>
                <w:rFonts w:ascii="宋体" w:hAnsi="宋体" w:cs="宋体" w:eastAsia="宋体" w:hint="default"/>
                <w:sz w:val="18"/>
                <w:szCs w:val="18"/>
              </w:rPr>
            </w:pPr>
            <w:r>
              <w:rPr>
                <w:rFonts w:ascii="宋体"/>
                <w:spacing w:val="-1"/>
                <w:sz w:val="18"/>
              </w:rPr>
              <w:t>1,060,014,181.10</w:t>
            </w:r>
            <w:r>
              <w:rPr>
                <w:rFonts w:ascii="宋体"/>
                <w:sz w:val="18"/>
              </w:rPr>
              <w:t> </w:t>
            </w:r>
          </w:p>
        </w:tc>
        <w:tc>
          <w:tcPr>
            <w:tcW w:w="3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845,190,123.03 </w:t>
            </w:r>
          </w:p>
        </w:tc>
      </w:tr>
      <w:tr>
        <w:trPr>
          <w:trHeight w:val="396" w:hRule="exact"/>
        </w:trPr>
        <w:tc>
          <w:tcPr>
            <w:tcW w:w="4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调整期初未分配利润合计数（调增</w:t>
            </w:r>
            <w:r>
              <w:rPr>
                <w:rFonts w:ascii="宋体" w:hAnsi="宋体" w:cs="宋体" w:eastAsia="宋体" w:hint="default"/>
                <w:sz w:val="18"/>
                <w:szCs w:val="18"/>
              </w:rPr>
              <w:t>+</w:t>
            </w:r>
            <w:r>
              <w:rPr>
                <w:rFonts w:ascii="宋体" w:hAnsi="宋体" w:cs="宋体" w:eastAsia="宋体" w:hint="default"/>
                <w:sz w:val="18"/>
                <w:szCs w:val="18"/>
              </w:rPr>
              <w:t>，调减</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c>
          <w:tcPr>
            <w:tcW w:w="3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r>
      <w:tr>
        <w:trPr>
          <w:trHeight w:val="398" w:hRule="exact"/>
        </w:trPr>
        <w:tc>
          <w:tcPr>
            <w:tcW w:w="4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调整后期初未分配利润</w:t>
            </w:r>
            <w:r>
              <w:rPr>
                <w:rFonts w:ascii="宋体" w:hAnsi="宋体" w:cs="宋体" w:eastAsia="宋体" w:hint="default"/>
                <w:sz w:val="18"/>
                <w:szCs w:val="18"/>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3"/>
              <w:jc w:val="right"/>
              <w:rPr>
                <w:rFonts w:ascii="宋体" w:hAnsi="宋体" w:cs="宋体" w:eastAsia="宋体" w:hint="default"/>
                <w:sz w:val="18"/>
                <w:szCs w:val="18"/>
              </w:rPr>
            </w:pPr>
            <w:r>
              <w:rPr>
                <w:rFonts w:ascii="宋体"/>
                <w:spacing w:val="-1"/>
                <w:sz w:val="18"/>
              </w:rPr>
              <w:t>1,060,014,181.10</w:t>
            </w:r>
            <w:r>
              <w:rPr>
                <w:rFonts w:ascii="宋体"/>
                <w:sz w:val="18"/>
              </w:rPr>
              <w:t> </w:t>
            </w:r>
          </w:p>
        </w:tc>
        <w:tc>
          <w:tcPr>
            <w:tcW w:w="3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845,190,123.03 </w:t>
            </w:r>
          </w:p>
        </w:tc>
      </w:tr>
      <w:tr>
        <w:trPr>
          <w:trHeight w:val="458" w:hRule="exact"/>
        </w:trPr>
        <w:tc>
          <w:tcPr>
            <w:tcW w:w="4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加：本期归属于母公司所有者的净利润</w:t>
            </w:r>
            <w:r>
              <w:rPr>
                <w:rFonts w:ascii="宋体" w:hAnsi="宋体" w:cs="宋体" w:eastAsia="宋体" w:hint="default"/>
                <w:sz w:val="18"/>
                <w:szCs w:val="18"/>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3"/>
              <w:jc w:val="right"/>
              <w:rPr>
                <w:rFonts w:ascii="宋体" w:hAnsi="宋体" w:cs="宋体" w:eastAsia="宋体" w:hint="default"/>
                <w:sz w:val="18"/>
                <w:szCs w:val="18"/>
              </w:rPr>
            </w:pPr>
            <w:r>
              <w:rPr>
                <w:rFonts w:ascii="宋体"/>
                <w:spacing w:val="-1"/>
                <w:sz w:val="18"/>
              </w:rPr>
              <w:t>-1,240,168,787.93</w:t>
            </w:r>
            <w:r>
              <w:rPr>
                <w:rFonts w:ascii="宋体"/>
                <w:sz w:val="18"/>
              </w:rPr>
              <w:t> </w:t>
            </w:r>
          </w:p>
        </w:tc>
        <w:tc>
          <w:tcPr>
            <w:tcW w:w="3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1"/>
              <w:jc w:val="right"/>
              <w:rPr>
                <w:rFonts w:ascii="宋体" w:hAnsi="宋体" w:cs="宋体" w:eastAsia="宋体" w:hint="default"/>
                <w:sz w:val="18"/>
                <w:szCs w:val="18"/>
              </w:rPr>
            </w:pPr>
            <w:r>
              <w:rPr>
                <w:rFonts w:ascii="宋体"/>
                <w:spacing w:val="-1"/>
                <w:sz w:val="18"/>
              </w:rPr>
              <w:t>252,883,527.21 </w:t>
            </w:r>
          </w:p>
        </w:tc>
      </w:tr>
      <w:tr>
        <w:trPr>
          <w:trHeight w:val="396" w:hRule="exact"/>
        </w:trPr>
        <w:tc>
          <w:tcPr>
            <w:tcW w:w="4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减：提取法定盈余公积</w:t>
            </w:r>
            <w:r>
              <w:rPr>
                <w:rFonts w:ascii="宋体" w:hAnsi="宋体" w:cs="宋体" w:eastAsia="宋体" w:hint="default"/>
                <w:sz w:val="18"/>
                <w:szCs w:val="18"/>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c>
          <w:tcPr>
            <w:tcW w:w="3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15,051,878.06</w:t>
            </w:r>
            <w:r>
              <w:rPr>
                <w:rFonts w:ascii="宋体"/>
                <w:sz w:val="18"/>
              </w:rPr>
              <w:t> </w:t>
            </w:r>
          </w:p>
        </w:tc>
      </w:tr>
      <w:tr>
        <w:trPr>
          <w:trHeight w:val="398" w:hRule="exact"/>
        </w:trPr>
        <w:tc>
          <w:tcPr>
            <w:tcW w:w="4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63" w:right="0"/>
              <w:jc w:val="left"/>
              <w:rPr>
                <w:rFonts w:ascii="宋体" w:hAnsi="宋体" w:cs="宋体" w:eastAsia="宋体" w:hint="default"/>
                <w:sz w:val="18"/>
                <w:szCs w:val="18"/>
              </w:rPr>
            </w:pPr>
            <w:r>
              <w:rPr>
                <w:rFonts w:ascii="宋体" w:hAnsi="宋体" w:cs="宋体" w:eastAsia="宋体" w:hint="default"/>
                <w:sz w:val="18"/>
                <w:szCs w:val="18"/>
              </w:rPr>
              <w:t>提取任意盈余公积</w:t>
            </w:r>
            <w:r>
              <w:rPr>
                <w:rFonts w:ascii="宋体" w:hAnsi="宋体" w:cs="宋体" w:eastAsia="宋体" w:hint="default"/>
                <w:sz w:val="18"/>
                <w:szCs w:val="18"/>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3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r>
      <w:tr>
        <w:trPr>
          <w:trHeight w:val="397" w:hRule="exact"/>
        </w:trPr>
        <w:tc>
          <w:tcPr>
            <w:tcW w:w="4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63" w:right="0"/>
              <w:jc w:val="left"/>
              <w:rPr>
                <w:rFonts w:ascii="宋体" w:hAnsi="宋体" w:cs="宋体" w:eastAsia="宋体" w:hint="default"/>
                <w:sz w:val="18"/>
                <w:szCs w:val="18"/>
              </w:rPr>
            </w:pPr>
            <w:r>
              <w:rPr>
                <w:rFonts w:ascii="宋体" w:hAnsi="宋体" w:cs="宋体" w:eastAsia="宋体" w:hint="default"/>
                <w:sz w:val="18"/>
                <w:szCs w:val="18"/>
              </w:rPr>
              <w:t>提取一般风险准备</w:t>
            </w:r>
            <w:r>
              <w:rPr>
                <w:rFonts w:ascii="宋体" w:hAnsi="宋体" w:cs="宋体" w:eastAsia="宋体" w:hint="default"/>
                <w:sz w:val="18"/>
                <w:szCs w:val="18"/>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c>
          <w:tcPr>
            <w:tcW w:w="3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r>
      <w:tr>
        <w:trPr>
          <w:trHeight w:val="487" w:hRule="exact"/>
        </w:trPr>
        <w:tc>
          <w:tcPr>
            <w:tcW w:w="4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4"/>
              <w:ind w:left="463" w:right="0"/>
              <w:jc w:val="left"/>
              <w:rPr>
                <w:rFonts w:ascii="宋体" w:hAnsi="宋体" w:cs="宋体" w:eastAsia="宋体" w:hint="default"/>
                <w:sz w:val="18"/>
                <w:szCs w:val="18"/>
              </w:rPr>
            </w:pPr>
            <w:r>
              <w:rPr>
                <w:rFonts w:ascii="宋体" w:hAnsi="宋体" w:cs="宋体" w:eastAsia="宋体" w:hint="default"/>
                <w:sz w:val="18"/>
                <w:szCs w:val="18"/>
              </w:rPr>
              <w:t>应付普通股股利</w:t>
            </w:r>
            <w:r>
              <w:rPr>
                <w:rFonts w:ascii="宋体" w:hAnsi="宋体" w:cs="宋体" w:eastAsia="宋体" w:hint="default"/>
                <w:sz w:val="18"/>
                <w:szCs w:val="18"/>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2"/>
              <w:jc w:val="right"/>
              <w:rPr>
                <w:rFonts w:ascii="宋体" w:hAnsi="宋体" w:cs="宋体" w:eastAsia="宋体" w:hint="default"/>
                <w:sz w:val="18"/>
                <w:szCs w:val="18"/>
              </w:rPr>
            </w:pPr>
            <w:r>
              <w:rPr>
                <w:rFonts w:ascii="宋体"/>
                <w:spacing w:val="-1"/>
                <w:sz w:val="18"/>
              </w:rPr>
              <w:t>25,371,903.99</w:t>
            </w:r>
            <w:r>
              <w:rPr>
                <w:rFonts w:ascii="宋体"/>
                <w:sz w:val="18"/>
              </w:rPr>
              <w:t> </w:t>
            </w:r>
          </w:p>
        </w:tc>
        <w:tc>
          <w:tcPr>
            <w:tcW w:w="3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1"/>
              <w:jc w:val="right"/>
              <w:rPr>
                <w:rFonts w:ascii="宋体" w:hAnsi="宋体" w:cs="宋体" w:eastAsia="宋体" w:hint="default"/>
                <w:sz w:val="18"/>
                <w:szCs w:val="18"/>
              </w:rPr>
            </w:pPr>
            <w:r>
              <w:rPr>
                <w:rFonts w:ascii="宋体"/>
                <w:spacing w:val="-1"/>
                <w:sz w:val="18"/>
              </w:rPr>
              <w:t>23,007,591.08</w:t>
            </w:r>
            <w:r>
              <w:rPr>
                <w:rFonts w:ascii="宋体"/>
                <w:sz w:val="18"/>
              </w:rPr>
              <w:t> </w:t>
            </w:r>
          </w:p>
        </w:tc>
      </w:tr>
      <w:tr>
        <w:trPr>
          <w:trHeight w:val="396" w:hRule="exact"/>
        </w:trPr>
        <w:tc>
          <w:tcPr>
            <w:tcW w:w="4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63" w:right="0"/>
              <w:jc w:val="left"/>
              <w:rPr>
                <w:rFonts w:ascii="宋体" w:hAnsi="宋体" w:cs="宋体" w:eastAsia="宋体" w:hint="default"/>
                <w:sz w:val="18"/>
                <w:szCs w:val="18"/>
              </w:rPr>
            </w:pPr>
            <w:r>
              <w:rPr>
                <w:rFonts w:ascii="宋体" w:hAnsi="宋体" w:cs="宋体" w:eastAsia="宋体" w:hint="default"/>
                <w:sz w:val="18"/>
                <w:szCs w:val="18"/>
              </w:rPr>
              <w:t>转作股本的普通股股利</w:t>
            </w:r>
            <w:r>
              <w:rPr>
                <w:rFonts w:ascii="宋体" w:hAnsi="宋体" w:cs="宋体" w:eastAsia="宋体" w:hint="default"/>
                <w:sz w:val="18"/>
                <w:szCs w:val="18"/>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c>
          <w:tcPr>
            <w:tcW w:w="3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r>
      <w:tr>
        <w:trPr>
          <w:trHeight w:val="398" w:hRule="exact"/>
        </w:trPr>
        <w:tc>
          <w:tcPr>
            <w:tcW w:w="42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期末未分配利润</w:t>
            </w:r>
            <w:r>
              <w:rPr>
                <w:rFonts w:ascii="宋体" w:hAnsi="宋体" w:cs="宋体" w:eastAsia="宋体" w:hint="default"/>
                <w:sz w:val="18"/>
                <w:szCs w:val="18"/>
              </w:rPr>
              <w:t> </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
              <w:jc w:val="right"/>
              <w:rPr>
                <w:rFonts w:ascii="宋体" w:hAnsi="宋体" w:cs="宋体" w:eastAsia="宋体" w:hint="default"/>
                <w:sz w:val="18"/>
                <w:szCs w:val="18"/>
              </w:rPr>
            </w:pPr>
            <w:r>
              <w:rPr>
                <w:rFonts w:ascii="宋体"/>
                <w:spacing w:val="-1"/>
                <w:sz w:val="18"/>
              </w:rPr>
              <w:t>-205,526,510.82</w:t>
            </w:r>
            <w:r>
              <w:rPr>
                <w:rFonts w:ascii="宋体"/>
                <w:sz w:val="18"/>
              </w:rPr>
              <w:t> </w:t>
            </w:r>
          </w:p>
        </w:tc>
        <w:tc>
          <w:tcPr>
            <w:tcW w:w="30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1,060,014,181.10 </w:t>
            </w:r>
          </w:p>
        </w:tc>
      </w:tr>
    </w:tbl>
    <w:p>
      <w:pPr>
        <w:spacing w:line="240" w:lineRule="auto" w:before="7"/>
        <w:rPr>
          <w:rFonts w:ascii="宋体" w:hAnsi="宋体" w:cs="宋体" w:eastAsia="宋体" w:hint="default"/>
          <w:b/>
          <w:bCs/>
          <w:sz w:val="6"/>
          <w:szCs w:val="6"/>
        </w:rPr>
      </w:pPr>
    </w:p>
    <w:p>
      <w:pPr>
        <w:spacing w:line="372" w:lineRule="auto" w:before="36"/>
        <w:ind w:left="646" w:right="7149" w:hanging="70"/>
        <w:jc w:val="left"/>
        <w:rPr>
          <w:rFonts w:ascii="宋体" w:hAnsi="宋体" w:cs="宋体" w:eastAsia="宋体" w:hint="default"/>
          <w:sz w:val="21"/>
          <w:szCs w:val="21"/>
        </w:rPr>
      </w:pPr>
      <w:r>
        <w:rPr>
          <w:rFonts w:ascii="宋体" w:hAnsi="宋体" w:cs="宋体" w:eastAsia="宋体" w:hint="default"/>
          <w:b/>
          <w:bCs/>
          <w:sz w:val="21"/>
          <w:szCs w:val="21"/>
        </w:rPr>
        <w:t>（三十三）营业收入和营业成本</w:t>
      </w:r>
      <w:r>
        <w:rPr>
          <w:rFonts w:ascii="宋体" w:hAnsi="宋体" w:cs="宋体" w:eastAsia="宋体" w:hint="default"/>
          <w:b/>
          <w:bCs/>
          <w:w w:val="99"/>
          <w:sz w:val="21"/>
          <w:szCs w:val="21"/>
        </w:rPr>
        <w:t> </w:t>
      </w:r>
      <w:r>
        <w:rPr>
          <w:rFonts w:ascii="宋体" w:hAnsi="宋体" w:cs="宋体" w:eastAsia="宋体" w:hint="default"/>
          <w:b/>
          <w:bCs/>
          <w:sz w:val="21"/>
          <w:szCs w:val="21"/>
        </w:rPr>
        <w:t>1</w:t>
      </w:r>
      <w:r>
        <w:rPr>
          <w:rFonts w:ascii="宋体" w:hAnsi="宋体" w:cs="宋体" w:eastAsia="宋体" w:hint="default"/>
          <w:b/>
          <w:bCs/>
          <w:sz w:val="21"/>
          <w:szCs w:val="21"/>
        </w:rPr>
        <w:t>、</w:t>
      </w:r>
      <w:r>
        <w:rPr>
          <w:rFonts w:ascii="宋体" w:hAnsi="宋体" w:cs="宋体" w:eastAsia="宋体" w:hint="default"/>
          <w:sz w:val="21"/>
          <w:szCs w:val="21"/>
        </w:rPr>
        <w:t>营业收入和营业成本</w:t>
      </w:r>
      <w:r>
        <w:rPr>
          <w:rFonts w:ascii="宋体" w:hAnsi="宋体" w:cs="宋体" w:eastAsia="宋体" w:hint="default"/>
          <w:sz w:val="21"/>
          <w:szCs w:val="21"/>
        </w:rPr>
        <w:t> </w:t>
      </w:r>
    </w:p>
    <w:p>
      <w:pPr>
        <w:spacing w:line="240" w:lineRule="auto" w:before="8"/>
        <w:rPr>
          <w:rFonts w:ascii="宋体" w:hAnsi="宋体" w:cs="宋体" w:eastAsia="宋体" w:hint="default"/>
          <w:sz w:val="5"/>
          <w:szCs w:val="5"/>
        </w:rPr>
      </w:pPr>
    </w:p>
    <w:tbl>
      <w:tblPr>
        <w:tblW w:w="0" w:type="auto"/>
        <w:jc w:val="left"/>
        <w:tblInd w:w="110" w:type="dxa"/>
        <w:tblLayout w:type="fixed"/>
        <w:tblCellMar>
          <w:top w:w="0" w:type="dxa"/>
          <w:left w:w="0" w:type="dxa"/>
          <w:bottom w:w="0" w:type="dxa"/>
          <w:right w:w="0" w:type="dxa"/>
        </w:tblCellMar>
        <w:tblLook w:val="01E0"/>
      </w:tblPr>
      <w:tblGrid>
        <w:gridCol w:w="1896"/>
        <w:gridCol w:w="1657"/>
        <w:gridCol w:w="1656"/>
        <w:gridCol w:w="1889"/>
        <w:gridCol w:w="2569"/>
      </w:tblGrid>
      <w:tr>
        <w:trPr>
          <w:trHeight w:val="396" w:hRule="exact"/>
        </w:trPr>
        <w:tc>
          <w:tcPr>
            <w:tcW w:w="1896"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90"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331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2" w:right="0"/>
              <w:jc w:val="center"/>
              <w:rPr>
                <w:rFonts w:ascii="宋体" w:hAnsi="宋体" w:cs="宋体" w:eastAsia="宋体" w:hint="default"/>
                <w:sz w:val="18"/>
                <w:szCs w:val="18"/>
              </w:rPr>
            </w:pPr>
            <w:r>
              <w:rPr>
                <w:rFonts w:ascii="宋体" w:hAnsi="宋体" w:cs="宋体" w:eastAsia="宋体" w:hint="default"/>
                <w:sz w:val="18"/>
                <w:szCs w:val="18"/>
              </w:rPr>
              <w:t>本期发生额</w:t>
            </w:r>
            <w:r>
              <w:rPr>
                <w:rFonts w:ascii="宋体" w:hAnsi="宋体" w:cs="宋体" w:eastAsia="宋体" w:hint="default"/>
                <w:sz w:val="18"/>
                <w:szCs w:val="18"/>
              </w:rPr>
              <w:t> </w:t>
            </w:r>
          </w:p>
        </w:tc>
        <w:tc>
          <w:tcPr>
            <w:tcW w:w="445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4" w:right="0"/>
              <w:jc w:val="center"/>
              <w:rPr>
                <w:rFonts w:ascii="宋体" w:hAnsi="宋体" w:cs="宋体" w:eastAsia="宋体" w:hint="default"/>
                <w:sz w:val="18"/>
                <w:szCs w:val="18"/>
              </w:rPr>
            </w:pPr>
            <w:r>
              <w:rPr>
                <w:rFonts w:ascii="宋体" w:hAnsi="宋体" w:cs="宋体" w:eastAsia="宋体" w:hint="default"/>
                <w:sz w:val="18"/>
                <w:szCs w:val="18"/>
              </w:rPr>
              <w:t>上期发生额</w:t>
            </w:r>
            <w:r>
              <w:rPr>
                <w:rFonts w:ascii="宋体" w:hAnsi="宋体" w:cs="宋体" w:eastAsia="宋体" w:hint="default"/>
                <w:sz w:val="18"/>
                <w:szCs w:val="18"/>
              </w:rPr>
              <w:t> </w:t>
            </w:r>
          </w:p>
        </w:tc>
      </w:tr>
      <w:tr>
        <w:trPr>
          <w:trHeight w:val="398" w:hRule="exact"/>
        </w:trPr>
        <w:tc>
          <w:tcPr>
            <w:tcW w:w="1896" w:type="dxa"/>
            <w:vMerge/>
            <w:tcBorders>
              <w:left w:val="single" w:sz="4" w:space="0" w:color="000000"/>
              <w:bottom w:val="single" w:sz="4" w:space="0" w:color="000000"/>
              <w:right w:val="single" w:sz="4" w:space="0" w:color="000000"/>
            </w:tcBorders>
          </w:tcPr>
          <w:p>
            <w:pPr/>
          </w:p>
        </w:tc>
        <w:tc>
          <w:tcPr>
            <w:tcW w:w="1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465" w:right="0"/>
              <w:jc w:val="left"/>
              <w:rPr>
                <w:rFonts w:ascii="宋体" w:hAnsi="宋体" w:cs="宋体" w:eastAsia="宋体" w:hint="default"/>
                <w:sz w:val="18"/>
                <w:szCs w:val="18"/>
              </w:rPr>
            </w:pPr>
            <w:r>
              <w:rPr>
                <w:rFonts w:ascii="宋体" w:hAnsi="宋体" w:cs="宋体" w:eastAsia="宋体" w:hint="default"/>
                <w:sz w:val="18"/>
                <w:szCs w:val="18"/>
              </w:rPr>
              <w:t>营业收入</w:t>
            </w:r>
            <w:r>
              <w:rPr>
                <w:rFonts w:ascii="宋体" w:hAnsi="宋体" w:cs="宋体" w:eastAsia="宋体" w:hint="default"/>
                <w:sz w:val="18"/>
                <w:szCs w:val="18"/>
              </w:rPr>
              <w:t> </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465" w:right="0"/>
              <w:jc w:val="left"/>
              <w:rPr>
                <w:rFonts w:ascii="宋体" w:hAnsi="宋体" w:cs="宋体" w:eastAsia="宋体" w:hint="default"/>
                <w:sz w:val="18"/>
                <w:szCs w:val="18"/>
              </w:rPr>
            </w:pPr>
            <w:r>
              <w:rPr>
                <w:rFonts w:ascii="宋体" w:hAnsi="宋体" w:cs="宋体" w:eastAsia="宋体" w:hint="default"/>
                <w:sz w:val="18"/>
                <w:szCs w:val="18"/>
              </w:rPr>
              <w:t>营业成本</w:t>
            </w:r>
            <w:r>
              <w:rPr>
                <w:rFonts w:ascii="宋体" w:hAnsi="宋体" w:cs="宋体" w:eastAsia="宋体" w:hint="default"/>
                <w:sz w:val="18"/>
                <w:szCs w:val="18"/>
              </w:rPr>
              <w:t> </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581" w:right="0"/>
              <w:jc w:val="left"/>
              <w:rPr>
                <w:rFonts w:ascii="宋体" w:hAnsi="宋体" w:cs="宋体" w:eastAsia="宋体" w:hint="default"/>
                <w:sz w:val="18"/>
                <w:szCs w:val="18"/>
              </w:rPr>
            </w:pPr>
            <w:r>
              <w:rPr>
                <w:rFonts w:ascii="宋体" w:hAnsi="宋体" w:cs="宋体" w:eastAsia="宋体" w:hint="default"/>
                <w:sz w:val="18"/>
                <w:szCs w:val="18"/>
              </w:rPr>
              <w:t>营业收入</w:t>
            </w:r>
            <w:r>
              <w:rPr>
                <w:rFonts w:ascii="宋体" w:hAnsi="宋体" w:cs="宋体" w:eastAsia="宋体" w:hint="default"/>
                <w:sz w:val="18"/>
                <w:szCs w:val="18"/>
              </w:rPr>
              <w:t> </w:t>
            </w:r>
          </w:p>
        </w:tc>
        <w:tc>
          <w:tcPr>
            <w:tcW w:w="2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19" w:right="0"/>
              <w:jc w:val="left"/>
              <w:rPr>
                <w:rFonts w:ascii="宋体" w:hAnsi="宋体" w:cs="宋体" w:eastAsia="宋体" w:hint="default"/>
                <w:sz w:val="18"/>
                <w:szCs w:val="18"/>
              </w:rPr>
            </w:pPr>
            <w:r>
              <w:rPr>
                <w:rFonts w:ascii="宋体" w:hAnsi="宋体" w:cs="宋体" w:eastAsia="宋体" w:hint="default"/>
                <w:sz w:val="18"/>
                <w:szCs w:val="18"/>
              </w:rPr>
              <w:t>营业成本</w:t>
            </w:r>
            <w:r>
              <w:rPr>
                <w:rFonts w:ascii="宋体" w:hAnsi="宋体" w:cs="宋体" w:eastAsia="宋体" w:hint="default"/>
                <w:sz w:val="18"/>
                <w:szCs w:val="18"/>
              </w:rPr>
              <w:t> </w:t>
            </w:r>
          </w:p>
        </w:tc>
      </w:tr>
      <w:tr>
        <w:trPr>
          <w:trHeight w:val="396" w:hRule="exact"/>
        </w:trPr>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主营业务</w:t>
            </w:r>
            <w:r>
              <w:rPr>
                <w:rFonts w:ascii="宋体" w:hAnsi="宋体" w:cs="宋体" w:eastAsia="宋体" w:hint="default"/>
                <w:sz w:val="18"/>
                <w:szCs w:val="18"/>
              </w:rPr>
              <w:t> </w:t>
            </w:r>
          </w:p>
        </w:tc>
        <w:tc>
          <w:tcPr>
            <w:tcW w:w="1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
              <w:jc w:val="right"/>
              <w:rPr>
                <w:rFonts w:ascii="宋体" w:hAnsi="宋体" w:cs="宋体" w:eastAsia="宋体" w:hint="default"/>
                <w:sz w:val="18"/>
                <w:szCs w:val="18"/>
              </w:rPr>
            </w:pPr>
            <w:r>
              <w:rPr>
                <w:rFonts w:ascii="宋体"/>
                <w:spacing w:val="-1"/>
                <w:sz w:val="18"/>
              </w:rPr>
              <w:t>3,161,892,116.48 </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
              <w:jc w:val="right"/>
              <w:rPr>
                <w:rFonts w:ascii="宋体" w:hAnsi="宋体" w:cs="宋体" w:eastAsia="宋体" w:hint="default"/>
                <w:sz w:val="18"/>
                <w:szCs w:val="18"/>
              </w:rPr>
            </w:pPr>
            <w:r>
              <w:rPr>
                <w:rFonts w:ascii="宋体"/>
                <w:spacing w:val="-1"/>
                <w:sz w:val="18"/>
              </w:rPr>
              <w:t>2,701,705,893.60 </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3,030,258,915.18 </w:t>
            </w:r>
          </w:p>
        </w:tc>
        <w:tc>
          <w:tcPr>
            <w:tcW w:w="2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2,429,792,213.55 </w:t>
            </w:r>
          </w:p>
        </w:tc>
      </w:tr>
      <w:tr>
        <w:trPr>
          <w:trHeight w:val="396" w:hRule="exact"/>
        </w:trPr>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103" w:right="0"/>
              <w:jc w:val="left"/>
              <w:rPr>
                <w:rFonts w:ascii="宋体" w:hAnsi="宋体" w:cs="宋体" w:eastAsia="宋体" w:hint="default"/>
                <w:sz w:val="18"/>
                <w:szCs w:val="18"/>
              </w:rPr>
            </w:pPr>
            <w:r>
              <w:rPr>
                <w:rFonts w:ascii="宋体" w:hAnsi="宋体" w:cs="宋体" w:eastAsia="宋体" w:hint="default"/>
                <w:sz w:val="18"/>
                <w:szCs w:val="18"/>
              </w:rPr>
              <w:t>其他业务</w:t>
            </w:r>
            <w:r>
              <w:rPr>
                <w:rFonts w:ascii="宋体" w:hAnsi="宋体" w:cs="宋体" w:eastAsia="宋体" w:hint="default"/>
                <w:sz w:val="18"/>
                <w:szCs w:val="18"/>
              </w:rPr>
              <w:t> </w:t>
            </w:r>
          </w:p>
        </w:tc>
        <w:tc>
          <w:tcPr>
            <w:tcW w:w="1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
              <w:jc w:val="right"/>
              <w:rPr>
                <w:rFonts w:ascii="宋体" w:hAnsi="宋体" w:cs="宋体" w:eastAsia="宋体" w:hint="default"/>
                <w:sz w:val="18"/>
                <w:szCs w:val="18"/>
              </w:rPr>
            </w:pPr>
            <w:r>
              <w:rPr>
                <w:rFonts w:ascii="宋体"/>
                <w:spacing w:val="-1"/>
                <w:sz w:val="18"/>
              </w:rPr>
              <w:t>739,310.43 </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
              <w:jc w:val="right"/>
              <w:rPr>
                <w:rFonts w:ascii="宋体" w:hAnsi="宋体" w:cs="宋体" w:eastAsia="宋体" w:hint="default"/>
                <w:sz w:val="18"/>
                <w:szCs w:val="18"/>
              </w:rPr>
            </w:pPr>
            <w:r>
              <w:rPr>
                <w:rFonts w:ascii="宋体"/>
                <w:spacing w:val="-1"/>
                <w:sz w:val="18"/>
              </w:rPr>
              <w:t>562,776.76</w:t>
            </w:r>
            <w:r>
              <w:rPr>
                <w:rFonts w:ascii="宋体"/>
                <w:sz w:val="18"/>
              </w:rPr>
              <w:t> </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499,990.61</w:t>
            </w:r>
            <w:r>
              <w:rPr>
                <w:rFonts w:ascii="宋体"/>
                <w:sz w:val="18"/>
              </w:rPr>
              <w:t> </w:t>
            </w:r>
          </w:p>
        </w:tc>
        <w:tc>
          <w:tcPr>
            <w:tcW w:w="2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254,545.46</w:t>
            </w:r>
            <w:r>
              <w:rPr>
                <w:rFonts w:ascii="宋体"/>
                <w:sz w:val="18"/>
              </w:rPr>
              <w:t> </w:t>
            </w:r>
          </w:p>
        </w:tc>
      </w:tr>
      <w:tr>
        <w:trPr>
          <w:trHeight w:val="398" w:hRule="exact"/>
        </w:trPr>
        <w:tc>
          <w:tcPr>
            <w:tcW w:w="18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0"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3,162,631,426.91 </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2,702,268,670.36 </w:t>
            </w:r>
          </w:p>
        </w:tc>
        <w:tc>
          <w:tcPr>
            <w:tcW w:w="18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3,030,758,905.79 </w:t>
            </w:r>
          </w:p>
        </w:tc>
        <w:tc>
          <w:tcPr>
            <w:tcW w:w="25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2,430,046,759.01 </w:t>
            </w:r>
          </w:p>
        </w:tc>
      </w:tr>
    </w:tbl>
    <w:p>
      <w:pPr>
        <w:spacing w:line="240" w:lineRule="auto" w:before="7"/>
        <w:rPr>
          <w:rFonts w:ascii="宋体" w:hAnsi="宋体" w:cs="宋体" w:eastAsia="宋体" w:hint="default"/>
          <w:sz w:val="6"/>
          <w:szCs w:val="6"/>
        </w:rPr>
      </w:pPr>
    </w:p>
    <w:p>
      <w:pPr>
        <w:pStyle w:val="Heading3"/>
        <w:spacing w:line="240" w:lineRule="auto"/>
        <w:ind w:left="576" w:right="0"/>
        <w:jc w:val="left"/>
        <w:rPr>
          <w:rFonts w:ascii="宋体" w:hAnsi="宋体" w:cs="宋体" w:eastAsia="宋体" w:hint="default"/>
          <w:b w:val="0"/>
          <w:bCs w:val="0"/>
        </w:rPr>
      </w:pPr>
      <w:r>
        <w:rPr/>
        <w:t>（三十四）税金及附加</w:t>
      </w:r>
      <w:r>
        <w:rPr>
          <w:rFonts w:ascii="宋体" w:hAnsi="宋体" w:cs="宋体" w:eastAsia="宋体" w:hint="default"/>
          <w:w w:val="99"/>
        </w:rPr>
        <w:t> </w:t>
      </w:r>
      <w:r>
        <w:rPr>
          <w:rFonts w:ascii="宋体" w:hAnsi="宋体" w:cs="宋体" w:eastAsia="宋体" w:hint="default"/>
          <w:b w:val="0"/>
          <w:bCs w:val="0"/>
        </w:rPr>
      </w:r>
    </w:p>
    <w:p>
      <w:pPr>
        <w:spacing w:line="240" w:lineRule="auto" w:before="3"/>
        <w:rPr>
          <w:rFonts w:ascii="宋体" w:hAnsi="宋体" w:cs="宋体" w:eastAsia="宋体" w:hint="default"/>
          <w:b/>
          <w:bCs/>
          <w:sz w:val="14"/>
          <w:szCs w:val="14"/>
        </w:rPr>
      </w:pPr>
    </w:p>
    <w:tbl>
      <w:tblPr>
        <w:tblW w:w="0" w:type="auto"/>
        <w:jc w:val="left"/>
        <w:tblInd w:w="110" w:type="dxa"/>
        <w:tblLayout w:type="fixed"/>
        <w:tblCellMar>
          <w:top w:w="0" w:type="dxa"/>
          <w:left w:w="0" w:type="dxa"/>
          <w:bottom w:w="0" w:type="dxa"/>
          <w:right w:w="0" w:type="dxa"/>
        </w:tblCellMar>
        <w:tblLook w:val="01E0"/>
      </w:tblPr>
      <w:tblGrid>
        <w:gridCol w:w="2996"/>
        <w:gridCol w:w="2993"/>
        <w:gridCol w:w="3692"/>
      </w:tblGrid>
      <w:tr>
        <w:trPr>
          <w:trHeight w:val="398" w:hRule="exact"/>
        </w:trPr>
        <w:tc>
          <w:tcPr>
            <w:tcW w:w="2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21"/>
              <w:jc w:val="right"/>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41" w:right="0"/>
              <w:jc w:val="left"/>
              <w:rPr>
                <w:rFonts w:ascii="宋体" w:hAnsi="宋体" w:cs="宋体" w:eastAsia="宋体" w:hint="default"/>
                <w:sz w:val="18"/>
                <w:szCs w:val="18"/>
              </w:rPr>
            </w:pPr>
            <w:r>
              <w:rPr>
                <w:rFonts w:ascii="宋体" w:hAnsi="宋体" w:cs="宋体" w:eastAsia="宋体" w:hint="default"/>
                <w:sz w:val="18"/>
                <w:szCs w:val="18"/>
              </w:rPr>
              <w:t>本期发生额</w:t>
            </w:r>
            <w:r>
              <w:rPr>
                <w:rFonts w:ascii="宋体" w:hAnsi="宋体" w:cs="宋体" w:eastAsia="宋体" w:hint="default"/>
                <w:sz w:val="18"/>
                <w:szCs w:val="18"/>
              </w:rPr>
              <w:t> </w:t>
            </w:r>
          </w:p>
        </w:tc>
        <w:tc>
          <w:tcPr>
            <w:tcW w:w="3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7" w:right="0"/>
              <w:jc w:val="center"/>
              <w:rPr>
                <w:rFonts w:ascii="宋体" w:hAnsi="宋体" w:cs="宋体" w:eastAsia="宋体" w:hint="default"/>
                <w:sz w:val="18"/>
                <w:szCs w:val="18"/>
              </w:rPr>
            </w:pPr>
            <w:r>
              <w:rPr>
                <w:rFonts w:ascii="宋体" w:hAnsi="宋体" w:cs="宋体" w:eastAsia="宋体" w:hint="default"/>
                <w:sz w:val="18"/>
                <w:szCs w:val="18"/>
              </w:rPr>
              <w:t>上期发生额</w:t>
            </w:r>
            <w:r>
              <w:rPr>
                <w:rFonts w:ascii="宋体" w:hAnsi="宋体" w:cs="宋体" w:eastAsia="宋体" w:hint="default"/>
                <w:sz w:val="18"/>
                <w:szCs w:val="18"/>
              </w:rPr>
              <w:t> </w:t>
            </w:r>
          </w:p>
        </w:tc>
      </w:tr>
      <w:tr>
        <w:trPr>
          <w:trHeight w:val="396" w:hRule="exact"/>
        </w:trPr>
        <w:tc>
          <w:tcPr>
            <w:tcW w:w="2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城市维护建设税</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4,721,287.77 </w:t>
            </w:r>
          </w:p>
        </w:tc>
        <w:tc>
          <w:tcPr>
            <w:tcW w:w="3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5,607,512.78</w:t>
            </w:r>
            <w:r>
              <w:rPr>
                <w:rFonts w:ascii="宋体"/>
                <w:sz w:val="18"/>
              </w:rPr>
              <w:t> </w:t>
            </w:r>
          </w:p>
        </w:tc>
      </w:tr>
      <w:tr>
        <w:trPr>
          <w:trHeight w:val="398" w:hRule="exact"/>
        </w:trPr>
        <w:tc>
          <w:tcPr>
            <w:tcW w:w="2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教育费附加</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2,040,393.28 </w:t>
            </w:r>
          </w:p>
        </w:tc>
        <w:tc>
          <w:tcPr>
            <w:tcW w:w="3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2,410,626.79</w:t>
            </w:r>
            <w:r>
              <w:rPr>
                <w:rFonts w:ascii="宋体"/>
                <w:sz w:val="18"/>
              </w:rPr>
              <w:t> </w:t>
            </w:r>
          </w:p>
        </w:tc>
      </w:tr>
      <w:tr>
        <w:trPr>
          <w:trHeight w:val="396" w:hRule="exact"/>
        </w:trPr>
        <w:tc>
          <w:tcPr>
            <w:tcW w:w="2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地方教育费附加</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1,360,394.95 </w:t>
            </w:r>
          </w:p>
        </w:tc>
        <w:tc>
          <w:tcPr>
            <w:tcW w:w="3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1,608,043.72</w:t>
            </w:r>
            <w:r>
              <w:rPr>
                <w:rFonts w:ascii="宋体"/>
                <w:sz w:val="18"/>
              </w:rPr>
              <w:t> </w:t>
            </w:r>
          </w:p>
        </w:tc>
      </w:tr>
      <w:tr>
        <w:trPr>
          <w:trHeight w:val="398" w:hRule="exact"/>
        </w:trPr>
        <w:tc>
          <w:tcPr>
            <w:tcW w:w="2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印花税等税费</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1,794,693.26 </w:t>
            </w:r>
          </w:p>
        </w:tc>
        <w:tc>
          <w:tcPr>
            <w:tcW w:w="3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2,530,119.71</w:t>
            </w:r>
            <w:r>
              <w:rPr>
                <w:rFonts w:ascii="宋体"/>
                <w:sz w:val="18"/>
              </w:rPr>
              <w:t> </w:t>
            </w:r>
          </w:p>
        </w:tc>
      </w:tr>
      <w:tr>
        <w:trPr>
          <w:trHeight w:val="396" w:hRule="exact"/>
        </w:trPr>
        <w:tc>
          <w:tcPr>
            <w:tcW w:w="2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21"/>
              <w:jc w:val="righ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9,916,769.26 </w:t>
            </w:r>
          </w:p>
        </w:tc>
        <w:tc>
          <w:tcPr>
            <w:tcW w:w="3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12,156,303.00</w:t>
            </w:r>
            <w:r>
              <w:rPr>
                <w:rFonts w:ascii="宋体"/>
                <w:sz w:val="18"/>
              </w:rPr>
              <w:t> </w:t>
            </w:r>
          </w:p>
        </w:tc>
      </w:tr>
    </w:tbl>
    <w:p>
      <w:pPr>
        <w:spacing w:line="240" w:lineRule="auto" w:before="8"/>
        <w:rPr>
          <w:rFonts w:ascii="宋体" w:hAnsi="宋体" w:cs="宋体" w:eastAsia="宋体" w:hint="default"/>
          <w:b/>
          <w:bCs/>
          <w:sz w:val="6"/>
          <w:szCs w:val="6"/>
        </w:rPr>
      </w:pPr>
    </w:p>
    <w:p>
      <w:pPr>
        <w:spacing w:before="36"/>
        <w:ind w:left="576" w:right="0" w:firstLine="0"/>
        <w:jc w:val="left"/>
        <w:rPr>
          <w:rFonts w:ascii="宋体" w:hAnsi="宋体" w:cs="宋体" w:eastAsia="宋体" w:hint="default"/>
          <w:sz w:val="21"/>
          <w:szCs w:val="21"/>
        </w:rPr>
      </w:pPr>
      <w:r>
        <w:rPr>
          <w:rFonts w:ascii="宋体" w:hAnsi="宋体" w:cs="宋体" w:eastAsia="宋体" w:hint="default"/>
          <w:b/>
          <w:bCs/>
          <w:sz w:val="21"/>
          <w:szCs w:val="21"/>
        </w:rPr>
        <w:t>（三十五）销售费用</w:t>
      </w:r>
      <w:r>
        <w:rPr>
          <w:rFonts w:ascii="宋体" w:hAnsi="宋体" w:cs="宋体" w:eastAsia="宋体" w:hint="default"/>
          <w:b/>
          <w:bCs/>
          <w:w w:val="99"/>
          <w:sz w:val="21"/>
          <w:szCs w:val="21"/>
        </w:rPr>
        <w:t> </w:t>
      </w:r>
      <w:r>
        <w:rPr>
          <w:rFonts w:ascii="宋体" w:hAnsi="宋体" w:cs="宋体" w:eastAsia="宋体" w:hint="default"/>
          <w:sz w:val="21"/>
          <w:szCs w:val="21"/>
        </w:rPr>
      </w:r>
    </w:p>
    <w:p>
      <w:pPr>
        <w:spacing w:line="240" w:lineRule="auto" w:before="6"/>
        <w:rPr>
          <w:rFonts w:ascii="宋体" w:hAnsi="宋体" w:cs="宋体" w:eastAsia="宋体" w:hint="default"/>
          <w:b/>
          <w:bCs/>
          <w:sz w:val="14"/>
          <w:szCs w:val="14"/>
        </w:rPr>
      </w:pPr>
    </w:p>
    <w:tbl>
      <w:tblPr>
        <w:tblW w:w="0" w:type="auto"/>
        <w:jc w:val="left"/>
        <w:tblInd w:w="110" w:type="dxa"/>
        <w:tblLayout w:type="fixed"/>
        <w:tblCellMar>
          <w:top w:w="0" w:type="dxa"/>
          <w:left w:w="0" w:type="dxa"/>
          <w:bottom w:w="0" w:type="dxa"/>
          <w:right w:w="0" w:type="dxa"/>
        </w:tblCellMar>
        <w:tblLook w:val="01E0"/>
      </w:tblPr>
      <w:tblGrid>
        <w:gridCol w:w="2996"/>
        <w:gridCol w:w="2993"/>
        <w:gridCol w:w="3665"/>
      </w:tblGrid>
      <w:tr>
        <w:trPr>
          <w:trHeight w:val="396" w:hRule="exact"/>
        </w:trPr>
        <w:tc>
          <w:tcPr>
            <w:tcW w:w="2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9"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41" w:right="0"/>
              <w:jc w:val="left"/>
              <w:rPr>
                <w:rFonts w:ascii="宋体" w:hAnsi="宋体" w:cs="宋体" w:eastAsia="宋体" w:hint="default"/>
                <w:sz w:val="18"/>
                <w:szCs w:val="18"/>
              </w:rPr>
            </w:pPr>
            <w:r>
              <w:rPr>
                <w:rFonts w:ascii="宋体" w:hAnsi="宋体" w:cs="宋体" w:eastAsia="宋体" w:hint="default"/>
                <w:sz w:val="18"/>
                <w:szCs w:val="18"/>
              </w:rPr>
              <w:t>本期发生额</w:t>
            </w:r>
            <w:r>
              <w:rPr>
                <w:rFonts w:ascii="宋体" w:hAnsi="宋体" w:cs="宋体" w:eastAsia="宋体" w:hint="default"/>
                <w:sz w:val="18"/>
                <w:szCs w:val="18"/>
              </w:rPr>
              <w:t> </w:t>
            </w:r>
          </w:p>
        </w:tc>
        <w:tc>
          <w:tcPr>
            <w:tcW w:w="3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9" w:right="0"/>
              <w:jc w:val="center"/>
              <w:rPr>
                <w:rFonts w:ascii="宋体" w:hAnsi="宋体" w:cs="宋体" w:eastAsia="宋体" w:hint="default"/>
                <w:sz w:val="18"/>
                <w:szCs w:val="18"/>
              </w:rPr>
            </w:pPr>
            <w:r>
              <w:rPr>
                <w:rFonts w:ascii="宋体" w:hAnsi="宋体" w:cs="宋体" w:eastAsia="宋体" w:hint="default"/>
                <w:sz w:val="18"/>
                <w:szCs w:val="18"/>
              </w:rPr>
              <w:t>上期发生额</w:t>
            </w:r>
            <w:r>
              <w:rPr>
                <w:rFonts w:ascii="宋体" w:hAnsi="宋体" w:cs="宋体" w:eastAsia="宋体" w:hint="default"/>
                <w:sz w:val="18"/>
                <w:szCs w:val="18"/>
              </w:rPr>
              <w:t> </w:t>
            </w:r>
          </w:p>
        </w:tc>
      </w:tr>
      <w:tr>
        <w:trPr>
          <w:trHeight w:val="396" w:hRule="exact"/>
        </w:trPr>
        <w:tc>
          <w:tcPr>
            <w:tcW w:w="2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工资、福利、社保费及相关费用</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12,748,760.24 </w:t>
            </w:r>
          </w:p>
        </w:tc>
        <w:tc>
          <w:tcPr>
            <w:tcW w:w="3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11,174,000.57</w:t>
            </w:r>
            <w:r>
              <w:rPr>
                <w:rFonts w:ascii="宋体"/>
                <w:sz w:val="18"/>
              </w:rPr>
              <w:t> </w:t>
            </w:r>
          </w:p>
        </w:tc>
      </w:tr>
      <w:tr>
        <w:trPr>
          <w:trHeight w:val="398" w:hRule="exact"/>
        </w:trPr>
        <w:tc>
          <w:tcPr>
            <w:tcW w:w="2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折旧摊销等费用</w:t>
            </w:r>
            <w:r>
              <w:rPr>
                <w:rFonts w:ascii="宋体" w:hAnsi="宋体" w:cs="宋体" w:eastAsia="宋体" w:hint="default"/>
                <w:spacing w:val="-2"/>
                <w:sz w:val="18"/>
                <w:szCs w:val="18"/>
              </w:rPr>
              <w:t> </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40,938.48</w:t>
            </w:r>
            <w:r>
              <w:rPr>
                <w:rFonts w:ascii="宋体"/>
                <w:sz w:val="18"/>
              </w:rPr>
              <w:t> </w:t>
            </w:r>
          </w:p>
        </w:tc>
        <w:tc>
          <w:tcPr>
            <w:tcW w:w="3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44,294.31</w:t>
            </w:r>
            <w:r>
              <w:rPr>
                <w:rFonts w:ascii="宋体"/>
                <w:sz w:val="18"/>
              </w:rPr>
              <w:t> </w:t>
            </w:r>
          </w:p>
        </w:tc>
      </w:tr>
      <w:tr>
        <w:trPr>
          <w:trHeight w:val="396" w:hRule="exact"/>
        </w:trPr>
        <w:tc>
          <w:tcPr>
            <w:tcW w:w="2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办公及其他费用</w:t>
            </w:r>
            <w:r>
              <w:rPr>
                <w:rFonts w:ascii="宋体" w:hAnsi="宋体" w:cs="宋体" w:eastAsia="宋体" w:hint="default"/>
                <w:spacing w:val="-2"/>
                <w:sz w:val="18"/>
                <w:szCs w:val="18"/>
              </w:rPr>
              <w:t> </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1,164,448.55 </w:t>
            </w:r>
          </w:p>
        </w:tc>
        <w:tc>
          <w:tcPr>
            <w:tcW w:w="3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5,399,439.87</w:t>
            </w:r>
            <w:r>
              <w:rPr>
                <w:rFonts w:ascii="宋体"/>
                <w:sz w:val="18"/>
              </w:rPr>
              <w:t> </w:t>
            </w:r>
          </w:p>
        </w:tc>
      </w:tr>
    </w:tbl>
    <w:p>
      <w:pPr>
        <w:spacing w:after="0" w:line="240" w:lineRule="auto"/>
        <w:jc w:val="right"/>
        <w:rPr>
          <w:rFonts w:ascii="宋体" w:hAnsi="宋体" w:cs="宋体" w:eastAsia="宋体" w:hint="default"/>
          <w:sz w:val="18"/>
          <w:szCs w:val="18"/>
        </w:rPr>
        <w:sectPr>
          <w:pgSz w:w="11910" w:h="16840"/>
          <w:pgMar w:header="880" w:footer="975" w:top="1100" w:bottom="1160" w:left="1080" w:right="0"/>
        </w:sectPr>
      </w:pPr>
    </w:p>
    <w:p>
      <w:pPr>
        <w:spacing w:line="240" w:lineRule="auto" w:before="8"/>
        <w:rPr>
          <w:rFonts w:ascii="宋体" w:hAnsi="宋体" w:cs="宋体" w:eastAsia="宋体" w:hint="default"/>
          <w:b/>
          <w:bCs/>
          <w:sz w:val="24"/>
          <w:szCs w:val="24"/>
        </w:rPr>
      </w:pPr>
    </w:p>
    <w:tbl>
      <w:tblPr>
        <w:tblW w:w="0" w:type="auto"/>
        <w:jc w:val="left"/>
        <w:tblInd w:w="110" w:type="dxa"/>
        <w:tblLayout w:type="fixed"/>
        <w:tblCellMar>
          <w:top w:w="0" w:type="dxa"/>
          <w:left w:w="0" w:type="dxa"/>
          <w:bottom w:w="0" w:type="dxa"/>
          <w:right w:w="0" w:type="dxa"/>
        </w:tblCellMar>
        <w:tblLook w:val="01E0"/>
      </w:tblPr>
      <w:tblGrid>
        <w:gridCol w:w="2996"/>
        <w:gridCol w:w="2993"/>
        <w:gridCol w:w="3665"/>
      </w:tblGrid>
      <w:tr>
        <w:trPr>
          <w:trHeight w:val="396" w:hRule="exact"/>
        </w:trPr>
        <w:tc>
          <w:tcPr>
            <w:tcW w:w="2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9"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41" w:right="0"/>
              <w:jc w:val="left"/>
              <w:rPr>
                <w:rFonts w:ascii="宋体" w:hAnsi="宋体" w:cs="宋体" w:eastAsia="宋体" w:hint="default"/>
                <w:sz w:val="18"/>
                <w:szCs w:val="18"/>
              </w:rPr>
            </w:pPr>
            <w:r>
              <w:rPr>
                <w:rFonts w:ascii="宋体" w:hAnsi="宋体" w:cs="宋体" w:eastAsia="宋体" w:hint="default"/>
                <w:sz w:val="18"/>
                <w:szCs w:val="18"/>
              </w:rPr>
              <w:t>本期发生额</w:t>
            </w:r>
            <w:r>
              <w:rPr>
                <w:rFonts w:ascii="宋体" w:hAnsi="宋体" w:cs="宋体" w:eastAsia="宋体" w:hint="default"/>
                <w:sz w:val="18"/>
                <w:szCs w:val="18"/>
              </w:rPr>
              <w:t> </w:t>
            </w:r>
          </w:p>
        </w:tc>
        <w:tc>
          <w:tcPr>
            <w:tcW w:w="3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 w:right="0"/>
              <w:jc w:val="center"/>
              <w:rPr>
                <w:rFonts w:ascii="宋体" w:hAnsi="宋体" w:cs="宋体" w:eastAsia="宋体" w:hint="default"/>
                <w:sz w:val="18"/>
                <w:szCs w:val="18"/>
              </w:rPr>
            </w:pPr>
            <w:r>
              <w:rPr>
                <w:rFonts w:ascii="宋体" w:hAnsi="宋体" w:cs="宋体" w:eastAsia="宋体" w:hint="default"/>
                <w:sz w:val="18"/>
                <w:szCs w:val="18"/>
              </w:rPr>
              <w:t>上期发生额</w:t>
            </w:r>
            <w:r>
              <w:rPr>
                <w:rFonts w:ascii="宋体" w:hAnsi="宋体" w:cs="宋体" w:eastAsia="宋体" w:hint="default"/>
                <w:sz w:val="18"/>
                <w:szCs w:val="18"/>
              </w:rPr>
              <w:t> </w:t>
            </w:r>
          </w:p>
        </w:tc>
      </w:tr>
      <w:tr>
        <w:trPr>
          <w:trHeight w:val="399" w:hRule="exact"/>
        </w:trPr>
        <w:tc>
          <w:tcPr>
            <w:tcW w:w="2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客户开拓及促销等费用</w:t>
            </w:r>
            <w:r>
              <w:rPr>
                <w:rFonts w:ascii="宋体" w:hAnsi="宋体" w:cs="宋体" w:eastAsia="宋体" w:hint="default"/>
                <w:spacing w:val="-2"/>
                <w:sz w:val="18"/>
                <w:szCs w:val="18"/>
              </w:rPr>
              <w:t> </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11,430,175.04 </w:t>
            </w:r>
          </w:p>
        </w:tc>
        <w:tc>
          <w:tcPr>
            <w:tcW w:w="3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19,402,074.10</w:t>
            </w:r>
            <w:r>
              <w:rPr>
                <w:rFonts w:ascii="宋体"/>
                <w:sz w:val="18"/>
              </w:rPr>
              <w:t> </w:t>
            </w:r>
          </w:p>
        </w:tc>
      </w:tr>
      <w:tr>
        <w:trPr>
          <w:trHeight w:val="396" w:hRule="exact"/>
        </w:trPr>
        <w:tc>
          <w:tcPr>
            <w:tcW w:w="2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投标费用</w:t>
            </w:r>
            <w:r>
              <w:rPr>
                <w:rFonts w:ascii="宋体" w:hAnsi="宋体" w:cs="宋体" w:eastAsia="宋体" w:hint="default"/>
                <w:spacing w:val="-2"/>
                <w:sz w:val="18"/>
                <w:szCs w:val="18"/>
              </w:rPr>
              <w:t> </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3,506,257.07 </w:t>
            </w:r>
          </w:p>
        </w:tc>
        <w:tc>
          <w:tcPr>
            <w:tcW w:w="3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2,253,265.52</w:t>
            </w:r>
            <w:r>
              <w:rPr>
                <w:rFonts w:ascii="宋体"/>
                <w:sz w:val="18"/>
              </w:rPr>
              <w:t> </w:t>
            </w:r>
          </w:p>
        </w:tc>
      </w:tr>
      <w:tr>
        <w:trPr>
          <w:trHeight w:val="398" w:hRule="exact"/>
        </w:trPr>
        <w:tc>
          <w:tcPr>
            <w:tcW w:w="2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服务费</w:t>
            </w:r>
            <w:r>
              <w:rPr>
                <w:rFonts w:ascii="宋体" w:hAnsi="宋体" w:cs="宋体" w:eastAsia="宋体" w:hint="default"/>
                <w:spacing w:val="-2"/>
                <w:sz w:val="18"/>
                <w:szCs w:val="18"/>
              </w:rPr>
              <w:t> </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104,783.02 </w:t>
            </w:r>
          </w:p>
        </w:tc>
        <w:tc>
          <w:tcPr>
            <w:tcW w:w="3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50,737.84</w:t>
            </w:r>
            <w:r>
              <w:rPr>
                <w:rFonts w:ascii="宋体"/>
                <w:sz w:val="18"/>
              </w:rPr>
              <w:t> </w:t>
            </w:r>
          </w:p>
        </w:tc>
      </w:tr>
      <w:tr>
        <w:trPr>
          <w:trHeight w:val="396" w:hRule="exact"/>
        </w:trPr>
        <w:tc>
          <w:tcPr>
            <w:tcW w:w="2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9"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28,995,362.40 </w:t>
            </w:r>
          </w:p>
        </w:tc>
        <w:tc>
          <w:tcPr>
            <w:tcW w:w="3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38,323,812.21</w:t>
            </w:r>
            <w:r>
              <w:rPr>
                <w:rFonts w:ascii="宋体"/>
                <w:sz w:val="18"/>
              </w:rPr>
              <w:t> </w:t>
            </w:r>
          </w:p>
        </w:tc>
      </w:tr>
    </w:tbl>
    <w:p>
      <w:pPr>
        <w:spacing w:line="240" w:lineRule="auto" w:before="7"/>
        <w:rPr>
          <w:rFonts w:ascii="宋体" w:hAnsi="宋体" w:cs="宋体" w:eastAsia="宋体" w:hint="default"/>
          <w:b/>
          <w:bCs/>
          <w:sz w:val="6"/>
          <w:szCs w:val="6"/>
        </w:rPr>
      </w:pPr>
    </w:p>
    <w:p>
      <w:pPr>
        <w:spacing w:before="36"/>
        <w:ind w:left="576" w:right="0" w:firstLine="0"/>
        <w:jc w:val="left"/>
        <w:rPr>
          <w:rFonts w:ascii="宋体" w:hAnsi="宋体" w:cs="宋体" w:eastAsia="宋体" w:hint="default"/>
          <w:sz w:val="21"/>
          <w:szCs w:val="21"/>
        </w:rPr>
      </w:pPr>
      <w:r>
        <w:rPr>
          <w:rFonts w:ascii="宋体" w:hAnsi="宋体" w:cs="宋体" w:eastAsia="宋体" w:hint="default"/>
          <w:b/>
          <w:bCs/>
          <w:sz w:val="21"/>
          <w:szCs w:val="21"/>
        </w:rPr>
        <w:t>（三十六）管理费用</w:t>
      </w:r>
      <w:r>
        <w:rPr>
          <w:rFonts w:ascii="宋体" w:hAnsi="宋体" w:cs="宋体" w:eastAsia="宋体" w:hint="default"/>
          <w:b/>
          <w:bCs/>
          <w:w w:val="99"/>
          <w:sz w:val="21"/>
          <w:szCs w:val="21"/>
        </w:rPr>
        <w:t> </w:t>
      </w:r>
      <w:r>
        <w:rPr>
          <w:rFonts w:ascii="宋体" w:hAnsi="宋体" w:cs="宋体" w:eastAsia="宋体" w:hint="default"/>
          <w:sz w:val="21"/>
          <w:szCs w:val="21"/>
        </w:rPr>
      </w:r>
    </w:p>
    <w:p>
      <w:pPr>
        <w:spacing w:line="240" w:lineRule="auto" w:before="6"/>
        <w:rPr>
          <w:rFonts w:ascii="宋体" w:hAnsi="宋体" w:cs="宋体" w:eastAsia="宋体" w:hint="default"/>
          <w:b/>
          <w:bCs/>
          <w:sz w:val="14"/>
          <w:szCs w:val="14"/>
        </w:rPr>
      </w:pPr>
    </w:p>
    <w:tbl>
      <w:tblPr>
        <w:tblW w:w="0" w:type="auto"/>
        <w:jc w:val="left"/>
        <w:tblInd w:w="110" w:type="dxa"/>
        <w:tblLayout w:type="fixed"/>
        <w:tblCellMar>
          <w:top w:w="0" w:type="dxa"/>
          <w:left w:w="0" w:type="dxa"/>
          <w:bottom w:w="0" w:type="dxa"/>
          <w:right w:w="0" w:type="dxa"/>
        </w:tblCellMar>
        <w:tblLook w:val="01E0"/>
      </w:tblPr>
      <w:tblGrid>
        <w:gridCol w:w="2996"/>
        <w:gridCol w:w="2993"/>
        <w:gridCol w:w="3677"/>
      </w:tblGrid>
      <w:tr>
        <w:trPr>
          <w:trHeight w:val="396" w:hRule="exact"/>
        </w:trPr>
        <w:tc>
          <w:tcPr>
            <w:tcW w:w="2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9"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41" w:right="0"/>
              <w:jc w:val="left"/>
              <w:rPr>
                <w:rFonts w:ascii="宋体" w:hAnsi="宋体" w:cs="宋体" w:eastAsia="宋体" w:hint="default"/>
                <w:sz w:val="18"/>
                <w:szCs w:val="18"/>
              </w:rPr>
            </w:pPr>
            <w:r>
              <w:rPr>
                <w:rFonts w:ascii="宋体" w:hAnsi="宋体" w:cs="宋体" w:eastAsia="宋体" w:hint="default"/>
                <w:sz w:val="18"/>
                <w:szCs w:val="18"/>
              </w:rPr>
              <w:t>本期发生额</w:t>
            </w:r>
            <w:r>
              <w:rPr>
                <w:rFonts w:ascii="宋体" w:hAnsi="宋体" w:cs="宋体" w:eastAsia="宋体" w:hint="default"/>
                <w:sz w:val="18"/>
                <w:szCs w:val="18"/>
              </w:rPr>
              <w:t> </w:t>
            </w:r>
          </w:p>
        </w:tc>
        <w:tc>
          <w:tcPr>
            <w:tcW w:w="3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7" w:right="0"/>
              <w:jc w:val="center"/>
              <w:rPr>
                <w:rFonts w:ascii="宋体" w:hAnsi="宋体" w:cs="宋体" w:eastAsia="宋体" w:hint="default"/>
                <w:sz w:val="18"/>
                <w:szCs w:val="18"/>
              </w:rPr>
            </w:pPr>
            <w:r>
              <w:rPr>
                <w:rFonts w:ascii="宋体" w:hAnsi="宋体" w:cs="宋体" w:eastAsia="宋体" w:hint="default"/>
                <w:sz w:val="18"/>
                <w:szCs w:val="18"/>
              </w:rPr>
              <w:t>上期发生额</w:t>
            </w:r>
            <w:r>
              <w:rPr>
                <w:rFonts w:ascii="宋体" w:hAnsi="宋体" w:cs="宋体" w:eastAsia="宋体" w:hint="default"/>
                <w:sz w:val="18"/>
                <w:szCs w:val="18"/>
              </w:rPr>
              <w:t> </w:t>
            </w:r>
          </w:p>
        </w:tc>
      </w:tr>
      <w:tr>
        <w:trPr>
          <w:trHeight w:val="398" w:hRule="exact"/>
        </w:trPr>
        <w:tc>
          <w:tcPr>
            <w:tcW w:w="2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工资、福利、社保费及相关费用</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2"/>
              <w:jc w:val="right"/>
              <w:rPr>
                <w:rFonts w:ascii="宋体" w:hAnsi="宋体" w:cs="宋体" w:eastAsia="宋体" w:hint="default"/>
                <w:sz w:val="18"/>
                <w:szCs w:val="18"/>
              </w:rPr>
            </w:pPr>
            <w:r>
              <w:rPr>
                <w:rFonts w:ascii="宋体"/>
                <w:spacing w:val="1"/>
                <w:sz w:val="18"/>
              </w:rPr>
              <w:t> </w:t>
            </w:r>
            <w:r>
              <w:rPr>
                <w:rFonts w:ascii="宋体"/>
                <w:spacing w:val="-1"/>
                <w:sz w:val="18"/>
              </w:rPr>
              <w:t>63,763,052.51</w:t>
            </w:r>
            <w:r>
              <w:rPr>
                <w:rFonts w:ascii="宋体"/>
                <w:sz w:val="18"/>
              </w:rPr>
              <w:t> </w:t>
            </w:r>
          </w:p>
        </w:tc>
        <w:tc>
          <w:tcPr>
            <w:tcW w:w="3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63,205,856.89</w:t>
            </w:r>
            <w:r>
              <w:rPr>
                <w:rFonts w:ascii="宋体"/>
                <w:sz w:val="18"/>
              </w:rPr>
              <w:t> </w:t>
            </w:r>
          </w:p>
        </w:tc>
      </w:tr>
      <w:tr>
        <w:trPr>
          <w:trHeight w:val="396" w:hRule="exact"/>
        </w:trPr>
        <w:tc>
          <w:tcPr>
            <w:tcW w:w="2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折旧及摊销费</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pacing w:val="-1"/>
                <w:sz w:val="18"/>
              </w:rPr>
              <w:t>18,254,387.05 </w:t>
            </w:r>
          </w:p>
        </w:tc>
        <w:tc>
          <w:tcPr>
            <w:tcW w:w="3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12,542,130.22</w:t>
            </w:r>
            <w:r>
              <w:rPr>
                <w:rFonts w:ascii="宋体"/>
                <w:sz w:val="18"/>
              </w:rPr>
              <w:t> </w:t>
            </w:r>
          </w:p>
        </w:tc>
      </w:tr>
      <w:tr>
        <w:trPr>
          <w:trHeight w:val="396" w:hRule="exact"/>
        </w:trPr>
        <w:tc>
          <w:tcPr>
            <w:tcW w:w="2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专业服务费</w:t>
            </w:r>
            <w:r>
              <w:rPr>
                <w:rFonts w:ascii="宋体" w:hAnsi="宋体" w:cs="宋体" w:eastAsia="宋体" w:hint="default"/>
                <w:spacing w:val="-2"/>
                <w:sz w:val="18"/>
                <w:szCs w:val="18"/>
              </w:rPr>
              <w:t> </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2"/>
              <w:jc w:val="right"/>
              <w:rPr>
                <w:rFonts w:ascii="宋体" w:hAnsi="宋体" w:cs="宋体" w:eastAsia="宋体" w:hint="default"/>
                <w:sz w:val="18"/>
                <w:szCs w:val="18"/>
              </w:rPr>
            </w:pPr>
            <w:r>
              <w:rPr>
                <w:rFonts w:ascii="宋体"/>
                <w:spacing w:val="1"/>
                <w:sz w:val="18"/>
              </w:rPr>
              <w:t> </w:t>
            </w:r>
            <w:r>
              <w:rPr>
                <w:rFonts w:ascii="宋体"/>
                <w:spacing w:val="-1"/>
                <w:sz w:val="18"/>
              </w:rPr>
              <w:t>10,503,161.21</w:t>
            </w:r>
            <w:r>
              <w:rPr>
                <w:rFonts w:ascii="宋体"/>
                <w:sz w:val="18"/>
              </w:rPr>
              <w:t> </w:t>
            </w:r>
          </w:p>
        </w:tc>
        <w:tc>
          <w:tcPr>
            <w:tcW w:w="3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13,262,875.14</w:t>
            </w:r>
            <w:r>
              <w:rPr>
                <w:rFonts w:ascii="宋体"/>
                <w:sz w:val="18"/>
              </w:rPr>
              <w:t> </w:t>
            </w:r>
          </w:p>
        </w:tc>
      </w:tr>
      <w:tr>
        <w:trPr>
          <w:trHeight w:val="399" w:hRule="exact"/>
        </w:trPr>
        <w:tc>
          <w:tcPr>
            <w:tcW w:w="2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3" w:right="0"/>
              <w:jc w:val="left"/>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办公、差旅、招待及租赁费等</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2"/>
              <w:jc w:val="right"/>
              <w:rPr>
                <w:rFonts w:ascii="宋体" w:hAnsi="宋体" w:cs="宋体" w:eastAsia="宋体" w:hint="default"/>
                <w:sz w:val="18"/>
                <w:szCs w:val="18"/>
              </w:rPr>
            </w:pPr>
            <w:r>
              <w:rPr>
                <w:rFonts w:ascii="宋体"/>
                <w:spacing w:val="1"/>
                <w:sz w:val="18"/>
              </w:rPr>
              <w:t> </w:t>
            </w:r>
            <w:r>
              <w:rPr>
                <w:rFonts w:ascii="宋体"/>
                <w:spacing w:val="-1"/>
                <w:sz w:val="18"/>
              </w:rPr>
              <w:t>41,257,153.14</w:t>
            </w:r>
            <w:r>
              <w:rPr>
                <w:rFonts w:ascii="宋体"/>
                <w:sz w:val="18"/>
              </w:rPr>
              <w:t> </w:t>
            </w:r>
          </w:p>
        </w:tc>
        <w:tc>
          <w:tcPr>
            <w:tcW w:w="3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35,279,295.70</w:t>
            </w:r>
            <w:r>
              <w:rPr>
                <w:rFonts w:ascii="宋体"/>
                <w:sz w:val="18"/>
              </w:rPr>
              <w:t> </w:t>
            </w:r>
          </w:p>
        </w:tc>
      </w:tr>
      <w:tr>
        <w:trPr>
          <w:trHeight w:val="396" w:hRule="exact"/>
        </w:trPr>
        <w:tc>
          <w:tcPr>
            <w:tcW w:w="2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其他</w:t>
            </w:r>
            <w:r>
              <w:rPr>
                <w:rFonts w:ascii="宋体" w:hAnsi="宋体" w:cs="宋体" w:eastAsia="宋体" w:hint="default"/>
                <w:spacing w:val="-2"/>
                <w:sz w:val="18"/>
                <w:szCs w:val="18"/>
              </w:rPr>
              <w:t> </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2"/>
              <w:jc w:val="right"/>
              <w:rPr>
                <w:rFonts w:ascii="宋体" w:hAnsi="宋体" w:cs="宋体" w:eastAsia="宋体" w:hint="default"/>
                <w:sz w:val="18"/>
                <w:szCs w:val="18"/>
              </w:rPr>
            </w:pPr>
            <w:r>
              <w:rPr>
                <w:rFonts w:ascii="宋体"/>
                <w:spacing w:val="1"/>
                <w:sz w:val="18"/>
              </w:rPr>
              <w:t> </w:t>
            </w:r>
            <w:r>
              <w:rPr>
                <w:rFonts w:ascii="宋体"/>
                <w:spacing w:val="-1"/>
                <w:sz w:val="18"/>
              </w:rPr>
              <w:t>1,262,657.38</w:t>
            </w:r>
            <w:r>
              <w:rPr>
                <w:rFonts w:ascii="宋体"/>
                <w:sz w:val="18"/>
              </w:rPr>
              <w:t> </w:t>
            </w:r>
          </w:p>
        </w:tc>
        <w:tc>
          <w:tcPr>
            <w:tcW w:w="3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4,837,254.36</w:t>
            </w:r>
            <w:r>
              <w:rPr>
                <w:rFonts w:ascii="宋体"/>
                <w:sz w:val="18"/>
              </w:rPr>
              <w:t> </w:t>
            </w:r>
          </w:p>
        </w:tc>
      </w:tr>
      <w:tr>
        <w:trPr>
          <w:trHeight w:val="398" w:hRule="exact"/>
        </w:trPr>
        <w:tc>
          <w:tcPr>
            <w:tcW w:w="2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9"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135,040,411.29 </w:t>
            </w:r>
          </w:p>
        </w:tc>
        <w:tc>
          <w:tcPr>
            <w:tcW w:w="3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129,127,412.31 </w:t>
            </w:r>
          </w:p>
        </w:tc>
      </w:tr>
    </w:tbl>
    <w:p>
      <w:pPr>
        <w:spacing w:line="240" w:lineRule="auto" w:before="7"/>
        <w:rPr>
          <w:rFonts w:ascii="宋体" w:hAnsi="宋体" w:cs="宋体" w:eastAsia="宋体" w:hint="default"/>
          <w:b/>
          <w:bCs/>
          <w:sz w:val="6"/>
          <w:szCs w:val="6"/>
        </w:rPr>
      </w:pPr>
    </w:p>
    <w:p>
      <w:pPr>
        <w:spacing w:before="36"/>
        <w:ind w:left="365" w:right="0" w:firstLine="0"/>
        <w:jc w:val="left"/>
        <w:rPr>
          <w:rFonts w:ascii="宋体" w:hAnsi="宋体" w:cs="宋体" w:eastAsia="宋体" w:hint="default"/>
          <w:sz w:val="21"/>
          <w:szCs w:val="21"/>
        </w:rPr>
      </w:pPr>
      <w:r>
        <w:rPr>
          <w:rFonts w:ascii="宋体" w:hAnsi="宋体" w:cs="宋体" w:eastAsia="宋体" w:hint="default"/>
          <w:b/>
          <w:bCs/>
          <w:sz w:val="21"/>
          <w:szCs w:val="21"/>
        </w:rPr>
        <w:t>（三十七）研发费用</w:t>
      </w:r>
      <w:r>
        <w:rPr>
          <w:rFonts w:ascii="宋体" w:hAnsi="宋体" w:cs="宋体" w:eastAsia="宋体" w:hint="default"/>
          <w:b/>
          <w:bCs/>
          <w:w w:val="99"/>
          <w:sz w:val="21"/>
          <w:szCs w:val="21"/>
        </w:rPr>
        <w:t> </w:t>
      </w:r>
      <w:r>
        <w:rPr>
          <w:rFonts w:ascii="宋体" w:hAnsi="宋体" w:cs="宋体" w:eastAsia="宋体" w:hint="default"/>
          <w:sz w:val="21"/>
          <w:szCs w:val="21"/>
        </w:rPr>
      </w:r>
    </w:p>
    <w:p>
      <w:pPr>
        <w:spacing w:line="240" w:lineRule="auto" w:before="3"/>
        <w:rPr>
          <w:rFonts w:ascii="宋体" w:hAnsi="宋体" w:cs="宋体" w:eastAsia="宋体" w:hint="default"/>
          <w:b/>
          <w:bCs/>
          <w:sz w:val="14"/>
          <w:szCs w:val="14"/>
        </w:rPr>
      </w:pPr>
    </w:p>
    <w:tbl>
      <w:tblPr>
        <w:tblW w:w="0" w:type="auto"/>
        <w:jc w:val="left"/>
        <w:tblInd w:w="110" w:type="dxa"/>
        <w:tblLayout w:type="fixed"/>
        <w:tblCellMar>
          <w:top w:w="0" w:type="dxa"/>
          <w:left w:w="0" w:type="dxa"/>
          <w:bottom w:w="0" w:type="dxa"/>
          <w:right w:w="0" w:type="dxa"/>
        </w:tblCellMar>
        <w:tblLook w:val="01E0"/>
      </w:tblPr>
      <w:tblGrid>
        <w:gridCol w:w="2996"/>
        <w:gridCol w:w="2993"/>
        <w:gridCol w:w="3677"/>
      </w:tblGrid>
      <w:tr>
        <w:trPr>
          <w:trHeight w:val="398" w:hRule="exact"/>
        </w:trPr>
        <w:tc>
          <w:tcPr>
            <w:tcW w:w="2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9"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41" w:right="0"/>
              <w:jc w:val="left"/>
              <w:rPr>
                <w:rFonts w:ascii="宋体" w:hAnsi="宋体" w:cs="宋体" w:eastAsia="宋体" w:hint="default"/>
                <w:sz w:val="18"/>
                <w:szCs w:val="18"/>
              </w:rPr>
            </w:pPr>
            <w:r>
              <w:rPr>
                <w:rFonts w:ascii="宋体" w:hAnsi="宋体" w:cs="宋体" w:eastAsia="宋体" w:hint="default"/>
                <w:sz w:val="18"/>
                <w:szCs w:val="18"/>
              </w:rPr>
              <w:t>本期发生额</w:t>
            </w:r>
            <w:r>
              <w:rPr>
                <w:rFonts w:ascii="宋体" w:hAnsi="宋体" w:cs="宋体" w:eastAsia="宋体" w:hint="default"/>
                <w:sz w:val="18"/>
                <w:szCs w:val="18"/>
              </w:rPr>
              <w:t> </w:t>
            </w:r>
          </w:p>
        </w:tc>
        <w:tc>
          <w:tcPr>
            <w:tcW w:w="3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7" w:right="0"/>
              <w:jc w:val="center"/>
              <w:rPr>
                <w:rFonts w:ascii="宋体" w:hAnsi="宋体" w:cs="宋体" w:eastAsia="宋体" w:hint="default"/>
                <w:sz w:val="18"/>
                <w:szCs w:val="18"/>
              </w:rPr>
            </w:pPr>
            <w:r>
              <w:rPr>
                <w:rFonts w:ascii="宋体" w:hAnsi="宋体" w:cs="宋体" w:eastAsia="宋体" w:hint="default"/>
                <w:sz w:val="18"/>
                <w:szCs w:val="18"/>
              </w:rPr>
              <w:t>上期发生额</w:t>
            </w:r>
            <w:r>
              <w:rPr>
                <w:rFonts w:ascii="宋体" w:hAnsi="宋体" w:cs="宋体" w:eastAsia="宋体" w:hint="default"/>
                <w:sz w:val="18"/>
                <w:szCs w:val="18"/>
              </w:rPr>
              <w:t> </w:t>
            </w:r>
          </w:p>
        </w:tc>
      </w:tr>
      <w:tr>
        <w:trPr>
          <w:trHeight w:val="396" w:hRule="exact"/>
        </w:trPr>
        <w:tc>
          <w:tcPr>
            <w:tcW w:w="2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工资、福利、社保费及相关费用</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2"/>
              <w:jc w:val="right"/>
              <w:rPr>
                <w:rFonts w:ascii="宋体" w:hAnsi="宋体" w:cs="宋体" w:eastAsia="宋体" w:hint="default"/>
                <w:sz w:val="18"/>
                <w:szCs w:val="18"/>
              </w:rPr>
            </w:pPr>
            <w:r>
              <w:rPr>
                <w:rFonts w:ascii="宋体"/>
                <w:spacing w:val="1"/>
                <w:sz w:val="18"/>
              </w:rPr>
              <w:t> </w:t>
            </w:r>
            <w:r>
              <w:rPr>
                <w:rFonts w:ascii="宋体"/>
                <w:spacing w:val="-1"/>
                <w:sz w:val="18"/>
              </w:rPr>
              <w:t>81,802,237.71</w:t>
            </w:r>
            <w:r>
              <w:rPr>
                <w:rFonts w:ascii="宋体"/>
                <w:sz w:val="18"/>
              </w:rPr>
              <w:t> </w:t>
            </w:r>
          </w:p>
        </w:tc>
        <w:tc>
          <w:tcPr>
            <w:tcW w:w="3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91,839,671.96</w:t>
            </w:r>
            <w:r>
              <w:rPr>
                <w:rFonts w:ascii="宋体"/>
                <w:sz w:val="18"/>
              </w:rPr>
              <w:t> </w:t>
            </w:r>
          </w:p>
        </w:tc>
      </w:tr>
      <w:tr>
        <w:trPr>
          <w:trHeight w:val="398" w:hRule="exact"/>
        </w:trPr>
        <w:tc>
          <w:tcPr>
            <w:tcW w:w="2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折旧费</w:t>
            </w:r>
            <w:r>
              <w:rPr>
                <w:rFonts w:ascii="宋体" w:hAnsi="宋体" w:cs="宋体" w:eastAsia="宋体" w:hint="default"/>
                <w:spacing w:val="-2"/>
                <w:sz w:val="18"/>
                <w:szCs w:val="18"/>
              </w:rPr>
              <w:t> </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2"/>
              <w:jc w:val="right"/>
              <w:rPr>
                <w:rFonts w:ascii="宋体" w:hAnsi="宋体" w:cs="宋体" w:eastAsia="宋体" w:hint="default"/>
                <w:sz w:val="18"/>
                <w:szCs w:val="18"/>
              </w:rPr>
            </w:pPr>
            <w:r>
              <w:rPr>
                <w:rFonts w:ascii="宋体"/>
                <w:spacing w:val="1"/>
                <w:sz w:val="18"/>
              </w:rPr>
              <w:t> </w:t>
            </w:r>
            <w:r>
              <w:rPr>
                <w:rFonts w:ascii="宋体"/>
                <w:spacing w:val="-1"/>
                <w:sz w:val="18"/>
              </w:rPr>
              <w:t>1,453,460.20</w:t>
            </w:r>
            <w:r>
              <w:rPr>
                <w:rFonts w:ascii="宋体"/>
                <w:sz w:val="18"/>
              </w:rPr>
              <w:t> </w:t>
            </w:r>
          </w:p>
        </w:tc>
        <w:tc>
          <w:tcPr>
            <w:tcW w:w="3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1,492,596.95</w:t>
            </w:r>
            <w:r>
              <w:rPr>
                <w:rFonts w:ascii="宋体"/>
                <w:sz w:val="18"/>
              </w:rPr>
              <w:t> </w:t>
            </w:r>
          </w:p>
        </w:tc>
      </w:tr>
      <w:tr>
        <w:trPr>
          <w:trHeight w:val="396" w:hRule="exact"/>
        </w:trPr>
        <w:tc>
          <w:tcPr>
            <w:tcW w:w="2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专业服务费</w:t>
            </w:r>
            <w:r>
              <w:rPr>
                <w:rFonts w:ascii="宋体" w:hAnsi="宋体" w:cs="宋体" w:eastAsia="宋体" w:hint="default"/>
                <w:spacing w:val="-2"/>
                <w:sz w:val="18"/>
                <w:szCs w:val="18"/>
              </w:rPr>
              <w:t> </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
              <w:jc w:val="right"/>
              <w:rPr>
                <w:rFonts w:ascii="宋体" w:hAnsi="宋体" w:cs="宋体" w:eastAsia="宋体" w:hint="default"/>
                <w:sz w:val="18"/>
                <w:szCs w:val="18"/>
              </w:rPr>
            </w:pPr>
            <w:r>
              <w:rPr>
                <w:rFonts w:ascii="宋体"/>
                <w:spacing w:val="1"/>
                <w:sz w:val="18"/>
              </w:rPr>
              <w:t> </w:t>
            </w:r>
            <w:r>
              <w:rPr>
                <w:rFonts w:ascii="宋体"/>
                <w:spacing w:val="-1"/>
                <w:sz w:val="18"/>
              </w:rPr>
              <w:t>1,234,836.73</w:t>
            </w:r>
            <w:r>
              <w:rPr>
                <w:rFonts w:ascii="宋体"/>
                <w:sz w:val="18"/>
              </w:rPr>
              <w:t> </w:t>
            </w:r>
          </w:p>
        </w:tc>
        <w:tc>
          <w:tcPr>
            <w:tcW w:w="3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4,064,358.61</w:t>
            </w:r>
            <w:r>
              <w:rPr>
                <w:rFonts w:ascii="宋体"/>
                <w:sz w:val="18"/>
              </w:rPr>
              <w:t> </w:t>
            </w:r>
          </w:p>
        </w:tc>
      </w:tr>
      <w:tr>
        <w:trPr>
          <w:trHeight w:val="396" w:hRule="exact"/>
        </w:trPr>
        <w:tc>
          <w:tcPr>
            <w:tcW w:w="2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办公、差旅、招待及租赁费等</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 </w:t>
            </w:r>
            <w:r>
              <w:rPr>
                <w:rFonts w:ascii="宋体"/>
                <w:spacing w:val="-1"/>
                <w:sz w:val="18"/>
              </w:rPr>
              <w:t>4,543,817.77</w:t>
            </w:r>
            <w:r>
              <w:rPr>
                <w:rFonts w:ascii="宋体"/>
                <w:sz w:val="18"/>
              </w:rPr>
              <w:t> </w:t>
            </w:r>
          </w:p>
        </w:tc>
        <w:tc>
          <w:tcPr>
            <w:tcW w:w="3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7,194,473.38</w:t>
            </w:r>
            <w:r>
              <w:rPr>
                <w:rFonts w:ascii="宋体"/>
                <w:sz w:val="18"/>
              </w:rPr>
              <w:t> </w:t>
            </w:r>
          </w:p>
        </w:tc>
      </w:tr>
      <w:tr>
        <w:trPr>
          <w:trHeight w:val="399" w:hRule="exact"/>
        </w:trPr>
        <w:tc>
          <w:tcPr>
            <w:tcW w:w="2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2"/>
                <w:sz w:val="18"/>
              </w:rPr>
              <w:t> </w:t>
            </w:r>
            <w:r>
              <w:rPr>
                <w:rFonts w:ascii="宋体"/>
                <w:spacing w:val="-1"/>
                <w:sz w:val="18"/>
              </w:rPr>
              <w:t>89,034,352.41</w:t>
            </w:r>
            <w:r>
              <w:rPr>
                <w:rFonts w:ascii="宋体"/>
                <w:sz w:val="18"/>
              </w:rPr>
              <w:t> </w:t>
            </w:r>
          </w:p>
        </w:tc>
        <w:tc>
          <w:tcPr>
            <w:tcW w:w="36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104,591,100.90 </w:t>
            </w:r>
          </w:p>
        </w:tc>
      </w:tr>
    </w:tbl>
    <w:p>
      <w:pPr>
        <w:spacing w:line="240" w:lineRule="auto" w:before="7"/>
        <w:rPr>
          <w:rFonts w:ascii="宋体" w:hAnsi="宋体" w:cs="宋体" w:eastAsia="宋体" w:hint="default"/>
          <w:b/>
          <w:bCs/>
          <w:sz w:val="6"/>
          <w:szCs w:val="6"/>
        </w:rPr>
      </w:pPr>
    </w:p>
    <w:p>
      <w:pPr>
        <w:spacing w:before="36"/>
        <w:ind w:left="365" w:right="0" w:firstLine="0"/>
        <w:jc w:val="left"/>
        <w:rPr>
          <w:rFonts w:ascii="宋体" w:hAnsi="宋体" w:cs="宋体" w:eastAsia="宋体" w:hint="default"/>
          <w:sz w:val="21"/>
          <w:szCs w:val="21"/>
        </w:rPr>
      </w:pPr>
      <w:r>
        <w:rPr>
          <w:rFonts w:ascii="宋体" w:hAnsi="宋体" w:cs="宋体" w:eastAsia="宋体" w:hint="default"/>
          <w:b/>
          <w:bCs/>
          <w:sz w:val="21"/>
          <w:szCs w:val="21"/>
        </w:rPr>
        <w:t>（三十八）财务费用</w:t>
      </w:r>
      <w:r>
        <w:rPr>
          <w:rFonts w:ascii="宋体" w:hAnsi="宋体" w:cs="宋体" w:eastAsia="宋体" w:hint="default"/>
          <w:b/>
          <w:bCs/>
          <w:w w:val="99"/>
          <w:sz w:val="21"/>
          <w:szCs w:val="21"/>
        </w:rPr>
        <w:t> </w:t>
      </w:r>
      <w:r>
        <w:rPr>
          <w:rFonts w:ascii="宋体" w:hAnsi="宋体" w:cs="宋体" w:eastAsia="宋体" w:hint="default"/>
          <w:sz w:val="21"/>
          <w:szCs w:val="21"/>
        </w:rPr>
      </w:r>
    </w:p>
    <w:p>
      <w:pPr>
        <w:spacing w:line="240" w:lineRule="auto" w:before="3"/>
        <w:rPr>
          <w:rFonts w:ascii="宋体" w:hAnsi="宋体" w:cs="宋体" w:eastAsia="宋体" w:hint="default"/>
          <w:b/>
          <w:bCs/>
          <w:sz w:val="14"/>
          <w:szCs w:val="14"/>
        </w:rPr>
      </w:pPr>
    </w:p>
    <w:tbl>
      <w:tblPr>
        <w:tblW w:w="0" w:type="auto"/>
        <w:jc w:val="left"/>
        <w:tblInd w:w="110" w:type="dxa"/>
        <w:tblLayout w:type="fixed"/>
        <w:tblCellMar>
          <w:top w:w="0" w:type="dxa"/>
          <w:left w:w="0" w:type="dxa"/>
          <w:bottom w:w="0" w:type="dxa"/>
          <w:right w:w="0" w:type="dxa"/>
        </w:tblCellMar>
        <w:tblLook w:val="01E0"/>
      </w:tblPr>
      <w:tblGrid>
        <w:gridCol w:w="2996"/>
        <w:gridCol w:w="2993"/>
        <w:gridCol w:w="3692"/>
      </w:tblGrid>
      <w:tr>
        <w:trPr>
          <w:trHeight w:val="398" w:hRule="exact"/>
        </w:trPr>
        <w:tc>
          <w:tcPr>
            <w:tcW w:w="2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21"/>
              <w:jc w:val="right"/>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41" w:right="0"/>
              <w:jc w:val="left"/>
              <w:rPr>
                <w:rFonts w:ascii="宋体" w:hAnsi="宋体" w:cs="宋体" w:eastAsia="宋体" w:hint="default"/>
                <w:sz w:val="18"/>
                <w:szCs w:val="18"/>
              </w:rPr>
            </w:pPr>
            <w:r>
              <w:rPr>
                <w:rFonts w:ascii="宋体" w:hAnsi="宋体" w:cs="宋体" w:eastAsia="宋体" w:hint="default"/>
                <w:sz w:val="18"/>
                <w:szCs w:val="18"/>
              </w:rPr>
              <w:t>本期发生额</w:t>
            </w:r>
            <w:r>
              <w:rPr>
                <w:rFonts w:ascii="宋体" w:hAnsi="宋体" w:cs="宋体" w:eastAsia="宋体" w:hint="default"/>
                <w:sz w:val="18"/>
                <w:szCs w:val="18"/>
              </w:rPr>
              <w:t> </w:t>
            </w:r>
          </w:p>
        </w:tc>
        <w:tc>
          <w:tcPr>
            <w:tcW w:w="3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7" w:right="0"/>
              <w:jc w:val="center"/>
              <w:rPr>
                <w:rFonts w:ascii="宋体" w:hAnsi="宋体" w:cs="宋体" w:eastAsia="宋体" w:hint="default"/>
                <w:sz w:val="18"/>
                <w:szCs w:val="18"/>
              </w:rPr>
            </w:pPr>
            <w:r>
              <w:rPr>
                <w:rFonts w:ascii="宋体" w:hAnsi="宋体" w:cs="宋体" w:eastAsia="宋体" w:hint="default"/>
                <w:sz w:val="18"/>
                <w:szCs w:val="18"/>
              </w:rPr>
              <w:t>上期发生额</w:t>
            </w:r>
            <w:r>
              <w:rPr>
                <w:rFonts w:ascii="宋体" w:hAnsi="宋体" w:cs="宋体" w:eastAsia="宋体" w:hint="default"/>
                <w:sz w:val="18"/>
                <w:szCs w:val="18"/>
              </w:rPr>
              <w:t> </w:t>
            </w:r>
          </w:p>
        </w:tc>
      </w:tr>
      <w:tr>
        <w:trPr>
          <w:trHeight w:val="396" w:hRule="exact"/>
        </w:trPr>
        <w:tc>
          <w:tcPr>
            <w:tcW w:w="2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利息费用</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51,657,477.68 </w:t>
            </w:r>
          </w:p>
        </w:tc>
        <w:tc>
          <w:tcPr>
            <w:tcW w:w="3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12,735,839.31</w:t>
            </w:r>
            <w:r>
              <w:rPr>
                <w:rFonts w:ascii="宋体"/>
                <w:sz w:val="18"/>
              </w:rPr>
              <w:t> </w:t>
            </w:r>
          </w:p>
        </w:tc>
      </w:tr>
      <w:tr>
        <w:trPr>
          <w:trHeight w:val="398" w:hRule="exact"/>
        </w:trPr>
        <w:tc>
          <w:tcPr>
            <w:tcW w:w="2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减：利息收入</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3,804,322.77 </w:t>
            </w:r>
          </w:p>
        </w:tc>
        <w:tc>
          <w:tcPr>
            <w:tcW w:w="3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1,849,530.53</w:t>
            </w:r>
            <w:r>
              <w:rPr>
                <w:rFonts w:ascii="宋体"/>
                <w:sz w:val="18"/>
              </w:rPr>
              <w:t> </w:t>
            </w:r>
          </w:p>
        </w:tc>
      </w:tr>
      <w:tr>
        <w:trPr>
          <w:trHeight w:val="396" w:hRule="exact"/>
        </w:trPr>
        <w:tc>
          <w:tcPr>
            <w:tcW w:w="2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利息净支出</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47,853,154.91 </w:t>
            </w:r>
          </w:p>
        </w:tc>
        <w:tc>
          <w:tcPr>
            <w:tcW w:w="3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10,886,308.78</w:t>
            </w:r>
            <w:r>
              <w:rPr>
                <w:rFonts w:ascii="宋体"/>
                <w:sz w:val="18"/>
              </w:rPr>
              <w:t> </w:t>
            </w:r>
          </w:p>
        </w:tc>
      </w:tr>
      <w:tr>
        <w:trPr>
          <w:trHeight w:val="398" w:hRule="exact"/>
        </w:trPr>
        <w:tc>
          <w:tcPr>
            <w:tcW w:w="2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手续费支出</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400,683.61 </w:t>
            </w:r>
          </w:p>
        </w:tc>
        <w:tc>
          <w:tcPr>
            <w:tcW w:w="3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1,954,645.08</w:t>
            </w:r>
            <w:r>
              <w:rPr>
                <w:rFonts w:ascii="宋体"/>
                <w:sz w:val="18"/>
              </w:rPr>
              <w:t> </w:t>
            </w:r>
          </w:p>
        </w:tc>
      </w:tr>
      <w:tr>
        <w:trPr>
          <w:trHeight w:val="396" w:hRule="exact"/>
        </w:trPr>
        <w:tc>
          <w:tcPr>
            <w:tcW w:w="2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汇兑损益</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145,965.54 </w:t>
            </w:r>
          </w:p>
        </w:tc>
        <w:tc>
          <w:tcPr>
            <w:tcW w:w="3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-288,090.00</w:t>
            </w:r>
            <w:r>
              <w:rPr>
                <w:rFonts w:ascii="宋体"/>
                <w:sz w:val="18"/>
              </w:rPr>
              <w:t> </w:t>
            </w:r>
          </w:p>
        </w:tc>
      </w:tr>
      <w:tr>
        <w:trPr>
          <w:trHeight w:val="398" w:hRule="exact"/>
        </w:trPr>
        <w:tc>
          <w:tcPr>
            <w:tcW w:w="2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21"/>
              <w:jc w:val="righ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48,399,804.06 </w:t>
            </w:r>
          </w:p>
        </w:tc>
        <w:tc>
          <w:tcPr>
            <w:tcW w:w="3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12,552,863.86</w:t>
            </w:r>
            <w:r>
              <w:rPr>
                <w:rFonts w:ascii="宋体"/>
                <w:sz w:val="18"/>
              </w:rPr>
              <w:t> </w:t>
            </w:r>
          </w:p>
        </w:tc>
      </w:tr>
    </w:tbl>
    <w:p>
      <w:pPr>
        <w:spacing w:line="240" w:lineRule="auto" w:before="8"/>
        <w:rPr>
          <w:rFonts w:ascii="宋体" w:hAnsi="宋体" w:cs="宋体" w:eastAsia="宋体" w:hint="default"/>
          <w:b/>
          <w:bCs/>
          <w:sz w:val="6"/>
          <w:szCs w:val="6"/>
        </w:rPr>
      </w:pPr>
    </w:p>
    <w:p>
      <w:pPr>
        <w:spacing w:before="36"/>
        <w:ind w:left="365" w:right="0" w:firstLine="0"/>
        <w:jc w:val="left"/>
        <w:rPr>
          <w:rFonts w:ascii="宋体" w:hAnsi="宋体" w:cs="宋体" w:eastAsia="宋体" w:hint="default"/>
          <w:sz w:val="21"/>
          <w:szCs w:val="21"/>
        </w:rPr>
      </w:pPr>
      <w:r>
        <w:rPr>
          <w:rFonts w:ascii="宋体" w:hAnsi="宋体" w:cs="宋体" w:eastAsia="宋体" w:hint="default"/>
          <w:b/>
          <w:bCs/>
          <w:sz w:val="21"/>
          <w:szCs w:val="21"/>
        </w:rPr>
        <w:t>（三十九）其他收益</w:t>
      </w:r>
      <w:r>
        <w:rPr>
          <w:rFonts w:ascii="宋体" w:hAnsi="宋体" w:cs="宋体" w:eastAsia="宋体" w:hint="default"/>
          <w:b/>
          <w:bCs/>
          <w:w w:val="99"/>
          <w:sz w:val="21"/>
          <w:szCs w:val="21"/>
        </w:rPr>
        <w:t> </w:t>
      </w:r>
      <w:r>
        <w:rPr>
          <w:rFonts w:ascii="宋体" w:hAnsi="宋体" w:cs="宋体" w:eastAsia="宋体" w:hint="default"/>
          <w:sz w:val="21"/>
          <w:szCs w:val="21"/>
        </w:rPr>
      </w:r>
    </w:p>
    <w:p>
      <w:pPr>
        <w:spacing w:line="240" w:lineRule="auto" w:before="3"/>
        <w:rPr>
          <w:rFonts w:ascii="宋体" w:hAnsi="宋体" w:cs="宋体" w:eastAsia="宋体" w:hint="default"/>
          <w:b/>
          <w:bCs/>
          <w:sz w:val="14"/>
          <w:szCs w:val="14"/>
        </w:rPr>
      </w:pPr>
    </w:p>
    <w:tbl>
      <w:tblPr>
        <w:tblW w:w="0" w:type="auto"/>
        <w:jc w:val="left"/>
        <w:tblInd w:w="110" w:type="dxa"/>
        <w:tblLayout w:type="fixed"/>
        <w:tblCellMar>
          <w:top w:w="0" w:type="dxa"/>
          <w:left w:w="0" w:type="dxa"/>
          <w:bottom w:w="0" w:type="dxa"/>
          <w:right w:w="0" w:type="dxa"/>
        </w:tblCellMar>
        <w:tblLook w:val="01E0"/>
      </w:tblPr>
      <w:tblGrid>
        <w:gridCol w:w="2999"/>
        <w:gridCol w:w="2993"/>
        <w:gridCol w:w="3689"/>
      </w:tblGrid>
      <w:tr>
        <w:trPr>
          <w:trHeight w:val="396" w:hRule="exact"/>
        </w:trPr>
        <w:tc>
          <w:tcPr>
            <w:tcW w:w="2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684" w:right="0"/>
              <w:jc w:val="left"/>
              <w:rPr>
                <w:rFonts w:ascii="宋体" w:hAnsi="宋体" w:cs="宋体" w:eastAsia="宋体" w:hint="default"/>
                <w:sz w:val="18"/>
                <w:szCs w:val="18"/>
              </w:rPr>
            </w:pPr>
            <w:r>
              <w:rPr>
                <w:rFonts w:ascii="宋体" w:hAnsi="宋体" w:cs="宋体" w:eastAsia="宋体" w:hint="default"/>
                <w:sz w:val="18"/>
                <w:szCs w:val="18"/>
              </w:rPr>
              <w:t>产生其他收益的来源</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41" w:right="0"/>
              <w:jc w:val="left"/>
              <w:rPr>
                <w:rFonts w:ascii="宋体" w:hAnsi="宋体" w:cs="宋体" w:eastAsia="宋体" w:hint="default"/>
                <w:sz w:val="18"/>
                <w:szCs w:val="18"/>
              </w:rPr>
            </w:pPr>
            <w:r>
              <w:rPr>
                <w:rFonts w:ascii="宋体" w:hAnsi="宋体" w:cs="宋体" w:eastAsia="宋体" w:hint="default"/>
                <w:sz w:val="18"/>
                <w:szCs w:val="18"/>
              </w:rPr>
              <w:t>本期发生额</w:t>
            </w:r>
            <w:r>
              <w:rPr>
                <w:rFonts w:ascii="宋体" w:hAnsi="宋体" w:cs="宋体" w:eastAsia="宋体" w:hint="default"/>
                <w:sz w:val="18"/>
                <w:szCs w:val="18"/>
              </w:rPr>
              <w:t> </w:t>
            </w:r>
          </w:p>
        </w:tc>
        <w:tc>
          <w:tcPr>
            <w:tcW w:w="3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 w:right="0"/>
              <w:jc w:val="center"/>
              <w:rPr>
                <w:rFonts w:ascii="宋体" w:hAnsi="宋体" w:cs="宋体" w:eastAsia="宋体" w:hint="default"/>
                <w:sz w:val="18"/>
                <w:szCs w:val="18"/>
              </w:rPr>
            </w:pPr>
            <w:r>
              <w:rPr>
                <w:rFonts w:ascii="宋体" w:hAnsi="宋体" w:cs="宋体" w:eastAsia="宋体" w:hint="default"/>
                <w:sz w:val="18"/>
                <w:szCs w:val="18"/>
              </w:rPr>
              <w:t>上期发生额</w:t>
            </w:r>
            <w:r>
              <w:rPr>
                <w:rFonts w:ascii="宋体" w:hAnsi="宋体" w:cs="宋体" w:eastAsia="宋体" w:hint="default"/>
                <w:sz w:val="18"/>
                <w:szCs w:val="18"/>
              </w:rPr>
              <w:t> </w:t>
            </w:r>
          </w:p>
        </w:tc>
      </w:tr>
      <w:tr>
        <w:trPr>
          <w:trHeight w:val="398" w:hRule="exact"/>
        </w:trPr>
        <w:tc>
          <w:tcPr>
            <w:tcW w:w="2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个税返还</w:t>
            </w:r>
            <w:r>
              <w:rPr>
                <w:rFonts w:ascii="宋体" w:hAnsi="宋体" w:cs="宋体" w:eastAsia="宋体" w:hint="default"/>
                <w:spacing w:val="-2"/>
                <w:sz w:val="18"/>
                <w:szCs w:val="18"/>
              </w:rPr>
              <w:t> </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2"/>
              <w:jc w:val="right"/>
              <w:rPr>
                <w:rFonts w:ascii="宋体" w:hAnsi="宋体" w:cs="宋体" w:eastAsia="宋体" w:hint="default"/>
                <w:sz w:val="18"/>
                <w:szCs w:val="18"/>
              </w:rPr>
            </w:pPr>
            <w:r>
              <w:rPr>
                <w:rFonts w:ascii="宋体"/>
                <w:spacing w:val="1"/>
                <w:sz w:val="18"/>
              </w:rPr>
              <w:t> </w:t>
            </w:r>
            <w:r>
              <w:rPr>
                <w:rFonts w:ascii="宋体"/>
                <w:spacing w:val="-1"/>
                <w:sz w:val="18"/>
              </w:rPr>
              <w:t>111,369.72</w:t>
            </w:r>
            <w:r>
              <w:rPr>
                <w:rFonts w:ascii="宋体"/>
                <w:sz w:val="18"/>
              </w:rPr>
              <w:t> </w:t>
            </w:r>
          </w:p>
        </w:tc>
        <w:tc>
          <w:tcPr>
            <w:tcW w:w="3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225,664.97</w:t>
            </w:r>
            <w:r>
              <w:rPr>
                <w:rFonts w:ascii="宋体"/>
                <w:sz w:val="18"/>
              </w:rPr>
              <w:t> </w:t>
            </w:r>
          </w:p>
        </w:tc>
      </w:tr>
      <w:tr>
        <w:trPr>
          <w:trHeight w:val="396" w:hRule="exact"/>
        </w:trPr>
        <w:tc>
          <w:tcPr>
            <w:tcW w:w="2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稳岗补贴</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2"/>
              <w:jc w:val="right"/>
              <w:rPr>
                <w:rFonts w:ascii="宋体" w:hAnsi="宋体" w:cs="宋体" w:eastAsia="宋体" w:hint="default"/>
                <w:sz w:val="18"/>
                <w:szCs w:val="18"/>
              </w:rPr>
            </w:pPr>
            <w:r>
              <w:rPr>
                <w:rFonts w:ascii="宋体"/>
                <w:spacing w:val="1"/>
                <w:sz w:val="18"/>
              </w:rPr>
              <w:t> </w:t>
            </w:r>
            <w:r>
              <w:rPr>
                <w:rFonts w:ascii="宋体"/>
                <w:spacing w:val="-1"/>
                <w:sz w:val="18"/>
              </w:rPr>
              <w:t>354,148.29</w:t>
            </w:r>
            <w:r>
              <w:rPr>
                <w:rFonts w:ascii="宋体"/>
                <w:sz w:val="18"/>
              </w:rPr>
              <w:t> </w:t>
            </w:r>
          </w:p>
        </w:tc>
        <w:tc>
          <w:tcPr>
            <w:tcW w:w="3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394,821.22</w:t>
            </w:r>
            <w:r>
              <w:rPr>
                <w:rFonts w:ascii="宋体"/>
                <w:sz w:val="18"/>
              </w:rPr>
              <w:t> </w:t>
            </w:r>
          </w:p>
        </w:tc>
      </w:tr>
      <w:tr>
        <w:trPr>
          <w:trHeight w:val="398" w:hRule="exact"/>
        </w:trPr>
        <w:tc>
          <w:tcPr>
            <w:tcW w:w="2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其他政府补助</w:t>
            </w:r>
            <w:r>
              <w:rPr>
                <w:rFonts w:ascii="宋体" w:hAnsi="宋体" w:cs="宋体" w:eastAsia="宋体" w:hint="default"/>
                <w:spacing w:val="-2"/>
                <w:sz w:val="18"/>
                <w:szCs w:val="18"/>
              </w:rPr>
              <w:t> </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2"/>
              <w:jc w:val="right"/>
              <w:rPr>
                <w:rFonts w:ascii="宋体" w:hAnsi="宋体" w:cs="宋体" w:eastAsia="宋体" w:hint="default"/>
                <w:sz w:val="18"/>
                <w:szCs w:val="18"/>
              </w:rPr>
            </w:pPr>
            <w:r>
              <w:rPr>
                <w:rFonts w:ascii="宋体"/>
                <w:spacing w:val="1"/>
                <w:sz w:val="18"/>
              </w:rPr>
              <w:t> </w:t>
            </w:r>
            <w:r>
              <w:rPr>
                <w:rFonts w:ascii="宋体"/>
                <w:spacing w:val="-1"/>
                <w:sz w:val="18"/>
              </w:rPr>
              <w:t>10,469,124.47</w:t>
            </w:r>
            <w:r>
              <w:rPr>
                <w:rFonts w:ascii="宋体"/>
                <w:sz w:val="18"/>
              </w:rPr>
              <w:t> </w:t>
            </w:r>
          </w:p>
        </w:tc>
        <w:tc>
          <w:tcPr>
            <w:tcW w:w="3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22,000.00</w:t>
            </w:r>
            <w:r>
              <w:rPr>
                <w:rFonts w:ascii="宋体"/>
                <w:sz w:val="18"/>
              </w:rPr>
              <w:t> </w:t>
            </w:r>
          </w:p>
        </w:tc>
      </w:tr>
    </w:tbl>
    <w:p>
      <w:pPr>
        <w:spacing w:after="0" w:line="240" w:lineRule="auto"/>
        <w:jc w:val="right"/>
        <w:rPr>
          <w:rFonts w:ascii="宋体" w:hAnsi="宋体" w:cs="宋体" w:eastAsia="宋体" w:hint="default"/>
          <w:sz w:val="18"/>
          <w:szCs w:val="18"/>
        </w:rPr>
        <w:sectPr>
          <w:pgSz w:w="11910" w:h="16840"/>
          <w:pgMar w:header="880" w:footer="975" w:top="1100" w:bottom="1160" w:left="1080" w:right="0"/>
        </w:sectPr>
      </w:pPr>
    </w:p>
    <w:p>
      <w:pPr>
        <w:spacing w:line="240" w:lineRule="auto" w:before="8"/>
        <w:rPr>
          <w:rFonts w:ascii="宋体" w:hAnsi="宋体" w:cs="宋体" w:eastAsia="宋体" w:hint="default"/>
          <w:b/>
          <w:bCs/>
          <w:sz w:val="24"/>
          <w:szCs w:val="24"/>
        </w:rPr>
      </w:pPr>
    </w:p>
    <w:tbl>
      <w:tblPr>
        <w:tblW w:w="0" w:type="auto"/>
        <w:jc w:val="left"/>
        <w:tblInd w:w="110" w:type="dxa"/>
        <w:tblLayout w:type="fixed"/>
        <w:tblCellMar>
          <w:top w:w="0" w:type="dxa"/>
          <w:left w:w="0" w:type="dxa"/>
          <w:bottom w:w="0" w:type="dxa"/>
          <w:right w:w="0" w:type="dxa"/>
        </w:tblCellMar>
        <w:tblLook w:val="01E0"/>
      </w:tblPr>
      <w:tblGrid>
        <w:gridCol w:w="2999"/>
        <w:gridCol w:w="2993"/>
        <w:gridCol w:w="3689"/>
      </w:tblGrid>
      <w:tr>
        <w:trPr>
          <w:trHeight w:val="396" w:hRule="exact"/>
        </w:trPr>
        <w:tc>
          <w:tcPr>
            <w:tcW w:w="2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684" w:right="0"/>
              <w:jc w:val="left"/>
              <w:rPr>
                <w:rFonts w:ascii="宋体" w:hAnsi="宋体" w:cs="宋体" w:eastAsia="宋体" w:hint="default"/>
                <w:sz w:val="18"/>
                <w:szCs w:val="18"/>
              </w:rPr>
            </w:pPr>
            <w:r>
              <w:rPr>
                <w:rFonts w:ascii="宋体" w:hAnsi="宋体" w:cs="宋体" w:eastAsia="宋体" w:hint="default"/>
                <w:sz w:val="18"/>
                <w:szCs w:val="18"/>
              </w:rPr>
              <w:t>产生其他收益的来源</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41" w:right="0"/>
              <w:jc w:val="left"/>
              <w:rPr>
                <w:rFonts w:ascii="宋体" w:hAnsi="宋体" w:cs="宋体" w:eastAsia="宋体" w:hint="default"/>
                <w:sz w:val="18"/>
                <w:szCs w:val="18"/>
              </w:rPr>
            </w:pPr>
            <w:r>
              <w:rPr>
                <w:rFonts w:ascii="宋体" w:hAnsi="宋体" w:cs="宋体" w:eastAsia="宋体" w:hint="default"/>
                <w:sz w:val="18"/>
                <w:szCs w:val="18"/>
              </w:rPr>
              <w:t>本期发生额</w:t>
            </w:r>
            <w:r>
              <w:rPr>
                <w:rFonts w:ascii="宋体" w:hAnsi="宋体" w:cs="宋体" w:eastAsia="宋体" w:hint="default"/>
                <w:sz w:val="18"/>
                <w:szCs w:val="18"/>
              </w:rPr>
              <w:t> </w:t>
            </w:r>
          </w:p>
        </w:tc>
        <w:tc>
          <w:tcPr>
            <w:tcW w:w="3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 w:right="0"/>
              <w:jc w:val="center"/>
              <w:rPr>
                <w:rFonts w:ascii="宋体" w:hAnsi="宋体" w:cs="宋体" w:eastAsia="宋体" w:hint="default"/>
                <w:sz w:val="18"/>
                <w:szCs w:val="18"/>
              </w:rPr>
            </w:pPr>
            <w:r>
              <w:rPr>
                <w:rFonts w:ascii="宋体" w:hAnsi="宋体" w:cs="宋体" w:eastAsia="宋体" w:hint="default"/>
                <w:sz w:val="18"/>
                <w:szCs w:val="18"/>
              </w:rPr>
              <w:t>上期发生额</w:t>
            </w:r>
            <w:r>
              <w:rPr>
                <w:rFonts w:ascii="宋体" w:hAnsi="宋体" w:cs="宋体" w:eastAsia="宋体" w:hint="default"/>
                <w:sz w:val="18"/>
                <w:szCs w:val="18"/>
              </w:rPr>
              <w:t> </w:t>
            </w:r>
          </w:p>
        </w:tc>
      </w:tr>
      <w:tr>
        <w:trPr>
          <w:trHeight w:val="399" w:hRule="exact"/>
        </w:trPr>
        <w:tc>
          <w:tcPr>
            <w:tcW w:w="2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企业生产扶持资金</w:t>
            </w:r>
            <w:r>
              <w:rPr>
                <w:rFonts w:ascii="宋体" w:hAnsi="宋体" w:cs="宋体" w:eastAsia="宋体" w:hint="default"/>
                <w:spacing w:val="-2"/>
                <w:sz w:val="18"/>
                <w:szCs w:val="18"/>
              </w:rPr>
              <w:t> </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3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3,132,600.00</w:t>
            </w:r>
            <w:r>
              <w:rPr>
                <w:rFonts w:ascii="宋体"/>
                <w:sz w:val="18"/>
              </w:rPr>
              <w:t> </w:t>
            </w:r>
          </w:p>
        </w:tc>
      </w:tr>
      <w:tr>
        <w:trPr>
          <w:trHeight w:val="396" w:hRule="exact"/>
        </w:trPr>
        <w:tc>
          <w:tcPr>
            <w:tcW w:w="29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7"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2"/>
                <w:sz w:val="18"/>
              </w:rPr>
              <w:t> </w:t>
            </w:r>
            <w:r>
              <w:rPr>
                <w:rFonts w:ascii="宋体"/>
                <w:spacing w:val="-1"/>
                <w:sz w:val="18"/>
              </w:rPr>
              <w:t>10,934,642.48</w:t>
            </w:r>
            <w:r>
              <w:rPr>
                <w:rFonts w:ascii="宋体"/>
                <w:sz w:val="18"/>
              </w:rPr>
              <w:t> </w:t>
            </w:r>
          </w:p>
        </w:tc>
        <w:tc>
          <w:tcPr>
            <w:tcW w:w="36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3,775,086.19</w:t>
            </w:r>
            <w:r>
              <w:rPr>
                <w:rFonts w:ascii="宋体"/>
                <w:sz w:val="18"/>
              </w:rPr>
              <w:t> </w:t>
            </w:r>
          </w:p>
        </w:tc>
      </w:tr>
    </w:tbl>
    <w:p>
      <w:pPr>
        <w:spacing w:line="240" w:lineRule="auto" w:before="7"/>
        <w:rPr>
          <w:rFonts w:ascii="宋体" w:hAnsi="宋体" w:cs="宋体" w:eastAsia="宋体" w:hint="default"/>
          <w:b/>
          <w:bCs/>
          <w:sz w:val="6"/>
          <w:szCs w:val="6"/>
        </w:rPr>
      </w:pPr>
    </w:p>
    <w:p>
      <w:pPr>
        <w:spacing w:before="36"/>
        <w:ind w:left="365" w:right="0" w:firstLine="0"/>
        <w:jc w:val="left"/>
        <w:rPr>
          <w:rFonts w:ascii="宋体" w:hAnsi="宋体" w:cs="宋体" w:eastAsia="宋体" w:hint="default"/>
          <w:sz w:val="21"/>
          <w:szCs w:val="21"/>
        </w:rPr>
      </w:pPr>
      <w:r>
        <w:rPr>
          <w:rFonts w:ascii="宋体" w:hAnsi="宋体" w:cs="宋体" w:eastAsia="宋体" w:hint="default"/>
          <w:b/>
          <w:bCs/>
          <w:sz w:val="21"/>
          <w:szCs w:val="21"/>
        </w:rPr>
        <w:t>（四十）投资收益</w:t>
      </w:r>
      <w:r>
        <w:rPr>
          <w:rFonts w:ascii="宋体" w:hAnsi="宋体" w:cs="宋体" w:eastAsia="宋体" w:hint="default"/>
          <w:b/>
          <w:bCs/>
          <w:w w:val="99"/>
          <w:sz w:val="21"/>
          <w:szCs w:val="21"/>
        </w:rPr>
        <w:t> </w:t>
      </w:r>
      <w:r>
        <w:rPr>
          <w:rFonts w:ascii="宋体" w:hAnsi="宋体" w:cs="宋体" w:eastAsia="宋体" w:hint="default"/>
          <w:sz w:val="21"/>
          <w:szCs w:val="21"/>
        </w:rPr>
      </w:r>
    </w:p>
    <w:p>
      <w:pPr>
        <w:spacing w:line="240" w:lineRule="auto" w:before="6"/>
        <w:rPr>
          <w:rFonts w:ascii="宋体" w:hAnsi="宋体" w:cs="宋体" w:eastAsia="宋体" w:hint="default"/>
          <w:b/>
          <w:bCs/>
          <w:sz w:val="14"/>
          <w:szCs w:val="14"/>
        </w:rPr>
      </w:pPr>
    </w:p>
    <w:tbl>
      <w:tblPr>
        <w:tblW w:w="0" w:type="auto"/>
        <w:jc w:val="left"/>
        <w:tblInd w:w="160" w:type="dxa"/>
        <w:tblLayout w:type="fixed"/>
        <w:tblCellMar>
          <w:top w:w="0" w:type="dxa"/>
          <w:left w:w="0" w:type="dxa"/>
          <w:bottom w:w="0" w:type="dxa"/>
          <w:right w:w="0" w:type="dxa"/>
        </w:tblCellMar>
        <w:tblLook w:val="01E0"/>
      </w:tblPr>
      <w:tblGrid>
        <w:gridCol w:w="4050"/>
        <w:gridCol w:w="2444"/>
        <w:gridCol w:w="3137"/>
      </w:tblGrid>
      <w:tr>
        <w:trPr>
          <w:trHeight w:val="396" w:hRule="exact"/>
        </w:trPr>
        <w:tc>
          <w:tcPr>
            <w:tcW w:w="4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2"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768" w:right="0"/>
              <w:jc w:val="left"/>
              <w:rPr>
                <w:rFonts w:ascii="宋体" w:hAnsi="宋体" w:cs="宋体" w:eastAsia="宋体" w:hint="default"/>
                <w:sz w:val="18"/>
                <w:szCs w:val="18"/>
              </w:rPr>
            </w:pPr>
            <w:r>
              <w:rPr>
                <w:rFonts w:ascii="宋体" w:hAnsi="宋体" w:cs="宋体" w:eastAsia="宋体" w:hint="default"/>
                <w:sz w:val="18"/>
                <w:szCs w:val="18"/>
              </w:rPr>
              <w:t>本期发生额</w:t>
            </w:r>
            <w:r>
              <w:rPr>
                <w:rFonts w:ascii="宋体" w:hAnsi="宋体" w:cs="宋体" w:eastAsia="宋体" w:hint="default"/>
                <w:sz w:val="18"/>
                <w:szCs w:val="18"/>
              </w:rPr>
              <w:t> </w:t>
            </w:r>
          </w:p>
        </w:tc>
        <w:tc>
          <w:tcPr>
            <w:tcW w:w="31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113" w:right="0"/>
              <w:jc w:val="left"/>
              <w:rPr>
                <w:rFonts w:ascii="宋体" w:hAnsi="宋体" w:cs="宋体" w:eastAsia="宋体" w:hint="default"/>
                <w:sz w:val="18"/>
                <w:szCs w:val="18"/>
              </w:rPr>
            </w:pPr>
            <w:r>
              <w:rPr>
                <w:rFonts w:ascii="宋体" w:hAnsi="宋体" w:cs="宋体" w:eastAsia="宋体" w:hint="default"/>
                <w:sz w:val="18"/>
                <w:szCs w:val="18"/>
              </w:rPr>
              <w:t>上期发生额</w:t>
            </w:r>
            <w:r>
              <w:rPr>
                <w:rFonts w:ascii="宋体" w:hAnsi="宋体" w:cs="宋体" w:eastAsia="宋体" w:hint="default"/>
                <w:sz w:val="18"/>
                <w:szCs w:val="18"/>
              </w:rPr>
              <w:t> </w:t>
            </w:r>
          </w:p>
        </w:tc>
      </w:tr>
      <w:tr>
        <w:trPr>
          <w:trHeight w:val="398" w:hRule="exact"/>
        </w:trPr>
        <w:tc>
          <w:tcPr>
            <w:tcW w:w="4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6"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r>
              <w:rPr>
                <w:rFonts w:ascii="宋体" w:hAnsi="宋体" w:cs="宋体" w:eastAsia="宋体" w:hint="default"/>
                <w:sz w:val="18"/>
                <w:szCs w:val="18"/>
              </w:rPr>
              <w:t> </w:t>
            </w:r>
          </w:p>
        </w:tc>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27,077.62</w:t>
            </w:r>
            <w:r>
              <w:rPr>
                <w:rFonts w:ascii="宋体"/>
                <w:sz w:val="18"/>
              </w:rPr>
              <w:t> </w:t>
            </w:r>
          </w:p>
        </w:tc>
        <w:tc>
          <w:tcPr>
            <w:tcW w:w="31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-867,549.97</w:t>
            </w:r>
            <w:r>
              <w:rPr>
                <w:rFonts w:ascii="宋体"/>
                <w:sz w:val="18"/>
              </w:rPr>
              <w:t> </w:t>
            </w:r>
          </w:p>
        </w:tc>
      </w:tr>
      <w:tr>
        <w:trPr>
          <w:trHeight w:val="396" w:hRule="exact"/>
        </w:trPr>
        <w:tc>
          <w:tcPr>
            <w:tcW w:w="4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6" w:right="0"/>
              <w:jc w:val="left"/>
              <w:rPr>
                <w:rFonts w:ascii="宋体" w:hAnsi="宋体" w:cs="宋体" w:eastAsia="宋体" w:hint="default"/>
                <w:sz w:val="18"/>
                <w:szCs w:val="18"/>
              </w:rPr>
            </w:pPr>
            <w:r>
              <w:rPr>
                <w:rFonts w:ascii="宋体" w:hAnsi="宋体" w:cs="宋体" w:eastAsia="宋体" w:hint="default"/>
                <w:sz w:val="18"/>
                <w:szCs w:val="18"/>
              </w:rPr>
              <w:t>以摊余成本计量的金融资产终止确认收益（注</w:t>
            </w:r>
            <w:r>
              <w:rPr>
                <w:rFonts w:ascii="宋体" w:hAnsi="宋体" w:cs="宋体" w:eastAsia="宋体" w:hint="default"/>
                <w:spacing w:val="-45"/>
                <w:sz w:val="18"/>
                <w:szCs w:val="18"/>
              </w:rPr>
              <w:t> </w:t>
            </w:r>
            <w:r>
              <w:rPr>
                <w:rFonts w:ascii="宋体" w:hAnsi="宋体" w:cs="宋体" w:eastAsia="宋体" w:hint="default"/>
                <w:sz w:val="18"/>
                <w:szCs w:val="18"/>
              </w:rPr>
              <w:t>1) </w:t>
            </w:r>
          </w:p>
        </w:tc>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-32,945,187.07 </w:t>
            </w:r>
          </w:p>
        </w:tc>
        <w:tc>
          <w:tcPr>
            <w:tcW w:w="31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r>
      <w:tr>
        <w:trPr>
          <w:trHeight w:val="398" w:hRule="exact"/>
        </w:trPr>
        <w:tc>
          <w:tcPr>
            <w:tcW w:w="4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6" w:right="0"/>
              <w:jc w:val="left"/>
              <w:rPr>
                <w:rFonts w:ascii="宋体" w:hAnsi="宋体" w:cs="宋体" w:eastAsia="宋体" w:hint="default"/>
                <w:sz w:val="18"/>
                <w:szCs w:val="18"/>
              </w:rPr>
            </w:pPr>
            <w:r>
              <w:rPr>
                <w:rFonts w:ascii="宋体" w:hAnsi="宋体" w:cs="宋体" w:eastAsia="宋体" w:hint="default"/>
                <w:sz w:val="18"/>
                <w:szCs w:val="18"/>
              </w:rPr>
              <w:t>其他</w:t>
            </w:r>
            <w:r>
              <w:rPr>
                <w:rFonts w:ascii="宋体" w:hAnsi="宋体" w:cs="宋体" w:eastAsia="宋体" w:hint="default"/>
                <w:sz w:val="18"/>
                <w:szCs w:val="18"/>
              </w:rPr>
              <w:t> </w:t>
            </w:r>
          </w:p>
        </w:tc>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3.86</w:t>
            </w:r>
            <w:r>
              <w:rPr>
                <w:rFonts w:ascii="宋体"/>
                <w:sz w:val="18"/>
              </w:rPr>
              <w:t> </w:t>
            </w:r>
          </w:p>
        </w:tc>
        <w:tc>
          <w:tcPr>
            <w:tcW w:w="31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3,967,582.93</w:t>
            </w:r>
            <w:r>
              <w:rPr>
                <w:rFonts w:ascii="宋体"/>
                <w:sz w:val="18"/>
              </w:rPr>
              <w:t> </w:t>
            </w:r>
          </w:p>
        </w:tc>
      </w:tr>
      <w:tr>
        <w:trPr>
          <w:trHeight w:val="396" w:hRule="exact"/>
        </w:trPr>
        <w:tc>
          <w:tcPr>
            <w:tcW w:w="40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2"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24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-32,918,105.59 </w:t>
            </w:r>
          </w:p>
        </w:tc>
        <w:tc>
          <w:tcPr>
            <w:tcW w:w="31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3,100,032.96</w:t>
            </w:r>
            <w:r>
              <w:rPr>
                <w:rFonts w:ascii="宋体"/>
                <w:sz w:val="18"/>
              </w:rPr>
              <w:t> </w:t>
            </w:r>
          </w:p>
        </w:tc>
      </w:tr>
    </w:tbl>
    <w:p>
      <w:pPr>
        <w:spacing w:line="240" w:lineRule="auto" w:before="7"/>
        <w:rPr>
          <w:rFonts w:ascii="宋体" w:hAnsi="宋体" w:cs="宋体" w:eastAsia="宋体" w:hint="default"/>
          <w:b/>
          <w:bCs/>
          <w:sz w:val="6"/>
          <w:szCs w:val="6"/>
        </w:rPr>
      </w:pPr>
    </w:p>
    <w:p>
      <w:pPr>
        <w:pStyle w:val="BodyText"/>
        <w:spacing w:line="240" w:lineRule="auto" w:before="36"/>
        <w:ind w:left="643" w:right="0"/>
        <w:jc w:val="left"/>
        <w:rPr>
          <w:rFonts w:ascii="宋体" w:hAnsi="宋体" w:cs="宋体" w:eastAsia="宋体" w:hint="default"/>
        </w:rPr>
      </w:pPr>
      <w:r>
        <w:rPr>
          <w:w w:val="100"/>
        </w:rPr>
        <w:t>说明</w:t>
      </w:r>
      <w:r>
        <w:rPr>
          <w:spacing w:val="-3"/>
          <w:w w:val="100"/>
        </w:rPr>
        <w:t>：</w:t>
      </w:r>
      <w:r>
        <w:rPr>
          <w:w w:val="100"/>
        </w:rPr>
        <w:t>注</w:t>
      </w:r>
      <w:r>
        <w:rPr>
          <w:spacing w:val="-53"/>
        </w:rPr>
        <w:t> </w:t>
      </w:r>
      <w:r>
        <w:rPr>
          <w:rFonts w:ascii="宋体" w:hAnsi="宋体" w:cs="宋体" w:eastAsia="宋体" w:hint="default"/>
          <w:w w:val="100"/>
        </w:rPr>
        <w:t>1</w:t>
      </w:r>
      <w:r>
        <w:rPr>
          <w:rFonts w:ascii="宋体" w:hAnsi="宋体" w:cs="宋体" w:eastAsia="宋体" w:hint="default"/>
          <w:spacing w:val="-55"/>
        </w:rPr>
        <w:t> </w:t>
      </w:r>
      <w:r>
        <w:rPr>
          <w:w w:val="100"/>
        </w:rPr>
        <w:t>见</w:t>
      </w:r>
      <w:r>
        <w:rPr>
          <w:spacing w:val="-3"/>
          <w:w w:val="100"/>
        </w:rPr>
        <w:t>“</w:t>
      </w:r>
      <w:r>
        <w:rPr>
          <w:w w:val="100"/>
        </w:rPr>
        <w:t>附</w:t>
      </w:r>
      <w:r>
        <w:rPr>
          <w:spacing w:val="-3"/>
          <w:w w:val="100"/>
        </w:rPr>
        <w:t>注</w:t>
      </w:r>
      <w:r>
        <w:rPr>
          <w:w w:val="100"/>
        </w:rPr>
        <w:t>十</w:t>
      </w:r>
      <w:r>
        <w:rPr>
          <w:spacing w:val="-3"/>
          <w:w w:val="100"/>
        </w:rPr>
        <w:t>三</w:t>
      </w:r>
      <w:r>
        <w:rPr>
          <w:spacing w:val="-108"/>
          <w:w w:val="100"/>
        </w:rPr>
        <w:t>、</w:t>
      </w:r>
      <w:r>
        <w:rPr>
          <w:w w:val="100"/>
        </w:rPr>
        <w:t>（二</w:t>
      </w:r>
      <w:r>
        <w:rPr>
          <w:spacing w:val="-3"/>
          <w:w w:val="100"/>
        </w:rPr>
        <w:t>）</w:t>
      </w:r>
      <w:r>
        <w:rPr>
          <w:w w:val="100"/>
        </w:rPr>
        <w:t>债</w:t>
      </w:r>
      <w:r>
        <w:rPr>
          <w:spacing w:val="-3"/>
          <w:w w:val="100"/>
        </w:rPr>
        <w:t>务</w:t>
      </w:r>
      <w:r>
        <w:rPr>
          <w:w w:val="100"/>
        </w:rPr>
        <w:t>重</w:t>
      </w:r>
      <w:r>
        <w:rPr>
          <w:spacing w:val="-3"/>
          <w:w w:val="100"/>
        </w:rPr>
        <w:t>组</w:t>
      </w:r>
      <w:r>
        <w:rPr>
          <w:spacing w:val="-106"/>
          <w:w w:val="100"/>
        </w:rPr>
        <w:t>”</w:t>
      </w:r>
      <w:r>
        <w:rPr>
          <w:spacing w:val="-3"/>
          <w:w w:val="100"/>
        </w:rPr>
        <w:t>。</w:t>
      </w:r>
      <w:r>
        <w:rPr>
          <w:rFonts w:ascii="宋体" w:hAnsi="宋体" w:cs="宋体" w:eastAsia="宋体" w:hint="default"/>
          <w:w w:val="100"/>
        </w:rPr>
        <w:t> </w:t>
      </w:r>
    </w:p>
    <w:p>
      <w:pPr>
        <w:pStyle w:val="Heading3"/>
        <w:spacing w:line="240" w:lineRule="auto" w:before="155"/>
        <w:ind w:left="434" w:right="0"/>
        <w:jc w:val="left"/>
        <w:rPr>
          <w:rFonts w:ascii="宋体" w:hAnsi="宋体" w:cs="宋体" w:eastAsia="宋体" w:hint="default"/>
          <w:b w:val="0"/>
          <w:bCs w:val="0"/>
        </w:rPr>
      </w:pPr>
      <w:r>
        <w:rPr/>
        <w:t>（四十一）信用减值损失</w:t>
      </w:r>
      <w:r>
        <w:rPr>
          <w:rFonts w:ascii="宋体" w:hAnsi="宋体" w:cs="宋体" w:eastAsia="宋体" w:hint="default"/>
          <w:w w:val="99"/>
        </w:rPr>
        <w:t> </w:t>
      </w:r>
      <w:r>
        <w:rPr>
          <w:rFonts w:ascii="宋体" w:hAnsi="宋体" w:cs="宋体" w:eastAsia="宋体" w:hint="default"/>
          <w:b w:val="0"/>
          <w:bCs w:val="0"/>
        </w:rPr>
      </w:r>
    </w:p>
    <w:p>
      <w:pPr>
        <w:spacing w:line="240" w:lineRule="auto" w:before="3"/>
        <w:rPr>
          <w:rFonts w:ascii="宋体" w:hAnsi="宋体" w:cs="宋体" w:eastAsia="宋体" w:hint="default"/>
          <w:b/>
          <w:bCs/>
          <w:sz w:val="14"/>
          <w:szCs w:val="14"/>
        </w:rPr>
      </w:pPr>
    </w:p>
    <w:tbl>
      <w:tblPr>
        <w:tblW w:w="0" w:type="auto"/>
        <w:jc w:val="left"/>
        <w:tblInd w:w="189" w:type="dxa"/>
        <w:tblLayout w:type="fixed"/>
        <w:tblCellMar>
          <w:top w:w="0" w:type="dxa"/>
          <w:left w:w="0" w:type="dxa"/>
          <w:bottom w:w="0" w:type="dxa"/>
          <w:right w:w="0" w:type="dxa"/>
        </w:tblCellMar>
        <w:tblLook w:val="01E0"/>
      </w:tblPr>
      <w:tblGrid>
        <w:gridCol w:w="4321"/>
        <w:gridCol w:w="2614"/>
        <w:gridCol w:w="2681"/>
      </w:tblGrid>
      <w:tr>
        <w:trPr>
          <w:trHeight w:val="398" w:hRule="exact"/>
        </w:trPr>
        <w:tc>
          <w:tcPr>
            <w:tcW w:w="4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883"/>
              <w:jc w:val="right"/>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2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52" w:right="0"/>
              <w:jc w:val="left"/>
              <w:rPr>
                <w:rFonts w:ascii="宋体" w:hAnsi="宋体" w:cs="宋体" w:eastAsia="宋体" w:hint="default"/>
                <w:sz w:val="18"/>
                <w:szCs w:val="18"/>
              </w:rPr>
            </w:pPr>
            <w:r>
              <w:rPr>
                <w:rFonts w:ascii="宋体" w:hAnsi="宋体" w:cs="宋体" w:eastAsia="宋体" w:hint="default"/>
                <w:sz w:val="18"/>
                <w:szCs w:val="18"/>
              </w:rPr>
              <w:t>本期发生额</w:t>
            </w:r>
            <w:r>
              <w:rPr>
                <w:rFonts w:ascii="宋体" w:hAnsi="宋体" w:cs="宋体" w:eastAsia="宋体" w:hint="default"/>
                <w:sz w:val="18"/>
                <w:szCs w:val="18"/>
              </w:rPr>
              <w:t> </w:t>
            </w:r>
          </w:p>
        </w:tc>
        <w:tc>
          <w:tcPr>
            <w:tcW w:w="2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 w:right="0"/>
              <w:jc w:val="center"/>
              <w:rPr>
                <w:rFonts w:ascii="宋体" w:hAnsi="宋体" w:cs="宋体" w:eastAsia="宋体" w:hint="default"/>
                <w:sz w:val="18"/>
                <w:szCs w:val="18"/>
              </w:rPr>
            </w:pPr>
            <w:r>
              <w:rPr>
                <w:rFonts w:ascii="宋体" w:hAnsi="宋体" w:cs="宋体" w:eastAsia="宋体" w:hint="default"/>
                <w:sz w:val="18"/>
                <w:szCs w:val="18"/>
              </w:rPr>
              <w:t>上期发生额</w:t>
            </w:r>
            <w:r>
              <w:rPr>
                <w:rFonts w:ascii="宋体" w:hAnsi="宋体" w:cs="宋体" w:eastAsia="宋体" w:hint="default"/>
                <w:sz w:val="18"/>
                <w:szCs w:val="18"/>
              </w:rPr>
              <w:t> </w:t>
            </w:r>
          </w:p>
        </w:tc>
      </w:tr>
      <w:tr>
        <w:trPr>
          <w:trHeight w:val="396" w:hRule="exact"/>
        </w:trPr>
        <w:tc>
          <w:tcPr>
            <w:tcW w:w="4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应收票据坏账损失</w:t>
            </w:r>
            <w:r>
              <w:rPr>
                <w:rFonts w:ascii="宋体" w:hAnsi="宋体" w:cs="宋体" w:eastAsia="宋体" w:hint="default"/>
                <w:sz w:val="18"/>
                <w:szCs w:val="18"/>
              </w:rPr>
              <w:t> </w:t>
            </w:r>
          </w:p>
        </w:tc>
        <w:tc>
          <w:tcPr>
            <w:tcW w:w="2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462,033.79</w:t>
            </w:r>
            <w:r>
              <w:rPr>
                <w:rFonts w:ascii="宋体"/>
                <w:sz w:val="18"/>
              </w:rPr>
              <w:t> </w:t>
            </w:r>
          </w:p>
        </w:tc>
        <w:tc>
          <w:tcPr>
            <w:tcW w:w="2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0" w:right="0"/>
              <w:jc w:val="center"/>
              <w:rPr>
                <w:rFonts w:ascii="宋体" w:hAnsi="宋体" w:cs="宋体" w:eastAsia="宋体" w:hint="default"/>
                <w:sz w:val="18"/>
                <w:szCs w:val="18"/>
              </w:rPr>
            </w:pPr>
            <w:r>
              <w:rPr>
                <w:rFonts w:ascii="宋体"/>
                <w:sz w:val="18"/>
              </w:rPr>
              <w:t>-- </w:t>
            </w:r>
          </w:p>
        </w:tc>
      </w:tr>
      <w:tr>
        <w:trPr>
          <w:trHeight w:val="396" w:hRule="exact"/>
        </w:trPr>
        <w:tc>
          <w:tcPr>
            <w:tcW w:w="4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应收账款坏账损失</w:t>
            </w:r>
            <w:r>
              <w:rPr>
                <w:rFonts w:ascii="宋体" w:hAnsi="宋体" w:cs="宋体" w:eastAsia="宋体" w:hint="default"/>
                <w:sz w:val="18"/>
                <w:szCs w:val="18"/>
              </w:rPr>
              <w:t> </w:t>
            </w:r>
          </w:p>
        </w:tc>
        <w:tc>
          <w:tcPr>
            <w:tcW w:w="2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-80,735,031.78</w:t>
            </w:r>
            <w:r>
              <w:rPr>
                <w:rFonts w:ascii="宋体"/>
                <w:sz w:val="18"/>
              </w:rPr>
              <w:t> </w:t>
            </w:r>
          </w:p>
        </w:tc>
        <w:tc>
          <w:tcPr>
            <w:tcW w:w="2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0" w:right="0"/>
              <w:jc w:val="center"/>
              <w:rPr>
                <w:rFonts w:ascii="宋体" w:hAnsi="宋体" w:cs="宋体" w:eastAsia="宋体" w:hint="default"/>
                <w:sz w:val="18"/>
                <w:szCs w:val="18"/>
              </w:rPr>
            </w:pPr>
            <w:r>
              <w:rPr>
                <w:rFonts w:ascii="宋体"/>
                <w:sz w:val="18"/>
              </w:rPr>
              <w:t>-- </w:t>
            </w:r>
          </w:p>
        </w:tc>
      </w:tr>
      <w:tr>
        <w:trPr>
          <w:trHeight w:val="398" w:hRule="exact"/>
        </w:trPr>
        <w:tc>
          <w:tcPr>
            <w:tcW w:w="4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其他应收款坏账损失</w:t>
            </w:r>
            <w:r>
              <w:rPr>
                <w:rFonts w:ascii="宋体" w:hAnsi="宋体" w:cs="宋体" w:eastAsia="宋体" w:hint="default"/>
                <w:sz w:val="18"/>
                <w:szCs w:val="18"/>
              </w:rPr>
              <w:t> </w:t>
            </w:r>
          </w:p>
        </w:tc>
        <w:tc>
          <w:tcPr>
            <w:tcW w:w="2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-440,429.63</w:t>
            </w:r>
            <w:r>
              <w:rPr>
                <w:rFonts w:ascii="宋体"/>
                <w:sz w:val="18"/>
              </w:rPr>
              <w:t> </w:t>
            </w:r>
          </w:p>
        </w:tc>
        <w:tc>
          <w:tcPr>
            <w:tcW w:w="2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0" w:right="0"/>
              <w:jc w:val="center"/>
              <w:rPr>
                <w:rFonts w:ascii="宋体" w:hAnsi="宋体" w:cs="宋体" w:eastAsia="宋体" w:hint="default"/>
                <w:sz w:val="18"/>
                <w:szCs w:val="18"/>
              </w:rPr>
            </w:pPr>
            <w:r>
              <w:rPr>
                <w:rFonts w:ascii="宋体"/>
                <w:sz w:val="18"/>
              </w:rPr>
              <w:t>-- </w:t>
            </w:r>
          </w:p>
        </w:tc>
      </w:tr>
      <w:tr>
        <w:trPr>
          <w:trHeight w:val="396" w:hRule="exact"/>
        </w:trPr>
        <w:tc>
          <w:tcPr>
            <w:tcW w:w="4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长期应收款坏账损失</w:t>
            </w:r>
            <w:r>
              <w:rPr>
                <w:rFonts w:ascii="宋体" w:hAnsi="宋体" w:cs="宋体" w:eastAsia="宋体" w:hint="default"/>
                <w:sz w:val="18"/>
                <w:szCs w:val="18"/>
              </w:rPr>
              <w:t> </w:t>
            </w:r>
          </w:p>
        </w:tc>
        <w:tc>
          <w:tcPr>
            <w:tcW w:w="2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-60,029,591.60</w:t>
            </w:r>
            <w:r>
              <w:rPr>
                <w:rFonts w:ascii="宋体"/>
                <w:sz w:val="18"/>
              </w:rPr>
              <w:t> </w:t>
            </w:r>
          </w:p>
        </w:tc>
        <w:tc>
          <w:tcPr>
            <w:tcW w:w="2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0" w:right="0"/>
              <w:jc w:val="center"/>
              <w:rPr>
                <w:rFonts w:ascii="宋体" w:hAnsi="宋体" w:cs="宋体" w:eastAsia="宋体" w:hint="default"/>
                <w:sz w:val="18"/>
                <w:szCs w:val="18"/>
              </w:rPr>
            </w:pPr>
            <w:r>
              <w:rPr>
                <w:rFonts w:ascii="宋体"/>
                <w:sz w:val="18"/>
              </w:rPr>
              <w:t>-- </w:t>
            </w:r>
          </w:p>
        </w:tc>
      </w:tr>
      <w:tr>
        <w:trPr>
          <w:trHeight w:val="398" w:hRule="exact"/>
        </w:trPr>
        <w:tc>
          <w:tcPr>
            <w:tcW w:w="43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883"/>
              <w:jc w:val="righ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2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-140,743,019.22</w:t>
            </w:r>
            <w:r>
              <w:rPr>
                <w:rFonts w:ascii="宋体"/>
                <w:sz w:val="18"/>
              </w:rPr>
              <w:t> </w:t>
            </w:r>
          </w:p>
        </w:tc>
        <w:tc>
          <w:tcPr>
            <w:tcW w:w="26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0" w:right="0"/>
              <w:jc w:val="center"/>
              <w:rPr>
                <w:rFonts w:ascii="宋体" w:hAnsi="宋体" w:cs="宋体" w:eastAsia="宋体" w:hint="default"/>
                <w:sz w:val="18"/>
                <w:szCs w:val="18"/>
              </w:rPr>
            </w:pPr>
            <w:r>
              <w:rPr>
                <w:rFonts w:ascii="宋体"/>
                <w:sz w:val="18"/>
              </w:rPr>
              <w:t>-- </w:t>
            </w:r>
          </w:p>
        </w:tc>
      </w:tr>
    </w:tbl>
    <w:p>
      <w:pPr>
        <w:spacing w:line="240" w:lineRule="auto" w:before="7"/>
        <w:rPr>
          <w:rFonts w:ascii="宋体" w:hAnsi="宋体" w:cs="宋体" w:eastAsia="宋体" w:hint="default"/>
          <w:b/>
          <w:bCs/>
          <w:sz w:val="6"/>
          <w:szCs w:val="6"/>
        </w:rPr>
      </w:pPr>
    </w:p>
    <w:p>
      <w:pPr>
        <w:spacing w:before="36"/>
        <w:ind w:left="576" w:right="0" w:firstLine="0"/>
        <w:jc w:val="left"/>
        <w:rPr>
          <w:rFonts w:ascii="宋体" w:hAnsi="宋体" w:cs="宋体" w:eastAsia="宋体" w:hint="default"/>
          <w:sz w:val="21"/>
          <w:szCs w:val="21"/>
        </w:rPr>
      </w:pPr>
      <w:r>
        <w:rPr>
          <w:rFonts w:ascii="宋体" w:hAnsi="宋体" w:cs="宋体" w:eastAsia="宋体" w:hint="default"/>
          <w:b/>
          <w:bCs/>
          <w:sz w:val="21"/>
          <w:szCs w:val="21"/>
        </w:rPr>
        <w:t>（四十二）资产减值损失</w:t>
      </w:r>
      <w:r>
        <w:rPr>
          <w:rFonts w:ascii="宋体" w:hAnsi="宋体" w:cs="宋体" w:eastAsia="宋体" w:hint="default"/>
          <w:b/>
          <w:bCs/>
          <w:w w:val="99"/>
          <w:sz w:val="21"/>
          <w:szCs w:val="21"/>
        </w:rPr>
        <w:t> </w:t>
      </w:r>
      <w:r>
        <w:rPr>
          <w:rFonts w:ascii="宋体" w:hAnsi="宋体" w:cs="宋体" w:eastAsia="宋体" w:hint="default"/>
          <w:sz w:val="21"/>
          <w:szCs w:val="21"/>
        </w:rPr>
      </w:r>
    </w:p>
    <w:p>
      <w:pPr>
        <w:spacing w:line="240" w:lineRule="auto" w:before="3"/>
        <w:rPr>
          <w:rFonts w:ascii="宋体" w:hAnsi="宋体" w:cs="宋体" w:eastAsia="宋体" w:hint="default"/>
          <w:b/>
          <w:bCs/>
          <w:sz w:val="14"/>
          <w:szCs w:val="14"/>
        </w:rPr>
      </w:pPr>
    </w:p>
    <w:tbl>
      <w:tblPr>
        <w:tblW w:w="0" w:type="auto"/>
        <w:jc w:val="left"/>
        <w:tblInd w:w="230" w:type="dxa"/>
        <w:tblLayout w:type="fixed"/>
        <w:tblCellMar>
          <w:top w:w="0" w:type="dxa"/>
          <w:left w:w="0" w:type="dxa"/>
          <w:bottom w:w="0" w:type="dxa"/>
          <w:right w:w="0" w:type="dxa"/>
        </w:tblCellMar>
        <w:tblLook w:val="01E0"/>
      </w:tblPr>
      <w:tblGrid>
        <w:gridCol w:w="4278"/>
        <w:gridCol w:w="2614"/>
        <w:gridCol w:w="2669"/>
      </w:tblGrid>
      <w:tr>
        <w:trPr>
          <w:trHeight w:val="399" w:hRule="exact"/>
        </w:trPr>
        <w:tc>
          <w:tcPr>
            <w:tcW w:w="4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862"/>
              <w:jc w:val="right"/>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2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51" w:right="0"/>
              <w:jc w:val="left"/>
              <w:rPr>
                <w:rFonts w:ascii="宋体" w:hAnsi="宋体" w:cs="宋体" w:eastAsia="宋体" w:hint="default"/>
                <w:sz w:val="18"/>
                <w:szCs w:val="18"/>
              </w:rPr>
            </w:pPr>
            <w:r>
              <w:rPr>
                <w:rFonts w:ascii="宋体" w:hAnsi="宋体" w:cs="宋体" w:eastAsia="宋体" w:hint="default"/>
                <w:sz w:val="18"/>
                <w:szCs w:val="18"/>
              </w:rPr>
              <w:t>本期发生额</w:t>
            </w:r>
            <w:r>
              <w:rPr>
                <w:rFonts w:ascii="宋体" w:hAnsi="宋体" w:cs="宋体" w:eastAsia="宋体" w:hint="default"/>
                <w:sz w:val="18"/>
                <w:szCs w:val="18"/>
              </w:rPr>
              <w:t> </w:t>
            </w:r>
          </w:p>
        </w:tc>
        <w:tc>
          <w:tcPr>
            <w:tcW w:w="26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80" w:right="0"/>
              <w:jc w:val="left"/>
              <w:rPr>
                <w:rFonts w:ascii="宋体" w:hAnsi="宋体" w:cs="宋体" w:eastAsia="宋体" w:hint="default"/>
                <w:sz w:val="18"/>
                <w:szCs w:val="18"/>
              </w:rPr>
            </w:pPr>
            <w:r>
              <w:rPr>
                <w:rFonts w:ascii="宋体" w:hAnsi="宋体" w:cs="宋体" w:eastAsia="宋体" w:hint="default"/>
                <w:sz w:val="18"/>
                <w:szCs w:val="18"/>
              </w:rPr>
              <w:t>上期发生额</w:t>
            </w:r>
            <w:r>
              <w:rPr>
                <w:rFonts w:ascii="宋体" w:hAnsi="宋体" w:cs="宋体" w:eastAsia="宋体" w:hint="default"/>
                <w:sz w:val="18"/>
                <w:szCs w:val="18"/>
              </w:rPr>
              <w:t> </w:t>
            </w:r>
          </w:p>
        </w:tc>
      </w:tr>
      <w:tr>
        <w:trPr>
          <w:trHeight w:val="396" w:hRule="exact"/>
        </w:trPr>
        <w:tc>
          <w:tcPr>
            <w:tcW w:w="4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坏账损失</w:t>
            </w:r>
            <w:r>
              <w:rPr>
                <w:rFonts w:ascii="宋体" w:hAnsi="宋体" w:cs="宋体" w:eastAsia="宋体" w:hint="default"/>
                <w:sz w:val="18"/>
                <w:szCs w:val="18"/>
              </w:rPr>
              <w:t> </w:t>
            </w:r>
          </w:p>
        </w:tc>
        <w:tc>
          <w:tcPr>
            <w:tcW w:w="2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0" w:right="0"/>
              <w:jc w:val="center"/>
              <w:rPr>
                <w:rFonts w:ascii="宋体" w:hAnsi="宋体" w:cs="宋体" w:eastAsia="宋体" w:hint="default"/>
                <w:sz w:val="18"/>
                <w:szCs w:val="18"/>
              </w:rPr>
            </w:pPr>
            <w:r>
              <w:rPr>
                <w:rFonts w:ascii="宋体"/>
                <w:sz w:val="18"/>
              </w:rPr>
              <w:t>-- </w:t>
            </w:r>
          </w:p>
        </w:tc>
        <w:tc>
          <w:tcPr>
            <w:tcW w:w="26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-18,250,376.72</w:t>
            </w:r>
            <w:r>
              <w:rPr>
                <w:rFonts w:ascii="宋体"/>
                <w:sz w:val="18"/>
              </w:rPr>
              <w:t> </w:t>
            </w:r>
          </w:p>
        </w:tc>
      </w:tr>
      <w:tr>
        <w:trPr>
          <w:trHeight w:val="398" w:hRule="exact"/>
        </w:trPr>
        <w:tc>
          <w:tcPr>
            <w:tcW w:w="4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商誉减值损失</w:t>
            </w:r>
            <w:r>
              <w:rPr>
                <w:rFonts w:ascii="宋体" w:hAnsi="宋体" w:cs="宋体" w:eastAsia="宋体" w:hint="default"/>
                <w:sz w:val="18"/>
                <w:szCs w:val="18"/>
              </w:rPr>
              <w:t> </w:t>
            </w:r>
          </w:p>
        </w:tc>
        <w:tc>
          <w:tcPr>
            <w:tcW w:w="2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-1,202,700,000.00 </w:t>
            </w:r>
          </w:p>
        </w:tc>
        <w:tc>
          <w:tcPr>
            <w:tcW w:w="26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r>
      <w:tr>
        <w:trPr>
          <w:trHeight w:val="396" w:hRule="exact"/>
        </w:trPr>
        <w:tc>
          <w:tcPr>
            <w:tcW w:w="42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862"/>
              <w:jc w:val="righ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2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-1,202,700,000.00 </w:t>
            </w:r>
          </w:p>
        </w:tc>
        <w:tc>
          <w:tcPr>
            <w:tcW w:w="26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-18,250,376.72</w:t>
            </w:r>
            <w:r>
              <w:rPr>
                <w:rFonts w:ascii="宋体"/>
                <w:sz w:val="18"/>
              </w:rPr>
              <w:t> </w:t>
            </w:r>
          </w:p>
        </w:tc>
      </w:tr>
    </w:tbl>
    <w:p>
      <w:pPr>
        <w:spacing w:line="240" w:lineRule="auto" w:before="7"/>
        <w:rPr>
          <w:rFonts w:ascii="宋体" w:hAnsi="宋体" w:cs="宋体" w:eastAsia="宋体" w:hint="default"/>
          <w:b/>
          <w:bCs/>
          <w:sz w:val="6"/>
          <w:szCs w:val="6"/>
        </w:rPr>
      </w:pPr>
    </w:p>
    <w:p>
      <w:pPr>
        <w:spacing w:before="36"/>
        <w:ind w:left="576" w:right="0" w:firstLine="0"/>
        <w:jc w:val="left"/>
        <w:rPr>
          <w:rFonts w:ascii="宋体" w:hAnsi="宋体" w:cs="宋体" w:eastAsia="宋体" w:hint="default"/>
          <w:sz w:val="21"/>
          <w:szCs w:val="21"/>
        </w:rPr>
      </w:pPr>
      <w:r>
        <w:rPr>
          <w:rFonts w:ascii="宋体" w:hAnsi="宋体" w:cs="宋体" w:eastAsia="宋体" w:hint="default"/>
          <w:b/>
          <w:bCs/>
          <w:sz w:val="21"/>
          <w:szCs w:val="21"/>
        </w:rPr>
        <w:t>（四十三）资产处置收益</w:t>
      </w:r>
      <w:r>
        <w:rPr>
          <w:rFonts w:ascii="宋体" w:hAnsi="宋体" w:cs="宋体" w:eastAsia="宋体" w:hint="default"/>
          <w:b/>
          <w:bCs/>
          <w:w w:val="99"/>
          <w:sz w:val="21"/>
          <w:szCs w:val="21"/>
        </w:rPr>
        <w:t> </w:t>
      </w:r>
      <w:r>
        <w:rPr>
          <w:rFonts w:ascii="宋体" w:hAnsi="宋体" w:cs="宋体" w:eastAsia="宋体" w:hint="default"/>
          <w:sz w:val="21"/>
          <w:szCs w:val="21"/>
        </w:rPr>
      </w:r>
    </w:p>
    <w:p>
      <w:pPr>
        <w:spacing w:line="240" w:lineRule="auto" w:before="6"/>
        <w:rPr>
          <w:rFonts w:ascii="宋体" w:hAnsi="宋体" w:cs="宋体" w:eastAsia="宋体" w:hint="default"/>
          <w:b/>
          <w:bCs/>
          <w:sz w:val="14"/>
          <w:szCs w:val="14"/>
        </w:rPr>
      </w:pPr>
    </w:p>
    <w:tbl>
      <w:tblPr>
        <w:tblW w:w="0" w:type="auto"/>
        <w:jc w:val="left"/>
        <w:tblInd w:w="257" w:type="dxa"/>
        <w:tblLayout w:type="fixed"/>
        <w:tblCellMar>
          <w:top w:w="0" w:type="dxa"/>
          <w:left w:w="0" w:type="dxa"/>
          <w:bottom w:w="0" w:type="dxa"/>
          <w:right w:w="0" w:type="dxa"/>
        </w:tblCellMar>
        <w:tblLook w:val="01E0"/>
      </w:tblPr>
      <w:tblGrid>
        <w:gridCol w:w="6030"/>
        <w:gridCol w:w="1730"/>
        <w:gridCol w:w="1789"/>
      </w:tblGrid>
      <w:tr>
        <w:trPr>
          <w:trHeight w:val="396" w:hRule="exact"/>
        </w:trPr>
        <w:tc>
          <w:tcPr>
            <w:tcW w:w="6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1" w:right="0"/>
              <w:jc w:val="center"/>
              <w:rPr>
                <w:rFonts w:ascii="宋体" w:hAnsi="宋体" w:cs="宋体" w:eastAsia="宋体" w:hint="default"/>
                <w:sz w:val="18"/>
                <w:szCs w:val="18"/>
              </w:rPr>
            </w:pPr>
            <w:r>
              <w:rPr>
                <w:rFonts w:ascii="宋体" w:hAnsi="宋体" w:cs="宋体" w:eastAsia="宋体" w:hint="default"/>
                <w:sz w:val="18"/>
                <w:szCs w:val="18"/>
              </w:rPr>
              <w:t>资产处置收益的来源</w:t>
            </w:r>
            <w:r>
              <w:rPr>
                <w:rFonts w:ascii="宋体" w:hAnsi="宋体" w:cs="宋体" w:eastAsia="宋体" w:hint="default"/>
                <w:sz w:val="18"/>
                <w:szCs w:val="18"/>
              </w:rPr>
              <w:t> </w:t>
            </w: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410" w:right="0"/>
              <w:jc w:val="left"/>
              <w:rPr>
                <w:rFonts w:ascii="宋体" w:hAnsi="宋体" w:cs="宋体" w:eastAsia="宋体" w:hint="default"/>
                <w:sz w:val="18"/>
                <w:szCs w:val="18"/>
              </w:rPr>
            </w:pPr>
            <w:r>
              <w:rPr>
                <w:rFonts w:ascii="宋体" w:hAnsi="宋体" w:cs="宋体" w:eastAsia="宋体" w:hint="default"/>
                <w:sz w:val="18"/>
                <w:szCs w:val="18"/>
              </w:rPr>
              <w:t>本期发生额</w:t>
            </w:r>
            <w:r>
              <w:rPr>
                <w:rFonts w:ascii="宋体" w:hAnsi="宋体" w:cs="宋体" w:eastAsia="宋体" w:hint="default"/>
                <w:sz w:val="18"/>
                <w:szCs w:val="18"/>
              </w:rPr>
              <w:t> </w:t>
            </w: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439" w:right="0"/>
              <w:jc w:val="left"/>
              <w:rPr>
                <w:rFonts w:ascii="宋体" w:hAnsi="宋体" w:cs="宋体" w:eastAsia="宋体" w:hint="default"/>
                <w:sz w:val="18"/>
                <w:szCs w:val="18"/>
              </w:rPr>
            </w:pPr>
            <w:r>
              <w:rPr>
                <w:rFonts w:ascii="宋体" w:hAnsi="宋体" w:cs="宋体" w:eastAsia="宋体" w:hint="default"/>
                <w:sz w:val="18"/>
                <w:szCs w:val="18"/>
              </w:rPr>
              <w:t>上期发生额</w:t>
            </w:r>
            <w:r>
              <w:rPr>
                <w:rFonts w:ascii="宋体" w:hAnsi="宋体" w:cs="宋体" w:eastAsia="宋体" w:hint="default"/>
                <w:sz w:val="18"/>
                <w:szCs w:val="18"/>
              </w:rPr>
              <w:t> </w:t>
            </w:r>
          </w:p>
        </w:tc>
      </w:tr>
      <w:tr>
        <w:trPr>
          <w:trHeight w:val="756" w:hRule="exact"/>
        </w:trPr>
        <w:tc>
          <w:tcPr>
            <w:tcW w:w="603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73"/>
              <w:ind w:left="105" w:right="106"/>
              <w:jc w:val="left"/>
              <w:rPr>
                <w:rFonts w:ascii="宋体" w:hAnsi="宋体" w:cs="宋体" w:eastAsia="宋体" w:hint="default"/>
                <w:sz w:val="18"/>
                <w:szCs w:val="18"/>
              </w:rPr>
            </w:pPr>
            <w:r>
              <w:rPr>
                <w:rFonts w:ascii="宋体" w:hAnsi="宋体" w:cs="宋体" w:eastAsia="宋体" w:hint="default"/>
                <w:sz w:val="18"/>
                <w:szCs w:val="18"/>
              </w:rPr>
              <w:t>出售划分为持有待售的非流动资产（金融工具、长期股权投资和投资性房</w:t>
            </w:r>
            <w:r>
              <w:rPr>
                <w:rFonts w:ascii="宋体" w:hAnsi="宋体" w:cs="宋体" w:eastAsia="宋体" w:hint="default"/>
                <w:spacing w:val="-47"/>
                <w:sz w:val="18"/>
                <w:szCs w:val="18"/>
              </w:rPr>
              <w:t> </w:t>
            </w:r>
            <w:r>
              <w:rPr>
                <w:rFonts w:ascii="宋体" w:hAnsi="宋体" w:cs="宋体" w:eastAsia="宋体" w:hint="default"/>
                <w:spacing w:val="-47"/>
                <w:sz w:val="18"/>
                <w:szCs w:val="18"/>
              </w:rPr>
            </w:r>
            <w:r>
              <w:rPr>
                <w:rFonts w:ascii="宋体" w:hAnsi="宋体" w:cs="宋体" w:eastAsia="宋体" w:hint="default"/>
                <w:sz w:val="18"/>
                <w:szCs w:val="18"/>
              </w:rPr>
              <w:t>地产除外）或处置组时确认的处置利得或损失小计</w:t>
            </w:r>
            <w:r>
              <w:rPr>
                <w:rFonts w:ascii="宋体" w:hAnsi="宋体" w:cs="宋体" w:eastAsia="宋体" w:hint="default"/>
                <w:sz w:val="18"/>
                <w:szCs w:val="18"/>
              </w:rPr>
              <w:t> </w:t>
            </w: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right="8"/>
              <w:jc w:val="right"/>
              <w:rPr>
                <w:rFonts w:ascii="宋体" w:hAnsi="宋体" w:cs="宋体" w:eastAsia="宋体" w:hint="default"/>
                <w:sz w:val="18"/>
                <w:szCs w:val="18"/>
              </w:rPr>
            </w:pPr>
            <w:r>
              <w:rPr>
                <w:rFonts w:ascii="宋体"/>
                <w:sz w:val="18"/>
              </w:rPr>
              <w:t> </w:t>
            </w: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right="11"/>
              <w:jc w:val="right"/>
              <w:rPr>
                <w:rFonts w:ascii="宋体" w:hAnsi="宋体" w:cs="宋体" w:eastAsia="宋体" w:hint="default"/>
                <w:sz w:val="18"/>
                <w:szCs w:val="18"/>
              </w:rPr>
            </w:pPr>
            <w:r>
              <w:rPr>
                <w:rFonts w:ascii="宋体"/>
                <w:sz w:val="18"/>
              </w:rPr>
              <w:t> </w:t>
            </w:r>
          </w:p>
        </w:tc>
      </w:tr>
      <w:tr>
        <w:trPr>
          <w:trHeight w:val="809" w:hRule="exact"/>
        </w:trPr>
        <w:tc>
          <w:tcPr>
            <w:tcW w:w="603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99"/>
              <w:ind w:left="105" w:right="106"/>
              <w:jc w:val="left"/>
              <w:rPr>
                <w:rFonts w:ascii="宋体" w:hAnsi="宋体" w:cs="宋体" w:eastAsia="宋体" w:hint="default"/>
                <w:sz w:val="18"/>
                <w:szCs w:val="18"/>
              </w:rPr>
            </w:pPr>
            <w:r>
              <w:rPr>
                <w:rFonts w:ascii="宋体" w:hAnsi="宋体" w:cs="宋体" w:eastAsia="宋体" w:hint="default"/>
                <w:sz w:val="18"/>
                <w:szCs w:val="18"/>
              </w:rPr>
              <w:t>处置未划分为持有待售的固定资产、在建工程、生产性生物资产及无形资</w:t>
            </w:r>
            <w:r>
              <w:rPr>
                <w:rFonts w:ascii="宋体" w:hAnsi="宋体" w:cs="宋体" w:eastAsia="宋体" w:hint="default"/>
                <w:spacing w:val="-47"/>
                <w:sz w:val="18"/>
                <w:szCs w:val="18"/>
              </w:rPr>
              <w:t> </w:t>
            </w:r>
            <w:r>
              <w:rPr>
                <w:rFonts w:ascii="宋体" w:hAnsi="宋体" w:cs="宋体" w:eastAsia="宋体" w:hint="default"/>
                <w:spacing w:val="-47"/>
                <w:sz w:val="18"/>
                <w:szCs w:val="18"/>
              </w:rPr>
            </w:r>
            <w:r>
              <w:rPr>
                <w:rFonts w:ascii="宋体" w:hAnsi="宋体" w:cs="宋体" w:eastAsia="宋体" w:hint="default"/>
                <w:sz w:val="18"/>
                <w:szCs w:val="18"/>
              </w:rPr>
              <w:t>产而产生的处置利得或损失小计</w:t>
            </w:r>
            <w:r>
              <w:rPr>
                <w:rFonts w:ascii="宋体" w:hAnsi="宋体" w:cs="宋体" w:eastAsia="宋体" w:hint="default"/>
                <w:sz w:val="18"/>
                <w:szCs w:val="18"/>
              </w:rPr>
              <w:t> </w:t>
            </w: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9"/>
                <w:szCs w:val="19"/>
              </w:rPr>
            </w:pPr>
          </w:p>
          <w:p>
            <w:pPr>
              <w:pStyle w:val="TableParagraph"/>
              <w:spacing w:line="240" w:lineRule="auto"/>
              <w:ind w:right="9"/>
              <w:jc w:val="right"/>
              <w:rPr>
                <w:rFonts w:ascii="宋体" w:hAnsi="宋体" w:cs="宋体" w:eastAsia="宋体" w:hint="default"/>
                <w:sz w:val="18"/>
                <w:szCs w:val="18"/>
              </w:rPr>
            </w:pPr>
            <w:r>
              <w:rPr>
                <w:rFonts w:ascii="宋体"/>
                <w:spacing w:val="-1"/>
                <w:sz w:val="18"/>
              </w:rPr>
              <w:t>128,762.64</w:t>
            </w:r>
            <w:r>
              <w:rPr>
                <w:rFonts w:ascii="宋体"/>
                <w:sz w:val="18"/>
              </w:rPr>
              <w:t> </w:t>
            </w: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9"/>
                <w:szCs w:val="19"/>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628,373.53</w:t>
            </w:r>
            <w:r>
              <w:rPr>
                <w:rFonts w:ascii="宋体"/>
                <w:sz w:val="18"/>
              </w:rPr>
              <w:t> </w:t>
            </w:r>
          </w:p>
        </w:tc>
      </w:tr>
      <w:tr>
        <w:trPr>
          <w:trHeight w:val="398" w:hRule="exact"/>
        </w:trPr>
        <w:tc>
          <w:tcPr>
            <w:tcW w:w="6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其中：固定资产</w:t>
            </w:r>
            <w:r>
              <w:rPr>
                <w:rFonts w:ascii="宋体" w:hAnsi="宋体" w:cs="宋体" w:eastAsia="宋体" w:hint="default"/>
                <w:sz w:val="18"/>
                <w:szCs w:val="18"/>
              </w:rPr>
              <w:t> </w:t>
            </w: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
              <w:jc w:val="right"/>
              <w:rPr>
                <w:rFonts w:ascii="宋体" w:hAnsi="宋体" w:cs="宋体" w:eastAsia="宋体" w:hint="default"/>
                <w:sz w:val="18"/>
                <w:szCs w:val="18"/>
              </w:rPr>
            </w:pPr>
            <w:r>
              <w:rPr>
                <w:rFonts w:ascii="宋体"/>
                <w:spacing w:val="-1"/>
                <w:sz w:val="18"/>
              </w:rPr>
              <w:t>128,762.64</w:t>
            </w:r>
            <w:r>
              <w:rPr>
                <w:rFonts w:ascii="宋体"/>
                <w:sz w:val="18"/>
              </w:rPr>
              <w:t> </w:t>
            </w: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628,373.53</w:t>
            </w:r>
            <w:r>
              <w:rPr>
                <w:rFonts w:ascii="宋体"/>
                <w:sz w:val="18"/>
              </w:rPr>
              <w:t> </w:t>
            </w:r>
          </w:p>
        </w:tc>
      </w:tr>
      <w:tr>
        <w:trPr>
          <w:trHeight w:val="396" w:hRule="exact"/>
        </w:trPr>
        <w:tc>
          <w:tcPr>
            <w:tcW w:w="6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非流动资产债务重组利得或损失小计</w:t>
            </w:r>
            <w:r>
              <w:rPr>
                <w:rFonts w:ascii="宋体" w:hAnsi="宋体" w:cs="宋体" w:eastAsia="宋体" w:hint="default"/>
                <w:sz w:val="18"/>
                <w:szCs w:val="18"/>
              </w:rPr>
              <w:t> </w:t>
            </w: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
              <w:jc w:val="right"/>
              <w:rPr>
                <w:rFonts w:ascii="宋体" w:hAnsi="宋体" w:cs="宋体" w:eastAsia="宋体" w:hint="default"/>
                <w:sz w:val="18"/>
                <w:szCs w:val="18"/>
              </w:rPr>
            </w:pPr>
            <w:r>
              <w:rPr>
                <w:rFonts w:ascii="宋体"/>
                <w:spacing w:val="-1"/>
                <w:sz w:val="18"/>
              </w:rPr>
              <w:t>128,762.64</w:t>
            </w:r>
            <w:r>
              <w:rPr>
                <w:rFonts w:ascii="宋体"/>
                <w:sz w:val="18"/>
              </w:rPr>
              <w:t> </w:t>
            </w: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628,373.53</w:t>
            </w:r>
            <w:r>
              <w:rPr>
                <w:rFonts w:ascii="宋体"/>
                <w:sz w:val="18"/>
              </w:rPr>
              <w:t> </w:t>
            </w:r>
          </w:p>
        </w:tc>
      </w:tr>
      <w:tr>
        <w:trPr>
          <w:trHeight w:val="398" w:hRule="exact"/>
        </w:trPr>
        <w:tc>
          <w:tcPr>
            <w:tcW w:w="6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非货币性资产交换利得或损失小计</w:t>
            </w:r>
            <w:r>
              <w:rPr>
                <w:rFonts w:ascii="宋体" w:hAnsi="宋体" w:cs="宋体" w:eastAsia="宋体" w:hint="default"/>
                <w:sz w:val="18"/>
                <w:szCs w:val="18"/>
              </w:rPr>
              <w:t> </w:t>
            </w: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z w:val="18"/>
              </w:rPr>
              <w:t> </w:t>
            </w: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r>
      <w:tr>
        <w:trPr>
          <w:trHeight w:val="396" w:hRule="exact"/>
        </w:trPr>
        <w:tc>
          <w:tcPr>
            <w:tcW w:w="60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0"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7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128,762.64</w:t>
            </w:r>
            <w:r>
              <w:rPr>
                <w:rFonts w:ascii="宋体"/>
                <w:sz w:val="18"/>
              </w:rPr>
              <w:t> </w:t>
            </w:r>
          </w:p>
        </w:tc>
        <w:tc>
          <w:tcPr>
            <w:tcW w:w="17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628,373.53</w:t>
            </w:r>
            <w:r>
              <w:rPr>
                <w:rFonts w:ascii="宋体"/>
                <w:sz w:val="18"/>
              </w:rPr>
              <w:t> </w:t>
            </w:r>
          </w:p>
        </w:tc>
      </w:tr>
    </w:tbl>
    <w:p>
      <w:pPr>
        <w:spacing w:line="240" w:lineRule="auto" w:before="7"/>
        <w:rPr>
          <w:rFonts w:ascii="宋体" w:hAnsi="宋体" w:cs="宋体" w:eastAsia="宋体" w:hint="default"/>
          <w:b/>
          <w:bCs/>
          <w:sz w:val="6"/>
          <w:szCs w:val="6"/>
        </w:rPr>
      </w:pPr>
    </w:p>
    <w:p>
      <w:pPr>
        <w:spacing w:before="36"/>
        <w:ind w:left="576" w:right="0" w:firstLine="0"/>
        <w:jc w:val="left"/>
        <w:rPr>
          <w:rFonts w:ascii="宋体" w:hAnsi="宋体" w:cs="宋体" w:eastAsia="宋体" w:hint="default"/>
          <w:sz w:val="21"/>
          <w:szCs w:val="21"/>
        </w:rPr>
      </w:pPr>
      <w:r>
        <w:rPr>
          <w:rFonts w:ascii="宋体" w:hAnsi="宋体" w:cs="宋体" w:eastAsia="宋体" w:hint="default"/>
          <w:b/>
          <w:bCs/>
          <w:sz w:val="21"/>
          <w:szCs w:val="21"/>
        </w:rPr>
        <w:t>（四十四）营业外收入</w:t>
      </w:r>
      <w:r>
        <w:rPr>
          <w:rFonts w:ascii="宋体" w:hAnsi="宋体" w:cs="宋体" w:eastAsia="宋体" w:hint="default"/>
          <w:b/>
          <w:bCs/>
          <w:w w:val="99"/>
          <w:sz w:val="21"/>
          <w:szCs w:val="21"/>
        </w:rPr>
        <w:t> </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80" w:footer="975" w:top="1100" w:bottom="1160" w:left="1080" w:right="0"/>
        </w:sectPr>
      </w:pPr>
    </w:p>
    <w:p>
      <w:pPr>
        <w:spacing w:line="240" w:lineRule="auto" w:before="8"/>
        <w:rPr>
          <w:rFonts w:ascii="宋体" w:hAnsi="宋体" w:cs="宋体" w:eastAsia="宋体" w:hint="default"/>
          <w:b/>
          <w:bCs/>
          <w:sz w:val="24"/>
          <w:szCs w:val="24"/>
        </w:rPr>
      </w:pPr>
    </w:p>
    <w:tbl>
      <w:tblPr>
        <w:tblW w:w="0" w:type="auto"/>
        <w:jc w:val="left"/>
        <w:tblInd w:w="177" w:type="dxa"/>
        <w:tblLayout w:type="fixed"/>
        <w:tblCellMar>
          <w:top w:w="0" w:type="dxa"/>
          <w:left w:w="0" w:type="dxa"/>
          <w:bottom w:w="0" w:type="dxa"/>
          <w:right w:w="0" w:type="dxa"/>
        </w:tblCellMar>
        <w:tblLook w:val="01E0"/>
      </w:tblPr>
      <w:tblGrid>
        <w:gridCol w:w="2455"/>
        <w:gridCol w:w="2074"/>
        <w:gridCol w:w="2208"/>
        <w:gridCol w:w="2797"/>
      </w:tblGrid>
      <w:tr>
        <w:trPr>
          <w:trHeight w:val="396" w:hRule="exact"/>
        </w:trPr>
        <w:tc>
          <w:tcPr>
            <w:tcW w:w="2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2"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2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81" w:right="0"/>
              <w:jc w:val="left"/>
              <w:rPr>
                <w:rFonts w:ascii="宋体" w:hAnsi="宋体" w:cs="宋体" w:eastAsia="宋体" w:hint="default"/>
                <w:sz w:val="18"/>
                <w:szCs w:val="18"/>
              </w:rPr>
            </w:pPr>
            <w:r>
              <w:rPr>
                <w:rFonts w:ascii="宋体" w:hAnsi="宋体" w:cs="宋体" w:eastAsia="宋体" w:hint="default"/>
                <w:sz w:val="18"/>
                <w:szCs w:val="18"/>
              </w:rPr>
              <w:t>本期发生额</w:t>
            </w:r>
            <w:r>
              <w:rPr>
                <w:rFonts w:ascii="宋体" w:hAnsi="宋体" w:cs="宋体" w:eastAsia="宋体" w:hint="default"/>
                <w:sz w:val="18"/>
                <w:szCs w:val="18"/>
              </w:rPr>
              <w:t> </w:t>
            </w:r>
          </w:p>
        </w:tc>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647" w:right="0"/>
              <w:jc w:val="left"/>
              <w:rPr>
                <w:rFonts w:ascii="宋体" w:hAnsi="宋体" w:cs="宋体" w:eastAsia="宋体" w:hint="default"/>
                <w:sz w:val="18"/>
                <w:szCs w:val="18"/>
              </w:rPr>
            </w:pPr>
            <w:r>
              <w:rPr>
                <w:rFonts w:ascii="宋体" w:hAnsi="宋体" w:cs="宋体" w:eastAsia="宋体" w:hint="default"/>
                <w:sz w:val="18"/>
                <w:szCs w:val="18"/>
              </w:rPr>
              <w:t>上期发生额</w:t>
            </w:r>
            <w:r>
              <w:rPr>
                <w:rFonts w:ascii="宋体" w:hAnsi="宋体" w:cs="宋体" w:eastAsia="宋体" w:hint="default"/>
                <w:sz w:val="18"/>
                <w:szCs w:val="18"/>
              </w:rPr>
              <w:t> </w:t>
            </w:r>
          </w:p>
        </w:tc>
        <w:tc>
          <w:tcPr>
            <w:tcW w:w="2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25" w:right="0"/>
              <w:jc w:val="left"/>
              <w:rPr>
                <w:rFonts w:ascii="宋体" w:hAnsi="宋体" w:cs="宋体" w:eastAsia="宋体" w:hint="default"/>
                <w:sz w:val="18"/>
                <w:szCs w:val="18"/>
              </w:rPr>
            </w:pPr>
            <w:r>
              <w:rPr>
                <w:rFonts w:ascii="宋体" w:hAnsi="宋体" w:cs="宋体" w:eastAsia="宋体" w:hint="default"/>
                <w:sz w:val="18"/>
                <w:szCs w:val="18"/>
              </w:rPr>
              <w:t>计入当期非经常性损益的金额</w:t>
            </w:r>
            <w:r>
              <w:rPr>
                <w:rFonts w:ascii="宋体" w:hAnsi="宋体" w:cs="宋体" w:eastAsia="宋体" w:hint="default"/>
                <w:sz w:val="18"/>
                <w:szCs w:val="18"/>
              </w:rPr>
              <w:t> </w:t>
            </w:r>
          </w:p>
        </w:tc>
      </w:tr>
      <w:tr>
        <w:trPr>
          <w:trHeight w:val="399" w:hRule="exact"/>
        </w:trPr>
        <w:tc>
          <w:tcPr>
            <w:tcW w:w="2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非流动资产报废毁损收益</w:t>
            </w:r>
            <w:r>
              <w:rPr>
                <w:rFonts w:ascii="宋体" w:hAnsi="宋体" w:cs="宋体" w:eastAsia="宋体" w:hint="default"/>
                <w:sz w:val="18"/>
                <w:szCs w:val="18"/>
              </w:rPr>
              <w:t> </w:t>
            </w:r>
          </w:p>
        </w:tc>
        <w:tc>
          <w:tcPr>
            <w:tcW w:w="2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21,965.03</w:t>
            </w:r>
            <w:r>
              <w:rPr>
                <w:rFonts w:ascii="宋体"/>
                <w:sz w:val="18"/>
              </w:rPr>
              <w:t> </w:t>
            </w:r>
          </w:p>
        </w:tc>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75,065.15</w:t>
            </w:r>
            <w:r>
              <w:rPr>
                <w:rFonts w:ascii="宋体"/>
                <w:sz w:val="18"/>
              </w:rPr>
              <w:t> </w:t>
            </w:r>
          </w:p>
        </w:tc>
        <w:tc>
          <w:tcPr>
            <w:tcW w:w="2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21,965.03</w:t>
            </w:r>
            <w:r>
              <w:rPr>
                <w:rFonts w:ascii="宋体"/>
                <w:sz w:val="18"/>
              </w:rPr>
              <w:t> </w:t>
            </w:r>
          </w:p>
        </w:tc>
      </w:tr>
      <w:tr>
        <w:trPr>
          <w:trHeight w:val="396" w:hRule="exact"/>
        </w:trPr>
        <w:tc>
          <w:tcPr>
            <w:tcW w:w="2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与日常活动无关的政府补助</w:t>
            </w:r>
            <w:r>
              <w:rPr>
                <w:rFonts w:ascii="宋体" w:hAnsi="宋体" w:cs="宋体" w:eastAsia="宋体" w:hint="default"/>
                <w:sz w:val="18"/>
                <w:szCs w:val="18"/>
              </w:rPr>
              <w:t> </w:t>
            </w:r>
          </w:p>
        </w:tc>
        <w:tc>
          <w:tcPr>
            <w:tcW w:w="2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3,465,746.44</w:t>
            </w:r>
            <w:r>
              <w:rPr>
                <w:rFonts w:ascii="宋体"/>
                <w:sz w:val="18"/>
              </w:rPr>
              <w:t> </w:t>
            </w:r>
          </w:p>
        </w:tc>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3,756,917.55</w:t>
            </w:r>
            <w:r>
              <w:rPr>
                <w:rFonts w:ascii="宋体"/>
                <w:sz w:val="18"/>
              </w:rPr>
              <w:t> </w:t>
            </w:r>
          </w:p>
        </w:tc>
        <w:tc>
          <w:tcPr>
            <w:tcW w:w="2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3,465,746.44</w:t>
            </w:r>
            <w:r>
              <w:rPr>
                <w:rFonts w:ascii="宋体"/>
                <w:sz w:val="18"/>
              </w:rPr>
              <w:t> </w:t>
            </w:r>
          </w:p>
        </w:tc>
      </w:tr>
      <w:tr>
        <w:trPr>
          <w:trHeight w:val="398" w:hRule="exact"/>
        </w:trPr>
        <w:tc>
          <w:tcPr>
            <w:tcW w:w="2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其他</w:t>
            </w:r>
            <w:r>
              <w:rPr>
                <w:rFonts w:ascii="宋体" w:hAnsi="宋体" w:cs="宋体" w:eastAsia="宋体" w:hint="default"/>
                <w:sz w:val="18"/>
                <w:szCs w:val="18"/>
              </w:rPr>
              <w:t> </w:t>
            </w:r>
          </w:p>
        </w:tc>
        <w:tc>
          <w:tcPr>
            <w:tcW w:w="2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348,715.83</w:t>
            </w:r>
            <w:r>
              <w:rPr>
                <w:rFonts w:ascii="宋体"/>
                <w:sz w:val="18"/>
              </w:rPr>
              <w:t> </w:t>
            </w:r>
          </w:p>
        </w:tc>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472,255.52</w:t>
            </w:r>
            <w:r>
              <w:rPr>
                <w:rFonts w:ascii="宋体"/>
                <w:sz w:val="18"/>
              </w:rPr>
              <w:t> </w:t>
            </w:r>
          </w:p>
        </w:tc>
        <w:tc>
          <w:tcPr>
            <w:tcW w:w="2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348,715.83</w:t>
            </w:r>
            <w:r>
              <w:rPr>
                <w:rFonts w:ascii="宋体"/>
                <w:sz w:val="18"/>
              </w:rPr>
              <w:t> </w:t>
            </w:r>
          </w:p>
        </w:tc>
      </w:tr>
      <w:tr>
        <w:trPr>
          <w:trHeight w:val="396" w:hRule="exact"/>
        </w:trPr>
        <w:tc>
          <w:tcPr>
            <w:tcW w:w="2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2"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20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3,836,427.30</w:t>
            </w:r>
            <w:r>
              <w:rPr>
                <w:rFonts w:ascii="宋体"/>
                <w:sz w:val="18"/>
              </w:rPr>
              <w:t> </w:t>
            </w:r>
          </w:p>
        </w:tc>
        <w:tc>
          <w:tcPr>
            <w:tcW w:w="22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4,304,238.22</w:t>
            </w:r>
            <w:r>
              <w:rPr>
                <w:rFonts w:ascii="宋体"/>
                <w:sz w:val="18"/>
              </w:rPr>
              <w:t> </w:t>
            </w:r>
          </w:p>
        </w:tc>
        <w:tc>
          <w:tcPr>
            <w:tcW w:w="2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3,836,427.30</w:t>
            </w:r>
            <w:r>
              <w:rPr>
                <w:rFonts w:ascii="宋体"/>
                <w:sz w:val="18"/>
              </w:rPr>
              <w:t> </w:t>
            </w:r>
          </w:p>
        </w:tc>
      </w:tr>
    </w:tbl>
    <w:p>
      <w:pPr>
        <w:spacing w:line="240" w:lineRule="auto" w:before="7"/>
        <w:rPr>
          <w:rFonts w:ascii="宋体" w:hAnsi="宋体" w:cs="宋体" w:eastAsia="宋体" w:hint="default"/>
          <w:b/>
          <w:bCs/>
          <w:sz w:val="6"/>
          <w:szCs w:val="6"/>
        </w:rPr>
      </w:pPr>
    </w:p>
    <w:p>
      <w:pPr>
        <w:pStyle w:val="BodyText"/>
        <w:spacing w:line="240" w:lineRule="auto" w:before="36"/>
        <w:ind w:left="563" w:right="1146"/>
        <w:jc w:val="left"/>
        <w:rPr>
          <w:rFonts w:ascii="宋体" w:hAnsi="宋体" w:cs="宋体" w:eastAsia="宋体" w:hint="default"/>
        </w:rPr>
      </w:pPr>
      <w:r>
        <w:rPr/>
        <w:t>计入当期损益的政府补助：</w:t>
      </w:r>
      <w:r>
        <w:rPr>
          <w:rFonts w:ascii="宋体" w:hAnsi="宋体" w:cs="宋体" w:eastAsia="宋体" w:hint="default"/>
          <w:spacing w:val="-3"/>
        </w:rPr>
        <w:t> </w:t>
      </w:r>
      <w:r>
        <w:rPr>
          <w:rFonts w:ascii="宋体" w:hAnsi="宋体" w:cs="宋体" w:eastAsia="宋体" w:hint="default"/>
        </w:rPr>
        <w:t> </w:t>
      </w:r>
    </w:p>
    <w:p>
      <w:pPr>
        <w:spacing w:line="240" w:lineRule="auto" w:before="6"/>
        <w:rPr>
          <w:rFonts w:ascii="宋体" w:hAnsi="宋体" w:cs="宋体" w:eastAsia="宋体" w:hint="default"/>
          <w:sz w:val="14"/>
          <w:szCs w:val="14"/>
        </w:rPr>
      </w:pPr>
    </w:p>
    <w:tbl>
      <w:tblPr>
        <w:tblW w:w="0" w:type="auto"/>
        <w:jc w:val="left"/>
        <w:tblInd w:w="167" w:type="dxa"/>
        <w:tblLayout w:type="fixed"/>
        <w:tblCellMar>
          <w:top w:w="0" w:type="dxa"/>
          <w:left w:w="0" w:type="dxa"/>
          <w:bottom w:w="0" w:type="dxa"/>
          <w:right w:w="0" w:type="dxa"/>
        </w:tblCellMar>
        <w:tblLook w:val="01E0"/>
      </w:tblPr>
      <w:tblGrid>
        <w:gridCol w:w="1848"/>
        <w:gridCol w:w="1901"/>
        <w:gridCol w:w="2607"/>
        <w:gridCol w:w="3190"/>
      </w:tblGrid>
      <w:tr>
        <w:trPr>
          <w:trHeight w:val="396" w:hRule="exact"/>
        </w:trPr>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59" w:right="0"/>
              <w:jc w:val="left"/>
              <w:rPr>
                <w:rFonts w:ascii="宋体" w:hAnsi="宋体" w:cs="宋体" w:eastAsia="宋体" w:hint="default"/>
                <w:sz w:val="18"/>
                <w:szCs w:val="18"/>
              </w:rPr>
            </w:pPr>
            <w:r>
              <w:rPr>
                <w:rFonts w:ascii="宋体" w:hAnsi="宋体" w:cs="宋体" w:eastAsia="宋体" w:hint="default"/>
                <w:sz w:val="18"/>
                <w:szCs w:val="18"/>
              </w:rPr>
              <w:t>补助项目</w:t>
            </w:r>
            <w:r>
              <w:rPr>
                <w:rFonts w:ascii="宋体" w:hAnsi="宋体" w:cs="宋体" w:eastAsia="宋体" w:hint="default"/>
                <w:sz w:val="18"/>
                <w:szCs w:val="18"/>
              </w:rPr>
              <w:t> </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94" w:right="0"/>
              <w:jc w:val="left"/>
              <w:rPr>
                <w:rFonts w:ascii="宋体" w:hAnsi="宋体" w:cs="宋体" w:eastAsia="宋体" w:hint="default"/>
                <w:sz w:val="18"/>
                <w:szCs w:val="18"/>
              </w:rPr>
            </w:pPr>
            <w:r>
              <w:rPr>
                <w:rFonts w:ascii="宋体" w:hAnsi="宋体" w:cs="宋体" w:eastAsia="宋体" w:hint="default"/>
                <w:sz w:val="18"/>
                <w:szCs w:val="18"/>
              </w:rPr>
              <w:t>本期发生额</w:t>
            </w:r>
            <w:r>
              <w:rPr>
                <w:rFonts w:ascii="宋体" w:hAnsi="宋体" w:cs="宋体" w:eastAsia="宋体" w:hint="default"/>
                <w:sz w:val="18"/>
                <w:szCs w:val="18"/>
              </w:rPr>
              <w:t> </w:t>
            </w:r>
          </w:p>
        </w:tc>
        <w:tc>
          <w:tcPr>
            <w:tcW w:w="2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49" w:right="0"/>
              <w:jc w:val="left"/>
              <w:rPr>
                <w:rFonts w:ascii="宋体" w:hAnsi="宋体" w:cs="宋体" w:eastAsia="宋体" w:hint="default"/>
                <w:sz w:val="18"/>
                <w:szCs w:val="18"/>
              </w:rPr>
            </w:pPr>
            <w:r>
              <w:rPr>
                <w:rFonts w:ascii="宋体" w:hAnsi="宋体" w:cs="宋体" w:eastAsia="宋体" w:hint="default"/>
                <w:sz w:val="18"/>
                <w:szCs w:val="18"/>
              </w:rPr>
              <w:t>上期发生额</w:t>
            </w:r>
            <w:r>
              <w:rPr>
                <w:rFonts w:ascii="宋体" w:hAnsi="宋体" w:cs="宋体" w:eastAsia="宋体" w:hint="default"/>
                <w:sz w:val="18"/>
                <w:szCs w:val="18"/>
              </w:rPr>
              <w:t> </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645" w:right="0"/>
              <w:jc w:val="left"/>
              <w:rPr>
                <w:rFonts w:ascii="宋体" w:hAnsi="宋体" w:cs="宋体" w:eastAsia="宋体" w:hint="default"/>
                <w:sz w:val="18"/>
                <w:szCs w:val="18"/>
              </w:rPr>
            </w:pPr>
            <w:r>
              <w:rPr>
                <w:rFonts w:ascii="宋体" w:hAnsi="宋体" w:cs="宋体" w:eastAsia="宋体" w:hint="default"/>
                <w:sz w:val="18"/>
                <w:szCs w:val="18"/>
              </w:rPr>
              <w:t>与资产相关</w:t>
            </w:r>
            <w:r>
              <w:rPr>
                <w:rFonts w:ascii="宋体" w:hAnsi="宋体" w:cs="宋体" w:eastAsia="宋体" w:hint="default"/>
                <w:sz w:val="18"/>
                <w:szCs w:val="18"/>
              </w:rPr>
              <w:t>/</w:t>
            </w:r>
            <w:r>
              <w:rPr>
                <w:rFonts w:ascii="宋体" w:hAnsi="宋体" w:cs="宋体" w:eastAsia="宋体" w:hint="default"/>
                <w:sz w:val="18"/>
                <w:szCs w:val="18"/>
              </w:rPr>
              <w:t>与收益相关</w:t>
            </w:r>
            <w:r>
              <w:rPr>
                <w:rFonts w:ascii="宋体" w:hAnsi="宋体" w:cs="宋体" w:eastAsia="宋体" w:hint="default"/>
                <w:sz w:val="18"/>
                <w:szCs w:val="18"/>
              </w:rPr>
              <w:t> </w:t>
            </w:r>
          </w:p>
        </w:tc>
      </w:tr>
      <w:tr>
        <w:trPr>
          <w:trHeight w:val="398" w:hRule="exact"/>
        </w:trPr>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信用评价补贴</w:t>
            </w:r>
            <w:r>
              <w:rPr>
                <w:rFonts w:ascii="宋体" w:hAnsi="宋体" w:cs="宋体" w:eastAsia="宋体" w:hint="default"/>
                <w:sz w:val="18"/>
                <w:szCs w:val="18"/>
              </w:rPr>
              <w:t> </w:t>
            </w:r>
          </w:p>
        </w:tc>
        <w:tc>
          <w:tcPr>
            <w:tcW w:w="1901" w:type="dxa"/>
            <w:tcBorders>
              <w:top w:val="single" w:sz="4" w:space="0" w:color="000000"/>
              <w:left w:val="single" w:sz="4" w:space="0" w:color="000000"/>
              <w:bottom w:val="single" w:sz="4" w:space="0" w:color="000000"/>
              <w:right w:val="single" w:sz="4" w:space="0" w:color="000000"/>
            </w:tcBorders>
          </w:tcPr>
          <w:p>
            <w:pPr/>
          </w:p>
        </w:tc>
        <w:tc>
          <w:tcPr>
            <w:tcW w:w="2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pacing w:val="-1"/>
                <w:sz w:val="18"/>
              </w:rPr>
              <w:t>17,500.00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140" w:right="0"/>
              <w:jc w:val="left"/>
              <w:rPr>
                <w:rFonts w:ascii="宋体" w:hAnsi="宋体" w:cs="宋体" w:eastAsia="宋体" w:hint="default"/>
                <w:sz w:val="18"/>
                <w:szCs w:val="18"/>
              </w:rPr>
            </w:pPr>
            <w:r>
              <w:rPr>
                <w:rFonts w:ascii="宋体" w:hAnsi="宋体" w:cs="宋体" w:eastAsia="宋体" w:hint="default"/>
                <w:sz w:val="18"/>
                <w:szCs w:val="18"/>
              </w:rPr>
              <w:t>与收益相关</w:t>
            </w:r>
            <w:r>
              <w:rPr>
                <w:rFonts w:ascii="宋体" w:hAnsi="宋体" w:cs="宋体" w:eastAsia="宋体" w:hint="default"/>
                <w:sz w:val="18"/>
                <w:szCs w:val="18"/>
              </w:rPr>
              <w:t> </w:t>
            </w:r>
          </w:p>
        </w:tc>
      </w:tr>
      <w:tr>
        <w:trPr>
          <w:trHeight w:val="396" w:hRule="exact"/>
        </w:trPr>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3" w:right="0"/>
              <w:jc w:val="left"/>
              <w:rPr>
                <w:rFonts w:ascii="宋体" w:hAnsi="宋体" w:cs="宋体" w:eastAsia="宋体" w:hint="default"/>
                <w:sz w:val="18"/>
                <w:szCs w:val="18"/>
              </w:rPr>
            </w:pPr>
            <w:r>
              <w:rPr>
                <w:rFonts w:ascii="宋体" w:hAnsi="宋体" w:cs="宋体" w:eastAsia="宋体" w:hint="default"/>
                <w:sz w:val="18"/>
                <w:szCs w:val="18"/>
              </w:rPr>
              <w:t>黄标车报废补贴</w:t>
            </w:r>
            <w:r>
              <w:rPr>
                <w:rFonts w:ascii="宋体" w:hAnsi="宋体" w:cs="宋体" w:eastAsia="宋体" w:hint="default"/>
                <w:sz w:val="18"/>
                <w:szCs w:val="18"/>
              </w:rPr>
              <w:t> </w:t>
            </w:r>
          </w:p>
        </w:tc>
        <w:tc>
          <w:tcPr>
            <w:tcW w:w="1901" w:type="dxa"/>
            <w:tcBorders>
              <w:top w:val="single" w:sz="4" w:space="0" w:color="000000"/>
              <w:left w:val="single" w:sz="4" w:space="0" w:color="000000"/>
              <w:bottom w:val="single" w:sz="4" w:space="0" w:color="000000"/>
              <w:right w:val="single" w:sz="4" w:space="0" w:color="000000"/>
            </w:tcBorders>
          </w:tcPr>
          <w:p>
            <w:pPr/>
          </w:p>
        </w:tc>
        <w:tc>
          <w:tcPr>
            <w:tcW w:w="2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pacing w:val="-1"/>
                <w:sz w:val="18"/>
              </w:rPr>
              <w:t>85,076.88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140" w:right="0"/>
              <w:jc w:val="left"/>
              <w:rPr>
                <w:rFonts w:ascii="宋体" w:hAnsi="宋体" w:cs="宋体" w:eastAsia="宋体" w:hint="default"/>
                <w:sz w:val="18"/>
                <w:szCs w:val="18"/>
              </w:rPr>
            </w:pPr>
            <w:r>
              <w:rPr>
                <w:rFonts w:ascii="宋体" w:hAnsi="宋体" w:cs="宋体" w:eastAsia="宋体" w:hint="default"/>
                <w:sz w:val="18"/>
                <w:szCs w:val="18"/>
              </w:rPr>
              <w:t>与收益相关</w:t>
            </w:r>
            <w:r>
              <w:rPr>
                <w:rFonts w:ascii="宋体" w:hAnsi="宋体" w:cs="宋体" w:eastAsia="宋体" w:hint="default"/>
                <w:sz w:val="18"/>
                <w:szCs w:val="18"/>
              </w:rPr>
              <w:t> </w:t>
            </w:r>
          </w:p>
        </w:tc>
      </w:tr>
      <w:tr>
        <w:trPr>
          <w:trHeight w:val="396" w:hRule="exact"/>
        </w:trPr>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企业奖励</w:t>
            </w:r>
            <w:r>
              <w:rPr>
                <w:rFonts w:ascii="宋体" w:hAnsi="宋体" w:cs="宋体" w:eastAsia="宋体" w:hint="default"/>
                <w:sz w:val="18"/>
                <w:szCs w:val="18"/>
              </w:rPr>
              <w:t> </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宋体" w:hAnsi="宋体" w:cs="宋体" w:eastAsia="宋体" w:hint="default"/>
                <w:sz w:val="18"/>
                <w:szCs w:val="18"/>
              </w:rPr>
            </w:pPr>
            <w:r>
              <w:rPr>
                <w:rFonts w:ascii="宋体"/>
                <w:spacing w:val="-1"/>
                <w:sz w:val="18"/>
              </w:rPr>
              <w:t>1,142,746.44</w:t>
            </w:r>
          </w:p>
        </w:tc>
        <w:tc>
          <w:tcPr>
            <w:tcW w:w="2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pacing w:val="-1"/>
                <w:sz w:val="18"/>
              </w:rPr>
              <w:t>3,654,340.67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140" w:right="0"/>
              <w:jc w:val="left"/>
              <w:rPr>
                <w:rFonts w:ascii="宋体" w:hAnsi="宋体" w:cs="宋体" w:eastAsia="宋体" w:hint="default"/>
                <w:sz w:val="18"/>
                <w:szCs w:val="18"/>
              </w:rPr>
            </w:pPr>
            <w:r>
              <w:rPr>
                <w:rFonts w:ascii="宋体" w:hAnsi="宋体" w:cs="宋体" w:eastAsia="宋体" w:hint="default"/>
                <w:sz w:val="18"/>
                <w:szCs w:val="18"/>
              </w:rPr>
              <w:t>与收益相关</w:t>
            </w:r>
            <w:r>
              <w:rPr>
                <w:rFonts w:ascii="宋体" w:hAnsi="宋体" w:cs="宋体" w:eastAsia="宋体" w:hint="default"/>
                <w:sz w:val="18"/>
                <w:szCs w:val="18"/>
              </w:rPr>
              <w:t> </w:t>
            </w:r>
          </w:p>
        </w:tc>
      </w:tr>
      <w:tr>
        <w:trPr>
          <w:trHeight w:val="399" w:hRule="exact"/>
        </w:trPr>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税收返还</w:t>
            </w:r>
            <w:r>
              <w:rPr>
                <w:rFonts w:ascii="宋体" w:hAnsi="宋体" w:cs="宋体" w:eastAsia="宋体" w:hint="default"/>
                <w:sz w:val="18"/>
                <w:szCs w:val="18"/>
              </w:rPr>
              <w:t> </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right"/>
              <w:rPr>
                <w:rFonts w:ascii="宋体" w:hAnsi="宋体" w:cs="宋体" w:eastAsia="宋体" w:hint="default"/>
                <w:sz w:val="18"/>
                <w:szCs w:val="18"/>
              </w:rPr>
            </w:pPr>
            <w:r>
              <w:rPr>
                <w:rFonts w:ascii="宋体"/>
                <w:spacing w:val="-1"/>
                <w:sz w:val="18"/>
              </w:rPr>
              <w:t>1,723,000.00</w:t>
            </w:r>
          </w:p>
        </w:tc>
        <w:tc>
          <w:tcPr>
            <w:tcW w:w="2607"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140" w:right="0"/>
              <w:jc w:val="left"/>
              <w:rPr>
                <w:rFonts w:ascii="宋体" w:hAnsi="宋体" w:cs="宋体" w:eastAsia="宋体" w:hint="default"/>
                <w:sz w:val="18"/>
                <w:szCs w:val="18"/>
              </w:rPr>
            </w:pPr>
            <w:r>
              <w:rPr>
                <w:rFonts w:ascii="宋体" w:hAnsi="宋体" w:cs="宋体" w:eastAsia="宋体" w:hint="default"/>
                <w:sz w:val="18"/>
                <w:szCs w:val="18"/>
              </w:rPr>
              <w:t>与收益相关</w:t>
            </w:r>
            <w:r>
              <w:rPr>
                <w:rFonts w:ascii="宋体" w:hAnsi="宋体" w:cs="宋体" w:eastAsia="宋体" w:hint="default"/>
                <w:sz w:val="18"/>
                <w:szCs w:val="18"/>
              </w:rPr>
              <w:t> </w:t>
            </w:r>
          </w:p>
        </w:tc>
      </w:tr>
      <w:tr>
        <w:trPr>
          <w:trHeight w:val="396" w:hRule="exact"/>
        </w:trPr>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 w:right="0"/>
              <w:jc w:val="left"/>
              <w:rPr>
                <w:rFonts w:ascii="宋体" w:hAnsi="宋体" w:cs="宋体" w:eastAsia="宋体" w:hint="default"/>
                <w:sz w:val="18"/>
                <w:szCs w:val="18"/>
              </w:rPr>
            </w:pPr>
            <w:r>
              <w:rPr>
                <w:rFonts w:ascii="宋体" w:hAnsi="宋体" w:cs="宋体" w:eastAsia="宋体" w:hint="default"/>
                <w:sz w:val="18"/>
                <w:szCs w:val="18"/>
              </w:rPr>
              <w:t>专利商用化专项补贴</w:t>
            </w:r>
            <w:r>
              <w:rPr>
                <w:rFonts w:ascii="宋体" w:hAnsi="宋体" w:cs="宋体" w:eastAsia="宋体" w:hint="default"/>
                <w:sz w:val="18"/>
                <w:szCs w:val="18"/>
              </w:rPr>
              <w:t> </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pacing w:val="-1"/>
                <w:sz w:val="18"/>
              </w:rPr>
              <w:t>600,000.00</w:t>
            </w:r>
          </w:p>
        </w:tc>
        <w:tc>
          <w:tcPr>
            <w:tcW w:w="2607"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140" w:right="0"/>
              <w:jc w:val="left"/>
              <w:rPr>
                <w:rFonts w:ascii="宋体" w:hAnsi="宋体" w:cs="宋体" w:eastAsia="宋体" w:hint="default"/>
                <w:sz w:val="18"/>
                <w:szCs w:val="18"/>
              </w:rPr>
            </w:pPr>
            <w:r>
              <w:rPr>
                <w:rFonts w:ascii="宋体" w:hAnsi="宋体" w:cs="宋体" w:eastAsia="宋体" w:hint="default"/>
                <w:sz w:val="18"/>
                <w:szCs w:val="18"/>
              </w:rPr>
              <w:t>与收益相关</w:t>
            </w:r>
            <w:r>
              <w:rPr>
                <w:rFonts w:ascii="宋体" w:hAnsi="宋体" w:cs="宋体" w:eastAsia="宋体" w:hint="default"/>
                <w:sz w:val="18"/>
                <w:szCs w:val="18"/>
              </w:rPr>
              <w:t> </w:t>
            </w:r>
          </w:p>
        </w:tc>
      </w:tr>
      <w:tr>
        <w:trPr>
          <w:trHeight w:val="398" w:hRule="exact"/>
        </w:trPr>
        <w:tc>
          <w:tcPr>
            <w:tcW w:w="18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9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right"/>
              <w:rPr>
                <w:rFonts w:ascii="宋体" w:hAnsi="宋体" w:cs="宋体" w:eastAsia="宋体" w:hint="default"/>
                <w:sz w:val="18"/>
                <w:szCs w:val="18"/>
              </w:rPr>
            </w:pPr>
            <w:r>
              <w:rPr>
                <w:rFonts w:ascii="宋体"/>
                <w:spacing w:val="-1"/>
                <w:sz w:val="18"/>
              </w:rPr>
              <w:t>3,465,746.44</w:t>
            </w:r>
          </w:p>
        </w:tc>
        <w:tc>
          <w:tcPr>
            <w:tcW w:w="26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9"/>
              <w:jc w:val="right"/>
              <w:rPr>
                <w:rFonts w:ascii="宋体" w:hAnsi="宋体" w:cs="宋体" w:eastAsia="宋体" w:hint="default"/>
                <w:sz w:val="18"/>
                <w:szCs w:val="18"/>
              </w:rPr>
            </w:pPr>
            <w:r>
              <w:rPr>
                <w:rFonts w:ascii="宋体"/>
                <w:spacing w:val="-1"/>
                <w:sz w:val="18"/>
              </w:rPr>
              <w:t>3,756,917.55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 w:right="0"/>
              <w:jc w:val="left"/>
              <w:rPr>
                <w:rFonts w:ascii="宋体" w:hAnsi="宋体" w:cs="宋体" w:eastAsia="宋体" w:hint="default"/>
                <w:sz w:val="18"/>
                <w:szCs w:val="18"/>
              </w:rPr>
            </w:pPr>
            <w:r>
              <w:rPr>
                <w:rFonts w:ascii="宋体"/>
                <w:sz w:val="18"/>
              </w:rPr>
              <w:t> </w:t>
            </w:r>
          </w:p>
        </w:tc>
      </w:tr>
    </w:tbl>
    <w:p>
      <w:pPr>
        <w:spacing w:line="240" w:lineRule="auto" w:before="7"/>
        <w:rPr>
          <w:rFonts w:ascii="宋体" w:hAnsi="宋体" w:cs="宋体" w:eastAsia="宋体" w:hint="default"/>
          <w:sz w:val="6"/>
          <w:szCs w:val="6"/>
        </w:rPr>
      </w:pPr>
    </w:p>
    <w:p>
      <w:pPr>
        <w:pStyle w:val="Heading3"/>
        <w:spacing w:line="240" w:lineRule="auto"/>
        <w:ind w:left="496" w:right="7673"/>
        <w:jc w:val="left"/>
        <w:rPr>
          <w:rFonts w:ascii="宋体" w:hAnsi="宋体" w:cs="宋体" w:eastAsia="宋体" w:hint="default"/>
          <w:b w:val="0"/>
          <w:bCs w:val="0"/>
        </w:rPr>
      </w:pPr>
      <w:r>
        <w:rPr/>
        <w:t>（四十五）营业外支出</w:t>
      </w:r>
      <w:r>
        <w:rPr>
          <w:rFonts w:ascii="宋体" w:hAnsi="宋体" w:cs="宋体" w:eastAsia="宋体" w:hint="default"/>
          <w:w w:val="99"/>
        </w:rPr>
        <w:t> </w:t>
      </w:r>
      <w:r>
        <w:rPr>
          <w:rFonts w:ascii="宋体" w:hAnsi="宋体" w:cs="宋体" w:eastAsia="宋体" w:hint="default"/>
          <w:b w:val="0"/>
          <w:bCs w:val="0"/>
        </w:rPr>
      </w:r>
    </w:p>
    <w:p>
      <w:pPr>
        <w:spacing w:line="240" w:lineRule="auto" w:before="3"/>
        <w:rPr>
          <w:rFonts w:ascii="宋体" w:hAnsi="宋体" w:cs="宋体" w:eastAsia="宋体" w:hint="default"/>
          <w:b/>
          <w:bCs/>
          <w:sz w:val="14"/>
          <w:szCs w:val="14"/>
        </w:rPr>
      </w:pPr>
    </w:p>
    <w:tbl>
      <w:tblPr>
        <w:tblW w:w="0" w:type="auto"/>
        <w:jc w:val="left"/>
        <w:tblInd w:w="177" w:type="dxa"/>
        <w:tblLayout w:type="fixed"/>
        <w:tblCellMar>
          <w:top w:w="0" w:type="dxa"/>
          <w:left w:w="0" w:type="dxa"/>
          <w:bottom w:w="0" w:type="dxa"/>
          <w:right w:w="0" w:type="dxa"/>
        </w:tblCellMar>
        <w:tblLook w:val="01E0"/>
      </w:tblPr>
      <w:tblGrid>
        <w:gridCol w:w="2482"/>
        <w:gridCol w:w="1815"/>
        <w:gridCol w:w="2268"/>
        <w:gridCol w:w="2984"/>
      </w:tblGrid>
      <w:tr>
        <w:trPr>
          <w:trHeight w:val="398" w:hRule="exact"/>
        </w:trPr>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4"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18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54" w:right="0"/>
              <w:jc w:val="left"/>
              <w:rPr>
                <w:rFonts w:ascii="宋体" w:hAnsi="宋体" w:cs="宋体" w:eastAsia="宋体" w:hint="default"/>
                <w:sz w:val="18"/>
                <w:szCs w:val="18"/>
              </w:rPr>
            </w:pPr>
            <w:r>
              <w:rPr>
                <w:rFonts w:ascii="宋体" w:hAnsi="宋体" w:cs="宋体" w:eastAsia="宋体" w:hint="default"/>
                <w:sz w:val="18"/>
                <w:szCs w:val="18"/>
              </w:rPr>
              <w:t>本期发生额</w:t>
            </w:r>
            <w:r>
              <w:rPr>
                <w:rFonts w:ascii="宋体" w:hAnsi="宋体" w:cs="宋体" w:eastAsia="宋体" w:hint="default"/>
                <w:sz w:val="18"/>
                <w:szCs w:val="18"/>
              </w:rPr>
              <w:t> </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679" w:right="0"/>
              <w:jc w:val="left"/>
              <w:rPr>
                <w:rFonts w:ascii="宋体" w:hAnsi="宋体" w:cs="宋体" w:eastAsia="宋体" w:hint="default"/>
                <w:sz w:val="18"/>
                <w:szCs w:val="18"/>
              </w:rPr>
            </w:pPr>
            <w:r>
              <w:rPr>
                <w:rFonts w:ascii="宋体" w:hAnsi="宋体" w:cs="宋体" w:eastAsia="宋体" w:hint="default"/>
                <w:sz w:val="18"/>
                <w:szCs w:val="18"/>
              </w:rPr>
              <w:t>上期发生额</w:t>
            </w:r>
            <w:r>
              <w:rPr>
                <w:rFonts w:ascii="宋体" w:hAnsi="宋体" w:cs="宋体" w:eastAsia="宋体" w:hint="default"/>
                <w:sz w:val="18"/>
                <w:szCs w:val="18"/>
              </w:rPr>
              <w:t> </w:t>
            </w:r>
          </w:p>
        </w:tc>
        <w:tc>
          <w:tcPr>
            <w:tcW w:w="2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19" w:right="0"/>
              <w:jc w:val="left"/>
              <w:rPr>
                <w:rFonts w:ascii="宋体" w:hAnsi="宋体" w:cs="宋体" w:eastAsia="宋体" w:hint="default"/>
                <w:sz w:val="18"/>
                <w:szCs w:val="18"/>
              </w:rPr>
            </w:pPr>
            <w:r>
              <w:rPr>
                <w:rFonts w:ascii="宋体" w:hAnsi="宋体" w:cs="宋体" w:eastAsia="宋体" w:hint="default"/>
                <w:sz w:val="18"/>
                <w:szCs w:val="18"/>
              </w:rPr>
              <w:t>计入当期非经常性损益的金额</w:t>
            </w:r>
            <w:r>
              <w:rPr>
                <w:rFonts w:ascii="宋体" w:hAnsi="宋体" w:cs="宋体" w:eastAsia="宋体" w:hint="default"/>
                <w:sz w:val="18"/>
                <w:szCs w:val="18"/>
              </w:rPr>
              <w:t> </w:t>
            </w:r>
          </w:p>
        </w:tc>
      </w:tr>
      <w:tr>
        <w:trPr>
          <w:trHeight w:val="396" w:hRule="exact"/>
        </w:trPr>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非流动资产报废、毁损损失</w:t>
            </w:r>
            <w:r>
              <w:rPr>
                <w:rFonts w:ascii="宋体" w:hAnsi="宋体" w:cs="宋体" w:eastAsia="宋体" w:hint="default"/>
                <w:sz w:val="18"/>
                <w:szCs w:val="18"/>
              </w:rPr>
              <w:t> </w:t>
            </w:r>
          </w:p>
        </w:tc>
        <w:tc>
          <w:tcPr>
            <w:tcW w:w="18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2"/>
              <w:jc w:val="right"/>
              <w:rPr>
                <w:rFonts w:ascii="宋体" w:hAnsi="宋体" w:cs="宋体" w:eastAsia="宋体" w:hint="default"/>
                <w:sz w:val="18"/>
                <w:szCs w:val="18"/>
              </w:rPr>
            </w:pPr>
            <w:r>
              <w:rPr>
                <w:rFonts w:ascii="宋体"/>
                <w:spacing w:val="1"/>
                <w:sz w:val="18"/>
              </w:rPr>
              <w:t> </w:t>
            </w:r>
            <w:r>
              <w:rPr>
                <w:rFonts w:ascii="宋体"/>
                <w:spacing w:val="-1"/>
                <w:sz w:val="18"/>
              </w:rPr>
              <w:t>8,238,995.56</w:t>
            </w:r>
            <w:r>
              <w:rPr>
                <w:rFonts w:ascii="宋体"/>
                <w:sz w:val="18"/>
              </w:rPr>
              <w:t> </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pacing w:val="-1"/>
                <w:sz w:val="18"/>
              </w:rPr>
              <w:t>991,427.18</w:t>
            </w:r>
            <w:r>
              <w:rPr>
                <w:rFonts w:ascii="宋体"/>
                <w:sz w:val="18"/>
              </w:rPr>
              <w:t> </w:t>
            </w:r>
          </w:p>
        </w:tc>
        <w:tc>
          <w:tcPr>
            <w:tcW w:w="2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
              <w:jc w:val="right"/>
              <w:rPr>
                <w:rFonts w:ascii="宋体" w:hAnsi="宋体" w:cs="宋体" w:eastAsia="宋体" w:hint="default"/>
                <w:sz w:val="18"/>
                <w:szCs w:val="18"/>
              </w:rPr>
            </w:pPr>
            <w:r>
              <w:rPr>
                <w:rFonts w:ascii="宋体"/>
                <w:spacing w:val="1"/>
                <w:sz w:val="18"/>
              </w:rPr>
              <w:t> </w:t>
            </w:r>
            <w:r>
              <w:rPr>
                <w:rFonts w:ascii="宋体"/>
                <w:spacing w:val="-1"/>
                <w:sz w:val="18"/>
              </w:rPr>
              <w:t>8,238,995.56</w:t>
            </w:r>
            <w:r>
              <w:rPr>
                <w:rFonts w:ascii="宋体"/>
                <w:sz w:val="18"/>
              </w:rPr>
              <w:t> </w:t>
            </w:r>
          </w:p>
        </w:tc>
      </w:tr>
      <w:tr>
        <w:trPr>
          <w:trHeight w:val="398" w:hRule="exact"/>
        </w:trPr>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对外捐赠</w:t>
            </w:r>
            <w:r>
              <w:rPr>
                <w:rFonts w:ascii="宋体" w:hAnsi="宋体" w:cs="宋体" w:eastAsia="宋体" w:hint="default"/>
                <w:sz w:val="18"/>
                <w:szCs w:val="18"/>
              </w:rPr>
              <w:t> </w:t>
            </w:r>
          </w:p>
        </w:tc>
        <w:tc>
          <w:tcPr>
            <w:tcW w:w="18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2"/>
              <w:jc w:val="right"/>
              <w:rPr>
                <w:rFonts w:ascii="宋体" w:hAnsi="宋体" w:cs="宋体" w:eastAsia="宋体" w:hint="default"/>
                <w:sz w:val="18"/>
                <w:szCs w:val="18"/>
              </w:rPr>
            </w:pPr>
            <w:r>
              <w:rPr>
                <w:rFonts w:ascii="宋体"/>
                <w:spacing w:val="1"/>
                <w:sz w:val="18"/>
              </w:rPr>
              <w:t> </w:t>
            </w:r>
            <w:r>
              <w:rPr>
                <w:rFonts w:ascii="宋体"/>
                <w:spacing w:val="-1"/>
                <w:sz w:val="18"/>
              </w:rPr>
              <w:t>10,000.00</w:t>
            </w:r>
            <w:r>
              <w:rPr>
                <w:rFonts w:ascii="宋体"/>
                <w:sz w:val="18"/>
              </w:rPr>
              <w:t> </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z w:val="18"/>
              </w:rPr>
              <w:t>- </w:t>
            </w:r>
          </w:p>
        </w:tc>
        <w:tc>
          <w:tcPr>
            <w:tcW w:w="2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
              <w:jc w:val="right"/>
              <w:rPr>
                <w:rFonts w:ascii="宋体" w:hAnsi="宋体" w:cs="宋体" w:eastAsia="宋体" w:hint="default"/>
                <w:sz w:val="18"/>
                <w:szCs w:val="18"/>
              </w:rPr>
            </w:pPr>
            <w:r>
              <w:rPr>
                <w:rFonts w:ascii="宋体"/>
                <w:spacing w:val="1"/>
                <w:sz w:val="18"/>
              </w:rPr>
              <w:t> </w:t>
            </w:r>
            <w:r>
              <w:rPr>
                <w:rFonts w:ascii="宋体"/>
                <w:spacing w:val="-1"/>
                <w:sz w:val="18"/>
              </w:rPr>
              <w:t>10,000.00</w:t>
            </w:r>
            <w:r>
              <w:rPr>
                <w:rFonts w:ascii="宋体"/>
                <w:sz w:val="18"/>
              </w:rPr>
              <w:t> </w:t>
            </w:r>
          </w:p>
        </w:tc>
      </w:tr>
      <w:tr>
        <w:trPr>
          <w:trHeight w:val="396" w:hRule="exact"/>
        </w:trPr>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5" w:right="0"/>
              <w:jc w:val="left"/>
              <w:rPr>
                <w:rFonts w:ascii="宋体" w:hAnsi="宋体" w:cs="宋体" w:eastAsia="宋体" w:hint="default"/>
                <w:sz w:val="18"/>
                <w:szCs w:val="18"/>
              </w:rPr>
            </w:pPr>
            <w:r>
              <w:rPr>
                <w:rFonts w:ascii="宋体" w:hAnsi="宋体" w:cs="宋体" w:eastAsia="宋体" w:hint="default"/>
                <w:sz w:val="18"/>
                <w:szCs w:val="18"/>
              </w:rPr>
              <w:t>盘亏损失</w:t>
            </w:r>
            <w:r>
              <w:rPr>
                <w:rFonts w:ascii="宋体" w:hAnsi="宋体" w:cs="宋体" w:eastAsia="宋体" w:hint="default"/>
                <w:sz w:val="18"/>
                <w:szCs w:val="18"/>
              </w:rPr>
              <w:t> </w:t>
            </w:r>
          </w:p>
        </w:tc>
        <w:tc>
          <w:tcPr>
            <w:tcW w:w="18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pacing w:val="1"/>
                <w:sz w:val="18"/>
              </w:rPr>
              <w:t> </w:t>
            </w:r>
            <w:r>
              <w:rPr>
                <w:rFonts w:ascii="宋体"/>
                <w:spacing w:val="-1"/>
                <w:sz w:val="18"/>
              </w:rPr>
              <w:t>810.00</w:t>
            </w:r>
            <w:r>
              <w:rPr>
                <w:rFonts w:ascii="宋体"/>
                <w:sz w:val="18"/>
              </w:rPr>
              <w:t> </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z w:val="18"/>
              </w:rPr>
              <w:t>- </w:t>
            </w:r>
          </w:p>
        </w:tc>
        <w:tc>
          <w:tcPr>
            <w:tcW w:w="2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9"/>
              <w:jc w:val="right"/>
              <w:rPr>
                <w:rFonts w:ascii="宋体" w:hAnsi="宋体" w:cs="宋体" w:eastAsia="宋体" w:hint="default"/>
                <w:sz w:val="18"/>
                <w:szCs w:val="18"/>
              </w:rPr>
            </w:pPr>
            <w:r>
              <w:rPr>
                <w:rFonts w:ascii="宋体"/>
                <w:spacing w:val="1"/>
                <w:sz w:val="18"/>
              </w:rPr>
              <w:t> </w:t>
            </w:r>
            <w:r>
              <w:rPr>
                <w:rFonts w:ascii="宋体"/>
                <w:spacing w:val="-1"/>
                <w:sz w:val="18"/>
              </w:rPr>
              <w:t>810.00</w:t>
            </w:r>
            <w:r>
              <w:rPr>
                <w:rFonts w:ascii="宋体"/>
                <w:sz w:val="18"/>
              </w:rPr>
              <w:t> </w:t>
            </w:r>
          </w:p>
        </w:tc>
      </w:tr>
      <w:tr>
        <w:trPr>
          <w:trHeight w:val="396" w:hRule="exact"/>
        </w:trPr>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行政罚款</w:t>
            </w:r>
            <w:r>
              <w:rPr>
                <w:rFonts w:ascii="宋体" w:hAnsi="宋体" w:cs="宋体" w:eastAsia="宋体" w:hint="default"/>
                <w:sz w:val="18"/>
                <w:szCs w:val="18"/>
              </w:rPr>
              <w:t> </w:t>
            </w:r>
          </w:p>
        </w:tc>
        <w:tc>
          <w:tcPr>
            <w:tcW w:w="18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2"/>
              <w:jc w:val="right"/>
              <w:rPr>
                <w:rFonts w:ascii="宋体" w:hAnsi="宋体" w:cs="宋体" w:eastAsia="宋体" w:hint="default"/>
                <w:sz w:val="18"/>
                <w:szCs w:val="18"/>
              </w:rPr>
            </w:pPr>
            <w:r>
              <w:rPr>
                <w:rFonts w:ascii="宋体"/>
                <w:spacing w:val="1"/>
                <w:sz w:val="18"/>
              </w:rPr>
              <w:t> </w:t>
            </w:r>
            <w:r>
              <w:rPr>
                <w:rFonts w:ascii="宋体"/>
                <w:spacing w:val="-1"/>
                <w:sz w:val="18"/>
              </w:rPr>
              <w:t>160,000.01</w:t>
            </w:r>
            <w:r>
              <w:rPr>
                <w:rFonts w:ascii="宋体"/>
                <w:sz w:val="18"/>
              </w:rPr>
              <w:t> </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pacing w:val="-1"/>
                <w:sz w:val="18"/>
              </w:rPr>
              <w:t>2,700.00</w:t>
            </w:r>
            <w:r>
              <w:rPr>
                <w:rFonts w:ascii="宋体"/>
                <w:sz w:val="18"/>
              </w:rPr>
              <w:t> </w:t>
            </w:r>
          </w:p>
        </w:tc>
        <w:tc>
          <w:tcPr>
            <w:tcW w:w="2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
              <w:jc w:val="right"/>
              <w:rPr>
                <w:rFonts w:ascii="宋体" w:hAnsi="宋体" w:cs="宋体" w:eastAsia="宋体" w:hint="default"/>
                <w:sz w:val="18"/>
                <w:szCs w:val="18"/>
              </w:rPr>
            </w:pPr>
            <w:r>
              <w:rPr>
                <w:rFonts w:ascii="宋体"/>
                <w:spacing w:val="1"/>
                <w:sz w:val="18"/>
              </w:rPr>
              <w:t> </w:t>
            </w:r>
            <w:r>
              <w:rPr>
                <w:rFonts w:ascii="宋体"/>
                <w:spacing w:val="-1"/>
                <w:sz w:val="18"/>
              </w:rPr>
              <w:t>160,000.01</w:t>
            </w:r>
            <w:r>
              <w:rPr>
                <w:rFonts w:ascii="宋体"/>
                <w:sz w:val="18"/>
              </w:rPr>
              <w:t> </w:t>
            </w:r>
          </w:p>
        </w:tc>
      </w:tr>
      <w:tr>
        <w:trPr>
          <w:trHeight w:val="399" w:hRule="exact"/>
        </w:trPr>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对外赔偿</w:t>
            </w:r>
            <w:r>
              <w:rPr>
                <w:rFonts w:ascii="宋体" w:hAnsi="宋体" w:cs="宋体" w:eastAsia="宋体" w:hint="default"/>
                <w:sz w:val="18"/>
                <w:szCs w:val="18"/>
              </w:rPr>
              <w:t> </w:t>
            </w:r>
          </w:p>
        </w:tc>
        <w:tc>
          <w:tcPr>
            <w:tcW w:w="18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2"/>
              <w:jc w:val="right"/>
              <w:rPr>
                <w:rFonts w:ascii="宋体" w:hAnsi="宋体" w:cs="宋体" w:eastAsia="宋体" w:hint="default"/>
                <w:sz w:val="18"/>
                <w:szCs w:val="18"/>
              </w:rPr>
            </w:pPr>
            <w:r>
              <w:rPr>
                <w:rFonts w:ascii="宋体"/>
                <w:spacing w:val="1"/>
                <w:sz w:val="18"/>
              </w:rPr>
              <w:t> </w:t>
            </w:r>
            <w:r>
              <w:rPr>
                <w:rFonts w:ascii="宋体"/>
                <w:spacing w:val="-1"/>
                <w:sz w:val="18"/>
              </w:rPr>
              <w:t>348,707.97</w:t>
            </w:r>
            <w:r>
              <w:rPr>
                <w:rFonts w:ascii="宋体"/>
                <w:sz w:val="18"/>
              </w:rPr>
              <w:t> </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1"/>
              <w:jc w:val="right"/>
              <w:rPr>
                <w:rFonts w:ascii="宋体" w:hAnsi="宋体" w:cs="宋体" w:eastAsia="宋体" w:hint="default"/>
                <w:sz w:val="18"/>
                <w:szCs w:val="18"/>
              </w:rPr>
            </w:pPr>
            <w:r>
              <w:rPr>
                <w:rFonts w:ascii="宋体"/>
                <w:spacing w:val="-1"/>
                <w:sz w:val="18"/>
              </w:rPr>
              <w:t>1,275,423.80</w:t>
            </w:r>
            <w:r>
              <w:rPr>
                <w:rFonts w:ascii="宋体"/>
                <w:sz w:val="18"/>
              </w:rPr>
              <w:t> </w:t>
            </w:r>
          </w:p>
        </w:tc>
        <w:tc>
          <w:tcPr>
            <w:tcW w:w="2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
              <w:jc w:val="right"/>
              <w:rPr>
                <w:rFonts w:ascii="宋体" w:hAnsi="宋体" w:cs="宋体" w:eastAsia="宋体" w:hint="default"/>
                <w:sz w:val="18"/>
                <w:szCs w:val="18"/>
              </w:rPr>
            </w:pPr>
            <w:r>
              <w:rPr>
                <w:rFonts w:ascii="宋体"/>
                <w:spacing w:val="1"/>
                <w:sz w:val="18"/>
              </w:rPr>
              <w:t> </w:t>
            </w:r>
            <w:r>
              <w:rPr>
                <w:rFonts w:ascii="宋体"/>
                <w:spacing w:val="-1"/>
                <w:sz w:val="18"/>
              </w:rPr>
              <w:t>348,707.97</w:t>
            </w:r>
            <w:r>
              <w:rPr>
                <w:rFonts w:ascii="宋体"/>
                <w:sz w:val="18"/>
              </w:rPr>
              <w:t> </w:t>
            </w:r>
          </w:p>
        </w:tc>
      </w:tr>
      <w:tr>
        <w:trPr>
          <w:trHeight w:val="396" w:hRule="exact"/>
        </w:trPr>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其他</w:t>
            </w:r>
            <w:r>
              <w:rPr>
                <w:rFonts w:ascii="宋体" w:hAnsi="宋体" w:cs="宋体" w:eastAsia="宋体" w:hint="default"/>
                <w:sz w:val="18"/>
                <w:szCs w:val="18"/>
              </w:rPr>
              <w:t> </w:t>
            </w:r>
          </w:p>
        </w:tc>
        <w:tc>
          <w:tcPr>
            <w:tcW w:w="18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pacing w:val="1"/>
                <w:sz w:val="18"/>
              </w:rPr>
              <w:t> </w:t>
            </w:r>
            <w:r>
              <w:rPr>
                <w:rFonts w:ascii="宋体"/>
                <w:spacing w:val="-1"/>
                <w:sz w:val="18"/>
              </w:rPr>
              <w:t>1,440.28</w:t>
            </w:r>
            <w:r>
              <w:rPr>
                <w:rFonts w:ascii="宋体"/>
                <w:sz w:val="18"/>
              </w:rPr>
              <w:t> </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pacing w:val="-1"/>
                <w:sz w:val="18"/>
              </w:rPr>
              <w:t>358,620.44</w:t>
            </w:r>
            <w:r>
              <w:rPr>
                <w:rFonts w:ascii="宋体"/>
                <w:sz w:val="18"/>
              </w:rPr>
              <w:t> </w:t>
            </w:r>
          </w:p>
        </w:tc>
        <w:tc>
          <w:tcPr>
            <w:tcW w:w="2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
              <w:jc w:val="right"/>
              <w:rPr>
                <w:rFonts w:ascii="宋体" w:hAnsi="宋体" w:cs="宋体" w:eastAsia="宋体" w:hint="default"/>
                <w:sz w:val="18"/>
                <w:szCs w:val="18"/>
              </w:rPr>
            </w:pPr>
            <w:r>
              <w:rPr>
                <w:rFonts w:ascii="宋体"/>
                <w:spacing w:val="1"/>
                <w:sz w:val="18"/>
              </w:rPr>
              <w:t> </w:t>
            </w:r>
            <w:r>
              <w:rPr>
                <w:rFonts w:ascii="宋体"/>
                <w:spacing w:val="-1"/>
                <w:sz w:val="18"/>
              </w:rPr>
              <w:t>1,440.28</w:t>
            </w:r>
            <w:r>
              <w:rPr>
                <w:rFonts w:ascii="宋体"/>
                <w:sz w:val="18"/>
              </w:rPr>
              <w:t> </w:t>
            </w:r>
          </w:p>
        </w:tc>
      </w:tr>
      <w:tr>
        <w:trPr>
          <w:trHeight w:val="398" w:hRule="exact"/>
        </w:trPr>
        <w:tc>
          <w:tcPr>
            <w:tcW w:w="24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4"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8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2"/>
              <w:jc w:val="right"/>
              <w:rPr>
                <w:rFonts w:ascii="宋体" w:hAnsi="宋体" w:cs="宋体" w:eastAsia="宋体" w:hint="default"/>
                <w:sz w:val="18"/>
                <w:szCs w:val="18"/>
              </w:rPr>
            </w:pPr>
            <w:r>
              <w:rPr>
                <w:rFonts w:ascii="宋体"/>
                <w:spacing w:val="1"/>
                <w:sz w:val="18"/>
              </w:rPr>
              <w:t> </w:t>
            </w:r>
            <w:r>
              <w:rPr>
                <w:rFonts w:ascii="宋体"/>
                <w:spacing w:val="-1"/>
                <w:sz w:val="18"/>
              </w:rPr>
              <w:t>8,759,953.82</w:t>
            </w:r>
            <w:r>
              <w:rPr>
                <w:rFonts w:ascii="宋体"/>
                <w:sz w:val="18"/>
              </w:rPr>
              <w:t> </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pacing w:val="-1"/>
                <w:sz w:val="18"/>
              </w:rPr>
              <w:t>2,628,171.42</w:t>
            </w:r>
            <w:r>
              <w:rPr>
                <w:rFonts w:ascii="宋体"/>
                <w:sz w:val="18"/>
              </w:rPr>
              <w:t> </w:t>
            </w:r>
          </w:p>
        </w:tc>
        <w:tc>
          <w:tcPr>
            <w:tcW w:w="2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
              <w:jc w:val="right"/>
              <w:rPr>
                <w:rFonts w:ascii="宋体" w:hAnsi="宋体" w:cs="宋体" w:eastAsia="宋体" w:hint="default"/>
                <w:sz w:val="18"/>
                <w:szCs w:val="18"/>
              </w:rPr>
            </w:pPr>
            <w:r>
              <w:rPr>
                <w:rFonts w:ascii="宋体"/>
                <w:spacing w:val="1"/>
                <w:sz w:val="18"/>
              </w:rPr>
              <w:t> </w:t>
            </w:r>
            <w:r>
              <w:rPr>
                <w:rFonts w:ascii="宋体"/>
                <w:spacing w:val="-1"/>
                <w:sz w:val="18"/>
              </w:rPr>
              <w:t>8,759,953.82</w:t>
            </w:r>
            <w:r>
              <w:rPr>
                <w:rFonts w:ascii="宋体"/>
                <w:sz w:val="18"/>
              </w:rPr>
              <w:t> </w:t>
            </w:r>
          </w:p>
        </w:tc>
      </w:tr>
    </w:tbl>
    <w:p>
      <w:pPr>
        <w:spacing w:line="240" w:lineRule="auto" w:before="7"/>
        <w:rPr>
          <w:rFonts w:ascii="宋体" w:hAnsi="宋体" w:cs="宋体" w:eastAsia="宋体" w:hint="default"/>
          <w:b/>
          <w:bCs/>
          <w:sz w:val="6"/>
          <w:szCs w:val="6"/>
        </w:rPr>
      </w:pPr>
    </w:p>
    <w:p>
      <w:pPr>
        <w:spacing w:line="372" w:lineRule="auto" w:before="36"/>
        <w:ind w:left="566" w:right="7673" w:hanging="70"/>
        <w:jc w:val="left"/>
        <w:rPr>
          <w:rFonts w:ascii="宋体" w:hAnsi="宋体" w:cs="宋体" w:eastAsia="宋体" w:hint="default"/>
          <w:sz w:val="21"/>
          <w:szCs w:val="21"/>
        </w:rPr>
      </w:pPr>
      <w:r>
        <w:rPr>
          <w:rFonts w:ascii="宋体" w:hAnsi="宋体" w:cs="宋体" w:eastAsia="宋体" w:hint="default"/>
          <w:b/>
          <w:bCs/>
          <w:sz w:val="21"/>
          <w:szCs w:val="21"/>
        </w:rPr>
        <w:t>（四十六）所得税费用</w:t>
      </w:r>
      <w:r>
        <w:rPr>
          <w:rFonts w:ascii="宋体" w:hAnsi="宋体" w:cs="宋体" w:eastAsia="宋体" w:hint="default"/>
          <w:b/>
          <w:bCs/>
          <w:w w:val="99"/>
          <w:sz w:val="21"/>
          <w:szCs w:val="21"/>
        </w:rPr>
        <w:t> </w:t>
      </w:r>
      <w:r>
        <w:rPr>
          <w:rFonts w:ascii="宋体" w:hAnsi="宋体" w:cs="宋体" w:eastAsia="宋体" w:hint="default"/>
          <w:b/>
          <w:bCs/>
          <w:sz w:val="21"/>
          <w:szCs w:val="21"/>
        </w:rPr>
        <w:t>1</w:t>
      </w:r>
      <w:r>
        <w:rPr>
          <w:rFonts w:ascii="宋体" w:hAnsi="宋体" w:cs="宋体" w:eastAsia="宋体" w:hint="default"/>
          <w:b/>
          <w:bCs/>
          <w:sz w:val="21"/>
          <w:szCs w:val="21"/>
        </w:rPr>
        <w:t>、</w:t>
      </w:r>
      <w:r>
        <w:rPr>
          <w:rFonts w:ascii="宋体" w:hAnsi="宋体" w:cs="宋体" w:eastAsia="宋体" w:hint="default"/>
          <w:sz w:val="21"/>
          <w:szCs w:val="21"/>
        </w:rPr>
        <w:t>所得税费用表</w:t>
      </w:r>
      <w:r>
        <w:rPr>
          <w:rFonts w:ascii="宋体" w:hAnsi="宋体" w:cs="宋体" w:eastAsia="宋体" w:hint="default"/>
          <w:sz w:val="21"/>
          <w:szCs w:val="21"/>
        </w:rPr>
        <w:t> </w:t>
      </w:r>
    </w:p>
    <w:p>
      <w:pPr>
        <w:spacing w:line="240" w:lineRule="auto" w:before="8"/>
        <w:rPr>
          <w:rFonts w:ascii="宋体" w:hAnsi="宋体" w:cs="宋体" w:eastAsia="宋体" w:hint="default"/>
          <w:sz w:val="5"/>
          <w:szCs w:val="5"/>
        </w:rPr>
      </w:pPr>
    </w:p>
    <w:tbl>
      <w:tblPr>
        <w:tblW w:w="0" w:type="auto"/>
        <w:jc w:val="left"/>
        <w:tblInd w:w="182" w:type="dxa"/>
        <w:tblLayout w:type="fixed"/>
        <w:tblCellMar>
          <w:top w:w="0" w:type="dxa"/>
          <w:left w:w="0" w:type="dxa"/>
          <w:bottom w:w="0" w:type="dxa"/>
          <w:right w:w="0" w:type="dxa"/>
        </w:tblCellMar>
        <w:tblLook w:val="01E0"/>
      </w:tblPr>
      <w:tblGrid>
        <w:gridCol w:w="2871"/>
        <w:gridCol w:w="2943"/>
        <w:gridCol w:w="3721"/>
      </w:tblGrid>
      <w:tr>
        <w:trPr>
          <w:trHeight w:val="396" w:hRule="exact"/>
        </w:trPr>
        <w:tc>
          <w:tcPr>
            <w:tcW w:w="2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61"/>
              <w:jc w:val="right"/>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5" w:right="0"/>
              <w:jc w:val="left"/>
              <w:rPr>
                <w:rFonts w:ascii="宋体" w:hAnsi="宋体" w:cs="宋体" w:eastAsia="宋体" w:hint="default"/>
                <w:sz w:val="18"/>
                <w:szCs w:val="18"/>
              </w:rPr>
            </w:pPr>
            <w:r>
              <w:rPr>
                <w:rFonts w:ascii="宋体" w:hAnsi="宋体" w:cs="宋体" w:eastAsia="宋体" w:hint="default"/>
                <w:sz w:val="18"/>
                <w:szCs w:val="18"/>
              </w:rPr>
              <w:t>本期发生额</w:t>
            </w:r>
            <w:r>
              <w:rPr>
                <w:rFonts w:ascii="宋体" w:hAnsi="宋体" w:cs="宋体" w:eastAsia="宋体" w:hint="default"/>
                <w:sz w:val="18"/>
                <w:szCs w:val="18"/>
              </w:rPr>
              <w:t> </w:t>
            </w:r>
          </w:p>
        </w:tc>
        <w:tc>
          <w:tcPr>
            <w:tcW w:w="3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7" w:right="0"/>
              <w:jc w:val="center"/>
              <w:rPr>
                <w:rFonts w:ascii="宋体" w:hAnsi="宋体" w:cs="宋体" w:eastAsia="宋体" w:hint="default"/>
                <w:sz w:val="18"/>
                <w:szCs w:val="18"/>
              </w:rPr>
            </w:pPr>
            <w:r>
              <w:rPr>
                <w:rFonts w:ascii="宋体" w:hAnsi="宋体" w:cs="宋体" w:eastAsia="宋体" w:hint="default"/>
                <w:sz w:val="18"/>
                <w:szCs w:val="18"/>
              </w:rPr>
              <w:t>上期发生额</w:t>
            </w:r>
            <w:r>
              <w:rPr>
                <w:rFonts w:ascii="宋体" w:hAnsi="宋体" w:cs="宋体" w:eastAsia="宋体" w:hint="default"/>
                <w:sz w:val="18"/>
                <w:szCs w:val="18"/>
              </w:rPr>
              <w:t> </w:t>
            </w:r>
          </w:p>
        </w:tc>
      </w:tr>
      <w:tr>
        <w:trPr>
          <w:trHeight w:val="398" w:hRule="exact"/>
        </w:trPr>
        <w:tc>
          <w:tcPr>
            <w:tcW w:w="2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当期所得税费用</w:t>
            </w:r>
            <w:r>
              <w:rPr>
                <w:rFonts w:ascii="宋体" w:hAnsi="宋体" w:cs="宋体" w:eastAsia="宋体" w:hint="default"/>
                <w:sz w:val="18"/>
                <w:szCs w:val="18"/>
              </w:rPr>
              <w:t> </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right"/>
              <w:rPr>
                <w:rFonts w:ascii="宋体" w:hAnsi="宋体" w:cs="宋体" w:eastAsia="宋体" w:hint="default"/>
                <w:sz w:val="18"/>
                <w:szCs w:val="18"/>
              </w:rPr>
            </w:pPr>
            <w:r>
              <w:rPr>
                <w:rFonts w:ascii="宋体"/>
                <w:spacing w:val="-1"/>
                <w:sz w:val="18"/>
              </w:rPr>
              <w:t>30,036,636.40</w:t>
            </w:r>
          </w:p>
        </w:tc>
        <w:tc>
          <w:tcPr>
            <w:tcW w:w="3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right"/>
              <w:rPr>
                <w:rFonts w:ascii="宋体" w:hAnsi="宋体" w:cs="宋体" w:eastAsia="宋体" w:hint="default"/>
                <w:sz w:val="18"/>
                <w:szCs w:val="18"/>
              </w:rPr>
            </w:pPr>
            <w:r>
              <w:rPr>
                <w:rFonts w:ascii="宋体"/>
                <w:spacing w:val="-1"/>
                <w:sz w:val="18"/>
              </w:rPr>
              <w:t>43,722,286.60</w:t>
            </w:r>
          </w:p>
        </w:tc>
      </w:tr>
      <w:tr>
        <w:trPr>
          <w:trHeight w:val="396" w:hRule="exact"/>
        </w:trPr>
        <w:tc>
          <w:tcPr>
            <w:tcW w:w="2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6" w:right="0"/>
              <w:jc w:val="left"/>
              <w:rPr>
                <w:rFonts w:ascii="宋体" w:hAnsi="宋体" w:cs="宋体" w:eastAsia="宋体" w:hint="default"/>
                <w:sz w:val="18"/>
                <w:szCs w:val="18"/>
              </w:rPr>
            </w:pPr>
            <w:r>
              <w:rPr>
                <w:rFonts w:ascii="宋体" w:hAnsi="宋体" w:cs="宋体" w:eastAsia="宋体" w:hint="default"/>
                <w:sz w:val="18"/>
                <w:szCs w:val="18"/>
              </w:rPr>
              <w:t>递延所得税费用</w:t>
            </w:r>
            <w:r>
              <w:rPr>
                <w:rFonts w:ascii="宋体" w:hAnsi="宋体" w:cs="宋体" w:eastAsia="宋体" w:hint="default"/>
                <w:sz w:val="18"/>
                <w:szCs w:val="18"/>
              </w:rPr>
              <w:t> </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7"/>
              <w:jc w:val="right"/>
              <w:rPr>
                <w:rFonts w:ascii="宋体" w:hAnsi="宋体" w:cs="宋体" w:eastAsia="宋体" w:hint="default"/>
                <w:sz w:val="18"/>
                <w:szCs w:val="18"/>
              </w:rPr>
            </w:pPr>
            <w:r>
              <w:rPr>
                <w:rFonts w:ascii="宋体"/>
                <w:spacing w:val="-1"/>
                <w:sz w:val="18"/>
              </w:rPr>
              <w:t>-11,113,037.55</w:t>
            </w:r>
          </w:p>
        </w:tc>
        <w:tc>
          <w:tcPr>
            <w:tcW w:w="3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4"/>
              <w:jc w:val="right"/>
              <w:rPr>
                <w:rFonts w:ascii="宋体" w:hAnsi="宋体" w:cs="宋体" w:eastAsia="宋体" w:hint="default"/>
                <w:sz w:val="18"/>
                <w:szCs w:val="18"/>
              </w:rPr>
            </w:pPr>
            <w:r>
              <w:rPr>
                <w:rFonts w:ascii="宋体"/>
                <w:spacing w:val="-1"/>
                <w:sz w:val="18"/>
              </w:rPr>
              <w:t>-1,715,976.55</w:t>
            </w:r>
          </w:p>
        </w:tc>
      </w:tr>
      <w:tr>
        <w:trPr>
          <w:trHeight w:val="398" w:hRule="exact"/>
        </w:trPr>
        <w:tc>
          <w:tcPr>
            <w:tcW w:w="28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61"/>
              <w:jc w:val="righ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right"/>
              <w:rPr>
                <w:rFonts w:ascii="宋体" w:hAnsi="宋体" w:cs="宋体" w:eastAsia="宋体" w:hint="default"/>
                <w:sz w:val="18"/>
                <w:szCs w:val="18"/>
              </w:rPr>
            </w:pPr>
            <w:r>
              <w:rPr>
                <w:rFonts w:ascii="宋体"/>
                <w:spacing w:val="-1"/>
                <w:sz w:val="18"/>
              </w:rPr>
              <w:t>18,923,598.85</w:t>
            </w:r>
          </w:p>
        </w:tc>
        <w:tc>
          <w:tcPr>
            <w:tcW w:w="3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right"/>
              <w:rPr>
                <w:rFonts w:ascii="宋体" w:hAnsi="宋体" w:cs="宋体" w:eastAsia="宋体" w:hint="default"/>
                <w:sz w:val="18"/>
                <w:szCs w:val="18"/>
              </w:rPr>
            </w:pPr>
            <w:r>
              <w:rPr>
                <w:rFonts w:ascii="宋体"/>
                <w:spacing w:val="-1"/>
                <w:sz w:val="18"/>
              </w:rPr>
              <w:t>42,006,310.05</w:t>
            </w:r>
          </w:p>
        </w:tc>
      </w:tr>
    </w:tbl>
    <w:p>
      <w:pPr>
        <w:spacing w:line="240" w:lineRule="auto" w:before="8"/>
        <w:rPr>
          <w:rFonts w:ascii="宋体" w:hAnsi="宋体" w:cs="宋体" w:eastAsia="宋体" w:hint="default"/>
          <w:sz w:val="6"/>
          <w:szCs w:val="6"/>
        </w:rPr>
      </w:pPr>
    </w:p>
    <w:p>
      <w:pPr>
        <w:pStyle w:val="BodyText"/>
        <w:spacing w:line="240" w:lineRule="auto" w:before="36"/>
        <w:ind w:left="566" w:right="1146"/>
        <w:jc w:val="left"/>
        <w:rPr>
          <w:rFonts w:ascii="宋体" w:hAnsi="宋体" w:cs="宋体" w:eastAsia="宋体" w:hint="default"/>
        </w:rPr>
      </w:pPr>
      <w:r>
        <w:rPr>
          <w:rFonts w:ascii="宋体" w:hAnsi="宋体" w:cs="宋体" w:eastAsia="宋体" w:hint="default"/>
          <w:b/>
          <w:bCs/>
        </w:rPr>
        <w:t>2</w:t>
      </w:r>
      <w:r>
        <w:rPr>
          <w:rFonts w:ascii="宋体" w:hAnsi="宋体" w:cs="宋体" w:eastAsia="宋体" w:hint="default"/>
          <w:b/>
          <w:bCs/>
        </w:rPr>
        <w:t>、</w:t>
      </w:r>
      <w:r>
        <w:rPr/>
        <w:t>会计利润与所得税费用调整过程</w:t>
      </w:r>
      <w:r>
        <w:rPr>
          <w:rFonts w:ascii="宋体" w:hAnsi="宋体" w:cs="宋体" w:eastAsia="宋体" w:hint="default"/>
        </w:rPr>
        <w:t> </w:t>
      </w:r>
    </w:p>
    <w:p>
      <w:pPr>
        <w:spacing w:line="240" w:lineRule="auto" w:before="3"/>
        <w:rPr>
          <w:rFonts w:ascii="宋体" w:hAnsi="宋体" w:cs="宋体" w:eastAsia="宋体" w:hint="default"/>
          <w:sz w:val="14"/>
          <w:szCs w:val="14"/>
        </w:rPr>
      </w:pPr>
    </w:p>
    <w:tbl>
      <w:tblPr>
        <w:tblW w:w="0" w:type="auto"/>
        <w:jc w:val="left"/>
        <w:tblInd w:w="194" w:type="dxa"/>
        <w:tblLayout w:type="fixed"/>
        <w:tblCellMar>
          <w:top w:w="0" w:type="dxa"/>
          <w:left w:w="0" w:type="dxa"/>
          <w:bottom w:w="0" w:type="dxa"/>
          <w:right w:w="0" w:type="dxa"/>
        </w:tblCellMar>
        <w:tblLook w:val="01E0"/>
      </w:tblPr>
      <w:tblGrid>
        <w:gridCol w:w="5713"/>
        <w:gridCol w:w="3819"/>
      </w:tblGrid>
      <w:tr>
        <w:trPr>
          <w:trHeight w:val="396" w:hRule="exact"/>
        </w:trPr>
        <w:tc>
          <w:tcPr>
            <w:tcW w:w="5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0"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3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 w:right="0"/>
              <w:jc w:val="center"/>
              <w:rPr>
                <w:rFonts w:ascii="宋体" w:hAnsi="宋体" w:cs="宋体" w:eastAsia="宋体" w:hint="default"/>
                <w:sz w:val="18"/>
                <w:szCs w:val="18"/>
              </w:rPr>
            </w:pPr>
            <w:r>
              <w:rPr>
                <w:rFonts w:ascii="宋体" w:hAnsi="宋体" w:cs="宋体" w:eastAsia="宋体" w:hint="default"/>
                <w:sz w:val="18"/>
                <w:szCs w:val="18"/>
              </w:rPr>
              <w:t>本期发生额</w:t>
            </w:r>
            <w:r>
              <w:rPr>
                <w:rFonts w:ascii="宋体" w:hAnsi="宋体" w:cs="宋体" w:eastAsia="宋体" w:hint="default"/>
                <w:sz w:val="18"/>
                <w:szCs w:val="18"/>
              </w:rPr>
              <w:t> </w:t>
            </w:r>
          </w:p>
        </w:tc>
      </w:tr>
      <w:tr>
        <w:trPr>
          <w:trHeight w:val="398" w:hRule="exact"/>
        </w:trPr>
        <w:tc>
          <w:tcPr>
            <w:tcW w:w="5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利润总额</w:t>
            </w:r>
            <w:r>
              <w:rPr>
                <w:rFonts w:ascii="宋体" w:hAnsi="宋体" w:cs="宋体" w:eastAsia="宋体" w:hint="default"/>
                <w:sz w:val="18"/>
                <w:szCs w:val="18"/>
              </w:rPr>
              <w:t> </w:t>
            </w:r>
          </w:p>
        </w:tc>
        <w:tc>
          <w:tcPr>
            <w:tcW w:w="3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right"/>
              <w:rPr>
                <w:rFonts w:ascii="宋体" w:hAnsi="宋体" w:cs="宋体" w:eastAsia="宋体" w:hint="default"/>
                <w:sz w:val="18"/>
                <w:szCs w:val="18"/>
              </w:rPr>
            </w:pPr>
            <w:r>
              <w:rPr>
                <w:rFonts w:ascii="宋体"/>
                <w:spacing w:val="-1"/>
                <w:sz w:val="18"/>
              </w:rPr>
              <w:t>-1,221,245,189.08</w:t>
            </w:r>
          </w:p>
        </w:tc>
      </w:tr>
      <w:tr>
        <w:trPr>
          <w:trHeight w:val="396" w:hRule="exact"/>
        </w:trPr>
        <w:tc>
          <w:tcPr>
            <w:tcW w:w="5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按法定</w:t>
            </w:r>
            <w:r>
              <w:rPr>
                <w:rFonts w:ascii="宋体" w:hAnsi="宋体" w:cs="宋体" w:eastAsia="宋体" w:hint="default"/>
                <w:sz w:val="18"/>
                <w:szCs w:val="18"/>
              </w:rPr>
              <w:t>/</w:t>
            </w:r>
            <w:r>
              <w:rPr>
                <w:rFonts w:ascii="宋体" w:hAnsi="宋体" w:cs="宋体" w:eastAsia="宋体" w:hint="default"/>
                <w:sz w:val="18"/>
                <w:szCs w:val="18"/>
              </w:rPr>
              <w:t>适用税率计算的所得税费用</w:t>
            </w:r>
            <w:r>
              <w:rPr>
                <w:rFonts w:ascii="宋体" w:hAnsi="宋体" w:cs="宋体" w:eastAsia="宋体" w:hint="default"/>
                <w:sz w:val="18"/>
                <w:szCs w:val="18"/>
              </w:rPr>
              <w:t> </w:t>
            </w:r>
          </w:p>
        </w:tc>
        <w:tc>
          <w:tcPr>
            <w:tcW w:w="3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right"/>
              <w:rPr>
                <w:rFonts w:ascii="宋体" w:hAnsi="宋体" w:cs="宋体" w:eastAsia="宋体" w:hint="default"/>
                <w:sz w:val="18"/>
                <w:szCs w:val="18"/>
              </w:rPr>
            </w:pPr>
            <w:r>
              <w:rPr>
                <w:rFonts w:ascii="宋体"/>
                <w:spacing w:val="-1"/>
                <w:sz w:val="18"/>
              </w:rPr>
              <w:t>-305,311,297.27</w:t>
            </w:r>
          </w:p>
        </w:tc>
      </w:tr>
      <w:tr>
        <w:trPr>
          <w:trHeight w:val="398" w:hRule="exact"/>
        </w:trPr>
        <w:tc>
          <w:tcPr>
            <w:tcW w:w="5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子公司适用不同税率的影响</w:t>
            </w:r>
            <w:r>
              <w:rPr>
                <w:rFonts w:ascii="宋体" w:hAnsi="宋体" w:cs="宋体" w:eastAsia="宋体" w:hint="default"/>
                <w:sz w:val="18"/>
                <w:szCs w:val="18"/>
              </w:rPr>
              <w:t> </w:t>
            </w:r>
          </w:p>
        </w:tc>
        <w:tc>
          <w:tcPr>
            <w:tcW w:w="3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right"/>
              <w:rPr>
                <w:rFonts w:ascii="宋体" w:hAnsi="宋体" w:cs="宋体" w:eastAsia="宋体" w:hint="default"/>
                <w:sz w:val="18"/>
                <w:szCs w:val="18"/>
              </w:rPr>
            </w:pPr>
            <w:r>
              <w:rPr>
                <w:rFonts w:ascii="宋体"/>
                <w:spacing w:val="-1"/>
                <w:sz w:val="18"/>
              </w:rPr>
              <w:t>-20,101,967.21</w:t>
            </w:r>
          </w:p>
        </w:tc>
      </w:tr>
    </w:tbl>
    <w:p>
      <w:pPr>
        <w:spacing w:after="0" w:line="240" w:lineRule="auto"/>
        <w:jc w:val="right"/>
        <w:rPr>
          <w:rFonts w:ascii="宋体" w:hAnsi="宋体" w:cs="宋体" w:eastAsia="宋体" w:hint="default"/>
          <w:sz w:val="18"/>
          <w:szCs w:val="18"/>
        </w:rPr>
        <w:sectPr>
          <w:pgSz w:w="11910" w:h="16840"/>
          <w:pgMar w:header="880" w:footer="975" w:top="1100" w:bottom="1160" w:left="1160" w:right="0"/>
        </w:sectPr>
      </w:pPr>
    </w:p>
    <w:p>
      <w:pPr>
        <w:spacing w:line="240" w:lineRule="auto" w:before="8"/>
        <w:rPr>
          <w:rFonts w:ascii="宋体" w:hAnsi="宋体" w:cs="宋体" w:eastAsia="宋体" w:hint="default"/>
          <w:sz w:val="24"/>
          <w:szCs w:val="24"/>
        </w:rPr>
      </w:pPr>
    </w:p>
    <w:tbl>
      <w:tblPr>
        <w:tblW w:w="0" w:type="auto"/>
        <w:jc w:val="left"/>
        <w:tblInd w:w="194" w:type="dxa"/>
        <w:tblLayout w:type="fixed"/>
        <w:tblCellMar>
          <w:top w:w="0" w:type="dxa"/>
          <w:left w:w="0" w:type="dxa"/>
          <w:bottom w:w="0" w:type="dxa"/>
          <w:right w:w="0" w:type="dxa"/>
        </w:tblCellMar>
        <w:tblLook w:val="01E0"/>
      </w:tblPr>
      <w:tblGrid>
        <w:gridCol w:w="5713"/>
        <w:gridCol w:w="3819"/>
      </w:tblGrid>
      <w:tr>
        <w:trPr>
          <w:trHeight w:val="396" w:hRule="exact"/>
        </w:trPr>
        <w:tc>
          <w:tcPr>
            <w:tcW w:w="5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0"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3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 w:right="0"/>
              <w:jc w:val="center"/>
              <w:rPr>
                <w:rFonts w:ascii="宋体" w:hAnsi="宋体" w:cs="宋体" w:eastAsia="宋体" w:hint="default"/>
                <w:sz w:val="18"/>
                <w:szCs w:val="18"/>
              </w:rPr>
            </w:pPr>
            <w:r>
              <w:rPr>
                <w:rFonts w:ascii="宋体" w:hAnsi="宋体" w:cs="宋体" w:eastAsia="宋体" w:hint="default"/>
                <w:sz w:val="18"/>
                <w:szCs w:val="18"/>
              </w:rPr>
              <w:t>本期发生额</w:t>
            </w:r>
            <w:r>
              <w:rPr>
                <w:rFonts w:ascii="宋体" w:hAnsi="宋体" w:cs="宋体" w:eastAsia="宋体" w:hint="default"/>
                <w:sz w:val="18"/>
                <w:szCs w:val="18"/>
              </w:rPr>
              <w:t> </w:t>
            </w:r>
          </w:p>
        </w:tc>
      </w:tr>
      <w:tr>
        <w:trPr>
          <w:trHeight w:val="399" w:hRule="exact"/>
        </w:trPr>
        <w:tc>
          <w:tcPr>
            <w:tcW w:w="5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调整以前期间所得税的影响</w:t>
            </w:r>
            <w:r>
              <w:rPr>
                <w:rFonts w:ascii="宋体" w:hAnsi="宋体" w:cs="宋体" w:eastAsia="宋体" w:hint="default"/>
                <w:sz w:val="18"/>
                <w:szCs w:val="18"/>
              </w:rPr>
              <w:t> </w:t>
            </w:r>
          </w:p>
        </w:tc>
        <w:tc>
          <w:tcPr>
            <w:tcW w:w="3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right"/>
              <w:rPr>
                <w:rFonts w:ascii="宋体" w:hAnsi="宋体" w:cs="宋体" w:eastAsia="宋体" w:hint="default"/>
                <w:sz w:val="18"/>
                <w:szCs w:val="18"/>
              </w:rPr>
            </w:pPr>
            <w:r>
              <w:rPr>
                <w:rFonts w:ascii="宋体"/>
                <w:spacing w:val="-1"/>
                <w:sz w:val="18"/>
              </w:rPr>
              <w:t>-1,475,426.02</w:t>
            </w:r>
          </w:p>
        </w:tc>
      </w:tr>
      <w:tr>
        <w:trPr>
          <w:trHeight w:val="396" w:hRule="exact"/>
        </w:trPr>
        <w:tc>
          <w:tcPr>
            <w:tcW w:w="5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非应税收入的影响</w:t>
            </w:r>
            <w:r>
              <w:rPr>
                <w:rFonts w:ascii="宋体" w:hAnsi="宋体" w:cs="宋体" w:eastAsia="宋体" w:hint="default"/>
                <w:sz w:val="18"/>
                <w:szCs w:val="18"/>
              </w:rPr>
              <w:t> </w:t>
            </w:r>
          </w:p>
        </w:tc>
        <w:tc>
          <w:tcPr>
            <w:tcW w:w="3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right"/>
              <w:rPr>
                <w:rFonts w:ascii="宋体" w:hAnsi="宋体" w:cs="宋体" w:eastAsia="宋体" w:hint="default"/>
                <w:sz w:val="18"/>
                <w:szCs w:val="18"/>
              </w:rPr>
            </w:pPr>
            <w:r>
              <w:rPr>
                <w:rFonts w:ascii="宋体"/>
                <w:spacing w:val="-1"/>
                <w:sz w:val="18"/>
              </w:rPr>
              <w:t>-174,835.79</w:t>
            </w:r>
          </w:p>
        </w:tc>
      </w:tr>
      <w:tr>
        <w:trPr>
          <w:trHeight w:val="398" w:hRule="exact"/>
        </w:trPr>
        <w:tc>
          <w:tcPr>
            <w:tcW w:w="5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不可抵扣的成本、费用和损失的影响</w:t>
            </w:r>
            <w:r>
              <w:rPr>
                <w:rFonts w:ascii="宋体" w:hAnsi="宋体" w:cs="宋体" w:eastAsia="宋体" w:hint="default"/>
                <w:sz w:val="18"/>
                <w:szCs w:val="18"/>
              </w:rPr>
              <w:t> </w:t>
            </w:r>
          </w:p>
        </w:tc>
        <w:tc>
          <w:tcPr>
            <w:tcW w:w="3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right"/>
              <w:rPr>
                <w:rFonts w:ascii="宋体" w:hAnsi="宋体" w:cs="宋体" w:eastAsia="宋体" w:hint="default"/>
                <w:sz w:val="18"/>
                <w:szCs w:val="18"/>
              </w:rPr>
            </w:pPr>
            <w:r>
              <w:rPr>
                <w:rFonts w:ascii="宋体"/>
                <w:spacing w:val="-1"/>
                <w:sz w:val="18"/>
              </w:rPr>
              <w:t>317,585,279.82</w:t>
            </w:r>
          </w:p>
        </w:tc>
      </w:tr>
      <w:tr>
        <w:trPr>
          <w:trHeight w:val="396" w:hRule="exact"/>
        </w:trPr>
        <w:tc>
          <w:tcPr>
            <w:tcW w:w="5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6" w:right="0"/>
              <w:jc w:val="left"/>
              <w:rPr>
                <w:rFonts w:ascii="宋体" w:hAnsi="宋体" w:cs="宋体" w:eastAsia="宋体" w:hint="default"/>
                <w:sz w:val="18"/>
                <w:szCs w:val="18"/>
              </w:rPr>
            </w:pPr>
            <w:r>
              <w:rPr>
                <w:rFonts w:ascii="宋体" w:hAnsi="宋体" w:cs="宋体" w:eastAsia="宋体" w:hint="default"/>
                <w:sz w:val="18"/>
                <w:szCs w:val="18"/>
              </w:rPr>
              <w:t>使用前期未确认递延所得税资产的可抵扣亏损的影响</w:t>
            </w:r>
            <w:r>
              <w:rPr>
                <w:rFonts w:ascii="宋体" w:hAnsi="宋体" w:cs="宋体" w:eastAsia="宋体" w:hint="default"/>
                <w:sz w:val="18"/>
                <w:szCs w:val="18"/>
              </w:rPr>
              <w:t> </w:t>
            </w:r>
          </w:p>
        </w:tc>
        <w:tc>
          <w:tcPr>
            <w:tcW w:w="3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5"/>
              <w:jc w:val="right"/>
              <w:rPr>
                <w:rFonts w:ascii="宋体" w:hAnsi="宋体" w:cs="宋体" w:eastAsia="宋体" w:hint="default"/>
                <w:sz w:val="18"/>
                <w:szCs w:val="18"/>
              </w:rPr>
            </w:pPr>
            <w:r>
              <w:rPr>
                <w:rFonts w:ascii="宋体"/>
                <w:sz w:val="18"/>
              </w:rPr>
              <w:t>-</w:t>
            </w:r>
          </w:p>
        </w:tc>
      </w:tr>
      <w:tr>
        <w:trPr>
          <w:trHeight w:val="398" w:hRule="exact"/>
        </w:trPr>
        <w:tc>
          <w:tcPr>
            <w:tcW w:w="5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本期未确认递延所得税资产的可抵扣暂时性差异或可抵扣亏损的影响</w:t>
            </w:r>
            <w:r>
              <w:rPr>
                <w:rFonts w:ascii="宋体" w:hAnsi="宋体" w:cs="宋体" w:eastAsia="宋体" w:hint="default"/>
                <w:sz w:val="18"/>
                <w:szCs w:val="18"/>
              </w:rPr>
              <w:t> </w:t>
            </w:r>
          </w:p>
        </w:tc>
        <w:tc>
          <w:tcPr>
            <w:tcW w:w="3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right"/>
              <w:rPr>
                <w:rFonts w:ascii="宋体" w:hAnsi="宋体" w:cs="宋体" w:eastAsia="宋体" w:hint="default"/>
                <w:sz w:val="18"/>
                <w:szCs w:val="18"/>
              </w:rPr>
            </w:pPr>
            <w:r>
              <w:rPr>
                <w:rFonts w:ascii="宋体"/>
                <w:spacing w:val="-1"/>
                <w:sz w:val="18"/>
              </w:rPr>
              <w:t>35,727,766.40</w:t>
            </w:r>
          </w:p>
        </w:tc>
      </w:tr>
      <w:tr>
        <w:trPr>
          <w:trHeight w:val="396" w:hRule="exact"/>
        </w:trPr>
        <w:tc>
          <w:tcPr>
            <w:tcW w:w="5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6" w:right="0"/>
              <w:jc w:val="left"/>
              <w:rPr>
                <w:rFonts w:ascii="宋体" w:hAnsi="宋体" w:cs="宋体" w:eastAsia="宋体" w:hint="default"/>
                <w:sz w:val="18"/>
                <w:szCs w:val="18"/>
              </w:rPr>
            </w:pPr>
            <w:r>
              <w:rPr>
                <w:rFonts w:ascii="宋体" w:hAnsi="宋体" w:cs="宋体" w:eastAsia="宋体" w:hint="default"/>
                <w:sz w:val="18"/>
                <w:szCs w:val="18"/>
              </w:rPr>
              <w:t>研发费用加计扣除</w:t>
            </w:r>
            <w:r>
              <w:rPr>
                <w:rFonts w:ascii="宋体" w:hAnsi="宋体" w:cs="宋体" w:eastAsia="宋体" w:hint="default"/>
                <w:sz w:val="18"/>
                <w:szCs w:val="18"/>
              </w:rPr>
              <w:t> </w:t>
            </w:r>
          </w:p>
        </w:tc>
        <w:tc>
          <w:tcPr>
            <w:tcW w:w="3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4"/>
              <w:jc w:val="right"/>
              <w:rPr>
                <w:rFonts w:ascii="宋体" w:hAnsi="宋体" w:cs="宋体" w:eastAsia="宋体" w:hint="default"/>
                <w:sz w:val="18"/>
                <w:szCs w:val="18"/>
              </w:rPr>
            </w:pPr>
            <w:r>
              <w:rPr>
                <w:rFonts w:ascii="宋体"/>
                <w:spacing w:val="-1"/>
                <w:sz w:val="18"/>
              </w:rPr>
              <w:t>-7,325,921.08</w:t>
            </w:r>
          </w:p>
        </w:tc>
      </w:tr>
      <w:tr>
        <w:trPr>
          <w:trHeight w:val="398" w:hRule="exact"/>
        </w:trPr>
        <w:tc>
          <w:tcPr>
            <w:tcW w:w="57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1" w:right="0"/>
              <w:jc w:val="center"/>
              <w:rPr>
                <w:rFonts w:ascii="宋体" w:hAnsi="宋体" w:cs="宋体" w:eastAsia="宋体" w:hint="default"/>
                <w:sz w:val="18"/>
                <w:szCs w:val="18"/>
              </w:rPr>
            </w:pPr>
            <w:r>
              <w:rPr>
                <w:rFonts w:ascii="宋体" w:hAnsi="宋体" w:cs="宋体" w:eastAsia="宋体" w:hint="default"/>
                <w:sz w:val="18"/>
                <w:szCs w:val="18"/>
              </w:rPr>
              <w:t>所得税费用</w:t>
            </w:r>
            <w:r>
              <w:rPr>
                <w:rFonts w:ascii="宋体" w:hAnsi="宋体" w:cs="宋体" w:eastAsia="宋体" w:hint="default"/>
                <w:sz w:val="18"/>
                <w:szCs w:val="18"/>
              </w:rPr>
              <w:t> </w:t>
            </w:r>
          </w:p>
        </w:tc>
        <w:tc>
          <w:tcPr>
            <w:tcW w:w="3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right"/>
              <w:rPr>
                <w:rFonts w:ascii="宋体" w:hAnsi="宋体" w:cs="宋体" w:eastAsia="宋体" w:hint="default"/>
                <w:sz w:val="18"/>
                <w:szCs w:val="18"/>
              </w:rPr>
            </w:pPr>
            <w:r>
              <w:rPr>
                <w:rFonts w:ascii="宋体"/>
                <w:spacing w:val="-1"/>
                <w:sz w:val="18"/>
              </w:rPr>
              <w:t>18,923,598.85</w:t>
            </w:r>
          </w:p>
        </w:tc>
      </w:tr>
    </w:tbl>
    <w:p>
      <w:pPr>
        <w:spacing w:line="240" w:lineRule="auto" w:before="7"/>
        <w:rPr>
          <w:rFonts w:ascii="宋体" w:hAnsi="宋体" w:cs="宋体" w:eastAsia="宋体" w:hint="default"/>
          <w:sz w:val="6"/>
          <w:szCs w:val="6"/>
        </w:rPr>
      </w:pPr>
    </w:p>
    <w:p>
      <w:pPr>
        <w:pStyle w:val="Heading3"/>
        <w:spacing w:line="372" w:lineRule="auto"/>
        <w:ind w:left="566" w:right="6364" w:hanging="70"/>
        <w:jc w:val="left"/>
        <w:rPr>
          <w:rFonts w:ascii="宋体" w:hAnsi="宋体" w:cs="宋体" w:eastAsia="宋体" w:hint="default"/>
          <w:b w:val="0"/>
          <w:bCs w:val="0"/>
        </w:rPr>
      </w:pPr>
      <w:r>
        <w:rPr/>
        <w:t>（四十七）现金流量表项目</w:t>
      </w:r>
      <w:r>
        <w:rPr>
          <w:rFonts w:ascii="宋体" w:hAnsi="宋体" w:cs="宋体" w:eastAsia="宋体" w:hint="default"/>
          <w:w w:val="99"/>
        </w:rPr>
        <w:t> </w:t>
      </w:r>
      <w:r>
        <w:rPr>
          <w:rFonts w:ascii="宋体" w:hAnsi="宋体" w:cs="宋体" w:eastAsia="宋体" w:hint="default"/>
        </w:rPr>
        <w:t>1</w:t>
      </w:r>
      <w:r>
        <w:rPr/>
        <w:t>、收到其他与经营活动有关的现金</w:t>
      </w:r>
      <w:r>
        <w:rPr>
          <w:rFonts w:ascii="宋体" w:hAnsi="宋体" w:cs="宋体" w:eastAsia="宋体" w:hint="default"/>
          <w:w w:val="99"/>
        </w:rPr>
        <w:t> </w:t>
      </w:r>
      <w:r>
        <w:rPr>
          <w:rFonts w:ascii="宋体" w:hAnsi="宋体" w:cs="宋体" w:eastAsia="宋体" w:hint="default"/>
          <w:b w:val="0"/>
          <w:bCs w:val="0"/>
        </w:rPr>
      </w:r>
    </w:p>
    <w:p>
      <w:pPr>
        <w:spacing w:line="240" w:lineRule="auto" w:before="6"/>
        <w:rPr>
          <w:rFonts w:ascii="宋体" w:hAnsi="宋体" w:cs="宋体" w:eastAsia="宋体" w:hint="default"/>
          <w:b/>
          <w:bCs/>
          <w:sz w:val="5"/>
          <w:szCs w:val="5"/>
        </w:rPr>
      </w:pPr>
    </w:p>
    <w:tbl>
      <w:tblPr>
        <w:tblW w:w="0" w:type="auto"/>
        <w:jc w:val="left"/>
        <w:tblInd w:w="206" w:type="dxa"/>
        <w:tblLayout w:type="fixed"/>
        <w:tblCellMar>
          <w:top w:w="0" w:type="dxa"/>
          <w:left w:w="0" w:type="dxa"/>
          <w:bottom w:w="0" w:type="dxa"/>
          <w:right w:w="0" w:type="dxa"/>
        </w:tblCellMar>
        <w:tblLook w:val="01E0"/>
      </w:tblPr>
      <w:tblGrid>
        <w:gridCol w:w="3207"/>
        <w:gridCol w:w="3123"/>
        <w:gridCol w:w="3193"/>
      </w:tblGrid>
      <w:tr>
        <w:trPr>
          <w:trHeight w:val="399" w:hRule="exact"/>
        </w:trPr>
        <w:tc>
          <w:tcPr>
            <w:tcW w:w="3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3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106" w:right="0"/>
              <w:jc w:val="left"/>
              <w:rPr>
                <w:rFonts w:ascii="宋体" w:hAnsi="宋体" w:cs="宋体" w:eastAsia="宋体" w:hint="default"/>
                <w:sz w:val="18"/>
                <w:szCs w:val="18"/>
              </w:rPr>
            </w:pPr>
            <w:r>
              <w:rPr>
                <w:rFonts w:ascii="宋体" w:hAnsi="宋体" w:cs="宋体" w:eastAsia="宋体" w:hint="default"/>
                <w:sz w:val="18"/>
                <w:szCs w:val="18"/>
              </w:rPr>
              <w:t>本期发生额</w:t>
            </w:r>
            <w:r>
              <w:rPr>
                <w:rFonts w:ascii="宋体" w:hAnsi="宋体" w:cs="宋体" w:eastAsia="宋体" w:hint="default"/>
                <w:sz w:val="18"/>
                <w:szCs w:val="18"/>
              </w:rPr>
              <w:t> </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139" w:right="0"/>
              <w:jc w:val="left"/>
              <w:rPr>
                <w:rFonts w:ascii="宋体" w:hAnsi="宋体" w:cs="宋体" w:eastAsia="宋体" w:hint="default"/>
                <w:sz w:val="18"/>
                <w:szCs w:val="18"/>
              </w:rPr>
            </w:pPr>
            <w:r>
              <w:rPr>
                <w:rFonts w:ascii="宋体" w:hAnsi="宋体" w:cs="宋体" w:eastAsia="宋体" w:hint="default"/>
                <w:sz w:val="18"/>
                <w:szCs w:val="18"/>
              </w:rPr>
              <w:t>上期发生额</w:t>
            </w:r>
            <w:r>
              <w:rPr>
                <w:rFonts w:ascii="宋体" w:hAnsi="宋体" w:cs="宋体" w:eastAsia="宋体" w:hint="default"/>
                <w:sz w:val="18"/>
                <w:szCs w:val="18"/>
              </w:rPr>
              <w:t> </w:t>
            </w:r>
          </w:p>
        </w:tc>
      </w:tr>
      <w:tr>
        <w:trPr>
          <w:trHeight w:val="396" w:hRule="exact"/>
        </w:trPr>
        <w:tc>
          <w:tcPr>
            <w:tcW w:w="3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单位往来款及其他</w:t>
            </w:r>
            <w:r>
              <w:rPr>
                <w:rFonts w:ascii="宋体" w:hAnsi="宋体" w:cs="宋体" w:eastAsia="宋体" w:hint="default"/>
                <w:sz w:val="18"/>
                <w:szCs w:val="18"/>
              </w:rPr>
              <w:t> </w:t>
            </w:r>
          </w:p>
        </w:tc>
        <w:tc>
          <w:tcPr>
            <w:tcW w:w="3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137,039,222.58</w:t>
            </w:r>
            <w:r>
              <w:rPr>
                <w:rFonts w:ascii="宋体"/>
                <w:sz w:val="18"/>
              </w:rPr>
              <w:t> </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45,914,666.04</w:t>
            </w:r>
            <w:r>
              <w:rPr>
                <w:rFonts w:ascii="宋体"/>
                <w:sz w:val="18"/>
              </w:rPr>
              <w:t> </w:t>
            </w:r>
          </w:p>
        </w:tc>
      </w:tr>
      <w:tr>
        <w:trPr>
          <w:trHeight w:val="398" w:hRule="exact"/>
        </w:trPr>
        <w:tc>
          <w:tcPr>
            <w:tcW w:w="3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手续费返还、政府补贴收入等收款</w:t>
            </w:r>
            <w:r>
              <w:rPr>
                <w:rFonts w:ascii="宋体" w:hAnsi="宋体" w:cs="宋体" w:eastAsia="宋体" w:hint="default"/>
                <w:sz w:val="18"/>
                <w:szCs w:val="18"/>
              </w:rPr>
              <w:t> </w:t>
            </w:r>
          </w:p>
        </w:tc>
        <w:tc>
          <w:tcPr>
            <w:tcW w:w="3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4,396,691.27</w:t>
            </w:r>
            <w:r>
              <w:rPr>
                <w:rFonts w:ascii="宋体"/>
                <w:sz w:val="18"/>
              </w:rPr>
              <w:t> </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8,004,259.26</w:t>
            </w:r>
            <w:r>
              <w:rPr>
                <w:rFonts w:ascii="宋体"/>
                <w:sz w:val="18"/>
              </w:rPr>
              <w:t> </w:t>
            </w:r>
          </w:p>
        </w:tc>
      </w:tr>
      <w:tr>
        <w:trPr>
          <w:trHeight w:val="396" w:hRule="exact"/>
        </w:trPr>
        <w:tc>
          <w:tcPr>
            <w:tcW w:w="3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存款利息收入</w:t>
            </w:r>
            <w:r>
              <w:rPr>
                <w:rFonts w:ascii="宋体" w:hAnsi="宋体" w:cs="宋体" w:eastAsia="宋体" w:hint="default"/>
                <w:sz w:val="18"/>
                <w:szCs w:val="18"/>
              </w:rPr>
              <w:t> </w:t>
            </w:r>
          </w:p>
        </w:tc>
        <w:tc>
          <w:tcPr>
            <w:tcW w:w="3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3,804,322.77</w:t>
            </w:r>
            <w:r>
              <w:rPr>
                <w:rFonts w:ascii="宋体"/>
                <w:sz w:val="18"/>
              </w:rPr>
              <w:t> </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2,361,441.08</w:t>
            </w:r>
            <w:r>
              <w:rPr>
                <w:rFonts w:ascii="宋体"/>
                <w:sz w:val="18"/>
              </w:rPr>
              <w:t> </w:t>
            </w:r>
          </w:p>
        </w:tc>
      </w:tr>
      <w:tr>
        <w:trPr>
          <w:trHeight w:val="398" w:hRule="exact"/>
        </w:trPr>
        <w:tc>
          <w:tcPr>
            <w:tcW w:w="3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收取的融资租赁款</w:t>
            </w:r>
            <w:r>
              <w:rPr>
                <w:rFonts w:ascii="宋体" w:hAnsi="宋体" w:cs="宋体" w:eastAsia="宋体" w:hint="default"/>
                <w:sz w:val="18"/>
                <w:szCs w:val="18"/>
              </w:rPr>
              <w:t> </w:t>
            </w:r>
          </w:p>
        </w:tc>
        <w:tc>
          <w:tcPr>
            <w:tcW w:w="3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2"/>
                <w:sz w:val="18"/>
              </w:rPr>
              <w:t> </w:t>
            </w:r>
            <w:r>
              <w:rPr>
                <w:rFonts w:ascii="宋体"/>
                <w:spacing w:val="-1"/>
                <w:sz w:val="18"/>
              </w:rPr>
              <w:t>18,040,000.00</w:t>
            </w:r>
            <w:r>
              <w:rPr>
                <w:rFonts w:ascii="宋体"/>
                <w:sz w:val="18"/>
              </w:rPr>
              <w:t> </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15,821,061.30</w:t>
            </w:r>
            <w:r>
              <w:rPr>
                <w:rFonts w:ascii="宋体"/>
                <w:sz w:val="18"/>
              </w:rPr>
              <w:t> </w:t>
            </w:r>
          </w:p>
        </w:tc>
      </w:tr>
      <w:tr>
        <w:trPr>
          <w:trHeight w:val="396" w:hRule="exact"/>
        </w:trPr>
        <w:tc>
          <w:tcPr>
            <w:tcW w:w="32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9"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3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163,280,236.62 </w:t>
            </w:r>
          </w:p>
        </w:tc>
        <w:tc>
          <w:tcPr>
            <w:tcW w:w="31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72,101,427.68</w:t>
            </w:r>
            <w:r>
              <w:rPr>
                <w:rFonts w:ascii="宋体"/>
                <w:sz w:val="18"/>
              </w:rPr>
              <w:t> </w:t>
            </w:r>
          </w:p>
        </w:tc>
      </w:tr>
    </w:tbl>
    <w:p>
      <w:pPr>
        <w:spacing w:line="240" w:lineRule="auto" w:before="7"/>
        <w:rPr>
          <w:rFonts w:ascii="宋体" w:hAnsi="宋体" w:cs="宋体" w:eastAsia="宋体" w:hint="default"/>
          <w:b/>
          <w:bCs/>
          <w:sz w:val="6"/>
          <w:szCs w:val="6"/>
        </w:rPr>
      </w:pPr>
    </w:p>
    <w:p>
      <w:pPr>
        <w:spacing w:before="36"/>
        <w:ind w:left="566" w:right="1146" w:firstLine="0"/>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、支付其他与经营活动有关的现金</w:t>
      </w:r>
      <w:r>
        <w:rPr>
          <w:rFonts w:ascii="宋体" w:hAnsi="宋体" w:cs="宋体" w:eastAsia="宋体" w:hint="default"/>
          <w:b/>
          <w:bCs/>
          <w:w w:val="99"/>
          <w:sz w:val="21"/>
          <w:szCs w:val="21"/>
        </w:rPr>
        <w:t> </w:t>
      </w:r>
      <w:r>
        <w:rPr>
          <w:rFonts w:ascii="宋体" w:hAnsi="宋体" w:cs="宋体" w:eastAsia="宋体" w:hint="default"/>
          <w:sz w:val="21"/>
          <w:szCs w:val="21"/>
        </w:rPr>
      </w:r>
    </w:p>
    <w:p>
      <w:pPr>
        <w:spacing w:line="240" w:lineRule="auto" w:before="6"/>
        <w:rPr>
          <w:rFonts w:ascii="宋体" w:hAnsi="宋体" w:cs="宋体" w:eastAsia="宋体" w:hint="default"/>
          <w:b/>
          <w:bCs/>
          <w:sz w:val="14"/>
          <w:szCs w:val="14"/>
        </w:rPr>
      </w:pPr>
    </w:p>
    <w:tbl>
      <w:tblPr>
        <w:tblW w:w="0" w:type="auto"/>
        <w:jc w:val="left"/>
        <w:tblInd w:w="218" w:type="dxa"/>
        <w:tblLayout w:type="fixed"/>
        <w:tblCellMar>
          <w:top w:w="0" w:type="dxa"/>
          <w:left w:w="0" w:type="dxa"/>
          <w:bottom w:w="0" w:type="dxa"/>
          <w:right w:w="0" w:type="dxa"/>
        </w:tblCellMar>
        <w:tblLook w:val="01E0"/>
      </w:tblPr>
      <w:tblGrid>
        <w:gridCol w:w="4337"/>
        <w:gridCol w:w="2645"/>
        <w:gridCol w:w="2511"/>
      </w:tblGrid>
      <w:tr>
        <w:trPr>
          <w:trHeight w:val="396" w:hRule="exact"/>
        </w:trPr>
        <w:tc>
          <w:tcPr>
            <w:tcW w:w="4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6"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2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66" w:right="0"/>
              <w:jc w:val="left"/>
              <w:rPr>
                <w:rFonts w:ascii="宋体" w:hAnsi="宋体" w:cs="宋体" w:eastAsia="宋体" w:hint="default"/>
                <w:sz w:val="18"/>
                <w:szCs w:val="18"/>
              </w:rPr>
            </w:pPr>
            <w:r>
              <w:rPr>
                <w:rFonts w:ascii="宋体" w:hAnsi="宋体" w:cs="宋体" w:eastAsia="宋体" w:hint="default"/>
                <w:sz w:val="18"/>
                <w:szCs w:val="18"/>
              </w:rPr>
              <w:t>本期发生额</w:t>
            </w:r>
            <w:r>
              <w:rPr>
                <w:rFonts w:ascii="宋体" w:hAnsi="宋体" w:cs="宋体" w:eastAsia="宋体" w:hint="default"/>
                <w:sz w:val="18"/>
                <w:szCs w:val="18"/>
              </w:rPr>
              <w:t> </w:t>
            </w:r>
          </w:p>
        </w:tc>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799" w:right="0"/>
              <w:jc w:val="left"/>
              <w:rPr>
                <w:rFonts w:ascii="宋体" w:hAnsi="宋体" w:cs="宋体" w:eastAsia="宋体" w:hint="default"/>
                <w:sz w:val="18"/>
                <w:szCs w:val="18"/>
              </w:rPr>
            </w:pPr>
            <w:r>
              <w:rPr>
                <w:rFonts w:ascii="宋体" w:hAnsi="宋体" w:cs="宋体" w:eastAsia="宋体" w:hint="default"/>
                <w:sz w:val="18"/>
                <w:szCs w:val="18"/>
              </w:rPr>
              <w:t>上期发生额</w:t>
            </w:r>
            <w:r>
              <w:rPr>
                <w:rFonts w:ascii="宋体" w:hAnsi="宋体" w:cs="宋体" w:eastAsia="宋体" w:hint="default"/>
                <w:sz w:val="18"/>
                <w:szCs w:val="18"/>
              </w:rPr>
              <w:t> </w:t>
            </w:r>
          </w:p>
        </w:tc>
      </w:tr>
      <w:tr>
        <w:trPr>
          <w:trHeight w:val="680" w:hRule="exact"/>
        </w:trPr>
        <w:tc>
          <w:tcPr>
            <w:tcW w:w="433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34"/>
              <w:ind w:left="103" w:right="108"/>
              <w:jc w:val="left"/>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pacing w:val="2"/>
                <w:sz w:val="18"/>
                <w:szCs w:val="18"/>
              </w:rPr>
              <w:t>修理费、水电气费、广告费等（除工资、折旧、坏</w:t>
            </w:r>
            <w:r>
              <w:rPr>
                <w:rFonts w:ascii="宋体" w:hAnsi="宋体" w:cs="宋体" w:eastAsia="宋体" w:hint="default"/>
                <w:sz w:val="18"/>
                <w:szCs w:val="18"/>
              </w:rPr>
              <w:t> 账外）经营及管理费</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2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12"/>
              <w:jc w:val="right"/>
              <w:rPr>
                <w:rFonts w:ascii="宋体" w:hAnsi="宋体" w:cs="宋体" w:eastAsia="宋体" w:hint="default"/>
                <w:sz w:val="18"/>
                <w:szCs w:val="18"/>
              </w:rPr>
            </w:pPr>
            <w:r>
              <w:rPr>
                <w:rFonts w:ascii="宋体"/>
                <w:spacing w:val="-1"/>
                <w:sz w:val="18"/>
              </w:rPr>
              <w:t>66,847,661.29</w:t>
            </w:r>
            <w:r>
              <w:rPr>
                <w:rFonts w:ascii="宋体"/>
                <w:sz w:val="18"/>
              </w:rPr>
              <w:t> </w:t>
            </w:r>
          </w:p>
        </w:tc>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4"/>
                <w:szCs w:val="14"/>
              </w:rPr>
            </w:pPr>
          </w:p>
          <w:p>
            <w:pPr>
              <w:pStyle w:val="TableParagraph"/>
              <w:spacing w:line="240" w:lineRule="auto"/>
              <w:ind w:right="13"/>
              <w:jc w:val="right"/>
              <w:rPr>
                <w:rFonts w:ascii="宋体" w:hAnsi="宋体" w:cs="宋体" w:eastAsia="宋体" w:hint="default"/>
                <w:sz w:val="18"/>
                <w:szCs w:val="18"/>
              </w:rPr>
            </w:pPr>
            <w:r>
              <w:rPr>
                <w:rFonts w:ascii="宋体"/>
                <w:spacing w:val="-1"/>
                <w:sz w:val="18"/>
              </w:rPr>
              <w:t>79,572,504.23</w:t>
            </w:r>
            <w:r>
              <w:rPr>
                <w:rFonts w:ascii="宋体"/>
                <w:sz w:val="18"/>
              </w:rPr>
              <w:t> </w:t>
            </w:r>
          </w:p>
        </w:tc>
      </w:tr>
      <w:tr>
        <w:trPr>
          <w:trHeight w:val="398" w:hRule="exact"/>
        </w:trPr>
        <w:tc>
          <w:tcPr>
            <w:tcW w:w="4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罚款及其他营业外支出中的现金支出</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2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520,947.43</w:t>
            </w:r>
            <w:r>
              <w:rPr>
                <w:rFonts w:ascii="宋体"/>
                <w:sz w:val="18"/>
              </w:rPr>
              <w:t> </w:t>
            </w:r>
          </w:p>
        </w:tc>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
              <w:jc w:val="right"/>
              <w:rPr>
                <w:rFonts w:ascii="宋体" w:hAnsi="宋体" w:cs="宋体" w:eastAsia="宋体" w:hint="default"/>
                <w:sz w:val="18"/>
                <w:szCs w:val="18"/>
              </w:rPr>
            </w:pPr>
            <w:r>
              <w:rPr>
                <w:rFonts w:ascii="宋体"/>
                <w:spacing w:val="-1"/>
                <w:sz w:val="18"/>
              </w:rPr>
              <w:t>1,636,137.51</w:t>
            </w:r>
            <w:r>
              <w:rPr>
                <w:rFonts w:ascii="宋体"/>
                <w:sz w:val="18"/>
              </w:rPr>
              <w:t> </w:t>
            </w:r>
          </w:p>
        </w:tc>
      </w:tr>
      <w:tr>
        <w:trPr>
          <w:trHeight w:val="396" w:hRule="exact"/>
        </w:trPr>
        <w:tc>
          <w:tcPr>
            <w:tcW w:w="4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单位往来款及其他</w:t>
            </w:r>
            <w:r>
              <w:rPr>
                <w:rFonts w:ascii="宋体" w:hAnsi="宋体" w:cs="宋体" w:eastAsia="宋体" w:hint="default"/>
                <w:spacing w:val="-2"/>
                <w:sz w:val="18"/>
                <w:szCs w:val="18"/>
              </w:rPr>
              <w:t> </w:t>
            </w:r>
            <w:r>
              <w:rPr>
                <w:rFonts w:ascii="宋体" w:hAnsi="宋体" w:cs="宋体" w:eastAsia="宋体" w:hint="default"/>
                <w:sz w:val="18"/>
                <w:szCs w:val="18"/>
              </w:rPr>
              <w:t> </w:t>
            </w:r>
          </w:p>
        </w:tc>
        <w:tc>
          <w:tcPr>
            <w:tcW w:w="2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149,411,893.43 </w:t>
            </w:r>
          </w:p>
        </w:tc>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
              <w:jc w:val="right"/>
              <w:rPr>
                <w:rFonts w:ascii="宋体" w:hAnsi="宋体" w:cs="宋体" w:eastAsia="宋体" w:hint="default"/>
                <w:sz w:val="18"/>
                <w:szCs w:val="18"/>
              </w:rPr>
            </w:pPr>
            <w:r>
              <w:rPr>
                <w:rFonts w:ascii="宋体"/>
                <w:spacing w:val="-1"/>
                <w:sz w:val="18"/>
              </w:rPr>
              <w:t>63,452,874.36</w:t>
            </w:r>
            <w:r>
              <w:rPr>
                <w:rFonts w:ascii="宋体"/>
                <w:sz w:val="18"/>
              </w:rPr>
              <w:t> </w:t>
            </w:r>
          </w:p>
        </w:tc>
      </w:tr>
      <w:tr>
        <w:trPr>
          <w:trHeight w:val="398" w:hRule="exact"/>
        </w:trPr>
        <w:tc>
          <w:tcPr>
            <w:tcW w:w="4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支付的融资租赁固定资产采购款</w:t>
            </w:r>
            <w:r>
              <w:rPr>
                <w:rFonts w:ascii="宋体" w:hAnsi="宋体" w:cs="宋体" w:eastAsia="宋体" w:hint="default"/>
                <w:sz w:val="18"/>
                <w:szCs w:val="18"/>
              </w:rPr>
              <w:t> </w:t>
            </w:r>
          </w:p>
        </w:tc>
        <w:tc>
          <w:tcPr>
            <w:tcW w:w="2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
              <w:jc w:val="right"/>
              <w:rPr>
                <w:rFonts w:ascii="宋体" w:hAnsi="宋体" w:cs="宋体" w:eastAsia="宋体" w:hint="default"/>
                <w:sz w:val="18"/>
                <w:szCs w:val="18"/>
              </w:rPr>
            </w:pPr>
            <w:r>
              <w:rPr>
                <w:rFonts w:ascii="宋体"/>
                <w:spacing w:val="-1"/>
                <w:sz w:val="18"/>
              </w:rPr>
              <w:t>142,268,719.00 </w:t>
            </w:r>
          </w:p>
        </w:tc>
      </w:tr>
      <w:tr>
        <w:trPr>
          <w:trHeight w:val="396" w:hRule="exact"/>
        </w:trPr>
        <w:tc>
          <w:tcPr>
            <w:tcW w:w="43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6"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26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1"/>
                <w:sz w:val="18"/>
              </w:rPr>
              <w:t> 216,780,502.15 </w:t>
            </w:r>
          </w:p>
        </w:tc>
        <w:tc>
          <w:tcPr>
            <w:tcW w:w="25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3"/>
              <w:jc w:val="right"/>
              <w:rPr>
                <w:rFonts w:ascii="宋体" w:hAnsi="宋体" w:cs="宋体" w:eastAsia="宋体" w:hint="default"/>
                <w:sz w:val="18"/>
                <w:szCs w:val="18"/>
              </w:rPr>
            </w:pPr>
            <w:r>
              <w:rPr>
                <w:rFonts w:ascii="宋体"/>
                <w:spacing w:val="-1"/>
                <w:sz w:val="18"/>
              </w:rPr>
              <w:t>286,930,235.10 </w:t>
            </w:r>
          </w:p>
        </w:tc>
      </w:tr>
    </w:tbl>
    <w:p>
      <w:pPr>
        <w:spacing w:line="240" w:lineRule="auto" w:before="7"/>
        <w:rPr>
          <w:rFonts w:ascii="宋体" w:hAnsi="宋体" w:cs="宋体" w:eastAsia="宋体" w:hint="default"/>
          <w:b/>
          <w:bCs/>
          <w:sz w:val="6"/>
          <w:szCs w:val="6"/>
        </w:rPr>
      </w:pPr>
    </w:p>
    <w:p>
      <w:pPr>
        <w:spacing w:before="36"/>
        <w:ind w:left="566" w:right="1146" w:firstLine="0"/>
        <w:jc w:val="left"/>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b/>
          <w:bCs/>
          <w:sz w:val="21"/>
          <w:szCs w:val="21"/>
        </w:rPr>
        <w:t>、收到其他与投资活动有关的现金</w:t>
      </w:r>
      <w:r>
        <w:rPr>
          <w:rFonts w:ascii="宋体" w:hAnsi="宋体" w:cs="宋体" w:eastAsia="宋体" w:hint="default"/>
          <w:b/>
          <w:bCs/>
          <w:w w:val="99"/>
          <w:sz w:val="21"/>
          <w:szCs w:val="21"/>
        </w:rPr>
        <w:t> </w:t>
      </w:r>
      <w:r>
        <w:rPr>
          <w:rFonts w:ascii="宋体" w:hAnsi="宋体" w:cs="宋体" w:eastAsia="宋体" w:hint="default"/>
          <w:sz w:val="21"/>
          <w:szCs w:val="21"/>
        </w:rPr>
      </w:r>
    </w:p>
    <w:p>
      <w:pPr>
        <w:spacing w:line="240" w:lineRule="auto" w:before="6"/>
        <w:rPr>
          <w:rFonts w:ascii="宋体" w:hAnsi="宋体" w:cs="宋体" w:eastAsia="宋体" w:hint="default"/>
          <w:b/>
          <w:bCs/>
          <w:sz w:val="14"/>
          <w:szCs w:val="14"/>
        </w:rPr>
      </w:pPr>
    </w:p>
    <w:tbl>
      <w:tblPr>
        <w:tblW w:w="0" w:type="auto"/>
        <w:jc w:val="left"/>
        <w:tblInd w:w="206" w:type="dxa"/>
        <w:tblLayout w:type="fixed"/>
        <w:tblCellMar>
          <w:top w:w="0" w:type="dxa"/>
          <w:left w:w="0" w:type="dxa"/>
          <w:bottom w:w="0" w:type="dxa"/>
          <w:right w:w="0" w:type="dxa"/>
        </w:tblCellMar>
        <w:tblLook w:val="01E0"/>
      </w:tblPr>
      <w:tblGrid>
        <w:gridCol w:w="2821"/>
        <w:gridCol w:w="2993"/>
        <w:gridCol w:w="3694"/>
      </w:tblGrid>
      <w:tr>
        <w:trPr>
          <w:trHeight w:val="396" w:hRule="exact"/>
        </w:trPr>
        <w:tc>
          <w:tcPr>
            <w:tcW w:w="2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32"/>
              <w:jc w:val="right"/>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43" w:right="0"/>
              <w:jc w:val="left"/>
              <w:rPr>
                <w:rFonts w:ascii="宋体" w:hAnsi="宋体" w:cs="宋体" w:eastAsia="宋体" w:hint="default"/>
                <w:sz w:val="18"/>
                <w:szCs w:val="18"/>
              </w:rPr>
            </w:pPr>
            <w:r>
              <w:rPr>
                <w:rFonts w:ascii="宋体" w:hAnsi="宋体" w:cs="宋体" w:eastAsia="宋体" w:hint="default"/>
                <w:sz w:val="18"/>
                <w:szCs w:val="18"/>
              </w:rPr>
              <w:t>本期发生额</w:t>
            </w:r>
            <w:r>
              <w:rPr>
                <w:rFonts w:ascii="宋体" w:hAnsi="宋体" w:cs="宋体" w:eastAsia="宋体" w:hint="default"/>
                <w:sz w:val="18"/>
                <w:szCs w:val="18"/>
              </w:rPr>
              <w:t> </w:t>
            </w:r>
          </w:p>
        </w:tc>
        <w:tc>
          <w:tcPr>
            <w:tcW w:w="3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9" w:right="0"/>
              <w:jc w:val="center"/>
              <w:rPr>
                <w:rFonts w:ascii="宋体" w:hAnsi="宋体" w:cs="宋体" w:eastAsia="宋体" w:hint="default"/>
                <w:sz w:val="18"/>
                <w:szCs w:val="18"/>
              </w:rPr>
            </w:pPr>
            <w:r>
              <w:rPr>
                <w:rFonts w:ascii="宋体" w:hAnsi="宋体" w:cs="宋体" w:eastAsia="宋体" w:hint="default"/>
                <w:sz w:val="18"/>
                <w:szCs w:val="18"/>
              </w:rPr>
              <w:t>上期发生额</w:t>
            </w:r>
            <w:r>
              <w:rPr>
                <w:rFonts w:ascii="宋体" w:hAnsi="宋体" w:cs="宋体" w:eastAsia="宋体" w:hint="default"/>
                <w:sz w:val="18"/>
                <w:szCs w:val="18"/>
              </w:rPr>
              <w:t> </w:t>
            </w:r>
          </w:p>
        </w:tc>
      </w:tr>
      <w:tr>
        <w:trPr>
          <w:trHeight w:val="398" w:hRule="exact"/>
        </w:trPr>
        <w:tc>
          <w:tcPr>
            <w:tcW w:w="2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理财存款</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10,000.00</w:t>
            </w:r>
            <w:r>
              <w:rPr>
                <w:rFonts w:ascii="宋体"/>
                <w:sz w:val="18"/>
              </w:rPr>
              <w:t> </w:t>
            </w:r>
          </w:p>
        </w:tc>
        <w:tc>
          <w:tcPr>
            <w:tcW w:w="3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224,000,000.00 </w:t>
            </w:r>
          </w:p>
        </w:tc>
      </w:tr>
      <w:tr>
        <w:trPr>
          <w:trHeight w:val="396" w:hRule="exact"/>
        </w:trPr>
        <w:tc>
          <w:tcPr>
            <w:tcW w:w="28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32"/>
              <w:jc w:val="righ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10,000.00</w:t>
            </w:r>
            <w:r>
              <w:rPr>
                <w:rFonts w:ascii="宋体"/>
                <w:sz w:val="18"/>
              </w:rPr>
              <w:t> </w:t>
            </w:r>
          </w:p>
        </w:tc>
        <w:tc>
          <w:tcPr>
            <w:tcW w:w="36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224,000,000.00 </w:t>
            </w:r>
          </w:p>
        </w:tc>
      </w:tr>
    </w:tbl>
    <w:p>
      <w:pPr>
        <w:spacing w:line="240" w:lineRule="auto" w:before="8"/>
        <w:rPr>
          <w:rFonts w:ascii="宋体" w:hAnsi="宋体" w:cs="宋体" w:eastAsia="宋体" w:hint="default"/>
          <w:b/>
          <w:bCs/>
          <w:sz w:val="6"/>
          <w:szCs w:val="6"/>
        </w:rPr>
      </w:pPr>
    </w:p>
    <w:p>
      <w:pPr>
        <w:spacing w:before="36"/>
        <w:ind w:left="566" w:right="1146" w:firstLine="0"/>
        <w:jc w:val="left"/>
        <w:rPr>
          <w:rFonts w:ascii="宋体" w:hAnsi="宋体" w:cs="宋体" w:eastAsia="宋体" w:hint="default"/>
          <w:sz w:val="21"/>
          <w:szCs w:val="21"/>
        </w:rPr>
      </w:pPr>
      <w:r>
        <w:rPr>
          <w:rFonts w:ascii="宋体" w:hAnsi="宋体" w:cs="宋体" w:eastAsia="宋体" w:hint="default"/>
          <w:b/>
          <w:bCs/>
          <w:sz w:val="21"/>
          <w:szCs w:val="21"/>
        </w:rPr>
        <w:t>4</w:t>
      </w:r>
      <w:r>
        <w:rPr>
          <w:rFonts w:ascii="宋体" w:hAnsi="宋体" w:cs="宋体" w:eastAsia="宋体" w:hint="default"/>
          <w:b/>
          <w:bCs/>
          <w:sz w:val="21"/>
          <w:szCs w:val="21"/>
        </w:rPr>
        <w:t>、支付其他与投资活动有关的现金</w:t>
      </w:r>
      <w:r>
        <w:rPr>
          <w:rFonts w:ascii="宋体" w:hAnsi="宋体" w:cs="宋体" w:eastAsia="宋体" w:hint="default"/>
          <w:b/>
          <w:bCs/>
          <w:w w:val="99"/>
          <w:sz w:val="21"/>
          <w:szCs w:val="21"/>
        </w:rPr>
        <w:t> </w:t>
      </w:r>
      <w:r>
        <w:rPr>
          <w:rFonts w:ascii="宋体" w:hAnsi="宋体" w:cs="宋体" w:eastAsia="宋体" w:hint="default"/>
          <w:sz w:val="21"/>
          <w:szCs w:val="21"/>
        </w:rPr>
      </w:r>
    </w:p>
    <w:p>
      <w:pPr>
        <w:spacing w:line="240" w:lineRule="auto" w:before="6"/>
        <w:rPr>
          <w:rFonts w:ascii="宋体" w:hAnsi="宋体" w:cs="宋体" w:eastAsia="宋体" w:hint="default"/>
          <w:b/>
          <w:bCs/>
          <w:sz w:val="14"/>
          <w:szCs w:val="14"/>
        </w:rPr>
      </w:pPr>
    </w:p>
    <w:tbl>
      <w:tblPr>
        <w:tblW w:w="0" w:type="auto"/>
        <w:jc w:val="left"/>
        <w:tblInd w:w="218" w:type="dxa"/>
        <w:tblLayout w:type="fixed"/>
        <w:tblCellMar>
          <w:top w:w="0" w:type="dxa"/>
          <w:left w:w="0" w:type="dxa"/>
          <w:bottom w:w="0" w:type="dxa"/>
          <w:right w:w="0" w:type="dxa"/>
        </w:tblCellMar>
        <w:tblLook w:val="01E0"/>
      </w:tblPr>
      <w:tblGrid>
        <w:gridCol w:w="2806"/>
        <w:gridCol w:w="2993"/>
        <w:gridCol w:w="3706"/>
      </w:tblGrid>
      <w:tr>
        <w:trPr>
          <w:trHeight w:val="396" w:hRule="exact"/>
        </w:trPr>
        <w:tc>
          <w:tcPr>
            <w:tcW w:w="2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27"/>
              <w:jc w:val="right"/>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41" w:right="0"/>
              <w:jc w:val="left"/>
              <w:rPr>
                <w:rFonts w:ascii="宋体" w:hAnsi="宋体" w:cs="宋体" w:eastAsia="宋体" w:hint="default"/>
                <w:sz w:val="18"/>
                <w:szCs w:val="18"/>
              </w:rPr>
            </w:pPr>
            <w:r>
              <w:rPr>
                <w:rFonts w:ascii="宋体" w:hAnsi="宋体" w:cs="宋体" w:eastAsia="宋体" w:hint="default"/>
                <w:sz w:val="18"/>
                <w:szCs w:val="18"/>
              </w:rPr>
              <w:t>本期发生额</w:t>
            </w:r>
            <w:r>
              <w:rPr>
                <w:rFonts w:ascii="宋体" w:hAnsi="宋体" w:cs="宋体" w:eastAsia="宋体" w:hint="default"/>
                <w:sz w:val="18"/>
                <w:szCs w:val="18"/>
              </w:rPr>
              <w:t> </w:t>
            </w:r>
          </w:p>
        </w:tc>
        <w:tc>
          <w:tcPr>
            <w:tcW w:w="3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7" w:right="0"/>
              <w:jc w:val="center"/>
              <w:rPr>
                <w:rFonts w:ascii="宋体" w:hAnsi="宋体" w:cs="宋体" w:eastAsia="宋体" w:hint="default"/>
                <w:sz w:val="18"/>
                <w:szCs w:val="18"/>
              </w:rPr>
            </w:pPr>
            <w:r>
              <w:rPr>
                <w:rFonts w:ascii="宋体" w:hAnsi="宋体" w:cs="宋体" w:eastAsia="宋体" w:hint="default"/>
                <w:sz w:val="18"/>
                <w:szCs w:val="18"/>
              </w:rPr>
              <w:t>上期发生额</w:t>
            </w:r>
            <w:r>
              <w:rPr>
                <w:rFonts w:ascii="宋体" w:hAnsi="宋体" w:cs="宋体" w:eastAsia="宋体" w:hint="default"/>
                <w:sz w:val="18"/>
                <w:szCs w:val="18"/>
              </w:rPr>
              <w:t> </w:t>
            </w:r>
          </w:p>
        </w:tc>
      </w:tr>
      <w:tr>
        <w:trPr>
          <w:trHeight w:val="396" w:hRule="exact"/>
        </w:trPr>
        <w:tc>
          <w:tcPr>
            <w:tcW w:w="2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20"/>
                <w:szCs w:val="20"/>
              </w:rPr>
            </w:pPr>
            <w:r>
              <w:rPr>
                <w:rFonts w:ascii="宋体" w:hAnsi="宋体" w:cs="宋体" w:eastAsia="宋体" w:hint="default"/>
                <w:sz w:val="18"/>
                <w:szCs w:val="18"/>
              </w:rPr>
              <w:t>购买理财存款</w:t>
            </w:r>
            <w:r>
              <w:rPr>
                <w:rFonts w:ascii="宋体" w:hAnsi="宋体" w:cs="宋体" w:eastAsia="宋体" w:hint="default"/>
                <w:w w:val="99"/>
                <w:sz w:val="20"/>
                <w:szCs w:val="20"/>
              </w:rPr>
              <w:t> </w:t>
            </w:r>
            <w:r>
              <w:rPr>
                <w:rFonts w:ascii="宋体" w:hAnsi="宋体" w:cs="宋体" w:eastAsia="宋体" w:hint="default"/>
                <w:sz w:val="20"/>
                <w:szCs w:val="20"/>
              </w:rPr>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2"/>
                <w:sz w:val="18"/>
              </w:rPr>
              <w:t> </w:t>
            </w:r>
            <w:r>
              <w:rPr>
                <w:rFonts w:ascii="宋体"/>
                <w:spacing w:val="-1"/>
                <w:sz w:val="18"/>
              </w:rPr>
              <w:t>10,000.00</w:t>
            </w:r>
            <w:r>
              <w:rPr>
                <w:rFonts w:ascii="宋体"/>
                <w:sz w:val="18"/>
              </w:rPr>
              <w:t> </w:t>
            </w:r>
          </w:p>
        </w:tc>
        <w:tc>
          <w:tcPr>
            <w:tcW w:w="3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r>
      <w:tr>
        <w:trPr>
          <w:trHeight w:val="398" w:hRule="exact"/>
        </w:trPr>
        <w:tc>
          <w:tcPr>
            <w:tcW w:w="2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27"/>
              <w:jc w:val="righ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10,000.00</w:t>
            </w:r>
            <w:r>
              <w:rPr>
                <w:rFonts w:ascii="宋体"/>
                <w:sz w:val="18"/>
              </w:rPr>
              <w:t> </w:t>
            </w:r>
          </w:p>
        </w:tc>
        <w:tc>
          <w:tcPr>
            <w:tcW w:w="3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r>
    </w:tbl>
    <w:p>
      <w:pPr>
        <w:spacing w:line="240" w:lineRule="auto" w:before="7"/>
        <w:rPr>
          <w:rFonts w:ascii="宋体" w:hAnsi="宋体" w:cs="宋体" w:eastAsia="宋体" w:hint="default"/>
          <w:b/>
          <w:bCs/>
          <w:sz w:val="6"/>
          <w:szCs w:val="6"/>
        </w:rPr>
      </w:pPr>
    </w:p>
    <w:p>
      <w:pPr>
        <w:spacing w:before="36"/>
        <w:ind w:left="566" w:right="1146" w:firstLine="0"/>
        <w:jc w:val="left"/>
        <w:rPr>
          <w:rFonts w:ascii="宋体" w:hAnsi="宋体" w:cs="宋体" w:eastAsia="宋体" w:hint="default"/>
          <w:sz w:val="21"/>
          <w:szCs w:val="21"/>
        </w:rPr>
      </w:pPr>
      <w:r>
        <w:rPr>
          <w:rFonts w:ascii="宋体" w:hAnsi="宋体" w:cs="宋体" w:eastAsia="宋体" w:hint="default"/>
          <w:b/>
          <w:bCs/>
          <w:sz w:val="21"/>
          <w:szCs w:val="21"/>
        </w:rPr>
        <w:t>5</w:t>
      </w:r>
      <w:r>
        <w:rPr>
          <w:rFonts w:ascii="宋体" w:hAnsi="宋体" w:cs="宋体" w:eastAsia="宋体" w:hint="default"/>
          <w:b/>
          <w:bCs/>
          <w:sz w:val="21"/>
          <w:szCs w:val="21"/>
        </w:rPr>
        <w:t>、收到其他与筹资活动有关的现金</w:t>
      </w:r>
      <w:r>
        <w:rPr>
          <w:rFonts w:ascii="宋体" w:hAnsi="宋体" w:cs="宋体" w:eastAsia="宋体" w:hint="default"/>
          <w:b/>
          <w:bCs/>
          <w:w w:val="99"/>
          <w:sz w:val="21"/>
          <w:szCs w:val="21"/>
        </w:rPr>
        <w:t> </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80" w:footer="975" w:top="1100" w:bottom="1160" w:left="1160" w:right="0"/>
        </w:sectPr>
      </w:pPr>
    </w:p>
    <w:p>
      <w:pPr>
        <w:spacing w:line="240" w:lineRule="auto" w:before="3"/>
        <w:rPr>
          <w:rFonts w:ascii="宋体" w:hAnsi="宋体" w:cs="宋体" w:eastAsia="宋体" w:hint="default"/>
          <w:b/>
          <w:bCs/>
          <w:sz w:val="19"/>
          <w:szCs w:val="19"/>
        </w:rPr>
      </w:pPr>
    </w:p>
    <w:p>
      <w:pPr>
        <w:spacing w:line="374" w:lineRule="auto" w:before="36"/>
        <w:ind w:left="566" w:right="6364" w:firstLine="148"/>
        <w:jc w:val="left"/>
        <w:rPr>
          <w:rFonts w:ascii="宋体" w:hAnsi="宋体" w:cs="宋体" w:eastAsia="宋体" w:hint="default"/>
          <w:sz w:val="21"/>
          <w:szCs w:val="21"/>
        </w:rPr>
      </w:pPr>
      <w:r>
        <w:rPr>
          <w:rFonts w:ascii="宋体" w:hAnsi="宋体" w:cs="宋体" w:eastAsia="宋体" w:hint="default"/>
          <w:sz w:val="21"/>
          <w:szCs w:val="21"/>
        </w:rPr>
        <w:t>无。</w:t>
      </w:r>
      <w:r>
        <w:rPr>
          <w:rFonts w:ascii="宋体" w:hAnsi="宋体" w:cs="宋体" w:eastAsia="宋体" w:hint="default"/>
          <w:w w:val="100"/>
          <w:sz w:val="21"/>
          <w:szCs w:val="21"/>
        </w:rPr>
        <w:t> </w:t>
      </w:r>
      <w:r>
        <w:rPr>
          <w:rFonts w:ascii="宋体" w:hAnsi="宋体" w:cs="宋体" w:eastAsia="宋体" w:hint="default"/>
          <w:b/>
          <w:bCs/>
          <w:sz w:val="21"/>
          <w:szCs w:val="21"/>
        </w:rPr>
        <w:t>6</w:t>
      </w:r>
      <w:r>
        <w:rPr>
          <w:rFonts w:ascii="宋体" w:hAnsi="宋体" w:cs="宋体" w:eastAsia="宋体" w:hint="default"/>
          <w:b/>
          <w:bCs/>
          <w:sz w:val="21"/>
          <w:szCs w:val="21"/>
        </w:rPr>
        <w:t>、支付其他与筹资活动有关的现金</w:t>
      </w:r>
      <w:r>
        <w:rPr>
          <w:rFonts w:ascii="宋体" w:hAnsi="宋体" w:cs="宋体" w:eastAsia="宋体" w:hint="default"/>
          <w:b/>
          <w:bCs/>
          <w:w w:val="99"/>
          <w:sz w:val="21"/>
          <w:szCs w:val="21"/>
        </w:rPr>
        <w:t> </w:t>
      </w:r>
      <w:r>
        <w:rPr>
          <w:rFonts w:ascii="宋体" w:hAnsi="宋体" w:cs="宋体" w:eastAsia="宋体" w:hint="default"/>
          <w:sz w:val="21"/>
          <w:szCs w:val="21"/>
        </w:rPr>
      </w:r>
    </w:p>
    <w:p>
      <w:pPr>
        <w:spacing w:line="240" w:lineRule="auto" w:before="6"/>
        <w:rPr>
          <w:rFonts w:ascii="宋体" w:hAnsi="宋体" w:cs="宋体" w:eastAsia="宋体" w:hint="default"/>
          <w:b/>
          <w:bCs/>
          <w:sz w:val="5"/>
          <w:szCs w:val="5"/>
        </w:rPr>
      </w:pPr>
    </w:p>
    <w:tbl>
      <w:tblPr>
        <w:tblW w:w="0" w:type="auto"/>
        <w:jc w:val="left"/>
        <w:tblInd w:w="246" w:type="dxa"/>
        <w:tblLayout w:type="fixed"/>
        <w:tblCellMar>
          <w:top w:w="0" w:type="dxa"/>
          <w:left w:w="0" w:type="dxa"/>
          <w:bottom w:w="0" w:type="dxa"/>
          <w:right w:w="0" w:type="dxa"/>
        </w:tblCellMar>
        <w:tblLook w:val="01E0"/>
      </w:tblPr>
      <w:tblGrid>
        <w:gridCol w:w="2780"/>
        <w:gridCol w:w="2993"/>
        <w:gridCol w:w="3718"/>
      </w:tblGrid>
      <w:tr>
        <w:trPr>
          <w:trHeight w:val="396" w:hRule="exact"/>
        </w:trPr>
        <w:tc>
          <w:tcPr>
            <w:tcW w:w="2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41" w:right="0"/>
              <w:jc w:val="left"/>
              <w:rPr>
                <w:rFonts w:ascii="宋体" w:hAnsi="宋体" w:cs="宋体" w:eastAsia="宋体" w:hint="default"/>
                <w:sz w:val="18"/>
                <w:szCs w:val="18"/>
              </w:rPr>
            </w:pPr>
            <w:r>
              <w:rPr>
                <w:rFonts w:ascii="宋体" w:hAnsi="宋体" w:cs="宋体" w:eastAsia="宋体" w:hint="default"/>
                <w:sz w:val="18"/>
                <w:szCs w:val="18"/>
              </w:rPr>
              <w:t>本期发生额</w:t>
            </w:r>
            <w:r>
              <w:rPr>
                <w:rFonts w:ascii="宋体" w:hAnsi="宋体" w:cs="宋体" w:eastAsia="宋体" w:hint="default"/>
                <w:sz w:val="18"/>
                <w:szCs w:val="18"/>
              </w:rPr>
              <w:t> </w:t>
            </w:r>
          </w:p>
        </w:tc>
        <w:tc>
          <w:tcPr>
            <w:tcW w:w="3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9" w:right="0"/>
              <w:jc w:val="center"/>
              <w:rPr>
                <w:rFonts w:ascii="宋体" w:hAnsi="宋体" w:cs="宋体" w:eastAsia="宋体" w:hint="default"/>
                <w:sz w:val="18"/>
                <w:szCs w:val="18"/>
              </w:rPr>
            </w:pPr>
            <w:r>
              <w:rPr>
                <w:rFonts w:ascii="宋体" w:hAnsi="宋体" w:cs="宋体" w:eastAsia="宋体" w:hint="default"/>
                <w:sz w:val="18"/>
                <w:szCs w:val="18"/>
              </w:rPr>
              <w:t>上期发生额</w:t>
            </w:r>
            <w:r>
              <w:rPr>
                <w:rFonts w:ascii="宋体" w:hAnsi="宋体" w:cs="宋体" w:eastAsia="宋体" w:hint="default"/>
                <w:sz w:val="18"/>
                <w:szCs w:val="18"/>
              </w:rPr>
              <w:t> </w:t>
            </w:r>
          </w:p>
        </w:tc>
      </w:tr>
      <w:tr>
        <w:trPr>
          <w:trHeight w:val="398" w:hRule="exact"/>
        </w:trPr>
        <w:tc>
          <w:tcPr>
            <w:tcW w:w="2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支付重组费用及借款咨询费</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3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9,750,000.00</w:t>
            </w:r>
            <w:r>
              <w:rPr>
                <w:rFonts w:ascii="宋体"/>
                <w:sz w:val="18"/>
              </w:rPr>
              <w:t> </w:t>
            </w:r>
          </w:p>
        </w:tc>
      </w:tr>
      <w:tr>
        <w:trPr>
          <w:trHeight w:val="396" w:hRule="exact"/>
        </w:trPr>
        <w:tc>
          <w:tcPr>
            <w:tcW w:w="2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回购库存股</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14,771,593.00 </w:t>
            </w:r>
          </w:p>
        </w:tc>
        <w:tc>
          <w:tcPr>
            <w:tcW w:w="3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z w:val="18"/>
              </w:rPr>
              <w:t> </w:t>
            </w:r>
          </w:p>
        </w:tc>
      </w:tr>
      <w:tr>
        <w:trPr>
          <w:trHeight w:val="398" w:hRule="exact"/>
        </w:trPr>
        <w:tc>
          <w:tcPr>
            <w:tcW w:w="2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支付第三期股权收购款</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40,000,000.00 </w:t>
            </w:r>
          </w:p>
        </w:tc>
        <w:tc>
          <w:tcPr>
            <w:tcW w:w="3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z w:val="18"/>
              </w:rPr>
              <w:t> </w:t>
            </w:r>
          </w:p>
        </w:tc>
      </w:tr>
      <w:tr>
        <w:trPr>
          <w:trHeight w:val="396" w:hRule="exact"/>
        </w:trPr>
        <w:tc>
          <w:tcPr>
            <w:tcW w:w="2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9"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54,771,593.00 </w:t>
            </w:r>
          </w:p>
        </w:tc>
        <w:tc>
          <w:tcPr>
            <w:tcW w:w="3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9,750,000.00</w:t>
            </w:r>
            <w:r>
              <w:rPr>
                <w:rFonts w:ascii="宋体"/>
                <w:sz w:val="18"/>
              </w:rPr>
              <w:t> </w:t>
            </w:r>
          </w:p>
        </w:tc>
      </w:tr>
    </w:tbl>
    <w:p>
      <w:pPr>
        <w:spacing w:line="240" w:lineRule="auto" w:before="7"/>
        <w:rPr>
          <w:rFonts w:ascii="宋体" w:hAnsi="宋体" w:cs="宋体" w:eastAsia="宋体" w:hint="default"/>
          <w:b/>
          <w:bCs/>
          <w:sz w:val="6"/>
          <w:szCs w:val="6"/>
        </w:rPr>
      </w:pPr>
    </w:p>
    <w:p>
      <w:pPr>
        <w:spacing w:line="374" w:lineRule="auto" w:before="36"/>
        <w:ind w:left="566" w:right="6364" w:hanging="70"/>
        <w:jc w:val="left"/>
        <w:rPr>
          <w:rFonts w:ascii="宋体" w:hAnsi="宋体" w:cs="宋体" w:eastAsia="宋体" w:hint="default"/>
          <w:sz w:val="21"/>
          <w:szCs w:val="21"/>
        </w:rPr>
      </w:pPr>
      <w:r>
        <w:rPr>
          <w:rFonts w:ascii="宋体" w:hAnsi="宋体" w:cs="宋体" w:eastAsia="宋体" w:hint="default"/>
          <w:b/>
          <w:bCs/>
          <w:sz w:val="21"/>
          <w:szCs w:val="21"/>
        </w:rPr>
        <w:t>（四十八）现金流量表补充资料</w:t>
      </w:r>
      <w:r>
        <w:rPr>
          <w:rFonts w:ascii="宋体" w:hAnsi="宋体" w:cs="宋体" w:eastAsia="宋体" w:hint="default"/>
          <w:b/>
          <w:bCs/>
          <w:w w:val="99"/>
          <w:sz w:val="21"/>
          <w:szCs w:val="21"/>
        </w:rPr>
        <w:t> </w:t>
      </w:r>
      <w:r>
        <w:rPr>
          <w:rFonts w:ascii="宋体" w:hAnsi="宋体" w:cs="宋体" w:eastAsia="宋体" w:hint="default"/>
          <w:b/>
          <w:bCs/>
          <w:sz w:val="21"/>
          <w:szCs w:val="21"/>
        </w:rPr>
        <w:t>1</w:t>
      </w:r>
      <w:r>
        <w:rPr>
          <w:rFonts w:ascii="宋体" w:hAnsi="宋体" w:cs="宋体" w:eastAsia="宋体" w:hint="default"/>
          <w:b/>
          <w:bCs/>
          <w:sz w:val="21"/>
          <w:szCs w:val="21"/>
        </w:rPr>
        <w:t>、</w:t>
      </w:r>
      <w:r>
        <w:rPr>
          <w:rFonts w:ascii="宋体" w:hAnsi="宋体" w:cs="宋体" w:eastAsia="宋体" w:hint="default"/>
          <w:sz w:val="21"/>
          <w:szCs w:val="21"/>
        </w:rPr>
        <w:t>现金流量表补充资料表</w:t>
      </w:r>
      <w:r>
        <w:rPr>
          <w:rFonts w:ascii="宋体" w:hAnsi="宋体" w:cs="宋体" w:eastAsia="宋体" w:hint="default"/>
          <w:sz w:val="21"/>
          <w:szCs w:val="21"/>
        </w:rPr>
        <w:t> </w:t>
      </w:r>
    </w:p>
    <w:p>
      <w:pPr>
        <w:spacing w:line="240" w:lineRule="auto" w:before="3"/>
        <w:rPr>
          <w:rFonts w:ascii="宋体" w:hAnsi="宋体" w:cs="宋体" w:eastAsia="宋体" w:hint="default"/>
          <w:sz w:val="5"/>
          <w:szCs w:val="5"/>
        </w:rPr>
      </w:pPr>
    </w:p>
    <w:tbl>
      <w:tblPr>
        <w:tblW w:w="0" w:type="auto"/>
        <w:jc w:val="left"/>
        <w:tblInd w:w="263" w:type="dxa"/>
        <w:tblLayout w:type="fixed"/>
        <w:tblCellMar>
          <w:top w:w="0" w:type="dxa"/>
          <w:left w:w="0" w:type="dxa"/>
          <w:bottom w:w="0" w:type="dxa"/>
          <w:right w:w="0" w:type="dxa"/>
        </w:tblCellMar>
        <w:tblLook w:val="01E0"/>
      </w:tblPr>
      <w:tblGrid>
        <w:gridCol w:w="5809"/>
        <w:gridCol w:w="1951"/>
        <w:gridCol w:w="1745"/>
      </w:tblGrid>
      <w:tr>
        <w:trPr>
          <w:trHeight w:val="399" w:hRule="exact"/>
        </w:trPr>
        <w:tc>
          <w:tcPr>
            <w:tcW w:w="5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9" w:right="0"/>
              <w:jc w:val="center"/>
              <w:rPr>
                <w:rFonts w:ascii="宋体" w:hAnsi="宋体" w:cs="宋体" w:eastAsia="宋体" w:hint="default"/>
                <w:sz w:val="18"/>
                <w:szCs w:val="18"/>
              </w:rPr>
            </w:pPr>
            <w:r>
              <w:rPr>
                <w:rFonts w:ascii="宋体" w:hAnsi="宋体" w:cs="宋体" w:eastAsia="宋体" w:hint="default"/>
                <w:sz w:val="18"/>
                <w:szCs w:val="18"/>
              </w:rPr>
              <w:t>补充资料</w:t>
            </w:r>
            <w:r>
              <w:rPr>
                <w:rFonts w:ascii="宋体" w:hAnsi="宋体" w:cs="宋体" w:eastAsia="宋体" w:hint="default"/>
                <w:sz w:val="18"/>
                <w:szCs w:val="18"/>
              </w:rPr>
              <w:t> </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609" w:right="0"/>
              <w:jc w:val="left"/>
              <w:rPr>
                <w:rFonts w:ascii="宋体" w:hAnsi="宋体" w:cs="宋体" w:eastAsia="宋体" w:hint="default"/>
                <w:sz w:val="18"/>
                <w:szCs w:val="18"/>
              </w:rPr>
            </w:pPr>
            <w:r>
              <w:rPr>
                <w:rFonts w:ascii="宋体" w:hAnsi="宋体" w:cs="宋体" w:eastAsia="宋体" w:hint="default"/>
                <w:sz w:val="18"/>
                <w:szCs w:val="18"/>
              </w:rPr>
              <w:t>本期金额</w:t>
            </w:r>
            <w:r>
              <w:rPr>
                <w:rFonts w:ascii="宋体" w:hAnsi="宋体" w:cs="宋体" w:eastAsia="宋体" w:hint="default"/>
                <w:sz w:val="18"/>
                <w:szCs w:val="18"/>
              </w:rPr>
              <w:t>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09" w:right="0"/>
              <w:jc w:val="left"/>
              <w:rPr>
                <w:rFonts w:ascii="宋体" w:hAnsi="宋体" w:cs="宋体" w:eastAsia="宋体" w:hint="default"/>
                <w:sz w:val="18"/>
                <w:szCs w:val="18"/>
              </w:rPr>
            </w:pPr>
            <w:r>
              <w:rPr>
                <w:rFonts w:ascii="宋体" w:hAnsi="宋体" w:cs="宋体" w:eastAsia="宋体" w:hint="default"/>
                <w:sz w:val="18"/>
                <w:szCs w:val="18"/>
              </w:rPr>
              <w:t>上期金额</w:t>
            </w:r>
            <w:r>
              <w:rPr>
                <w:rFonts w:ascii="宋体" w:hAnsi="宋体" w:cs="宋体" w:eastAsia="宋体" w:hint="default"/>
                <w:sz w:val="18"/>
                <w:szCs w:val="18"/>
              </w:rPr>
              <w:t> </w:t>
            </w:r>
          </w:p>
        </w:tc>
      </w:tr>
      <w:tr>
        <w:trPr>
          <w:trHeight w:val="396" w:hRule="exact"/>
        </w:trPr>
        <w:tc>
          <w:tcPr>
            <w:tcW w:w="5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z w:val="18"/>
                <w:szCs w:val="18"/>
              </w:rPr>
              <w:t>．将净利润调节为经营活动现金流量：</w:t>
            </w:r>
            <w:r>
              <w:rPr>
                <w:rFonts w:ascii="宋体" w:hAnsi="宋体" w:cs="宋体" w:eastAsia="宋体" w:hint="default"/>
                <w:sz w:val="18"/>
                <w:szCs w:val="18"/>
              </w:rPr>
              <w:t> </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7" w:right="0"/>
              <w:jc w:val="center"/>
              <w:rPr>
                <w:rFonts w:ascii="宋体" w:hAnsi="宋体" w:cs="宋体" w:eastAsia="宋体" w:hint="default"/>
                <w:sz w:val="18"/>
                <w:szCs w:val="18"/>
              </w:rPr>
            </w:pPr>
            <w:r>
              <w:rPr>
                <w:rFonts w:ascii="宋体"/>
                <w:sz w:val="18"/>
              </w:rPr>
              <w:t>/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3" w:right="0"/>
              <w:jc w:val="center"/>
              <w:rPr>
                <w:rFonts w:ascii="宋体" w:hAnsi="宋体" w:cs="宋体" w:eastAsia="宋体" w:hint="default"/>
                <w:sz w:val="18"/>
                <w:szCs w:val="18"/>
              </w:rPr>
            </w:pPr>
            <w:r>
              <w:rPr>
                <w:rFonts w:ascii="宋体"/>
                <w:sz w:val="18"/>
              </w:rPr>
              <w:t>/ </w:t>
            </w:r>
          </w:p>
        </w:tc>
      </w:tr>
      <w:tr>
        <w:trPr>
          <w:trHeight w:val="396" w:hRule="exact"/>
        </w:trPr>
        <w:tc>
          <w:tcPr>
            <w:tcW w:w="5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净利润</w:t>
            </w:r>
            <w:r>
              <w:rPr>
                <w:rFonts w:ascii="宋体" w:hAnsi="宋体" w:cs="宋体" w:eastAsia="宋体" w:hint="default"/>
                <w:sz w:val="18"/>
                <w:szCs w:val="18"/>
              </w:rPr>
              <w:t> </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3"/>
              <w:jc w:val="right"/>
              <w:rPr>
                <w:rFonts w:ascii="宋体" w:hAnsi="宋体" w:cs="宋体" w:eastAsia="宋体" w:hint="default"/>
                <w:sz w:val="18"/>
                <w:szCs w:val="18"/>
              </w:rPr>
            </w:pPr>
            <w:r>
              <w:rPr>
                <w:rFonts w:ascii="宋体"/>
                <w:spacing w:val="-1"/>
                <w:sz w:val="18"/>
              </w:rPr>
              <w:t>-1,240,168,787.93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252,883,527.21 </w:t>
            </w:r>
          </w:p>
        </w:tc>
      </w:tr>
      <w:tr>
        <w:trPr>
          <w:trHeight w:val="398" w:hRule="exact"/>
        </w:trPr>
        <w:tc>
          <w:tcPr>
            <w:tcW w:w="5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加：资产减值准备</w:t>
            </w:r>
            <w:r>
              <w:rPr>
                <w:rFonts w:ascii="宋体" w:hAnsi="宋体" w:cs="宋体" w:eastAsia="宋体" w:hint="default"/>
                <w:sz w:val="18"/>
                <w:szCs w:val="18"/>
              </w:rPr>
              <w:t> </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
              <w:jc w:val="right"/>
              <w:rPr>
                <w:rFonts w:ascii="宋体" w:hAnsi="宋体" w:cs="宋体" w:eastAsia="宋体" w:hint="default"/>
                <w:sz w:val="18"/>
                <w:szCs w:val="18"/>
              </w:rPr>
            </w:pPr>
            <w:r>
              <w:rPr>
                <w:rFonts w:ascii="宋体"/>
                <w:spacing w:val="-1"/>
                <w:sz w:val="18"/>
              </w:rPr>
              <w:t>1,343,443,019.22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18,250,376.72</w:t>
            </w:r>
            <w:r>
              <w:rPr>
                <w:rFonts w:ascii="宋体"/>
                <w:sz w:val="18"/>
              </w:rPr>
              <w:t> </w:t>
            </w:r>
          </w:p>
        </w:tc>
      </w:tr>
      <w:tr>
        <w:trPr>
          <w:trHeight w:val="396" w:hRule="exact"/>
        </w:trPr>
        <w:tc>
          <w:tcPr>
            <w:tcW w:w="5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固定资产折旧、油气资产折耗、生产性生物资产折旧</w:t>
            </w:r>
            <w:r>
              <w:rPr>
                <w:rFonts w:ascii="宋体" w:hAnsi="宋体" w:cs="宋体" w:eastAsia="宋体" w:hint="default"/>
                <w:sz w:val="18"/>
                <w:szCs w:val="18"/>
              </w:rPr>
              <w:t> </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3"/>
              <w:jc w:val="right"/>
              <w:rPr>
                <w:rFonts w:ascii="宋体" w:hAnsi="宋体" w:cs="宋体" w:eastAsia="宋体" w:hint="default"/>
                <w:sz w:val="18"/>
                <w:szCs w:val="18"/>
              </w:rPr>
            </w:pPr>
            <w:r>
              <w:rPr>
                <w:rFonts w:ascii="宋体"/>
                <w:spacing w:val="-1"/>
                <w:sz w:val="18"/>
              </w:rPr>
              <w:t>32,526,477.82</w:t>
            </w:r>
            <w:r>
              <w:rPr>
                <w:rFonts w:ascii="宋体"/>
                <w:sz w:val="18"/>
              </w:rPr>
              <w:t>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25,344,436.72</w:t>
            </w:r>
            <w:r>
              <w:rPr>
                <w:rFonts w:ascii="宋体"/>
                <w:sz w:val="18"/>
              </w:rPr>
              <w:t> </w:t>
            </w:r>
          </w:p>
        </w:tc>
      </w:tr>
      <w:tr>
        <w:trPr>
          <w:trHeight w:val="398" w:hRule="exact"/>
        </w:trPr>
        <w:tc>
          <w:tcPr>
            <w:tcW w:w="5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无形资产摊销</w:t>
            </w:r>
            <w:r>
              <w:rPr>
                <w:rFonts w:ascii="宋体" w:hAnsi="宋体" w:cs="宋体" w:eastAsia="宋体" w:hint="default"/>
                <w:sz w:val="18"/>
                <w:szCs w:val="18"/>
              </w:rPr>
              <w:t> </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3"/>
              <w:jc w:val="right"/>
              <w:rPr>
                <w:rFonts w:ascii="宋体" w:hAnsi="宋体" w:cs="宋体" w:eastAsia="宋体" w:hint="default"/>
                <w:sz w:val="18"/>
                <w:szCs w:val="18"/>
              </w:rPr>
            </w:pPr>
            <w:r>
              <w:rPr>
                <w:rFonts w:ascii="宋体"/>
                <w:spacing w:val="-1"/>
                <w:sz w:val="18"/>
              </w:rPr>
              <w:t>12,224,544.82</w:t>
            </w:r>
            <w:r>
              <w:rPr>
                <w:rFonts w:ascii="宋体"/>
                <w:sz w:val="18"/>
              </w:rPr>
              <w:t>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10,495,170.35</w:t>
            </w:r>
            <w:r>
              <w:rPr>
                <w:rFonts w:ascii="宋体"/>
                <w:sz w:val="18"/>
              </w:rPr>
              <w:t> </w:t>
            </w:r>
          </w:p>
        </w:tc>
      </w:tr>
      <w:tr>
        <w:trPr>
          <w:trHeight w:val="396" w:hRule="exact"/>
        </w:trPr>
        <w:tc>
          <w:tcPr>
            <w:tcW w:w="5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长期待摊费用摊销</w:t>
            </w:r>
            <w:r>
              <w:rPr>
                <w:rFonts w:ascii="宋体" w:hAnsi="宋体" w:cs="宋体" w:eastAsia="宋体" w:hint="default"/>
                <w:sz w:val="18"/>
                <w:szCs w:val="18"/>
              </w:rPr>
              <w:t> </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3"/>
              <w:jc w:val="right"/>
              <w:rPr>
                <w:rFonts w:ascii="宋体" w:hAnsi="宋体" w:cs="宋体" w:eastAsia="宋体" w:hint="default"/>
                <w:sz w:val="18"/>
                <w:szCs w:val="18"/>
              </w:rPr>
            </w:pPr>
            <w:r>
              <w:rPr>
                <w:rFonts w:ascii="宋体"/>
                <w:spacing w:val="-1"/>
                <w:sz w:val="18"/>
              </w:rPr>
              <w:t>2,320,721.47</w:t>
            </w:r>
            <w:r>
              <w:rPr>
                <w:rFonts w:ascii="宋体"/>
                <w:sz w:val="18"/>
              </w:rPr>
              <w:t>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2,180,165.48</w:t>
            </w:r>
            <w:r>
              <w:rPr>
                <w:rFonts w:ascii="宋体"/>
                <w:sz w:val="18"/>
              </w:rPr>
              <w:t> </w:t>
            </w:r>
          </w:p>
        </w:tc>
      </w:tr>
      <w:tr>
        <w:trPr>
          <w:trHeight w:val="398" w:hRule="exact"/>
        </w:trPr>
        <w:tc>
          <w:tcPr>
            <w:tcW w:w="5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处置固定资产</w:t>
            </w:r>
            <w:r>
              <w:rPr>
                <w:rFonts w:ascii="宋体" w:hAnsi="宋体" w:cs="宋体" w:eastAsia="宋体" w:hint="default"/>
                <w:spacing w:val="-20"/>
                <w:sz w:val="18"/>
                <w:szCs w:val="18"/>
              </w:rPr>
              <w:t>、</w:t>
            </w:r>
            <w:r>
              <w:rPr>
                <w:rFonts w:ascii="宋体" w:hAnsi="宋体" w:cs="宋体" w:eastAsia="宋体" w:hint="default"/>
                <w:sz w:val="18"/>
                <w:szCs w:val="18"/>
              </w:rPr>
              <w:t>无形资产和其他长期资产的损</w:t>
            </w:r>
            <w:r>
              <w:rPr>
                <w:rFonts w:ascii="宋体" w:hAnsi="宋体" w:cs="宋体" w:eastAsia="宋体" w:hint="default"/>
                <w:spacing w:val="-20"/>
                <w:sz w:val="18"/>
                <w:szCs w:val="18"/>
              </w:rPr>
              <w:t>失</w:t>
            </w:r>
            <w:r>
              <w:rPr>
                <w:rFonts w:ascii="宋体" w:hAnsi="宋体" w:cs="宋体" w:eastAsia="宋体" w:hint="default"/>
                <w:sz w:val="18"/>
                <w:szCs w:val="18"/>
              </w:rPr>
              <w:t>（收益</w:t>
            </w:r>
            <w:r>
              <w:rPr>
                <w:rFonts w:ascii="宋体" w:hAnsi="宋体" w:cs="宋体" w:eastAsia="宋体" w:hint="default"/>
                <w:spacing w:val="-20"/>
                <w:sz w:val="18"/>
                <w:szCs w:val="18"/>
              </w:rPr>
              <w:t>以</w:t>
            </w:r>
            <w:r>
              <w:rPr>
                <w:rFonts w:ascii="宋体" w:hAnsi="宋体" w:cs="宋体" w:eastAsia="宋体" w:hint="default"/>
                <w:sz w:val="18"/>
                <w:szCs w:val="18"/>
              </w:rPr>
              <w:t>“－</w:t>
            </w:r>
            <w:r>
              <w:rPr>
                <w:rFonts w:ascii="宋体" w:hAnsi="宋体" w:cs="宋体" w:eastAsia="宋体" w:hint="default"/>
                <w:spacing w:val="-20"/>
                <w:sz w:val="18"/>
                <w:szCs w:val="18"/>
              </w:rPr>
              <w:t>”</w:t>
            </w:r>
            <w:r>
              <w:rPr>
                <w:rFonts w:ascii="宋体" w:hAnsi="宋体" w:cs="宋体" w:eastAsia="宋体" w:hint="default"/>
                <w:sz w:val="18"/>
                <w:szCs w:val="18"/>
              </w:rPr>
              <w:t>号填列</w:t>
            </w:r>
            <w:r>
              <w:rPr>
                <w:rFonts w:ascii="宋体" w:hAnsi="宋体" w:cs="宋体" w:eastAsia="宋体" w:hint="default"/>
                <w:spacing w:val="-91"/>
                <w:sz w:val="18"/>
                <w:szCs w:val="18"/>
              </w:rPr>
              <w:t>）</w:t>
            </w:r>
            <w:r>
              <w:rPr>
                <w:rFonts w:ascii="宋体" w:hAnsi="宋体" w:cs="宋体" w:eastAsia="宋体" w:hint="default"/>
                <w:sz w:val="18"/>
                <w:szCs w:val="18"/>
              </w:rPr>
              <w:t> </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3"/>
              <w:jc w:val="right"/>
              <w:rPr>
                <w:rFonts w:ascii="宋体" w:hAnsi="宋体" w:cs="宋体" w:eastAsia="宋体" w:hint="default"/>
                <w:sz w:val="18"/>
                <w:szCs w:val="18"/>
              </w:rPr>
            </w:pPr>
            <w:r>
              <w:rPr>
                <w:rFonts w:ascii="宋体"/>
                <w:spacing w:val="-1"/>
                <w:sz w:val="18"/>
              </w:rPr>
              <w:t>-128,762.64</w:t>
            </w:r>
            <w:r>
              <w:rPr>
                <w:rFonts w:ascii="宋体"/>
                <w:sz w:val="18"/>
              </w:rPr>
              <w:t>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-628,373.53</w:t>
            </w:r>
            <w:r>
              <w:rPr>
                <w:rFonts w:ascii="宋体"/>
                <w:sz w:val="18"/>
              </w:rPr>
              <w:t> </w:t>
            </w:r>
          </w:p>
        </w:tc>
      </w:tr>
      <w:tr>
        <w:trPr>
          <w:trHeight w:val="396" w:hRule="exact"/>
        </w:trPr>
        <w:tc>
          <w:tcPr>
            <w:tcW w:w="5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固定资产报废损失（收益以“－”号填列）</w:t>
            </w:r>
            <w:r>
              <w:rPr>
                <w:rFonts w:ascii="宋体" w:hAnsi="宋体" w:cs="宋体" w:eastAsia="宋体" w:hint="default"/>
                <w:sz w:val="18"/>
                <w:szCs w:val="18"/>
              </w:rPr>
              <w:t> </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3"/>
              <w:jc w:val="right"/>
              <w:rPr>
                <w:rFonts w:ascii="宋体" w:hAnsi="宋体" w:cs="宋体" w:eastAsia="宋体" w:hint="default"/>
                <w:sz w:val="18"/>
                <w:szCs w:val="18"/>
              </w:rPr>
            </w:pPr>
            <w:r>
              <w:rPr>
                <w:rFonts w:ascii="宋体"/>
                <w:spacing w:val="-1"/>
                <w:sz w:val="18"/>
              </w:rPr>
              <w:t>8,217,030.53</w:t>
            </w:r>
            <w:r>
              <w:rPr>
                <w:rFonts w:ascii="宋体"/>
                <w:sz w:val="18"/>
              </w:rPr>
              <w:t>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916,362.03</w:t>
            </w:r>
            <w:r>
              <w:rPr>
                <w:rFonts w:ascii="宋体"/>
                <w:sz w:val="18"/>
              </w:rPr>
              <w:t> </w:t>
            </w:r>
          </w:p>
        </w:tc>
      </w:tr>
      <w:tr>
        <w:trPr>
          <w:trHeight w:val="396" w:hRule="exact"/>
        </w:trPr>
        <w:tc>
          <w:tcPr>
            <w:tcW w:w="5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公允价值变动损失（收益以“－”号填列）</w:t>
            </w:r>
            <w:r>
              <w:rPr>
                <w:rFonts w:ascii="宋体" w:hAnsi="宋体" w:cs="宋体" w:eastAsia="宋体" w:hint="default"/>
                <w:sz w:val="18"/>
                <w:szCs w:val="18"/>
              </w:rPr>
              <w:t> </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3"/>
              <w:jc w:val="right"/>
              <w:rPr>
                <w:rFonts w:ascii="宋体" w:hAnsi="宋体" w:cs="宋体" w:eastAsia="宋体" w:hint="default"/>
                <w:sz w:val="18"/>
                <w:szCs w:val="18"/>
              </w:rPr>
            </w:pPr>
            <w:r>
              <w:rPr>
                <w:rFonts w:ascii="宋体"/>
                <w:sz w:val="18"/>
              </w:rPr>
              <w:t>-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z w:val="18"/>
              </w:rPr>
              <w:t> </w:t>
            </w:r>
          </w:p>
        </w:tc>
      </w:tr>
      <w:tr>
        <w:trPr>
          <w:trHeight w:val="399" w:hRule="exact"/>
        </w:trPr>
        <w:tc>
          <w:tcPr>
            <w:tcW w:w="5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103" w:right="0"/>
              <w:jc w:val="left"/>
              <w:rPr>
                <w:rFonts w:ascii="宋体" w:hAnsi="宋体" w:cs="宋体" w:eastAsia="宋体" w:hint="default"/>
                <w:sz w:val="18"/>
                <w:szCs w:val="18"/>
              </w:rPr>
            </w:pPr>
            <w:r>
              <w:rPr>
                <w:rFonts w:ascii="宋体" w:hAnsi="宋体" w:cs="宋体" w:eastAsia="宋体" w:hint="default"/>
                <w:sz w:val="18"/>
                <w:szCs w:val="18"/>
              </w:rPr>
              <w:t>财务费用（收益以“－”号填列）</w:t>
            </w:r>
            <w:r>
              <w:rPr>
                <w:rFonts w:ascii="宋体" w:hAnsi="宋体" w:cs="宋体" w:eastAsia="宋体" w:hint="default"/>
                <w:sz w:val="18"/>
                <w:szCs w:val="18"/>
              </w:rPr>
              <w:t> </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3"/>
              <w:jc w:val="right"/>
              <w:rPr>
                <w:rFonts w:ascii="宋体" w:hAnsi="宋体" w:cs="宋体" w:eastAsia="宋体" w:hint="default"/>
                <w:sz w:val="18"/>
                <w:szCs w:val="18"/>
              </w:rPr>
            </w:pPr>
            <w:r>
              <w:rPr>
                <w:rFonts w:ascii="宋体"/>
                <w:spacing w:val="-1"/>
                <w:sz w:val="18"/>
              </w:rPr>
              <w:t>51,657,477.68</w:t>
            </w:r>
            <w:r>
              <w:rPr>
                <w:rFonts w:ascii="宋体"/>
                <w:sz w:val="18"/>
              </w:rPr>
              <w:t>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12,447,749.31</w:t>
            </w:r>
            <w:r>
              <w:rPr>
                <w:rFonts w:ascii="宋体"/>
                <w:sz w:val="18"/>
              </w:rPr>
              <w:t> </w:t>
            </w:r>
          </w:p>
        </w:tc>
      </w:tr>
      <w:tr>
        <w:trPr>
          <w:trHeight w:val="396" w:hRule="exact"/>
        </w:trPr>
        <w:tc>
          <w:tcPr>
            <w:tcW w:w="5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投资损失（收益以“－”号填列）</w:t>
            </w:r>
            <w:r>
              <w:rPr>
                <w:rFonts w:ascii="宋体" w:hAnsi="宋体" w:cs="宋体" w:eastAsia="宋体" w:hint="default"/>
                <w:sz w:val="18"/>
                <w:szCs w:val="18"/>
              </w:rPr>
              <w:t> </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3"/>
              <w:jc w:val="right"/>
              <w:rPr>
                <w:rFonts w:ascii="宋体" w:hAnsi="宋体" w:cs="宋体" w:eastAsia="宋体" w:hint="default"/>
                <w:sz w:val="18"/>
                <w:szCs w:val="18"/>
              </w:rPr>
            </w:pPr>
            <w:r>
              <w:rPr>
                <w:rFonts w:ascii="宋体"/>
                <w:spacing w:val="-1"/>
                <w:sz w:val="18"/>
              </w:rPr>
              <w:t>32,918,105.59</w:t>
            </w:r>
            <w:r>
              <w:rPr>
                <w:rFonts w:ascii="宋体"/>
                <w:sz w:val="18"/>
              </w:rPr>
              <w:t>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-3,100,032.96</w:t>
            </w:r>
            <w:r>
              <w:rPr>
                <w:rFonts w:ascii="宋体"/>
                <w:sz w:val="18"/>
              </w:rPr>
              <w:t> </w:t>
            </w:r>
          </w:p>
        </w:tc>
      </w:tr>
      <w:tr>
        <w:trPr>
          <w:trHeight w:val="398" w:hRule="exact"/>
        </w:trPr>
        <w:tc>
          <w:tcPr>
            <w:tcW w:w="5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递延所得税资产减少（增加以“－”号填列）</w:t>
            </w:r>
            <w:r>
              <w:rPr>
                <w:rFonts w:ascii="宋体" w:hAnsi="宋体" w:cs="宋体" w:eastAsia="宋体" w:hint="default"/>
                <w:sz w:val="18"/>
                <w:szCs w:val="18"/>
              </w:rPr>
              <w:t> </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3"/>
              <w:jc w:val="right"/>
              <w:rPr>
                <w:rFonts w:ascii="宋体" w:hAnsi="宋体" w:cs="宋体" w:eastAsia="宋体" w:hint="default"/>
                <w:sz w:val="18"/>
                <w:szCs w:val="18"/>
              </w:rPr>
            </w:pPr>
            <w:r>
              <w:rPr>
                <w:rFonts w:ascii="宋体"/>
                <w:spacing w:val="-1"/>
                <w:sz w:val="18"/>
              </w:rPr>
              <w:t>-12,748,971.35</w:t>
            </w:r>
            <w:r>
              <w:rPr>
                <w:rFonts w:ascii="宋体"/>
                <w:sz w:val="18"/>
              </w:rPr>
              <w:t>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-2,783,047.20</w:t>
            </w:r>
            <w:r>
              <w:rPr>
                <w:rFonts w:ascii="宋体"/>
                <w:sz w:val="18"/>
              </w:rPr>
              <w:t> </w:t>
            </w:r>
          </w:p>
        </w:tc>
      </w:tr>
      <w:tr>
        <w:trPr>
          <w:trHeight w:val="396" w:hRule="exact"/>
        </w:trPr>
        <w:tc>
          <w:tcPr>
            <w:tcW w:w="5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递延所得税负债增加（减少以“－”号填列）</w:t>
            </w:r>
            <w:r>
              <w:rPr>
                <w:rFonts w:ascii="宋体" w:hAnsi="宋体" w:cs="宋体" w:eastAsia="宋体" w:hint="default"/>
                <w:sz w:val="18"/>
                <w:szCs w:val="18"/>
              </w:rPr>
              <w:t> </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3"/>
              <w:jc w:val="right"/>
              <w:rPr>
                <w:rFonts w:ascii="宋体" w:hAnsi="宋体" w:cs="宋体" w:eastAsia="宋体" w:hint="default"/>
                <w:sz w:val="18"/>
                <w:szCs w:val="18"/>
              </w:rPr>
            </w:pPr>
            <w:r>
              <w:rPr>
                <w:rFonts w:ascii="宋体"/>
                <w:spacing w:val="-1"/>
                <w:sz w:val="18"/>
              </w:rPr>
              <w:t>1,635,933.80</w:t>
            </w:r>
            <w:r>
              <w:rPr>
                <w:rFonts w:ascii="宋体"/>
                <w:sz w:val="18"/>
              </w:rPr>
              <w:t>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1,067,070.65</w:t>
            </w:r>
            <w:r>
              <w:rPr>
                <w:rFonts w:ascii="宋体"/>
                <w:sz w:val="18"/>
              </w:rPr>
              <w:t> </w:t>
            </w:r>
          </w:p>
        </w:tc>
      </w:tr>
      <w:tr>
        <w:trPr>
          <w:trHeight w:val="396" w:hRule="exact"/>
        </w:trPr>
        <w:tc>
          <w:tcPr>
            <w:tcW w:w="5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存货的减少（增加以“－”号填列）</w:t>
            </w:r>
            <w:r>
              <w:rPr>
                <w:rFonts w:ascii="宋体" w:hAnsi="宋体" w:cs="宋体" w:eastAsia="宋体" w:hint="default"/>
                <w:sz w:val="18"/>
                <w:szCs w:val="18"/>
              </w:rPr>
              <w:t> </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3"/>
              <w:jc w:val="right"/>
              <w:rPr>
                <w:rFonts w:ascii="宋体" w:hAnsi="宋体" w:cs="宋体" w:eastAsia="宋体" w:hint="default"/>
                <w:sz w:val="18"/>
                <w:szCs w:val="18"/>
              </w:rPr>
            </w:pPr>
            <w:r>
              <w:rPr>
                <w:rFonts w:ascii="宋体"/>
                <w:spacing w:val="-1"/>
                <w:sz w:val="18"/>
              </w:rPr>
              <w:t>16,074,864.20</w:t>
            </w:r>
            <w:r>
              <w:rPr>
                <w:rFonts w:ascii="宋体"/>
                <w:sz w:val="18"/>
              </w:rPr>
              <w:t>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-42,394,545.18</w:t>
            </w:r>
            <w:r>
              <w:rPr>
                <w:rFonts w:ascii="宋体"/>
                <w:sz w:val="18"/>
              </w:rPr>
              <w:t> </w:t>
            </w:r>
          </w:p>
        </w:tc>
      </w:tr>
      <w:tr>
        <w:trPr>
          <w:trHeight w:val="398" w:hRule="exact"/>
        </w:trPr>
        <w:tc>
          <w:tcPr>
            <w:tcW w:w="5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经营性应收项目的减少（增加以“－”号填列）</w:t>
            </w:r>
            <w:r>
              <w:rPr>
                <w:rFonts w:ascii="宋体" w:hAnsi="宋体" w:cs="宋体" w:eastAsia="宋体" w:hint="default"/>
                <w:sz w:val="18"/>
                <w:szCs w:val="18"/>
              </w:rPr>
              <w:t> </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
              <w:jc w:val="right"/>
              <w:rPr>
                <w:rFonts w:ascii="宋体" w:hAnsi="宋体" w:cs="宋体" w:eastAsia="宋体" w:hint="default"/>
                <w:sz w:val="18"/>
                <w:szCs w:val="18"/>
              </w:rPr>
            </w:pPr>
            <w:r>
              <w:rPr>
                <w:rFonts w:ascii="宋体"/>
                <w:spacing w:val="-1"/>
                <w:sz w:val="18"/>
              </w:rPr>
              <w:t>164,373,624.87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-444,132,457.70 </w:t>
            </w:r>
          </w:p>
        </w:tc>
      </w:tr>
      <w:tr>
        <w:trPr>
          <w:trHeight w:val="396" w:hRule="exact"/>
        </w:trPr>
        <w:tc>
          <w:tcPr>
            <w:tcW w:w="5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经营性应付项目的增加（减少以“－”号填列）</w:t>
            </w:r>
            <w:r>
              <w:rPr>
                <w:rFonts w:ascii="宋体" w:hAnsi="宋体" w:cs="宋体" w:eastAsia="宋体" w:hint="default"/>
                <w:sz w:val="18"/>
                <w:szCs w:val="18"/>
              </w:rPr>
              <w:t> </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3"/>
              <w:jc w:val="right"/>
              <w:rPr>
                <w:rFonts w:ascii="宋体" w:hAnsi="宋体" w:cs="宋体" w:eastAsia="宋体" w:hint="default"/>
                <w:sz w:val="18"/>
                <w:szCs w:val="18"/>
              </w:rPr>
            </w:pPr>
            <w:r>
              <w:rPr>
                <w:rFonts w:ascii="宋体"/>
                <w:spacing w:val="-1"/>
                <w:sz w:val="18"/>
              </w:rPr>
              <w:t>2,466,188.02</w:t>
            </w:r>
            <w:r>
              <w:rPr>
                <w:rFonts w:ascii="宋体"/>
                <w:sz w:val="18"/>
              </w:rPr>
              <w:t>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80,138,803.06</w:t>
            </w:r>
            <w:r>
              <w:rPr>
                <w:rFonts w:ascii="宋体"/>
                <w:sz w:val="18"/>
              </w:rPr>
              <w:t> </w:t>
            </w:r>
          </w:p>
        </w:tc>
      </w:tr>
      <w:tr>
        <w:trPr>
          <w:trHeight w:val="398" w:hRule="exact"/>
        </w:trPr>
        <w:tc>
          <w:tcPr>
            <w:tcW w:w="5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其他</w:t>
            </w:r>
            <w:r>
              <w:rPr>
                <w:rFonts w:ascii="宋体" w:hAnsi="宋体" w:cs="宋体" w:eastAsia="宋体" w:hint="default"/>
                <w:sz w:val="18"/>
                <w:szCs w:val="18"/>
              </w:rPr>
              <w:t> </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3"/>
              <w:jc w:val="right"/>
              <w:rPr>
                <w:rFonts w:ascii="宋体" w:hAnsi="宋体" w:cs="宋体" w:eastAsia="宋体" w:hint="default"/>
                <w:sz w:val="18"/>
                <w:szCs w:val="18"/>
              </w:rPr>
            </w:pPr>
            <w:r>
              <w:rPr>
                <w:rFonts w:ascii="宋体"/>
                <w:sz w:val="18"/>
              </w:rPr>
              <w:t>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z w:val="18"/>
              </w:rPr>
              <w:t> </w:t>
            </w:r>
          </w:p>
        </w:tc>
      </w:tr>
      <w:tr>
        <w:trPr>
          <w:trHeight w:val="396" w:hRule="exact"/>
        </w:trPr>
        <w:tc>
          <w:tcPr>
            <w:tcW w:w="5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r>
              <w:rPr>
                <w:rFonts w:ascii="宋体" w:hAnsi="宋体" w:cs="宋体" w:eastAsia="宋体" w:hint="default"/>
                <w:sz w:val="18"/>
                <w:szCs w:val="18"/>
              </w:rPr>
              <w:t> </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3"/>
              <w:jc w:val="right"/>
              <w:rPr>
                <w:rFonts w:ascii="宋体" w:hAnsi="宋体" w:cs="宋体" w:eastAsia="宋体" w:hint="default"/>
                <w:sz w:val="18"/>
                <w:szCs w:val="18"/>
              </w:rPr>
            </w:pPr>
            <w:r>
              <w:rPr>
                <w:rFonts w:ascii="宋体"/>
                <w:spacing w:val="-1"/>
                <w:sz w:val="18"/>
              </w:rPr>
              <w:t>414,811,466.10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-89,314,795.04</w:t>
            </w:r>
            <w:r>
              <w:rPr>
                <w:rFonts w:ascii="宋体"/>
                <w:sz w:val="18"/>
              </w:rPr>
              <w:t> </w:t>
            </w:r>
          </w:p>
        </w:tc>
      </w:tr>
      <w:tr>
        <w:trPr>
          <w:trHeight w:val="399" w:hRule="exact"/>
        </w:trPr>
        <w:tc>
          <w:tcPr>
            <w:tcW w:w="5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．不涉及现金收支的重大活动：</w:t>
            </w:r>
            <w:r>
              <w:rPr>
                <w:rFonts w:ascii="宋体" w:hAnsi="宋体" w:cs="宋体" w:eastAsia="宋体" w:hint="default"/>
                <w:sz w:val="18"/>
                <w:szCs w:val="18"/>
              </w:rPr>
              <w:t> </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
              <w:jc w:val="right"/>
              <w:rPr>
                <w:rFonts w:ascii="宋体" w:hAnsi="宋体" w:cs="宋体" w:eastAsia="宋体" w:hint="default"/>
                <w:sz w:val="18"/>
                <w:szCs w:val="18"/>
              </w:rPr>
            </w:pPr>
            <w:r>
              <w:rPr>
                <w:rFonts w:ascii="宋体"/>
                <w:sz w:val="18"/>
              </w:rPr>
              <w:t>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z w:val="18"/>
              </w:rPr>
              <w:t> </w:t>
            </w:r>
          </w:p>
        </w:tc>
      </w:tr>
      <w:tr>
        <w:trPr>
          <w:trHeight w:val="396" w:hRule="exact"/>
        </w:trPr>
        <w:tc>
          <w:tcPr>
            <w:tcW w:w="5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销售商品、提供劳务收到的银行承兑汇票背书转让的金额</w:t>
            </w:r>
            <w:r>
              <w:rPr>
                <w:rFonts w:ascii="宋体" w:hAnsi="宋体" w:cs="宋体" w:eastAsia="宋体" w:hint="default"/>
                <w:sz w:val="18"/>
                <w:szCs w:val="18"/>
              </w:rPr>
              <w:t> </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3"/>
              <w:jc w:val="right"/>
              <w:rPr>
                <w:rFonts w:ascii="宋体" w:hAnsi="宋体" w:cs="宋体" w:eastAsia="宋体" w:hint="default"/>
                <w:sz w:val="18"/>
                <w:szCs w:val="18"/>
              </w:rPr>
            </w:pPr>
            <w:r>
              <w:rPr>
                <w:rFonts w:ascii="宋体"/>
                <w:sz w:val="18"/>
              </w:rPr>
              <w:t>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z w:val="18"/>
              </w:rPr>
              <w:t> </w:t>
            </w:r>
          </w:p>
        </w:tc>
      </w:tr>
      <w:tr>
        <w:trPr>
          <w:trHeight w:val="396" w:hRule="exact"/>
        </w:trPr>
        <w:tc>
          <w:tcPr>
            <w:tcW w:w="5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债务转为资本</w:t>
            </w:r>
            <w:r>
              <w:rPr>
                <w:rFonts w:ascii="宋体" w:hAnsi="宋体" w:cs="宋体" w:eastAsia="宋体" w:hint="default"/>
                <w:sz w:val="18"/>
                <w:szCs w:val="18"/>
              </w:rPr>
              <w:t> </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3"/>
              <w:jc w:val="right"/>
              <w:rPr>
                <w:rFonts w:ascii="宋体" w:hAnsi="宋体" w:cs="宋体" w:eastAsia="宋体" w:hint="default"/>
                <w:sz w:val="18"/>
                <w:szCs w:val="18"/>
              </w:rPr>
            </w:pPr>
            <w:r>
              <w:rPr>
                <w:rFonts w:ascii="宋体"/>
                <w:sz w:val="18"/>
              </w:rPr>
              <w:t>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z w:val="18"/>
              </w:rPr>
              <w:t> </w:t>
            </w:r>
          </w:p>
        </w:tc>
      </w:tr>
      <w:tr>
        <w:trPr>
          <w:trHeight w:val="398" w:hRule="exact"/>
        </w:trPr>
        <w:tc>
          <w:tcPr>
            <w:tcW w:w="5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一年内到期的可转换公司债券</w:t>
            </w:r>
            <w:r>
              <w:rPr>
                <w:rFonts w:ascii="宋体" w:hAnsi="宋体" w:cs="宋体" w:eastAsia="宋体" w:hint="default"/>
                <w:sz w:val="18"/>
                <w:szCs w:val="18"/>
              </w:rPr>
              <w:t> </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
              <w:jc w:val="right"/>
              <w:rPr>
                <w:rFonts w:ascii="宋体" w:hAnsi="宋体" w:cs="宋体" w:eastAsia="宋体" w:hint="default"/>
                <w:sz w:val="18"/>
                <w:szCs w:val="18"/>
              </w:rPr>
            </w:pPr>
            <w:r>
              <w:rPr>
                <w:rFonts w:ascii="宋体"/>
                <w:sz w:val="18"/>
              </w:rPr>
              <w:t>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z w:val="18"/>
              </w:rPr>
              <w:t> </w:t>
            </w:r>
          </w:p>
        </w:tc>
      </w:tr>
      <w:tr>
        <w:trPr>
          <w:trHeight w:val="396" w:hRule="exact"/>
        </w:trPr>
        <w:tc>
          <w:tcPr>
            <w:tcW w:w="5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融资租入固定资产</w:t>
            </w:r>
            <w:r>
              <w:rPr>
                <w:rFonts w:ascii="宋体" w:hAnsi="宋体" w:cs="宋体" w:eastAsia="宋体" w:hint="default"/>
                <w:sz w:val="18"/>
                <w:szCs w:val="18"/>
              </w:rPr>
              <w:t> </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3"/>
              <w:jc w:val="right"/>
              <w:rPr>
                <w:rFonts w:ascii="宋体" w:hAnsi="宋体" w:cs="宋体" w:eastAsia="宋体" w:hint="default"/>
                <w:sz w:val="18"/>
                <w:szCs w:val="18"/>
              </w:rPr>
            </w:pPr>
            <w:r>
              <w:rPr>
                <w:rFonts w:ascii="宋体"/>
                <w:sz w:val="18"/>
              </w:rPr>
              <w:t>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z w:val="18"/>
              </w:rPr>
              <w:t> </w:t>
            </w:r>
          </w:p>
        </w:tc>
      </w:tr>
      <w:tr>
        <w:trPr>
          <w:trHeight w:val="398" w:hRule="exact"/>
        </w:trPr>
        <w:tc>
          <w:tcPr>
            <w:tcW w:w="5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．现金及现金等价物净变动情况：</w:t>
            </w:r>
            <w:r>
              <w:rPr>
                <w:rFonts w:ascii="宋体" w:hAnsi="宋体" w:cs="宋体" w:eastAsia="宋体" w:hint="default"/>
                <w:sz w:val="18"/>
                <w:szCs w:val="18"/>
              </w:rPr>
              <w:t> </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3"/>
              <w:jc w:val="right"/>
              <w:rPr>
                <w:rFonts w:ascii="宋体" w:hAnsi="宋体" w:cs="宋体" w:eastAsia="宋体" w:hint="default"/>
                <w:sz w:val="18"/>
                <w:szCs w:val="18"/>
              </w:rPr>
            </w:pPr>
            <w:r>
              <w:rPr>
                <w:rFonts w:ascii="宋体"/>
                <w:sz w:val="18"/>
              </w:rPr>
              <w:t>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z w:val="18"/>
              </w:rPr>
              <w:t> </w:t>
            </w:r>
          </w:p>
        </w:tc>
      </w:tr>
    </w:tbl>
    <w:p>
      <w:pPr>
        <w:spacing w:after="0" w:line="240" w:lineRule="auto"/>
        <w:jc w:val="right"/>
        <w:rPr>
          <w:rFonts w:ascii="宋体" w:hAnsi="宋体" w:cs="宋体" w:eastAsia="宋体" w:hint="default"/>
          <w:sz w:val="18"/>
          <w:szCs w:val="18"/>
        </w:rPr>
        <w:sectPr>
          <w:pgSz w:w="11910" w:h="16840"/>
          <w:pgMar w:header="880" w:footer="975" w:top="1100" w:bottom="1160" w:left="1160" w:right="0"/>
        </w:sectPr>
      </w:pPr>
    </w:p>
    <w:p>
      <w:pPr>
        <w:spacing w:line="240" w:lineRule="auto" w:before="8"/>
        <w:rPr>
          <w:rFonts w:ascii="宋体" w:hAnsi="宋体" w:cs="宋体" w:eastAsia="宋体" w:hint="default"/>
          <w:sz w:val="24"/>
          <w:szCs w:val="24"/>
        </w:rPr>
      </w:pPr>
    </w:p>
    <w:tbl>
      <w:tblPr>
        <w:tblW w:w="0" w:type="auto"/>
        <w:jc w:val="left"/>
        <w:tblInd w:w="263" w:type="dxa"/>
        <w:tblLayout w:type="fixed"/>
        <w:tblCellMar>
          <w:top w:w="0" w:type="dxa"/>
          <w:left w:w="0" w:type="dxa"/>
          <w:bottom w:w="0" w:type="dxa"/>
          <w:right w:w="0" w:type="dxa"/>
        </w:tblCellMar>
        <w:tblLook w:val="01E0"/>
      </w:tblPr>
      <w:tblGrid>
        <w:gridCol w:w="5809"/>
        <w:gridCol w:w="1951"/>
        <w:gridCol w:w="1745"/>
      </w:tblGrid>
      <w:tr>
        <w:trPr>
          <w:trHeight w:val="396" w:hRule="exact"/>
        </w:trPr>
        <w:tc>
          <w:tcPr>
            <w:tcW w:w="5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9" w:right="0"/>
              <w:jc w:val="center"/>
              <w:rPr>
                <w:rFonts w:ascii="宋体" w:hAnsi="宋体" w:cs="宋体" w:eastAsia="宋体" w:hint="default"/>
                <w:sz w:val="18"/>
                <w:szCs w:val="18"/>
              </w:rPr>
            </w:pPr>
            <w:r>
              <w:rPr>
                <w:rFonts w:ascii="宋体" w:hAnsi="宋体" w:cs="宋体" w:eastAsia="宋体" w:hint="default"/>
                <w:sz w:val="18"/>
                <w:szCs w:val="18"/>
              </w:rPr>
              <w:t>补充资料</w:t>
            </w:r>
            <w:r>
              <w:rPr>
                <w:rFonts w:ascii="宋体" w:hAnsi="宋体" w:cs="宋体" w:eastAsia="宋体" w:hint="default"/>
                <w:sz w:val="18"/>
                <w:szCs w:val="18"/>
              </w:rPr>
              <w:t> </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609" w:right="0"/>
              <w:jc w:val="left"/>
              <w:rPr>
                <w:rFonts w:ascii="宋体" w:hAnsi="宋体" w:cs="宋体" w:eastAsia="宋体" w:hint="default"/>
                <w:sz w:val="18"/>
                <w:szCs w:val="18"/>
              </w:rPr>
            </w:pPr>
            <w:r>
              <w:rPr>
                <w:rFonts w:ascii="宋体" w:hAnsi="宋体" w:cs="宋体" w:eastAsia="宋体" w:hint="default"/>
                <w:sz w:val="18"/>
                <w:szCs w:val="18"/>
              </w:rPr>
              <w:t>本期金额</w:t>
            </w:r>
            <w:r>
              <w:rPr>
                <w:rFonts w:ascii="宋体" w:hAnsi="宋体" w:cs="宋体" w:eastAsia="宋体" w:hint="default"/>
                <w:sz w:val="18"/>
                <w:szCs w:val="18"/>
              </w:rPr>
              <w:t>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09" w:right="0"/>
              <w:jc w:val="left"/>
              <w:rPr>
                <w:rFonts w:ascii="宋体" w:hAnsi="宋体" w:cs="宋体" w:eastAsia="宋体" w:hint="default"/>
                <w:sz w:val="18"/>
                <w:szCs w:val="18"/>
              </w:rPr>
            </w:pPr>
            <w:r>
              <w:rPr>
                <w:rFonts w:ascii="宋体" w:hAnsi="宋体" w:cs="宋体" w:eastAsia="宋体" w:hint="default"/>
                <w:sz w:val="18"/>
                <w:szCs w:val="18"/>
              </w:rPr>
              <w:t>上期金额</w:t>
            </w:r>
            <w:r>
              <w:rPr>
                <w:rFonts w:ascii="宋体" w:hAnsi="宋体" w:cs="宋体" w:eastAsia="宋体" w:hint="default"/>
                <w:sz w:val="18"/>
                <w:szCs w:val="18"/>
              </w:rPr>
              <w:t> </w:t>
            </w:r>
          </w:p>
        </w:tc>
      </w:tr>
      <w:tr>
        <w:trPr>
          <w:trHeight w:val="399" w:hRule="exact"/>
        </w:trPr>
        <w:tc>
          <w:tcPr>
            <w:tcW w:w="5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现金的期末余额</w:t>
            </w:r>
            <w:r>
              <w:rPr>
                <w:rFonts w:ascii="宋体" w:hAnsi="宋体" w:cs="宋体" w:eastAsia="宋体" w:hint="default"/>
                <w:sz w:val="18"/>
                <w:szCs w:val="18"/>
              </w:rPr>
              <w:t> </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
              <w:jc w:val="right"/>
              <w:rPr>
                <w:rFonts w:ascii="宋体" w:hAnsi="宋体" w:cs="宋体" w:eastAsia="宋体" w:hint="default"/>
                <w:sz w:val="18"/>
                <w:szCs w:val="18"/>
              </w:rPr>
            </w:pPr>
            <w:r>
              <w:rPr>
                <w:rFonts w:ascii="宋体"/>
                <w:spacing w:val="-1"/>
                <w:sz w:val="18"/>
              </w:rPr>
              <w:t>805,296,434.32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678,057,434.70 </w:t>
            </w:r>
          </w:p>
        </w:tc>
      </w:tr>
      <w:tr>
        <w:trPr>
          <w:trHeight w:val="396" w:hRule="exact"/>
        </w:trPr>
        <w:tc>
          <w:tcPr>
            <w:tcW w:w="5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减：现金的期初余额</w:t>
            </w:r>
            <w:r>
              <w:rPr>
                <w:rFonts w:ascii="宋体" w:hAnsi="宋体" w:cs="宋体" w:eastAsia="宋体" w:hint="default"/>
                <w:sz w:val="18"/>
                <w:szCs w:val="18"/>
              </w:rPr>
              <w:t> </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
              <w:jc w:val="right"/>
              <w:rPr>
                <w:rFonts w:ascii="宋体" w:hAnsi="宋体" w:cs="宋体" w:eastAsia="宋体" w:hint="default"/>
                <w:sz w:val="18"/>
                <w:szCs w:val="18"/>
              </w:rPr>
            </w:pPr>
            <w:r>
              <w:rPr>
                <w:rFonts w:ascii="宋体"/>
                <w:spacing w:val="-1"/>
                <w:sz w:val="18"/>
              </w:rPr>
              <w:t>678,057,434.70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345,057,871.73 </w:t>
            </w:r>
          </w:p>
        </w:tc>
      </w:tr>
      <w:tr>
        <w:trPr>
          <w:trHeight w:val="398" w:hRule="exact"/>
        </w:trPr>
        <w:tc>
          <w:tcPr>
            <w:tcW w:w="5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加：现金等价物的期末余额</w:t>
            </w:r>
            <w:r>
              <w:rPr>
                <w:rFonts w:ascii="宋体" w:hAnsi="宋体" w:cs="宋体" w:eastAsia="宋体" w:hint="default"/>
                <w:sz w:val="18"/>
                <w:szCs w:val="18"/>
              </w:rPr>
              <w:t> </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
              <w:jc w:val="right"/>
              <w:rPr>
                <w:rFonts w:ascii="宋体" w:hAnsi="宋体" w:cs="宋体" w:eastAsia="宋体" w:hint="default"/>
                <w:sz w:val="18"/>
                <w:szCs w:val="18"/>
              </w:rPr>
            </w:pPr>
            <w:r>
              <w:rPr>
                <w:rFonts w:ascii="宋体"/>
                <w:sz w:val="18"/>
              </w:rPr>
              <w:t>-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z w:val="18"/>
              </w:rPr>
              <w:t>- </w:t>
            </w:r>
          </w:p>
        </w:tc>
      </w:tr>
      <w:tr>
        <w:trPr>
          <w:trHeight w:val="396" w:hRule="exact"/>
        </w:trPr>
        <w:tc>
          <w:tcPr>
            <w:tcW w:w="5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减：现金等价物的期初余额</w:t>
            </w:r>
            <w:r>
              <w:rPr>
                <w:rFonts w:ascii="宋体" w:hAnsi="宋体" w:cs="宋体" w:eastAsia="宋体" w:hint="default"/>
                <w:sz w:val="18"/>
                <w:szCs w:val="18"/>
              </w:rPr>
              <w:t> </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3"/>
              <w:jc w:val="right"/>
              <w:rPr>
                <w:rFonts w:ascii="宋体" w:hAnsi="宋体" w:cs="宋体" w:eastAsia="宋体" w:hint="default"/>
                <w:sz w:val="18"/>
                <w:szCs w:val="18"/>
              </w:rPr>
            </w:pPr>
            <w:r>
              <w:rPr>
                <w:rFonts w:ascii="宋体"/>
                <w:sz w:val="18"/>
              </w:rPr>
              <w:t>-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z w:val="18"/>
              </w:rPr>
              <w:t>- </w:t>
            </w:r>
          </w:p>
        </w:tc>
      </w:tr>
      <w:tr>
        <w:trPr>
          <w:trHeight w:val="398" w:hRule="exact"/>
        </w:trPr>
        <w:tc>
          <w:tcPr>
            <w:tcW w:w="58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r>
              <w:rPr>
                <w:rFonts w:ascii="宋体" w:hAnsi="宋体" w:cs="宋体" w:eastAsia="宋体" w:hint="default"/>
                <w:sz w:val="18"/>
                <w:szCs w:val="18"/>
              </w:rPr>
              <w:t> </w:t>
            </w:r>
          </w:p>
        </w:tc>
        <w:tc>
          <w:tcPr>
            <w:tcW w:w="19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
              <w:jc w:val="right"/>
              <w:rPr>
                <w:rFonts w:ascii="宋体" w:hAnsi="宋体" w:cs="宋体" w:eastAsia="宋体" w:hint="default"/>
                <w:sz w:val="18"/>
                <w:szCs w:val="18"/>
              </w:rPr>
            </w:pPr>
            <w:r>
              <w:rPr>
                <w:rFonts w:ascii="宋体"/>
                <w:spacing w:val="-1"/>
                <w:sz w:val="18"/>
              </w:rPr>
              <w:t>127,238,999.62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332,999,562.97 </w:t>
            </w:r>
          </w:p>
        </w:tc>
      </w:tr>
    </w:tbl>
    <w:p>
      <w:pPr>
        <w:spacing w:line="240" w:lineRule="auto" w:before="7"/>
        <w:rPr>
          <w:rFonts w:ascii="宋体" w:hAnsi="宋体" w:cs="宋体" w:eastAsia="宋体" w:hint="default"/>
          <w:sz w:val="6"/>
          <w:szCs w:val="6"/>
        </w:rPr>
      </w:pPr>
    </w:p>
    <w:p>
      <w:pPr>
        <w:pStyle w:val="BodyText"/>
        <w:spacing w:line="240" w:lineRule="auto" w:before="36"/>
        <w:ind w:left="566" w:right="1146"/>
        <w:jc w:val="left"/>
        <w:rPr>
          <w:rFonts w:ascii="宋体" w:hAnsi="宋体" w:cs="宋体" w:eastAsia="宋体" w:hint="default"/>
        </w:rPr>
      </w:pPr>
      <w:r>
        <w:rPr>
          <w:rFonts w:ascii="宋体" w:hAnsi="宋体" w:cs="宋体" w:eastAsia="宋体" w:hint="default"/>
          <w:b/>
          <w:bCs/>
        </w:rPr>
        <w:t>2</w:t>
      </w:r>
      <w:r>
        <w:rPr>
          <w:rFonts w:ascii="宋体" w:hAnsi="宋体" w:cs="宋体" w:eastAsia="宋体" w:hint="default"/>
          <w:b/>
          <w:bCs/>
        </w:rPr>
        <w:t>、</w:t>
      </w:r>
      <w:r>
        <w:rPr/>
        <w:t>本期支付的取得子公司的现金净额</w:t>
      </w:r>
      <w:r>
        <w:rPr>
          <w:rFonts w:ascii="宋体" w:hAnsi="宋体" w:cs="宋体" w:eastAsia="宋体" w:hint="default"/>
        </w:rPr>
        <w:t> </w:t>
      </w:r>
    </w:p>
    <w:p>
      <w:pPr>
        <w:spacing w:line="240" w:lineRule="auto" w:before="3"/>
        <w:rPr>
          <w:rFonts w:ascii="宋体" w:hAnsi="宋体" w:cs="宋体" w:eastAsia="宋体" w:hint="default"/>
          <w:sz w:val="14"/>
          <w:szCs w:val="14"/>
        </w:rPr>
      </w:pPr>
    </w:p>
    <w:tbl>
      <w:tblPr>
        <w:tblW w:w="0" w:type="auto"/>
        <w:jc w:val="left"/>
        <w:tblInd w:w="119" w:type="dxa"/>
        <w:tblLayout w:type="fixed"/>
        <w:tblCellMar>
          <w:top w:w="0" w:type="dxa"/>
          <w:left w:w="0" w:type="dxa"/>
          <w:bottom w:w="0" w:type="dxa"/>
          <w:right w:w="0" w:type="dxa"/>
        </w:tblCellMar>
        <w:tblLook w:val="01E0"/>
      </w:tblPr>
      <w:tblGrid>
        <w:gridCol w:w="5276"/>
        <w:gridCol w:w="4287"/>
      </w:tblGrid>
      <w:tr>
        <w:trPr>
          <w:trHeight w:val="398" w:hRule="exact"/>
        </w:trPr>
        <w:tc>
          <w:tcPr>
            <w:tcW w:w="5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0"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4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 w:right="0"/>
              <w:jc w:val="center"/>
              <w:rPr>
                <w:rFonts w:ascii="宋体" w:hAnsi="宋体" w:cs="宋体" w:eastAsia="宋体" w:hint="default"/>
                <w:sz w:val="18"/>
                <w:szCs w:val="18"/>
              </w:rPr>
            </w:pPr>
            <w:r>
              <w:rPr>
                <w:rFonts w:ascii="宋体" w:hAnsi="宋体" w:cs="宋体" w:eastAsia="宋体" w:hint="default"/>
                <w:sz w:val="18"/>
                <w:szCs w:val="18"/>
              </w:rPr>
              <w:t>金额</w:t>
            </w:r>
            <w:r>
              <w:rPr>
                <w:rFonts w:ascii="宋体" w:hAnsi="宋体" w:cs="宋体" w:eastAsia="宋体" w:hint="default"/>
                <w:sz w:val="18"/>
                <w:szCs w:val="18"/>
              </w:rPr>
              <w:t> </w:t>
            </w:r>
          </w:p>
        </w:tc>
      </w:tr>
      <w:tr>
        <w:trPr>
          <w:trHeight w:val="396" w:hRule="exact"/>
        </w:trPr>
        <w:tc>
          <w:tcPr>
            <w:tcW w:w="5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6" w:right="0"/>
              <w:jc w:val="left"/>
              <w:rPr>
                <w:rFonts w:ascii="宋体" w:hAnsi="宋体" w:cs="宋体" w:eastAsia="宋体" w:hint="default"/>
                <w:sz w:val="18"/>
                <w:szCs w:val="18"/>
              </w:rPr>
            </w:pPr>
            <w:r>
              <w:rPr>
                <w:rFonts w:ascii="宋体" w:hAnsi="宋体" w:cs="宋体" w:eastAsia="宋体" w:hint="default"/>
                <w:sz w:val="18"/>
                <w:szCs w:val="18"/>
              </w:rPr>
              <w:t>本期发生的企业合并于本期支付的现金或现金等价物</w:t>
            </w:r>
            <w:r>
              <w:rPr>
                <w:rFonts w:ascii="宋体" w:hAnsi="宋体" w:cs="宋体" w:eastAsia="宋体" w:hint="default"/>
                <w:sz w:val="18"/>
                <w:szCs w:val="18"/>
              </w:rPr>
              <w:t> </w:t>
            </w:r>
          </w:p>
        </w:tc>
        <w:tc>
          <w:tcPr>
            <w:tcW w:w="4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r>
      <w:tr>
        <w:trPr>
          <w:trHeight w:val="396" w:hRule="exact"/>
        </w:trPr>
        <w:tc>
          <w:tcPr>
            <w:tcW w:w="5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6" w:right="0"/>
              <w:jc w:val="left"/>
              <w:rPr>
                <w:rFonts w:ascii="宋体" w:hAnsi="宋体" w:cs="宋体" w:eastAsia="宋体" w:hint="default"/>
                <w:sz w:val="18"/>
                <w:szCs w:val="18"/>
              </w:rPr>
            </w:pPr>
            <w:r>
              <w:rPr>
                <w:rFonts w:ascii="宋体" w:hAnsi="宋体" w:cs="宋体" w:eastAsia="宋体" w:hint="default"/>
                <w:sz w:val="18"/>
                <w:szCs w:val="18"/>
              </w:rPr>
              <w:t>支付购买南京石鼓文信息技术有限公司</w:t>
            </w:r>
            <w:r>
              <w:rPr>
                <w:rFonts w:ascii="宋体" w:hAnsi="宋体" w:cs="宋体" w:eastAsia="宋体" w:hint="default"/>
                <w:sz w:val="18"/>
                <w:szCs w:val="18"/>
              </w:rPr>
              <w:t> </w:t>
            </w:r>
          </w:p>
        </w:tc>
        <w:tc>
          <w:tcPr>
            <w:tcW w:w="4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z w:val="18"/>
              </w:rPr>
              <w:t> </w:t>
            </w:r>
            <w:r>
              <w:rPr>
                <w:rFonts w:ascii="宋体"/>
                <w:spacing w:val="-1"/>
                <w:sz w:val="18"/>
              </w:rPr>
              <w:t>275,000.00</w:t>
            </w:r>
            <w:r>
              <w:rPr>
                <w:rFonts w:ascii="宋体"/>
                <w:sz w:val="18"/>
              </w:rPr>
              <w:t> </w:t>
            </w:r>
          </w:p>
        </w:tc>
      </w:tr>
      <w:tr>
        <w:trPr>
          <w:trHeight w:val="399" w:hRule="exact"/>
        </w:trPr>
        <w:tc>
          <w:tcPr>
            <w:tcW w:w="5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6" w:right="0"/>
              <w:jc w:val="left"/>
              <w:rPr>
                <w:rFonts w:ascii="宋体" w:hAnsi="宋体" w:cs="宋体" w:eastAsia="宋体" w:hint="default"/>
                <w:sz w:val="18"/>
                <w:szCs w:val="18"/>
              </w:rPr>
            </w:pPr>
            <w:r>
              <w:rPr>
                <w:rFonts w:ascii="宋体" w:hAnsi="宋体" w:cs="宋体" w:eastAsia="宋体" w:hint="default"/>
                <w:sz w:val="18"/>
                <w:szCs w:val="18"/>
              </w:rPr>
              <w:t>减：购买日子公司持有的现金及现金等价物</w:t>
            </w:r>
            <w:r>
              <w:rPr>
                <w:rFonts w:ascii="宋体" w:hAnsi="宋体" w:cs="宋体" w:eastAsia="宋体" w:hint="default"/>
                <w:sz w:val="18"/>
                <w:szCs w:val="18"/>
              </w:rPr>
              <w:t> </w:t>
            </w:r>
          </w:p>
        </w:tc>
        <w:tc>
          <w:tcPr>
            <w:tcW w:w="4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r>
      <w:tr>
        <w:trPr>
          <w:trHeight w:val="396" w:hRule="exact"/>
        </w:trPr>
        <w:tc>
          <w:tcPr>
            <w:tcW w:w="5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6" w:right="0"/>
              <w:jc w:val="left"/>
              <w:rPr>
                <w:rFonts w:ascii="宋体" w:hAnsi="宋体" w:cs="宋体" w:eastAsia="宋体" w:hint="default"/>
                <w:sz w:val="18"/>
                <w:szCs w:val="18"/>
              </w:rPr>
            </w:pPr>
            <w:r>
              <w:rPr>
                <w:rFonts w:ascii="宋体" w:hAnsi="宋体" w:cs="宋体" w:eastAsia="宋体" w:hint="default"/>
                <w:sz w:val="18"/>
                <w:szCs w:val="18"/>
              </w:rPr>
              <w:t>加：以前期间发生的企业合并于本期支付的现金或现金等价物</w:t>
            </w:r>
            <w:r>
              <w:rPr>
                <w:rFonts w:ascii="宋体" w:hAnsi="宋体" w:cs="宋体" w:eastAsia="宋体" w:hint="default"/>
                <w:sz w:val="18"/>
                <w:szCs w:val="18"/>
              </w:rPr>
              <w:t> </w:t>
            </w:r>
          </w:p>
        </w:tc>
        <w:tc>
          <w:tcPr>
            <w:tcW w:w="4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r>
      <w:tr>
        <w:trPr>
          <w:trHeight w:val="398" w:hRule="exact"/>
        </w:trPr>
        <w:tc>
          <w:tcPr>
            <w:tcW w:w="5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553" w:right="0"/>
              <w:jc w:val="left"/>
              <w:rPr>
                <w:rFonts w:ascii="宋体" w:hAnsi="宋体" w:cs="宋体" w:eastAsia="宋体" w:hint="default"/>
                <w:sz w:val="18"/>
                <w:szCs w:val="18"/>
              </w:rPr>
            </w:pPr>
            <w:r>
              <w:rPr>
                <w:rFonts w:ascii="宋体" w:hAnsi="宋体" w:cs="宋体" w:eastAsia="宋体" w:hint="default"/>
                <w:sz w:val="18"/>
                <w:szCs w:val="18"/>
              </w:rPr>
              <w:t>取得子公司支付的现金净额</w:t>
            </w:r>
            <w:r>
              <w:rPr>
                <w:rFonts w:ascii="宋体" w:hAnsi="宋体" w:cs="宋体" w:eastAsia="宋体" w:hint="default"/>
                <w:sz w:val="18"/>
                <w:szCs w:val="18"/>
              </w:rPr>
              <w:t> </w:t>
            </w:r>
          </w:p>
        </w:tc>
        <w:tc>
          <w:tcPr>
            <w:tcW w:w="42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z w:val="18"/>
              </w:rPr>
              <w:t> </w:t>
            </w:r>
            <w:r>
              <w:rPr>
                <w:rFonts w:ascii="宋体"/>
                <w:spacing w:val="-1"/>
                <w:sz w:val="18"/>
              </w:rPr>
              <w:t>275,000.00</w:t>
            </w:r>
            <w:r>
              <w:rPr>
                <w:rFonts w:ascii="宋体"/>
                <w:sz w:val="18"/>
              </w:rPr>
              <w:t> </w:t>
            </w:r>
          </w:p>
        </w:tc>
      </w:tr>
    </w:tbl>
    <w:p>
      <w:pPr>
        <w:spacing w:line="240" w:lineRule="auto" w:before="7"/>
        <w:rPr>
          <w:rFonts w:ascii="宋体" w:hAnsi="宋体" w:cs="宋体" w:eastAsia="宋体" w:hint="default"/>
          <w:sz w:val="6"/>
          <w:szCs w:val="6"/>
        </w:rPr>
      </w:pPr>
    </w:p>
    <w:p>
      <w:pPr>
        <w:pStyle w:val="BodyText"/>
        <w:spacing w:line="240" w:lineRule="auto" w:before="36"/>
        <w:ind w:left="566" w:right="1146"/>
        <w:jc w:val="left"/>
        <w:rPr>
          <w:rFonts w:ascii="宋体" w:hAnsi="宋体" w:cs="宋体" w:eastAsia="宋体" w:hint="default"/>
        </w:rPr>
      </w:pPr>
      <w:r>
        <w:rPr>
          <w:rFonts w:ascii="宋体" w:hAnsi="宋体" w:cs="宋体" w:eastAsia="宋体" w:hint="default"/>
          <w:b/>
          <w:bCs/>
        </w:rPr>
        <w:t>3</w:t>
      </w:r>
      <w:r>
        <w:rPr>
          <w:rFonts w:ascii="宋体" w:hAnsi="宋体" w:cs="宋体" w:eastAsia="宋体" w:hint="default"/>
          <w:b/>
          <w:bCs/>
        </w:rPr>
        <w:t>、</w:t>
      </w:r>
      <w:r>
        <w:rPr/>
        <w:t>现金和现金等价物的构成</w:t>
      </w:r>
      <w:r>
        <w:rPr>
          <w:rFonts w:ascii="宋体" w:hAnsi="宋体" w:cs="宋体" w:eastAsia="宋体" w:hint="default"/>
        </w:rPr>
        <w:t> </w:t>
      </w:r>
    </w:p>
    <w:p>
      <w:pPr>
        <w:spacing w:line="240" w:lineRule="auto" w:before="3"/>
        <w:rPr>
          <w:rFonts w:ascii="宋体" w:hAnsi="宋体" w:cs="宋体" w:eastAsia="宋体" w:hint="default"/>
          <w:sz w:val="14"/>
          <w:szCs w:val="14"/>
        </w:rPr>
      </w:pPr>
    </w:p>
    <w:tbl>
      <w:tblPr>
        <w:tblW w:w="0" w:type="auto"/>
        <w:jc w:val="left"/>
        <w:tblInd w:w="206" w:type="dxa"/>
        <w:tblLayout w:type="fixed"/>
        <w:tblCellMar>
          <w:top w:w="0" w:type="dxa"/>
          <w:left w:w="0" w:type="dxa"/>
          <w:bottom w:w="0" w:type="dxa"/>
          <w:right w:w="0" w:type="dxa"/>
        </w:tblCellMar>
        <w:tblLook w:val="01E0"/>
      </w:tblPr>
      <w:tblGrid>
        <w:gridCol w:w="5197"/>
        <w:gridCol w:w="2019"/>
        <w:gridCol w:w="2319"/>
      </w:tblGrid>
      <w:tr>
        <w:trPr>
          <w:trHeight w:val="398" w:hRule="exact"/>
        </w:trPr>
        <w:tc>
          <w:tcPr>
            <w:tcW w:w="5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20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645"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c>
          <w:tcPr>
            <w:tcW w:w="2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794"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r>
      <w:tr>
        <w:trPr>
          <w:trHeight w:val="396" w:hRule="exact"/>
        </w:trPr>
        <w:tc>
          <w:tcPr>
            <w:tcW w:w="5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5" w:right="0"/>
              <w:jc w:val="left"/>
              <w:rPr>
                <w:rFonts w:ascii="宋体" w:hAnsi="宋体" w:cs="宋体" w:eastAsia="宋体" w:hint="default"/>
                <w:sz w:val="18"/>
                <w:szCs w:val="18"/>
              </w:rPr>
            </w:pPr>
            <w:r>
              <w:rPr>
                <w:rFonts w:ascii="宋体" w:hAnsi="宋体" w:cs="宋体" w:eastAsia="宋体" w:hint="default"/>
                <w:sz w:val="18"/>
                <w:szCs w:val="18"/>
              </w:rPr>
              <w:t>一、现金</w:t>
            </w:r>
            <w:r>
              <w:rPr>
                <w:rFonts w:ascii="宋体" w:hAnsi="宋体" w:cs="宋体" w:eastAsia="宋体" w:hint="default"/>
                <w:sz w:val="18"/>
                <w:szCs w:val="18"/>
              </w:rPr>
              <w:t> </w:t>
            </w:r>
          </w:p>
        </w:tc>
        <w:tc>
          <w:tcPr>
            <w:tcW w:w="20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805,296,434.32 </w:t>
            </w:r>
          </w:p>
        </w:tc>
        <w:tc>
          <w:tcPr>
            <w:tcW w:w="2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678,057,434.70 </w:t>
            </w:r>
          </w:p>
        </w:tc>
      </w:tr>
      <w:tr>
        <w:trPr>
          <w:trHeight w:val="398" w:hRule="exact"/>
        </w:trPr>
        <w:tc>
          <w:tcPr>
            <w:tcW w:w="5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5" w:right="0"/>
              <w:jc w:val="left"/>
              <w:rPr>
                <w:rFonts w:ascii="宋体" w:hAnsi="宋体" w:cs="宋体" w:eastAsia="宋体" w:hint="default"/>
                <w:sz w:val="18"/>
                <w:szCs w:val="18"/>
              </w:rPr>
            </w:pPr>
            <w:r>
              <w:rPr>
                <w:rFonts w:ascii="宋体" w:hAnsi="宋体" w:cs="宋体" w:eastAsia="宋体" w:hint="default"/>
                <w:sz w:val="18"/>
                <w:szCs w:val="18"/>
              </w:rPr>
              <w:t>其中：库存现金</w:t>
            </w:r>
            <w:r>
              <w:rPr>
                <w:rFonts w:ascii="宋体" w:hAnsi="宋体" w:cs="宋体" w:eastAsia="宋体" w:hint="default"/>
                <w:sz w:val="18"/>
                <w:szCs w:val="18"/>
              </w:rPr>
              <w:t> </w:t>
            </w:r>
          </w:p>
        </w:tc>
        <w:tc>
          <w:tcPr>
            <w:tcW w:w="20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148,088.52</w:t>
            </w:r>
            <w:r>
              <w:rPr>
                <w:rFonts w:ascii="宋体"/>
                <w:sz w:val="18"/>
              </w:rPr>
              <w:t> </w:t>
            </w:r>
          </w:p>
        </w:tc>
        <w:tc>
          <w:tcPr>
            <w:tcW w:w="2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136,954.25</w:t>
            </w:r>
            <w:r>
              <w:rPr>
                <w:rFonts w:ascii="宋体"/>
                <w:sz w:val="18"/>
              </w:rPr>
              <w:t> </w:t>
            </w:r>
          </w:p>
        </w:tc>
      </w:tr>
      <w:tr>
        <w:trPr>
          <w:trHeight w:val="396" w:hRule="exact"/>
        </w:trPr>
        <w:tc>
          <w:tcPr>
            <w:tcW w:w="5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645" w:right="0"/>
              <w:jc w:val="left"/>
              <w:rPr>
                <w:rFonts w:ascii="宋体" w:hAnsi="宋体" w:cs="宋体" w:eastAsia="宋体" w:hint="default"/>
                <w:sz w:val="18"/>
                <w:szCs w:val="18"/>
              </w:rPr>
            </w:pPr>
            <w:r>
              <w:rPr>
                <w:rFonts w:ascii="宋体" w:hAnsi="宋体" w:cs="宋体" w:eastAsia="宋体" w:hint="default"/>
                <w:sz w:val="18"/>
                <w:szCs w:val="18"/>
              </w:rPr>
              <w:t>可随时用于支付的银行存款</w:t>
            </w:r>
            <w:r>
              <w:rPr>
                <w:rFonts w:ascii="宋体" w:hAnsi="宋体" w:cs="宋体" w:eastAsia="宋体" w:hint="default"/>
                <w:sz w:val="18"/>
                <w:szCs w:val="18"/>
              </w:rPr>
              <w:t> </w:t>
            </w:r>
          </w:p>
        </w:tc>
        <w:tc>
          <w:tcPr>
            <w:tcW w:w="20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805,135,659.09 </w:t>
            </w:r>
          </w:p>
        </w:tc>
        <w:tc>
          <w:tcPr>
            <w:tcW w:w="2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677,920,480.45 </w:t>
            </w:r>
          </w:p>
        </w:tc>
      </w:tr>
      <w:tr>
        <w:trPr>
          <w:trHeight w:val="396" w:hRule="exact"/>
        </w:trPr>
        <w:tc>
          <w:tcPr>
            <w:tcW w:w="5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645" w:right="0"/>
              <w:jc w:val="left"/>
              <w:rPr>
                <w:rFonts w:ascii="宋体" w:hAnsi="宋体" w:cs="宋体" w:eastAsia="宋体" w:hint="default"/>
                <w:sz w:val="18"/>
                <w:szCs w:val="18"/>
              </w:rPr>
            </w:pPr>
            <w:r>
              <w:rPr>
                <w:rFonts w:ascii="宋体" w:hAnsi="宋体" w:cs="宋体" w:eastAsia="宋体" w:hint="default"/>
                <w:sz w:val="18"/>
                <w:szCs w:val="18"/>
              </w:rPr>
              <w:t>可随时用于支付的其他货币资金</w:t>
            </w:r>
            <w:r>
              <w:rPr>
                <w:rFonts w:ascii="宋体" w:hAnsi="宋体" w:cs="宋体" w:eastAsia="宋体" w:hint="default"/>
                <w:sz w:val="18"/>
                <w:szCs w:val="18"/>
              </w:rPr>
              <w:t> </w:t>
            </w:r>
          </w:p>
        </w:tc>
        <w:tc>
          <w:tcPr>
            <w:tcW w:w="20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12,686.71</w:t>
            </w:r>
            <w:r>
              <w:rPr>
                <w:rFonts w:ascii="宋体"/>
                <w:sz w:val="18"/>
              </w:rPr>
              <w:t> </w:t>
            </w:r>
          </w:p>
        </w:tc>
        <w:tc>
          <w:tcPr>
            <w:tcW w:w="2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r>
      <w:tr>
        <w:trPr>
          <w:trHeight w:val="399" w:hRule="exact"/>
        </w:trPr>
        <w:tc>
          <w:tcPr>
            <w:tcW w:w="5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二、现金等价物</w:t>
            </w:r>
            <w:r>
              <w:rPr>
                <w:rFonts w:ascii="宋体" w:hAnsi="宋体" w:cs="宋体" w:eastAsia="宋体" w:hint="default"/>
                <w:sz w:val="18"/>
                <w:szCs w:val="18"/>
              </w:rPr>
              <w:t> </w:t>
            </w:r>
          </w:p>
        </w:tc>
        <w:tc>
          <w:tcPr>
            <w:tcW w:w="20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z w:val="18"/>
              </w:rPr>
              <w:t>- </w:t>
            </w:r>
          </w:p>
        </w:tc>
        <w:tc>
          <w:tcPr>
            <w:tcW w:w="2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r>
      <w:tr>
        <w:trPr>
          <w:trHeight w:val="396" w:hRule="exact"/>
        </w:trPr>
        <w:tc>
          <w:tcPr>
            <w:tcW w:w="5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5" w:right="0"/>
              <w:jc w:val="left"/>
              <w:rPr>
                <w:rFonts w:ascii="宋体" w:hAnsi="宋体" w:cs="宋体" w:eastAsia="宋体" w:hint="default"/>
                <w:sz w:val="18"/>
                <w:szCs w:val="18"/>
              </w:rPr>
            </w:pPr>
            <w:r>
              <w:rPr>
                <w:rFonts w:ascii="宋体" w:hAnsi="宋体" w:cs="宋体" w:eastAsia="宋体" w:hint="default"/>
                <w:sz w:val="18"/>
                <w:szCs w:val="18"/>
              </w:rPr>
              <w:t>其中：三个月内到期的债券投资</w:t>
            </w:r>
            <w:r>
              <w:rPr>
                <w:rFonts w:ascii="宋体" w:hAnsi="宋体" w:cs="宋体" w:eastAsia="宋体" w:hint="default"/>
                <w:sz w:val="18"/>
                <w:szCs w:val="18"/>
              </w:rPr>
              <w:t> </w:t>
            </w:r>
          </w:p>
        </w:tc>
        <w:tc>
          <w:tcPr>
            <w:tcW w:w="20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z w:val="18"/>
              </w:rPr>
              <w:t>- </w:t>
            </w:r>
          </w:p>
        </w:tc>
        <w:tc>
          <w:tcPr>
            <w:tcW w:w="2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r>
      <w:tr>
        <w:trPr>
          <w:trHeight w:val="398" w:hRule="exact"/>
        </w:trPr>
        <w:tc>
          <w:tcPr>
            <w:tcW w:w="5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5" w:right="0"/>
              <w:jc w:val="left"/>
              <w:rPr>
                <w:rFonts w:ascii="宋体" w:hAnsi="宋体" w:cs="宋体" w:eastAsia="宋体" w:hint="default"/>
                <w:sz w:val="18"/>
                <w:szCs w:val="18"/>
              </w:rPr>
            </w:pPr>
            <w:r>
              <w:rPr>
                <w:rFonts w:ascii="宋体" w:hAnsi="宋体" w:cs="宋体" w:eastAsia="宋体" w:hint="default"/>
                <w:sz w:val="18"/>
                <w:szCs w:val="18"/>
              </w:rPr>
              <w:t>三、期末现金及现金等价物余额</w:t>
            </w:r>
            <w:r>
              <w:rPr>
                <w:rFonts w:ascii="宋体" w:hAnsi="宋体" w:cs="宋体" w:eastAsia="宋体" w:hint="default"/>
                <w:sz w:val="18"/>
                <w:szCs w:val="18"/>
              </w:rPr>
              <w:t> </w:t>
            </w:r>
          </w:p>
        </w:tc>
        <w:tc>
          <w:tcPr>
            <w:tcW w:w="20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805,296,434.32 </w:t>
            </w:r>
          </w:p>
        </w:tc>
        <w:tc>
          <w:tcPr>
            <w:tcW w:w="2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678,057,434.70 </w:t>
            </w:r>
          </w:p>
        </w:tc>
      </w:tr>
      <w:tr>
        <w:trPr>
          <w:trHeight w:val="396" w:hRule="exact"/>
        </w:trPr>
        <w:tc>
          <w:tcPr>
            <w:tcW w:w="5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5" w:right="0"/>
              <w:jc w:val="left"/>
              <w:rPr>
                <w:rFonts w:ascii="宋体" w:hAnsi="宋体" w:cs="宋体" w:eastAsia="宋体" w:hint="default"/>
                <w:sz w:val="18"/>
                <w:szCs w:val="18"/>
              </w:rPr>
            </w:pPr>
            <w:r>
              <w:rPr>
                <w:rFonts w:ascii="宋体" w:hAnsi="宋体" w:cs="宋体" w:eastAsia="宋体" w:hint="default"/>
                <w:sz w:val="18"/>
                <w:szCs w:val="18"/>
              </w:rPr>
              <w:t>其中：母公司或集团内子公司使用受限制的现金和现金等价物</w:t>
            </w:r>
            <w:r>
              <w:rPr>
                <w:rFonts w:ascii="宋体" w:hAnsi="宋体" w:cs="宋体" w:eastAsia="宋体" w:hint="default"/>
                <w:sz w:val="18"/>
                <w:szCs w:val="18"/>
              </w:rPr>
              <w:t> </w:t>
            </w:r>
          </w:p>
        </w:tc>
        <w:tc>
          <w:tcPr>
            <w:tcW w:w="20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z w:val="18"/>
              </w:rPr>
              <w:t> </w:t>
            </w:r>
          </w:p>
        </w:tc>
        <w:tc>
          <w:tcPr>
            <w:tcW w:w="23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r>
    </w:tbl>
    <w:p>
      <w:pPr>
        <w:spacing w:line="240" w:lineRule="auto" w:before="7"/>
        <w:rPr>
          <w:rFonts w:ascii="宋体" w:hAnsi="宋体" w:cs="宋体" w:eastAsia="宋体" w:hint="default"/>
          <w:sz w:val="6"/>
          <w:szCs w:val="6"/>
        </w:rPr>
      </w:pPr>
    </w:p>
    <w:p>
      <w:pPr>
        <w:pStyle w:val="Heading3"/>
        <w:spacing w:line="240" w:lineRule="auto"/>
        <w:ind w:left="566" w:right="1146"/>
        <w:jc w:val="left"/>
        <w:rPr>
          <w:rFonts w:ascii="宋体" w:hAnsi="宋体" w:cs="宋体" w:eastAsia="宋体" w:hint="default"/>
          <w:b w:val="0"/>
          <w:bCs w:val="0"/>
        </w:rPr>
      </w:pPr>
      <w:r>
        <w:rPr/>
        <w:t>（四十九）所有权或使用权受到限制的资产</w:t>
      </w:r>
      <w:r>
        <w:rPr>
          <w:rFonts w:ascii="宋体" w:hAnsi="宋体" w:cs="宋体" w:eastAsia="宋体" w:hint="default"/>
          <w:w w:val="99"/>
        </w:rPr>
        <w:t> </w:t>
      </w:r>
      <w:r>
        <w:rPr>
          <w:rFonts w:ascii="宋体" w:hAnsi="宋体" w:cs="宋体" w:eastAsia="宋体" w:hint="default"/>
          <w:b w:val="0"/>
          <w:bCs w:val="0"/>
        </w:rPr>
      </w:r>
    </w:p>
    <w:p>
      <w:pPr>
        <w:spacing w:line="240" w:lineRule="auto" w:before="6"/>
        <w:rPr>
          <w:rFonts w:ascii="宋体" w:hAnsi="宋体" w:cs="宋体" w:eastAsia="宋体" w:hint="default"/>
          <w:b/>
          <w:bCs/>
          <w:sz w:val="14"/>
          <w:szCs w:val="14"/>
        </w:rPr>
      </w:pPr>
    </w:p>
    <w:tbl>
      <w:tblPr>
        <w:tblW w:w="0" w:type="auto"/>
        <w:jc w:val="left"/>
        <w:tblInd w:w="234" w:type="dxa"/>
        <w:tblLayout w:type="fixed"/>
        <w:tblCellMar>
          <w:top w:w="0" w:type="dxa"/>
          <w:left w:w="0" w:type="dxa"/>
          <w:bottom w:w="0" w:type="dxa"/>
          <w:right w:w="0" w:type="dxa"/>
        </w:tblCellMar>
        <w:tblLook w:val="01E0"/>
      </w:tblPr>
      <w:tblGrid>
        <w:gridCol w:w="2741"/>
        <w:gridCol w:w="2976"/>
        <w:gridCol w:w="3802"/>
      </w:tblGrid>
      <w:tr>
        <w:trPr>
          <w:trHeight w:val="396" w:hRule="exact"/>
        </w:trPr>
        <w:tc>
          <w:tcPr>
            <w:tcW w:w="27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94"/>
              <w:jc w:val="right"/>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2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43" w:right="0"/>
              <w:jc w:val="left"/>
              <w:rPr>
                <w:rFonts w:ascii="宋体" w:hAnsi="宋体" w:cs="宋体" w:eastAsia="宋体" w:hint="default"/>
                <w:sz w:val="18"/>
                <w:szCs w:val="18"/>
              </w:rPr>
            </w:pPr>
            <w:r>
              <w:rPr>
                <w:rFonts w:ascii="宋体" w:hAnsi="宋体" w:cs="宋体" w:eastAsia="宋体" w:hint="default"/>
                <w:sz w:val="18"/>
                <w:szCs w:val="18"/>
              </w:rPr>
              <w:t>期末账面价值</w:t>
            </w:r>
            <w:r>
              <w:rPr>
                <w:rFonts w:ascii="宋体" w:hAnsi="宋体" w:cs="宋体" w:eastAsia="宋体" w:hint="default"/>
                <w:sz w:val="18"/>
                <w:szCs w:val="18"/>
              </w:rPr>
              <w:t> </w:t>
            </w:r>
          </w:p>
        </w:tc>
        <w:tc>
          <w:tcPr>
            <w:tcW w:w="3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535" w:right="0"/>
              <w:jc w:val="left"/>
              <w:rPr>
                <w:rFonts w:ascii="宋体" w:hAnsi="宋体" w:cs="宋体" w:eastAsia="宋体" w:hint="default"/>
                <w:sz w:val="18"/>
                <w:szCs w:val="18"/>
              </w:rPr>
            </w:pPr>
            <w:r>
              <w:rPr>
                <w:rFonts w:ascii="宋体" w:hAnsi="宋体" w:cs="宋体" w:eastAsia="宋体" w:hint="default"/>
                <w:sz w:val="18"/>
                <w:szCs w:val="18"/>
              </w:rPr>
              <w:t>受限原因</w:t>
            </w:r>
            <w:r>
              <w:rPr>
                <w:rFonts w:ascii="宋体" w:hAnsi="宋体" w:cs="宋体" w:eastAsia="宋体" w:hint="default"/>
                <w:sz w:val="18"/>
                <w:szCs w:val="18"/>
              </w:rPr>
              <w:t> </w:t>
            </w:r>
          </w:p>
        </w:tc>
      </w:tr>
      <w:tr>
        <w:trPr>
          <w:trHeight w:val="514" w:hRule="exact"/>
        </w:trPr>
        <w:tc>
          <w:tcPr>
            <w:tcW w:w="27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103" w:right="0"/>
              <w:jc w:val="left"/>
              <w:rPr>
                <w:rFonts w:ascii="宋体" w:hAnsi="宋体" w:cs="宋体" w:eastAsia="宋体" w:hint="default"/>
                <w:sz w:val="18"/>
                <w:szCs w:val="18"/>
              </w:rPr>
            </w:pPr>
            <w:r>
              <w:rPr>
                <w:rFonts w:ascii="宋体" w:hAnsi="宋体" w:cs="宋体" w:eastAsia="宋体" w:hint="default"/>
                <w:sz w:val="18"/>
                <w:szCs w:val="18"/>
              </w:rPr>
              <w:t>货币资金</w:t>
            </w:r>
            <w:r>
              <w:rPr>
                <w:rFonts w:ascii="宋体" w:hAnsi="宋体" w:cs="宋体" w:eastAsia="宋体" w:hint="default"/>
                <w:sz w:val="18"/>
                <w:szCs w:val="18"/>
              </w:rPr>
              <w:t> </w:t>
            </w:r>
          </w:p>
        </w:tc>
        <w:tc>
          <w:tcPr>
            <w:tcW w:w="2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4"/>
              <w:ind w:right="11"/>
              <w:jc w:val="right"/>
              <w:rPr>
                <w:rFonts w:ascii="宋体" w:hAnsi="宋体" w:cs="宋体" w:eastAsia="宋体" w:hint="default"/>
                <w:sz w:val="18"/>
                <w:szCs w:val="18"/>
              </w:rPr>
            </w:pPr>
            <w:r>
              <w:rPr>
                <w:rFonts w:ascii="宋体"/>
                <w:spacing w:val="-1"/>
                <w:sz w:val="18"/>
              </w:rPr>
              <w:t>24,839,516.83 </w:t>
            </w:r>
          </w:p>
        </w:tc>
        <w:tc>
          <w:tcPr>
            <w:tcW w:w="3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6"/>
              <w:ind w:left="86" w:right="0"/>
              <w:jc w:val="center"/>
              <w:rPr>
                <w:rFonts w:ascii="宋体" w:hAnsi="宋体" w:cs="宋体" w:eastAsia="宋体" w:hint="default"/>
                <w:sz w:val="18"/>
                <w:szCs w:val="18"/>
              </w:rPr>
            </w:pPr>
            <w:r>
              <w:rPr>
                <w:rFonts w:ascii="宋体" w:hAnsi="宋体" w:cs="宋体" w:eastAsia="宋体" w:hint="default"/>
                <w:sz w:val="18"/>
                <w:szCs w:val="18"/>
              </w:rPr>
              <w:t>保证金</w:t>
            </w:r>
            <w:r>
              <w:rPr>
                <w:rFonts w:ascii="宋体" w:hAnsi="宋体" w:cs="宋体" w:eastAsia="宋体" w:hint="default"/>
                <w:sz w:val="18"/>
                <w:szCs w:val="18"/>
              </w:rPr>
              <w:t> </w:t>
            </w:r>
          </w:p>
        </w:tc>
      </w:tr>
      <w:tr>
        <w:trPr>
          <w:trHeight w:val="396" w:hRule="exact"/>
        </w:trPr>
        <w:tc>
          <w:tcPr>
            <w:tcW w:w="27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应收账款</w:t>
            </w:r>
            <w:r>
              <w:rPr>
                <w:rFonts w:ascii="宋体" w:hAnsi="宋体" w:cs="宋体" w:eastAsia="宋体" w:hint="default"/>
                <w:sz w:val="18"/>
                <w:szCs w:val="18"/>
              </w:rPr>
              <w:t> </w:t>
            </w:r>
          </w:p>
        </w:tc>
        <w:tc>
          <w:tcPr>
            <w:tcW w:w="2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36,543,757.35 </w:t>
            </w:r>
          </w:p>
        </w:tc>
        <w:tc>
          <w:tcPr>
            <w:tcW w:w="3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535" w:right="0"/>
              <w:jc w:val="left"/>
              <w:rPr>
                <w:rFonts w:ascii="宋体" w:hAnsi="宋体" w:cs="宋体" w:eastAsia="宋体" w:hint="default"/>
                <w:sz w:val="18"/>
                <w:szCs w:val="18"/>
              </w:rPr>
            </w:pPr>
            <w:r>
              <w:rPr>
                <w:rFonts w:ascii="宋体" w:hAnsi="宋体" w:cs="宋体" w:eastAsia="宋体" w:hint="default"/>
                <w:sz w:val="18"/>
                <w:szCs w:val="18"/>
              </w:rPr>
              <w:t>质押贷款</w:t>
            </w:r>
            <w:r>
              <w:rPr>
                <w:rFonts w:ascii="宋体" w:hAnsi="宋体" w:cs="宋体" w:eastAsia="宋体" w:hint="default"/>
                <w:sz w:val="18"/>
                <w:szCs w:val="18"/>
              </w:rPr>
              <w:t> </w:t>
            </w:r>
          </w:p>
        </w:tc>
      </w:tr>
      <w:tr>
        <w:trPr>
          <w:trHeight w:val="399" w:hRule="exact"/>
        </w:trPr>
        <w:tc>
          <w:tcPr>
            <w:tcW w:w="27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长期股权投资</w:t>
            </w:r>
            <w:r>
              <w:rPr>
                <w:rFonts w:ascii="宋体" w:hAnsi="宋体" w:cs="宋体" w:eastAsia="宋体" w:hint="default"/>
                <w:sz w:val="18"/>
                <w:szCs w:val="18"/>
              </w:rPr>
              <w:t> </w:t>
            </w:r>
          </w:p>
        </w:tc>
        <w:tc>
          <w:tcPr>
            <w:tcW w:w="2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1,480,000,000.00 </w:t>
            </w:r>
          </w:p>
        </w:tc>
        <w:tc>
          <w:tcPr>
            <w:tcW w:w="3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535" w:right="0"/>
              <w:jc w:val="left"/>
              <w:rPr>
                <w:rFonts w:ascii="宋体" w:hAnsi="宋体" w:cs="宋体" w:eastAsia="宋体" w:hint="default"/>
                <w:sz w:val="18"/>
                <w:szCs w:val="18"/>
              </w:rPr>
            </w:pPr>
            <w:r>
              <w:rPr>
                <w:rFonts w:ascii="宋体" w:hAnsi="宋体" w:cs="宋体" w:eastAsia="宋体" w:hint="default"/>
                <w:sz w:val="18"/>
                <w:szCs w:val="18"/>
              </w:rPr>
              <w:t>质押贷款</w:t>
            </w:r>
            <w:r>
              <w:rPr>
                <w:rFonts w:ascii="宋体" w:hAnsi="宋体" w:cs="宋体" w:eastAsia="宋体" w:hint="default"/>
                <w:sz w:val="18"/>
                <w:szCs w:val="18"/>
              </w:rPr>
              <w:t> </w:t>
            </w:r>
          </w:p>
        </w:tc>
      </w:tr>
      <w:tr>
        <w:trPr>
          <w:trHeight w:val="396" w:hRule="exact"/>
        </w:trPr>
        <w:tc>
          <w:tcPr>
            <w:tcW w:w="27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094"/>
              <w:jc w:val="righ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29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1,541,383,274.18 </w:t>
            </w:r>
          </w:p>
        </w:tc>
        <w:tc>
          <w:tcPr>
            <w:tcW w:w="38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r>
    </w:tbl>
    <w:p>
      <w:pPr>
        <w:spacing w:line="240" w:lineRule="auto" w:before="7"/>
        <w:rPr>
          <w:rFonts w:ascii="宋体" w:hAnsi="宋体" w:cs="宋体" w:eastAsia="宋体" w:hint="default"/>
          <w:b/>
          <w:bCs/>
          <w:sz w:val="6"/>
          <w:szCs w:val="6"/>
        </w:rPr>
      </w:pPr>
    </w:p>
    <w:p>
      <w:pPr>
        <w:spacing w:before="36"/>
        <w:ind w:left="566" w:right="7673" w:firstLine="0"/>
        <w:jc w:val="left"/>
        <w:rPr>
          <w:rFonts w:ascii="宋体" w:hAnsi="宋体" w:cs="宋体" w:eastAsia="宋体" w:hint="default"/>
          <w:sz w:val="21"/>
          <w:szCs w:val="21"/>
        </w:rPr>
      </w:pPr>
      <w:r>
        <w:rPr>
          <w:rFonts w:ascii="宋体" w:hAnsi="宋体" w:cs="宋体" w:eastAsia="宋体" w:hint="default"/>
          <w:b/>
          <w:bCs/>
          <w:sz w:val="21"/>
          <w:szCs w:val="21"/>
        </w:rPr>
        <w:t>（五十）外币货币性项目</w:t>
      </w:r>
      <w:r>
        <w:rPr>
          <w:rFonts w:ascii="宋体" w:hAnsi="宋体" w:cs="宋体" w:eastAsia="宋体" w:hint="default"/>
          <w:b/>
          <w:bCs/>
          <w:w w:val="99"/>
          <w:sz w:val="21"/>
          <w:szCs w:val="21"/>
        </w:rPr>
        <w:t> </w:t>
      </w:r>
      <w:r>
        <w:rPr>
          <w:rFonts w:ascii="宋体" w:hAnsi="宋体" w:cs="宋体" w:eastAsia="宋体" w:hint="default"/>
          <w:sz w:val="21"/>
          <w:szCs w:val="21"/>
        </w:rPr>
      </w:r>
    </w:p>
    <w:p>
      <w:pPr>
        <w:spacing w:line="240" w:lineRule="auto" w:before="6"/>
        <w:rPr>
          <w:rFonts w:ascii="宋体" w:hAnsi="宋体" w:cs="宋体" w:eastAsia="宋体" w:hint="default"/>
          <w:b/>
          <w:bCs/>
          <w:sz w:val="14"/>
          <w:szCs w:val="14"/>
        </w:rPr>
      </w:pPr>
    </w:p>
    <w:tbl>
      <w:tblPr>
        <w:tblW w:w="0" w:type="auto"/>
        <w:jc w:val="left"/>
        <w:tblInd w:w="234" w:type="dxa"/>
        <w:tblLayout w:type="fixed"/>
        <w:tblCellMar>
          <w:top w:w="0" w:type="dxa"/>
          <w:left w:w="0" w:type="dxa"/>
          <w:bottom w:w="0" w:type="dxa"/>
          <w:right w:w="0" w:type="dxa"/>
        </w:tblCellMar>
        <w:tblLook w:val="01E0"/>
      </w:tblPr>
      <w:tblGrid>
        <w:gridCol w:w="1812"/>
        <w:gridCol w:w="2470"/>
        <w:gridCol w:w="2237"/>
        <w:gridCol w:w="3001"/>
      </w:tblGrid>
      <w:tr>
        <w:trPr>
          <w:trHeight w:val="396"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7"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24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691" w:right="0"/>
              <w:jc w:val="left"/>
              <w:rPr>
                <w:rFonts w:ascii="宋体" w:hAnsi="宋体" w:cs="宋体" w:eastAsia="宋体" w:hint="default"/>
                <w:sz w:val="18"/>
                <w:szCs w:val="18"/>
              </w:rPr>
            </w:pPr>
            <w:r>
              <w:rPr>
                <w:rFonts w:ascii="宋体" w:hAnsi="宋体" w:cs="宋体" w:eastAsia="宋体" w:hint="default"/>
                <w:sz w:val="18"/>
                <w:szCs w:val="18"/>
              </w:rPr>
              <w:t>期末外币余额</w:t>
            </w:r>
            <w:r>
              <w:rPr>
                <w:rFonts w:ascii="宋体" w:hAnsi="宋体" w:cs="宋体" w:eastAsia="宋体" w:hint="default"/>
                <w:sz w:val="18"/>
                <w:szCs w:val="18"/>
              </w:rPr>
              <w:t> </w:t>
            </w:r>
          </w:p>
        </w:tc>
        <w:tc>
          <w:tcPr>
            <w:tcW w:w="2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 w:right="0"/>
              <w:jc w:val="center"/>
              <w:rPr>
                <w:rFonts w:ascii="宋体" w:hAnsi="宋体" w:cs="宋体" w:eastAsia="宋体" w:hint="default"/>
                <w:sz w:val="18"/>
                <w:szCs w:val="18"/>
              </w:rPr>
            </w:pPr>
            <w:r>
              <w:rPr>
                <w:rFonts w:ascii="宋体" w:hAnsi="宋体" w:cs="宋体" w:eastAsia="宋体" w:hint="default"/>
                <w:sz w:val="18"/>
                <w:szCs w:val="18"/>
              </w:rPr>
              <w:t>折算汇率</w:t>
            </w:r>
            <w:r>
              <w:rPr>
                <w:rFonts w:ascii="宋体" w:hAnsi="宋体" w:cs="宋体" w:eastAsia="宋体" w:hint="default"/>
                <w:sz w:val="18"/>
                <w:szCs w:val="18"/>
              </w:rPr>
              <w:t> </w:t>
            </w:r>
          </w:p>
        </w:tc>
        <w:tc>
          <w:tcPr>
            <w:tcW w:w="3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683" w:right="0"/>
              <w:jc w:val="left"/>
              <w:rPr>
                <w:rFonts w:ascii="宋体" w:hAnsi="宋体" w:cs="宋体" w:eastAsia="宋体" w:hint="default"/>
                <w:sz w:val="18"/>
                <w:szCs w:val="18"/>
              </w:rPr>
            </w:pPr>
            <w:r>
              <w:rPr>
                <w:rFonts w:ascii="宋体" w:hAnsi="宋体" w:cs="宋体" w:eastAsia="宋体" w:hint="default"/>
                <w:sz w:val="18"/>
                <w:szCs w:val="18"/>
              </w:rPr>
              <w:t>期末折算人民币余额</w:t>
            </w:r>
            <w:r>
              <w:rPr>
                <w:rFonts w:ascii="宋体" w:hAnsi="宋体" w:cs="宋体" w:eastAsia="宋体" w:hint="default"/>
                <w:sz w:val="18"/>
                <w:szCs w:val="18"/>
              </w:rPr>
              <w:t> </w:t>
            </w:r>
          </w:p>
        </w:tc>
      </w:tr>
      <w:tr>
        <w:trPr>
          <w:trHeight w:val="398"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货币资金</w:t>
            </w:r>
            <w:r>
              <w:rPr>
                <w:rFonts w:ascii="宋体" w:hAnsi="宋体" w:cs="宋体" w:eastAsia="宋体" w:hint="default"/>
                <w:sz w:val="18"/>
                <w:szCs w:val="18"/>
              </w:rPr>
              <w:t> </w:t>
            </w:r>
          </w:p>
        </w:tc>
        <w:tc>
          <w:tcPr>
            <w:tcW w:w="24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485.00</w:t>
            </w:r>
            <w:r>
              <w:rPr>
                <w:rFonts w:ascii="宋体"/>
                <w:sz w:val="18"/>
              </w:rPr>
              <w:t> </w:t>
            </w:r>
          </w:p>
        </w:tc>
        <w:tc>
          <w:tcPr>
            <w:tcW w:w="2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9" w:right="0"/>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 </w:t>
            </w:r>
          </w:p>
        </w:tc>
        <w:tc>
          <w:tcPr>
            <w:tcW w:w="3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434.45 </w:t>
            </w:r>
          </w:p>
        </w:tc>
      </w:tr>
    </w:tbl>
    <w:p>
      <w:pPr>
        <w:spacing w:after="0" w:line="240" w:lineRule="auto"/>
        <w:jc w:val="right"/>
        <w:rPr>
          <w:rFonts w:ascii="宋体" w:hAnsi="宋体" w:cs="宋体" w:eastAsia="宋体" w:hint="default"/>
          <w:sz w:val="18"/>
          <w:szCs w:val="18"/>
        </w:rPr>
        <w:sectPr>
          <w:pgSz w:w="11910" w:h="16840"/>
          <w:pgMar w:header="880" w:footer="975" w:top="1100" w:bottom="1160" w:left="1160" w:right="0"/>
        </w:sectPr>
      </w:pPr>
    </w:p>
    <w:p>
      <w:pPr>
        <w:spacing w:line="240" w:lineRule="auto" w:before="8"/>
        <w:rPr>
          <w:rFonts w:ascii="宋体" w:hAnsi="宋体" w:cs="宋体" w:eastAsia="宋体" w:hint="default"/>
          <w:b/>
          <w:bCs/>
          <w:sz w:val="24"/>
          <w:szCs w:val="24"/>
        </w:rPr>
      </w:pPr>
    </w:p>
    <w:tbl>
      <w:tblPr>
        <w:tblW w:w="0" w:type="auto"/>
        <w:jc w:val="left"/>
        <w:tblInd w:w="234" w:type="dxa"/>
        <w:tblLayout w:type="fixed"/>
        <w:tblCellMar>
          <w:top w:w="0" w:type="dxa"/>
          <w:left w:w="0" w:type="dxa"/>
          <w:bottom w:w="0" w:type="dxa"/>
          <w:right w:w="0" w:type="dxa"/>
        </w:tblCellMar>
        <w:tblLook w:val="01E0"/>
      </w:tblPr>
      <w:tblGrid>
        <w:gridCol w:w="1812"/>
        <w:gridCol w:w="2470"/>
        <w:gridCol w:w="2237"/>
        <w:gridCol w:w="3001"/>
      </w:tblGrid>
      <w:tr>
        <w:trPr>
          <w:trHeight w:val="396"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617"/>
              <w:jc w:val="right"/>
              <w:rPr>
                <w:rFonts w:ascii="宋体" w:hAnsi="宋体" w:cs="宋体" w:eastAsia="宋体" w:hint="default"/>
                <w:sz w:val="18"/>
                <w:szCs w:val="18"/>
              </w:rPr>
            </w:pPr>
            <w:r>
              <w:rPr>
                <w:rFonts w:ascii="宋体" w:hAnsi="宋体" w:cs="宋体" w:eastAsia="宋体" w:hint="default"/>
                <w:spacing w:val="-1"/>
                <w:sz w:val="18"/>
                <w:szCs w:val="18"/>
              </w:rPr>
              <w:t>其中：港币</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24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
              <w:jc w:val="right"/>
              <w:rPr>
                <w:rFonts w:ascii="宋体" w:hAnsi="宋体" w:cs="宋体" w:eastAsia="宋体" w:hint="default"/>
                <w:sz w:val="18"/>
                <w:szCs w:val="18"/>
              </w:rPr>
            </w:pPr>
            <w:r>
              <w:rPr>
                <w:rFonts w:ascii="宋体"/>
                <w:sz w:val="18"/>
              </w:rPr>
              <w:t>485.00 </w:t>
            </w:r>
          </w:p>
        </w:tc>
        <w:tc>
          <w:tcPr>
            <w:tcW w:w="2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0.90 </w:t>
            </w:r>
          </w:p>
        </w:tc>
        <w:tc>
          <w:tcPr>
            <w:tcW w:w="3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434.45 </w:t>
            </w:r>
          </w:p>
        </w:tc>
      </w:tr>
      <w:tr>
        <w:trPr>
          <w:trHeight w:val="399" w:hRule="exact"/>
        </w:trPr>
        <w:tc>
          <w:tcPr>
            <w:tcW w:w="18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630"/>
              <w:jc w:val="righ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24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485.00</w:t>
            </w:r>
            <w:r>
              <w:rPr>
                <w:rFonts w:ascii="宋体"/>
                <w:sz w:val="18"/>
              </w:rPr>
              <w:t> </w:t>
            </w:r>
          </w:p>
        </w:tc>
        <w:tc>
          <w:tcPr>
            <w:tcW w:w="22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 w:right="0"/>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 </w:t>
            </w:r>
          </w:p>
        </w:tc>
        <w:tc>
          <w:tcPr>
            <w:tcW w:w="3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434.45 </w:t>
            </w:r>
          </w:p>
        </w:tc>
      </w:tr>
    </w:tbl>
    <w:p>
      <w:pPr>
        <w:spacing w:line="240" w:lineRule="auto" w:before="7"/>
        <w:rPr>
          <w:rFonts w:ascii="宋体" w:hAnsi="宋体" w:cs="宋体" w:eastAsia="宋体" w:hint="default"/>
          <w:b/>
          <w:bCs/>
          <w:sz w:val="6"/>
          <w:szCs w:val="6"/>
        </w:rPr>
      </w:pPr>
    </w:p>
    <w:p>
      <w:pPr>
        <w:spacing w:before="36"/>
        <w:ind w:left="143" w:right="7673" w:firstLine="0"/>
        <w:jc w:val="left"/>
        <w:rPr>
          <w:rFonts w:ascii="宋体" w:hAnsi="宋体" w:cs="宋体" w:eastAsia="宋体" w:hint="default"/>
          <w:sz w:val="21"/>
          <w:szCs w:val="21"/>
        </w:rPr>
      </w:pPr>
      <w:r>
        <w:rPr>
          <w:rFonts w:ascii="宋体" w:hAnsi="宋体" w:cs="宋体" w:eastAsia="宋体" w:hint="default"/>
          <w:b/>
          <w:bCs/>
          <w:sz w:val="21"/>
          <w:szCs w:val="21"/>
        </w:rPr>
        <w:t>七、合并范围的变更</w:t>
      </w:r>
      <w:r>
        <w:rPr>
          <w:rFonts w:ascii="宋体" w:hAnsi="宋体" w:cs="宋体" w:eastAsia="宋体" w:hint="default"/>
          <w:b/>
          <w:bCs/>
          <w:w w:val="99"/>
          <w:sz w:val="21"/>
          <w:szCs w:val="21"/>
        </w:rPr>
        <w:t> </w:t>
      </w:r>
      <w:r>
        <w:rPr>
          <w:rFonts w:ascii="宋体" w:hAnsi="宋体" w:cs="宋体" w:eastAsia="宋体" w:hint="default"/>
          <w:sz w:val="21"/>
          <w:szCs w:val="21"/>
        </w:rPr>
      </w:r>
    </w:p>
    <w:p>
      <w:pPr>
        <w:spacing w:line="374" w:lineRule="auto" w:before="152"/>
        <w:ind w:left="566" w:right="6364" w:firstLine="0"/>
        <w:jc w:val="left"/>
        <w:rPr>
          <w:rFonts w:ascii="宋体" w:hAnsi="宋体" w:cs="宋体" w:eastAsia="宋体" w:hint="default"/>
          <w:sz w:val="21"/>
          <w:szCs w:val="21"/>
        </w:rPr>
      </w:pPr>
      <w:r>
        <w:rPr>
          <w:rFonts w:ascii="宋体" w:hAnsi="宋体" w:cs="宋体" w:eastAsia="宋体" w:hint="default"/>
          <w:b/>
          <w:bCs/>
          <w:sz w:val="21"/>
          <w:szCs w:val="21"/>
        </w:rPr>
        <w:t>（一）非同一控制下企业合并</w:t>
      </w:r>
      <w:r>
        <w:rPr>
          <w:rFonts w:ascii="宋体" w:hAnsi="宋体" w:cs="宋体" w:eastAsia="宋体" w:hint="default"/>
          <w:b/>
          <w:bCs/>
          <w:w w:val="99"/>
          <w:sz w:val="21"/>
          <w:szCs w:val="21"/>
        </w:rPr>
        <w:t> </w:t>
      </w:r>
      <w:r>
        <w:rPr>
          <w:rFonts w:ascii="宋体" w:hAnsi="宋体" w:cs="宋体" w:eastAsia="宋体" w:hint="default"/>
          <w:b/>
          <w:bCs/>
          <w:sz w:val="21"/>
          <w:szCs w:val="21"/>
        </w:rPr>
        <w:t>1</w:t>
      </w:r>
      <w:r>
        <w:rPr>
          <w:rFonts w:ascii="宋体" w:hAnsi="宋体" w:cs="宋体" w:eastAsia="宋体" w:hint="default"/>
          <w:b/>
          <w:bCs/>
          <w:sz w:val="21"/>
          <w:szCs w:val="21"/>
        </w:rPr>
        <w:t>、本期发生的非同一控制下企业合并</w:t>
      </w:r>
      <w:r>
        <w:rPr>
          <w:rFonts w:ascii="宋体" w:hAnsi="宋体" w:cs="宋体" w:eastAsia="宋体" w:hint="default"/>
          <w:b/>
          <w:bCs/>
          <w:w w:val="99"/>
          <w:sz w:val="21"/>
          <w:szCs w:val="21"/>
        </w:rPr>
        <w:t> </w:t>
      </w:r>
      <w:r>
        <w:rPr>
          <w:rFonts w:ascii="宋体" w:hAnsi="宋体" w:cs="宋体" w:eastAsia="宋体" w:hint="default"/>
          <w:sz w:val="21"/>
          <w:szCs w:val="21"/>
        </w:rPr>
      </w:r>
    </w:p>
    <w:p>
      <w:pPr>
        <w:spacing w:line="240" w:lineRule="auto" w:before="3"/>
        <w:rPr>
          <w:rFonts w:ascii="宋体" w:hAnsi="宋体" w:cs="宋体" w:eastAsia="宋体" w:hint="default"/>
          <w:b/>
          <w:bCs/>
          <w:sz w:val="5"/>
          <w:szCs w:val="5"/>
        </w:rPr>
      </w:pPr>
    </w:p>
    <w:tbl>
      <w:tblPr>
        <w:tblW w:w="0" w:type="auto"/>
        <w:jc w:val="left"/>
        <w:tblInd w:w="234" w:type="dxa"/>
        <w:tblLayout w:type="fixed"/>
        <w:tblCellMar>
          <w:top w:w="0" w:type="dxa"/>
          <w:left w:w="0" w:type="dxa"/>
          <w:bottom w:w="0" w:type="dxa"/>
          <w:right w:w="0" w:type="dxa"/>
        </w:tblCellMar>
        <w:tblLook w:val="01E0"/>
      </w:tblPr>
      <w:tblGrid>
        <w:gridCol w:w="1073"/>
        <w:gridCol w:w="1094"/>
        <w:gridCol w:w="1117"/>
        <w:gridCol w:w="850"/>
        <w:gridCol w:w="941"/>
        <w:gridCol w:w="1035"/>
        <w:gridCol w:w="1063"/>
        <w:gridCol w:w="1066"/>
        <w:gridCol w:w="1267"/>
      </w:tblGrid>
      <w:tr>
        <w:trPr>
          <w:trHeight w:val="997" w:hRule="exact"/>
        </w:trPr>
        <w:tc>
          <w:tcPr>
            <w:tcW w:w="107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1"/>
                <w:szCs w:val="21"/>
              </w:rPr>
            </w:pPr>
          </w:p>
          <w:p>
            <w:pPr>
              <w:pStyle w:val="TableParagraph"/>
              <w:spacing w:line="316" w:lineRule="auto"/>
              <w:ind w:left="350" w:right="170" w:hanging="180"/>
              <w:jc w:val="left"/>
              <w:rPr>
                <w:rFonts w:ascii="宋体" w:hAnsi="宋体" w:cs="宋体" w:eastAsia="宋体" w:hint="default"/>
                <w:sz w:val="18"/>
                <w:szCs w:val="18"/>
              </w:rPr>
            </w:pPr>
            <w:r>
              <w:rPr>
                <w:rFonts w:ascii="宋体" w:hAnsi="宋体" w:cs="宋体" w:eastAsia="宋体" w:hint="default"/>
                <w:sz w:val="18"/>
                <w:szCs w:val="18"/>
              </w:rPr>
              <w:t>被购买方 名称</w:t>
            </w:r>
            <w:r>
              <w:rPr>
                <w:rFonts w:ascii="宋体" w:hAnsi="宋体" w:cs="宋体" w:eastAsia="宋体" w:hint="default"/>
                <w:sz w:val="18"/>
                <w:szCs w:val="18"/>
              </w:rPr>
              <w:t> </w:t>
            </w:r>
          </w:p>
        </w:tc>
        <w:tc>
          <w:tcPr>
            <w:tcW w:w="109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1"/>
                <w:szCs w:val="21"/>
              </w:rPr>
            </w:pPr>
          </w:p>
          <w:p>
            <w:pPr>
              <w:pStyle w:val="TableParagraph"/>
              <w:spacing w:line="316" w:lineRule="auto"/>
              <w:ind w:left="362" w:right="180" w:hanging="180"/>
              <w:jc w:val="left"/>
              <w:rPr>
                <w:rFonts w:ascii="宋体" w:hAnsi="宋体" w:cs="宋体" w:eastAsia="宋体" w:hint="default"/>
                <w:sz w:val="18"/>
                <w:szCs w:val="18"/>
              </w:rPr>
            </w:pPr>
            <w:r>
              <w:rPr>
                <w:rFonts w:ascii="宋体" w:hAnsi="宋体" w:cs="宋体" w:eastAsia="宋体" w:hint="default"/>
                <w:sz w:val="18"/>
                <w:szCs w:val="18"/>
              </w:rPr>
              <w:t>股权取得 时点</w:t>
            </w:r>
            <w:r>
              <w:rPr>
                <w:rFonts w:ascii="宋体" w:hAnsi="宋体" w:cs="宋体" w:eastAsia="宋体" w:hint="default"/>
                <w:sz w:val="18"/>
                <w:szCs w:val="18"/>
              </w:rPr>
              <w:t> </w:t>
            </w:r>
          </w:p>
        </w:tc>
        <w:tc>
          <w:tcPr>
            <w:tcW w:w="111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1"/>
                <w:szCs w:val="21"/>
              </w:rPr>
            </w:pPr>
          </w:p>
          <w:p>
            <w:pPr>
              <w:pStyle w:val="TableParagraph"/>
              <w:spacing w:line="316" w:lineRule="auto"/>
              <w:ind w:left="466" w:right="99" w:hanging="361"/>
              <w:jc w:val="left"/>
              <w:rPr>
                <w:rFonts w:ascii="宋体" w:hAnsi="宋体" w:cs="宋体" w:eastAsia="宋体" w:hint="default"/>
                <w:sz w:val="18"/>
                <w:szCs w:val="18"/>
              </w:rPr>
            </w:pPr>
            <w:r>
              <w:rPr>
                <w:rFonts w:ascii="宋体" w:hAnsi="宋体" w:cs="宋体" w:eastAsia="宋体" w:hint="default"/>
                <w:sz w:val="18"/>
                <w:szCs w:val="18"/>
              </w:rPr>
              <w:t>股权取得成 本</w:t>
            </w:r>
            <w:r>
              <w:rPr>
                <w:rFonts w:ascii="宋体" w:hAnsi="宋体" w:cs="宋体" w:eastAsia="宋体" w:hint="default"/>
                <w:sz w:val="18"/>
                <w:szCs w:val="18"/>
              </w:rPr>
              <w:t> </w:t>
            </w:r>
          </w:p>
        </w:tc>
        <w:tc>
          <w:tcPr>
            <w:tcW w:w="850" w:type="dxa"/>
            <w:tcBorders>
              <w:top w:val="single" w:sz="4" w:space="0" w:color="000000"/>
              <w:left w:val="single" w:sz="4" w:space="0" w:color="000000"/>
              <w:bottom w:val="nil" w:sz="6" w:space="0" w:color="auto"/>
              <w:right w:val="single" w:sz="4" w:space="0" w:color="000000"/>
            </w:tcBorders>
          </w:tcPr>
          <w:p>
            <w:pPr>
              <w:pStyle w:val="TableParagraph"/>
              <w:spacing w:line="316" w:lineRule="auto" w:before="121"/>
              <w:ind w:left="151" w:right="146"/>
              <w:jc w:val="left"/>
              <w:rPr>
                <w:rFonts w:ascii="宋体" w:hAnsi="宋体" w:cs="宋体" w:eastAsia="宋体" w:hint="default"/>
                <w:sz w:val="18"/>
                <w:szCs w:val="18"/>
              </w:rPr>
            </w:pPr>
            <w:r>
              <w:rPr>
                <w:rFonts w:ascii="宋体" w:hAnsi="宋体" w:cs="宋体" w:eastAsia="宋体" w:hint="default"/>
                <w:sz w:val="18"/>
                <w:szCs w:val="18"/>
              </w:rPr>
              <w:t>股权取 得比例</w:t>
            </w:r>
          </w:p>
          <w:p>
            <w:pPr>
              <w:pStyle w:val="TableParagraph"/>
              <w:spacing w:line="240" w:lineRule="auto" w:before="19"/>
              <w:ind w:left="194"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 </w:t>
            </w:r>
          </w:p>
        </w:tc>
        <w:tc>
          <w:tcPr>
            <w:tcW w:w="94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1"/>
                <w:szCs w:val="21"/>
              </w:rPr>
            </w:pPr>
          </w:p>
          <w:p>
            <w:pPr>
              <w:pStyle w:val="TableParagraph"/>
              <w:spacing w:line="316" w:lineRule="auto"/>
              <w:ind w:left="285" w:right="103" w:hanging="180"/>
              <w:jc w:val="left"/>
              <w:rPr>
                <w:rFonts w:ascii="宋体" w:hAnsi="宋体" w:cs="宋体" w:eastAsia="宋体" w:hint="default"/>
                <w:sz w:val="18"/>
                <w:szCs w:val="18"/>
              </w:rPr>
            </w:pPr>
            <w:r>
              <w:rPr>
                <w:rFonts w:ascii="宋体" w:hAnsi="宋体" w:cs="宋体" w:eastAsia="宋体" w:hint="default"/>
                <w:sz w:val="18"/>
                <w:szCs w:val="18"/>
              </w:rPr>
              <w:t>股权取得 方式</w:t>
            </w:r>
            <w:r>
              <w:rPr>
                <w:rFonts w:ascii="宋体" w:hAnsi="宋体" w:cs="宋体" w:eastAsia="宋体" w:hint="default"/>
                <w:sz w:val="18"/>
                <w:szCs w:val="18"/>
              </w:rPr>
              <w:t> </w:t>
            </w:r>
          </w:p>
        </w:tc>
        <w:tc>
          <w:tcPr>
            <w:tcW w:w="1035"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15"/>
                <w:szCs w:val="15"/>
              </w:rPr>
            </w:pPr>
          </w:p>
          <w:p>
            <w:pPr>
              <w:pStyle w:val="TableParagraph"/>
              <w:spacing w:line="240" w:lineRule="auto"/>
              <w:ind w:left="242" w:right="0"/>
              <w:jc w:val="left"/>
              <w:rPr>
                <w:rFonts w:ascii="宋体" w:hAnsi="宋体" w:cs="宋体" w:eastAsia="宋体" w:hint="default"/>
                <w:sz w:val="18"/>
                <w:szCs w:val="18"/>
              </w:rPr>
            </w:pPr>
            <w:r>
              <w:rPr>
                <w:rFonts w:ascii="宋体" w:hAnsi="宋体" w:cs="宋体" w:eastAsia="宋体" w:hint="default"/>
                <w:sz w:val="18"/>
                <w:szCs w:val="18"/>
              </w:rPr>
              <w:t>购买日</w:t>
            </w:r>
            <w:r>
              <w:rPr>
                <w:rFonts w:ascii="宋体" w:hAnsi="宋体" w:cs="宋体" w:eastAsia="宋体" w:hint="default"/>
                <w:sz w:val="18"/>
                <w:szCs w:val="18"/>
              </w:rPr>
              <w:t> </w:t>
            </w:r>
          </w:p>
        </w:tc>
        <w:tc>
          <w:tcPr>
            <w:tcW w:w="106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1"/>
                <w:szCs w:val="21"/>
              </w:rPr>
            </w:pPr>
          </w:p>
          <w:p>
            <w:pPr>
              <w:pStyle w:val="TableParagraph"/>
              <w:spacing w:line="316" w:lineRule="auto"/>
              <w:ind w:left="168" w:right="73"/>
              <w:jc w:val="left"/>
              <w:rPr>
                <w:rFonts w:ascii="宋体" w:hAnsi="宋体" w:cs="宋体" w:eastAsia="宋体" w:hint="default"/>
                <w:sz w:val="18"/>
                <w:szCs w:val="18"/>
              </w:rPr>
            </w:pPr>
            <w:r>
              <w:rPr>
                <w:rFonts w:ascii="宋体" w:hAnsi="宋体" w:cs="宋体" w:eastAsia="宋体" w:hint="default"/>
                <w:sz w:val="18"/>
                <w:szCs w:val="18"/>
              </w:rPr>
              <w:t>购买日的 确定依据</w:t>
            </w:r>
            <w:r>
              <w:rPr>
                <w:rFonts w:ascii="宋体" w:hAnsi="宋体" w:cs="宋体" w:eastAsia="宋体" w:hint="default"/>
                <w:sz w:val="18"/>
                <w:szCs w:val="18"/>
              </w:rPr>
              <w:t> </w:t>
            </w:r>
          </w:p>
        </w:tc>
        <w:tc>
          <w:tcPr>
            <w:tcW w:w="1066" w:type="dxa"/>
            <w:tcBorders>
              <w:top w:val="single" w:sz="4" w:space="0" w:color="000000"/>
              <w:left w:val="single" w:sz="4" w:space="0" w:color="000000"/>
              <w:bottom w:val="nil" w:sz="6" w:space="0" w:color="auto"/>
              <w:right w:val="single" w:sz="4" w:space="0" w:color="000000"/>
            </w:tcBorders>
          </w:tcPr>
          <w:p>
            <w:pPr>
              <w:pStyle w:val="TableParagraph"/>
              <w:spacing w:line="316" w:lineRule="auto" w:before="13"/>
              <w:ind w:left="167" w:right="166"/>
              <w:jc w:val="both"/>
              <w:rPr>
                <w:rFonts w:ascii="宋体" w:hAnsi="宋体" w:cs="宋体" w:eastAsia="宋体" w:hint="default"/>
                <w:sz w:val="18"/>
                <w:szCs w:val="18"/>
              </w:rPr>
            </w:pPr>
            <w:r>
              <w:rPr>
                <w:rFonts w:ascii="宋体" w:hAnsi="宋体" w:cs="宋体" w:eastAsia="宋体" w:hint="default"/>
                <w:sz w:val="18"/>
                <w:szCs w:val="18"/>
              </w:rPr>
              <w:t>购买日至 期末被购 买方的收</w:t>
            </w:r>
          </w:p>
        </w:tc>
        <w:tc>
          <w:tcPr>
            <w:tcW w:w="1267" w:type="dxa"/>
            <w:tcBorders>
              <w:top w:val="single" w:sz="4" w:space="0" w:color="000000"/>
              <w:left w:val="single" w:sz="4" w:space="0" w:color="000000"/>
              <w:bottom w:val="nil" w:sz="6" w:space="0" w:color="auto"/>
              <w:right w:val="single" w:sz="4" w:space="0" w:color="000000"/>
            </w:tcBorders>
          </w:tcPr>
          <w:p>
            <w:pPr>
              <w:pStyle w:val="TableParagraph"/>
              <w:spacing w:line="316" w:lineRule="auto" w:before="121"/>
              <w:ind w:left="177" w:right="176"/>
              <w:jc w:val="both"/>
              <w:rPr>
                <w:rFonts w:ascii="宋体" w:hAnsi="宋体" w:cs="宋体" w:eastAsia="宋体" w:hint="default"/>
                <w:sz w:val="18"/>
                <w:szCs w:val="18"/>
              </w:rPr>
            </w:pPr>
            <w:r>
              <w:rPr>
                <w:rFonts w:ascii="宋体" w:hAnsi="宋体" w:cs="宋体" w:eastAsia="宋体" w:hint="default"/>
                <w:sz w:val="18"/>
                <w:szCs w:val="18"/>
              </w:rPr>
              <w:t>购买日至期 末被购买方 的净利润</w:t>
            </w:r>
            <w:r>
              <w:rPr>
                <w:rFonts w:ascii="宋体" w:hAnsi="宋体" w:cs="宋体" w:eastAsia="宋体" w:hint="default"/>
                <w:sz w:val="18"/>
                <w:szCs w:val="18"/>
              </w:rPr>
              <w:t> </w:t>
            </w:r>
          </w:p>
        </w:tc>
      </w:tr>
      <w:tr>
        <w:trPr>
          <w:trHeight w:val="167" w:hRule="exact"/>
        </w:trPr>
        <w:tc>
          <w:tcPr>
            <w:tcW w:w="1073" w:type="dxa"/>
            <w:tcBorders>
              <w:top w:val="nil" w:sz="6" w:space="0" w:color="auto"/>
              <w:left w:val="single" w:sz="4" w:space="0" w:color="000000"/>
              <w:bottom w:val="single" w:sz="4" w:space="0" w:color="000000"/>
              <w:right w:val="single" w:sz="4" w:space="0" w:color="000000"/>
            </w:tcBorders>
          </w:tcPr>
          <w:p>
            <w:pPr/>
          </w:p>
        </w:tc>
        <w:tc>
          <w:tcPr>
            <w:tcW w:w="1094" w:type="dxa"/>
            <w:tcBorders>
              <w:top w:val="nil" w:sz="6" w:space="0" w:color="auto"/>
              <w:left w:val="single" w:sz="4" w:space="0" w:color="000000"/>
              <w:bottom w:val="single" w:sz="4" w:space="0" w:color="000000"/>
              <w:right w:val="single" w:sz="4" w:space="0" w:color="000000"/>
            </w:tcBorders>
          </w:tcPr>
          <w:p>
            <w:pPr/>
          </w:p>
        </w:tc>
        <w:tc>
          <w:tcPr>
            <w:tcW w:w="1117"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941" w:type="dxa"/>
            <w:tcBorders>
              <w:top w:val="nil" w:sz="6" w:space="0" w:color="auto"/>
              <w:left w:val="single" w:sz="4" w:space="0" w:color="000000"/>
              <w:bottom w:val="single" w:sz="4" w:space="0" w:color="000000"/>
              <w:right w:val="single" w:sz="4" w:space="0" w:color="000000"/>
            </w:tcBorders>
          </w:tcPr>
          <w:p>
            <w:pPr/>
          </w:p>
        </w:tc>
        <w:tc>
          <w:tcPr>
            <w:tcW w:w="1035"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Style w:val="TableParagraph"/>
              <w:spacing w:line="192" w:lineRule="exact"/>
              <w:ind w:left="439" w:right="0"/>
              <w:jc w:val="left"/>
              <w:rPr>
                <w:rFonts w:ascii="宋体" w:hAnsi="宋体" w:cs="宋体" w:eastAsia="宋体" w:hint="default"/>
                <w:sz w:val="18"/>
                <w:szCs w:val="18"/>
              </w:rPr>
            </w:pPr>
            <w:r>
              <w:rPr>
                <w:rFonts w:ascii="宋体" w:hAnsi="宋体" w:cs="宋体" w:eastAsia="宋体" w:hint="default"/>
                <w:sz w:val="18"/>
                <w:szCs w:val="18"/>
              </w:rPr>
              <w:t>入</w:t>
            </w:r>
            <w:r>
              <w:rPr>
                <w:rFonts w:ascii="宋体" w:hAnsi="宋体" w:cs="宋体" w:eastAsia="宋体" w:hint="default"/>
                <w:sz w:val="18"/>
                <w:szCs w:val="18"/>
              </w:rPr>
              <w:t> </w:t>
            </w:r>
          </w:p>
        </w:tc>
        <w:tc>
          <w:tcPr>
            <w:tcW w:w="1267" w:type="dxa"/>
            <w:tcBorders>
              <w:top w:val="nil" w:sz="6" w:space="0" w:color="auto"/>
              <w:left w:val="single" w:sz="4" w:space="0" w:color="000000"/>
              <w:bottom w:val="single" w:sz="4" w:space="0" w:color="000000"/>
              <w:right w:val="single" w:sz="4" w:space="0" w:color="000000"/>
            </w:tcBorders>
          </w:tcPr>
          <w:p>
            <w:pPr/>
          </w:p>
        </w:tc>
      </w:tr>
      <w:tr>
        <w:trPr>
          <w:trHeight w:val="300" w:hRule="exact"/>
        </w:trPr>
        <w:tc>
          <w:tcPr>
            <w:tcW w:w="107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33"/>
                <w:sz w:val="18"/>
                <w:szCs w:val="18"/>
              </w:rPr>
              <w:t>南京石鼓</w:t>
            </w:r>
            <w:r>
              <w:rPr>
                <w:rFonts w:ascii="宋体" w:hAnsi="宋体" w:cs="宋体" w:eastAsia="宋体" w:hint="default"/>
                <w:spacing w:val="-45"/>
                <w:sz w:val="18"/>
                <w:szCs w:val="18"/>
              </w:rPr>
              <w:t> </w:t>
            </w:r>
            <w:r>
              <w:rPr>
                <w:rFonts w:ascii="宋体" w:hAnsi="宋体" w:cs="宋体" w:eastAsia="宋体" w:hint="default"/>
                <w:sz w:val="18"/>
                <w:szCs w:val="18"/>
              </w:rPr>
            </w:r>
          </w:p>
        </w:tc>
        <w:tc>
          <w:tcPr>
            <w:tcW w:w="1094" w:type="dxa"/>
            <w:tcBorders>
              <w:top w:val="single" w:sz="4" w:space="0" w:color="000000"/>
              <w:left w:val="single" w:sz="4" w:space="0" w:color="000000"/>
              <w:bottom w:val="nil" w:sz="6" w:space="0" w:color="auto"/>
              <w:right w:val="single" w:sz="4" w:space="0" w:color="000000"/>
            </w:tcBorders>
          </w:tcPr>
          <w:p>
            <w:pPr/>
          </w:p>
        </w:tc>
        <w:tc>
          <w:tcPr>
            <w:tcW w:w="1117" w:type="dxa"/>
            <w:tcBorders>
              <w:top w:val="single" w:sz="4" w:space="0" w:color="000000"/>
              <w:left w:val="single" w:sz="4" w:space="0" w:color="000000"/>
              <w:bottom w:val="nil" w:sz="6" w:space="0" w:color="auto"/>
              <w:right w:val="single" w:sz="4" w:space="0" w:color="000000"/>
            </w:tcBorders>
          </w:tcPr>
          <w:p>
            <w:pPr/>
          </w:p>
        </w:tc>
        <w:tc>
          <w:tcPr>
            <w:tcW w:w="850" w:type="dxa"/>
            <w:tcBorders>
              <w:top w:val="single" w:sz="4" w:space="0" w:color="000000"/>
              <w:left w:val="single" w:sz="4" w:space="0" w:color="000000"/>
              <w:bottom w:val="nil" w:sz="6" w:space="0" w:color="auto"/>
              <w:right w:val="single" w:sz="4" w:space="0" w:color="000000"/>
            </w:tcBorders>
          </w:tcPr>
          <w:p>
            <w:pPr/>
          </w:p>
        </w:tc>
        <w:tc>
          <w:tcPr>
            <w:tcW w:w="941" w:type="dxa"/>
            <w:tcBorders>
              <w:top w:val="single" w:sz="4" w:space="0" w:color="000000"/>
              <w:left w:val="single" w:sz="4" w:space="0" w:color="000000"/>
              <w:bottom w:val="nil" w:sz="6" w:space="0" w:color="auto"/>
              <w:right w:val="single" w:sz="4" w:space="0" w:color="000000"/>
            </w:tcBorders>
          </w:tcPr>
          <w:p>
            <w:pPr/>
          </w:p>
        </w:tc>
        <w:tc>
          <w:tcPr>
            <w:tcW w:w="1035" w:type="dxa"/>
            <w:tcBorders>
              <w:top w:val="single" w:sz="4" w:space="0" w:color="000000"/>
              <w:left w:val="single" w:sz="4" w:space="0" w:color="000000"/>
              <w:bottom w:val="nil" w:sz="6" w:space="0" w:color="auto"/>
              <w:right w:val="single" w:sz="4" w:space="0" w:color="000000"/>
            </w:tcBorders>
          </w:tcPr>
          <w:p>
            <w:pPr/>
          </w:p>
        </w:tc>
        <w:tc>
          <w:tcPr>
            <w:tcW w:w="1063" w:type="dxa"/>
            <w:tcBorders>
              <w:top w:val="single" w:sz="4" w:space="0" w:color="000000"/>
              <w:left w:val="single" w:sz="4" w:space="0" w:color="000000"/>
              <w:bottom w:val="nil" w:sz="6" w:space="0" w:color="auto"/>
              <w:right w:val="single" w:sz="4" w:space="0" w:color="000000"/>
            </w:tcBorders>
          </w:tcPr>
          <w:p>
            <w:pPr/>
          </w:p>
        </w:tc>
        <w:tc>
          <w:tcPr>
            <w:tcW w:w="1066" w:type="dxa"/>
            <w:tcBorders>
              <w:top w:val="single" w:sz="4" w:space="0" w:color="000000"/>
              <w:left w:val="single" w:sz="4" w:space="0" w:color="000000"/>
              <w:bottom w:val="nil" w:sz="6" w:space="0" w:color="auto"/>
              <w:right w:val="single" w:sz="4" w:space="0" w:color="000000"/>
            </w:tcBorders>
          </w:tcPr>
          <w:p>
            <w:pPr/>
          </w:p>
        </w:tc>
        <w:tc>
          <w:tcPr>
            <w:tcW w:w="1267" w:type="dxa"/>
            <w:tcBorders>
              <w:top w:val="single" w:sz="4" w:space="0" w:color="000000"/>
              <w:left w:val="single" w:sz="4" w:space="0" w:color="000000"/>
              <w:bottom w:val="nil" w:sz="6" w:space="0" w:color="auto"/>
              <w:right w:val="single" w:sz="4" w:space="0" w:color="000000"/>
            </w:tcBorders>
          </w:tcPr>
          <w:p>
            <w:pPr/>
          </w:p>
        </w:tc>
      </w:tr>
      <w:tr>
        <w:trPr>
          <w:trHeight w:val="641" w:hRule="exact"/>
        </w:trPr>
        <w:tc>
          <w:tcPr>
            <w:tcW w:w="1073" w:type="dxa"/>
            <w:tcBorders>
              <w:top w:val="nil" w:sz="6" w:space="0" w:color="auto"/>
              <w:left w:val="single" w:sz="4" w:space="0" w:color="000000"/>
              <w:bottom w:val="nil" w:sz="6" w:space="0" w:color="auto"/>
              <w:right w:val="single" w:sz="4" w:space="0" w:color="000000"/>
            </w:tcBorders>
          </w:tcPr>
          <w:p>
            <w:pPr>
              <w:pStyle w:val="TableParagraph"/>
              <w:spacing w:line="319" w:lineRule="auto" w:before="27"/>
              <w:ind w:left="103" w:right="55"/>
              <w:jc w:val="left"/>
              <w:rPr>
                <w:rFonts w:ascii="宋体" w:hAnsi="宋体" w:cs="宋体" w:eastAsia="宋体" w:hint="default"/>
                <w:sz w:val="18"/>
                <w:szCs w:val="18"/>
              </w:rPr>
            </w:pPr>
            <w:r>
              <w:rPr>
                <w:rFonts w:ascii="宋体" w:hAnsi="宋体" w:cs="宋体" w:eastAsia="宋体" w:hint="default"/>
                <w:spacing w:val="33"/>
                <w:sz w:val="18"/>
                <w:szCs w:val="18"/>
              </w:rPr>
              <w:t>文信息技</w:t>
            </w:r>
            <w:r>
              <w:rPr>
                <w:rFonts w:ascii="宋体" w:hAnsi="宋体" w:cs="宋体" w:eastAsia="宋体" w:hint="default"/>
                <w:spacing w:val="-87"/>
                <w:sz w:val="18"/>
                <w:szCs w:val="18"/>
              </w:rPr>
              <w:t> </w:t>
            </w:r>
            <w:r>
              <w:rPr>
                <w:rFonts w:ascii="宋体" w:hAnsi="宋体" w:cs="宋体" w:eastAsia="宋体" w:hint="default"/>
                <w:spacing w:val="33"/>
                <w:sz w:val="18"/>
                <w:szCs w:val="18"/>
              </w:rPr>
              <w:t>术有限公</w:t>
            </w:r>
            <w:r>
              <w:rPr>
                <w:rFonts w:ascii="宋体" w:hAnsi="宋体" w:cs="宋体" w:eastAsia="宋体" w:hint="default"/>
                <w:spacing w:val="-45"/>
                <w:sz w:val="18"/>
                <w:szCs w:val="18"/>
              </w:rPr>
              <w:t> </w:t>
            </w:r>
            <w:r>
              <w:rPr>
                <w:rFonts w:ascii="宋体" w:hAnsi="宋体" w:cs="宋体" w:eastAsia="宋体" w:hint="default"/>
                <w:sz w:val="18"/>
                <w:szCs w:val="18"/>
              </w:rPr>
            </w:r>
          </w:p>
        </w:tc>
        <w:tc>
          <w:tcPr>
            <w:tcW w:w="1094" w:type="dxa"/>
            <w:tcBorders>
              <w:top w:val="nil" w:sz="6" w:space="0" w:color="auto"/>
              <w:left w:val="single" w:sz="4" w:space="0" w:color="000000"/>
              <w:bottom w:val="nil" w:sz="6" w:space="0" w:color="auto"/>
              <w:right w:val="single" w:sz="4" w:space="0" w:color="000000"/>
            </w:tcBorders>
          </w:tcPr>
          <w:p>
            <w:pPr>
              <w:pStyle w:val="TableParagraph"/>
              <w:spacing w:line="229" w:lineRule="exact"/>
              <w:ind w:left="103"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宋体" w:hAnsi="宋体" w:cs="宋体" w:eastAsia="宋体" w:hint="default"/>
                <w:sz w:val="18"/>
                <w:szCs w:val="18"/>
              </w:rPr>
              <w:t>12</w:t>
            </w:r>
          </w:p>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5"/>
                <w:sz w:val="18"/>
                <w:szCs w:val="18"/>
              </w:rPr>
              <w:t> </w:t>
            </w:r>
            <w:r>
              <w:rPr>
                <w:rFonts w:ascii="宋体" w:hAnsi="宋体" w:cs="宋体" w:eastAsia="宋体" w:hint="default"/>
                <w:sz w:val="18"/>
                <w:szCs w:val="18"/>
              </w:rPr>
              <w:t>26</w:t>
            </w:r>
            <w:r>
              <w:rPr>
                <w:rFonts w:ascii="宋体" w:hAnsi="宋体" w:cs="宋体" w:eastAsia="宋体" w:hint="default"/>
                <w:spacing w:val="-44"/>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c>
          <w:tcPr>
            <w:tcW w:w="1117" w:type="dxa"/>
            <w:tcBorders>
              <w:top w:val="nil" w:sz="6" w:space="0" w:color="auto"/>
              <w:left w:val="single" w:sz="4" w:space="0" w:color="000000"/>
              <w:bottom w:val="nil" w:sz="6" w:space="0" w:color="auto"/>
              <w:right w:val="single" w:sz="4" w:space="0" w:color="000000"/>
            </w:tcBorders>
          </w:tcPr>
          <w:p>
            <w:pPr>
              <w:pStyle w:val="TableParagraph"/>
              <w:spacing w:line="240" w:lineRule="auto" w:before="149"/>
              <w:ind w:left="105" w:right="0"/>
              <w:jc w:val="left"/>
              <w:rPr>
                <w:rFonts w:ascii="宋体" w:hAnsi="宋体" w:cs="宋体" w:eastAsia="宋体" w:hint="default"/>
                <w:sz w:val="18"/>
                <w:szCs w:val="18"/>
              </w:rPr>
            </w:pPr>
            <w:r>
              <w:rPr>
                <w:rFonts w:ascii="宋体"/>
                <w:sz w:val="18"/>
              </w:rPr>
              <w:t>550,000.00 </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149"/>
              <w:ind w:left="196" w:right="0"/>
              <w:jc w:val="left"/>
              <w:rPr>
                <w:rFonts w:ascii="宋体" w:hAnsi="宋体" w:cs="宋体" w:eastAsia="宋体" w:hint="default"/>
                <w:sz w:val="18"/>
                <w:szCs w:val="18"/>
              </w:rPr>
            </w:pPr>
            <w:r>
              <w:rPr>
                <w:rFonts w:ascii="宋体"/>
                <w:sz w:val="18"/>
              </w:rPr>
              <w:t>100.00 </w:t>
            </w:r>
          </w:p>
        </w:tc>
        <w:tc>
          <w:tcPr>
            <w:tcW w:w="941" w:type="dxa"/>
            <w:tcBorders>
              <w:top w:val="nil" w:sz="6" w:space="0" w:color="auto"/>
              <w:left w:val="single" w:sz="4" w:space="0" w:color="000000"/>
              <w:bottom w:val="nil" w:sz="6" w:space="0" w:color="auto"/>
              <w:right w:val="single" w:sz="4" w:space="0" w:color="000000"/>
            </w:tcBorders>
          </w:tcPr>
          <w:p>
            <w:pPr>
              <w:pStyle w:val="TableParagraph"/>
              <w:spacing w:line="240" w:lineRule="auto" w:before="149"/>
              <w:ind w:left="103" w:right="0"/>
              <w:jc w:val="left"/>
              <w:rPr>
                <w:rFonts w:ascii="宋体" w:hAnsi="宋体" w:cs="宋体" w:eastAsia="宋体" w:hint="default"/>
                <w:sz w:val="18"/>
                <w:szCs w:val="18"/>
              </w:rPr>
            </w:pPr>
            <w:r>
              <w:rPr>
                <w:rFonts w:ascii="宋体" w:hAnsi="宋体" w:cs="宋体" w:eastAsia="宋体" w:hint="default"/>
                <w:sz w:val="18"/>
                <w:szCs w:val="18"/>
              </w:rPr>
              <w:t>现金支付</w:t>
            </w:r>
            <w:r>
              <w:rPr>
                <w:rFonts w:ascii="宋体" w:hAnsi="宋体" w:cs="宋体" w:eastAsia="宋体" w:hint="default"/>
                <w:sz w:val="18"/>
                <w:szCs w:val="18"/>
              </w:rPr>
              <w:t> </w:t>
            </w:r>
          </w:p>
        </w:tc>
        <w:tc>
          <w:tcPr>
            <w:tcW w:w="1035" w:type="dxa"/>
            <w:tcBorders>
              <w:top w:val="nil" w:sz="6" w:space="0" w:color="auto"/>
              <w:left w:val="single" w:sz="4" w:space="0" w:color="000000"/>
              <w:bottom w:val="nil" w:sz="6" w:space="0" w:color="auto"/>
              <w:right w:val="single" w:sz="4" w:space="0" w:color="000000"/>
            </w:tcBorders>
          </w:tcPr>
          <w:p>
            <w:pPr>
              <w:pStyle w:val="TableParagraph"/>
              <w:spacing w:line="229" w:lineRule="exact"/>
              <w:ind w:left="103"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37"/>
                <w:sz w:val="18"/>
                <w:szCs w:val="18"/>
              </w:rPr>
              <w:t> </w:t>
            </w:r>
            <w:r>
              <w:rPr>
                <w:rFonts w:ascii="宋体" w:hAnsi="宋体" w:cs="宋体" w:eastAsia="宋体" w:hint="default"/>
                <w:sz w:val="18"/>
                <w:szCs w:val="18"/>
              </w:rPr>
              <w:t>年</w:t>
            </w:r>
            <w:r>
              <w:rPr>
                <w:rFonts w:ascii="宋体" w:hAnsi="宋体" w:cs="宋体" w:eastAsia="宋体" w:hint="default"/>
                <w:spacing w:val="-42"/>
                <w:sz w:val="18"/>
                <w:szCs w:val="18"/>
              </w:rPr>
              <w:t> </w:t>
            </w:r>
            <w:r>
              <w:rPr>
                <w:rFonts w:ascii="宋体" w:hAnsi="宋体" w:cs="宋体" w:eastAsia="宋体" w:hint="default"/>
                <w:sz w:val="18"/>
                <w:szCs w:val="18"/>
              </w:rPr>
              <w:t>12</w:t>
            </w:r>
          </w:p>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4"/>
                <w:sz w:val="18"/>
                <w:szCs w:val="18"/>
              </w:rPr>
              <w:t> </w:t>
            </w:r>
            <w:r>
              <w:rPr>
                <w:rFonts w:ascii="宋体" w:hAnsi="宋体" w:cs="宋体" w:eastAsia="宋体" w:hint="default"/>
                <w:sz w:val="18"/>
                <w:szCs w:val="18"/>
              </w:rPr>
              <w:t>26</w:t>
            </w:r>
            <w:r>
              <w:rPr>
                <w:rFonts w:ascii="宋体" w:hAnsi="宋体" w:cs="宋体" w:eastAsia="宋体" w:hint="default"/>
                <w:spacing w:val="-44"/>
                <w:sz w:val="18"/>
                <w:szCs w:val="18"/>
              </w:rPr>
              <w:t> </w:t>
            </w:r>
            <w:r>
              <w:rPr>
                <w:rFonts w:ascii="宋体" w:hAnsi="宋体" w:cs="宋体" w:eastAsia="宋体" w:hint="default"/>
                <w:spacing w:val="-3"/>
                <w:sz w:val="18"/>
                <w:szCs w:val="18"/>
              </w:rPr>
              <w:t>日</w:t>
            </w:r>
            <w:r>
              <w:rPr>
                <w:rFonts w:ascii="宋体" w:hAnsi="宋体" w:cs="宋体" w:eastAsia="宋体" w:hint="default"/>
                <w:sz w:val="18"/>
                <w:szCs w:val="18"/>
              </w:rPr>
              <w:t> </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319" w:lineRule="auto"/>
              <w:ind w:left="105" w:right="53"/>
              <w:jc w:val="left"/>
              <w:rPr>
                <w:rFonts w:ascii="宋体" w:hAnsi="宋体" w:cs="宋体" w:eastAsia="宋体" w:hint="default"/>
                <w:sz w:val="18"/>
                <w:szCs w:val="18"/>
              </w:rPr>
            </w:pPr>
            <w:r>
              <w:rPr>
                <w:rFonts w:ascii="宋体" w:hAnsi="宋体" w:cs="宋体" w:eastAsia="宋体" w:hint="default"/>
                <w:spacing w:val="32"/>
                <w:sz w:val="18"/>
                <w:szCs w:val="18"/>
              </w:rPr>
              <w:t>取得控制</w:t>
            </w:r>
            <w:r>
              <w:rPr>
                <w:rFonts w:ascii="宋体" w:hAnsi="宋体" w:cs="宋体" w:eastAsia="宋体" w:hint="default"/>
                <w:spacing w:val="-47"/>
                <w:sz w:val="18"/>
                <w:szCs w:val="18"/>
              </w:rPr>
              <w:t> </w:t>
            </w:r>
            <w:r>
              <w:rPr>
                <w:rFonts w:ascii="宋体" w:hAnsi="宋体" w:cs="宋体" w:eastAsia="宋体" w:hint="default"/>
                <w:sz w:val="18"/>
                <w:szCs w:val="18"/>
              </w:rPr>
              <w:t>权</w:t>
            </w:r>
            <w:r>
              <w:rPr>
                <w:rFonts w:ascii="宋体" w:hAnsi="宋体" w:cs="宋体" w:eastAsia="宋体" w:hint="default"/>
                <w:sz w:val="18"/>
                <w:szCs w:val="18"/>
              </w:rPr>
              <w:t> </w:t>
            </w:r>
          </w:p>
        </w:tc>
        <w:tc>
          <w:tcPr>
            <w:tcW w:w="1066" w:type="dxa"/>
            <w:tcBorders>
              <w:top w:val="nil" w:sz="6" w:space="0" w:color="auto"/>
              <w:left w:val="single" w:sz="4" w:space="0" w:color="000000"/>
              <w:bottom w:val="nil" w:sz="6" w:space="0" w:color="auto"/>
              <w:right w:val="single" w:sz="4" w:space="0" w:color="000000"/>
            </w:tcBorders>
          </w:tcPr>
          <w:p>
            <w:pPr>
              <w:pStyle w:val="TableParagraph"/>
              <w:spacing w:line="240" w:lineRule="auto" w:before="149"/>
              <w:ind w:right="11"/>
              <w:jc w:val="right"/>
              <w:rPr>
                <w:rFonts w:ascii="宋体" w:hAnsi="宋体" w:cs="宋体" w:eastAsia="宋体" w:hint="default"/>
                <w:sz w:val="18"/>
                <w:szCs w:val="18"/>
              </w:rPr>
            </w:pPr>
            <w:r>
              <w:rPr>
                <w:rFonts w:ascii="宋体"/>
                <w:sz w:val="18"/>
              </w:rPr>
              <w:t> </w:t>
            </w:r>
          </w:p>
        </w:tc>
        <w:tc>
          <w:tcPr>
            <w:tcW w:w="1267" w:type="dxa"/>
            <w:tcBorders>
              <w:top w:val="nil" w:sz="6" w:space="0" w:color="auto"/>
              <w:left w:val="single" w:sz="4" w:space="0" w:color="000000"/>
              <w:bottom w:val="nil" w:sz="6" w:space="0" w:color="auto"/>
              <w:right w:val="single" w:sz="4" w:space="0" w:color="000000"/>
            </w:tcBorders>
          </w:tcPr>
          <w:p>
            <w:pPr>
              <w:pStyle w:val="TableParagraph"/>
              <w:spacing w:line="240" w:lineRule="auto" w:before="149"/>
              <w:ind w:left="254" w:right="0"/>
              <w:jc w:val="left"/>
              <w:rPr>
                <w:rFonts w:ascii="宋体" w:hAnsi="宋体" w:cs="宋体" w:eastAsia="宋体" w:hint="default"/>
                <w:sz w:val="18"/>
                <w:szCs w:val="18"/>
              </w:rPr>
            </w:pPr>
            <w:r>
              <w:rPr>
                <w:rFonts w:ascii="宋体"/>
                <w:sz w:val="18"/>
              </w:rPr>
              <w:t>-43,718.08 </w:t>
            </w:r>
          </w:p>
        </w:tc>
      </w:tr>
      <w:tr>
        <w:trPr>
          <w:trHeight w:val="249" w:hRule="exact"/>
        </w:trPr>
        <w:tc>
          <w:tcPr>
            <w:tcW w:w="107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司</w:t>
            </w:r>
            <w:r>
              <w:rPr>
                <w:rFonts w:ascii="宋体" w:hAnsi="宋体" w:cs="宋体" w:eastAsia="宋体" w:hint="default"/>
                <w:sz w:val="18"/>
                <w:szCs w:val="18"/>
              </w:rPr>
              <w:t> </w:t>
            </w:r>
          </w:p>
        </w:tc>
        <w:tc>
          <w:tcPr>
            <w:tcW w:w="1094" w:type="dxa"/>
            <w:tcBorders>
              <w:top w:val="nil" w:sz="6" w:space="0" w:color="auto"/>
              <w:left w:val="single" w:sz="4" w:space="0" w:color="000000"/>
              <w:bottom w:val="single" w:sz="4" w:space="0" w:color="000000"/>
              <w:right w:val="single" w:sz="4" w:space="0" w:color="000000"/>
            </w:tcBorders>
          </w:tcPr>
          <w:p>
            <w:pPr/>
          </w:p>
        </w:tc>
        <w:tc>
          <w:tcPr>
            <w:tcW w:w="1117" w:type="dxa"/>
            <w:tcBorders>
              <w:top w:val="nil" w:sz="6" w:space="0" w:color="auto"/>
              <w:left w:val="single" w:sz="4" w:space="0" w:color="000000"/>
              <w:bottom w:val="single" w:sz="4" w:space="0" w:color="000000"/>
              <w:right w:val="single" w:sz="4" w:space="0" w:color="000000"/>
            </w:tcBorders>
          </w:tcPr>
          <w:p>
            <w:pPr/>
          </w:p>
        </w:tc>
        <w:tc>
          <w:tcPr>
            <w:tcW w:w="850" w:type="dxa"/>
            <w:tcBorders>
              <w:top w:val="nil" w:sz="6" w:space="0" w:color="auto"/>
              <w:left w:val="single" w:sz="4" w:space="0" w:color="000000"/>
              <w:bottom w:val="single" w:sz="4" w:space="0" w:color="000000"/>
              <w:right w:val="single" w:sz="4" w:space="0" w:color="000000"/>
            </w:tcBorders>
          </w:tcPr>
          <w:p>
            <w:pPr/>
          </w:p>
        </w:tc>
        <w:tc>
          <w:tcPr>
            <w:tcW w:w="941" w:type="dxa"/>
            <w:tcBorders>
              <w:top w:val="nil" w:sz="6" w:space="0" w:color="auto"/>
              <w:left w:val="single" w:sz="4" w:space="0" w:color="000000"/>
              <w:bottom w:val="single" w:sz="4" w:space="0" w:color="000000"/>
              <w:right w:val="single" w:sz="4" w:space="0" w:color="000000"/>
            </w:tcBorders>
          </w:tcPr>
          <w:p>
            <w:pPr/>
          </w:p>
        </w:tc>
        <w:tc>
          <w:tcPr>
            <w:tcW w:w="1035" w:type="dxa"/>
            <w:tcBorders>
              <w:top w:val="nil" w:sz="6" w:space="0" w:color="auto"/>
              <w:left w:val="single" w:sz="4" w:space="0" w:color="000000"/>
              <w:bottom w:val="single" w:sz="4" w:space="0" w:color="000000"/>
              <w:right w:val="single" w:sz="4" w:space="0" w:color="000000"/>
            </w:tcBorders>
          </w:tcPr>
          <w:p>
            <w:pPr/>
          </w:p>
        </w:tc>
        <w:tc>
          <w:tcPr>
            <w:tcW w:w="1063" w:type="dxa"/>
            <w:tcBorders>
              <w:top w:val="nil" w:sz="6" w:space="0" w:color="auto"/>
              <w:left w:val="single" w:sz="4" w:space="0" w:color="000000"/>
              <w:bottom w:val="single" w:sz="4" w:space="0" w:color="000000"/>
              <w:right w:val="single" w:sz="4" w:space="0" w:color="000000"/>
            </w:tcBorders>
          </w:tcPr>
          <w:p>
            <w:pPr/>
          </w:p>
        </w:tc>
        <w:tc>
          <w:tcPr>
            <w:tcW w:w="1066" w:type="dxa"/>
            <w:tcBorders>
              <w:top w:val="nil" w:sz="6" w:space="0" w:color="auto"/>
              <w:left w:val="single" w:sz="4" w:space="0" w:color="000000"/>
              <w:bottom w:val="single" w:sz="4" w:space="0" w:color="000000"/>
              <w:right w:val="single" w:sz="4" w:space="0" w:color="000000"/>
            </w:tcBorders>
          </w:tcPr>
          <w:p>
            <w:pPr/>
          </w:p>
        </w:tc>
        <w:tc>
          <w:tcPr>
            <w:tcW w:w="1267" w:type="dxa"/>
            <w:tcBorders>
              <w:top w:val="nil" w:sz="6" w:space="0" w:color="auto"/>
              <w:left w:val="single" w:sz="4" w:space="0" w:color="000000"/>
              <w:bottom w:val="single" w:sz="4" w:space="0" w:color="000000"/>
              <w:right w:val="single" w:sz="4" w:space="0" w:color="000000"/>
            </w:tcBorders>
          </w:tcPr>
          <w:p>
            <w:pPr/>
          </w:p>
        </w:tc>
      </w:tr>
    </w:tbl>
    <w:p>
      <w:pPr>
        <w:spacing w:line="240" w:lineRule="auto" w:before="7"/>
        <w:rPr>
          <w:rFonts w:ascii="宋体" w:hAnsi="宋体" w:cs="宋体" w:eastAsia="宋体" w:hint="default"/>
          <w:b/>
          <w:bCs/>
          <w:sz w:val="6"/>
          <w:szCs w:val="6"/>
        </w:rPr>
      </w:pPr>
    </w:p>
    <w:p>
      <w:pPr>
        <w:pStyle w:val="BodyText"/>
        <w:spacing w:line="240" w:lineRule="auto" w:before="36"/>
        <w:ind w:left="566" w:right="7673"/>
        <w:jc w:val="left"/>
        <w:rPr>
          <w:rFonts w:ascii="宋体" w:hAnsi="宋体" w:cs="宋体" w:eastAsia="宋体" w:hint="default"/>
        </w:rPr>
      </w:pPr>
      <w:r>
        <w:rPr>
          <w:rFonts w:ascii="宋体" w:hAnsi="宋体" w:cs="宋体" w:eastAsia="宋体" w:hint="default"/>
          <w:b/>
          <w:bCs/>
        </w:rPr>
        <w:t>2</w:t>
      </w:r>
      <w:r>
        <w:rPr>
          <w:rFonts w:ascii="宋体" w:hAnsi="宋体" w:cs="宋体" w:eastAsia="宋体" w:hint="default"/>
          <w:b/>
          <w:bCs/>
        </w:rPr>
        <w:t>、</w:t>
      </w:r>
      <w:r>
        <w:rPr/>
        <w:t>合并成本及商誉</w:t>
      </w:r>
      <w:r>
        <w:rPr>
          <w:rFonts w:ascii="宋体" w:hAnsi="宋体" w:cs="宋体" w:eastAsia="宋体" w:hint="default"/>
        </w:rPr>
        <w:t> </w:t>
      </w:r>
    </w:p>
    <w:p>
      <w:pPr>
        <w:spacing w:line="240" w:lineRule="auto" w:before="3"/>
        <w:rPr>
          <w:rFonts w:ascii="宋体" w:hAnsi="宋体" w:cs="宋体" w:eastAsia="宋体" w:hint="default"/>
          <w:sz w:val="14"/>
          <w:szCs w:val="14"/>
        </w:rPr>
      </w:pPr>
    </w:p>
    <w:tbl>
      <w:tblPr>
        <w:tblW w:w="0" w:type="auto"/>
        <w:jc w:val="left"/>
        <w:tblInd w:w="119" w:type="dxa"/>
        <w:tblLayout w:type="fixed"/>
        <w:tblCellMar>
          <w:top w:w="0" w:type="dxa"/>
          <w:left w:w="0" w:type="dxa"/>
          <w:bottom w:w="0" w:type="dxa"/>
          <w:right w:w="0" w:type="dxa"/>
        </w:tblCellMar>
        <w:tblLook w:val="01E0"/>
      </w:tblPr>
      <w:tblGrid>
        <w:gridCol w:w="6441"/>
        <w:gridCol w:w="3123"/>
      </w:tblGrid>
      <w:tr>
        <w:trPr>
          <w:trHeight w:val="398" w:hRule="exact"/>
        </w:trPr>
        <w:tc>
          <w:tcPr>
            <w:tcW w:w="6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3" w:right="0"/>
              <w:jc w:val="center"/>
              <w:rPr>
                <w:rFonts w:ascii="宋体" w:hAnsi="宋体" w:cs="宋体" w:eastAsia="宋体" w:hint="default"/>
                <w:sz w:val="18"/>
                <w:szCs w:val="18"/>
              </w:rPr>
            </w:pPr>
            <w:r>
              <w:rPr>
                <w:rFonts w:ascii="宋体" w:hAnsi="宋体" w:cs="宋体" w:eastAsia="宋体" w:hint="default"/>
                <w:sz w:val="18"/>
                <w:szCs w:val="18"/>
              </w:rPr>
              <w:t>合并成本</w:t>
            </w:r>
            <w:r>
              <w:rPr>
                <w:rFonts w:ascii="宋体" w:hAnsi="宋体" w:cs="宋体" w:eastAsia="宋体" w:hint="default"/>
                <w:sz w:val="18"/>
                <w:szCs w:val="18"/>
              </w:rPr>
              <w:t> </w:t>
            </w:r>
          </w:p>
        </w:tc>
        <w:tc>
          <w:tcPr>
            <w:tcW w:w="3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86" w:right="0"/>
              <w:jc w:val="left"/>
              <w:rPr>
                <w:rFonts w:ascii="宋体" w:hAnsi="宋体" w:cs="宋体" w:eastAsia="宋体" w:hint="default"/>
                <w:sz w:val="18"/>
                <w:szCs w:val="18"/>
              </w:rPr>
            </w:pPr>
            <w:r>
              <w:rPr>
                <w:rFonts w:ascii="宋体" w:hAnsi="宋体" w:cs="宋体" w:eastAsia="宋体" w:hint="default"/>
                <w:sz w:val="18"/>
                <w:szCs w:val="18"/>
              </w:rPr>
              <w:t>南京石鼓文信息技术有限公司</w:t>
            </w:r>
            <w:r>
              <w:rPr>
                <w:rFonts w:ascii="宋体" w:hAnsi="宋体" w:cs="宋体" w:eastAsia="宋体" w:hint="default"/>
                <w:sz w:val="18"/>
                <w:szCs w:val="18"/>
              </w:rPr>
              <w:t> </w:t>
            </w:r>
          </w:p>
        </w:tc>
      </w:tr>
      <w:tr>
        <w:trPr>
          <w:trHeight w:val="396" w:hRule="exact"/>
        </w:trPr>
        <w:tc>
          <w:tcPr>
            <w:tcW w:w="6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6"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现金</w:t>
            </w:r>
            <w:r>
              <w:rPr>
                <w:rFonts w:ascii="宋体" w:hAnsi="宋体" w:cs="宋体" w:eastAsia="宋体" w:hint="default"/>
                <w:sz w:val="18"/>
                <w:szCs w:val="18"/>
              </w:rPr>
              <w:t> </w:t>
            </w:r>
          </w:p>
        </w:tc>
        <w:tc>
          <w:tcPr>
            <w:tcW w:w="3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550,000.00</w:t>
            </w:r>
            <w:r>
              <w:rPr>
                <w:rFonts w:ascii="宋体"/>
                <w:sz w:val="18"/>
              </w:rPr>
              <w:t> </w:t>
            </w:r>
          </w:p>
        </w:tc>
      </w:tr>
      <w:tr>
        <w:trPr>
          <w:trHeight w:val="398" w:hRule="exact"/>
        </w:trPr>
        <w:tc>
          <w:tcPr>
            <w:tcW w:w="6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6"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非现金资产的公允价值</w:t>
            </w:r>
            <w:r>
              <w:rPr>
                <w:rFonts w:ascii="宋体" w:hAnsi="宋体" w:cs="宋体" w:eastAsia="宋体" w:hint="default"/>
                <w:sz w:val="18"/>
                <w:szCs w:val="18"/>
              </w:rPr>
              <w:t> </w:t>
            </w:r>
          </w:p>
        </w:tc>
        <w:tc>
          <w:tcPr>
            <w:tcW w:w="3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r>
      <w:tr>
        <w:trPr>
          <w:trHeight w:val="396" w:hRule="exact"/>
        </w:trPr>
        <w:tc>
          <w:tcPr>
            <w:tcW w:w="6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6"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发行或承担的债务的公允价值</w:t>
            </w:r>
            <w:r>
              <w:rPr>
                <w:rFonts w:ascii="宋体" w:hAnsi="宋体" w:cs="宋体" w:eastAsia="宋体" w:hint="default"/>
                <w:sz w:val="18"/>
                <w:szCs w:val="18"/>
              </w:rPr>
              <w:t> </w:t>
            </w:r>
          </w:p>
        </w:tc>
        <w:tc>
          <w:tcPr>
            <w:tcW w:w="3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r>
      <w:tr>
        <w:trPr>
          <w:trHeight w:val="398" w:hRule="exact"/>
        </w:trPr>
        <w:tc>
          <w:tcPr>
            <w:tcW w:w="6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6"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发行的权益性证券的公允价值</w:t>
            </w:r>
            <w:r>
              <w:rPr>
                <w:rFonts w:ascii="宋体" w:hAnsi="宋体" w:cs="宋体" w:eastAsia="宋体" w:hint="default"/>
                <w:sz w:val="18"/>
                <w:szCs w:val="18"/>
              </w:rPr>
              <w:t> </w:t>
            </w:r>
          </w:p>
        </w:tc>
        <w:tc>
          <w:tcPr>
            <w:tcW w:w="3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r>
      <w:tr>
        <w:trPr>
          <w:trHeight w:val="396" w:hRule="exact"/>
        </w:trPr>
        <w:tc>
          <w:tcPr>
            <w:tcW w:w="6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6"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或有对价的公允价值</w:t>
            </w:r>
            <w:r>
              <w:rPr>
                <w:rFonts w:ascii="宋体" w:hAnsi="宋体" w:cs="宋体" w:eastAsia="宋体" w:hint="default"/>
                <w:sz w:val="18"/>
                <w:szCs w:val="18"/>
              </w:rPr>
              <w:t> </w:t>
            </w:r>
          </w:p>
        </w:tc>
        <w:tc>
          <w:tcPr>
            <w:tcW w:w="3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r>
      <w:tr>
        <w:trPr>
          <w:trHeight w:val="396" w:hRule="exact"/>
        </w:trPr>
        <w:tc>
          <w:tcPr>
            <w:tcW w:w="6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6"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购买日之前持有的股权于购买日的公允价值</w:t>
            </w:r>
            <w:r>
              <w:rPr>
                <w:rFonts w:ascii="宋体" w:hAnsi="宋体" w:cs="宋体" w:eastAsia="宋体" w:hint="default"/>
                <w:sz w:val="18"/>
                <w:szCs w:val="18"/>
              </w:rPr>
              <w:t> </w:t>
            </w:r>
          </w:p>
        </w:tc>
        <w:tc>
          <w:tcPr>
            <w:tcW w:w="3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r>
      <w:tr>
        <w:trPr>
          <w:trHeight w:val="399" w:hRule="exact"/>
        </w:trPr>
        <w:tc>
          <w:tcPr>
            <w:tcW w:w="6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6"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其他</w:t>
            </w:r>
            <w:r>
              <w:rPr>
                <w:rFonts w:ascii="宋体" w:hAnsi="宋体" w:cs="宋体" w:eastAsia="宋体" w:hint="default"/>
                <w:sz w:val="18"/>
                <w:szCs w:val="18"/>
              </w:rPr>
              <w:t> </w:t>
            </w:r>
          </w:p>
        </w:tc>
        <w:tc>
          <w:tcPr>
            <w:tcW w:w="3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r>
      <w:tr>
        <w:trPr>
          <w:trHeight w:val="396" w:hRule="exact"/>
        </w:trPr>
        <w:tc>
          <w:tcPr>
            <w:tcW w:w="6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6" w:right="0"/>
              <w:jc w:val="left"/>
              <w:rPr>
                <w:rFonts w:ascii="宋体" w:hAnsi="宋体" w:cs="宋体" w:eastAsia="宋体" w:hint="default"/>
                <w:sz w:val="18"/>
                <w:szCs w:val="18"/>
              </w:rPr>
            </w:pPr>
            <w:r>
              <w:rPr>
                <w:rFonts w:ascii="宋体" w:hAnsi="宋体" w:cs="宋体" w:eastAsia="宋体" w:hint="default"/>
                <w:sz w:val="18"/>
                <w:szCs w:val="18"/>
              </w:rPr>
              <w:t>合并成本合计</w:t>
            </w:r>
            <w:r>
              <w:rPr>
                <w:rFonts w:ascii="宋体" w:hAnsi="宋体" w:cs="宋体" w:eastAsia="宋体" w:hint="default"/>
                <w:sz w:val="18"/>
                <w:szCs w:val="18"/>
              </w:rPr>
              <w:t> </w:t>
            </w:r>
          </w:p>
        </w:tc>
        <w:tc>
          <w:tcPr>
            <w:tcW w:w="3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550,000.00</w:t>
            </w:r>
            <w:r>
              <w:rPr>
                <w:rFonts w:ascii="宋体"/>
                <w:sz w:val="18"/>
              </w:rPr>
              <w:t> </w:t>
            </w:r>
          </w:p>
        </w:tc>
      </w:tr>
      <w:tr>
        <w:trPr>
          <w:trHeight w:val="398" w:hRule="exact"/>
        </w:trPr>
        <w:tc>
          <w:tcPr>
            <w:tcW w:w="6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6" w:right="0"/>
              <w:jc w:val="left"/>
              <w:rPr>
                <w:rFonts w:ascii="宋体" w:hAnsi="宋体" w:cs="宋体" w:eastAsia="宋体" w:hint="default"/>
                <w:sz w:val="18"/>
                <w:szCs w:val="18"/>
              </w:rPr>
            </w:pPr>
            <w:r>
              <w:rPr>
                <w:rFonts w:ascii="宋体" w:hAnsi="宋体" w:cs="宋体" w:eastAsia="宋体" w:hint="default"/>
                <w:sz w:val="18"/>
                <w:szCs w:val="18"/>
              </w:rPr>
              <w:t>减：取得的可辨认净资产公允价值份额</w:t>
            </w:r>
            <w:r>
              <w:rPr>
                <w:rFonts w:ascii="宋体" w:hAnsi="宋体" w:cs="宋体" w:eastAsia="宋体" w:hint="default"/>
                <w:sz w:val="18"/>
                <w:szCs w:val="18"/>
              </w:rPr>
              <w:t> </w:t>
            </w:r>
          </w:p>
        </w:tc>
        <w:tc>
          <w:tcPr>
            <w:tcW w:w="3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72,047.70</w:t>
            </w:r>
            <w:r>
              <w:rPr>
                <w:rFonts w:ascii="宋体"/>
                <w:sz w:val="18"/>
              </w:rPr>
              <w:t> </w:t>
            </w:r>
          </w:p>
        </w:tc>
      </w:tr>
      <w:tr>
        <w:trPr>
          <w:trHeight w:val="396" w:hRule="exact"/>
        </w:trPr>
        <w:tc>
          <w:tcPr>
            <w:tcW w:w="64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6" w:right="0"/>
              <w:jc w:val="left"/>
              <w:rPr>
                <w:rFonts w:ascii="宋体" w:hAnsi="宋体" w:cs="宋体" w:eastAsia="宋体" w:hint="default"/>
                <w:sz w:val="18"/>
                <w:szCs w:val="18"/>
              </w:rPr>
            </w:pPr>
            <w:r>
              <w:rPr>
                <w:rFonts w:ascii="宋体" w:hAnsi="宋体" w:cs="宋体" w:eastAsia="宋体" w:hint="default"/>
                <w:sz w:val="18"/>
                <w:szCs w:val="18"/>
              </w:rPr>
              <w:t>商誉</w:t>
            </w:r>
            <w:r>
              <w:rPr>
                <w:rFonts w:ascii="宋体" w:hAnsi="宋体" w:cs="宋体" w:eastAsia="宋体" w:hint="default"/>
                <w:sz w:val="18"/>
                <w:szCs w:val="18"/>
              </w:rPr>
              <w:t>/</w:t>
            </w:r>
            <w:r>
              <w:rPr>
                <w:rFonts w:ascii="宋体" w:hAnsi="宋体" w:cs="宋体" w:eastAsia="宋体" w:hint="default"/>
                <w:sz w:val="18"/>
                <w:szCs w:val="18"/>
              </w:rPr>
              <w:t>合并成本小于取得的可辨认净资产公允价值份额的金额</w:t>
            </w:r>
            <w:r>
              <w:rPr>
                <w:rFonts w:ascii="宋体" w:hAnsi="宋体" w:cs="宋体" w:eastAsia="宋体" w:hint="default"/>
                <w:sz w:val="18"/>
                <w:szCs w:val="18"/>
              </w:rPr>
              <w:t> </w:t>
            </w:r>
          </w:p>
        </w:tc>
        <w:tc>
          <w:tcPr>
            <w:tcW w:w="31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477,952.30</w:t>
            </w:r>
            <w:r>
              <w:rPr>
                <w:rFonts w:ascii="宋体"/>
                <w:sz w:val="18"/>
              </w:rPr>
              <w:t> </w:t>
            </w:r>
          </w:p>
        </w:tc>
      </w:tr>
    </w:tbl>
    <w:p>
      <w:pPr>
        <w:spacing w:line="240" w:lineRule="auto" w:before="7"/>
        <w:rPr>
          <w:rFonts w:ascii="宋体" w:hAnsi="宋体" w:cs="宋体" w:eastAsia="宋体" w:hint="default"/>
          <w:sz w:val="6"/>
          <w:szCs w:val="6"/>
        </w:rPr>
      </w:pPr>
    </w:p>
    <w:p>
      <w:pPr>
        <w:pStyle w:val="BodyText"/>
        <w:spacing w:line="374" w:lineRule="auto" w:before="36"/>
        <w:ind w:left="566" w:right="1146" w:hanging="3"/>
        <w:jc w:val="left"/>
        <w:rPr>
          <w:rFonts w:ascii="宋体" w:hAnsi="宋体" w:cs="宋体" w:eastAsia="宋体" w:hint="default"/>
        </w:rPr>
      </w:pPr>
      <w:r>
        <w:rPr/>
        <w:t>注：本期收购南京石鼓文信息技术有限公司的合并成本对价以支付的现金确定。</w:t>
      </w:r>
      <w:r>
        <w:rPr>
          <w:rFonts w:ascii="宋体" w:hAnsi="宋体" w:cs="宋体" w:eastAsia="宋体" w:hint="default"/>
          <w:w w:val="100"/>
        </w:rPr>
        <w:t> </w:t>
      </w:r>
      <w:r>
        <w:rPr>
          <w:rFonts w:ascii="宋体" w:hAnsi="宋体" w:cs="宋体" w:eastAsia="宋体" w:hint="default"/>
          <w:b/>
          <w:bCs/>
        </w:rPr>
        <w:t>3</w:t>
      </w:r>
      <w:r>
        <w:rPr>
          <w:rFonts w:ascii="宋体" w:hAnsi="宋体" w:cs="宋体" w:eastAsia="宋体" w:hint="default"/>
          <w:b/>
          <w:bCs/>
        </w:rPr>
        <w:t>、</w:t>
      </w:r>
      <w:r>
        <w:rPr/>
        <w:t>被购买方于购买日可辨认资产、负债</w:t>
      </w:r>
      <w:r>
        <w:rPr>
          <w:rFonts w:ascii="宋体" w:hAnsi="宋体" w:cs="宋体" w:eastAsia="宋体" w:hint="default"/>
        </w:rPr>
        <w:t> </w:t>
      </w:r>
    </w:p>
    <w:p>
      <w:pPr>
        <w:spacing w:line="240" w:lineRule="auto" w:before="3"/>
        <w:rPr>
          <w:rFonts w:ascii="宋体" w:hAnsi="宋体" w:cs="宋体" w:eastAsia="宋体" w:hint="default"/>
          <w:sz w:val="5"/>
          <w:szCs w:val="5"/>
        </w:rPr>
      </w:pPr>
    </w:p>
    <w:tbl>
      <w:tblPr>
        <w:tblW w:w="0" w:type="auto"/>
        <w:jc w:val="left"/>
        <w:tblInd w:w="177" w:type="dxa"/>
        <w:tblLayout w:type="fixed"/>
        <w:tblCellMar>
          <w:top w:w="0" w:type="dxa"/>
          <w:left w:w="0" w:type="dxa"/>
          <w:bottom w:w="0" w:type="dxa"/>
          <w:right w:w="0" w:type="dxa"/>
        </w:tblCellMar>
        <w:tblLook w:val="01E0"/>
      </w:tblPr>
      <w:tblGrid>
        <w:gridCol w:w="2088"/>
        <w:gridCol w:w="3294"/>
        <w:gridCol w:w="4179"/>
      </w:tblGrid>
      <w:tr>
        <w:trPr>
          <w:trHeight w:val="398" w:hRule="exact"/>
        </w:trPr>
        <w:tc>
          <w:tcPr>
            <w:tcW w:w="2088"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94"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747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561" w:right="0"/>
              <w:jc w:val="left"/>
              <w:rPr>
                <w:rFonts w:ascii="宋体" w:hAnsi="宋体" w:cs="宋体" w:eastAsia="宋体" w:hint="default"/>
                <w:sz w:val="18"/>
                <w:szCs w:val="18"/>
              </w:rPr>
            </w:pPr>
            <w:r>
              <w:rPr>
                <w:rFonts w:ascii="宋体" w:hAnsi="宋体" w:cs="宋体" w:eastAsia="宋体" w:hint="default"/>
                <w:sz w:val="18"/>
                <w:szCs w:val="18"/>
              </w:rPr>
              <w:t>南京石鼓文信息技术有限公司</w:t>
            </w:r>
            <w:r>
              <w:rPr>
                <w:rFonts w:ascii="宋体" w:hAnsi="宋体" w:cs="宋体" w:eastAsia="宋体" w:hint="default"/>
                <w:sz w:val="18"/>
                <w:szCs w:val="18"/>
              </w:rPr>
              <w:t> </w:t>
            </w:r>
          </w:p>
        </w:tc>
      </w:tr>
      <w:tr>
        <w:trPr>
          <w:trHeight w:val="396" w:hRule="exact"/>
        </w:trPr>
        <w:tc>
          <w:tcPr>
            <w:tcW w:w="2088" w:type="dxa"/>
            <w:vMerge/>
            <w:tcBorders>
              <w:left w:val="single" w:sz="4" w:space="0" w:color="000000"/>
              <w:bottom w:val="single" w:sz="4" w:space="0" w:color="000000"/>
              <w:right w:val="single" w:sz="4" w:space="0" w:color="000000"/>
            </w:tcBorders>
          </w:tcPr>
          <w:p>
            <w:pPr/>
          </w:p>
        </w:tc>
        <w:tc>
          <w:tcPr>
            <w:tcW w:w="3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10" w:right="0"/>
              <w:jc w:val="left"/>
              <w:rPr>
                <w:rFonts w:ascii="宋体" w:hAnsi="宋体" w:cs="宋体" w:eastAsia="宋体" w:hint="default"/>
                <w:sz w:val="18"/>
                <w:szCs w:val="18"/>
              </w:rPr>
            </w:pPr>
            <w:r>
              <w:rPr>
                <w:rFonts w:ascii="宋体" w:hAnsi="宋体" w:cs="宋体" w:eastAsia="宋体" w:hint="default"/>
                <w:sz w:val="18"/>
                <w:szCs w:val="18"/>
              </w:rPr>
              <w:t>购买日公允价值</w:t>
            </w:r>
            <w:r>
              <w:rPr>
                <w:rFonts w:ascii="宋体" w:hAnsi="宋体" w:cs="宋体" w:eastAsia="宋体" w:hint="default"/>
                <w:sz w:val="18"/>
                <w:szCs w:val="18"/>
              </w:rPr>
              <w:t> </w:t>
            </w:r>
          </w:p>
        </w:tc>
        <w:tc>
          <w:tcPr>
            <w:tcW w:w="4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456" w:right="0"/>
              <w:jc w:val="left"/>
              <w:rPr>
                <w:rFonts w:ascii="宋体" w:hAnsi="宋体" w:cs="宋体" w:eastAsia="宋体" w:hint="default"/>
                <w:sz w:val="18"/>
                <w:szCs w:val="18"/>
              </w:rPr>
            </w:pPr>
            <w:r>
              <w:rPr>
                <w:rFonts w:ascii="宋体" w:hAnsi="宋体" w:cs="宋体" w:eastAsia="宋体" w:hint="default"/>
                <w:sz w:val="18"/>
                <w:szCs w:val="18"/>
              </w:rPr>
              <w:t>购买日账面价值</w:t>
            </w:r>
            <w:r>
              <w:rPr>
                <w:rFonts w:ascii="宋体" w:hAnsi="宋体" w:cs="宋体" w:eastAsia="宋体" w:hint="default"/>
                <w:sz w:val="18"/>
                <w:szCs w:val="18"/>
              </w:rPr>
              <w:t> </w:t>
            </w:r>
          </w:p>
        </w:tc>
      </w:tr>
      <w:tr>
        <w:trPr>
          <w:trHeight w:val="397"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资产：</w:t>
            </w:r>
            <w:r>
              <w:rPr>
                <w:rFonts w:ascii="宋体" w:hAnsi="宋体" w:cs="宋体" w:eastAsia="宋体" w:hint="default"/>
                <w:sz w:val="18"/>
                <w:szCs w:val="18"/>
              </w:rPr>
              <w:t> </w:t>
            </w:r>
          </w:p>
        </w:tc>
        <w:tc>
          <w:tcPr>
            <w:tcW w:w="3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4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z w:val="18"/>
              </w:rPr>
              <w:t> </w:t>
            </w:r>
          </w:p>
        </w:tc>
      </w:tr>
      <w:tr>
        <w:trPr>
          <w:trHeight w:val="398"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其他应收款</w:t>
            </w:r>
            <w:r>
              <w:rPr>
                <w:rFonts w:ascii="宋体" w:hAnsi="宋体" w:cs="宋体" w:eastAsia="宋体" w:hint="default"/>
                <w:sz w:val="18"/>
                <w:szCs w:val="18"/>
              </w:rPr>
              <w:t> </w:t>
            </w:r>
          </w:p>
        </w:tc>
        <w:tc>
          <w:tcPr>
            <w:tcW w:w="3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62,392.92</w:t>
            </w:r>
            <w:r>
              <w:rPr>
                <w:rFonts w:ascii="宋体"/>
                <w:sz w:val="18"/>
              </w:rPr>
              <w:t> </w:t>
            </w:r>
          </w:p>
        </w:tc>
        <w:tc>
          <w:tcPr>
            <w:tcW w:w="4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62,392.92</w:t>
            </w:r>
            <w:r>
              <w:rPr>
                <w:rFonts w:ascii="宋体"/>
                <w:sz w:val="18"/>
              </w:rPr>
              <w:t> </w:t>
            </w:r>
          </w:p>
        </w:tc>
      </w:tr>
      <w:tr>
        <w:trPr>
          <w:trHeight w:val="396"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其他流动资产</w:t>
            </w:r>
            <w:r>
              <w:rPr>
                <w:rFonts w:ascii="宋体" w:hAnsi="宋体" w:cs="宋体" w:eastAsia="宋体" w:hint="default"/>
                <w:sz w:val="18"/>
                <w:szCs w:val="18"/>
              </w:rPr>
              <w:t> </w:t>
            </w:r>
          </w:p>
        </w:tc>
        <w:tc>
          <w:tcPr>
            <w:tcW w:w="3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9,959.68</w:t>
            </w:r>
            <w:r>
              <w:rPr>
                <w:rFonts w:ascii="宋体"/>
                <w:sz w:val="18"/>
              </w:rPr>
              <w:t> </w:t>
            </w:r>
          </w:p>
        </w:tc>
        <w:tc>
          <w:tcPr>
            <w:tcW w:w="4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9,959.68</w:t>
            </w:r>
            <w:r>
              <w:rPr>
                <w:rFonts w:ascii="宋体"/>
                <w:sz w:val="18"/>
              </w:rPr>
              <w:t> </w:t>
            </w:r>
          </w:p>
        </w:tc>
      </w:tr>
      <w:tr>
        <w:trPr>
          <w:trHeight w:val="398"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负债：</w:t>
            </w:r>
            <w:r>
              <w:rPr>
                <w:rFonts w:ascii="宋体" w:hAnsi="宋体" w:cs="宋体" w:eastAsia="宋体" w:hint="default"/>
                <w:sz w:val="18"/>
                <w:szCs w:val="18"/>
              </w:rPr>
              <w:t> </w:t>
            </w:r>
          </w:p>
        </w:tc>
        <w:tc>
          <w:tcPr>
            <w:tcW w:w="3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4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z w:val="18"/>
              </w:rPr>
              <w:t> </w:t>
            </w:r>
          </w:p>
        </w:tc>
      </w:tr>
      <w:tr>
        <w:trPr>
          <w:trHeight w:val="396"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应交税费</w:t>
            </w:r>
            <w:r>
              <w:rPr>
                <w:rFonts w:ascii="宋体" w:hAnsi="宋体" w:cs="宋体" w:eastAsia="宋体" w:hint="default"/>
                <w:sz w:val="18"/>
                <w:szCs w:val="18"/>
              </w:rPr>
              <w:t> </w:t>
            </w:r>
          </w:p>
        </w:tc>
        <w:tc>
          <w:tcPr>
            <w:tcW w:w="3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304.90</w:t>
            </w:r>
            <w:r>
              <w:rPr>
                <w:rFonts w:ascii="宋体"/>
                <w:sz w:val="18"/>
              </w:rPr>
              <w:t> </w:t>
            </w:r>
          </w:p>
        </w:tc>
        <w:tc>
          <w:tcPr>
            <w:tcW w:w="4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304.90</w:t>
            </w:r>
            <w:r>
              <w:rPr>
                <w:rFonts w:ascii="宋体"/>
                <w:sz w:val="18"/>
              </w:rPr>
              <w:t> </w:t>
            </w:r>
          </w:p>
        </w:tc>
      </w:tr>
      <w:tr>
        <w:trPr>
          <w:trHeight w:val="398"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递延所得税负债</w:t>
            </w:r>
            <w:r>
              <w:rPr>
                <w:rFonts w:ascii="宋体" w:hAnsi="宋体" w:cs="宋体" w:eastAsia="宋体" w:hint="default"/>
                <w:sz w:val="18"/>
                <w:szCs w:val="18"/>
              </w:rPr>
              <w:t> </w:t>
            </w:r>
          </w:p>
        </w:tc>
        <w:tc>
          <w:tcPr>
            <w:tcW w:w="3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4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z w:val="18"/>
              </w:rPr>
              <w:t> </w:t>
            </w:r>
          </w:p>
        </w:tc>
      </w:tr>
    </w:tbl>
    <w:p>
      <w:pPr>
        <w:spacing w:after="0" w:line="240" w:lineRule="auto"/>
        <w:jc w:val="right"/>
        <w:rPr>
          <w:rFonts w:ascii="宋体" w:hAnsi="宋体" w:cs="宋体" w:eastAsia="宋体" w:hint="default"/>
          <w:sz w:val="18"/>
          <w:szCs w:val="18"/>
        </w:rPr>
        <w:sectPr>
          <w:pgSz w:w="11910" w:h="16840"/>
          <w:pgMar w:header="880" w:footer="975" w:top="1100" w:bottom="1160" w:left="1160" w:right="0"/>
        </w:sectPr>
      </w:pPr>
    </w:p>
    <w:p>
      <w:pPr>
        <w:spacing w:line="240" w:lineRule="auto" w:before="8"/>
        <w:rPr>
          <w:rFonts w:ascii="宋体" w:hAnsi="宋体" w:cs="宋体" w:eastAsia="宋体" w:hint="default"/>
          <w:sz w:val="24"/>
          <w:szCs w:val="24"/>
        </w:rPr>
      </w:pPr>
    </w:p>
    <w:tbl>
      <w:tblPr>
        <w:tblW w:w="0" w:type="auto"/>
        <w:jc w:val="left"/>
        <w:tblInd w:w="437" w:type="dxa"/>
        <w:tblLayout w:type="fixed"/>
        <w:tblCellMar>
          <w:top w:w="0" w:type="dxa"/>
          <w:left w:w="0" w:type="dxa"/>
          <w:bottom w:w="0" w:type="dxa"/>
          <w:right w:w="0" w:type="dxa"/>
        </w:tblCellMar>
        <w:tblLook w:val="01E0"/>
      </w:tblPr>
      <w:tblGrid>
        <w:gridCol w:w="2088"/>
        <w:gridCol w:w="3294"/>
        <w:gridCol w:w="4179"/>
      </w:tblGrid>
      <w:tr>
        <w:trPr>
          <w:trHeight w:val="396" w:hRule="exact"/>
        </w:trPr>
        <w:tc>
          <w:tcPr>
            <w:tcW w:w="2088"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94"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747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561" w:right="0"/>
              <w:jc w:val="left"/>
              <w:rPr>
                <w:rFonts w:ascii="宋体" w:hAnsi="宋体" w:cs="宋体" w:eastAsia="宋体" w:hint="default"/>
                <w:sz w:val="18"/>
                <w:szCs w:val="18"/>
              </w:rPr>
            </w:pPr>
            <w:r>
              <w:rPr>
                <w:rFonts w:ascii="宋体" w:hAnsi="宋体" w:cs="宋体" w:eastAsia="宋体" w:hint="default"/>
                <w:sz w:val="18"/>
                <w:szCs w:val="18"/>
              </w:rPr>
              <w:t>南京石鼓文信息技术有限公司</w:t>
            </w:r>
            <w:r>
              <w:rPr>
                <w:rFonts w:ascii="宋体" w:hAnsi="宋体" w:cs="宋体" w:eastAsia="宋体" w:hint="default"/>
                <w:sz w:val="18"/>
                <w:szCs w:val="18"/>
              </w:rPr>
              <w:t> </w:t>
            </w:r>
          </w:p>
        </w:tc>
      </w:tr>
      <w:tr>
        <w:trPr>
          <w:trHeight w:val="399" w:hRule="exact"/>
        </w:trPr>
        <w:tc>
          <w:tcPr>
            <w:tcW w:w="2088" w:type="dxa"/>
            <w:vMerge/>
            <w:tcBorders>
              <w:left w:val="single" w:sz="4" w:space="0" w:color="000000"/>
              <w:bottom w:val="single" w:sz="4" w:space="0" w:color="000000"/>
              <w:right w:val="single" w:sz="4" w:space="0" w:color="000000"/>
            </w:tcBorders>
          </w:tcPr>
          <w:p>
            <w:pPr/>
          </w:p>
        </w:tc>
        <w:tc>
          <w:tcPr>
            <w:tcW w:w="3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0" w:right="0"/>
              <w:jc w:val="left"/>
              <w:rPr>
                <w:rFonts w:ascii="宋体" w:hAnsi="宋体" w:cs="宋体" w:eastAsia="宋体" w:hint="default"/>
                <w:sz w:val="18"/>
                <w:szCs w:val="18"/>
              </w:rPr>
            </w:pPr>
            <w:r>
              <w:rPr>
                <w:rFonts w:ascii="宋体" w:hAnsi="宋体" w:cs="宋体" w:eastAsia="宋体" w:hint="default"/>
                <w:sz w:val="18"/>
                <w:szCs w:val="18"/>
              </w:rPr>
              <w:t>购买日公允价值</w:t>
            </w:r>
            <w:r>
              <w:rPr>
                <w:rFonts w:ascii="宋体" w:hAnsi="宋体" w:cs="宋体" w:eastAsia="宋体" w:hint="default"/>
                <w:sz w:val="18"/>
                <w:szCs w:val="18"/>
              </w:rPr>
              <w:t> </w:t>
            </w:r>
          </w:p>
        </w:tc>
        <w:tc>
          <w:tcPr>
            <w:tcW w:w="4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456" w:right="0"/>
              <w:jc w:val="left"/>
              <w:rPr>
                <w:rFonts w:ascii="宋体" w:hAnsi="宋体" w:cs="宋体" w:eastAsia="宋体" w:hint="default"/>
                <w:sz w:val="18"/>
                <w:szCs w:val="18"/>
              </w:rPr>
            </w:pPr>
            <w:r>
              <w:rPr>
                <w:rFonts w:ascii="宋体" w:hAnsi="宋体" w:cs="宋体" w:eastAsia="宋体" w:hint="default"/>
                <w:sz w:val="18"/>
                <w:szCs w:val="18"/>
              </w:rPr>
              <w:t>购买日账面价值</w:t>
            </w:r>
            <w:r>
              <w:rPr>
                <w:rFonts w:ascii="宋体" w:hAnsi="宋体" w:cs="宋体" w:eastAsia="宋体" w:hint="default"/>
                <w:sz w:val="18"/>
                <w:szCs w:val="18"/>
              </w:rPr>
              <w:t> </w:t>
            </w:r>
          </w:p>
        </w:tc>
      </w:tr>
      <w:tr>
        <w:trPr>
          <w:trHeight w:val="396"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净资产</w:t>
            </w:r>
            <w:r>
              <w:rPr>
                <w:rFonts w:ascii="宋体" w:hAnsi="宋体" w:cs="宋体" w:eastAsia="宋体" w:hint="default"/>
                <w:sz w:val="18"/>
                <w:szCs w:val="18"/>
              </w:rPr>
              <w:t> </w:t>
            </w:r>
          </w:p>
        </w:tc>
        <w:tc>
          <w:tcPr>
            <w:tcW w:w="3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72,047.70</w:t>
            </w:r>
            <w:r>
              <w:rPr>
                <w:rFonts w:ascii="宋体"/>
                <w:sz w:val="18"/>
              </w:rPr>
              <w:t> </w:t>
            </w:r>
          </w:p>
        </w:tc>
        <w:tc>
          <w:tcPr>
            <w:tcW w:w="4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72,047.70</w:t>
            </w:r>
            <w:r>
              <w:rPr>
                <w:rFonts w:ascii="宋体"/>
                <w:sz w:val="18"/>
              </w:rPr>
              <w:t> </w:t>
            </w:r>
          </w:p>
        </w:tc>
      </w:tr>
      <w:tr>
        <w:trPr>
          <w:trHeight w:val="398"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减：少数股东权益</w:t>
            </w:r>
            <w:r>
              <w:rPr>
                <w:rFonts w:ascii="宋体" w:hAnsi="宋体" w:cs="宋体" w:eastAsia="宋体" w:hint="default"/>
                <w:sz w:val="18"/>
                <w:szCs w:val="18"/>
              </w:rPr>
              <w:t> </w:t>
            </w:r>
          </w:p>
        </w:tc>
        <w:tc>
          <w:tcPr>
            <w:tcW w:w="3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4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z w:val="18"/>
              </w:rPr>
              <w:t> </w:t>
            </w:r>
          </w:p>
        </w:tc>
      </w:tr>
      <w:tr>
        <w:trPr>
          <w:trHeight w:val="396" w:hRule="exact"/>
        </w:trPr>
        <w:tc>
          <w:tcPr>
            <w:tcW w:w="20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5" w:right="0"/>
              <w:jc w:val="left"/>
              <w:rPr>
                <w:rFonts w:ascii="宋体" w:hAnsi="宋体" w:cs="宋体" w:eastAsia="宋体" w:hint="default"/>
                <w:sz w:val="18"/>
                <w:szCs w:val="18"/>
              </w:rPr>
            </w:pPr>
            <w:r>
              <w:rPr>
                <w:rFonts w:ascii="宋体" w:hAnsi="宋体" w:cs="宋体" w:eastAsia="宋体" w:hint="default"/>
                <w:sz w:val="18"/>
                <w:szCs w:val="18"/>
              </w:rPr>
              <w:t>取得的净资产</w:t>
            </w:r>
            <w:r>
              <w:rPr>
                <w:rFonts w:ascii="宋体" w:hAnsi="宋体" w:cs="宋体" w:eastAsia="宋体" w:hint="default"/>
                <w:sz w:val="18"/>
                <w:szCs w:val="18"/>
              </w:rPr>
              <w:t> </w:t>
            </w:r>
          </w:p>
        </w:tc>
        <w:tc>
          <w:tcPr>
            <w:tcW w:w="32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72,047.70</w:t>
            </w:r>
            <w:r>
              <w:rPr>
                <w:rFonts w:ascii="宋体"/>
                <w:sz w:val="18"/>
              </w:rPr>
              <w:t> </w:t>
            </w:r>
          </w:p>
        </w:tc>
        <w:tc>
          <w:tcPr>
            <w:tcW w:w="41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72,047.70</w:t>
            </w:r>
            <w:r>
              <w:rPr>
                <w:rFonts w:ascii="宋体"/>
                <w:sz w:val="18"/>
              </w:rPr>
              <w:t> </w:t>
            </w:r>
          </w:p>
        </w:tc>
      </w:tr>
    </w:tbl>
    <w:p>
      <w:pPr>
        <w:spacing w:line="240" w:lineRule="auto" w:before="7"/>
        <w:rPr>
          <w:rFonts w:ascii="宋体" w:hAnsi="宋体" w:cs="宋体" w:eastAsia="宋体" w:hint="default"/>
          <w:sz w:val="6"/>
          <w:szCs w:val="6"/>
        </w:rPr>
      </w:pPr>
    </w:p>
    <w:p>
      <w:pPr>
        <w:pStyle w:val="BodyText"/>
        <w:spacing w:line="374" w:lineRule="auto" w:before="36"/>
        <w:ind w:left="826" w:right="0" w:hanging="3"/>
        <w:jc w:val="left"/>
        <w:rPr>
          <w:rFonts w:ascii="宋体" w:hAnsi="宋体" w:cs="宋体" w:eastAsia="宋体" w:hint="default"/>
        </w:rPr>
      </w:pPr>
      <w:r>
        <w:rPr/>
        <w:t>注：购买日南京石鼓文信息技术有限公司的可辩认资产、负债的公允价值以账面数进行确认。</w:t>
      </w:r>
      <w:r>
        <w:rPr>
          <w:rFonts w:ascii="宋体" w:hAnsi="宋体" w:cs="宋体" w:eastAsia="宋体" w:hint="default"/>
          <w:w w:val="100"/>
        </w:rPr>
        <w:t> </w:t>
      </w:r>
      <w:r>
        <w:rPr>
          <w:rFonts w:ascii="宋体" w:hAnsi="宋体" w:cs="宋体" w:eastAsia="宋体" w:hint="default"/>
          <w:b/>
          <w:bCs/>
        </w:rPr>
        <w:t>4</w:t>
      </w:r>
      <w:r>
        <w:rPr>
          <w:rFonts w:ascii="宋体" w:hAnsi="宋体" w:cs="宋体" w:eastAsia="宋体" w:hint="default"/>
          <w:b/>
          <w:bCs/>
        </w:rPr>
        <w:t>、</w:t>
      </w:r>
      <w:r>
        <w:rPr/>
        <w:t>购买日之前持有的股权按照公允价值重新计量产生的利得或损失</w:t>
      </w:r>
      <w:r>
        <w:rPr>
          <w:rFonts w:ascii="宋体" w:hAnsi="宋体" w:cs="宋体" w:eastAsia="宋体" w:hint="default"/>
        </w:rPr>
        <w:t> </w:t>
      </w:r>
    </w:p>
    <w:p>
      <w:pPr>
        <w:pStyle w:val="BodyText"/>
        <w:spacing w:line="240" w:lineRule="auto" w:before="34"/>
        <w:ind w:left="823" w:right="0"/>
        <w:jc w:val="left"/>
        <w:rPr>
          <w:rFonts w:ascii="宋体" w:hAnsi="宋体" w:cs="宋体" w:eastAsia="宋体" w:hint="default"/>
        </w:rPr>
      </w:pPr>
      <w:r>
        <w:rPr/>
        <w:t>无。</w:t>
      </w:r>
      <w:r>
        <w:rPr>
          <w:rFonts w:ascii="宋体" w:hAnsi="宋体" w:cs="宋体" w:eastAsia="宋体" w:hint="default"/>
        </w:rPr>
        <w:t> </w:t>
      </w:r>
    </w:p>
    <w:p>
      <w:pPr>
        <w:pStyle w:val="Heading3"/>
        <w:spacing w:line="372" w:lineRule="auto" w:before="154"/>
        <w:ind w:left="823" w:right="7462" w:hanging="209"/>
        <w:jc w:val="left"/>
        <w:rPr>
          <w:rFonts w:ascii="宋体" w:hAnsi="宋体" w:cs="宋体" w:eastAsia="宋体" w:hint="default"/>
          <w:b w:val="0"/>
          <w:bCs w:val="0"/>
        </w:rPr>
      </w:pPr>
      <w:r>
        <w:rPr/>
        <w:t>（二）同一控制下企业合并</w:t>
      </w:r>
      <w:r>
        <w:rPr>
          <w:rFonts w:ascii="宋体" w:hAnsi="宋体" w:cs="宋体" w:eastAsia="宋体" w:hint="default"/>
          <w:w w:val="99"/>
        </w:rPr>
        <w:t> </w:t>
      </w:r>
      <w:r>
        <w:rPr>
          <w:rFonts w:ascii="宋体" w:hAnsi="宋体" w:cs="宋体" w:eastAsia="宋体" w:hint="default"/>
          <w:b w:val="0"/>
          <w:bCs w:val="0"/>
        </w:rPr>
        <w:t>无。</w:t>
      </w:r>
      <w:r>
        <w:rPr>
          <w:rFonts w:ascii="宋体" w:hAnsi="宋体" w:cs="宋体" w:eastAsia="宋体" w:hint="default"/>
          <w:b w:val="0"/>
          <w:bCs w:val="0"/>
        </w:rPr>
        <w:t> </w:t>
      </w:r>
    </w:p>
    <w:p>
      <w:pPr>
        <w:spacing w:line="372" w:lineRule="auto" w:before="40"/>
        <w:ind w:left="823" w:right="8515" w:hanging="209"/>
        <w:jc w:val="left"/>
        <w:rPr>
          <w:rFonts w:ascii="宋体" w:hAnsi="宋体" w:cs="宋体" w:eastAsia="宋体" w:hint="default"/>
          <w:sz w:val="21"/>
          <w:szCs w:val="21"/>
        </w:rPr>
      </w:pPr>
      <w:r>
        <w:rPr>
          <w:rFonts w:ascii="宋体" w:hAnsi="宋体" w:cs="宋体" w:eastAsia="宋体" w:hint="default"/>
          <w:b/>
          <w:bCs/>
          <w:sz w:val="21"/>
          <w:szCs w:val="21"/>
        </w:rPr>
        <w:t>（三）处置子公司</w:t>
      </w:r>
      <w:r>
        <w:rPr>
          <w:rFonts w:ascii="宋体" w:hAnsi="宋体" w:cs="宋体" w:eastAsia="宋体" w:hint="default"/>
          <w:b/>
          <w:bCs/>
          <w:w w:val="99"/>
          <w:sz w:val="21"/>
          <w:szCs w:val="21"/>
        </w:rPr>
        <w:t> </w:t>
      </w:r>
      <w:r>
        <w:rPr>
          <w:rFonts w:ascii="宋体" w:hAnsi="宋体" w:cs="宋体" w:eastAsia="宋体" w:hint="default"/>
          <w:sz w:val="21"/>
          <w:szCs w:val="21"/>
        </w:rPr>
        <w:t>无</w:t>
      </w:r>
      <w:r>
        <w:rPr>
          <w:rFonts w:ascii="宋体" w:hAnsi="宋体" w:cs="宋体" w:eastAsia="宋体" w:hint="default"/>
          <w:sz w:val="21"/>
          <w:szCs w:val="21"/>
        </w:rPr>
        <w:t> </w:t>
      </w:r>
    </w:p>
    <w:p>
      <w:pPr>
        <w:spacing w:line="372" w:lineRule="auto" w:before="39"/>
        <w:ind w:left="823" w:right="5465" w:hanging="209"/>
        <w:jc w:val="left"/>
        <w:rPr>
          <w:rFonts w:ascii="宋体" w:hAnsi="宋体" w:cs="宋体" w:eastAsia="宋体" w:hint="default"/>
          <w:sz w:val="21"/>
          <w:szCs w:val="21"/>
        </w:rPr>
      </w:pPr>
      <w:r>
        <w:rPr>
          <w:rFonts w:ascii="宋体" w:hAnsi="宋体" w:cs="宋体" w:eastAsia="宋体" w:hint="default"/>
          <w:b/>
          <w:bCs/>
          <w:sz w:val="21"/>
          <w:szCs w:val="21"/>
        </w:rPr>
        <w:t>（四）其他原因的合并范围的变动</w:t>
      </w:r>
      <w:r>
        <w:rPr>
          <w:rFonts w:ascii="宋体" w:hAnsi="宋体" w:cs="宋体" w:eastAsia="宋体" w:hint="default"/>
          <w:b/>
          <w:bCs/>
          <w:w w:val="99"/>
          <w:sz w:val="21"/>
          <w:szCs w:val="21"/>
        </w:rPr>
        <w:t> </w:t>
      </w:r>
      <w:r>
        <w:rPr>
          <w:rFonts w:ascii="宋体" w:hAnsi="宋体" w:cs="宋体" w:eastAsia="宋体" w:hint="default"/>
          <w:sz w:val="21"/>
          <w:szCs w:val="21"/>
        </w:rPr>
        <w:t>1</w:t>
      </w:r>
      <w:r>
        <w:rPr>
          <w:rFonts w:ascii="宋体" w:hAnsi="宋体" w:cs="宋体" w:eastAsia="宋体" w:hint="default"/>
          <w:sz w:val="21"/>
          <w:szCs w:val="21"/>
        </w:rPr>
        <w:t>、本期增加孙公司</w:t>
      </w:r>
      <w:r>
        <w:rPr>
          <w:rFonts w:ascii="宋体" w:hAnsi="宋体" w:cs="宋体" w:eastAsia="宋体" w:hint="default"/>
          <w:spacing w:val="-53"/>
          <w:sz w:val="21"/>
          <w:szCs w:val="21"/>
        </w:rPr>
        <w:t> </w:t>
      </w:r>
      <w:r>
        <w:rPr>
          <w:rFonts w:ascii="宋体" w:hAnsi="宋体" w:cs="宋体" w:eastAsia="宋体" w:hint="default"/>
          <w:sz w:val="21"/>
          <w:szCs w:val="21"/>
        </w:rPr>
        <w:t>2</w:t>
      </w:r>
      <w:r>
        <w:rPr>
          <w:rFonts w:ascii="宋体" w:hAnsi="宋体" w:cs="宋体" w:eastAsia="宋体" w:hint="default"/>
          <w:spacing w:val="-51"/>
          <w:sz w:val="21"/>
          <w:szCs w:val="21"/>
        </w:rPr>
        <w:t> </w:t>
      </w:r>
      <w:r>
        <w:rPr>
          <w:rFonts w:ascii="宋体" w:hAnsi="宋体" w:cs="宋体" w:eastAsia="宋体" w:hint="default"/>
          <w:spacing w:val="-3"/>
          <w:sz w:val="21"/>
          <w:szCs w:val="21"/>
        </w:rPr>
        <w:t>家：</w:t>
      </w:r>
      <w:r>
        <w:rPr>
          <w:rFonts w:ascii="宋体" w:hAnsi="宋体" w:cs="宋体" w:eastAsia="宋体" w:hint="default"/>
          <w:sz w:val="21"/>
          <w:szCs w:val="21"/>
        </w:rPr>
        <w:t> </w:t>
      </w:r>
    </w:p>
    <w:p>
      <w:pPr>
        <w:pStyle w:val="BodyText"/>
        <w:spacing w:line="273" w:lineRule="exact" w:before="39"/>
        <w:ind w:left="823" w:right="0"/>
        <w:jc w:val="left"/>
      </w:pPr>
      <w:r>
        <w:rPr>
          <w:rFonts w:ascii="宋体" w:hAnsi="宋体" w:cs="宋体" w:eastAsia="宋体" w:hint="default"/>
        </w:rPr>
        <w:t>2019</w:t>
      </w:r>
      <w:r>
        <w:rPr>
          <w:rFonts w:ascii="宋体" w:hAnsi="宋体" w:cs="宋体" w:eastAsia="宋体" w:hint="default"/>
          <w:spacing w:val="-44"/>
        </w:rPr>
        <w:t> </w:t>
      </w:r>
      <w:r>
        <w:rPr/>
        <w:t>年</w:t>
      </w:r>
      <w:r>
        <w:rPr>
          <w:spacing w:val="-41"/>
        </w:rPr>
        <w:t> </w:t>
      </w:r>
      <w:r>
        <w:rPr>
          <w:rFonts w:ascii="宋体" w:hAnsi="宋体" w:cs="宋体" w:eastAsia="宋体" w:hint="default"/>
        </w:rPr>
        <w:t>8</w:t>
      </w:r>
      <w:r>
        <w:rPr>
          <w:rFonts w:ascii="宋体" w:hAnsi="宋体" w:cs="宋体" w:eastAsia="宋体" w:hint="default"/>
          <w:spacing w:val="-44"/>
        </w:rPr>
        <w:t> </w:t>
      </w:r>
      <w:r>
        <w:rPr/>
        <w:t>月</w:t>
      </w:r>
      <w:r>
        <w:rPr>
          <w:spacing w:val="-41"/>
        </w:rPr>
        <w:t> </w:t>
      </w:r>
      <w:r>
        <w:rPr>
          <w:rFonts w:ascii="宋体" w:hAnsi="宋体" w:cs="宋体" w:eastAsia="宋体" w:hint="default"/>
        </w:rPr>
        <w:t>8</w:t>
      </w:r>
      <w:r>
        <w:rPr>
          <w:rFonts w:ascii="宋体" w:hAnsi="宋体" w:cs="宋体" w:eastAsia="宋体" w:hint="default"/>
          <w:spacing w:val="-44"/>
        </w:rPr>
        <w:t> </w:t>
      </w:r>
      <w:r>
        <w:rPr>
          <w:spacing w:val="-4"/>
        </w:rPr>
        <w:t>日设立</w:t>
      </w:r>
      <w:hyperlink r:id="rId28">
        <w:r>
          <w:rPr>
            <w:spacing w:val="-4"/>
          </w:rPr>
          <w:t>赣江新区嘉盈信息技术服务有限公司</w:t>
        </w:r>
      </w:hyperlink>
      <w:r>
        <w:rPr>
          <w:spacing w:val="-4"/>
        </w:rPr>
        <w:t>，注册资本</w:t>
      </w:r>
      <w:r>
        <w:rPr>
          <w:spacing w:val="-44"/>
        </w:rPr>
        <w:t> </w:t>
      </w:r>
      <w:r>
        <w:rPr>
          <w:rFonts w:ascii="宋体" w:hAnsi="宋体" w:cs="宋体" w:eastAsia="宋体" w:hint="default"/>
        </w:rPr>
        <w:t>1000</w:t>
      </w:r>
      <w:r>
        <w:rPr>
          <w:rFonts w:ascii="宋体" w:hAnsi="宋体" w:cs="宋体" w:eastAsia="宋体" w:hint="default"/>
          <w:spacing w:val="-44"/>
        </w:rPr>
        <w:t> </w:t>
      </w:r>
      <w:r>
        <w:rPr>
          <w:spacing w:val="-6"/>
        </w:rPr>
        <w:t>万元人民币，法定代表人</w:t>
      </w:r>
    </w:p>
    <w:p>
      <w:pPr>
        <w:pStyle w:val="BodyText"/>
        <w:spacing w:line="240" w:lineRule="auto"/>
        <w:ind w:left="403" w:right="0"/>
        <w:jc w:val="left"/>
        <w:rPr>
          <w:rFonts w:ascii="宋体" w:hAnsi="宋体" w:cs="宋体" w:eastAsia="宋体" w:hint="default"/>
        </w:rPr>
      </w:pPr>
      <w:r>
        <w:rPr/>
        <w:t>张凯，持股比例</w:t>
      </w:r>
      <w:r>
        <w:rPr>
          <w:spacing w:val="-45"/>
        </w:rPr>
        <w:t> </w:t>
      </w:r>
      <w:r>
        <w:rPr>
          <w:rFonts w:ascii="宋体" w:hAnsi="宋体" w:cs="宋体" w:eastAsia="宋体" w:hint="default"/>
        </w:rPr>
        <w:t>100%</w:t>
      </w:r>
      <w:r>
        <w:rPr/>
        <w:t>；</w:t>
      </w:r>
      <w:r>
        <w:rPr>
          <w:rFonts w:ascii="宋体" w:hAnsi="宋体" w:cs="宋体" w:eastAsia="宋体" w:hint="default"/>
        </w:rPr>
        <w:t>2019</w:t>
      </w:r>
      <w:r>
        <w:rPr>
          <w:rFonts w:ascii="宋体" w:hAnsi="宋体" w:cs="宋体" w:eastAsia="宋体" w:hint="default"/>
          <w:spacing w:val="-45"/>
        </w:rPr>
        <w:t> </w:t>
      </w:r>
      <w:r>
        <w:rPr/>
        <w:t>年</w:t>
      </w:r>
      <w:r>
        <w:rPr>
          <w:spacing w:val="-47"/>
        </w:rPr>
        <w:t> </w:t>
      </w:r>
      <w:r>
        <w:rPr>
          <w:rFonts w:ascii="宋体" w:hAnsi="宋体" w:cs="宋体" w:eastAsia="宋体" w:hint="default"/>
        </w:rPr>
        <w:t>12</w:t>
      </w:r>
      <w:r>
        <w:rPr>
          <w:rFonts w:ascii="宋体" w:hAnsi="宋体" w:cs="宋体" w:eastAsia="宋体" w:hint="default"/>
          <w:spacing w:val="-47"/>
        </w:rPr>
        <w:t> </w:t>
      </w:r>
      <w:r>
        <w:rPr/>
        <w:t>月</w:t>
      </w:r>
      <w:r>
        <w:rPr>
          <w:spacing w:val="-45"/>
        </w:rPr>
        <w:t> </w:t>
      </w:r>
      <w:r>
        <w:rPr>
          <w:rFonts w:ascii="宋体" w:hAnsi="宋体" w:cs="宋体" w:eastAsia="宋体" w:hint="default"/>
        </w:rPr>
        <w:t>26</w:t>
      </w:r>
      <w:r>
        <w:rPr>
          <w:rFonts w:ascii="宋体" w:hAnsi="宋体" w:cs="宋体" w:eastAsia="宋体" w:hint="default"/>
          <w:spacing w:val="-45"/>
        </w:rPr>
        <w:t> </w:t>
      </w:r>
      <w:r>
        <w:rPr/>
        <w:t>日收购南京石鼓文信息技术有限公司，注册资本</w:t>
      </w:r>
      <w:r>
        <w:rPr>
          <w:spacing w:val="-45"/>
        </w:rPr>
        <w:t> </w:t>
      </w:r>
      <w:r>
        <w:rPr>
          <w:rFonts w:ascii="宋体" w:hAnsi="宋体" w:cs="宋体" w:eastAsia="宋体" w:hint="default"/>
        </w:rPr>
        <w:t>1000</w:t>
      </w:r>
      <w:r>
        <w:rPr>
          <w:rFonts w:ascii="宋体" w:hAnsi="宋体" w:cs="宋体" w:eastAsia="宋体" w:hint="default"/>
          <w:spacing w:val="-45"/>
        </w:rPr>
        <w:t> </w:t>
      </w:r>
      <w:r>
        <w:rPr/>
        <w:t>万元人民</w:t>
      </w:r>
      <w:r>
        <w:rPr>
          <w:w w:val="100"/>
        </w:rPr>
        <w:t> </w:t>
      </w:r>
      <w:r>
        <w:rPr/>
        <w:t>币，法定代表人张凯，持股比例</w:t>
      </w:r>
      <w:r>
        <w:rPr>
          <w:spacing w:val="-57"/>
        </w:rPr>
        <w:t> </w:t>
      </w:r>
      <w:r>
        <w:rPr>
          <w:rFonts w:ascii="宋体" w:hAnsi="宋体" w:cs="宋体" w:eastAsia="宋体" w:hint="default"/>
        </w:rPr>
        <w:t>100%</w:t>
      </w:r>
      <w:r>
        <w:rPr/>
        <w:t>。</w:t>
      </w:r>
      <w:r>
        <w:rPr>
          <w:rFonts w:ascii="宋体" w:hAnsi="宋体" w:cs="宋体" w:eastAsia="宋体" w:hint="default"/>
        </w:rPr>
        <w:t> </w:t>
      </w:r>
    </w:p>
    <w:p>
      <w:pPr>
        <w:pStyle w:val="BodyText"/>
        <w:spacing w:line="240" w:lineRule="auto" w:before="152"/>
        <w:ind w:left="823" w:right="0"/>
        <w:jc w:val="left"/>
        <w:rPr>
          <w:rFonts w:ascii="宋体" w:hAnsi="宋体" w:cs="宋体" w:eastAsia="宋体" w:hint="default"/>
        </w:rPr>
      </w:pPr>
      <w:r>
        <w:rPr>
          <w:rFonts w:ascii="宋体" w:hAnsi="宋体" w:cs="宋体" w:eastAsia="宋体" w:hint="default"/>
        </w:rPr>
        <w:t>2</w:t>
      </w:r>
      <w:r>
        <w:rPr/>
        <w:t>、本期注销</w:t>
      </w:r>
      <w:r>
        <w:rPr>
          <w:spacing w:val="-54"/>
        </w:rPr>
        <w:t> </w:t>
      </w:r>
      <w:r>
        <w:rPr>
          <w:rFonts w:ascii="宋体" w:hAnsi="宋体" w:cs="宋体" w:eastAsia="宋体" w:hint="default"/>
        </w:rPr>
        <w:t>2</w:t>
      </w:r>
      <w:r>
        <w:rPr>
          <w:rFonts w:ascii="宋体" w:hAnsi="宋体" w:cs="宋体" w:eastAsia="宋体" w:hint="default"/>
          <w:spacing w:val="-56"/>
        </w:rPr>
        <w:t> </w:t>
      </w:r>
      <w:r>
        <w:rPr/>
        <w:t>家孙公司：</w:t>
      </w:r>
      <w:r>
        <w:rPr>
          <w:rFonts w:ascii="宋体" w:hAnsi="宋体" w:cs="宋体" w:eastAsia="宋体" w:hint="default"/>
        </w:rPr>
        <w:t> </w:t>
      </w:r>
    </w:p>
    <w:p>
      <w:pPr>
        <w:pStyle w:val="BodyText"/>
        <w:spacing w:line="274" w:lineRule="exact" w:before="152"/>
        <w:ind w:left="823" w:right="0"/>
        <w:jc w:val="left"/>
      </w:pPr>
      <w:r>
        <w:rPr>
          <w:rFonts w:ascii="宋体" w:hAnsi="宋体" w:cs="宋体" w:eastAsia="宋体" w:hint="default"/>
          <w:w w:val="100"/>
        </w:rPr>
        <w:t>2019</w:t>
      </w:r>
      <w:r>
        <w:rPr>
          <w:rFonts w:ascii="宋体" w:hAnsi="宋体" w:cs="宋体" w:eastAsia="宋体" w:hint="default"/>
          <w:spacing w:val="-55"/>
        </w:rPr>
        <w:t> </w:t>
      </w:r>
      <w:r>
        <w:rPr>
          <w:w w:val="100"/>
        </w:rPr>
        <w:t>年</w:t>
      </w:r>
      <w:r>
        <w:rPr>
          <w:spacing w:val="-53"/>
        </w:rPr>
        <w:t> </w:t>
      </w:r>
      <w:r>
        <w:rPr>
          <w:rFonts w:ascii="宋体" w:hAnsi="宋体" w:cs="宋体" w:eastAsia="宋体" w:hint="default"/>
          <w:w w:val="100"/>
        </w:rPr>
        <w:t>3</w:t>
      </w:r>
      <w:r>
        <w:rPr>
          <w:rFonts w:ascii="宋体" w:hAnsi="宋体" w:cs="宋体" w:eastAsia="宋体" w:hint="default"/>
          <w:spacing w:val="-55"/>
        </w:rPr>
        <w:t> </w:t>
      </w:r>
      <w:r>
        <w:rPr>
          <w:w w:val="100"/>
        </w:rPr>
        <w:t>月</w:t>
      </w:r>
      <w:r>
        <w:rPr>
          <w:spacing w:val="-53"/>
        </w:rPr>
        <w:t> </w:t>
      </w:r>
      <w:r>
        <w:rPr>
          <w:rFonts w:ascii="宋体" w:hAnsi="宋体" w:cs="宋体" w:eastAsia="宋体" w:hint="default"/>
          <w:w w:val="100"/>
        </w:rPr>
        <w:t>25</w:t>
      </w:r>
      <w:r>
        <w:rPr>
          <w:rFonts w:ascii="宋体" w:hAnsi="宋体" w:cs="宋体" w:eastAsia="宋体" w:hint="default"/>
          <w:spacing w:val="-55"/>
        </w:rPr>
        <w:t> </w:t>
      </w:r>
      <w:r>
        <w:rPr>
          <w:w w:val="100"/>
        </w:rPr>
        <w:t>日</w:t>
      </w:r>
      <w:r>
        <w:rPr>
          <w:spacing w:val="-3"/>
          <w:w w:val="100"/>
        </w:rPr>
        <w:t>注</w:t>
      </w:r>
      <w:r>
        <w:rPr>
          <w:spacing w:val="-1"/>
          <w:w w:val="100"/>
        </w:rPr>
        <w:t>销</w:t>
      </w:r>
      <w:r>
        <w:rPr>
          <w:spacing w:val="-3"/>
          <w:w w:val="100"/>
        </w:rPr>
        <w:t>合</w:t>
      </w:r>
      <w:r>
        <w:rPr>
          <w:w w:val="100"/>
        </w:rPr>
        <w:t>肥御</w:t>
      </w:r>
      <w:r>
        <w:rPr>
          <w:spacing w:val="-3"/>
          <w:w w:val="100"/>
        </w:rPr>
        <w:t>聚</w:t>
      </w:r>
      <w:r>
        <w:rPr>
          <w:w w:val="100"/>
        </w:rPr>
        <w:t>信</w:t>
      </w:r>
      <w:r>
        <w:rPr>
          <w:spacing w:val="-3"/>
          <w:w w:val="100"/>
        </w:rPr>
        <w:t>息</w:t>
      </w:r>
      <w:r>
        <w:rPr>
          <w:w w:val="100"/>
        </w:rPr>
        <w:t>技</w:t>
      </w:r>
      <w:r>
        <w:rPr>
          <w:spacing w:val="-3"/>
          <w:w w:val="100"/>
        </w:rPr>
        <w:t>术</w:t>
      </w:r>
      <w:r>
        <w:rPr>
          <w:w w:val="100"/>
        </w:rPr>
        <w:t>有</w:t>
      </w:r>
      <w:r>
        <w:rPr>
          <w:spacing w:val="-3"/>
          <w:w w:val="100"/>
        </w:rPr>
        <w:t>限</w:t>
      </w:r>
      <w:r>
        <w:rPr>
          <w:w w:val="100"/>
        </w:rPr>
        <w:t>公</w:t>
      </w:r>
      <w:r>
        <w:rPr>
          <w:spacing w:val="-3"/>
          <w:w w:val="100"/>
        </w:rPr>
        <w:t>司</w:t>
      </w:r>
      <w:r>
        <w:rPr>
          <w:spacing w:val="-97"/>
          <w:w w:val="100"/>
        </w:rPr>
        <w:t>，</w:t>
      </w:r>
      <w:r>
        <w:rPr>
          <w:w w:val="100"/>
        </w:rPr>
        <w:t>注册</w:t>
      </w:r>
      <w:r>
        <w:rPr>
          <w:spacing w:val="-3"/>
          <w:w w:val="100"/>
        </w:rPr>
        <w:t>资</w:t>
      </w:r>
      <w:r>
        <w:rPr>
          <w:w w:val="100"/>
        </w:rPr>
        <w:t>本</w:t>
      </w:r>
      <w:r>
        <w:rPr>
          <w:spacing w:val="-52"/>
        </w:rPr>
        <w:t> </w:t>
      </w:r>
      <w:r>
        <w:rPr>
          <w:rFonts w:ascii="宋体" w:hAnsi="宋体" w:cs="宋体" w:eastAsia="宋体" w:hint="default"/>
          <w:spacing w:val="-3"/>
          <w:w w:val="100"/>
        </w:rPr>
        <w:t>1</w:t>
      </w:r>
      <w:r>
        <w:rPr>
          <w:rFonts w:ascii="宋体" w:hAnsi="宋体" w:cs="宋体" w:eastAsia="宋体" w:hint="default"/>
          <w:w w:val="100"/>
        </w:rPr>
        <w:t>000</w:t>
      </w:r>
      <w:r>
        <w:rPr>
          <w:rFonts w:ascii="宋体" w:hAnsi="宋体" w:cs="宋体" w:eastAsia="宋体" w:hint="default"/>
          <w:spacing w:val="-55"/>
        </w:rPr>
        <w:t> </w:t>
      </w:r>
      <w:r>
        <w:rPr>
          <w:w w:val="100"/>
        </w:rPr>
        <w:t>万</w:t>
      </w:r>
      <w:r>
        <w:rPr>
          <w:spacing w:val="-3"/>
          <w:w w:val="100"/>
        </w:rPr>
        <w:t>元</w:t>
      </w:r>
      <w:r>
        <w:rPr>
          <w:w w:val="100"/>
        </w:rPr>
        <w:t>人</w:t>
      </w:r>
      <w:r>
        <w:rPr>
          <w:spacing w:val="-3"/>
          <w:w w:val="100"/>
        </w:rPr>
        <w:t>民币</w:t>
      </w:r>
      <w:r>
        <w:rPr>
          <w:spacing w:val="-94"/>
          <w:w w:val="100"/>
        </w:rPr>
        <w:t>，</w:t>
      </w:r>
      <w:r>
        <w:rPr>
          <w:spacing w:val="-3"/>
          <w:w w:val="100"/>
        </w:rPr>
        <w:t>法</w:t>
      </w:r>
      <w:r>
        <w:rPr>
          <w:w w:val="100"/>
        </w:rPr>
        <w:t>定</w:t>
      </w:r>
      <w:r>
        <w:rPr>
          <w:spacing w:val="-3"/>
          <w:w w:val="100"/>
        </w:rPr>
        <w:t>代</w:t>
      </w:r>
      <w:r>
        <w:rPr>
          <w:w w:val="100"/>
        </w:rPr>
        <w:t>表</w:t>
      </w:r>
      <w:r>
        <w:rPr>
          <w:spacing w:val="-3"/>
          <w:w w:val="100"/>
        </w:rPr>
        <w:t>人</w:t>
      </w:r>
      <w:r>
        <w:rPr>
          <w:w w:val="100"/>
        </w:rPr>
        <w:t>刘</w:t>
      </w:r>
      <w:r>
        <w:rPr>
          <w:spacing w:val="-3"/>
          <w:w w:val="100"/>
        </w:rPr>
        <w:t>英</w:t>
      </w:r>
      <w:r>
        <w:rPr>
          <w:w w:val="100"/>
        </w:rPr>
        <w:t>魁，</w:t>
      </w:r>
    </w:p>
    <w:p>
      <w:pPr>
        <w:pStyle w:val="BodyText"/>
        <w:spacing w:line="272" w:lineRule="exact" w:before="27"/>
        <w:ind w:left="403" w:right="0"/>
        <w:jc w:val="left"/>
        <w:rPr>
          <w:rFonts w:ascii="宋体" w:hAnsi="宋体" w:cs="宋体" w:eastAsia="宋体" w:hint="default"/>
        </w:rPr>
      </w:pPr>
      <w:r>
        <w:rPr>
          <w:spacing w:val="-1"/>
          <w:w w:val="100"/>
        </w:rPr>
        <w:t>持股比例</w:t>
      </w:r>
      <w:r>
        <w:rPr>
          <w:spacing w:val="-56"/>
          <w:w w:val="100"/>
        </w:rPr>
        <w:t> </w:t>
      </w:r>
      <w:r>
        <w:rPr>
          <w:rFonts w:ascii="宋体" w:hAnsi="宋体" w:cs="宋体" w:eastAsia="宋体" w:hint="default"/>
          <w:spacing w:val="-13"/>
          <w:w w:val="100"/>
        </w:rPr>
        <w:t>100%</w:t>
      </w:r>
      <w:r>
        <w:rPr>
          <w:spacing w:val="-13"/>
          <w:w w:val="100"/>
        </w:rPr>
        <w:t>；</w:t>
      </w:r>
      <w:r>
        <w:rPr>
          <w:rFonts w:ascii="宋体" w:hAnsi="宋体" w:cs="宋体" w:eastAsia="宋体" w:hint="default"/>
          <w:spacing w:val="-13"/>
          <w:w w:val="100"/>
        </w:rPr>
        <w:t>2019</w:t>
      </w:r>
      <w:r>
        <w:rPr>
          <w:rFonts w:ascii="宋体" w:hAnsi="宋体" w:cs="宋体" w:eastAsia="宋体" w:hint="default"/>
          <w:spacing w:val="-57"/>
          <w:w w:val="100"/>
        </w:rPr>
        <w:t> </w:t>
      </w:r>
      <w:r>
        <w:rPr>
          <w:w w:val="100"/>
        </w:rPr>
        <w:t>年</w:t>
      </w:r>
      <w:r>
        <w:rPr>
          <w:spacing w:val="-56"/>
          <w:w w:val="100"/>
        </w:rPr>
        <w:t> </w:t>
      </w:r>
      <w:r>
        <w:rPr>
          <w:rFonts w:ascii="宋体" w:hAnsi="宋体" w:cs="宋体" w:eastAsia="宋体" w:hint="default"/>
          <w:w w:val="100"/>
        </w:rPr>
        <w:t>2</w:t>
      </w:r>
      <w:r>
        <w:rPr>
          <w:rFonts w:ascii="宋体" w:hAnsi="宋体" w:cs="宋体" w:eastAsia="宋体" w:hint="default"/>
          <w:spacing w:val="-59"/>
          <w:w w:val="100"/>
        </w:rPr>
        <w:t> </w:t>
      </w:r>
      <w:r>
        <w:rPr>
          <w:w w:val="100"/>
        </w:rPr>
        <w:t>月</w:t>
      </w:r>
      <w:r>
        <w:rPr>
          <w:spacing w:val="-56"/>
          <w:w w:val="100"/>
        </w:rPr>
        <w:t> </w:t>
      </w:r>
      <w:r>
        <w:rPr>
          <w:rFonts w:ascii="宋体" w:hAnsi="宋体" w:cs="宋体" w:eastAsia="宋体" w:hint="default"/>
          <w:w w:val="100"/>
        </w:rPr>
        <w:t>19</w:t>
      </w:r>
      <w:r>
        <w:rPr>
          <w:rFonts w:ascii="宋体" w:hAnsi="宋体" w:cs="宋体" w:eastAsia="宋体" w:hint="default"/>
          <w:spacing w:val="-56"/>
          <w:w w:val="100"/>
        </w:rPr>
        <w:t> </w:t>
      </w:r>
      <w:r>
        <w:rPr>
          <w:spacing w:val="-6"/>
          <w:w w:val="100"/>
        </w:rPr>
        <w:t>日注销霍尔果斯长实云谷信息科技有限公司，注册资本</w:t>
      </w:r>
      <w:r>
        <w:rPr>
          <w:spacing w:val="-57"/>
          <w:w w:val="100"/>
        </w:rPr>
        <w:t> </w:t>
      </w:r>
      <w:r>
        <w:rPr>
          <w:rFonts w:ascii="宋体" w:hAnsi="宋体" w:cs="宋体" w:eastAsia="宋体" w:hint="default"/>
          <w:spacing w:val="-1"/>
          <w:w w:val="100"/>
        </w:rPr>
        <w:t>1000</w:t>
      </w:r>
      <w:r>
        <w:rPr>
          <w:rFonts w:ascii="宋体" w:hAnsi="宋体" w:cs="宋体" w:eastAsia="宋体" w:hint="default"/>
          <w:spacing w:val="-56"/>
          <w:w w:val="100"/>
        </w:rPr>
        <w:t> </w:t>
      </w:r>
      <w:r>
        <w:rPr>
          <w:spacing w:val="-2"/>
          <w:w w:val="100"/>
        </w:rPr>
        <w:t>万元人民币，</w:t>
      </w:r>
      <w:r>
        <w:rPr>
          <w:w w:val="100"/>
        </w:rPr>
        <w:t> </w:t>
      </w:r>
      <w:r>
        <w:rPr/>
        <w:t>法定代表人邓汝和，持股比例</w:t>
      </w:r>
      <w:r>
        <w:rPr>
          <w:spacing w:val="-57"/>
        </w:rPr>
        <w:t> </w:t>
      </w:r>
      <w:r>
        <w:rPr>
          <w:rFonts w:ascii="宋体" w:hAnsi="宋体" w:cs="宋体" w:eastAsia="宋体" w:hint="default"/>
        </w:rPr>
        <w:t>100%</w:t>
      </w:r>
      <w:r>
        <w:rPr/>
        <w:t>。</w:t>
      </w:r>
      <w:r>
        <w:rPr>
          <w:rFonts w:ascii="宋体" w:hAnsi="宋体" w:cs="宋体" w:eastAsia="宋体" w:hint="default"/>
        </w:rPr>
        <w:t> </w:t>
      </w:r>
    </w:p>
    <w:p>
      <w:pPr>
        <w:pStyle w:val="Heading3"/>
        <w:spacing w:line="372" w:lineRule="auto" w:before="130"/>
        <w:ind w:left="614" w:right="7462" w:hanging="212"/>
        <w:jc w:val="left"/>
        <w:rPr>
          <w:rFonts w:ascii="宋体" w:hAnsi="宋体" w:cs="宋体" w:eastAsia="宋体" w:hint="default"/>
          <w:b w:val="0"/>
          <w:bCs w:val="0"/>
        </w:rPr>
      </w:pPr>
      <w:r>
        <w:rPr/>
        <w:t>八、在其他主体中的权益</w:t>
      </w:r>
      <w:r>
        <w:rPr>
          <w:rFonts w:ascii="宋体" w:hAnsi="宋体" w:cs="宋体" w:eastAsia="宋体" w:hint="default"/>
          <w:w w:val="99"/>
        </w:rPr>
        <w:t> </w:t>
      </w:r>
      <w:r>
        <w:rPr>
          <w:rFonts w:ascii="宋体" w:hAnsi="宋体" w:cs="宋体" w:eastAsia="宋体" w:hint="default"/>
        </w:rPr>
        <w:t>(</w:t>
      </w:r>
      <w:r>
        <w:rPr/>
        <w:t>一）在子公司中的权益</w:t>
      </w:r>
      <w:r>
        <w:rPr>
          <w:rFonts w:ascii="宋体" w:hAnsi="宋体" w:cs="宋体" w:eastAsia="宋体" w:hint="default"/>
          <w:w w:val="99"/>
        </w:rPr>
        <w:t> </w:t>
      </w:r>
      <w:r>
        <w:rPr>
          <w:rFonts w:ascii="宋体" w:hAnsi="宋体" w:cs="宋体" w:eastAsia="宋体" w:hint="default"/>
          <w:b w:val="0"/>
          <w:bCs w:val="0"/>
        </w:rPr>
      </w:r>
    </w:p>
    <w:p>
      <w:pPr>
        <w:pStyle w:val="BodyText"/>
        <w:spacing w:line="240" w:lineRule="auto" w:before="39"/>
        <w:ind w:left="826" w:right="0"/>
        <w:jc w:val="left"/>
        <w:rPr>
          <w:rFonts w:ascii="宋体" w:hAnsi="宋体" w:cs="宋体" w:eastAsia="宋体" w:hint="default"/>
        </w:rPr>
      </w:pPr>
      <w:r>
        <w:rPr>
          <w:rFonts w:ascii="宋体" w:hAnsi="宋体" w:cs="宋体" w:eastAsia="宋体" w:hint="default"/>
          <w:b/>
          <w:bCs/>
        </w:rPr>
        <w:t>1</w:t>
      </w:r>
      <w:r>
        <w:rPr>
          <w:rFonts w:ascii="宋体" w:hAnsi="宋体" w:cs="宋体" w:eastAsia="宋体" w:hint="default"/>
          <w:b/>
          <w:bCs/>
        </w:rPr>
        <w:t>、</w:t>
      </w:r>
      <w:r>
        <w:rPr/>
        <w:t>企业集团的构成</w:t>
      </w:r>
      <w:r>
        <w:rPr>
          <w:rFonts w:ascii="宋体" w:hAnsi="宋体" w:cs="宋体" w:eastAsia="宋体" w:hint="default"/>
        </w:rPr>
        <w:t> </w:t>
      </w:r>
    </w:p>
    <w:p>
      <w:pPr>
        <w:spacing w:line="240" w:lineRule="auto" w:before="3"/>
        <w:rPr>
          <w:rFonts w:ascii="宋体" w:hAnsi="宋体" w:cs="宋体" w:eastAsia="宋体" w:hint="default"/>
          <w:sz w:val="14"/>
          <w:szCs w:val="14"/>
        </w:rPr>
      </w:pPr>
    </w:p>
    <w:tbl>
      <w:tblPr>
        <w:tblW w:w="0" w:type="auto"/>
        <w:jc w:val="left"/>
        <w:tblInd w:w="103" w:type="dxa"/>
        <w:tblLayout w:type="fixed"/>
        <w:tblCellMar>
          <w:top w:w="0" w:type="dxa"/>
          <w:left w:w="0" w:type="dxa"/>
          <w:bottom w:w="0" w:type="dxa"/>
          <w:right w:w="0" w:type="dxa"/>
        </w:tblCellMar>
        <w:tblLook w:val="01E0"/>
      </w:tblPr>
      <w:tblGrid>
        <w:gridCol w:w="615"/>
        <w:gridCol w:w="2943"/>
        <w:gridCol w:w="850"/>
        <w:gridCol w:w="852"/>
        <w:gridCol w:w="1344"/>
        <w:gridCol w:w="775"/>
        <w:gridCol w:w="787"/>
        <w:gridCol w:w="1743"/>
      </w:tblGrid>
      <w:tr>
        <w:trPr>
          <w:trHeight w:val="398" w:hRule="exact"/>
        </w:trPr>
        <w:tc>
          <w:tcPr>
            <w:tcW w:w="615"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序号</w:t>
            </w:r>
            <w:r>
              <w:rPr>
                <w:rFonts w:ascii="宋体" w:hAnsi="宋体" w:cs="宋体" w:eastAsia="宋体" w:hint="default"/>
                <w:sz w:val="18"/>
                <w:szCs w:val="18"/>
              </w:rPr>
              <w:t> </w:t>
            </w:r>
          </w:p>
        </w:tc>
        <w:tc>
          <w:tcPr>
            <w:tcW w:w="2943"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017" w:right="0"/>
              <w:jc w:val="left"/>
              <w:rPr>
                <w:rFonts w:ascii="宋体" w:hAnsi="宋体" w:cs="宋体" w:eastAsia="宋体" w:hint="default"/>
                <w:sz w:val="18"/>
                <w:szCs w:val="18"/>
              </w:rPr>
            </w:pPr>
            <w:r>
              <w:rPr>
                <w:rFonts w:ascii="宋体" w:hAnsi="宋体" w:cs="宋体" w:eastAsia="宋体" w:hint="default"/>
                <w:sz w:val="18"/>
                <w:szCs w:val="18"/>
              </w:rPr>
              <w:t>子公司名称</w:t>
            </w:r>
            <w:r>
              <w:rPr>
                <w:rFonts w:ascii="宋体" w:hAnsi="宋体" w:cs="宋体" w:eastAsia="宋体" w:hint="default"/>
                <w:sz w:val="18"/>
                <w:szCs w:val="18"/>
              </w:rPr>
              <w:t> </w:t>
            </w:r>
          </w:p>
        </w:tc>
        <w:tc>
          <w:tcPr>
            <w:tcW w:w="850" w:type="dxa"/>
            <w:vMerge w:val="restart"/>
            <w:tcBorders>
              <w:top w:val="single" w:sz="4" w:space="0" w:color="000000"/>
              <w:left w:val="single" w:sz="4" w:space="0" w:color="000000"/>
              <w:right w:val="single" w:sz="4" w:space="0" w:color="000000"/>
            </w:tcBorders>
          </w:tcPr>
          <w:p>
            <w:pPr>
              <w:pStyle w:val="TableParagraph"/>
              <w:spacing w:line="316" w:lineRule="auto" w:before="92"/>
              <w:ind w:left="239" w:right="149" w:hanging="92"/>
              <w:jc w:val="left"/>
              <w:rPr>
                <w:rFonts w:ascii="宋体" w:hAnsi="宋体" w:cs="宋体" w:eastAsia="宋体" w:hint="default"/>
                <w:sz w:val="18"/>
                <w:szCs w:val="18"/>
              </w:rPr>
            </w:pPr>
            <w:r>
              <w:rPr>
                <w:rFonts w:ascii="宋体" w:hAnsi="宋体" w:cs="宋体" w:eastAsia="宋体" w:hint="default"/>
                <w:sz w:val="18"/>
                <w:szCs w:val="18"/>
              </w:rPr>
              <w:t>主要经 营地</w:t>
            </w:r>
            <w:r>
              <w:rPr>
                <w:rFonts w:ascii="宋体" w:hAnsi="宋体" w:cs="宋体" w:eastAsia="宋体" w:hint="default"/>
                <w:sz w:val="18"/>
                <w:szCs w:val="18"/>
              </w:rPr>
              <w:t> </w:t>
            </w:r>
          </w:p>
        </w:tc>
        <w:tc>
          <w:tcPr>
            <w:tcW w:w="852"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51" w:right="0"/>
              <w:jc w:val="left"/>
              <w:rPr>
                <w:rFonts w:ascii="宋体" w:hAnsi="宋体" w:cs="宋体" w:eastAsia="宋体" w:hint="default"/>
                <w:sz w:val="18"/>
                <w:szCs w:val="18"/>
              </w:rPr>
            </w:pPr>
            <w:r>
              <w:rPr>
                <w:rFonts w:ascii="宋体" w:hAnsi="宋体" w:cs="宋体" w:eastAsia="宋体" w:hint="default"/>
                <w:sz w:val="18"/>
                <w:szCs w:val="18"/>
              </w:rPr>
              <w:t>注册地</w:t>
            </w:r>
            <w:r>
              <w:rPr>
                <w:rFonts w:ascii="宋体" w:hAnsi="宋体" w:cs="宋体" w:eastAsia="宋体" w:hint="default"/>
                <w:sz w:val="18"/>
                <w:szCs w:val="18"/>
              </w:rPr>
              <w:t> </w:t>
            </w:r>
          </w:p>
        </w:tc>
        <w:tc>
          <w:tcPr>
            <w:tcW w:w="1344"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307" w:right="0"/>
              <w:jc w:val="left"/>
              <w:rPr>
                <w:rFonts w:ascii="宋体" w:hAnsi="宋体" w:cs="宋体" w:eastAsia="宋体" w:hint="default"/>
                <w:sz w:val="18"/>
                <w:szCs w:val="18"/>
              </w:rPr>
            </w:pPr>
            <w:r>
              <w:rPr>
                <w:rFonts w:ascii="宋体" w:hAnsi="宋体" w:cs="宋体" w:eastAsia="宋体" w:hint="default"/>
                <w:sz w:val="18"/>
                <w:szCs w:val="18"/>
              </w:rPr>
              <w:t>业务性质</w:t>
            </w:r>
            <w:r>
              <w:rPr>
                <w:rFonts w:ascii="宋体" w:hAnsi="宋体" w:cs="宋体" w:eastAsia="宋体" w:hint="default"/>
                <w:sz w:val="18"/>
                <w:szCs w:val="18"/>
              </w:rPr>
              <w:t> </w:t>
            </w:r>
          </w:p>
        </w:tc>
        <w:tc>
          <w:tcPr>
            <w:tcW w:w="156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89" w:right="0"/>
              <w:jc w:val="left"/>
              <w:rPr>
                <w:rFonts w:ascii="宋体" w:hAnsi="宋体" w:cs="宋体" w:eastAsia="宋体" w:hint="default"/>
                <w:sz w:val="18"/>
                <w:szCs w:val="18"/>
              </w:rPr>
            </w:pPr>
            <w:r>
              <w:rPr>
                <w:rFonts w:ascii="宋体" w:hAnsi="宋体" w:cs="宋体" w:eastAsia="宋体" w:hint="default"/>
                <w:sz w:val="18"/>
                <w:szCs w:val="18"/>
              </w:rPr>
              <w:t>持股比例（</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 </w:t>
            </w:r>
          </w:p>
        </w:tc>
        <w:tc>
          <w:tcPr>
            <w:tcW w:w="1743"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507" w:right="0"/>
              <w:jc w:val="left"/>
              <w:rPr>
                <w:rFonts w:ascii="宋体" w:hAnsi="宋体" w:cs="宋体" w:eastAsia="宋体" w:hint="default"/>
                <w:sz w:val="18"/>
                <w:szCs w:val="18"/>
              </w:rPr>
            </w:pPr>
            <w:r>
              <w:rPr>
                <w:rFonts w:ascii="宋体" w:hAnsi="宋体" w:cs="宋体" w:eastAsia="宋体" w:hint="default"/>
                <w:sz w:val="18"/>
                <w:szCs w:val="18"/>
              </w:rPr>
              <w:t>取得方式</w:t>
            </w:r>
            <w:r>
              <w:rPr>
                <w:rFonts w:ascii="宋体" w:hAnsi="宋体" w:cs="宋体" w:eastAsia="宋体" w:hint="default"/>
                <w:sz w:val="18"/>
                <w:szCs w:val="18"/>
              </w:rPr>
              <w:t> </w:t>
            </w:r>
          </w:p>
        </w:tc>
      </w:tr>
      <w:tr>
        <w:trPr>
          <w:trHeight w:val="396" w:hRule="exact"/>
        </w:trPr>
        <w:tc>
          <w:tcPr>
            <w:tcW w:w="615" w:type="dxa"/>
            <w:vMerge/>
            <w:tcBorders>
              <w:left w:val="single" w:sz="4" w:space="0" w:color="000000"/>
              <w:bottom w:val="single" w:sz="4" w:space="0" w:color="000000"/>
              <w:right w:val="single" w:sz="4" w:space="0" w:color="000000"/>
            </w:tcBorders>
          </w:tcPr>
          <w:p>
            <w:pPr/>
          </w:p>
        </w:tc>
        <w:tc>
          <w:tcPr>
            <w:tcW w:w="2943" w:type="dxa"/>
            <w:vMerge/>
            <w:tcBorders>
              <w:left w:val="single" w:sz="4" w:space="0" w:color="000000"/>
              <w:bottom w:val="single" w:sz="4" w:space="0" w:color="000000"/>
              <w:right w:val="single" w:sz="4" w:space="0" w:color="000000"/>
            </w:tcBorders>
          </w:tcPr>
          <w:p>
            <w:pPr/>
          </w:p>
        </w:tc>
        <w:tc>
          <w:tcPr>
            <w:tcW w:w="850" w:type="dxa"/>
            <w:vMerge/>
            <w:tcBorders>
              <w:left w:val="single" w:sz="4" w:space="0" w:color="000000"/>
              <w:bottom w:val="single" w:sz="4" w:space="0" w:color="000000"/>
              <w:right w:val="single" w:sz="4" w:space="0" w:color="000000"/>
            </w:tcBorders>
          </w:tcPr>
          <w:p>
            <w:pPr/>
          </w:p>
        </w:tc>
        <w:tc>
          <w:tcPr>
            <w:tcW w:w="852" w:type="dxa"/>
            <w:vMerge/>
            <w:tcBorders>
              <w:left w:val="single" w:sz="4" w:space="0" w:color="000000"/>
              <w:bottom w:val="single" w:sz="4" w:space="0" w:color="000000"/>
              <w:right w:val="single" w:sz="4" w:space="0" w:color="000000"/>
            </w:tcBorders>
          </w:tcPr>
          <w:p>
            <w:pPr/>
          </w:p>
        </w:tc>
        <w:tc>
          <w:tcPr>
            <w:tcW w:w="1344" w:type="dxa"/>
            <w:vMerge/>
            <w:tcBorders>
              <w:left w:val="single" w:sz="4" w:space="0" w:color="000000"/>
              <w:bottom w:val="single" w:sz="4" w:space="0" w:color="000000"/>
              <w:right w:val="single" w:sz="4" w:space="0" w:color="000000"/>
            </w:tcBorders>
          </w:tcPr>
          <w:p>
            <w:pP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2" w:right="0"/>
              <w:jc w:val="center"/>
              <w:rPr>
                <w:rFonts w:ascii="宋体" w:hAnsi="宋体" w:cs="宋体" w:eastAsia="宋体" w:hint="default"/>
                <w:sz w:val="18"/>
                <w:szCs w:val="18"/>
              </w:rPr>
            </w:pPr>
            <w:r>
              <w:rPr>
                <w:rFonts w:ascii="宋体" w:hAnsi="宋体" w:cs="宋体" w:eastAsia="宋体" w:hint="default"/>
                <w:sz w:val="18"/>
                <w:szCs w:val="18"/>
              </w:rPr>
              <w:t>直接</w:t>
            </w:r>
            <w:r>
              <w:rPr>
                <w:rFonts w:ascii="宋体" w:hAnsi="宋体" w:cs="宋体" w:eastAsia="宋体" w:hint="default"/>
                <w:sz w:val="18"/>
                <w:szCs w:val="18"/>
              </w:rPr>
              <w:t> </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4" w:right="0"/>
              <w:jc w:val="center"/>
              <w:rPr>
                <w:rFonts w:ascii="宋体" w:hAnsi="宋体" w:cs="宋体" w:eastAsia="宋体" w:hint="default"/>
                <w:sz w:val="18"/>
                <w:szCs w:val="18"/>
              </w:rPr>
            </w:pPr>
            <w:r>
              <w:rPr>
                <w:rFonts w:ascii="宋体" w:hAnsi="宋体" w:cs="宋体" w:eastAsia="宋体" w:hint="default"/>
                <w:sz w:val="18"/>
                <w:szCs w:val="18"/>
              </w:rPr>
              <w:t>间接</w:t>
            </w:r>
            <w:r>
              <w:rPr>
                <w:rFonts w:ascii="宋体" w:hAnsi="宋体" w:cs="宋体" w:eastAsia="宋体" w:hint="default"/>
                <w:sz w:val="18"/>
                <w:szCs w:val="18"/>
              </w:rPr>
              <w:t> </w:t>
            </w:r>
          </w:p>
        </w:tc>
        <w:tc>
          <w:tcPr>
            <w:tcW w:w="1743" w:type="dxa"/>
            <w:vMerge/>
            <w:tcBorders>
              <w:left w:val="single" w:sz="4" w:space="0" w:color="000000"/>
              <w:bottom w:val="single" w:sz="4" w:space="0" w:color="000000"/>
              <w:right w:val="single" w:sz="4" w:space="0" w:color="000000"/>
            </w:tcBorders>
          </w:tcPr>
          <w:p>
            <w:pPr/>
          </w:p>
        </w:tc>
      </w:tr>
      <w:tr>
        <w:trPr>
          <w:trHeight w:val="398" w:hRule="exact"/>
        </w:trPr>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62"/>
              <w:jc w:val="right"/>
              <w:rPr>
                <w:rFonts w:ascii="宋体" w:hAnsi="宋体" w:cs="宋体" w:eastAsia="宋体" w:hint="default"/>
                <w:sz w:val="18"/>
                <w:szCs w:val="18"/>
              </w:rPr>
            </w:pPr>
            <w:r>
              <w:rPr>
                <w:rFonts w:ascii="宋体"/>
                <w:sz w:val="18"/>
              </w:rPr>
              <w:t>1 </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北京创世漫道科技有限公司</w:t>
            </w:r>
            <w:r>
              <w:rPr>
                <w:rFonts w:ascii="宋体" w:hAnsi="宋体" w:cs="宋体" w:eastAsia="宋体" w:hint="default"/>
                <w:sz w:val="18"/>
                <w:szCs w:val="18"/>
              </w:rPr>
              <w:t> </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9"/>
              <w:jc w:val="right"/>
              <w:rPr>
                <w:rFonts w:ascii="宋体" w:hAnsi="宋体" w:cs="宋体" w:eastAsia="宋体" w:hint="default"/>
                <w:sz w:val="18"/>
                <w:szCs w:val="18"/>
              </w:rPr>
            </w:pPr>
            <w:r>
              <w:rPr>
                <w:rFonts w:ascii="宋体" w:hAnsi="宋体" w:cs="宋体" w:eastAsia="宋体" w:hint="default"/>
                <w:sz w:val="18"/>
                <w:szCs w:val="18"/>
              </w:rPr>
              <w:t>北京</w:t>
            </w:r>
            <w:r>
              <w:rPr>
                <w:rFonts w:ascii="宋体" w:hAnsi="宋体" w:cs="宋体" w:eastAsia="宋体" w:hint="default"/>
                <w:sz w:val="18"/>
                <w:szCs w:val="18"/>
              </w:rPr>
              <w:t> </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0"/>
              <w:jc w:val="right"/>
              <w:rPr>
                <w:rFonts w:ascii="宋体" w:hAnsi="宋体" w:cs="宋体" w:eastAsia="宋体" w:hint="default"/>
                <w:sz w:val="18"/>
                <w:szCs w:val="18"/>
              </w:rPr>
            </w:pPr>
            <w:r>
              <w:rPr>
                <w:rFonts w:ascii="宋体" w:hAnsi="宋体" w:cs="宋体" w:eastAsia="宋体" w:hint="default"/>
                <w:sz w:val="18"/>
                <w:szCs w:val="18"/>
              </w:rPr>
              <w:t>北京</w:t>
            </w:r>
            <w:r>
              <w:rPr>
                <w:rFonts w:ascii="宋体" w:hAnsi="宋体" w:cs="宋体" w:eastAsia="宋体" w:hint="default"/>
                <w:sz w:val="18"/>
                <w:szCs w:val="18"/>
              </w:rPr>
              <w:t> </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 w:right="0"/>
              <w:jc w:val="center"/>
              <w:rPr>
                <w:rFonts w:ascii="宋体" w:hAnsi="宋体" w:cs="宋体" w:eastAsia="宋体" w:hint="default"/>
                <w:sz w:val="18"/>
                <w:szCs w:val="18"/>
              </w:rPr>
            </w:pPr>
            <w:r>
              <w:rPr>
                <w:rFonts w:ascii="宋体" w:hAnsi="宋体" w:cs="宋体" w:eastAsia="宋体" w:hint="default"/>
                <w:sz w:val="18"/>
                <w:szCs w:val="18"/>
              </w:rPr>
              <w:t>电信增值业务</w:t>
            </w:r>
            <w:r>
              <w:rPr>
                <w:rFonts w:ascii="宋体" w:hAnsi="宋体" w:cs="宋体" w:eastAsia="宋体" w:hint="default"/>
                <w:sz w:val="18"/>
                <w:szCs w:val="18"/>
              </w:rPr>
              <w:t> </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 w:right="0"/>
              <w:jc w:val="center"/>
              <w:rPr>
                <w:rFonts w:ascii="宋体" w:hAnsi="宋体" w:cs="宋体" w:eastAsia="宋体" w:hint="default"/>
                <w:sz w:val="18"/>
                <w:szCs w:val="18"/>
              </w:rPr>
            </w:pPr>
            <w:r>
              <w:rPr>
                <w:rFonts w:ascii="宋体"/>
                <w:sz w:val="18"/>
              </w:rPr>
              <w:t>100.00 </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2" w:right="0"/>
              <w:jc w:val="center"/>
              <w:rPr>
                <w:rFonts w:ascii="宋体" w:hAnsi="宋体" w:cs="宋体" w:eastAsia="宋体" w:hint="default"/>
                <w:sz w:val="18"/>
                <w:szCs w:val="18"/>
              </w:rPr>
            </w:pPr>
            <w:r>
              <w:rPr>
                <w:rFonts w:ascii="宋体"/>
                <w:sz w:val="18"/>
              </w:rPr>
              <w:t>-- </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0" w:right="0"/>
              <w:jc w:val="center"/>
              <w:rPr>
                <w:rFonts w:ascii="宋体" w:hAnsi="宋体" w:cs="宋体" w:eastAsia="宋体" w:hint="default"/>
                <w:sz w:val="18"/>
                <w:szCs w:val="18"/>
              </w:rPr>
            </w:pPr>
            <w:r>
              <w:rPr>
                <w:rFonts w:ascii="宋体" w:hAnsi="宋体" w:cs="宋体" w:eastAsia="宋体" w:hint="default"/>
                <w:sz w:val="18"/>
                <w:szCs w:val="18"/>
              </w:rPr>
              <w:t>非同一控制下合并</w:t>
            </w:r>
            <w:r>
              <w:rPr>
                <w:rFonts w:ascii="宋体" w:hAnsi="宋体" w:cs="宋体" w:eastAsia="宋体" w:hint="default"/>
                <w:sz w:val="18"/>
                <w:szCs w:val="18"/>
              </w:rPr>
              <w:t> </w:t>
            </w:r>
          </w:p>
        </w:tc>
      </w:tr>
      <w:tr>
        <w:trPr>
          <w:trHeight w:val="396" w:hRule="exact"/>
        </w:trPr>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62"/>
              <w:jc w:val="right"/>
              <w:rPr>
                <w:rFonts w:ascii="宋体" w:hAnsi="宋体" w:cs="宋体" w:eastAsia="宋体" w:hint="default"/>
                <w:sz w:val="18"/>
                <w:szCs w:val="18"/>
              </w:rPr>
            </w:pPr>
            <w:r>
              <w:rPr>
                <w:rFonts w:ascii="宋体"/>
                <w:sz w:val="18"/>
              </w:rPr>
              <w:t>2 </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5" w:right="0"/>
              <w:jc w:val="left"/>
              <w:rPr>
                <w:rFonts w:ascii="宋体" w:hAnsi="宋体" w:cs="宋体" w:eastAsia="宋体" w:hint="default"/>
                <w:sz w:val="18"/>
                <w:szCs w:val="18"/>
              </w:rPr>
            </w:pPr>
            <w:r>
              <w:rPr>
                <w:rFonts w:ascii="宋体" w:hAnsi="宋体" w:cs="宋体" w:eastAsia="宋体" w:hint="default"/>
                <w:sz w:val="18"/>
                <w:szCs w:val="18"/>
              </w:rPr>
              <w:t>广东长实通信科技有限公司</w:t>
            </w:r>
            <w:r>
              <w:rPr>
                <w:rFonts w:ascii="宋体" w:hAnsi="宋体" w:cs="宋体" w:eastAsia="宋体" w:hint="default"/>
                <w:sz w:val="18"/>
                <w:szCs w:val="18"/>
              </w:rPr>
              <w:t> </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49"/>
              <w:jc w:val="right"/>
              <w:rPr>
                <w:rFonts w:ascii="宋体" w:hAnsi="宋体" w:cs="宋体" w:eastAsia="宋体" w:hint="default"/>
                <w:sz w:val="18"/>
                <w:szCs w:val="18"/>
              </w:rPr>
            </w:pPr>
            <w:r>
              <w:rPr>
                <w:rFonts w:ascii="宋体" w:hAnsi="宋体" w:cs="宋体" w:eastAsia="宋体" w:hint="default"/>
                <w:sz w:val="18"/>
                <w:szCs w:val="18"/>
              </w:rPr>
              <w:t>广东</w:t>
            </w:r>
            <w:r>
              <w:rPr>
                <w:rFonts w:ascii="宋体" w:hAnsi="宋体" w:cs="宋体" w:eastAsia="宋体" w:hint="default"/>
                <w:sz w:val="18"/>
                <w:szCs w:val="18"/>
              </w:rPr>
              <w:t> </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50"/>
              <w:jc w:val="right"/>
              <w:rPr>
                <w:rFonts w:ascii="宋体" w:hAnsi="宋体" w:cs="宋体" w:eastAsia="宋体" w:hint="default"/>
                <w:sz w:val="18"/>
                <w:szCs w:val="18"/>
              </w:rPr>
            </w:pPr>
            <w:r>
              <w:rPr>
                <w:rFonts w:ascii="宋体" w:hAnsi="宋体" w:cs="宋体" w:eastAsia="宋体" w:hint="default"/>
                <w:sz w:val="18"/>
                <w:szCs w:val="18"/>
              </w:rPr>
              <w:t>广东</w:t>
            </w:r>
            <w:r>
              <w:rPr>
                <w:rFonts w:ascii="宋体" w:hAnsi="宋体" w:cs="宋体" w:eastAsia="宋体" w:hint="default"/>
                <w:sz w:val="18"/>
                <w:szCs w:val="18"/>
              </w:rPr>
              <w:t> </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9" w:right="0"/>
              <w:jc w:val="center"/>
              <w:rPr>
                <w:rFonts w:ascii="宋体" w:hAnsi="宋体" w:cs="宋体" w:eastAsia="宋体" w:hint="default"/>
                <w:sz w:val="18"/>
                <w:szCs w:val="18"/>
              </w:rPr>
            </w:pPr>
            <w:r>
              <w:rPr>
                <w:rFonts w:ascii="宋体" w:hAnsi="宋体" w:cs="宋体" w:eastAsia="宋体" w:hint="default"/>
                <w:sz w:val="18"/>
                <w:szCs w:val="18"/>
              </w:rPr>
              <w:t>通信服务</w:t>
            </w:r>
            <w:r>
              <w:rPr>
                <w:rFonts w:ascii="宋体" w:hAnsi="宋体" w:cs="宋体" w:eastAsia="宋体" w:hint="default"/>
                <w:sz w:val="18"/>
                <w:szCs w:val="18"/>
              </w:rPr>
              <w:t> </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9" w:right="0"/>
              <w:jc w:val="center"/>
              <w:rPr>
                <w:rFonts w:ascii="宋体" w:hAnsi="宋体" w:cs="宋体" w:eastAsia="宋体" w:hint="default"/>
                <w:sz w:val="18"/>
                <w:szCs w:val="18"/>
              </w:rPr>
            </w:pPr>
            <w:r>
              <w:rPr>
                <w:rFonts w:ascii="宋体"/>
                <w:sz w:val="18"/>
              </w:rPr>
              <w:t>100.00 </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2" w:right="0"/>
              <w:jc w:val="center"/>
              <w:rPr>
                <w:rFonts w:ascii="宋体" w:hAnsi="宋体" w:cs="宋体" w:eastAsia="宋体" w:hint="default"/>
                <w:sz w:val="18"/>
                <w:szCs w:val="18"/>
              </w:rPr>
            </w:pPr>
            <w:r>
              <w:rPr>
                <w:rFonts w:ascii="宋体"/>
                <w:sz w:val="18"/>
              </w:rPr>
              <w:t>-- </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0" w:right="0"/>
              <w:jc w:val="center"/>
              <w:rPr>
                <w:rFonts w:ascii="宋体" w:hAnsi="宋体" w:cs="宋体" w:eastAsia="宋体" w:hint="default"/>
                <w:sz w:val="18"/>
                <w:szCs w:val="18"/>
              </w:rPr>
            </w:pPr>
            <w:r>
              <w:rPr>
                <w:rFonts w:ascii="宋体" w:hAnsi="宋体" w:cs="宋体" w:eastAsia="宋体" w:hint="default"/>
                <w:sz w:val="18"/>
                <w:szCs w:val="18"/>
              </w:rPr>
              <w:t>非同一控制下合并</w:t>
            </w:r>
            <w:r>
              <w:rPr>
                <w:rFonts w:ascii="宋体" w:hAnsi="宋体" w:cs="宋体" w:eastAsia="宋体" w:hint="default"/>
                <w:sz w:val="18"/>
                <w:szCs w:val="18"/>
              </w:rPr>
              <w:t> </w:t>
            </w:r>
          </w:p>
        </w:tc>
      </w:tr>
      <w:tr>
        <w:trPr>
          <w:trHeight w:val="396" w:hRule="exact"/>
        </w:trPr>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62"/>
              <w:jc w:val="right"/>
              <w:rPr>
                <w:rFonts w:ascii="宋体" w:hAnsi="宋体" w:cs="宋体" w:eastAsia="宋体" w:hint="default"/>
                <w:sz w:val="18"/>
                <w:szCs w:val="18"/>
              </w:rPr>
            </w:pPr>
            <w:r>
              <w:rPr>
                <w:rFonts w:ascii="宋体"/>
                <w:sz w:val="18"/>
              </w:rPr>
              <w:t>3 </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新丝路融资租赁（深圳）有限公司</w:t>
            </w:r>
            <w:r>
              <w:rPr>
                <w:rFonts w:ascii="宋体" w:hAnsi="宋体" w:cs="宋体" w:eastAsia="宋体" w:hint="default"/>
                <w:sz w:val="18"/>
                <w:szCs w:val="18"/>
              </w:rPr>
              <w:t> </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9"/>
              <w:jc w:val="right"/>
              <w:rPr>
                <w:rFonts w:ascii="宋体" w:hAnsi="宋体" w:cs="宋体" w:eastAsia="宋体" w:hint="default"/>
                <w:sz w:val="18"/>
                <w:szCs w:val="18"/>
              </w:rPr>
            </w:pPr>
            <w:r>
              <w:rPr>
                <w:rFonts w:ascii="宋体" w:hAnsi="宋体" w:cs="宋体" w:eastAsia="宋体" w:hint="default"/>
                <w:sz w:val="18"/>
                <w:szCs w:val="18"/>
              </w:rPr>
              <w:t>深圳</w:t>
            </w:r>
            <w:r>
              <w:rPr>
                <w:rFonts w:ascii="宋体" w:hAnsi="宋体" w:cs="宋体" w:eastAsia="宋体" w:hint="default"/>
                <w:sz w:val="18"/>
                <w:szCs w:val="18"/>
              </w:rPr>
              <w:t> </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0"/>
              <w:jc w:val="right"/>
              <w:rPr>
                <w:rFonts w:ascii="宋体" w:hAnsi="宋体" w:cs="宋体" w:eastAsia="宋体" w:hint="default"/>
                <w:sz w:val="18"/>
                <w:szCs w:val="18"/>
              </w:rPr>
            </w:pPr>
            <w:r>
              <w:rPr>
                <w:rFonts w:ascii="宋体" w:hAnsi="宋体" w:cs="宋体" w:eastAsia="宋体" w:hint="default"/>
                <w:sz w:val="18"/>
                <w:szCs w:val="18"/>
              </w:rPr>
              <w:t>深圳</w:t>
            </w:r>
            <w:r>
              <w:rPr>
                <w:rFonts w:ascii="宋体" w:hAnsi="宋体" w:cs="宋体" w:eastAsia="宋体" w:hint="default"/>
                <w:sz w:val="18"/>
                <w:szCs w:val="18"/>
              </w:rPr>
              <w:t> </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 w:right="0"/>
              <w:jc w:val="center"/>
              <w:rPr>
                <w:rFonts w:ascii="宋体" w:hAnsi="宋体" w:cs="宋体" w:eastAsia="宋体" w:hint="default"/>
                <w:sz w:val="18"/>
                <w:szCs w:val="18"/>
              </w:rPr>
            </w:pPr>
            <w:r>
              <w:rPr>
                <w:rFonts w:ascii="宋体" w:hAnsi="宋体" w:cs="宋体" w:eastAsia="宋体" w:hint="default"/>
                <w:sz w:val="18"/>
                <w:szCs w:val="18"/>
              </w:rPr>
              <w:t>融资租赁业务</w:t>
            </w:r>
            <w:r>
              <w:rPr>
                <w:rFonts w:ascii="宋体" w:hAnsi="宋体" w:cs="宋体" w:eastAsia="宋体" w:hint="default"/>
                <w:sz w:val="18"/>
                <w:szCs w:val="18"/>
              </w:rPr>
              <w:t> </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 w:right="0"/>
              <w:jc w:val="center"/>
              <w:rPr>
                <w:rFonts w:ascii="宋体" w:hAnsi="宋体" w:cs="宋体" w:eastAsia="宋体" w:hint="default"/>
                <w:sz w:val="18"/>
                <w:szCs w:val="18"/>
              </w:rPr>
            </w:pPr>
            <w:r>
              <w:rPr>
                <w:rFonts w:ascii="宋体"/>
                <w:sz w:val="18"/>
              </w:rPr>
              <w:t>-- </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2" w:right="0"/>
              <w:jc w:val="center"/>
              <w:rPr>
                <w:rFonts w:ascii="宋体" w:hAnsi="宋体" w:cs="宋体" w:eastAsia="宋体" w:hint="default"/>
                <w:sz w:val="18"/>
                <w:szCs w:val="18"/>
              </w:rPr>
            </w:pPr>
            <w:r>
              <w:rPr>
                <w:rFonts w:ascii="宋体"/>
                <w:sz w:val="18"/>
              </w:rPr>
              <w:t>100.00 </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0" w:right="0"/>
              <w:jc w:val="center"/>
              <w:rPr>
                <w:rFonts w:ascii="宋体" w:hAnsi="宋体" w:cs="宋体" w:eastAsia="宋体" w:hint="default"/>
                <w:sz w:val="18"/>
                <w:szCs w:val="18"/>
              </w:rPr>
            </w:pPr>
            <w:r>
              <w:rPr>
                <w:rFonts w:ascii="宋体" w:hAnsi="宋体" w:cs="宋体" w:eastAsia="宋体" w:hint="default"/>
                <w:sz w:val="18"/>
                <w:szCs w:val="18"/>
              </w:rPr>
              <w:t>非同一控制下合并</w:t>
            </w:r>
            <w:r>
              <w:rPr>
                <w:rFonts w:ascii="宋体" w:hAnsi="宋体" w:cs="宋体" w:eastAsia="宋体" w:hint="default"/>
                <w:sz w:val="18"/>
                <w:szCs w:val="18"/>
              </w:rPr>
              <w:t> </w:t>
            </w:r>
          </w:p>
        </w:tc>
      </w:tr>
      <w:tr>
        <w:trPr>
          <w:trHeight w:val="399" w:hRule="exact"/>
        </w:trPr>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62"/>
              <w:jc w:val="right"/>
              <w:rPr>
                <w:rFonts w:ascii="宋体" w:hAnsi="宋体" w:cs="宋体" w:eastAsia="宋体" w:hint="default"/>
                <w:sz w:val="18"/>
                <w:szCs w:val="18"/>
              </w:rPr>
            </w:pPr>
            <w:r>
              <w:rPr>
                <w:rFonts w:ascii="宋体"/>
                <w:sz w:val="18"/>
              </w:rPr>
              <w:t>4 </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清远长实云谷科技有限公司</w:t>
            </w:r>
            <w:r>
              <w:rPr>
                <w:rFonts w:ascii="宋体" w:hAnsi="宋体" w:cs="宋体" w:eastAsia="宋体" w:hint="default"/>
                <w:sz w:val="18"/>
                <w:szCs w:val="18"/>
              </w:rPr>
              <w:t> </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9"/>
              <w:jc w:val="right"/>
              <w:rPr>
                <w:rFonts w:ascii="宋体" w:hAnsi="宋体" w:cs="宋体" w:eastAsia="宋体" w:hint="default"/>
                <w:sz w:val="18"/>
                <w:szCs w:val="18"/>
              </w:rPr>
            </w:pPr>
            <w:r>
              <w:rPr>
                <w:rFonts w:ascii="宋体" w:hAnsi="宋体" w:cs="宋体" w:eastAsia="宋体" w:hint="default"/>
                <w:sz w:val="18"/>
                <w:szCs w:val="18"/>
              </w:rPr>
              <w:t>清远</w:t>
            </w:r>
            <w:r>
              <w:rPr>
                <w:rFonts w:ascii="宋体" w:hAnsi="宋体" w:cs="宋体" w:eastAsia="宋体" w:hint="default"/>
                <w:sz w:val="18"/>
                <w:szCs w:val="18"/>
              </w:rPr>
              <w:t> </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0"/>
              <w:jc w:val="right"/>
              <w:rPr>
                <w:rFonts w:ascii="宋体" w:hAnsi="宋体" w:cs="宋体" w:eastAsia="宋体" w:hint="default"/>
                <w:sz w:val="18"/>
                <w:szCs w:val="18"/>
              </w:rPr>
            </w:pPr>
            <w:r>
              <w:rPr>
                <w:rFonts w:ascii="宋体" w:hAnsi="宋体" w:cs="宋体" w:eastAsia="宋体" w:hint="default"/>
                <w:sz w:val="18"/>
                <w:szCs w:val="18"/>
              </w:rPr>
              <w:t>清远</w:t>
            </w:r>
            <w:r>
              <w:rPr>
                <w:rFonts w:ascii="宋体" w:hAnsi="宋体" w:cs="宋体" w:eastAsia="宋体" w:hint="default"/>
                <w:sz w:val="18"/>
                <w:szCs w:val="18"/>
              </w:rPr>
              <w:t> </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 w:right="0"/>
              <w:jc w:val="center"/>
              <w:rPr>
                <w:rFonts w:ascii="宋体" w:hAnsi="宋体" w:cs="宋体" w:eastAsia="宋体" w:hint="default"/>
                <w:sz w:val="18"/>
                <w:szCs w:val="18"/>
              </w:rPr>
            </w:pPr>
            <w:r>
              <w:rPr>
                <w:rFonts w:ascii="宋体" w:hAnsi="宋体" w:cs="宋体" w:eastAsia="宋体" w:hint="default"/>
                <w:sz w:val="18"/>
                <w:szCs w:val="18"/>
              </w:rPr>
              <w:t>通信网络维护</w:t>
            </w:r>
            <w:r>
              <w:rPr>
                <w:rFonts w:ascii="宋体" w:hAnsi="宋体" w:cs="宋体" w:eastAsia="宋体" w:hint="default"/>
                <w:sz w:val="18"/>
                <w:szCs w:val="18"/>
              </w:rPr>
              <w:t> </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 w:right="0"/>
              <w:jc w:val="center"/>
              <w:rPr>
                <w:rFonts w:ascii="宋体" w:hAnsi="宋体" w:cs="宋体" w:eastAsia="宋体" w:hint="default"/>
                <w:sz w:val="18"/>
                <w:szCs w:val="18"/>
              </w:rPr>
            </w:pPr>
            <w:r>
              <w:rPr>
                <w:rFonts w:ascii="宋体"/>
                <w:sz w:val="18"/>
              </w:rPr>
              <w:t>-- </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2" w:right="0"/>
              <w:jc w:val="center"/>
              <w:rPr>
                <w:rFonts w:ascii="宋体" w:hAnsi="宋体" w:cs="宋体" w:eastAsia="宋体" w:hint="default"/>
                <w:sz w:val="18"/>
                <w:szCs w:val="18"/>
              </w:rPr>
            </w:pPr>
            <w:r>
              <w:rPr>
                <w:rFonts w:ascii="宋体"/>
                <w:sz w:val="18"/>
              </w:rPr>
              <w:t>100.00 </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0" w:right="0"/>
              <w:jc w:val="center"/>
              <w:rPr>
                <w:rFonts w:ascii="宋体" w:hAnsi="宋体" w:cs="宋体" w:eastAsia="宋体" w:hint="default"/>
                <w:sz w:val="18"/>
                <w:szCs w:val="18"/>
              </w:rPr>
            </w:pPr>
            <w:r>
              <w:rPr>
                <w:rFonts w:ascii="宋体" w:hAnsi="宋体" w:cs="宋体" w:eastAsia="宋体" w:hint="default"/>
                <w:sz w:val="18"/>
                <w:szCs w:val="18"/>
              </w:rPr>
              <w:t>新设设立</w:t>
            </w:r>
            <w:r>
              <w:rPr>
                <w:rFonts w:ascii="宋体" w:hAnsi="宋体" w:cs="宋体" w:eastAsia="宋体" w:hint="default"/>
                <w:sz w:val="18"/>
                <w:szCs w:val="18"/>
              </w:rPr>
              <w:t> </w:t>
            </w:r>
          </w:p>
        </w:tc>
      </w:tr>
      <w:tr>
        <w:trPr>
          <w:trHeight w:val="396" w:hRule="exact"/>
        </w:trPr>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62"/>
              <w:jc w:val="right"/>
              <w:rPr>
                <w:rFonts w:ascii="宋体" w:hAnsi="宋体" w:cs="宋体" w:eastAsia="宋体" w:hint="default"/>
                <w:sz w:val="18"/>
                <w:szCs w:val="18"/>
              </w:rPr>
            </w:pPr>
            <w:r>
              <w:rPr>
                <w:rFonts w:ascii="宋体"/>
                <w:sz w:val="18"/>
              </w:rPr>
              <w:t>5 </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华赢融资租赁（深圳）有限公司</w:t>
            </w:r>
            <w:r>
              <w:rPr>
                <w:rFonts w:ascii="宋体" w:hAnsi="宋体" w:cs="宋体" w:eastAsia="宋体" w:hint="default"/>
                <w:sz w:val="18"/>
                <w:szCs w:val="18"/>
              </w:rPr>
              <w:t> </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9"/>
              <w:jc w:val="right"/>
              <w:rPr>
                <w:rFonts w:ascii="宋体" w:hAnsi="宋体" w:cs="宋体" w:eastAsia="宋体" w:hint="default"/>
                <w:sz w:val="18"/>
                <w:szCs w:val="18"/>
              </w:rPr>
            </w:pPr>
            <w:r>
              <w:rPr>
                <w:rFonts w:ascii="宋体" w:hAnsi="宋体" w:cs="宋体" w:eastAsia="宋体" w:hint="default"/>
                <w:sz w:val="18"/>
                <w:szCs w:val="18"/>
              </w:rPr>
              <w:t>深圳</w:t>
            </w:r>
            <w:r>
              <w:rPr>
                <w:rFonts w:ascii="宋体" w:hAnsi="宋体" w:cs="宋体" w:eastAsia="宋体" w:hint="default"/>
                <w:sz w:val="18"/>
                <w:szCs w:val="18"/>
              </w:rPr>
              <w:t> </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0"/>
              <w:jc w:val="right"/>
              <w:rPr>
                <w:rFonts w:ascii="宋体" w:hAnsi="宋体" w:cs="宋体" w:eastAsia="宋体" w:hint="default"/>
                <w:sz w:val="18"/>
                <w:szCs w:val="18"/>
              </w:rPr>
            </w:pPr>
            <w:r>
              <w:rPr>
                <w:rFonts w:ascii="宋体" w:hAnsi="宋体" w:cs="宋体" w:eastAsia="宋体" w:hint="default"/>
                <w:sz w:val="18"/>
                <w:szCs w:val="18"/>
              </w:rPr>
              <w:t>深圳</w:t>
            </w:r>
            <w:r>
              <w:rPr>
                <w:rFonts w:ascii="宋体" w:hAnsi="宋体" w:cs="宋体" w:eastAsia="宋体" w:hint="default"/>
                <w:sz w:val="18"/>
                <w:szCs w:val="18"/>
              </w:rPr>
              <w:t> </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 w:right="0"/>
              <w:jc w:val="center"/>
              <w:rPr>
                <w:rFonts w:ascii="宋体" w:hAnsi="宋体" w:cs="宋体" w:eastAsia="宋体" w:hint="default"/>
                <w:sz w:val="18"/>
                <w:szCs w:val="18"/>
              </w:rPr>
            </w:pPr>
            <w:r>
              <w:rPr>
                <w:rFonts w:ascii="宋体" w:hAnsi="宋体" w:cs="宋体" w:eastAsia="宋体" w:hint="default"/>
                <w:sz w:val="18"/>
                <w:szCs w:val="18"/>
              </w:rPr>
              <w:t>融资租赁业务</w:t>
            </w:r>
            <w:r>
              <w:rPr>
                <w:rFonts w:ascii="宋体" w:hAnsi="宋体" w:cs="宋体" w:eastAsia="宋体" w:hint="default"/>
                <w:sz w:val="18"/>
                <w:szCs w:val="18"/>
              </w:rPr>
              <w:t> </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 w:right="0"/>
              <w:jc w:val="center"/>
              <w:rPr>
                <w:rFonts w:ascii="宋体" w:hAnsi="宋体" w:cs="宋体" w:eastAsia="宋体" w:hint="default"/>
                <w:sz w:val="18"/>
                <w:szCs w:val="18"/>
              </w:rPr>
            </w:pPr>
            <w:r>
              <w:rPr>
                <w:rFonts w:ascii="宋体"/>
                <w:sz w:val="18"/>
              </w:rPr>
              <w:t>-- </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2" w:right="0"/>
              <w:jc w:val="center"/>
              <w:rPr>
                <w:rFonts w:ascii="宋体" w:hAnsi="宋体" w:cs="宋体" w:eastAsia="宋体" w:hint="default"/>
                <w:sz w:val="18"/>
                <w:szCs w:val="18"/>
              </w:rPr>
            </w:pPr>
            <w:r>
              <w:rPr>
                <w:rFonts w:ascii="宋体"/>
                <w:sz w:val="18"/>
              </w:rPr>
              <w:t>100.00 </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0" w:right="0"/>
              <w:jc w:val="center"/>
              <w:rPr>
                <w:rFonts w:ascii="宋体" w:hAnsi="宋体" w:cs="宋体" w:eastAsia="宋体" w:hint="default"/>
                <w:sz w:val="18"/>
                <w:szCs w:val="18"/>
              </w:rPr>
            </w:pPr>
            <w:r>
              <w:rPr>
                <w:rFonts w:ascii="宋体" w:hAnsi="宋体" w:cs="宋体" w:eastAsia="宋体" w:hint="default"/>
                <w:sz w:val="18"/>
                <w:szCs w:val="18"/>
              </w:rPr>
              <w:t>非同一控制下合并</w:t>
            </w:r>
            <w:r>
              <w:rPr>
                <w:rFonts w:ascii="宋体" w:hAnsi="宋体" w:cs="宋体" w:eastAsia="宋体" w:hint="default"/>
                <w:sz w:val="18"/>
                <w:szCs w:val="18"/>
              </w:rPr>
              <w:t> </w:t>
            </w:r>
          </w:p>
        </w:tc>
      </w:tr>
      <w:tr>
        <w:trPr>
          <w:trHeight w:val="398" w:hRule="exact"/>
        </w:trPr>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62"/>
              <w:jc w:val="right"/>
              <w:rPr>
                <w:rFonts w:ascii="宋体" w:hAnsi="宋体" w:cs="宋体" w:eastAsia="宋体" w:hint="default"/>
                <w:sz w:val="18"/>
                <w:szCs w:val="18"/>
              </w:rPr>
            </w:pPr>
            <w:r>
              <w:rPr>
                <w:rFonts w:ascii="宋体"/>
                <w:sz w:val="18"/>
              </w:rPr>
              <w:t>6 </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新疆漫道通信科技有限公司</w:t>
            </w:r>
            <w:r>
              <w:rPr>
                <w:rFonts w:ascii="宋体" w:hAnsi="宋体" w:cs="宋体" w:eastAsia="宋体" w:hint="default"/>
                <w:sz w:val="18"/>
                <w:szCs w:val="18"/>
              </w:rPr>
              <w:t> </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9"/>
              <w:jc w:val="right"/>
              <w:rPr>
                <w:rFonts w:ascii="宋体" w:hAnsi="宋体" w:cs="宋体" w:eastAsia="宋体" w:hint="default"/>
                <w:sz w:val="18"/>
                <w:szCs w:val="18"/>
              </w:rPr>
            </w:pPr>
            <w:r>
              <w:rPr>
                <w:rFonts w:ascii="宋体" w:hAnsi="宋体" w:cs="宋体" w:eastAsia="宋体" w:hint="default"/>
                <w:sz w:val="18"/>
                <w:szCs w:val="18"/>
              </w:rPr>
              <w:t>北京</w:t>
            </w:r>
            <w:r>
              <w:rPr>
                <w:rFonts w:ascii="宋体" w:hAnsi="宋体" w:cs="宋体" w:eastAsia="宋体" w:hint="default"/>
                <w:sz w:val="18"/>
                <w:szCs w:val="18"/>
              </w:rPr>
              <w:t> </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0"/>
              <w:jc w:val="right"/>
              <w:rPr>
                <w:rFonts w:ascii="宋体" w:hAnsi="宋体" w:cs="宋体" w:eastAsia="宋体" w:hint="default"/>
                <w:sz w:val="18"/>
                <w:szCs w:val="18"/>
              </w:rPr>
            </w:pPr>
            <w:r>
              <w:rPr>
                <w:rFonts w:ascii="宋体" w:hAnsi="宋体" w:cs="宋体" w:eastAsia="宋体" w:hint="default"/>
                <w:sz w:val="18"/>
                <w:szCs w:val="18"/>
              </w:rPr>
              <w:t>新疆</w:t>
            </w:r>
            <w:r>
              <w:rPr>
                <w:rFonts w:ascii="宋体" w:hAnsi="宋体" w:cs="宋体" w:eastAsia="宋体" w:hint="default"/>
                <w:sz w:val="18"/>
                <w:szCs w:val="18"/>
              </w:rPr>
              <w:t> </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 w:right="0"/>
              <w:jc w:val="center"/>
              <w:rPr>
                <w:rFonts w:ascii="宋体" w:hAnsi="宋体" w:cs="宋体" w:eastAsia="宋体" w:hint="default"/>
                <w:sz w:val="18"/>
                <w:szCs w:val="18"/>
              </w:rPr>
            </w:pPr>
            <w:r>
              <w:rPr>
                <w:rFonts w:ascii="宋体" w:hAnsi="宋体" w:cs="宋体" w:eastAsia="宋体" w:hint="default"/>
                <w:sz w:val="18"/>
                <w:szCs w:val="18"/>
              </w:rPr>
              <w:t>电信增值业务</w:t>
            </w:r>
            <w:r>
              <w:rPr>
                <w:rFonts w:ascii="宋体" w:hAnsi="宋体" w:cs="宋体" w:eastAsia="宋体" w:hint="default"/>
                <w:sz w:val="18"/>
                <w:szCs w:val="18"/>
              </w:rPr>
              <w:t> </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 w:right="0"/>
              <w:jc w:val="center"/>
              <w:rPr>
                <w:rFonts w:ascii="宋体" w:hAnsi="宋体" w:cs="宋体" w:eastAsia="宋体" w:hint="default"/>
                <w:sz w:val="18"/>
                <w:szCs w:val="18"/>
              </w:rPr>
            </w:pPr>
            <w:r>
              <w:rPr>
                <w:rFonts w:ascii="宋体"/>
                <w:sz w:val="18"/>
              </w:rPr>
              <w:t>-- </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2" w:right="0"/>
              <w:jc w:val="center"/>
              <w:rPr>
                <w:rFonts w:ascii="宋体" w:hAnsi="宋体" w:cs="宋体" w:eastAsia="宋体" w:hint="default"/>
                <w:sz w:val="18"/>
                <w:szCs w:val="18"/>
              </w:rPr>
            </w:pPr>
            <w:r>
              <w:rPr>
                <w:rFonts w:ascii="宋体"/>
                <w:sz w:val="18"/>
              </w:rPr>
              <w:t>100.00 </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0" w:right="0"/>
              <w:jc w:val="center"/>
              <w:rPr>
                <w:rFonts w:ascii="宋体" w:hAnsi="宋体" w:cs="宋体" w:eastAsia="宋体" w:hint="default"/>
                <w:sz w:val="18"/>
                <w:szCs w:val="18"/>
              </w:rPr>
            </w:pPr>
            <w:r>
              <w:rPr>
                <w:rFonts w:ascii="宋体" w:hAnsi="宋体" w:cs="宋体" w:eastAsia="宋体" w:hint="default"/>
                <w:sz w:val="18"/>
                <w:szCs w:val="18"/>
              </w:rPr>
              <w:t>新设设立</w:t>
            </w:r>
            <w:r>
              <w:rPr>
                <w:rFonts w:ascii="宋体" w:hAnsi="宋体" w:cs="宋体" w:eastAsia="宋体" w:hint="default"/>
                <w:sz w:val="18"/>
                <w:szCs w:val="18"/>
              </w:rPr>
              <w:t> </w:t>
            </w:r>
          </w:p>
        </w:tc>
      </w:tr>
      <w:tr>
        <w:trPr>
          <w:trHeight w:val="396" w:hRule="exact"/>
        </w:trPr>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62"/>
              <w:jc w:val="right"/>
              <w:rPr>
                <w:rFonts w:ascii="宋体" w:hAnsi="宋体" w:cs="宋体" w:eastAsia="宋体" w:hint="default"/>
                <w:sz w:val="18"/>
                <w:szCs w:val="18"/>
              </w:rPr>
            </w:pPr>
            <w:r>
              <w:rPr>
                <w:rFonts w:ascii="宋体"/>
                <w:sz w:val="18"/>
              </w:rPr>
              <w:t>7 </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5" w:right="0"/>
              <w:jc w:val="left"/>
              <w:rPr>
                <w:rFonts w:ascii="宋体" w:hAnsi="宋体" w:cs="宋体" w:eastAsia="宋体" w:hint="default"/>
                <w:sz w:val="18"/>
                <w:szCs w:val="18"/>
              </w:rPr>
            </w:pPr>
            <w:r>
              <w:rPr>
                <w:rFonts w:ascii="宋体" w:hAnsi="宋体" w:cs="宋体" w:eastAsia="宋体" w:hint="default"/>
                <w:sz w:val="18"/>
                <w:szCs w:val="18"/>
              </w:rPr>
              <w:t>北京东方博星科技有限责任公司</w:t>
            </w:r>
            <w:r>
              <w:rPr>
                <w:rFonts w:ascii="宋体" w:hAnsi="宋体" w:cs="宋体" w:eastAsia="宋体" w:hint="default"/>
                <w:sz w:val="18"/>
                <w:szCs w:val="18"/>
              </w:rPr>
              <w:t> </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49"/>
              <w:jc w:val="right"/>
              <w:rPr>
                <w:rFonts w:ascii="宋体" w:hAnsi="宋体" w:cs="宋体" w:eastAsia="宋体" w:hint="default"/>
                <w:sz w:val="18"/>
                <w:szCs w:val="18"/>
              </w:rPr>
            </w:pPr>
            <w:r>
              <w:rPr>
                <w:rFonts w:ascii="宋体" w:hAnsi="宋体" w:cs="宋体" w:eastAsia="宋体" w:hint="default"/>
                <w:sz w:val="18"/>
                <w:szCs w:val="18"/>
              </w:rPr>
              <w:t>北京</w:t>
            </w:r>
            <w:r>
              <w:rPr>
                <w:rFonts w:ascii="宋体" w:hAnsi="宋体" w:cs="宋体" w:eastAsia="宋体" w:hint="default"/>
                <w:sz w:val="18"/>
                <w:szCs w:val="18"/>
              </w:rPr>
              <w:t> </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50"/>
              <w:jc w:val="right"/>
              <w:rPr>
                <w:rFonts w:ascii="宋体" w:hAnsi="宋体" w:cs="宋体" w:eastAsia="宋体" w:hint="default"/>
                <w:sz w:val="18"/>
                <w:szCs w:val="18"/>
              </w:rPr>
            </w:pPr>
            <w:r>
              <w:rPr>
                <w:rFonts w:ascii="宋体" w:hAnsi="宋体" w:cs="宋体" w:eastAsia="宋体" w:hint="default"/>
                <w:sz w:val="18"/>
                <w:szCs w:val="18"/>
              </w:rPr>
              <w:t>北京</w:t>
            </w:r>
            <w:r>
              <w:rPr>
                <w:rFonts w:ascii="宋体" w:hAnsi="宋体" w:cs="宋体" w:eastAsia="宋体" w:hint="default"/>
                <w:sz w:val="18"/>
                <w:szCs w:val="18"/>
              </w:rPr>
              <w:t> </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9" w:right="0"/>
              <w:jc w:val="center"/>
              <w:rPr>
                <w:rFonts w:ascii="宋体" w:hAnsi="宋体" w:cs="宋体" w:eastAsia="宋体" w:hint="default"/>
                <w:sz w:val="18"/>
                <w:szCs w:val="18"/>
              </w:rPr>
            </w:pPr>
            <w:r>
              <w:rPr>
                <w:rFonts w:ascii="宋体" w:hAnsi="宋体" w:cs="宋体" w:eastAsia="宋体" w:hint="default"/>
                <w:sz w:val="18"/>
                <w:szCs w:val="18"/>
              </w:rPr>
              <w:t>电信增值业务</w:t>
            </w:r>
            <w:r>
              <w:rPr>
                <w:rFonts w:ascii="宋体" w:hAnsi="宋体" w:cs="宋体" w:eastAsia="宋体" w:hint="default"/>
                <w:sz w:val="18"/>
                <w:szCs w:val="18"/>
              </w:rPr>
              <w:t> </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9" w:right="0"/>
              <w:jc w:val="center"/>
              <w:rPr>
                <w:rFonts w:ascii="宋体" w:hAnsi="宋体" w:cs="宋体" w:eastAsia="宋体" w:hint="default"/>
                <w:sz w:val="18"/>
                <w:szCs w:val="18"/>
              </w:rPr>
            </w:pPr>
            <w:r>
              <w:rPr>
                <w:rFonts w:ascii="宋体"/>
                <w:sz w:val="18"/>
              </w:rPr>
              <w:t>-- </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2" w:right="0"/>
              <w:jc w:val="center"/>
              <w:rPr>
                <w:rFonts w:ascii="宋体" w:hAnsi="宋体" w:cs="宋体" w:eastAsia="宋体" w:hint="default"/>
                <w:sz w:val="18"/>
                <w:szCs w:val="18"/>
              </w:rPr>
            </w:pPr>
            <w:r>
              <w:rPr>
                <w:rFonts w:ascii="宋体"/>
                <w:sz w:val="18"/>
              </w:rPr>
              <w:t>100.00 </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0" w:right="0"/>
              <w:jc w:val="center"/>
              <w:rPr>
                <w:rFonts w:ascii="宋体" w:hAnsi="宋体" w:cs="宋体" w:eastAsia="宋体" w:hint="default"/>
                <w:sz w:val="18"/>
                <w:szCs w:val="18"/>
              </w:rPr>
            </w:pPr>
            <w:r>
              <w:rPr>
                <w:rFonts w:ascii="宋体" w:hAnsi="宋体" w:cs="宋体" w:eastAsia="宋体" w:hint="default"/>
                <w:sz w:val="18"/>
                <w:szCs w:val="18"/>
              </w:rPr>
              <w:t>非同一控制下合并</w:t>
            </w:r>
            <w:r>
              <w:rPr>
                <w:rFonts w:ascii="宋体" w:hAnsi="宋体" w:cs="宋体" w:eastAsia="宋体" w:hint="default"/>
                <w:sz w:val="18"/>
                <w:szCs w:val="18"/>
              </w:rPr>
              <w:t> </w:t>
            </w:r>
          </w:p>
        </w:tc>
      </w:tr>
      <w:tr>
        <w:trPr>
          <w:trHeight w:val="398" w:hRule="exact"/>
        </w:trPr>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62"/>
              <w:jc w:val="right"/>
              <w:rPr>
                <w:rFonts w:ascii="宋体" w:hAnsi="宋体" w:cs="宋体" w:eastAsia="宋体" w:hint="default"/>
                <w:sz w:val="18"/>
                <w:szCs w:val="18"/>
              </w:rPr>
            </w:pPr>
            <w:r>
              <w:rPr>
                <w:rFonts w:ascii="宋体"/>
                <w:sz w:val="18"/>
              </w:rPr>
              <w:t>8 </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北京中天嘉华信息技术有限公司</w:t>
            </w:r>
            <w:r>
              <w:rPr>
                <w:rFonts w:ascii="宋体" w:hAnsi="宋体" w:cs="宋体" w:eastAsia="宋体" w:hint="default"/>
                <w:sz w:val="18"/>
                <w:szCs w:val="18"/>
              </w:rPr>
              <w:t> </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9"/>
              <w:jc w:val="right"/>
              <w:rPr>
                <w:rFonts w:ascii="宋体" w:hAnsi="宋体" w:cs="宋体" w:eastAsia="宋体" w:hint="default"/>
                <w:sz w:val="18"/>
                <w:szCs w:val="18"/>
              </w:rPr>
            </w:pPr>
            <w:r>
              <w:rPr>
                <w:rFonts w:ascii="宋体" w:hAnsi="宋体" w:cs="宋体" w:eastAsia="宋体" w:hint="default"/>
                <w:sz w:val="18"/>
                <w:szCs w:val="18"/>
              </w:rPr>
              <w:t>北京</w:t>
            </w:r>
            <w:r>
              <w:rPr>
                <w:rFonts w:ascii="宋体" w:hAnsi="宋体" w:cs="宋体" w:eastAsia="宋体" w:hint="default"/>
                <w:sz w:val="18"/>
                <w:szCs w:val="18"/>
              </w:rPr>
              <w:t> </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50"/>
              <w:jc w:val="right"/>
              <w:rPr>
                <w:rFonts w:ascii="宋体" w:hAnsi="宋体" w:cs="宋体" w:eastAsia="宋体" w:hint="default"/>
                <w:sz w:val="18"/>
                <w:szCs w:val="18"/>
              </w:rPr>
            </w:pPr>
            <w:r>
              <w:rPr>
                <w:rFonts w:ascii="宋体" w:hAnsi="宋体" w:cs="宋体" w:eastAsia="宋体" w:hint="default"/>
                <w:sz w:val="18"/>
                <w:szCs w:val="18"/>
              </w:rPr>
              <w:t>北京</w:t>
            </w:r>
            <w:r>
              <w:rPr>
                <w:rFonts w:ascii="宋体" w:hAnsi="宋体" w:cs="宋体" w:eastAsia="宋体" w:hint="default"/>
                <w:sz w:val="18"/>
                <w:szCs w:val="18"/>
              </w:rPr>
              <w:t> </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 w:right="0"/>
              <w:jc w:val="center"/>
              <w:rPr>
                <w:rFonts w:ascii="宋体" w:hAnsi="宋体" w:cs="宋体" w:eastAsia="宋体" w:hint="default"/>
                <w:sz w:val="18"/>
                <w:szCs w:val="18"/>
              </w:rPr>
            </w:pPr>
            <w:r>
              <w:rPr>
                <w:rFonts w:ascii="宋体" w:hAnsi="宋体" w:cs="宋体" w:eastAsia="宋体" w:hint="default"/>
                <w:sz w:val="18"/>
                <w:szCs w:val="18"/>
              </w:rPr>
              <w:t>电信增值业务</w:t>
            </w:r>
            <w:r>
              <w:rPr>
                <w:rFonts w:ascii="宋体" w:hAnsi="宋体" w:cs="宋体" w:eastAsia="宋体" w:hint="default"/>
                <w:sz w:val="18"/>
                <w:szCs w:val="18"/>
              </w:rPr>
              <w:t> </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 w:right="0"/>
              <w:jc w:val="center"/>
              <w:rPr>
                <w:rFonts w:ascii="宋体" w:hAnsi="宋体" w:cs="宋体" w:eastAsia="宋体" w:hint="default"/>
                <w:sz w:val="18"/>
                <w:szCs w:val="18"/>
              </w:rPr>
            </w:pPr>
            <w:r>
              <w:rPr>
                <w:rFonts w:ascii="宋体"/>
                <w:sz w:val="18"/>
              </w:rPr>
              <w:t>100.00 </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2" w:right="0"/>
              <w:jc w:val="center"/>
              <w:rPr>
                <w:rFonts w:ascii="宋体" w:hAnsi="宋体" w:cs="宋体" w:eastAsia="宋体" w:hint="default"/>
                <w:sz w:val="18"/>
                <w:szCs w:val="18"/>
              </w:rPr>
            </w:pPr>
            <w:r>
              <w:rPr>
                <w:rFonts w:ascii="宋体"/>
                <w:sz w:val="18"/>
              </w:rPr>
              <w:t>-- </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0" w:right="0"/>
              <w:jc w:val="center"/>
              <w:rPr>
                <w:rFonts w:ascii="宋体" w:hAnsi="宋体" w:cs="宋体" w:eastAsia="宋体" w:hint="default"/>
                <w:sz w:val="18"/>
                <w:szCs w:val="18"/>
              </w:rPr>
            </w:pPr>
            <w:r>
              <w:rPr>
                <w:rFonts w:ascii="宋体" w:hAnsi="宋体" w:cs="宋体" w:eastAsia="宋体" w:hint="default"/>
                <w:sz w:val="18"/>
                <w:szCs w:val="18"/>
              </w:rPr>
              <w:t>非同一控制下合并</w:t>
            </w:r>
            <w:r>
              <w:rPr>
                <w:rFonts w:ascii="宋体" w:hAnsi="宋体" w:cs="宋体" w:eastAsia="宋体" w:hint="default"/>
                <w:sz w:val="18"/>
                <w:szCs w:val="18"/>
              </w:rPr>
              <w:t> </w:t>
            </w:r>
          </w:p>
        </w:tc>
      </w:tr>
    </w:tbl>
    <w:p>
      <w:pPr>
        <w:spacing w:after="0" w:line="240" w:lineRule="auto"/>
        <w:jc w:val="center"/>
        <w:rPr>
          <w:rFonts w:ascii="宋体" w:hAnsi="宋体" w:cs="宋体" w:eastAsia="宋体" w:hint="default"/>
          <w:sz w:val="18"/>
          <w:szCs w:val="18"/>
        </w:rPr>
        <w:sectPr>
          <w:pgSz w:w="11910" w:h="16840"/>
          <w:pgMar w:header="880" w:footer="975" w:top="1100" w:bottom="1160" w:left="900" w:right="0"/>
        </w:sectPr>
      </w:pPr>
    </w:p>
    <w:p>
      <w:pPr>
        <w:spacing w:line="240" w:lineRule="auto" w:before="8"/>
        <w:rPr>
          <w:rFonts w:ascii="宋体" w:hAnsi="宋体" w:cs="宋体" w:eastAsia="宋体" w:hint="default"/>
          <w:sz w:val="24"/>
          <w:szCs w:val="24"/>
        </w:rPr>
      </w:pPr>
    </w:p>
    <w:tbl>
      <w:tblPr>
        <w:tblW w:w="0" w:type="auto"/>
        <w:jc w:val="left"/>
        <w:tblInd w:w="103" w:type="dxa"/>
        <w:tblLayout w:type="fixed"/>
        <w:tblCellMar>
          <w:top w:w="0" w:type="dxa"/>
          <w:left w:w="0" w:type="dxa"/>
          <w:bottom w:w="0" w:type="dxa"/>
          <w:right w:w="0" w:type="dxa"/>
        </w:tblCellMar>
        <w:tblLook w:val="01E0"/>
      </w:tblPr>
      <w:tblGrid>
        <w:gridCol w:w="615"/>
        <w:gridCol w:w="2943"/>
        <w:gridCol w:w="850"/>
        <w:gridCol w:w="852"/>
        <w:gridCol w:w="1344"/>
        <w:gridCol w:w="775"/>
        <w:gridCol w:w="787"/>
        <w:gridCol w:w="1743"/>
      </w:tblGrid>
      <w:tr>
        <w:trPr>
          <w:trHeight w:val="396" w:hRule="exact"/>
        </w:trPr>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4" w:right="0"/>
              <w:jc w:val="center"/>
              <w:rPr>
                <w:rFonts w:ascii="宋体" w:hAnsi="宋体" w:cs="宋体" w:eastAsia="宋体" w:hint="default"/>
                <w:sz w:val="18"/>
                <w:szCs w:val="18"/>
              </w:rPr>
            </w:pPr>
            <w:r>
              <w:rPr>
                <w:rFonts w:ascii="宋体" w:hAnsi="宋体" w:cs="宋体" w:eastAsia="宋体" w:hint="default"/>
                <w:sz w:val="18"/>
                <w:szCs w:val="18"/>
              </w:rPr>
              <w:t>序号</w:t>
            </w:r>
            <w:r>
              <w:rPr>
                <w:rFonts w:ascii="宋体" w:hAnsi="宋体" w:cs="宋体" w:eastAsia="宋体" w:hint="default"/>
                <w:sz w:val="18"/>
                <w:szCs w:val="18"/>
              </w:rPr>
              <w:t> </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17" w:right="0"/>
              <w:jc w:val="left"/>
              <w:rPr>
                <w:rFonts w:ascii="宋体" w:hAnsi="宋体" w:cs="宋体" w:eastAsia="宋体" w:hint="default"/>
                <w:sz w:val="18"/>
                <w:szCs w:val="18"/>
              </w:rPr>
            </w:pPr>
            <w:r>
              <w:rPr>
                <w:rFonts w:ascii="宋体" w:hAnsi="宋体" w:cs="宋体" w:eastAsia="宋体" w:hint="default"/>
                <w:sz w:val="18"/>
                <w:szCs w:val="18"/>
              </w:rPr>
              <w:t>子公司名称</w:t>
            </w:r>
            <w:r>
              <w:rPr>
                <w:rFonts w:ascii="宋体" w:hAnsi="宋体" w:cs="宋体" w:eastAsia="宋体" w:hint="default"/>
                <w:sz w:val="18"/>
                <w:szCs w:val="18"/>
              </w:rPr>
              <w:t> </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center"/>
              <w:rPr>
                <w:rFonts w:ascii="宋体" w:hAnsi="宋体" w:cs="宋体" w:eastAsia="宋体" w:hint="default"/>
                <w:sz w:val="18"/>
                <w:szCs w:val="18"/>
              </w:rPr>
            </w:pPr>
            <w:r>
              <w:rPr>
                <w:rFonts w:ascii="宋体" w:hAnsi="宋体" w:cs="宋体" w:eastAsia="宋体" w:hint="default"/>
                <w:sz w:val="18"/>
                <w:szCs w:val="18"/>
              </w:rPr>
              <w:t>主要经</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51" w:right="0"/>
              <w:jc w:val="left"/>
              <w:rPr>
                <w:rFonts w:ascii="宋体" w:hAnsi="宋体" w:cs="宋体" w:eastAsia="宋体" w:hint="default"/>
                <w:sz w:val="18"/>
                <w:szCs w:val="18"/>
              </w:rPr>
            </w:pPr>
            <w:r>
              <w:rPr>
                <w:rFonts w:ascii="宋体" w:hAnsi="宋体" w:cs="宋体" w:eastAsia="宋体" w:hint="default"/>
                <w:sz w:val="18"/>
                <w:szCs w:val="18"/>
              </w:rPr>
              <w:t>注册地</w:t>
            </w:r>
            <w:r>
              <w:rPr>
                <w:rFonts w:ascii="宋体" w:hAnsi="宋体" w:cs="宋体" w:eastAsia="宋体" w:hint="default"/>
                <w:sz w:val="18"/>
                <w:szCs w:val="18"/>
              </w:rPr>
              <w:t> </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07" w:right="0"/>
              <w:jc w:val="left"/>
              <w:rPr>
                <w:rFonts w:ascii="宋体" w:hAnsi="宋体" w:cs="宋体" w:eastAsia="宋体" w:hint="default"/>
                <w:sz w:val="18"/>
                <w:szCs w:val="18"/>
              </w:rPr>
            </w:pPr>
            <w:r>
              <w:rPr>
                <w:rFonts w:ascii="宋体" w:hAnsi="宋体" w:cs="宋体" w:eastAsia="宋体" w:hint="default"/>
                <w:sz w:val="18"/>
                <w:szCs w:val="18"/>
              </w:rPr>
              <w:t>业务性质</w:t>
            </w:r>
            <w:r>
              <w:rPr>
                <w:rFonts w:ascii="宋体" w:hAnsi="宋体" w:cs="宋体" w:eastAsia="宋体" w:hint="default"/>
                <w:sz w:val="18"/>
                <w:szCs w:val="18"/>
              </w:rPr>
              <w:t> </w:t>
            </w:r>
          </w:p>
        </w:tc>
        <w:tc>
          <w:tcPr>
            <w:tcW w:w="156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89" w:right="0"/>
              <w:jc w:val="left"/>
              <w:rPr>
                <w:rFonts w:ascii="宋体" w:hAnsi="宋体" w:cs="宋体" w:eastAsia="宋体" w:hint="default"/>
                <w:sz w:val="18"/>
                <w:szCs w:val="18"/>
              </w:rPr>
            </w:pPr>
            <w:r>
              <w:rPr>
                <w:rFonts w:ascii="宋体" w:hAnsi="宋体" w:cs="宋体" w:eastAsia="宋体" w:hint="default"/>
                <w:sz w:val="18"/>
                <w:szCs w:val="18"/>
              </w:rPr>
              <w:t>持股比例（</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 </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0" w:right="0"/>
              <w:jc w:val="center"/>
              <w:rPr>
                <w:rFonts w:ascii="宋体" w:hAnsi="宋体" w:cs="宋体" w:eastAsia="宋体" w:hint="default"/>
                <w:sz w:val="18"/>
                <w:szCs w:val="18"/>
              </w:rPr>
            </w:pPr>
            <w:r>
              <w:rPr>
                <w:rFonts w:ascii="宋体" w:hAnsi="宋体" w:cs="宋体" w:eastAsia="宋体" w:hint="default"/>
                <w:sz w:val="18"/>
                <w:szCs w:val="18"/>
              </w:rPr>
              <w:t>取得方式</w:t>
            </w:r>
            <w:r>
              <w:rPr>
                <w:rFonts w:ascii="宋体" w:hAnsi="宋体" w:cs="宋体" w:eastAsia="宋体" w:hint="default"/>
                <w:sz w:val="18"/>
                <w:szCs w:val="18"/>
              </w:rPr>
              <w:t> </w:t>
            </w:r>
          </w:p>
        </w:tc>
      </w:tr>
      <w:tr>
        <w:trPr>
          <w:trHeight w:val="399" w:hRule="exact"/>
        </w:trPr>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4" w:right="0"/>
              <w:jc w:val="center"/>
              <w:rPr>
                <w:rFonts w:ascii="宋体" w:hAnsi="宋体" w:cs="宋体" w:eastAsia="宋体" w:hint="default"/>
                <w:sz w:val="18"/>
                <w:szCs w:val="18"/>
              </w:rPr>
            </w:pPr>
            <w:r>
              <w:rPr>
                <w:rFonts w:ascii="宋体"/>
                <w:sz w:val="18"/>
              </w:rPr>
              <w:t>9 </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苏州德惠通银信息技术有限公司</w:t>
            </w:r>
            <w:r>
              <w:rPr>
                <w:rFonts w:ascii="宋体" w:hAnsi="宋体" w:cs="宋体" w:eastAsia="宋体" w:hint="default"/>
                <w:sz w:val="18"/>
                <w:szCs w:val="18"/>
              </w:rPr>
              <w:t> </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0" w:right="0"/>
              <w:jc w:val="center"/>
              <w:rPr>
                <w:rFonts w:ascii="宋体" w:hAnsi="宋体" w:cs="宋体" w:eastAsia="宋体" w:hint="default"/>
                <w:sz w:val="18"/>
                <w:szCs w:val="18"/>
              </w:rPr>
            </w:pPr>
            <w:r>
              <w:rPr>
                <w:rFonts w:ascii="宋体" w:hAnsi="宋体" w:cs="宋体" w:eastAsia="宋体" w:hint="default"/>
                <w:sz w:val="18"/>
                <w:szCs w:val="18"/>
              </w:rPr>
              <w:t>昆山</w:t>
            </w:r>
            <w:r>
              <w:rPr>
                <w:rFonts w:ascii="宋体" w:hAnsi="宋体" w:cs="宋体" w:eastAsia="宋体" w:hint="default"/>
                <w:sz w:val="18"/>
                <w:szCs w:val="18"/>
              </w:rPr>
              <w:t> </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0" w:right="0"/>
              <w:jc w:val="left"/>
              <w:rPr>
                <w:rFonts w:ascii="宋体" w:hAnsi="宋体" w:cs="宋体" w:eastAsia="宋体" w:hint="default"/>
                <w:sz w:val="18"/>
                <w:szCs w:val="18"/>
              </w:rPr>
            </w:pPr>
            <w:r>
              <w:rPr>
                <w:rFonts w:ascii="宋体" w:hAnsi="宋体" w:cs="宋体" w:eastAsia="宋体" w:hint="default"/>
                <w:sz w:val="18"/>
                <w:szCs w:val="18"/>
              </w:rPr>
              <w:t>昆山</w:t>
            </w:r>
            <w:r>
              <w:rPr>
                <w:rFonts w:ascii="宋体" w:hAnsi="宋体" w:cs="宋体" w:eastAsia="宋体" w:hint="default"/>
                <w:sz w:val="18"/>
                <w:szCs w:val="18"/>
              </w:rPr>
              <w:t> </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07" w:right="0"/>
              <w:jc w:val="left"/>
              <w:rPr>
                <w:rFonts w:ascii="宋体" w:hAnsi="宋体" w:cs="宋体" w:eastAsia="宋体" w:hint="default"/>
                <w:sz w:val="18"/>
                <w:szCs w:val="18"/>
              </w:rPr>
            </w:pPr>
            <w:r>
              <w:rPr>
                <w:rFonts w:ascii="宋体" w:hAnsi="宋体" w:cs="宋体" w:eastAsia="宋体" w:hint="default"/>
                <w:sz w:val="18"/>
                <w:szCs w:val="18"/>
              </w:rPr>
              <w:t>积分运营</w:t>
            </w:r>
            <w:r>
              <w:rPr>
                <w:rFonts w:ascii="宋体" w:hAnsi="宋体" w:cs="宋体" w:eastAsia="宋体" w:hint="default"/>
                <w:sz w:val="18"/>
                <w:szCs w:val="18"/>
              </w:rPr>
              <w:t> </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0"/>
              <w:jc w:val="right"/>
              <w:rPr>
                <w:rFonts w:ascii="宋体" w:hAnsi="宋体" w:cs="宋体" w:eastAsia="宋体" w:hint="default"/>
                <w:sz w:val="18"/>
                <w:szCs w:val="18"/>
              </w:rPr>
            </w:pPr>
            <w:r>
              <w:rPr>
                <w:rFonts w:ascii="宋体"/>
                <w:spacing w:val="-1"/>
                <w:sz w:val="18"/>
              </w:rPr>
              <w:t>--</w:t>
            </w:r>
            <w:r>
              <w:rPr>
                <w:rFonts w:ascii="宋体"/>
                <w:sz w:val="18"/>
              </w:rPr>
              <w:t> </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2" w:right="0"/>
              <w:jc w:val="center"/>
              <w:rPr>
                <w:rFonts w:ascii="宋体" w:hAnsi="宋体" w:cs="宋体" w:eastAsia="宋体" w:hint="default"/>
                <w:sz w:val="18"/>
                <w:szCs w:val="18"/>
              </w:rPr>
            </w:pPr>
            <w:r>
              <w:rPr>
                <w:rFonts w:ascii="宋体"/>
                <w:sz w:val="18"/>
              </w:rPr>
              <w:t>100.00 </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0" w:right="0"/>
              <w:jc w:val="center"/>
              <w:rPr>
                <w:rFonts w:ascii="宋体" w:hAnsi="宋体" w:cs="宋体" w:eastAsia="宋体" w:hint="default"/>
                <w:sz w:val="18"/>
                <w:szCs w:val="18"/>
              </w:rPr>
            </w:pPr>
            <w:r>
              <w:rPr>
                <w:rFonts w:ascii="宋体" w:hAnsi="宋体" w:cs="宋体" w:eastAsia="宋体" w:hint="default"/>
                <w:sz w:val="18"/>
                <w:szCs w:val="18"/>
              </w:rPr>
              <w:t>非同一控制下合并</w:t>
            </w:r>
            <w:r>
              <w:rPr>
                <w:rFonts w:ascii="宋体" w:hAnsi="宋体" w:cs="宋体" w:eastAsia="宋体" w:hint="default"/>
                <w:sz w:val="18"/>
                <w:szCs w:val="18"/>
              </w:rPr>
              <w:t> </w:t>
            </w:r>
          </w:p>
        </w:tc>
      </w:tr>
      <w:tr>
        <w:trPr>
          <w:trHeight w:val="396" w:hRule="exact"/>
        </w:trPr>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2" w:right="0"/>
              <w:jc w:val="center"/>
              <w:rPr>
                <w:rFonts w:ascii="宋体" w:hAnsi="宋体" w:cs="宋体" w:eastAsia="宋体" w:hint="default"/>
                <w:sz w:val="18"/>
                <w:szCs w:val="18"/>
              </w:rPr>
            </w:pPr>
            <w:r>
              <w:rPr>
                <w:rFonts w:ascii="宋体"/>
                <w:sz w:val="18"/>
              </w:rPr>
              <w:t>10 </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沈阳东方般若信息技术有限公司</w:t>
            </w:r>
            <w:r>
              <w:rPr>
                <w:rFonts w:ascii="宋体" w:hAnsi="宋体" w:cs="宋体" w:eastAsia="宋体" w:hint="default"/>
                <w:sz w:val="18"/>
                <w:szCs w:val="18"/>
              </w:rPr>
              <w:t> </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0" w:right="0"/>
              <w:jc w:val="center"/>
              <w:rPr>
                <w:rFonts w:ascii="宋体" w:hAnsi="宋体" w:cs="宋体" w:eastAsia="宋体" w:hint="default"/>
                <w:sz w:val="18"/>
                <w:szCs w:val="18"/>
              </w:rPr>
            </w:pPr>
            <w:r>
              <w:rPr>
                <w:rFonts w:ascii="宋体" w:hAnsi="宋体" w:cs="宋体" w:eastAsia="宋体" w:hint="default"/>
                <w:sz w:val="18"/>
                <w:szCs w:val="18"/>
              </w:rPr>
              <w:t>沈阳</w:t>
            </w:r>
            <w:r>
              <w:rPr>
                <w:rFonts w:ascii="宋体" w:hAnsi="宋体" w:cs="宋体" w:eastAsia="宋体" w:hint="default"/>
                <w:sz w:val="18"/>
                <w:szCs w:val="18"/>
              </w:rPr>
              <w:t> </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0" w:right="0"/>
              <w:jc w:val="left"/>
              <w:rPr>
                <w:rFonts w:ascii="宋体" w:hAnsi="宋体" w:cs="宋体" w:eastAsia="宋体" w:hint="default"/>
                <w:sz w:val="18"/>
                <w:szCs w:val="18"/>
              </w:rPr>
            </w:pPr>
            <w:r>
              <w:rPr>
                <w:rFonts w:ascii="宋体" w:hAnsi="宋体" w:cs="宋体" w:eastAsia="宋体" w:hint="default"/>
                <w:sz w:val="18"/>
                <w:szCs w:val="18"/>
              </w:rPr>
              <w:t>沈阳</w:t>
            </w:r>
            <w:r>
              <w:rPr>
                <w:rFonts w:ascii="宋体" w:hAnsi="宋体" w:cs="宋体" w:eastAsia="宋体" w:hint="default"/>
                <w:sz w:val="18"/>
                <w:szCs w:val="18"/>
              </w:rPr>
              <w:t> </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7" w:right="0"/>
              <w:jc w:val="left"/>
              <w:rPr>
                <w:rFonts w:ascii="宋体" w:hAnsi="宋体" w:cs="宋体" w:eastAsia="宋体" w:hint="default"/>
                <w:sz w:val="18"/>
                <w:szCs w:val="18"/>
              </w:rPr>
            </w:pPr>
            <w:r>
              <w:rPr>
                <w:rFonts w:ascii="宋体" w:hAnsi="宋体" w:cs="宋体" w:eastAsia="宋体" w:hint="default"/>
                <w:sz w:val="18"/>
                <w:szCs w:val="18"/>
              </w:rPr>
              <w:t>电信增值业务</w:t>
            </w:r>
            <w:r>
              <w:rPr>
                <w:rFonts w:ascii="宋体" w:hAnsi="宋体" w:cs="宋体" w:eastAsia="宋体" w:hint="default"/>
                <w:sz w:val="18"/>
                <w:szCs w:val="18"/>
              </w:rPr>
              <w:t> </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0"/>
              <w:jc w:val="right"/>
              <w:rPr>
                <w:rFonts w:ascii="宋体" w:hAnsi="宋体" w:cs="宋体" w:eastAsia="宋体" w:hint="default"/>
                <w:sz w:val="18"/>
                <w:szCs w:val="18"/>
              </w:rPr>
            </w:pPr>
            <w:r>
              <w:rPr>
                <w:rFonts w:ascii="宋体"/>
                <w:spacing w:val="-1"/>
                <w:sz w:val="18"/>
              </w:rPr>
              <w:t>--</w:t>
            </w:r>
            <w:r>
              <w:rPr>
                <w:rFonts w:ascii="宋体"/>
                <w:sz w:val="18"/>
              </w:rPr>
              <w:t> </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2" w:right="0"/>
              <w:jc w:val="center"/>
              <w:rPr>
                <w:rFonts w:ascii="宋体" w:hAnsi="宋体" w:cs="宋体" w:eastAsia="宋体" w:hint="default"/>
                <w:sz w:val="18"/>
                <w:szCs w:val="18"/>
              </w:rPr>
            </w:pPr>
            <w:r>
              <w:rPr>
                <w:rFonts w:ascii="宋体"/>
                <w:sz w:val="18"/>
              </w:rPr>
              <w:t>100.00 </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0" w:right="0"/>
              <w:jc w:val="center"/>
              <w:rPr>
                <w:rFonts w:ascii="宋体" w:hAnsi="宋体" w:cs="宋体" w:eastAsia="宋体" w:hint="default"/>
                <w:sz w:val="18"/>
                <w:szCs w:val="18"/>
              </w:rPr>
            </w:pPr>
            <w:r>
              <w:rPr>
                <w:rFonts w:ascii="宋体" w:hAnsi="宋体" w:cs="宋体" w:eastAsia="宋体" w:hint="default"/>
                <w:sz w:val="18"/>
                <w:szCs w:val="18"/>
              </w:rPr>
              <w:t>非同一控制下合并</w:t>
            </w:r>
            <w:r>
              <w:rPr>
                <w:rFonts w:ascii="宋体" w:hAnsi="宋体" w:cs="宋体" w:eastAsia="宋体" w:hint="default"/>
                <w:sz w:val="18"/>
                <w:szCs w:val="18"/>
              </w:rPr>
              <w:t> </w:t>
            </w:r>
          </w:p>
        </w:tc>
      </w:tr>
      <w:tr>
        <w:trPr>
          <w:trHeight w:val="398" w:hRule="exact"/>
        </w:trPr>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2" w:right="0"/>
              <w:jc w:val="center"/>
              <w:rPr>
                <w:rFonts w:ascii="宋体" w:hAnsi="宋体" w:cs="宋体" w:eastAsia="宋体" w:hint="default"/>
                <w:sz w:val="18"/>
                <w:szCs w:val="18"/>
              </w:rPr>
            </w:pPr>
            <w:r>
              <w:rPr>
                <w:rFonts w:ascii="宋体"/>
                <w:sz w:val="18"/>
              </w:rPr>
              <w:t>11 </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江苏嘉华互盈信息科技有限公司</w:t>
            </w:r>
            <w:r>
              <w:rPr>
                <w:rFonts w:ascii="宋体" w:hAnsi="宋体" w:cs="宋体" w:eastAsia="宋体" w:hint="default"/>
                <w:sz w:val="18"/>
                <w:szCs w:val="18"/>
              </w:rPr>
              <w:t> </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0" w:right="0"/>
              <w:jc w:val="center"/>
              <w:rPr>
                <w:rFonts w:ascii="宋体" w:hAnsi="宋体" w:cs="宋体" w:eastAsia="宋体" w:hint="default"/>
                <w:sz w:val="18"/>
                <w:szCs w:val="18"/>
              </w:rPr>
            </w:pPr>
            <w:r>
              <w:rPr>
                <w:rFonts w:ascii="宋体" w:hAnsi="宋体" w:cs="宋体" w:eastAsia="宋体" w:hint="default"/>
                <w:sz w:val="18"/>
                <w:szCs w:val="18"/>
              </w:rPr>
              <w:t>苏州</w:t>
            </w:r>
            <w:r>
              <w:rPr>
                <w:rFonts w:ascii="宋体" w:hAnsi="宋体" w:cs="宋体" w:eastAsia="宋体" w:hint="default"/>
                <w:sz w:val="18"/>
                <w:szCs w:val="18"/>
              </w:rPr>
              <w:t> </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0" w:right="0"/>
              <w:jc w:val="left"/>
              <w:rPr>
                <w:rFonts w:ascii="宋体" w:hAnsi="宋体" w:cs="宋体" w:eastAsia="宋体" w:hint="default"/>
                <w:sz w:val="18"/>
                <w:szCs w:val="18"/>
              </w:rPr>
            </w:pPr>
            <w:r>
              <w:rPr>
                <w:rFonts w:ascii="宋体" w:hAnsi="宋体" w:cs="宋体" w:eastAsia="宋体" w:hint="default"/>
                <w:sz w:val="18"/>
                <w:szCs w:val="18"/>
              </w:rPr>
              <w:t>苏州</w:t>
            </w:r>
            <w:r>
              <w:rPr>
                <w:rFonts w:ascii="宋体" w:hAnsi="宋体" w:cs="宋体" w:eastAsia="宋体" w:hint="default"/>
                <w:sz w:val="18"/>
                <w:szCs w:val="18"/>
              </w:rPr>
              <w:t> </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07" w:right="0"/>
              <w:jc w:val="left"/>
              <w:rPr>
                <w:rFonts w:ascii="宋体" w:hAnsi="宋体" w:cs="宋体" w:eastAsia="宋体" w:hint="default"/>
                <w:sz w:val="18"/>
                <w:szCs w:val="18"/>
              </w:rPr>
            </w:pPr>
            <w:r>
              <w:rPr>
                <w:rFonts w:ascii="宋体" w:hAnsi="宋体" w:cs="宋体" w:eastAsia="宋体" w:hint="default"/>
                <w:sz w:val="18"/>
                <w:szCs w:val="18"/>
              </w:rPr>
              <w:t>金服业务</w:t>
            </w:r>
            <w:r>
              <w:rPr>
                <w:rFonts w:ascii="宋体" w:hAnsi="宋体" w:cs="宋体" w:eastAsia="宋体" w:hint="default"/>
                <w:sz w:val="18"/>
                <w:szCs w:val="18"/>
              </w:rPr>
              <w:t> </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0"/>
              <w:jc w:val="right"/>
              <w:rPr>
                <w:rFonts w:ascii="宋体" w:hAnsi="宋体" w:cs="宋体" w:eastAsia="宋体" w:hint="default"/>
                <w:sz w:val="18"/>
                <w:szCs w:val="18"/>
              </w:rPr>
            </w:pPr>
            <w:r>
              <w:rPr>
                <w:rFonts w:ascii="宋体"/>
                <w:spacing w:val="-1"/>
                <w:sz w:val="18"/>
              </w:rPr>
              <w:t>--</w:t>
            </w:r>
            <w:r>
              <w:rPr>
                <w:rFonts w:ascii="宋体"/>
                <w:sz w:val="18"/>
              </w:rPr>
              <w:t> </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2" w:right="0"/>
              <w:jc w:val="center"/>
              <w:rPr>
                <w:rFonts w:ascii="宋体" w:hAnsi="宋体" w:cs="宋体" w:eastAsia="宋体" w:hint="default"/>
                <w:sz w:val="18"/>
                <w:szCs w:val="18"/>
              </w:rPr>
            </w:pPr>
            <w:r>
              <w:rPr>
                <w:rFonts w:ascii="宋体"/>
                <w:sz w:val="18"/>
              </w:rPr>
              <w:t>100.00 </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0" w:right="0"/>
              <w:jc w:val="center"/>
              <w:rPr>
                <w:rFonts w:ascii="宋体" w:hAnsi="宋体" w:cs="宋体" w:eastAsia="宋体" w:hint="default"/>
                <w:sz w:val="18"/>
                <w:szCs w:val="18"/>
              </w:rPr>
            </w:pPr>
            <w:r>
              <w:rPr>
                <w:rFonts w:ascii="宋体" w:hAnsi="宋体" w:cs="宋体" w:eastAsia="宋体" w:hint="default"/>
                <w:sz w:val="18"/>
                <w:szCs w:val="18"/>
              </w:rPr>
              <w:t>非同一控制下合并</w:t>
            </w:r>
            <w:r>
              <w:rPr>
                <w:rFonts w:ascii="宋体" w:hAnsi="宋体" w:cs="宋体" w:eastAsia="宋体" w:hint="default"/>
                <w:sz w:val="18"/>
                <w:szCs w:val="18"/>
              </w:rPr>
              <w:t> </w:t>
            </w:r>
          </w:p>
        </w:tc>
      </w:tr>
      <w:tr>
        <w:trPr>
          <w:trHeight w:val="396" w:hRule="exact"/>
        </w:trPr>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2" w:right="0"/>
              <w:jc w:val="center"/>
              <w:rPr>
                <w:rFonts w:ascii="宋体" w:hAnsi="宋体" w:cs="宋体" w:eastAsia="宋体" w:hint="default"/>
                <w:sz w:val="18"/>
                <w:szCs w:val="18"/>
              </w:rPr>
            </w:pPr>
            <w:r>
              <w:rPr>
                <w:rFonts w:ascii="宋体"/>
                <w:sz w:val="18"/>
              </w:rPr>
              <w:t>12 </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中天嘉华互联</w:t>
            </w:r>
            <w:r>
              <w:rPr>
                <w:rFonts w:ascii="宋体" w:hAnsi="宋体" w:cs="宋体" w:eastAsia="宋体" w:hint="default"/>
                <w:sz w:val="18"/>
                <w:szCs w:val="18"/>
              </w:rPr>
              <w:t>(</w:t>
            </w:r>
            <w:r>
              <w:rPr>
                <w:rFonts w:ascii="宋体" w:hAnsi="宋体" w:cs="宋体" w:eastAsia="宋体" w:hint="default"/>
                <w:sz w:val="18"/>
                <w:szCs w:val="18"/>
              </w:rPr>
              <w:t>北京</w:t>
            </w:r>
            <w:r>
              <w:rPr>
                <w:rFonts w:ascii="宋体" w:hAnsi="宋体" w:cs="宋体" w:eastAsia="宋体" w:hint="default"/>
                <w:sz w:val="18"/>
                <w:szCs w:val="18"/>
              </w:rPr>
              <w:t>)</w:t>
            </w:r>
            <w:r>
              <w:rPr>
                <w:rFonts w:ascii="宋体" w:hAnsi="宋体" w:cs="宋体" w:eastAsia="宋体" w:hint="default"/>
                <w:sz w:val="18"/>
                <w:szCs w:val="18"/>
              </w:rPr>
              <w:t>信息技术有限</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0" w:right="0"/>
              <w:jc w:val="center"/>
              <w:rPr>
                <w:rFonts w:ascii="宋体" w:hAnsi="宋体" w:cs="宋体" w:eastAsia="宋体" w:hint="default"/>
                <w:sz w:val="18"/>
                <w:szCs w:val="18"/>
              </w:rPr>
            </w:pPr>
            <w:r>
              <w:rPr>
                <w:rFonts w:ascii="宋体" w:hAnsi="宋体" w:cs="宋体" w:eastAsia="宋体" w:hint="default"/>
                <w:sz w:val="18"/>
                <w:szCs w:val="18"/>
              </w:rPr>
              <w:t>北京</w:t>
            </w:r>
            <w:r>
              <w:rPr>
                <w:rFonts w:ascii="宋体" w:hAnsi="宋体" w:cs="宋体" w:eastAsia="宋体" w:hint="default"/>
                <w:sz w:val="18"/>
                <w:szCs w:val="18"/>
              </w:rPr>
              <w:t> </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40" w:right="0"/>
              <w:jc w:val="left"/>
              <w:rPr>
                <w:rFonts w:ascii="宋体" w:hAnsi="宋体" w:cs="宋体" w:eastAsia="宋体" w:hint="default"/>
                <w:sz w:val="18"/>
                <w:szCs w:val="18"/>
              </w:rPr>
            </w:pPr>
            <w:r>
              <w:rPr>
                <w:rFonts w:ascii="宋体" w:hAnsi="宋体" w:cs="宋体" w:eastAsia="宋体" w:hint="default"/>
                <w:sz w:val="18"/>
                <w:szCs w:val="18"/>
              </w:rPr>
              <w:t>伊犁</w:t>
            </w:r>
            <w:r>
              <w:rPr>
                <w:rFonts w:ascii="宋体" w:hAnsi="宋体" w:cs="宋体" w:eastAsia="宋体" w:hint="default"/>
                <w:sz w:val="18"/>
                <w:szCs w:val="18"/>
              </w:rPr>
              <w:t> </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307" w:right="0"/>
              <w:jc w:val="left"/>
              <w:rPr>
                <w:rFonts w:ascii="宋体" w:hAnsi="宋体" w:cs="宋体" w:eastAsia="宋体" w:hint="default"/>
                <w:sz w:val="18"/>
                <w:szCs w:val="18"/>
              </w:rPr>
            </w:pPr>
            <w:r>
              <w:rPr>
                <w:rFonts w:ascii="宋体" w:hAnsi="宋体" w:cs="宋体" w:eastAsia="宋体" w:hint="default"/>
                <w:sz w:val="18"/>
                <w:szCs w:val="18"/>
              </w:rPr>
              <w:t>尚未经营</w:t>
            </w:r>
            <w:r>
              <w:rPr>
                <w:rFonts w:ascii="宋体" w:hAnsi="宋体" w:cs="宋体" w:eastAsia="宋体" w:hint="default"/>
                <w:sz w:val="18"/>
                <w:szCs w:val="18"/>
              </w:rPr>
              <w:t> </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00"/>
              <w:jc w:val="right"/>
              <w:rPr>
                <w:rFonts w:ascii="宋体" w:hAnsi="宋体" w:cs="宋体" w:eastAsia="宋体" w:hint="default"/>
                <w:sz w:val="18"/>
                <w:szCs w:val="18"/>
              </w:rPr>
            </w:pPr>
            <w:r>
              <w:rPr>
                <w:rFonts w:ascii="宋体"/>
                <w:spacing w:val="-1"/>
                <w:sz w:val="18"/>
              </w:rPr>
              <w:t>--</w:t>
            </w:r>
            <w:r>
              <w:rPr>
                <w:rFonts w:ascii="宋体"/>
                <w:sz w:val="18"/>
              </w:rPr>
              <w:t> </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2" w:right="0"/>
              <w:jc w:val="center"/>
              <w:rPr>
                <w:rFonts w:ascii="宋体" w:hAnsi="宋体" w:cs="宋体" w:eastAsia="宋体" w:hint="default"/>
                <w:sz w:val="18"/>
                <w:szCs w:val="18"/>
              </w:rPr>
            </w:pPr>
            <w:r>
              <w:rPr>
                <w:rFonts w:ascii="宋体"/>
                <w:sz w:val="18"/>
              </w:rPr>
              <w:t>100.00 </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0" w:right="0"/>
              <w:jc w:val="center"/>
              <w:rPr>
                <w:rFonts w:ascii="宋体" w:hAnsi="宋体" w:cs="宋体" w:eastAsia="宋体" w:hint="default"/>
                <w:sz w:val="18"/>
                <w:szCs w:val="18"/>
              </w:rPr>
            </w:pPr>
            <w:r>
              <w:rPr>
                <w:rFonts w:ascii="宋体" w:hAnsi="宋体" w:cs="宋体" w:eastAsia="宋体" w:hint="default"/>
                <w:sz w:val="18"/>
                <w:szCs w:val="18"/>
              </w:rPr>
              <w:t>非同一控制下合并</w:t>
            </w:r>
            <w:r>
              <w:rPr>
                <w:rFonts w:ascii="宋体" w:hAnsi="宋体" w:cs="宋体" w:eastAsia="宋体" w:hint="default"/>
                <w:sz w:val="18"/>
                <w:szCs w:val="18"/>
              </w:rPr>
              <w:t> </w:t>
            </w:r>
          </w:p>
        </w:tc>
      </w:tr>
      <w:tr>
        <w:trPr>
          <w:trHeight w:val="398" w:hRule="exact"/>
        </w:trPr>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2" w:right="0"/>
              <w:jc w:val="center"/>
              <w:rPr>
                <w:rFonts w:ascii="宋体" w:hAnsi="宋体" w:cs="宋体" w:eastAsia="宋体" w:hint="default"/>
                <w:sz w:val="18"/>
                <w:szCs w:val="18"/>
              </w:rPr>
            </w:pPr>
            <w:r>
              <w:rPr>
                <w:rFonts w:ascii="宋体"/>
                <w:sz w:val="18"/>
              </w:rPr>
              <w:t>13 </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宁波煊嘉信息技术有限公司</w:t>
            </w:r>
            <w:r>
              <w:rPr>
                <w:rFonts w:ascii="宋体" w:hAnsi="宋体" w:cs="宋体" w:eastAsia="宋体" w:hint="default"/>
                <w:sz w:val="18"/>
                <w:szCs w:val="18"/>
              </w:rPr>
              <w:t> </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0" w:right="0"/>
              <w:jc w:val="center"/>
              <w:rPr>
                <w:rFonts w:ascii="宋体" w:hAnsi="宋体" w:cs="宋体" w:eastAsia="宋体" w:hint="default"/>
                <w:sz w:val="18"/>
                <w:szCs w:val="18"/>
              </w:rPr>
            </w:pPr>
            <w:r>
              <w:rPr>
                <w:rFonts w:ascii="宋体" w:hAnsi="宋体" w:cs="宋体" w:eastAsia="宋体" w:hint="default"/>
                <w:sz w:val="18"/>
                <w:szCs w:val="18"/>
              </w:rPr>
              <w:t>宁波</w:t>
            </w:r>
            <w:r>
              <w:rPr>
                <w:rFonts w:ascii="宋体" w:hAnsi="宋体" w:cs="宋体" w:eastAsia="宋体" w:hint="default"/>
                <w:sz w:val="18"/>
                <w:szCs w:val="18"/>
              </w:rPr>
              <w:t> </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0" w:right="0"/>
              <w:jc w:val="left"/>
              <w:rPr>
                <w:rFonts w:ascii="宋体" w:hAnsi="宋体" w:cs="宋体" w:eastAsia="宋体" w:hint="default"/>
                <w:sz w:val="18"/>
                <w:szCs w:val="18"/>
              </w:rPr>
            </w:pPr>
            <w:r>
              <w:rPr>
                <w:rFonts w:ascii="宋体" w:hAnsi="宋体" w:cs="宋体" w:eastAsia="宋体" w:hint="default"/>
                <w:sz w:val="18"/>
                <w:szCs w:val="18"/>
              </w:rPr>
              <w:t>宁波</w:t>
            </w:r>
            <w:r>
              <w:rPr>
                <w:rFonts w:ascii="宋体" w:hAnsi="宋体" w:cs="宋体" w:eastAsia="宋体" w:hint="default"/>
                <w:sz w:val="18"/>
                <w:szCs w:val="18"/>
              </w:rPr>
              <w:t> </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07" w:right="0"/>
              <w:jc w:val="left"/>
              <w:rPr>
                <w:rFonts w:ascii="宋体" w:hAnsi="宋体" w:cs="宋体" w:eastAsia="宋体" w:hint="default"/>
                <w:sz w:val="18"/>
                <w:szCs w:val="18"/>
              </w:rPr>
            </w:pPr>
            <w:r>
              <w:rPr>
                <w:rFonts w:ascii="宋体" w:hAnsi="宋体" w:cs="宋体" w:eastAsia="宋体" w:hint="default"/>
                <w:sz w:val="18"/>
                <w:szCs w:val="18"/>
              </w:rPr>
              <w:t>尚未经营</w:t>
            </w:r>
            <w:r>
              <w:rPr>
                <w:rFonts w:ascii="宋体" w:hAnsi="宋体" w:cs="宋体" w:eastAsia="宋体" w:hint="default"/>
                <w:sz w:val="18"/>
                <w:szCs w:val="18"/>
              </w:rPr>
              <w:t> </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0"/>
              <w:jc w:val="right"/>
              <w:rPr>
                <w:rFonts w:ascii="宋体" w:hAnsi="宋体" w:cs="宋体" w:eastAsia="宋体" w:hint="default"/>
                <w:sz w:val="18"/>
                <w:szCs w:val="18"/>
              </w:rPr>
            </w:pPr>
            <w:r>
              <w:rPr>
                <w:rFonts w:ascii="宋体"/>
                <w:spacing w:val="-1"/>
                <w:sz w:val="18"/>
              </w:rPr>
              <w:t>--</w:t>
            </w:r>
            <w:r>
              <w:rPr>
                <w:rFonts w:ascii="宋体"/>
                <w:sz w:val="18"/>
              </w:rPr>
              <w:t> </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2" w:right="0"/>
              <w:jc w:val="center"/>
              <w:rPr>
                <w:rFonts w:ascii="宋体" w:hAnsi="宋体" w:cs="宋体" w:eastAsia="宋体" w:hint="default"/>
                <w:sz w:val="18"/>
                <w:szCs w:val="18"/>
              </w:rPr>
            </w:pPr>
            <w:r>
              <w:rPr>
                <w:rFonts w:ascii="宋体"/>
                <w:sz w:val="18"/>
              </w:rPr>
              <w:t>100.00 </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0" w:right="0"/>
              <w:jc w:val="center"/>
              <w:rPr>
                <w:rFonts w:ascii="宋体" w:hAnsi="宋体" w:cs="宋体" w:eastAsia="宋体" w:hint="default"/>
                <w:sz w:val="18"/>
                <w:szCs w:val="18"/>
              </w:rPr>
            </w:pPr>
            <w:r>
              <w:rPr>
                <w:rFonts w:ascii="宋体" w:hAnsi="宋体" w:cs="宋体" w:eastAsia="宋体" w:hint="default"/>
                <w:sz w:val="18"/>
                <w:szCs w:val="18"/>
              </w:rPr>
              <w:t>非同一控制下合并</w:t>
            </w:r>
            <w:r>
              <w:rPr>
                <w:rFonts w:ascii="宋体" w:hAnsi="宋体" w:cs="宋体" w:eastAsia="宋体" w:hint="default"/>
                <w:sz w:val="18"/>
                <w:szCs w:val="18"/>
              </w:rPr>
              <w:t> </w:t>
            </w:r>
          </w:p>
        </w:tc>
      </w:tr>
      <w:tr>
        <w:trPr>
          <w:trHeight w:val="396" w:hRule="exact"/>
        </w:trPr>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2" w:right="0"/>
              <w:jc w:val="center"/>
              <w:rPr>
                <w:rFonts w:ascii="宋体" w:hAnsi="宋体" w:cs="宋体" w:eastAsia="宋体" w:hint="default"/>
                <w:sz w:val="18"/>
                <w:szCs w:val="18"/>
              </w:rPr>
            </w:pPr>
            <w:r>
              <w:rPr>
                <w:rFonts w:ascii="宋体"/>
                <w:sz w:val="18"/>
              </w:rPr>
              <w:t>14 </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5" w:right="0"/>
              <w:jc w:val="left"/>
              <w:rPr>
                <w:rFonts w:ascii="宋体" w:hAnsi="宋体" w:cs="宋体" w:eastAsia="宋体" w:hint="default"/>
                <w:sz w:val="18"/>
                <w:szCs w:val="18"/>
              </w:rPr>
            </w:pPr>
            <w:r>
              <w:rPr>
                <w:rFonts w:ascii="宋体" w:hAnsi="宋体" w:cs="宋体" w:eastAsia="宋体" w:hint="default"/>
                <w:sz w:val="18"/>
                <w:szCs w:val="18"/>
              </w:rPr>
              <w:t>长实通信科技</w:t>
            </w:r>
            <w:r>
              <w:rPr>
                <w:rFonts w:ascii="宋体" w:hAnsi="宋体" w:cs="宋体" w:eastAsia="宋体" w:hint="default"/>
                <w:sz w:val="18"/>
                <w:szCs w:val="18"/>
              </w:rPr>
              <w:t>(</w:t>
            </w:r>
            <w:r>
              <w:rPr>
                <w:rFonts w:ascii="宋体" w:hAnsi="宋体" w:cs="宋体" w:eastAsia="宋体" w:hint="default"/>
                <w:sz w:val="18"/>
                <w:szCs w:val="18"/>
              </w:rPr>
              <w:t>香港</w:t>
            </w:r>
            <w:r>
              <w:rPr>
                <w:rFonts w:ascii="宋体" w:hAnsi="宋体" w:cs="宋体" w:eastAsia="宋体" w:hint="default"/>
                <w:sz w:val="18"/>
                <w:szCs w:val="18"/>
              </w:rPr>
              <w:t>)</w:t>
            </w:r>
            <w:r>
              <w:rPr>
                <w:rFonts w:ascii="宋体" w:hAnsi="宋体" w:cs="宋体" w:eastAsia="宋体" w:hint="default"/>
                <w:sz w:val="18"/>
                <w:szCs w:val="18"/>
              </w:rPr>
              <w:t>有限公司</w:t>
            </w:r>
            <w:r>
              <w:rPr>
                <w:rFonts w:ascii="宋体" w:hAnsi="宋体" w:cs="宋体" w:eastAsia="宋体" w:hint="default"/>
                <w:sz w:val="18"/>
                <w:szCs w:val="18"/>
              </w:rPr>
              <w:t> </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0" w:right="0"/>
              <w:jc w:val="center"/>
              <w:rPr>
                <w:rFonts w:ascii="宋体" w:hAnsi="宋体" w:cs="宋体" w:eastAsia="宋体" w:hint="default"/>
                <w:sz w:val="18"/>
                <w:szCs w:val="18"/>
              </w:rPr>
            </w:pPr>
            <w:r>
              <w:rPr>
                <w:rFonts w:ascii="宋体" w:hAnsi="宋体" w:cs="宋体" w:eastAsia="宋体" w:hint="default"/>
                <w:sz w:val="18"/>
                <w:szCs w:val="18"/>
              </w:rPr>
              <w:t>香港</w:t>
            </w:r>
            <w:r>
              <w:rPr>
                <w:rFonts w:ascii="宋体" w:hAnsi="宋体" w:cs="宋体" w:eastAsia="宋体" w:hint="default"/>
                <w:sz w:val="18"/>
                <w:szCs w:val="18"/>
              </w:rPr>
              <w:t> </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40" w:right="0"/>
              <w:jc w:val="left"/>
              <w:rPr>
                <w:rFonts w:ascii="宋体" w:hAnsi="宋体" w:cs="宋体" w:eastAsia="宋体" w:hint="default"/>
                <w:sz w:val="18"/>
                <w:szCs w:val="18"/>
              </w:rPr>
            </w:pPr>
            <w:r>
              <w:rPr>
                <w:rFonts w:ascii="宋体" w:hAnsi="宋体" w:cs="宋体" w:eastAsia="宋体" w:hint="default"/>
                <w:sz w:val="18"/>
                <w:szCs w:val="18"/>
              </w:rPr>
              <w:t>香港</w:t>
            </w:r>
            <w:r>
              <w:rPr>
                <w:rFonts w:ascii="宋体" w:hAnsi="宋体" w:cs="宋体" w:eastAsia="宋体" w:hint="default"/>
                <w:sz w:val="18"/>
                <w:szCs w:val="18"/>
              </w:rPr>
              <w:t> </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307" w:right="0"/>
              <w:jc w:val="left"/>
              <w:rPr>
                <w:rFonts w:ascii="宋体" w:hAnsi="宋体" w:cs="宋体" w:eastAsia="宋体" w:hint="default"/>
                <w:sz w:val="18"/>
                <w:szCs w:val="18"/>
              </w:rPr>
            </w:pPr>
            <w:r>
              <w:rPr>
                <w:rFonts w:ascii="宋体" w:hAnsi="宋体" w:cs="宋体" w:eastAsia="宋体" w:hint="default"/>
                <w:sz w:val="18"/>
                <w:szCs w:val="18"/>
              </w:rPr>
              <w:t>尚未经营</w:t>
            </w:r>
            <w:r>
              <w:rPr>
                <w:rFonts w:ascii="宋体" w:hAnsi="宋体" w:cs="宋体" w:eastAsia="宋体" w:hint="default"/>
                <w:sz w:val="18"/>
                <w:szCs w:val="18"/>
              </w:rPr>
              <w:t> </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00"/>
              <w:jc w:val="right"/>
              <w:rPr>
                <w:rFonts w:ascii="宋体" w:hAnsi="宋体" w:cs="宋体" w:eastAsia="宋体" w:hint="default"/>
                <w:sz w:val="18"/>
                <w:szCs w:val="18"/>
              </w:rPr>
            </w:pPr>
            <w:r>
              <w:rPr>
                <w:rFonts w:ascii="宋体"/>
                <w:spacing w:val="-1"/>
                <w:sz w:val="18"/>
              </w:rPr>
              <w:t>--</w:t>
            </w:r>
            <w:r>
              <w:rPr>
                <w:rFonts w:ascii="宋体"/>
                <w:sz w:val="18"/>
              </w:rPr>
              <w:t> </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2" w:right="0"/>
              <w:jc w:val="center"/>
              <w:rPr>
                <w:rFonts w:ascii="宋体" w:hAnsi="宋体" w:cs="宋体" w:eastAsia="宋体" w:hint="default"/>
                <w:sz w:val="18"/>
                <w:szCs w:val="18"/>
              </w:rPr>
            </w:pPr>
            <w:r>
              <w:rPr>
                <w:rFonts w:ascii="宋体"/>
                <w:sz w:val="18"/>
              </w:rPr>
              <w:t>100.00 </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0" w:right="0"/>
              <w:jc w:val="center"/>
              <w:rPr>
                <w:rFonts w:ascii="宋体" w:hAnsi="宋体" w:cs="宋体" w:eastAsia="宋体" w:hint="default"/>
                <w:sz w:val="18"/>
                <w:szCs w:val="18"/>
              </w:rPr>
            </w:pPr>
            <w:r>
              <w:rPr>
                <w:rFonts w:ascii="宋体" w:hAnsi="宋体" w:cs="宋体" w:eastAsia="宋体" w:hint="default"/>
                <w:sz w:val="18"/>
                <w:szCs w:val="18"/>
              </w:rPr>
              <w:t>新设设立</w:t>
            </w:r>
            <w:r>
              <w:rPr>
                <w:rFonts w:ascii="宋体" w:hAnsi="宋体" w:cs="宋体" w:eastAsia="宋体" w:hint="default"/>
                <w:sz w:val="18"/>
                <w:szCs w:val="18"/>
              </w:rPr>
              <w:t> </w:t>
            </w:r>
          </w:p>
        </w:tc>
      </w:tr>
      <w:tr>
        <w:trPr>
          <w:trHeight w:val="396" w:hRule="exact"/>
        </w:trPr>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2" w:right="0"/>
              <w:jc w:val="center"/>
              <w:rPr>
                <w:rFonts w:ascii="宋体" w:hAnsi="宋体" w:cs="宋体" w:eastAsia="宋体" w:hint="default"/>
                <w:sz w:val="18"/>
                <w:szCs w:val="18"/>
              </w:rPr>
            </w:pPr>
            <w:r>
              <w:rPr>
                <w:rFonts w:ascii="宋体"/>
                <w:sz w:val="18"/>
              </w:rPr>
              <w:t>15 </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茌平长云通信科技有限公司</w:t>
            </w:r>
            <w:r>
              <w:rPr>
                <w:rFonts w:ascii="宋体" w:hAnsi="宋体" w:cs="宋体" w:eastAsia="宋体" w:hint="default"/>
                <w:sz w:val="18"/>
                <w:szCs w:val="18"/>
              </w:rPr>
              <w:t> </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0" w:right="0"/>
              <w:jc w:val="center"/>
              <w:rPr>
                <w:rFonts w:ascii="宋体" w:hAnsi="宋体" w:cs="宋体" w:eastAsia="宋体" w:hint="default"/>
                <w:sz w:val="18"/>
                <w:szCs w:val="18"/>
              </w:rPr>
            </w:pPr>
            <w:r>
              <w:rPr>
                <w:rFonts w:ascii="宋体" w:hAnsi="宋体" w:cs="宋体" w:eastAsia="宋体" w:hint="default"/>
                <w:sz w:val="18"/>
                <w:szCs w:val="18"/>
              </w:rPr>
              <w:t>山东</w:t>
            </w:r>
            <w:r>
              <w:rPr>
                <w:rFonts w:ascii="宋体" w:hAnsi="宋体" w:cs="宋体" w:eastAsia="宋体" w:hint="default"/>
                <w:sz w:val="18"/>
                <w:szCs w:val="18"/>
              </w:rPr>
              <w:t> </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0" w:right="0"/>
              <w:jc w:val="left"/>
              <w:rPr>
                <w:rFonts w:ascii="宋体" w:hAnsi="宋体" w:cs="宋体" w:eastAsia="宋体" w:hint="default"/>
                <w:sz w:val="18"/>
                <w:szCs w:val="18"/>
              </w:rPr>
            </w:pPr>
            <w:r>
              <w:rPr>
                <w:rFonts w:ascii="宋体" w:hAnsi="宋体" w:cs="宋体" w:eastAsia="宋体" w:hint="default"/>
                <w:sz w:val="18"/>
                <w:szCs w:val="18"/>
              </w:rPr>
              <w:t>茌平</w:t>
            </w:r>
            <w:r>
              <w:rPr>
                <w:rFonts w:ascii="宋体" w:hAnsi="宋体" w:cs="宋体" w:eastAsia="宋体" w:hint="default"/>
                <w:sz w:val="18"/>
                <w:szCs w:val="18"/>
              </w:rPr>
              <w:t> </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07" w:right="0"/>
              <w:jc w:val="left"/>
              <w:rPr>
                <w:rFonts w:ascii="宋体" w:hAnsi="宋体" w:cs="宋体" w:eastAsia="宋体" w:hint="default"/>
                <w:sz w:val="18"/>
                <w:szCs w:val="18"/>
              </w:rPr>
            </w:pPr>
            <w:r>
              <w:rPr>
                <w:rFonts w:ascii="宋体" w:hAnsi="宋体" w:cs="宋体" w:eastAsia="宋体" w:hint="default"/>
                <w:sz w:val="18"/>
                <w:szCs w:val="18"/>
              </w:rPr>
              <w:t>数据维护</w:t>
            </w:r>
            <w:r>
              <w:rPr>
                <w:rFonts w:ascii="宋体" w:hAnsi="宋体" w:cs="宋体" w:eastAsia="宋体" w:hint="default"/>
                <w:sz w:val="18"/>
                <w:szCs w:val="18"/>
              </w:rPr>
              <w:t> </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0"/>
              <w:jc w:val="right"/>
              <w:rPr>
                <w:rFonts w:ascii="宋体" w:hAnsi="宋体" w:cs="宋体" w:eastAsia="宋体" w:hint="default"/>
                <w:sz w:val="18"/>
                <w:szCs w:val="18"/>
              </w:rPr>
            </w:pPr>
            <w:r>
              <w:rPr>
                <w:rFonts w:ascii="宋体"/>
                <w:spacing w:val="-1"/>
                <w:sz w:val="18"/>
              </w:rPr>
              <w:t>--</w:t>
            </w:r>
            <w:r>
              <w:rPr>
                <w:rFonts w:ascii="宋体"/>
                <w:sz w:val="18"/>
              </w:rPr>
              <w:t> </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2" w:right="0"/>
              <w:jc w:val="center"/>
              <w:rPr>
                <w:rFonts w:ascii="宋体" w:hAnsi="宋体" w:cs="宋体" w:eastAsia="宋体" w:hint="default"/>
                <w:sz w:val="18"/>
                <w:szCs w:val="18"/>
              </w:rPr>
            </w:pPr>
            <w:r>
              <w:rPr>
                <w:rFonts w:ascii="宋体"/>
                <w:sz w:val="18"/>
              </w:rPr>
              <w:t>100.00 </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0" w:right="0"/>
              <w:jc w:val="center"/>
              <w:rPr>
                <w:rFonts w:ascii="宋体" w:hAnsi="宋体" w:cs="宋体" w:eastAsia="宋体" w:hint="default"/>
                <w:sz w:val="18"/>
                <w:szCs w:val="18"/>
              </w:rPr>
            </w:pPr>
            <w:r>
              <w:rPr>
                <w:rFonts w:ascii="宋体" w:hAnsi="宋体" w:cs="宋体" w:eastAsia="宋体" w:hint="default"/>
                <w:sz w:val="18"/>
                <w:szCs w:val="18"/>
              </w:rPr>
              <w:t>新设设立</w:t>
            </w:r>
            <w:r>
              <w:rPr>
                <w:rFonts w:ascii="宋体" w:hAnsi="宋体" w:cs="宋体" w:eastAsia="宋体" w:hint="default"/>
                <w:sz w:val="18"/>
                <w:szCs w:val="18"/>
              </w:rPr>
              <w:t> </w:t>
            </w:r>
          </w:p>
        </w:tc>
      </w:tr>
      <w:tr>
        <w:trPr>
          <w:trHeight w:val="398" w:hRule="exact"/>
        </w:trPr>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2" w:right="0"/>
              <w:jc w:val="center"/>
              <w:rPr>
                <w:rFonts w:ascii="宋体" w:hAnsi="宋体" w:cs="宋体" w:eastAsia="宋体" w:hint="default"/>
                <w:sz w:val="18"/>
                <w:szCs w:val="18"/>
              </w:rPr>
            </w:pPr>
            <w:r>
              <w:rPr>
                <w:rFonts w:ascii="宋体"/>
                <w:sz w:val="18"/>
              </w:rPr>
              <w:t>16 </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5" w:right="0"/>
              <w:jc w:val="left"/>
              <w:rPr>
                <w:rFonts w:ascii="宋体" w:hAnsi="宋体" w:cs="宋体" w:eastAsia="宋体" w:hint="default"/>
                <w:sz w:val="18"/>
                <w:szCs w:val="18"/>
              </w:rPr>
            </w:pPr>
            <w:hyperlink r:id="rId28">
              <w:r>
                <w:rPr>
                  <w:rFonts w:ascii="宋体" w:hAnsi="宋体" w:cs="宋体" w:eastAsia="宋体" w:hint="default"/>
                  <w:sz w:val="18"/>
                  <w:szCs w:val="18"/>
                </w:rPr>
                <w:t>赣江新区嘉盈信息技术服务有限公</w:t>
              </w:r>
            </w:hyperlink>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0" w:right="0"/>
              <w:jc w:val="center"/>
              <w:rPr>
                <w:rFonts w:ascii="宋体" w:hAnsi="宋体" w:cs="宋体" w:eastAsia="宋体" w:hint="default"/>
                <w:sz w:val="18"/>
                <w:szCs w:val="18"/>
              </w:rPr>
            </w:pPr>
            <w:r>
              <w:rPr>
                <w:rFonts w:ascii="宋体" w:hAnsi="宋体" w:cs="宋体" w:eastAsia="宋体" w:hint="default"/>
                <w:sz w:val="18"/>
                <w:szCs w:val="18"/>
              </w:rPr>
              <w:t>江西</w:t>
            </w:r>
            <w:r>
              <w:rPr>
                <w:rFonts w:ascii="宋体" w:hAnsi="宋体" w:cs="宋体" w:eastAsia="宋体" w:hint="default"/>
                <w:sz w:val="18"/>
                <w:szCs w:val="18"/>
              </w:rPr>
              <w:t> </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51" w:right="0"/>
              <w:jc w:val="left"/>
              <w:rPr>
                <w:rFonts w:ascii="宋体" w:hAnsi="宋体" w:cs="宋体" w:eastAsia="宋体" w:hint="default"/>
                <w:sz w:val="18"/>
                <w:szCs w:val="18"/>
              </w:rPr>
            </w:pPr>
            <w:r>
              <w:rPr>
                <w:rFonts w:ascii="宋体" w:hAnsi="宋体" w:cs="宋体" w:eastAsia="宋体" w:hint="default"/>
                <w:sz w:val="18"/>
                <w:szCs w:val="18"/>
              </w:rPr>
              <w:t>赣江新</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27" w:right="0"/>
              <w:jc w:val="left"/>
              <w:rPr>
                <w:rFonts w:ascii="宋体" w:hAnsi="宋体" w:cs="宋体" w:eastAsia="宋体" w:hint="default"/>
                <w:sz w:val="18"/>
                <w:szCs w:val="18"/>
              </w:rPr>
            </w:pPr>
            <w:r>
              <w:rPr>
                <w:rFonts w:ascii="宋体" w:hAnsi="宋体" w:cs="宋体" w:eastAsia="宋体" w:hint="default"/>
                <w:sz w:val="18"/>
                <w:szCs w:val="18"/>
              </w:rPr>
              <w:t>信息技术服务</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0"/>
              <w:jc w:val="right"/>
              <w:rPr>
                <w:rFonts w:ascii="宋体" w:hAnsi="宋体" w:cs="宋体" w:eastAsia="宋体" w:hint="default"/>
                <w:sz w:val="18"/>
                <w:szCs w:val="18"/>
              </w:rPr>
            </w:pPr>
            <w:r>
              <w:rPr>
                <w:rFonts w:ascii="宋体"/>
                <w:spacing w:val="-1"/>
                <w:sz w:val="18"/>
              </w:rPr>
              <w:t>--</w:t>
            </w:r>
            <w:r>
              <w:rPr>
                <w:rFonts w:ascii="宋体"/>
                <w:sz w:val="18"/>
              </w:rPr>
              <w:t> </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2" w:right="0"/>
              <w:jc w:val="center"/>
              <w:rPr>
                <w:rFonts w:ascii="宋体" w:hAnsi="宋体" w:cs="宋体" w:eastAsia="宋体" w:hint="default"/>
                <w:sz w:val="18"/>
                <w:szCs w:val="18"/>
              </w:rPr>
            </w:pPr>
            <w:r>
              <w:rPr>
                <w:rFonts w:ascii="宋体"/>
                <w:sz w:val="18"/>
              </w:rPr>
              <w:t>100.00 </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0" w:right="0"/>
              <w:jc w:val="center"/>
              <w:rPr>
                <w:rFonts w:ascii="宋体" w:hAnsi="宋体" w:cs="宋体" w:eastAsia="宋体" w:hint="default"/>
                <w:sz w:val="18"/>
                <w:szCs w:val="18"/>
              </w:rPr>
            </w:pPr>
            <w:r>
              <w:rPr>
                <w:rFonts w:ascii="宋体" w:hAnsi="宋体" w:cs="宋体" w:eastAsia="宋体" w:hint="default"/>
                <w:sz w:val="18"/>
                <w:szCs w:val="18"/>
              </w:rPr>
              <w:t>新设设立</w:t>
            </w:r>
            <w:r>
              <w:rPr>
                <w:rFonts w:ascii="宋体" w:hAnsi="宋体" w:cs="宋体" w:eastAsia="宋体" w:hint="default"/>
                <w:sz w:val="18"/>
                <w:szCs w:val="18"/>
              </w:rPr>
              <w:t> </w:t>
            </w:r>
          </w:p>
        </w:tc>
      </w:tr>
      <w:tr>
        <w:trPr>
          <w:trHeight w:val="396" w:hRule="exact"/>
        </w:trPr>
        <w:tc>
          <w:tcPr>
            <w:tcW w:w="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2" w:right="0"/>
              <w:jc w:val="center"/>
              <w:rPr>
                <w:rFonts w:ascii="宋体" w:hAnsi="宋体" w:cs="宋体" w:eastAsia="宋体" w:hint="default"/>
                <w:sz w:val="18"/>
                <w:szCs w:val="18"/>
              </w:rPr>
            </w:pPr>
            <w:r>
              <w:rPr>
                <w:rFonts w:ascii="宋体"/>
                <w:sz w:val="18"/>
              </w:rPr>
              <w:t>17 </w:t>
            </w:r>
          </w:p>
        </w:tc>
        <w:tc>
          <w:tcPr>
            <w:tcW w:w="29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24" w:right="0"/>
              <w:jc w:val="left"/>
              <w:rPr>
                <w:rFonts w:ascii="宋体" w:hAnsi="宋体" w:cs="宋体" w:eastAsia="宋体" w:hint="default"/>
                <w:sz w:val="18"/>
                <w:szCs w:val="18"/>
              </w:rPr>
            </w:pPr>
            <w:hyperlink r:id="rId28">
              <w:r>
                <w:rPr>
                  <w:rFonts w:ascii="宋体" w:hAnsi="宋体" w:cs="宋体" w:eastAsia="宋体" w:hint="default"/>
                  <w:sz w:val="18"/>
                  <w:szCs w:val="18"/>
                </w:rPr>
                <w:t>南京石鼓文信息技术有限公</w:t>
              </w:r>
            </w:hyperlink>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0" w:right="0"/>
              <w:jc w:val="center"/>
              <w:rPr>
                <w:rFonts w:ascii="宋体" w:hAnsi="宋体" w:cs="宋体" w:eastAsia="宋体" w:hint="default"/>
                <w:sz w:val="18"/>
                <w:szCs w:val="18"/>
              </w:rPr>
            </w:pPr>
            <w:r>
              <w:rPr>
                <w:rFonts w:ascii="宋体" w:hAnsi="宋体" w:cs="宋体" w:eastAsia="宋体" w:hint="default"/>
                <w:sz w:val="18"/>
                <w:szCs w:val="18"/>
              </w:rPr>
              <w:t>江苏</w:t>
            </w:r>
            <w:r>
              <w:rPr>
                <w:rFonts w:ascii="宋体" w:hAnsi="宋体" w:cs="宋体" w:eastAsia="宋体" w:hint="default"/>
                <w:sz w:val="18"/>
                <w:szCs w:val="18"/>
              </w:rPr>
              <w:t> </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40" w:right="0"/>
              <w:jc w:val="left"/>
              <w:rPr>
                <w:rFonts w:ascii="宋体" w:hAnsi="宋体" w:cs="宋体" w:eastAsia="宋体" w:hint="default"/>
                <w:sz w:val="18"/>
                <w:szCs w:val="18"/>
              </w:rPr>
            </w:pPr>
            <w:r>
              <w:rPr>
                <w:rFonts w:ascii="宋体" w:hAnsi="宋体" w:cs="宋体" w:eastAsia="宋体" w:hint="default"/>
                <w:sz w:val="18"/>
                <w:szCs w:val="18"/>
              </w:rPr>
              <w:t>南京</w:t>
            </w:r>
            <w:r>
              <w:rPr>
                <w:rFonts w:ascii="宋体" w:hAnsi="宋体" w:cs="宋体" w:eastAsia="宋体" w:hint="default"/>
                <w:sz w:val="18"/>
                <w:szCs w:val="18"/>
              </w:rPr>
              <w:t> </w:t>
            </w:r>
          </w:p>
        </w:tc>
        <w:tc>
          <w:tcPr>
            <w:tcW w:w="13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27" w:right="0"/>
              <w:jc w:val="left"/>
              <w:rPr>
                <w:rFonts w:ascii="宋体" w:hAnsi="宋体" w:cs="宋体" w:eastAsia="宋体" w:hint="default"/>
                <w:sz w:val="18"/>
                <w:szCs w:val="18"/>
              </w:rPr>
            </w:pPr>
            <w:r>
              <w:rPr>
                <w:rFonts w:ascii="宋体" w:hAnsi="宋体" w:cs="宋体" w:eastAsia="宋体" w:hint="default"/>
                <w:sz w:val="18"/>
                <w:szCs w:val="18"/>
              </w:rPr>
              <w:t>信息技术服务</w:t>
            </w:r>
          </w:p>
        </w:tc>
        <w:tc>
          <w:tcPr>
            <w:tcW w:w="7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00"/>
              <w:jc w:val="right"/>
              <w:rPr>
                <w:rFonts w:ascii="宋体" w:hAnsi="宋体" w:cs="宋体" w:eastAsia="宋体" w:hint="default"/>
                <w:sz w:val="18"/>
                <w:szCs w:val="18"/>
              </w:rPr>
            </w:pPr>
            <w:r>
              <w:rPr>
                <w:rFonts w:ascii="宋体"/>
                <w:spacing w:val="-1"/>
                <w:sz w:val="18"/>
              </w:rPr>
              <w:t>--</w:t>
            </w:r>
            <w:r>
              <w:rPr>
                <w:rFonts w:ascii="宋体"/>
                <w:sz w:val="18"/>
              </w:rPr>
              <w:t> </w:t>
            </w:r>
          </w:p>
        </w:tc>
        <w:tc>
          <w:tcPr>
            <w:tcW w:w="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2" w:right="0"/>
              <w:jc w:val="center"/>
              <w:rPr>
                <w:rFonts w:ascii="宋体" w:hAnsi="宋体" w:cs="宋体" w:eastAsia="宋体" w:hint="default"/>
                <w:sz w:val="18"/>
                <w:szCs w:val="18"/>
              </w:rPr>
            </w:pPr>
            <w:r>
              <w:rPr>
                <w:rFonts w:ascii="宋体"/>
                <w:sz w:val="18"/>
              </w:rPr>
              <w:t>100.00 </w:t>
            </w:r>
          </w:p>
        </w:tc>
        <w:tc>
          <w:tcPr>
            <w:tcW w:w="17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0" w:right="0"/>
              <w:jc w:val="center"/>
              <w:rPr>
                <w:rFonts w:ascii="宋体" w:hAnsi="宋体" w:cs="宋体" w:eastAsia="宋体" w:hint="default"/>
                <w:sz w:val="18"/>
                <w:szCs w:val="18"/>
              </w:rPr>
            </w:pPr>
            <w:r>
              <w:rPr>
                <w:rFonts w:ascii="宋体" w:hAnsi="宋体" w:cs="宋体" w:eastAsia="宋体" w:hint="default"/>
                <w:sz w:val="18"/>
                <w:szCs w:val="18"/>
              </w:rPr>
              <w:t>非同一控制下合并</w:t>
            </w:r>
            <w:r>
              <w:rPr>
                <w:rFonts w:ascii="宋体" w:hAnsi="宋体" w:cs="宋体" w:eastAsia="宋体" w:hint="default"/>
                <w:sz w:val="18"/>
                <w:szCs w:val="18"/>
              </w:rPr>
              <w:t> </w:t>
            </w:r>
          </w:p>
        </w:tc>
      </w:tr>
    </w:tbl>
    <w:p>
      <w:pPr>
        <w:spacing w:line="240" w:lineRule="auto" w:before="8"/>
        <w:rPr>
          <w:rFonts w:ascii="宋体" w:hAnsi="宋体" w:cs="宋体" w:eastAsia="宋体" w:hint="default"/>
          <w:sz w:val="6"/>
          <w:szCs w:val="6"/>
        </w:rPr>
      </w:pPr>
    </w:p>
    <w:p>
      <w:pPr>
        <w:pStyle w:val="Heading3"/>
        <w:spacing w:line="374" w:lineRule="auto"/>
        <w:ind w:left="823" w:right="3878" w:hanging="209"/>
        <w:jc w:val="left"/>
        <w:rPr>
          <w:rFonts w:ascii="宋体" w:hAnsi="宋体" w:cs="宋体" w:eastAsia="宋体" w:hint="default"/>
          <w:b w:val="0"/>
          <w:bCs w:val="0"/>
        </w:rPr>
      </w:pPr>
      <w:r>
        <w:rPr/>
        <w:t>（二）在子公司的所有者权益份额发生变化且仍控制子公司的交易</w:t>
      </w:r>
      <w:r>
        <w:rPr>
          <w:rFonts w:ascii="宋体" w:hAnsi="宋体" w:cs="宋体" w:eastAsia="宋体" w:hint="default"/>
          <w:w w:val="99"/>
        </w:rPr>
        <w:t> </w:t>
      </w:r>
      <w:r>
        <w:rPr>
          <w:rFonts w:ascii="宋体" w:hAnsi="宋体" w:cs="宋体" w:eastAsia="宋体" w:hint="default"/>
          <w:b w:val="0"/>
          <w:bCs w:val="0"/>
        </w:rPr>
        <w:t>无。</w:t>
      </w:r>
      <w:r>
        <w:rPr>
          <w:rFonts w:ascii="宋体" w:hAnsi="宋体" w:cs="宋体" w:eastAsia="宋体" w:hint="default"/>
          <w:b w:val="0"/>
          <w:bCs w:val="0"/>
        </w:rPr>
        <w:t> </w:t>
      </w:r>
    </w:p>
    <w:p>
      <w:pPr>
        <w:spacing w:before="34"/>
        <w:ind w:left="614" w:right="0" w:firstLine="0"/>
        <w:jc w:val="left"/>
        <w:rPr>
          <w:rFonts w:ascii="宋体" w:hAnsi="宋体" w:cs="宋体" w:eastAsia="宋体" w:hint="default"/>
          <w:sz w:val="21"/>
          <w:szCs w:val="21"/>
        </w:rPr>
      </w:pPr>
      <w:r>
        <w:rPr>
          <w:rFonts w:ascii="宋体" w:hAnsi="宋体" w:cs="宋体" w:eastAsia="宋体" w:hint="default"/>
          <w:b/>
          <w:bCs/>
          <w:sz w:val="21"/>
          <w:szCs w:val="21"/>
        </w:rPr>
        <w:t>（三）在合营安排或联营企业中的权益</w:t>
      </w:r>
      <w:r>
        <w:rPr>
          <w:rFonts w:ascii="宋体" w:hAnsi="宋体" w:cs="宋体" w:eastAsia="宋体" w:hint="default"/>
          <w:b/>
          <w:bCs/>
          <w:w w:val="99"/>
          <w:sz w:val="21"/>
          <w:szCs w:val="21"/>
        </w:rPr>
        <w:t> </w:t>
      </w:r>
      <w:r>
        <w:rPr>
          <w:rFonts w:ascii="宋体" w:hAnsi="宋体" w:cs="宋体" w:eastAsia="宋体" w:hint="default"/>
          <w:sz w:val="21"/>
          <w:szCs w:val="21"/>
        </w:rPr>
      </w:r>
    </w:p>
    <w:p>
      <w:pPr>
        <w:spacing w:line="240" w:lineRule="auto" w:before="6"/>
        <w:rPr>
          <w:rFonts w:ascii="宋体" w:hAnsi="宋体" w:cs="宋体" w:eastAsia="宋体" w:hint="default"/>
          <w:b/>
          <w:bCs/>
          <w:sz w:val="14"/>
          <w:szCs w:val="14"/>
        </w:rPr>
      </w:pPr>
    </w:p>
    <w:tbl>
      <w:tblPr>
        <w:tblW w:w="0" w:type="auto"/>
        <w:jc w:val="left"/>
        <w:tblInd w:w="357" w:type="dxa"/>
        <w:tblLayout w:type="fixed"/>
        <w:tblCellMar>
          <w:top w:w="0" w:type="dxa"/>
          <w:left w:w="0" w:type="dxa"/>
          <w:bottom w:w="0" w:type="dxa"/>
          <w:right w:w="0" w:type="dxa"/>
        </w:tblCellMar>
        <w:tblLook w:val="01E0"/>
      </w:tblPr>
      <w:tblGrid>
        <w:gridCol w:w="3303"/>
        <w:gridCol w:w="850"/>
        <w:gridCol w:w="852"/>
        <w:gridCol w:w="1008"/>
        <w:gridCol w:w="806"/>
        <w:gridCol w:w="734"/>
        <w:gridCol w:w="2117"/>
      </w:tblGrid>
      <w:tr>
        <w:trPr>
          <w:trHeight w:val="396" w:hRule="exact"/>
        </w:trPr>
        <w:tc>
          <w:tcPr>
            <w:tcW w:w="3303"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8"/>
                <w:szCs w:val="18"/>
              </w:rPr>
            </w:pPr>
          </w:p>
          <w:p>
            <w:pPr>
              <w:pStyle w:val="TableParagraph"/>
              <w:spacing w:line="240" w:lineRule="auto"/>
              <w:ind w:left="106" w:right="0"/>
              <w:jc w:val="left"/>
              <w:rPr>
                <w:rFonts w:ascii="宋体" w:hAnsi="宋体" w:cs="宋体" w:eastAsia="宋体" w:hint="default"/>
                <w:sz w:val="18"/>
                <w:szCs w:val="18"/>
              </w:rPr>
            </w:pPr>
            <w:r>
              <w:rPr>
                <w:rFonts w:ascii="宋体" w:hAnsi="宋体" w:cs="宋体" w:eastAsia="宋体" w:hint="default"/>
                <w:sz w:val="18"/>
                <w:szCs w:val="18"/>
              </w:rPr>
              <w:t>合营企业或联营企业名称</w:t>
            </w:r>
            <w:r>
              <w:rPr>
                <w:rFonts w:ascii="宋体" w:hAnsi="宋体" w:cs="宋体" w:eastAsia="宋体" w:hint="default"/>
                <w:sz w:val="18"/>
                <w:szCs w:val="18"/>
              </w:rPr>
              <w:t> </w:t>
            </w:r>
          </w:p>
        </w:tc>
        <w:tc>
          <w:tcPr>
            <w:tcW w:w="850" w:type="dxa"/>
            <w:vMerge w:val="restart"/>
            <w:tcBorders>
              <w:top w:val="single" w:sz="4" w:space="0" w:color="000000"/>
              <w:left w:val="single" w:sz="4" w:space="0" w:color="000000"/>
              <w:right w:val="single" w:sz="4" w:space="0" w:color="000000"/>
            </w:tcBorders>
          </w:tcPr>
          <w:p>
            <w:pPr>
              <w:pStyle w:val="TableParagraph"/>
              <w:spacing w:line="232" w:lineRule="exact" w:before="152"/>
              <w:ind w:left="103" w:right="50"/>
              <w:jc w:val="left"/>
              <w:rPr>
                <w:rFonts w:ascii="宋体" w:hAnsi="宋体" w:cs="宋体" w:eastAsia="宋体" w:hint="default"/>
                <w:sz w:val="18"/>
                <w:szCs w:val="18"/>
              </w:rPr>
            </w:pPr>
            <w:r>
              <w:rPr>
                <w:rFonts w:ascii="宋体" w:hAnsi="宋体" w:cs="宋体" w:eastAsia="宋体" w:hint="default"/>
                <w:spacing w:val="32"/>
                <w:sz w:val="18"/>
                <w:szCs w:val="18"/>
              </w:rPr>
              <w:t>主要经</w:t>
            </w:r>
            <w:r>
              <w:rPr>
                <w:rFonts w:ascii="宋体" w:hAnsi="宋体" w:cs="宋体" w:eastAsia="宋体" w:hint="default"/>
                <w:spacing w:val="-42"/>
                <w:sz w:val="18"/>
                <w:szCs w:val="18"/>
              </w:rPr>
              <w:t> </w:t>
            </w:r>
            <w:r>
              <w:rPr>
                <w:rFonts w:ascii="宋体" w:hAnsi="宋体" w:cs="宋体" w:eastAsia="宋体" w:hint="default"/>
                <w:sz w:val="18"/>
                <w:szCs w:val="18"/>
              </w:rPr>
              <w:t>营地</w:t>
            </w:r>
            <w:r>
              <w:rPr>
                <w:rFonts w:ascii="宋体" w:hAnsi="宋体" w:cs="宋体" w:eastAsia="宋体" w:hint="default"/>
                <w:sz w:val="18"/>
                <w:szCs w:val="18"/>
              </w:rPr>
              <w:t> </w:t>
            </w:r>
          </w:p>
        </w:tc>
        <w:tc>
          <w:tcPr>
            <w:tcW w:w="852"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注册地</w:t>
            </w:r>
            <w:r>
              <w:rPr>
                <w:rFonts w:ascii="宋体" w:hAnsi="宋体" w:cs="宋体" w:eastAsia="宋体" w:hint="default"/>
                <w:sz w:val="18"/>
                <w:szCs w:val="18"/>
              </w:rPr>
              <w:t> </w:t>
            </w:r>
          </w:p>
        </w:tc>
        <w:tc>
          <w:tcPr>
            <w:tcW w:w="1008"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业务性质</w:t>
            </w:r>
            <w:r>
              <w:rPr>
                <w:rFonts w:ascii="宋体" w:hAnsi="宋体" w:cs="宋体" w:eastAsia="宋体" w:hint="default"/>
                <w:sz w:val="18"/>
                <w:szCs w:val="18"/>
              </w:rPr>
              <w:t> </w:t>
            </w:r>
          </w:p>
        </w:tc>
        <w:tc>
          <w:tcPr>
            <w:tcW w:w="154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82" w:right="0"/>
              <w:jc w:val="left"/>
              <w:rPr>
                <w:rFonts w:ascii="宋体" w:hAnsi="宋体" w:cs="宋体" w:eastAsia="宋体" w:hint="default"/>
                <w:sz w:val="18"/>
                <w:szCs w:val="18"/>
              </w:rPr>
            </w:pPr>
            <w:r>
              <w:rPr>
                <w:rFonts w:ascii="宋体" w:hAnsi="宋体" w:cs="宋体" w:eastAsia="宋体" w:hint="default"/>
                <w:sz w:val="18"/>
                <w:szCs w:val="18"/>
              </w:rPr>
              <w:t>持股比例（</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 </w:t>
            </w:r>
          </w:p>
        </w:tc>
        <w:tc>
          <w:tcPr>
            <w:tcW w:w="2117" w:type="dxa"/>
            <w:vMerge w:val="restart"/>
            <w:tcBorders>
              <w:top w:val="single" w:sz="4" w:space="0" w:color="000000"/>
              <w:left w:val="single" w:sz="4" w:space="0" w:color="000000"/>
              <w:right w:val="single" w:sz="4" w:space="0" w:color="000000"/>
            </w:tcBorders>
          </w:tcPr>
          <w:p>
            <w:pPr>
              <w:pStyle w:val="TableParagraph"/>
              <w:spacing w:line="316" w:lineRule="auto" w:before="89"/>
              <w:ind w:left="244" w:right="149" w:hanging="89"/>
              <w:jc w:val="left"/>
              <w:rPr>
                <w:rFonts w:ascii="宋体" w:hAnsi="宋体" w:cs="宋体" w:eastAsia="宋体" w:hint="default"/>
                <w:sz w:val="18"/>
                <w:szCs w:val="18"/>
              </w:rPr>
            </w:pPr>
            <w:r>
              <w:rPr>
                <w:rFonts w:ascii="宋体" w:hAnsi="宋体" w:cs="宋体" w:eastAsia="宋体" w:hint="default"/>
                <w:sz w:val="18"/>
                <w:szCs w:val="18"/>
              </w:rPr>
              <w:t>对合营企业或联营企业 投资的会计处理方法</w:t>
            </w:r>
            <w:r>
              <w:rPr>
                <w:rFonts w:ascii="宋体" w:hAnsi="宋体" w:cs="宋体" w:eastAsia="宋体" w:hint="default"/>
                <w:sz w:val="18"/>
                <w:szCs w:val="18"/>
              </w:rPr>
              <w:t> </w:t>
            </w:r>
          </w:p>
        </w:tc>
      </w:tr>
      <w:tr>
        <w:trPr>
          <w:trHeight w:val="398" w:hRule="exact"/>
        </w:trPr>
        <w:tc>
          <w:tcPr>
            <w:tcW w:w="3303" w:type="dxa"/>
            <w:vMerge/>
            <w:tcBorders>
              <w:left w:val="single" w:sz="4" w:space="0" w:color="000000"/>
              <w:bottom w:val="single" w:sz="4" w:space="0" w:color="000000"/>
              <w:right w:val="single" w:sz="4" w:space="0" w:color="000000"/>
            </w:tcBorders>
          </w:tcPr>
          <w:p>
            <w:pPr/>
          </w:p>
        </w:tc>
        <w:tc>
          <w:tcPr>
            <w:tcW w:w="850" w:type="dxa"/>
            <w:vMerge/>
            <w:tcBorders>
              <w:left w:val="single" w:sz="4" w:space="0" w:color="000000"/>
              <w:bottom w:val="single" w:sz="4" w:space="0" w:color="000000"/>
              <w:right w:val="single" w:sz="4" w:space="0" w:color="000000"/>
            </w:tcBorders>
          </w:tcPr>
          <w:p>
            <w:pPr/>
          </w:p>
        </w:tc>
        <w:tc>
          <w:tcPr>
            <w:tcW w:w="852" w:type="dxa"/>
            <w:vMerge/>
            <w:tcBorders>
              <w:left w:val="single" w:sz="4" w:space="0" w:color="000000"/>
              <w:bottom w:val="single" w:sz="4" w:space="0" w:color="000000"/>
              <w:right w:val="single" w:sz="4" w:space="0" w:color="000000"/>
            </w:tcBorders>
          </w:tcPr>
          <w:p>
            <w:pPr/>
          </w:p>
        </w:tc>
        <w:tc>
          <w:tcPr>
            <w:tcW w:w="1008" w:type="dxa"/>
            <w:vMerge/>
            <w:tcBorders>
              <w:left w:val="single" w:sz="4" w:space="0" w:color="000000"/>
              <w:bottom w:val="single" w:sz="4" w:space="0" w:color="000000"/>
              <w:right w:val="single" w:sz="4" w:space="0" w:color="000000"/>
            </w:tcBorders>
          </w:tcPr>
          <w:p>
            <w:pP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 w:right="0"/>
              <w:jc w:val="center"/>
              <w:rPr>
                <w:rFonts w:ascii="宋体" w:hAnsi="宋体" w:cs="宋体" w:eastAsia="宋体" w:hint="default"/>
                <w:sz w:val="18"/>
                <w:szCs w:val="18"/>
              </w:rPr>
            </w:pPr>
            <w:r>
              <w:rPr>
                <w:rFonts w:ascii="宋体" w:hAnsi="宋体" w:cs="宋体" w:eastAsia="宋体" w:hint="default"/>
                <w:sz w:val="18"/>
                <w:szCs w:val="18"/>
              </w:rPr>
              <w:t>直接</w:t>
            </w:r>
            <w:r>
              <w:rPr>
                <w:rFonts w:ascii="宋体" w:hAnsi="宋体" w:cs="宋体" w:eastAsia="宋体" w:hint="default"/>
                <w:sz w:val="18"/>
                <w:szCs w:val="18"/>
              </w:rPr>
              <w:t> </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82" w:right="0"/>
              <w:jc w:val="left"/>
              <w:rPr>
                <w:rFonts w:ascii="宋体" w:hAnsi="宋体" w:cs="宋体" w:eastAsia="宋体" w:hint="default"/>
                <w:sz w:val="18"/>
                <w:szCs w:val="18"/>
              </w:rPr>
            </w:pPr>
            <w:r>
              <w:rPr>
                <w:rFonts w:ascii="宋体" w:hAnsi="宋体" w:cs="宋体" w:eastAsia="宋体" w:hint="default"/>
                <w:sz w:val="18"/>
                <w:szCs w:val="18"/>
              </w:rPr>
              <w:t>间接</w:t>
            </w:r>
            <w:r>
              <w:rPr>
                <w:rFonts w:ascii="宋体" w:hAnsi="宋体" w:cs="宋体" w:eastAsia="宋体" w:hint="default"/>
                <w:sz w:val="18"/>
                <w:szCs w:val="18"/>
              </w:rPr>
              <w:t> </w:t>
            </w:r>
          </w:p>
        </w:tc>
        <w:tc>
          <w:tcPr>
            <w:tcW w:w="2117" w:type="dxa"/>
            <w:vMerge/>
            <w:tcBorders>
              <w:left w:val="single" w:sz="4" w:space="0" w:color="000000"/>
              <w:bottom w:val="single" w:sz="4" w:space="0" w:color="000000"/>
              <w:right w:val="single" w:sz="4" w:space="0" w:color="000000"/>
            </w:tcBorders>
          </w:tcPr>
          <w:p>
            <w:pPr/>
          </w:p>
        </w:tc>
      </w:tr>
      <w:tr>
        <w:trPr>
          <w:trHeight w:val="396" w:hRule="exact"/>
        </w:trPr>
        <w:tc>
          <w:tcPr>
            <w:tcW w:w="33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6" w:right="0"/>
              <w:jc w:val="left"/>
              <w:rPr>
                <w:rFonts w:ascii="宋体" w:hAnsi="宋体" w:cs="宋体" w:eastAsia="宋体" w:hint="default"/>
                <w:sz w:val="18"/>
                <w:szCs w:val="18"/>
              </w:rPr>
            </w:pPr>
            <w:r>
              <w:rPr>
                <w:rFonts w:ascii="宋体" w:hAnsi="宋体" w:cs="宋体" w:eastAsia="宋体" w:hint="default"/>
                <w:sz w:val="18"/>
                <w:szCs w:val="18"/>
              </w:rPr>
              <w:t>河北雄安泽兴股权投资基</w:t>
            </w:r>
            <w:r>
              <w:rPr>
                <w:rFonts w:ascii="宋体" w:hAnsi="宋体" w:cs="宋体" w:eastAsia="宋体" w:hint="default"/>
                <w:spacing w:val="-65"/>
                <w:sz w:val="18"/>
                <w:szCs w:val="18"/>
              </w:rPr>
              <w:t>金</w:t>
            </w:r>
            <w:r>
              <w:rPr>
                <w:rFonts w:ascii="宋体" w:hAnsi="宋体" w:cs="宋体" w:eastAsia="宋体" w:hint="default"/>
                <w:sz w:val="18"/>
                <w:szCs w:val="18"/>
              </w:rPr>
              <w:t>（有限合伙</w:t>
            </w:r>
            <w:r>
              <w:rPr>
                <w:rFonts w:ascii="宋体" w:hAnsi="宋体" w:cs="宋体" w:eastAsia="宋体" w:hint="default"/>
                <w:spacing w:val="-91"/>
                <w:sz w:val="18"/>
                <w:szCs w:val="18"/>
              </w:rPr>
              <w:t>）</w:t>
            </w:r>
            <w:r>
              <w:rPr>
                <w:rFonts w:ascii="宋体" w:hAnsi="宋体" w:cs="宋体" w:eastAsia="宋体" w:hint="default"/>
                <w:sz w:val="18"/>
                <w:szCs w:val="18"/>
              </w:rPr>
              <w:t> </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39" w:right="0"/>
              <w:jc w:val="left"/>
              <w:rPr>
                <w:rFonts w:ascii="宋体" w:hAnsi="宋体" w:cs="宋体" w:eastAsia="宋体" w:hint="default"/>
                <w:sz w:val="18"/>
                <w:szCs w:val="18"/>
              </w:rPr>
            </w:pPr>
            <w:r>
              <w:rPr>
                <w:rFonts w:ascii="宋体" w:hAnsi="宋体" w:cs="宋体" w:eastAsia="宋体" w:hint="default"/>
                <w:sz w:val="18"/>
                <w:szCs w:val="18"/>
              </w:rPr>
              <w:t>河北</w:t>
            </w:r>
            <w:r>
              <w:rPr>
                <w:rFonts w:ascii="宋体" w:hAnsi="宋体" w:cs="宋体" w:eastAsia="宋体" w:hint="default"/>
                <w:sz w:val="18"/>
                <w:szCs w:val="18"/>
              </w:rPr>
              <w:t> </w:t>
            </w:r>
          </w:p>
        </w:tc>
        <w:tc>
          <w:tcPr>
            <w:tcW w:w="8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40" w:right="0"/>
              <w:jc w:val="left"/>
              <w:rPr>
                <w:rFonts w:ascii="宋体" w:hAnsi="宋体" w:cs="宋体" w:eastAsia="宋体" w:hint="default"/>
                <w:sz w:val="18"/>
                <w:szCs w:val="18"/>
              </w:rPr>
            </w:pPr>
            <w:r>
              <w:rPr>
                <w:rFonts w:ascii="宋体" w:hAnsi="宋体" w:cs="宋体" w:eastAsia="宋体" w:hint="default"/>
                <w:sz w:val="18"/>
                <w:szCs w:val="18"/>
              </w:rPr>
              <w:t>河北</w:t>
            </w:r>
            <w:r>
              <w:rPr>
                <w:rFonts w:ascii="宋体" w:hAnsi="宋体" w:cs="宋体" w:eastAsia="宋体" w:hint="default"/>
                <w:sz w:val="18"/>
                <w:szCs w:val="18"/>
              </w:rPr>
              <w:t> </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39" w:right="0"/>
              <w:jc w:val="left"/>
              <w:rPr>
                <w:rFonts w:ascii="宋体" w:hAnsi="宋体" w:cs="宋体" w:eastAsia="宋体" w:hint="default"/>
                <w:sz w:val="18"/>
                <w:szCs w:val="18"/>
              </w:rPr>
            </w:pPr>
            <w:r>
              <w:rPr>
                <w:rFonts w:ascii="宋体" w:hAnsi="宋体" w:cs="宋体" w:eastAsia="宋体" w:hint="default"/>
                <w:sz w:val="18"/>
                <w:szCs w:val="18"/>
              </w:rPr>
              <w:t>投资管理</w:t>
            </w:r>
            <w:r>
              <w:rPr>
                <w:rFonts w:ascii="宋体" w:hAnsi="宋体" w:cs="宋体" w:eastAsia="宋体" w:hint="default"/>
                <w:sz w:val="18"/>
                <w:szCs w:val="18"/>
              </w:rPr>
              <w:t> </w:t>
            </w:r>
          </w:p>
        </w:tc>
        <w:tc>
          <w:tcPr>
            <w:tcW w:w="8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40" w:right="0"/>
              <w:jc w:val="center"/>
              <w:rPr>
                <w:rFonts w:ascii="宋体" w:hAnsi="宋体" w:cs="宋体" w:eastAsia="宋体" w:hint="default"/>
                <w:sz w:val="18"/>
                <w:szCs w:val="18"/>
              </w:rPr>
            </w:pPr>
            <w:r>
              <w:rPr>
                <w:rFonts w:ascii="宋体"/>
                <w:sz w:val="18"/>
              </w:rPr>
              <w:t>49.83% </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z w:val="18"/>
              </w:rPr>
              <w:t> </w:t>
            </w:r>
          </w:p>
        </w:tc>
        <w:tc>
          <w:tcPr>
            <w:tcW w:w="21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785" w:right="0"/>
              <w:jc w:val="left"/>
              <w:rPr>
                <w:rFonts w:ascii="宋体" w:hAnsi="宋体" w:cs="宋体" w:eastAsia="宋体" w:hint="default"/>
                <w:sz w:val="18"/>
                <w:szCs w:val="18"/>
              </w:rPr>
            </w:pPr>
            <w:r>
              <w:rPr>
                <w:rFonts w:ascii="宋体" w:hAnsi="宋体" w:cs="宋体" w:eastAsia="宋体" w:hint="default"/>
                <w:sz w:val="18"/>
                <w:szCs w:val="18"/>
              </w:rPr>
              <w:t>权益法</w:t>
            </w:r>
            <w:r>
              <w:rPr>
                <w:rFonts w:ascii="宋体" w:hAnsi="宋体" w:cs="宋体" w:eastAsia="宋体" w:hint="default"/>
                <w:sz w:val="18"/>
                <w:szCs w:val="18"/>
              </w:rPr>
              <w:t> </w:t>
            </w:r>
          </w:p>
        </w:tc>
      </w:tr>
    </w:tbl>
    <w:p>
      <w:pPr>
        <w:spacing w:line="240" w:lineRule="auto" w:before="7"/>
        <w:rPr>
          <w:rFonts w:ascii="宋体" w:hAnsi="宋体" w:cs="宋体" w:eastAsia="宋体" w:hint="default"/>
          <w:b/>
          <w:bCs/>
          <w:sz w:val="6"/>
          <w:szCs w:val="6"/>
        </w:rPr>
      </w:pPr>
    </w:p>
    <w:p>
      <w:pPr>
        <w:pStyle w:val="BodyText"/>
        <w:spacing w:line="374" w:lineRule="auto" w:before="36"/>
        <w:ind w:left="823" w:right="7892" w:hanging="209"/>
        <w:jc w:val="left"/>
        <w:rPr>
          <w:rFonts w:ascii="宋体" w:hAnsi="宋体" w:cs="宋体" w:eastAsia="宋体" w:hint="default"/>
        </w:rPr>
      </w:pPr>
      <w:r>
        <w:rPr/>
        <w:t>（四）重要的共同经营</w:t>
      </w:r>
      <w:r>
        <w:rPr>
          <w:rFonts w:ascii="宋体" w:hAnsi="宋体" w:cs="宋体" w:eastAsia="宋体" w:hint="default"/>
          <w:w w:val="100"/>
        </w:rPr>
        <w:t> </w:t>
      </w:r>
      <w:r>
        <w:rPr/>
        <w:t>无。</w:t>
      </w:r>
      <w:r>
        <w:rPr>
          <w:rFonts w:ascii="宋体" w:hAnsi="宋体" w:cs="宋体" w:eastAsia="宋体" w:hint="default"/>
        </w:rPr>
        <w:t> </w:t>
      </w:r>
    </w:p>
    <w:p>
      <w:pPr>
        <w:pStyle w:val="Heading3"/>
        <w:spacing w:line="374" w:lineRule="auto" w:before="34"/>
        <w:ind w:left="823" w:right="4721" w:hanging="209"/>
        <w:jc w:val="left"/>
        <w:rPr>
          <w:rFonts w:ascii="宋体" w:hAnsi="宋体" w:cs="宋体" w:eastAsia="宋体" w:hint="default"/>
          <w:b w:val="0"/>
          <w:bCs w:val="0"/>
        </w:rPr>
      </w:pPr>
      <w:r>
        <w:rPr/>
        <w:t>（五）在未纳入合并财务报表范围的结构化主体中的权益</w:t>
      </w:r>
      <w:r>
        <w:rPr>
          <w:rFonts w:ascii="宋体" w:hAnsi="宋体" w:cs="宋体" w:eastAsia="宋体" w:hint="default"/>
          <w:w w:val="99"/>
        </w:rPr>
        <w:t> </w:t>
      </w:r>
      <w:r>
        <w:rPr>
          <w:rFonts w:ascii="宋体" w:hAnsi="宋体" w:cs="宋体" w:eastAsia="宋体" w:hint="default"/>
          <w:b w:val="0"/>
          <w:bCs w:val="0"/>
        </w:rPr>
        <w:t>无。</w:t>
      </w:r>
      <w:r>
        <w:rPr>
          <w:rFonts w:ascii="宋体" w:hAnsi="宋体" w:cs="宋体" w:eastAsia="宋体" w:hint="default"/>
          <w:b w:val="0"/>
          <w:bCs w:val="0"/>
        </w:rPr>
        <w:t> </w:t>
      </w:r>
    </w:p>
    <w:p>
      <w:pPr>
        <w:spacing w:before="34"/>
        <w:ind w:left="403" w:right="0" w:firstLine="0"/>
        <w:jc w:val="left"/>
        <w:rPr>
          <w:rFonts w:ascii="宋体" w:hAnsi="宋体" w:cs="宋体" w:eastAsia="宋体" w:hint="default"/>
          <w:sz w:val="21"/>
          <w:szCs w:val="21"/>
        </w:rPr>
      </w:pPr>
      <w:r>
        <w:rPr>
          <w:rFonts w:ascii="宋体" w:hAnsi="宋体" w:cs="宋体" w:eastAsia="宋体" w:hint="default"/>
          <w:b/>
          <w:bCs/>
          <w:sz w:val="21"/>
          <w:szCs w:val="21"/>
        </w:rPr>
        <w:t>九、与金融工具相关的风险</w:t>
      </w:r>
      <w:r>
        <w:rPr>
          <w:rFonts w:ascii="宋体" w:hAnsi="宋体" w:cs="宋体" w:eastAsia="宋体" w:hint="default"/>
          <w:b/>
          <w:bCs/>
          <w:w w:val="99"/>
          <w:sz w:val="21"/>
          <w:szCs w:val="21"/>
        </w:rPr>
        <w:t> </w:t>
      </w:r>
      <w:r>
        <w:rPr>
          <w:rFonts w:ascii="宋体" w:hAnsi="宋体" w:cs="宋体" w:eastAsia="宋体" w:hint="default"/>
          <w:sz w:val="21"/>
          <w:szCs w:val="21"/>
        </w:rPr>
      </w:r>
    </w:p>
    <w:p>
      <w:pPr>
        <w:pStyle w:val="BodyText"/>
        <w:spacing w:line="237" w:lineRule="auto" w:before="157"/>
        <w:ind w:left="403" w:right="1073" w:firstLine="420"/>
        <w:jc w:val="both"/>
        <w:rPr>
          <w:rFonts w:ascii="宋体" w:hAnsi="宋体" w:cs="宋体" w:eastAsia="宋体" w:hint="default"/>
        </w:rPr>
      </w:pPr>
      <w:r>
        <w:rPr/>
        <w:t>本公司的主要金融工具包括应收账款、应付账款等，各项金融工具的详细情况说明见本附注六相关</w:t>
      </w:r>
      <w:r>
        <w:rPr>
          <w:w w:val="100"/>
        </w:rPr>
        <w:t> </w:t>
      </w:r>
      <w:r>
        <w:rPr/>
        <w:t>项目。与这些金融工具有关的风险，以及本公司为降低这些风险所采取的风险管理政策如下所述。本公</w:t>
      </w:r>
      <w:r>
        <w:rPr>
          <w:spacing w:val="-36"/>
        </w:rPr>
        <w:t> </w:t>
      </w:r>
      <w:r>
        <w:rPr>
          <w:spacing w:val="-36"/>
        </w:rPr>
      </w:r>
      <w:r>
        <w:rPr/>
        <w:t>司管理层对这些风险敞口进行管理和监控以确保将上述风险控制在限定的范围之内。本公司采用敏感性</w:t>
      </w:r>
      <w:r>
        <w:rPr>
          <w:spacing w:val="-36"/>
        </w:rPr>
        <w:t> </w:t>
      </w:r>
      <w:r>
        <w:rPr>
          <w:spacing w:val="-36"/>
        </w:rPr>
      </w:r>
      <w:r>
        <w:rPr/>
        <w:t>分析技术分析风险变量的合理、可能变化对当期损益或股东权益可能产生的影响。由于任何风险变量很</w:t>
      </w:r>
      <w:r>
        <w:rPr>
          <w:spacing w:val="-36"/>
        </w:rPr>
        <w:t> </w:t>
      </w:r>
      <w:r>
        <w:rPr>
          <w:spacing w:val="-36"/>
        </w:rPr>
      </w:r>
      <w:r>
        <w:rPr/>
        <w:t>少孤立地发生变化，而变量之间存在的相关性对某一风险变量的变化的最终影响金额将产生重大作用，</w:t>
      </w:r>
      <w:r>
        <w:rPr>
          <w:spacing w:val="-36"/>
        </w:rPr>
        <w:t> </w:t>
      </w:r>
      <w:r>
        <w:rPr>
          <w:spacing w:val="-36"/>
        </w:rPr>
      </w:r>
      <w:r>
        <w:rPr/>
        <w:t>因此下述内容是在假设每一变量的变化是在独立的情况下进行的。金融工具的分类</w:t>
      </w:r>
      <w:r>
        <w:rPr>
          <w:rFonts w:ascii="宋体" w:hAnsi="宋体" w:cs="宋体" w:eastAsia="宋体" w:hint="default"/>
        </w:rPr>
        <w:t> </w:t>
      </w:r>
    </w:p>
    <w:p>
      <w:pPr>
        <w:spacing w:line="430" w:lineRule="exact" w:before="54"/>
        <w:ind w:left="823" w:right="0" w:firstLine="2"/>
        <w:jc w:val="left"/>
        <w:rPr>
          <w:rFonts w:ascii="宋体" w:hAnsi="宋体" w:cs="宋体" w:eastAsia="宋体" w:hint="default"/>
          <w:sz w:val="21"/>
          <w:szCs w:val="21"/>
        </w:rPr>
      </w:pPr>
      <w:r>
        <w:rPr>
          <w:rFonts w:ascii="宋体" w:hAnsi="宋体" w:cs="宋体" w:eastAsia="宋体" w:hint="default"/>
          <w:b/>
          <w:bCs/>
          <w:sz w:val="21"/>
          <w:szCs w:val="21"/>
        </w:rPr>
        <w:t>（一）风险管理目标和政策</w:t>
      </w:r>
      <w:r>
        <w:rPr>
          <w:rFonts w:ascii="宋体" w:hAnsi="宋体" w:cs="宋体" w:eastAsia="宋体" w:hint="default"/>
          <w:b/>
          <w:bCs/>
          <w:w w:val="99"/>
          <w:sz w:val="21"/>
          <w:szCs w:val="21"/>
        </w:rPr>
        <w:t> </w:t>
      </w:r>
      <w:r>
        <w:rPr>
          <w:rFonts w:ascii="宋体" w:hAnsi="宋体" w:cs="宋体" w:eastAsia="宋体" w:hint="default"/>
          <w:sz w:val="21"/>
          <w:szCs w:val="21"/>
        </w:rPr>
        <w:t>本公司从事风险管理的目标是在风险和收益之间取得适当的平衡，将风险对本公司经营业绩的负面</w:t>
      </w:r>
    </w:p>
    <w:p>
      <w:pPr>
        <w:pStyle w:val="BodyText"/>
        <w:spacing w:line="214" w:lineRule="exact"/>
        <w:ind w:left="403" w:right="0"/>
        <w:jc w:val="left"/>
      </w:pPr>
      <w:r>
        <w:rPr/>
        <w:t>影响降低到最低水平，使股东及其其他权益投资者的利益最大化。基于该风险管理目标，本公司风险管</w:t>
      </w:r>
    </w:p>
    <w:p>
      <w:pPr>
        <w:pStyle w:val="BodyText"/>
        <w:spacing w:line="272" w:lineRule="exact" w:before="27"/>
        <w:ind w:left="403" w:right="0"/>
        <w:jc w:val="left"/>
        <w:rPr>
          <w:rFonts w:ascii="宋体" w:hAnsi="宋体" w:cs="宋体" w:eastAsia="宋体" w:hint="default"/>
        </w:rPr>
      </w:pPr>
      <w:r>
        <w:rPr/>
        <w:t>理的基本策略是确定和分析本公司所面临的各种风险，建立适当的风险承受底线和进行风险管理，并及</w:t>
      </w:r>
      <w:r>
        <w:rPr>
          <w:spacing w:val="-36"/>
        </w:rPr>
        <w:t> </w:t>
      </w:r>
      <w:r>
        <w:rPr>
          <w:spacing w:val="-36"/>
        </w:rPr>
      </w:r>
      <w:r>
        <w:rPr/>
        <w:t>时可靠地对各种风险进行监督，将风险控制在限定的范围之内。</w:t>
      </w:r>
      <w:r>
        <w:rPr>
          <w:rFonts w:ascii="宋体" w:hAnsi="宋体" w:cs="宋体" w:eastAsia="宋体" w:hint="default"/>
        </w:rPr>
        <w:t> </w:t>
      </w:r>
    </w:p>
    <w:p>
      <w:pPr>
        <w:pStyle w:val="BodyText"/>
        <w:spacing w:line="240" w:lineRule="auto" w:before="130"/>
        <w:ind w:left="823" w:right="0"/>
        <w:jc w:val="left"/>
        <w:rPr>
          <w:rFonts w:ascii="宋体" w:hAnsi="宋体" w:cs="宋体" w:eastAsia="宋体" w:hint="default"/>
        </w:rPr>
      </w:pPr>
      <w:r>
        <w:rPr>
          <w:rFonts w:ascii="宋体" w:hAnsi="宋体" w:cs="宋体" w:eastAsia="宋体" w:hint="default"/>
        </w:rPr>
        <w:t>1</w:t>
      </w:r>
      <w:r>
        <w:rPr/>
        <w:t>、市场风险</w:t>
      </w:r>
      <w:r>
        <w:rPr>
          <w:rFonts w:ascii="宋体" w:hAnsi="宋体" w:cs="宋体" w:eastAsia="宋体" w:hint="default"/>
        </w:rPr>
        <w:t> </w:t>
      </w:r>
    </w:p>
    <w:p>
      <w:pPr>
        <w:pStyle w:val="BodyText"/>
        <w:spacing w:line="240" w:lineRule="auto" w:before="152"/>
        <w:ind w:left="823" w:right="0"/>
        <w:jc w:val="left"/>
        <w:rPr>
          <w:rFonts w:ascii="宋体" w:hAnsi="宋体" w:cs="宋体" w:eastAsia="宋体" w:hint="default"/>
        </w:rPr>
      </w:pPr>
      <w:r>
        <w:rPr/>
        <w:t>（</w:t>
      </w:r>
      <w:r>
        <w:rPr>
          <w:rFonts w:ascii="宋体" w:hAnsi="宋体" w:cs="宋体" w:eastAsia="宋体" w:hint="default"/>
        </w:rPr>
        <w:t>1</w:t>
      </w:r>
      <w:r>
        <w:rPr/>
        <w:t>）外汇风险</w:t>
      </w:r>
      <w:r>
        <w:rPr>
          <w:rFonts w:ascii="宋体" w:hAnsi="宋体" w:cs="宋体" w:eastAsia="宋体" w:hint="default"/>
        </w:rPr>
        <w:t> </w:t>
      </w:r>
    </w:p>
    <w:p>
      <w:pPr>
        <w:pStyle w:val="BodyText"/>
        <w:spacing w:line="273" w:lineRule="exact" w:before="154"/>
        <w:ind w:left="823" w:right="0"/>
        <w:jc w:val="left"/>
      </w:pPr>
      <w:r>
        <w:rPr/>
        <w:t>本公司承受汇率风险主要与美元、港币有关，存在子公司创世漫道</w:t>
      </w:r>
      <w:r>
        <w:rPr>
          <w:spacing w:val="-36"/>
        </w:rPr>
        <w:t> </w:t>
      </w:r>
      <w:r>
        <w:rPr>
          <w:rFonts w:ascii="宋体" w:hAnsi="宋体" w:cs="宋体" w:eastAsia="宋体" w:hint="default"/>
        </w:rPr>
        <w:t>2018</w:t>
      </w:r>
      <w:r>
        <w:rPr>
          <w:rFonts w:ascii="宋体" w:hAnsi="宋体" w:cs="宋体" w:eastAsia="宋体" w:hint="default"/>
          <w:spacing w:val="-38"/>
        </w:rPr>
        <w:t> </w:t>
      </w:r>
      <w:r>
        <w:rPr/>
        <w:t>年借入</w:t>
      </w:r>
      <w:r>
        <w:rPr>
          <w:spacing w:val="-36"/>
        </w:rPr>
        <w:t> </w:t>
      </w:r>
      <w:r>
        <w:rPr>
          <w:rFonts w:ascii="宋体" w:hAnsi="宋体" w:cs="宋体" w:eastAsia="宋体" w:hint="default"/>
        </w:rPr>
        <w:t>9,603,00.00</w:t>
      </w:r>
      <w:r>
        <w:rPr>
          <w:rFonts w:ascii="宋体" w:hAnsi="宋体" w:cs="宋体" w:eastAsia="宋体" w:hint="default"/>
          <w:spacing w:val="-35"/>
        </w:rPr>
        <w:t> </w:t>
      </w:r>
      <w:r>
        <w:rPr/>
        <w:t>美元，</w:t>
      </w:r>
    </w:p>
    <w:p>
      <w:pPr>
        <w:pStyle w:val="BodyText"/>
        <w:spacing w:line="273" w:lineRule="exact"/>
        <w:ind w:left="403" w:right="0"/>
        <w:jc w:val="left"/>
      </w:pPr>
      <w:r>
        <w:rPr>
          <w:rFonts w:ascii="宋体" w:hAnsi="宋体" w:cs="宋体" w:eastAsia="宋体" w:hint="default"/>
        </w:rPr>
        <w:t>2019</w:t>
      </w:r>
      <w:r>
        <w:rPr>
          <w:rFonts w:ascii="宋体" w:hAnsi="宋体" w:cs="宋体" w:eastAsia="宋体" w:hint="default"/>
          <w:spacing w:val="46"/>
        </w:rPr>
        <w:t> </w:t>
      </w:r>
      <w:r>
        <w:rPr>
          <w:spacing w:val="-2"/>
        </w:rPr>
        <w:t>年已归还，货币资金余额中包含港币，其他本公司的资产及负债均为人民币余额。该笔借款外币余</w:t>
      </w:r>
    </w:p>
    <w:p>
      <w:pPr>
        <w:spacing w:after="0" w:line="273" w:lineRule="exact"/>
        <w:jc w:val="left"/>
        <w:sectPr>
          <w:pgSz w:w="11910" w:h="16840"/>
          <w:pgMar w:header="880" w:footer="975" w:top="1100" w:bottom="1160" w:left="900" w:right="0"/>
        </w:sectPr>
      </w:pPr>
    </w:p>
    <w:p>
      <w:pPr>
        <w:spacing w:line="240" w:lineRule="auto" w:before="3"/>
        <w:rPr>
          <w:rFonts w:ascii="宋体" w:hAnsi="宋体" w:cs="宋体" w:eastAsia="宋体" w:hint="default"/>
          <w:sz w:val="19"/>
          <w:szCs w:val="19"/>
        </w:rPr>
      </w:pPr>
    </w:p>
    <w:p>
      <w:pPr>
        <w:pStyle w:val="BodyText"/>
        <w:spacing w:line="240" w:lineRule="auto" w:before="36"/>
        <w:ind w:left="143" w:right="1146"/>
        <w:jc w:val="left"/>
        <w:rPr>
          <w:rFonts w:ascii="宋体" w:hAnsi="宋体" w:cs="宋体" w:eastAsia="宋体" w:hint="default"/>
        </w:rPr>
      </w:pPr>
      <w:r>
        <w:rPr/>
        <w:t>额产生的汇率风险可能对本公司的经营业绩产生影响。</w:t>
      </w:r>
      <w:r>
        <w:rPr>
          <w:rFonts w:ascii="宋体" w:hAnsi="宋体" w:cs="宋体" w:eastAsia="宋体" w:hint="default"/>
        </w:rPr>
        <w:t> </w:t>
      </w:r>
    </w:p>
    <w:p>
      <w:pPr>
        <w:pStyle w:val="BodyText"/>
        <w:spacing w:line="430" w:lineRule="exact" w:before="54"/>
        <w:ind w:left="563" w:right="703"/>
        <w:jc w:val="left"/>
      </w:pPr>
      <w:r>
        <w:rPr/>
        <w:t>（</w:t>
      </w:r>
      <w:r>
        <w:rPr>
          <w:rFonts w:ascii="宋体" w:hAnsi="宋体" w:cs="宋体" w:eastAsia="宋体" w:hint="default"/>
        </w:rPr>
        <w:t>2</w:t>
      </w:r>
      <w:r>
        <w:rPr/>
        <w:t>）利率风险</w:t>
      </w:r>
      <w:r>
        <w:rPr>
          <w:rFonts w:ascii="宋体" w:hAnsi="宋体" w:cs="宋体" w:eastAsia="宋体" w:hint="default"/>
          <w:w w:val="100"/>
        </w:rPr>
        <w:t> </w:t>
      </w:r>
      <w:r>
        <w:rPr/>
        <w:t>本公司的利率风险产生于银行借款等有息债务。浮动利率的金融负债使本公司面临现金流量利率风</w:t>
      </w:r>
    </w:p>
    <w:p>
      <w:pPr>
        <w:pStyle w:val="BodyText"/>
        <w:spacing w:line="214" w:lineRule="exact"/>
        <w:ind w:left="143" w:right="703"/>
        <w:jc w:val="left"/>
      </w:pPr>
      <w:r>
        <w:rPr/>
        <w:t>险，固定利率的金融负债使本公司面临公允价值利率风险。本公司根据当时的市场环境来决定固定利率</w:t>
      </w:r>
    </w:p>
    <w:p>
      <w:pPr>
        <w:pStyle w:val="BodyText"/>
        <w:spacing w:line="274" w:lineRule="exact"/>
        <w:ind w:left="143" w:right="7673"/>
        <w:jc w:val="left"/>
        <w:rPr>
          <w:rFonts w:ascii="宋体" w:hAnsi="宋体" w:cs="宋体" w:eastAsia="宋体" w:hint="default"/>
        </w:rPr>
      </w:pPr>
      <w:r>
        <w:rPr/>
        <w:t>及浮动利率合同的相对比例。</w:t>
      </w:r>
      <w:r>
        <w:rPr>
          <w:rFonts w:ascii="宋体" w:hAnsi="宋体" w:cs="宋体" w:eastAsia="宋体" w:hint="default"/>
        </w:rPr>
        <w:t> </w:t>
      </w:r>
    </w:p>
    <w:p>
      <w:pPr>
        <w:pStyle w:val="BodyText"/>
        <w:spacing w:line="240" w:lineRule="auto" w:before="152"/>
        <w:ind w:left="143" w:right="703" w:firstLine="420"/>
        <w:jc w:val="left"/>
        <w:rPr>
          <w:rFonts w:ascii="宋体" w:hAnsi="宋体" w:cs="宋体" w:eastAsia="宋体" w:hint="default"/>
        </w:rPr>
      </w:pPr>
      <w:r>
        <w:rPr/>
        <w:t>本公司因利率变动引起金融工具公允价值变动的风险主要与固定利率银行借款有关。对于固定利率</w:t>
      </w:r>
      <w:r>
        <w:rPr>
          <w:w w:val="100"/>
        </w:rPr>
        <w:t> </w:t>
      </w:r>
      <w:r>
        <w:rPr/>
        <w:t>借款，本公司的目标是保持其浮动利率。</w:t>
      </w:r>
      <w:r>
        <w:rPr>
          <w:rFonts w:ascii="宋体" w:hAnsi="宋体" w:cs="宋体" w:eastAsia="宋体" w:hint="default"/>
        </w:rPr>
        <w:t> </w:t>
      </w:r>
    </w:p>
    <w:p>
      <w:pPr>
        <w:pStyle w:val="BodyText"/>
        <w:spacing w:line="240" w:lineRule="auto" w:before="152"/>
        <w:ind w:left="143" w:right="703" w:firstLine="420"/>
        <w:jc w:val="left"/>
        <w:rPr>
          <w:rFonts w:ascii="宋体" w:hAnsi="宋体" w:cs="宋体" w:eastAsia="宋体" w:hint="default"/>
        </w:rPr>
      </w:pPr>
      <w:r>
        <w:rPr/>
        <w:t>本公司因利率变动引起金融工具现金流量变动的风险主要与浮动利率银行借款有关。本公司的政策</w:t>
      </w:r>
      <w:r>
        <w:rPr>
          <w:w w:val="100"/>
        </w:rPr>
        <w:t> </w:t>
      </w:r>
      <w:r>
        <w:rPr/>
        <w:t>是保持这些借款的浮动利率，以消除利率变动的公允价值风险。</w:t>
      </w:r>
      <w:r>
        <w:rPr>
          <w:rFonts w:ascii="宋体" w:hAnsi="宋体" w:cs="宋体" w:eastAsia="宋体" w:hint="default"/>
        </w:rPr>
        <w:t> </w:t>
      </w:r>
    </w:p>
    <w:p>
      <w:pPr>
        <w:pStyle w:val="BodyText"/>
        <w:spacing w:line="374" w:lineRule="auto" w:before="152"/>
        <w:ind w:left="563" w:right="8206"/>
        <w:jc w:val="left"/>
        <w:rPr>
          <w:rFonts w:ascii="宋体" w:hAnsi="宋体" w:cs="宋体" w:eastAsia="宋体" w:hint="default"/>
        </w:rPr>
      </w:pPr>
      <w:r>
        <w:rPr/>
        <w:t>（</w:t>
      </w:r>
      <w:r>
        <w:rPr>
          <w:rFonts w:ascii="宋体" w:hAnsi="宋体" w:cs="宋体" w:eastAsia="宋体" w:hint="default"/>
        </w:rPr>
        <w:t>3</w:t>
      </w:r>
      <w:r>
        <w:rPr/>
        <w:t>）其他价格风险</w:t>
      </w:r>
      <w:r>
        <w:rPr>
          <w:rFonts w:ascii="宋体" w:hAnsi="宋体" w:cs="宋体" w:eastAsia="宋体" w:hint="default"/>
          <w:w w:val="100"/>
        </w:rPr>
        <w:t> </w:t>
      </w:r>
      <w:r>
        <w:rPr/>
        <w:t>无。</w:t>
      </w:r>
      <w:r>
        <w:rPr>
          <w:rFonts w:ascii="宋体" w:hAnsi="宋体" w:cs="宋体" w:eastAsia="宋体" w:hint="default"/>
        </w:rPr>
        <w:t> </w:t>
      </w:r>
    </w:p>
    <w:p>
      <w:pPr>
        <w:pStyle w:val="BodyText"/>
        <w:spacing w:line="240" w:lineRule="auto" w:before="35"/>
        <w:ind w:left="563" w:right="7673"/>
        <w:jc w:val="left"/>
        <w:rPr>
          <w:rFonts w:ascii="宋体" w:hAnsi="宋体" w:cs="宋体" w:eastAsia="宋体" w:hint="default"/>
        </w:rPr>
      </w:pPr>
      <w:r>
        <w:rPr>
          <w:rFonts w:ascii="宋体" w:hAnsi="宋体" w:cs="宋体" w:eastAsia="宋体" w:hint="default"/>
        </w:rPr>
        <w:t>2</w:t>
      </w:r>
      <w:r>
        <w:rPr/>
        <w:t>、信用风险</w:t>
      </w:r>
      <w:r>
        <w:rPr>
          <w:rFonts w:ascii="宋体" w:hAnsi="宋体" w:cs="宋体" w:eastAsia="宋体" w:hint="default"/>
        </w:rPr>
        <w:t> </w:t>
      </w:r>
    </w:p>
    <w:p>
      <w:pPr>
        <w:pStyle w:val="BodyText"/>
        <w:spacing w:line="237" w:lineRule="auto" w:before="157"/>
        <w:ind w:left="143" w:right="1073" w:firstLine="420"/>
        <w:jc w:val="both"/>
        <w:rPr>
          <w:rFonts w:ascii="宋体" w:hAnsi="宋体" w:cs="宋体" w:eastAsia="宋体" w:hint="default"/>
        </w:rPr>
      </w:pPr>
      <w:r>
        <w:rPr/>
        <w:t>资产负债表日，可能引起本公司财务损失的最大信用风险敞口主要来自于合同另一方未能履行义务</w:t>
      </w:r>
      <w:r>
        <w:rPr>
          <w:w w:val="100"/>
        </w:rPr>
        <w:t> </w:t>
      </w:r>
      <w:r>
        <w:rPr/>
        <w:t>而导致本公司金融资产产生的损失。为降低信用风险，本公司成立了一个小组负责确定信用额度、进行</w:t>
      </w:r>
      <w:r>
        <w:rPr>
          <w:spacing w:val="-36"/>
        </w:rPr>
        <w:t> </w:t>
      </w:r>
      <w:r>
        <w:rPr>
          <w:spacing w:val="-36"/>
        </w:rPr>
      </w:r>
      <w:r>
        <w:rPr/>
        <w:t>信用审批，并执行其他监控程序以确保采取必要的措施回收过期债权。此外，本公司于每个资产负债表</w:t>
      </w:r>
      <w:r>
        <w:rPr>
          <w:spacing w:val="-36"/>
        </w:rPr>
        <w:t> </w:t>
      </w:r>
      <w:r>
        <w:rPr>
          <w:spacing w:val="-36"/>
        </w:rPr>
      </w:r>
      <w:r>
        <w:rPr/>
        <w:t>日审核每一单项应收款的回收情况，以确保就无法回收的款项计提充分的坏账准备。因此，本公司管理</w:t>
      </w:r>
      <w:r>
        <w:rPr>
          <w:spacing w:val="-36"/>
        </w:rPr>
        <w:t> </w:t>
      </w:r>
      <w:r>
        <w:rPr>
          <w:spacing w:val="-36"/>
        </w:rPr>
      </w:r>
      <w:r>
        <w:rPr/>
        <w:t>层认为本公司所承担的信用风险已经大为降低。</w:t>
      </w:r>
      <w:r>
        <w:rPr>
          <w:rFonts w:ascii="宋体" w:hAnsi="宋体" w:cs="宋体" w:eastAsia="宋体" w:hint="default"/>
        </w:rPr>
        <w:t> </w:t>
      </w:r>
    </w:p>
    <w:p>
      <w:pPr>
        <w:pStyle w:val="BodyText"/>
        <w:spacing w:line="240" w:lineRule="auto" w:before="152"/>
        <w:ind w:left="563" w:right="7673"/>
        <w:jc w:val="left"/>
        <w:rPr>
          <w:rFonts w:ascii="宋体" w:hAnsi="宋体" w:cs="宋体" w:eastAsia="宋体" w:hint="default"/>
        </w:rPr>
      </w:pPr>
      <w:r>
        <w:rPr>
          <w:rFonts w:ascii="宋体" w:hAnsi="宋体" w:cs="宋体" w:eastAsia="宋体" w:hint="default"/>
        </w:rPr>
        <w:t>3</w:t>
      </w:r>
      <w:r>
        <w:rPr/>
        <w:t>、流动风险</w:t>
      </w:r>
      <w:r>
        <w:rPr>
          <w:rFonts w:ascii="宋体" w:hAnsi="宋体" w:cs="宋体" w:eastAsia="宋体" w:hint="default"/>
        </w:rPr>
        <w:t> </w:t>
      </w:r>
    </w:p>
    <w:p>
      <w:pPr>
        <w:spacing w:line="240" w:lineRule="auto" w:before="12"/>
        <w:rPr>
          <w:rFonts w:ascii="宋体" w:hAnsi="宋体" w:cs="宋体" w:eastAsia="宋体" w:hint="default"/>
          <w:sz w:val="13"/>
          <w:szCs w:val="13"/>
        </w:rPr>
      </w:pPr>
    </w:p>
    <w:p>
      <w:pPr>
        <w:pStyle w:val="BodyText"/>
        <w:spacing w:line="272" w:lineRule="exact"/>
        <w:ind w:left="143" w:right="703" w:firstLine="420"/>
        <w:jc w:val="left"/>
        <w:rPr>
          <w:rFonts w:ascii="宋体" w:hAnsi="宋体" w:cs="宋体" w:eastAsia="宋体" w:hint="default"/>
        </w:rPr>
      </w:pPr>
      <w:r>
        <w:rPr/>
        <w:t>管理流动风险时，本公司保持管理层认为充分的现金及现金等价物并对其进行监控，以满足本公司</w:t>
      </w:r>
      <w:r>
        <w:rPr>
          <w:w w:val="100"/>
        </w:rPr>
        <w:t> </w:t>
      </w:r>
      <w:r>
        <w:rPr/>
        <w:t>经营需要，并降低现金流量波动的影响。</w:t>
      </w:r>
      <w:r>
        <w:rPr>
          <w:rFonts w:ascii="宋体" w:hAnsi="宋体" w:cs="宋体" w:eastAsia="宋体" w:hint="default"/>
        </w:rPr>
        <w:t> </w:t>
      </w:r>
    </w:p>
    <w:p>
      <w:pPr>
        <w:pStyle w:val="BodyText"/>
        <w:spacing w:line="272" w:lineRule="exact" w:before="157"/>
        <w:ind w:left="143" w:right="703" w:firstLine="420"/>
        <w:jc w:val="left"/>
        <w:rPr>
          <w:rFonts w:ascii="宋体" w:hAnsi="宋体" w:cs="宋体" w:eastAsia="宋体" w:hint="default"/>
        </w:rPr>
      </w:pPr>
      <w:r>
        <w:rPr/>
        <w:t>本公司短期借款 </w:t>
      </w:r>
      <w:r>
        <w:rPr>
          <w:rFonts w:ascii="宋体" w:hAnsi="宋体" w:cs="宋体" w:eastAsia="宋体" w:hint="default"/>
        </w:rPr>
        <w:t>301,730,212.16</w:t>
      </w:r>
      <w:r>
        <w:rPr>
          <w:rFonts w:ascii="宋体" w:hAnsi="宋体" w:cs="宋体" w:eastAsia="宋体" w:hint="default"/>
          <w:spacing w:val="-69"/>
        </w:rPr>
        <w:t> </w:t>
      </w:r>
      <w:r>
        <w:rPr>
          <w:spacing w:val="-3"/>
        </w:rPr>
        <w:t>元，从公司目前的正常现金流观察，该部分短期借款随时归还亦不</w:t>
      </w:r>
      <w:r>
        <w:rPr>
          <w:w w:val="100"/>
        </w:rPr>
        <w:t> </w:t>
      </w:r>
      <w:r>
        <w:rPr/>
        <w:t>足以形成资金流量的重大影响。</w:t>
      </w:r>
      <w:r>
        <w:rPr>
          <w:rFonts w:ascii="宋体" w:hAnsi="宋体" w:cs="宋体" w:eastAsia="宋体" w:hint="default"/>
        </w:rPr>
        <w:t> </w:t>
      </w:r>
    </w:p>
    <w:p>
      <w:pPr>
        <w:spacing w:line="374" w:lineRule="auto" w:before="128"/>
        <w:ind w:left="563" w:right="8206" w:firstLine="2"/>
        <w:jc w:val="left"/>
        <w:rPr>
          <w:rFonts w:ascii="宋体" w:hAnsi="宋体" w:cs="宋体" w:eastAsia="宋体" w:hint="default"/>
          <w:sz w:val="21"/>
          <w:szCs w:val="21"/>
        </w:rPr>
      </w:pPr>
      <w:r>
        <w:rPr>
          <w:rFonts w:ascii="宋体" w:hAnsi="宋体" w:cs="宋体" w:eastAsia="宋体" w:hint="default"/>
          <w:b/>
          <w:bCs/>
          <w:sz w:val="21"/>
          <w:szCs w:val="21"/>
        </w:rPr>
        <w:t>（二）金融资产转移</w:t>
      </w:r>
      <w:r>
        <w:rPr>
          <w:rFonts w:ascii="宋体" w:hAnsi="宋体" w:cs="宋体" w:eastAsia="宋体" w:hint="default"/>
          <w:b/>
          <w:bCs/>
          <w:w w:val="99"/>
          <w:sz w:val="21"/>
          <w:szCs w:val="21"/>
        </w:rPr>
        <w:t> </w:t>
      </w:r>
      <w:r>
        <w:rPr>
          <w:rFonts w:ascii="宋体" w:hAnsi="宋体" w:cs="宋体" w:eastAsia="宋体" w:hint="default"/>
          <w:sz w:val="21"/>
          <w:szCs w:val="21"/>
        </w:rPr>
        <w:t>无。</w:t>
      </w:r>
      <w:r>
        <w:rPr>
          <w:rFonts w:ascii="宋体" w:hAnsi="宋体" w:cs="宋体" w:eastAsia="宋体" w:hint="default"/>
          <w:sz w:val="21"/>
          <w:szCs w:val="21"/>
        </w:rPr>
        <w:t> </w:t>
      </w:r>
    </w:p>
    <w:p>
      <w:pPr>
        <w:pStyle w:val="Heading3"/>
        <w:spacing w:line="374" w:lineRule="auto" w:before="34"/>
        <w:ind w:left="563" w:right="6619" w:firstLine="2"/>
        <w:jc w:val="left"/>
        <w:rPr>
          <w:rFonts w:ascii="宋体" w:hAnsi="宋体" w:cs="宋体" w:eastAsia="宋体" w:hint="default"/>
          <w:b w:val="0"/>
          <w:bCs w:val="0"/>
        </w:rPr>
      </w:pPr>
      <w:r>
        <w:rPr/>
        <w:t>（三）金融资产与金融负债的抵销</w:t>
      </w:r>
      <w:r>
        <w:rPr>
          <w:rFonts w:ascii="宋体" w:hAnsi="宋体" w:cs="宋体" w:eastAsia="宋体" w:hint="default"/>
          <w:w w:val="99"/>
        </w:rPr>
        <w:t> </w:t>
      </w:r>
      <w:r>
        <w:rPr>
          <w:rFonts w:ascii="宋体" w:hAnsi="宋体" w:cs="宋体" w:eastAsia="宋体" w:hint="default"/>
          <w:b w:val="0"/>
          <w:bCs w:val="0"/>
        </w:rPr>
        <w:t>无。</w:t>
      </w:r>
      <w:r>
        <w:rPr>
          <w:rFonts w:ascii="宋体" w:hAnsi="宋体" w:cs="宋体" w:eastAsia="宋体" w:hint="default"/>
          <w:b w:val="0"/>
          <w:bCs w:val="0"/>
        </w:rPr>
        <w:t> </w:t>
      </w:r>
    </w:p>
    <w:p>
      <w:pPr>
        <w:spacing w:before="34"/>
        <w:ind w:left="143" w:right="7673" w:firstLine="0"/>
        <w:jc w:val="left"/>
        <w:rPr>
          <w:rFonts w:ascii="宋体" w:hAnsi="宋体" w:cs="宋体" w:eastAsia="宋体" w:hint="default"/>
          <w:sz w:val="21"/>
          <w:szCs w:val="21"/>
        </w:rPr>
      </w:pPr>
      <w:r>
        <w:rPr>
          <w:rFonts w:ascii="宋体" w:hAnsi="宋体" w:cs="宋体" w:eastAsia="宋体" w:hint="default"/>
          <w:b/>
          <w:bCs/>
          <w:sz w:val="21"/>
          <w:szCs w:val="21"/>
        </w:rPr>
        <w:t>十、关联方及关联交易</w:t>
      </w:r>
      <w:r>
        <w:rPr>
          <w:rFonts w:ascii="宋体" w:hAnsi="宋体" w:cs="宋体" w:eastAsia="宋体" w:hint="default"/>
          <w:b/>
          <w:bCs/>
          <w:w w:val="99"/>
          <w:sz w:val="21"/>
          <w:szCs w:val="21"/>
        </w:rPr>
        <w:t> </w:t>
      </w:r>
      <w:r>
        <w:rPr>
          <w:rFonts w:ascii="宋体" w:hAnsi="宋体" w:cs="宋体" w:eastAsia="宋体" w:hint="default"/>
          <w:sz w:val="21"/>
          <w:szCs w:val="21"/>
        </w:rPr>
      </w:r>
    </w:p>
    <w:p>
      <w:pPr>
        <w:spacing w:before="154"/>
        <w:ind w:left="354" w:right="7673" w:firstLine="0"/>
        <w:jc w:val="left"/>
        <w:rPr>
          <w:rFonts w:ascii="宋体" w:hAnsi="宋体" w:cs="宋体" w:eastAsia="宋体" w:hint="default"/>
          <w:sz w:val="21"/>
          <w:szCs w:val="21"/>
        </w:rPr>
      </w:pPr>
      <w:r>
        <w:rPr>
          <w:rFonts w:ascii="宋体" w:hAnsi="宋体" w:cs="宋体" w:eastAsia="宋体" w:hint="default"/>
          <w:b/>
          <w:bCs/>
          <w:sz w:val="21"/>
          <w:szCs w:val="21"/>
        </w:rPr>
        <w:t>（一）本公司母公司情况</w:t>
      </w:r>
      <w:r>
        <w:rPr>
          <w:rFonts w:ascii="宋体" w:hAnsi="宋体" w:cs="宋体" w:eastAsia="宋体" w:hint="default"/>
          <w:b/>
          <w:bCs/>
          <w:w w:val="99"/>
          <w:sz w:val="21"/>
          <w:szCs w:val="21"/>
        </w:rPr>
        <w:t> </w:t>
      </w:r>
      <w:r>
        <w:rPr>
          <w:rFonts w:ascii="宋体" w:hAnsi="宋体" w:cs="宋体" w:eastAsia="宋体" w:hint="default"/>
          <w:sz w:val="21"/>
          <w:szCs w:val="21"/>
        </w:rPr>
      </w:r>
    </w:p>
    <w:p>
      <w:pPr>
        <w:pStyle w:val="BodyText"/>
        <w:spacing w:line="240" w:lineRule="auto" w:before="152"/>
        <w:ind w:left="563" w:right="1146"/>
        <w:jc w:val="left"/>
        <w:rPr>
          <w:rFonts w:ascii="宋体" w:hAnsi="宋体" w:cs="宋体" w:eastAsia="宋体" w:hint="default"/>
        </w:rPr>
      </w:pPr>
      <w:r>
        <w:rPr/>
        <w:t>截至</w:t>
      </w:r>
      <w:r>
        <w:rPr>
          <w:spacing w:val="-54"/>
        </w:rPr>
        <w:t> </w:t>
      </w:r>
      <w:r>
        <w:rPr>
          <w:rFonts w:ascii="宋体" w:hAnsi="宋体" w:cs="宋体" w:eastAsia="宋体" w:hint="default"/>
        </w:rPr>
        <w:t>2019</w:t>
      </w:r>
      <w:r>
        <w:rPr>
          <w:rFonts w:ascii="宋体" w:hAnsi="宋体" w:cs="宋体" w:eastAsia="宋体" w:hint="default"/>
          <w:spacing w:val="-56"/>
        </w:rPr>
        <w:t> </w:t>
      </w:r>
      <w:r>
        <w:rPr/>
        <w:t>年</w:t>
      </w:r>
      <w:r>
        <w:rPr>
          <w:spacing w:val="-54"/>
        </w:rPr>
        <w:t> </w:t>
      </w:r>
      <w:r>
        <w:rPr>
          <w:rFonts w:ascii="宋体" w:hAnsi="宋体" w:cs="宋体" w:eastAsia="宋体" w:hint="default"/>
        </w:rPr>
        <w:t>12</w:t>
      </w:r>
      <w:r>
        <w:rPr>
          <w:rFonts w:ascii="宋体" w:hAnsi="宋体" w:cs="宋体" w:eastAsia="宋体" w:hint="default"/>
          <w:spacing w:val="-56"/>
        </w:rPr>
        <w:t> </w:t>
      </w:r>
      <w:r>
        <w:rPr/>
        <w:t>月</w:t>
      </w:r>
      <w:r>
        <w:rPr>
          <w:spacing w:val="-54"/>
        </w:rPr>
        <w:t> </w:t>
      </w:r>
      <w:r>
        <w:rPr>
          <w:rFonts w:ascii="宋体" w:hAnsi="宋体" w:cs="宋体" w:eastAsia="宋体" w:hint="default"/>
        </w:rPr>
        <w:t>31</w:t>
      </w:r>
      <w:r>
        <w:rPr>
          <w:rFonts w:ascii="宋体" w:hAnsi="宋体" w:cs="宋体" w:eastAsia="宋体" w:hint="default"/>
          <w:spacing w:val="-54"/>
        </w:rPr>
        <w:t> </w:t>
      </w:r>
      <w:r>
        <w:rPr/>
        <w:t>日，本公司无母公司，无控股股东及实际控制人，原因如下：</w:t>
      </w:r>
      <w:r>
        <w:rPr>
          <w:rFonts w:ascii="宋体" w:hAnsi="宋体" w:cs="宋体" w:eastAsia="宋体" w:hint="default"/>
        </w:rPr>
        <w:t> </w:t>
      </w:r>
    </w:p>
    <w:p>
      <w:pPr>
        <w:pStyle w:val="BodyText"/>
        <w:spacing w:line="237" w:lineRule="auto" w:before="157"/>
        <w:ind w:left="143" w:right="968" w:firstLine="420"/>
        <w:jc w:val="both"/>
        <w:rPr>
          <w:rFonts w:ascii="宋体" w:hAnsi="宋体" w:cs="宋体" w:eastAsia="宋体" w:hint="default"/>
        </w:rPr>
      </w:pPr>
      <w:r>
        <w:rPr>
          <w:rFonts w:ascii="宋体" w:hAnsi="宋体" w:cs="宋体" w:eastAsia="宋体" w:hint="default"/>
          <w:spacing w:val="-8"/>
        </w:rPr>
        <w:t>1</w:t>
      </w:r>
      <w:r>
        <w:rPr>
          <w:spacing w:val="-8"/>
        </w:rPr>
        <w:t>、截止</w:t>
      </w:r>
      <w:r>
        <w:rPr>
          <w:spacing w:val="-51"/>
        </w:rPr>
        <w:t> </w:t>
      </w:r>
      <w:r>
        <w:rPr>
          <w:rFonts w:ascii="宋体" w:hAnsi="宋体" w:cs="宋体" w:eastAsia="宋体" w:hint="default"/>
        </w:rPr>
        <w:t>2019</w:t>
      </w:r>
      <w:r>
        <w:rPr>
          <w:rFonts w:ascii="宋体" w:hAnsi="宋体" w:cs="宋体" w:eastAsia="宋体" w:hint="default"/>
          <w:spacing w:val="-51"/>
        </w:rPr>
        <w:t> </w:t>
      </w:r>
      <w:r>
        <w:rPr/>
        <w:t>年</w:t>
      </w:r>
      <w:r>
        <w:rPr>
          <w:spacing w:val="-49"/>
        </w:rPr>
        <w:t> </w:t>
      </w:r>
      <w:r>
        <w:rPr>
          <w:rFonts w:ascii="宋体" w:hAnsi="宋体" w:cs="宋体" w:eastAsia="宋体" w:hint="default"/>
        </w:rPr>
        <w:t>12</w:t>
      </w:r>
      <w:r>
        <w:rPr>
          <w:rFonts w:ascii="宋体" w:hAnsi="宋体" w:cs="宋体" w:eastAsia="宋体" w:hint="default"/>
          <w:spacing w:val="-49"/>
        </w:rPr>
        <w:t> </w:t>
      </w:r>
      <w:r>
        <w:rPr/>
        <w:t>月</w:t>
      </w:r>
      <w:r>
        <w:rPr>
          <w:spacing w:val="-51"/>
        </w:rPr>
        <w:t> </w:t>
      </w:r>
      <w:r>
        <w:rPr>
          <w:rFonts w:ascii="宋体" w:hAnsi="宋体" w:cs="宋体" w:eastAsia="宋体" w:hint="default"/>
        </w:rPr>
        <w:t>31</w:t>
      </w:r>
      <w:r>
        <w:rPr>
          <w:rFonts w:ascii="宋体" w:hAnsi="宋体" w:cs="宋体" w:eastAsia="宋体" w:hint="default"/>
          <w:spacing w:val="-51"/>
        </w:rPr>
        <w:t> </w:t>
      </w:r>
      <w:r>
        <w:rPr>
          <w:spacing w:val="-4"/>
        </w:rPr>
        <w:t>日，本公司累计发行股本总数</w:t>
      </w:r>
      <w:r>
        <w:rPr>
          <w:spacing w:val="-48"/>
        </w:rPr>
        <w:t> </w:t>
      </w:r>
      <w:r>
        <w:rPr>
          <w:rFonts w:ascii="宋体" w:hAnsi="宋体" w:cs="宋体" w:eastAsia="宋体" w:hint="default"/>
        </w:rPr>
        <w:t>66,910.1883</w:t>
      </w:r>
      <w:r>
        <w:rPr>
          <w:rFonts w:ascii="宋体" w:hAnsi="宋体" w:cs="宋体" w:eastAsia="宋体" w:hint="default"/>
          <w:spacing w:val="-49"/>
        </w:rPr>
        <w:t> </w:t>
      </w:r>
      <w:r>
        <w:rPr>
          <w:spacing w:val="-6"/>
        </w:rPr>
        <w:t>万股，注册资本为</w:t>
      </w:r>
      <w:r>
        <w:rPr>
          <w:spacing w:val="-48"/>
        </w:rPr>
        <w:t> </w:t>
      </w:r>
      <w:r>
        <w:rPr>
          <w:rFonts w:ascii="宋体" w:hAnsi="宋体" w:cs="宋体" w:eastAsia="宋体" w:hint="default"/>
        </w:rPr>
        <w:t>66,910.1883</w:t>
      </w:r>
      <w:r>
        <w:rPr>
          <w:rFonts w:ascii="宋体" w:hAnsi="宋体" w:cs="宋体" w:eastAsia="宋体" w:hint="default"/>
          <w:w w:val="100"/>
        </w:rPr>
        <w:t> </w:t>
      </w:r>
      <w:r>
        <w:rPr>
          <w:spacing w:val="-5"/>
          <w:w w:val="100"/>
        </w:rPr>
        <w:t>万元。其中：孝昌鹰溪谷投资中心（有限合伙）及其一致行动人上海峰幽投资管理中心（普通合伙）、北</w:t>
      </w:r>
      <w:r>
        <w:rPr>
          <w:spacing w:val="-80"/>
          <w:w w:val="100"/>
        </w:rPr>
        <w:t> </w:t>
      </w:r>
      <w:r>
        <w:rPr>
          <w:spacing w:val="-80"/>
          <w:w w:val="100"/>
        </w:rPr>
      </w:r>
      <w:r>
        <w:rPr/>
        <w:t>京博升优势科技发展有限公司合计持有本公司股份</w:t>
      </w:r>
      <w:r>
        <w:rPr>
          <w:spacing w:val="-52"/>
        </w:rPr>
        <w:t> </w:t>
      </w:r>
      <w:r>
        <w:rPr>
          <w:rFonts w:ascii="宋体" w:hAnsi="宋体" w:cs="宋体" w:eastAsia="宋体" w:hint="default"/>
        </w:rPr>
        <w:t>158,113,222.00</w:t>
      </w:r>
      <w:r>
        <w:rPr>
          <w:rFonts w:ascii="宋体" w:hAnsi="宋体" w:cs="宋体" w:eastAsia="宋体" w:hint="default"/>
          <w:spacing w:val="-50"/>
        </w:rPr>
        <w:t> </w:t>
      </w:r>
      <w:r>
        <w:rPr>
          <w:spacing w:val="-12"/>
        </w:rPr>
        <w:t>股，占比</w:t>
      </w:r>
      <w:r>
        <w:rPr>
          <w:spacing w:val="-52"/>
        </w:rPr>
        <w:t> </w:t>
      </w:r>
      <w:r>
        <w:rPr>
          <w:rFonts w:ascii="宋体" w:hAnsi="宋体" w:cs="宋体" w:eastAsia="宋体" w:hint="default"/>
          <w:spacing w:val="-4"/>
        </w:rPr>
        <w:t>23.62%</w:t>
      </w:r>
      <w:r>
        <w:rPr>
          <w:spacing w:val="-4"/>
        </w:rPr>
        <w:t>；中兆投资管理有限</w:t>
      </w:r>
      <w:r>
        <w:rPr>
          <w:spacing w:val="-98"/>
        </w:rPr>
        <w:t> </w:t>
      </w:r>
      <w:r>
        <w:rPr>
          <w:spacing w:val="-98"/>
        </w:rPr>
      </w:r>
      <w:r>
        <w:rPr/>
        <w:t>公司与其一致行动人深圳茂业百货有限公司合计持有本公司股份</w:t>
      </w:r>
      <w:r>
        <w:rPr>
          <w:spacing w:val="-51"/>
        </w:rPr>
        <w:t> </w:t>
      </w:r>
      <w:r>
        <w:rPr>
          <w:rFonts w:ascii="宋体" w:hAnsi="宋体" w:cs="宋体" w:eastAsia="宋体" w:hint="default"/>
        </w:rPr>
        <w:t>150,510,927.00</w:t>
      </w:r>
      <w:r>
        <w:rPr>
          <w:rFonts w:ascii="宋体" w:hAnsi="宋体" w:cs="宋体" w:eastAsia="宋体" w:hint="default"/>
          <w:spacing w:val="-54"/>
        </w:rPr>
        <w:t> </w:t>
      </w:r>
      <w:r>
        <w:rPr>
          <w:spacing w:val="-11"/>
        </w:rPr>
        <w:t>股，占比</w:t>
      </w:r>
      <w:r>
        <w:rPr>
          <w:spacing w:val="-53"/>
        </w:rPr>
        <w:t> </w:t>
      </w:r>
      <w:r>
        <w:rPr>
          <w:rFonts w:ascii="宋体" w:hAnsi="宋体" w:cs="宋体" w:eastAsia="宋体" w:hint="default"/>
          <w:spacing w:val="-6"/>
        </w:rPr>
        <w:t>22.50%</w:t>
      </w:r>
      <w:r>
        <w:rPr>
          <w:spacing w:val="-6"/>
        </w:rPr>
        <w:t>；刘英</w:t>
      </w:r>
      <w:r>
        <w:rPr>
          <w:spacing w:val="-101"/>
        </w:rPr>
        <w:t> </w:t>
      </w:r>
      <w:r>
        <w:rPr>
          <w:spacing w:val="-101"/>
        </w:rPr>
      </w:r>
      <w:r>
        <w:rPr>
          <w:spacing w:val="-1"/>
          <w:w w:val="100"/>
        </w:rPr>
        <w:t>魁持有本公司股票</w:t>
      </w:r>
      <w:r>
        <w:rPr>
          <w:spacing w:val="-53"/>
          <w:w w:val="100"/>
        </w:rPr>
        <w:t> </w:t>
      </w:r>
      <w:r>
        <w:rPr>
          <w:rFonts w:ascii="宋体" w:hAnsi="宋体" w:cs="宋体" w:eastAsia="宋体" w:hint="default"/>
          <w:spacing w:val="-1"/>
          <w:w w:val="100"/>
        </w:rPr>
        <w:t>63,634,356.00</w:t>
      </w:r>
      <w:r>
        <w:rPr>
          <w:rFonts w:ascii="宋体" w:hAnsi="宋体" w:cs="宋体" w:eastAsia="宋体" w:hint="default"/>
          <w:spacing w:val="-52"/>
          <w:w w:val="100"/>
        </w:rPr>
        <w:t> </w:t>
      </w:r>
      <w:r>
        <w:rPr>
          <w:spacing w:val="-1"/>
          <w:w w:val="100"/>
        </w:rPr>
        <w:t>股，占比</w:t>
      </w:r>
      <w:r>
        <w:rPr>
          <w:spacing w:val="-50"/>
          <w:w w:val="100"/>
        </w:rPr>
        <w:t> </w:t>
      </w:r>
      <w:r>
        <w:rPr>
          <w:rFonts w:ascii="宋体" w:hAnsi="宋体" w:cs="宋体" w:eastAsia="宋体" w:hint="default"/>
          <w:spacing w:val="1"/>
          <w:w w:val="100"/>
        </w:rPr>
        <w:t>9.51%</w:t>
      </w:r>
      <w:r>
        <w:rPr>
          <w:spacing w:val="1"/>
          <w:w w:val="100"/>
        </w:rPr>
        <w:t>。前三大股东及其一致行动人持股比例均未超过</w:t>
      </w:r>
      <w:r>
        <w:rPr>
          <w:spacing w:val="-46"/>
          <w:w w:val="100"/>
        </w:rPr>
        <w:t> </w:t>
      </w:r>
      <w:r>
        <w:rPr>
          <w:rFonts w:ascii="宋体" w:hAnsi="宋体" w:cs="宋体" w:eastAsia="宋体" w:hint="default"/>
          <w:spacing w:val="-26"/>
          <w:w w:val="100"/>
        </w:rPr>
        <w:t>30%</w:t>
      </w:r>
      <w:r>
        <w:rPr>
          <w:spacing w:val="-26"/>
          <w:w w:val="100"/>
        </w:rPr>
        <w:t>。</w:t>
      </w:r>
      <w:r>
        <w:rPr>
          <w:rFonts w:ascii="宋体" w:hAnsi="宋体" w:cs="宋体" w:eastAsia="宋体" w:hint="default"/>
          <w:w w:val="100"/>
        </w:rPr>
        <w:t> </w:t>
      </w:r>
    </w:p>
    <w:p>
      <w:pPr>
        <w:pStyle w:val="BodyText"/>
        <w:spacing w:line="274" w:lineRule="exact" w:before="152"/>
        <w:ind w:left="563" w:right="703"/>
        <w:jc w:val="left"/>
      </w:pPr>
      <w:r>
        <w:rPr>
          <w:rFonts w:ascii="宋体" w:hAnsi="宋体" w:cs="宋体" w:eastAsia="宋体" w:hint="default"/>
        </w:rPr>
        <w:t>2</w:t>
      </w:r>
      <w:r>
        <w:rPr/>
        <w:t>、公司董事会现有</w:t>
      </w:r>
      <w:r>
        <w:rPr>
          <w:spacing w:val="-42"/>
        </w:rPr>
        <w:t> </w:t>
      </w:r>
      <w:r>
        <w:rPr>
          <w:rFonts w:ascii="宋体" w:hAnsi="宋体" w:cs="宋体" w:eastAsia="宋体" w:hint="default"/>
        </w:rPr>
        <w:t>9</w:t>
      </w:r>
      <w:r>
        <w:rPr>
          <w:rFonts w:ascii="宋体" w:hAnsi="宋体" w:cs="宋体" w:eastAsia="宋体" w:hint="default"/>
          <w:spacing w:val="-39"/>
        </w:rPr>
        <w:t> </w:t>
      </w:r>
      <w:r>
        <w:rPr>
          <w:spacing w:val="-3"/>
        </w:rPr>
        <w:t>名董事，其中：孝昌鹰溪谷投资中心（有限合伙）提名并当选董事</w:t>
      </w:r>
      <w:r>
        <w:rPr>
          <w:spacing w:val="-38"/>
        </w:rPr>
        <w:t> </w:t>
      </w:r>
      <w:r>
        <w:rPr>
          <w:rFonts w:ascii="宋体" w:hAnsi="宋体" w:cs="宋体" w:eastAsia="宋体" w:hint="default"/>
        </w:rPr>
        <w:t>4</w:t>
      </w:r>
      <w:r>
        <w:rPr>
          <w:rFonts w:ascii="宋体" w:hAnsi="宋体" w:cs="宋体" w:eastAsia="宋体" w:hint="default"/>
          <w:spacing w:val="-39"/>
        </w:rPr>
        <w:t> </w:t>
      </w:r>
      <w:r>
        <w:rPr>
          <w:spacing w:val="-3"/>
        </w:rPr>
        <w:t>人，含独</w:t>
      </w:r>
    </w:p>
    <w:p>
      <w:pPr>
        <w:pStyle w:val="BodyText"/>
        <w:spacing w:line="272" w:lineRule="exact"/>
        <w:ind w:left="143" w:right="703"/>
        <w:jc w:val="left"/>
      </w:pPr>
      <w:r>
        <w:rPr/>
        <w:t>立董事</w:t>
      </w:r>
      <w:r>
        <w:rPr>
          <w:spacing w:val="-44"/>
        </w:rPr>
        <w:t> </w:t>
      </w:r>
      <w:r>
        <w:rPr>
          <w:rFonts w:ascii="宋体" w:hAnsi="宋体" w:cs="宋体" w:eastAsia="宋体" w:hint="default"/>
        </w:rPr>
        <w:t>1</w:t>
      </w:r>
      <w:r>
        <w:rPr>
          <w:rFonts w:ascii="宋体" w:hAnsi="宋体" w:cs="宋体" w:eastAsia="宋体" w:hint="default"/>
          <w:spacing w:val="-42"/>
        </w:rPr>
        <w:t> </w:t>
      </w:r>
      <w:r>
        <w:rPr/>
        <w:t>人；中兆投资管理有限公司提名并当选董事</w:t>
      </w:r>
      <w:r>
        <w:rPr>
          <w:spacing w:val="-42"/>
        </w:rPr>
        <w:t> </w:t>
      </w:r>
      <w:r>
        <w:rPr>
          <w:rFonts w:ascii="宋体" w:hAnsi="宋体" w:cs="宋体" w:eastAsia="宋体" w:hint="default"/>
        </w:rPr>
        <w:t>3</w:t>
      </w:r>
      <w:r>
        <w:rPr>
          <w:rFonts w:ascii="宋体" w:hAnsi="宋体" w:cs="宋体" w:eastAsia="宋体" w:hint="default"/>
          <w:spacing w:val="-42"/>
        </w:rPr>
        <w:t> </w:t>
      </w:r>
      <w:r>
        <w:rPr/>
        <w:t>人，含独立董事</w:t>
      </w:r>
      <w:r>
        <w:rPr>
          <w:spacing w:val="-42"/>
        </w:rPr>
        <w:t> </w:t>
      </w:r>
      <w:r>
        <w:rPr>
          <w:rFonts w:ascii="宋体" w:hAnsi="宋体" w:cs="宋体" w:eastAsia="宋体" w:hint="default"/>
        </w:rPr>
        <w:t>1</w:t>
      </w:r>
      <w:r>
        <w:rPr>
          <w:rFonts w:ascii="宋体" w:hAnsi="宋体" w:cs="宋体" w:eastAsia="宋体" w:hint="default"/>
          <w:spacing w:val="-44"/>
        </w:rPr>
        <w:t> </w:t>
      </w:r>
      <w:r>
        <w:rPr/>
        <w:t>人；深圳通泰达投资中心（有</w:t>
      </w:r>
    </w:p>
    <w:p>
      <w:pPr>
        <w:pStyle w:val="BodyText"/>
        <w:spacing w:line="240" w:lineRule="auto"/>
        <w:ind w:left="143" w:right="1067"/>
        <w:jc w:val="left"/>
        <w:rPr>
          <w:rFonts w:ascii="宋体" w:hAnsi="宋体" w:cs="宋体" w:eastAsia="宋体" w:hint="default"/>
        </w:rPr>
      </w:pPr>
      <w:r>
        <w:rPr/>
        <w:t>限合伙）推荐当选董事</w:t>
      </w:r>
      <w:r>
        <w:rPr>
          <w:spacing w:val="-37"/>
        </w:rPr>
        <w:t> </w:t>
      </w:r>
      <w:r>
        <w:rPr>
          <w:rFonts w:ascii="宋体" w:hAnsi="宋体" w:cs="宋体" w:eastAsia="宋体" w:hint="default"/>
        </w:rPr>
        <w:t>2</w:t>
      </w:r>
      <w:r>
        <w:rPr>
          <w:rFonts w:ascii="宋体" w:hAnsi="宋体" w:cs="宋体" w:eastAsia="宋体" w:hint="default"/>
          <w:spacing w:val="-37"/>
        </w:rPr>
        <w:t> </w:t>
      </w:r>
      <w:r>
        <w:rPr/>
        <w:t>人，独立董事</w:t>
      </w:r>
      <w:r>
        <w:rPr>
          <w:spacing w:val="-36"/>
        </w:rPr>
        <w:t> </w:t>
      </w:r>
      <w:r>
        <w:rPr>
          <w:rFonts w:ascii="宋体" w:hAnsi="宋体" w:cs="宋体" w:eastAsia="宋体" w:hint="default"/>
        </w:rPr>
        <w:t>1</w:t>
      </w:r>
      <w:r>
        <w:rPr>
          <w:rFonts w:ascii="宋体" w:hAnsi="宋体" w:cs="宋体" w:eastAsia="宋体" w:hint="default"/>
          <w:spacing w:val="-34"/>
        </w:rPr>
        <w:t> </w:t>
      </w:r>
      <w:r>
        <w:rPr/>
        <w:t>人。前三大股东各自提名或推荐并当选董事人数未超过半数以</w:t>
      </w:r>
      <w:r>
        <w:rPr>
          <w:w w:val="100"/>
        </w:rPr>
        <w:t> </w:t>
      </w:r>
      <w:r>
        <w:rPr/>
        <w:t>上。</w:t>
      </w:r>
      <w:r>
        <w:rPr>
          <w:rFonts w:ascii="宋体" w:hAnsi="宋体" w:cs="宋体" w:eastAsia="宋体" w:hint="default"/>
        </w:rPr>
        <w:t> </w:t>
      </w:r>
    </w:p>
    <w:p>
      <w:pPr>
        <w:pStyle w:val="BodyText"/>
        <w:spacing w:line="240" w:lineRule="auto" w:before="152"/>
        <w:ind w:left="563" w:right="703"/>
        <w:jc w:val="left"/>
      </w:pPr>
      <w:r>
        <w:rPr/>
        <w:t>公司前三大股东及其一致行动人通过实际支配上市公司股份表决权不能够决定公司董事会半数以上</w:t>
      </w:r>
    </w:p>
    <w:p>
      <w:pPr>
        <w:spacing w:after="0" w:line="240" w:lineRule="auto"/>
        <w:jc w:val="left"/>
        <w:sectPr>
          <w:pgSz w:w="11910" w:h="16840"/>
          <w:pgMar w:header="880" w:footer="975" w:top="1100" w:bottom="1160" w:left="1160" w:right="0"/>
        </w:sectPr>
      </w:pPr>
    </w:p>
    <w:p>
      <w:pPr>
        <w:spacing w:line="240" w:lineRule="auto" w:before="3"/>
        <w:rPr>
          <w:rFonts w:ascii="宋体" w:hAnsi="宋体" w:cs="宋体" w:eastAsia="宋体" w:hint="default"/>
          <w:sz w:val="19"/>
          <w:szCs w:val="19"/>
        </w:rPr>
      </w:pPr>
    </w:p>
    <w:p>
      <w:pPr>
        <w:pStyle w:val="BodyText"/>
        <w:spacing w:line="272" w:lineRule="exact" w:before="64"/>
        <w:ind w:left="143" w:right="703"/>
        <w:jc w:val="left"/>
        <w:rPr>
          <w:rFonts w:ascii="宋体" w:hAnsi="宋体" w:cs="宋体" w:eastAsia="宋体" w:hint="default"/>
        </w:rPr>
      </w:pPr>
      <w:r>
        <w:rPr>
          <w:spacing w:val="-4"/>
          <w:w w:val="100"/>
        </w:rPr>
        <w:t>成员选任；持有公司</w:t>
      </w:r>
      <w:r>
        <w:rPr>
          <w:spacing w:val="-46"/>
          <w:w w:val="100"/>
        </w:rPr>
        <w:t> </w:t>
      </w:r>
      <w:r>
        <w:rPr>
          <w:rFonts w:ascii="宋体" w:hAnsi="宋体" w:cs="宋体" w:eastAsia="宋体" w:hint="default"/>
          <w:spacing w:val="-6"/>
          <w:w w:val="100"/>
        </w:rPr>
        <w:t>5%</w:t>
      </w:r>
      <w:r>
        <w:rPr>
          <w:spacing w:val="-6"/>
          <w:w w:val="100"/>
        </w:rPr>
        <w:t>以上股份的大股东孝昌鹰溪谷投资中心（有限合伙）、中兆投资管理有限公司、通</w:t>
      </w:r>
      <w:r>
        <w:rPr>
          <w:spacing w:val="-103"/>
          <w:w w:val="100"/>
        </w:rPr>
        <w:t> </w:t>
      </w:r>
      <w:r>
        <w:rPr>
          <w:spacing w:val="-103"/>
          <w:w w:val="100"/>
        </w:rPr>
      </w:r>
      <w:r>
        <w:rPr/>
        <w:t>泰达、刘英魁都不能单独对公司形成控制，公司仍无控股股东或单一实际控制人。</w:t>
      </w:r>
      <w:r>
        <w:rPr>
          <w:rFonts w:ascii="宋体" w:hAnsi="宋体" w:cs="宋体" w:eastAsia="宋体" w:hint="default"/>
        </w:rPr>
        <w:t> </w:t>
      </w:r>
    </w:p>
    <w:p>
      <w:pPr>
        <w:spacing w:line="372" w:lineRule="auto" w:before="130"/>
        <w:ind w:left="563" w:right="6364" w:hanging="209"/>
        <w:jc w:val="left"/>
        <w:rPr>
          <w:rFonts w:ascii="宋体" w:hAnsi="宋体" w:cs="宋体" w:eastAsia="宋体" w:hint="default"/>
          <w:sz w:val="21"/>
          <w:szCs w:val="21"/>
        </w:rPr>
      </w:pPr>
      <w:r>
        <w:rPr>
          <w:rFonts w:ascii="宋体" w:hAnsi="宋体" w:cs="宋体" w:eastAsia="宋体" w:hint="default"/>
          <w:b/>
          <w:bCs/>
          <w:sz w:val="21"/>
          <w:szCs w:val="21"/>
        </w:rPr>
        <w:t>（二）本企业的子公司情况</w:t>
      </w:r>
      <w:r>
        <w:rPr>
          <w:rFonts w:ascii="宋体" w:hAnsi="宋体" w:cs="宋体" w:eastAsia="宋体" w:hint="default"/>
          <w:b/>
          <w:bCs/>
          <w:w w:val="99"/>
          <w:sz w:val="21"/>
          <w:szCs w:val="21"/>
        </w:rPr>
        <w:t> </w:t>
      </w:r>
      <w:r>
        <w:rPr>
          <w:rFonts w:ascii="宋体" w:hAnsi="宋体" w:cs="宋体" w:eastAsia="宋体" w:hint="default"/>
          <w:spacing w:val="-13"/>
          <w:w w:val="100"/>
          <w:sz w:val="21"/>
          <w:szCs w:val="21"/>
        </w:rPr>
        <w:t>本企业子公司的情况详见附注八、（一）。</w:t>
      </w:r>
      <w:r>
        <w:rPr>
          <w:rFonts w:ascii="宋体" w:hAnsi="宋体" w:cs="宋体" w:eastAsia="宋体" w:hint="default"/>
          <w:w w:val="100"/>
          <w:sz w:val="21"/>
          <w:szCs w:val="21"/>
        </w:rPr>
        <w:t> </w:t>
      </w:r>
    </w:p>
    <w:p>
      <w:pPr>
        <w:spacing w:line="374" w:lineRule="auto" w:before="39"/>
        <w:ind w:left="563" w:right="4847" w:hanging="209"/>
        <w:jc w:val="left"/>
        <w:rPr>
          <w:rFonts w:ascii="宋体" w:hAnsi="宋体" w:cs="宋体" w:eastAsia="宋体" w:hint="default"/>
          <w:sz w:val="21"/>
          <w:szCs w:val="21"/>
        </w:rPr>
      </w:pPr>
      <w:r>
        <w:rPr>
          <w:rFonts w:ascii="宋体" w:hAnsi="宋体" w:cs="宋体" w:eastAsia="宋体" w:hint="default"/>
          <w:b/>
          <w:bCs/>
          <w:sz w:val="21"/>
          <w:szCs w:val="21"/>
        </w:rPr>
        <w:t>（三</w:t>
      </w:r>
      <w:r>
        <w:rPr>
          <w:rFonts w:ascii="宋体" w:hAnsi="宋体" w:cs="宋体" w:eastAsia="宋体" w:hint="default"/>
          <w:b/>
          <w:bCs/>
          <w:sz w:val="21"/>
          <w:szCs w:val="21"/>
        </w:rPr>
        <w:t>)</w:t>
      </w:r>
      <w:r>
        <w:rPr>
          <w:rFonts w:ascii="宋体" w:hAnsi="宋体" w:cs="宋体" w:eastAsia="宋体" w:hint="default"/>
          <w:b/>
          <w:bCs/>
          <w:sz w:val="21"/>
          <w:szCs w:val="21"/>
        </w:rPr>
        <w:t>本企业合营和联营企业情况</w:t>
      </w:r>
      <w:r>
        <w:rPr>
          <w:rFonts w:ascii="宋体" w:hAnsi="宋体" w:cs="宋体" w:eastAsia="宋体" w:hint="default"/>
          <w:b/>
          <w:bCs/>
          <w:w w:val="99"/>
          <w:sz w:val="21"/>
          <w:szCs w:val="21"/>
        </w:rPr>
        <w:t> </w:t>
      </w:r>
      <w:r>
        <w:rPr>
          <w:rFonts w:ascii="宋体" w:hAnsi="宋体" w:cs="宋体" w:eastAsia="宋体" w:hint="default"/>
          <w:spacing w:val="-11"/>
          <w:w w:val="100"/>
          <w:sz w:val="21"/>
          <w:szCs w:val="21"/>
        </w:rPr>
        <w:t>本企业重要的合营或联营企业详见附注八、（三）。</w:t>
      </w:r>
      <w:r>
        <w:rPr>
          <w:rFonts w:ascii="宋体" w:hAnsi="宋体" w:cs="宋体" w:eastAsia="宋体" w:hint="default"/>
          <w:w w:val="100"/>
          <w:sz w:val="21"/>
          <w:szCs w:val="21"/>
        </w:rPr>
        <w:t> </w:t>
      </w:r>
      <w:r>
        <w:rPr>
          <w:rFonts w:ascii="宋体" w:hAnsi="宋体" w:cs="宋体" w:eastAsia="宋体" w:hint="default"/>
          <w:b/>
          <w:bCs/>
          <w:sz w:val="21"/>
          <w:szCs w:val="21"/>
        </w:rPr>
        <w:t>(</w:t>
      </w:r>
      <w:r>
        <w:rPr>
          <w:rFonts w:ascii="宋体" w:hAnsi="宋体" w:cs="宋体" w:eastAsia="宋体" w:hint="default"/>
          <w:b/>
          <w:bCs/>
          <w:sz w:val="21"/>
          <w:szCs w:val="21"/>
        </w:rPr>
        <w:t>四</w:t>
      </w:r>
      <w:r>
        <w:rPr>
          <w:rFonts w:ascii="宋体" w:hAnsi="宋体" w:cs="宋体" w:eastAsia="宋体" w:hint="default"/>
          <w:b/>
          <w:bCs/>
          <w:sz w:val="21"/>
          <w:szCs w:val="21"/>
        </w:rPr>
        <w:t>)</w:t>
      </w:r>
      <w:r>
        <w:rPr>
          <w:rFonts w:ascii="宋体" w:hAnsi="宋体" w:cs="宋体" w:eastAsia="宋体" w:hint="default"/>
          <w:b/>
          <w:bCs/>
          <w:sz w:val="21"/>
          <w:szCs w:val="21"/>
        </w:rPr>
        <w:t>其他关联方情况</w:t>
      </w:r>
      <w:r>
        <w:rPr>
          <w:rFonts w:ascii="宋体" w:hAnsi="宋体" w:cs="宋体" w:eastAsia="宋体" w:hint="default"/>
          <w:b/>
          <w:bCs/>
          <w:w w:val="99"/>
          <w:sz w:val="21"/>
          <w:szCs w:val="21"/>
        </w:rPr>
        <w:t> </w:t>
      </w:r>
      <w:r>
        <w:rPr>
          <w:rFonts w:ascii="宋体" w:hAnsi="宋体" w:cs="宋体" w:eastAsia="宋体" w:hint="default"/>
          <w:sz w:val="21"/>
          <w:szCs w:val="21"/>
        </w:rPr>
      </w:r>
    </w:p>
    <w:p>
      <w:pPr>
        <w:spacing w:line="240" w:lineRule="auto" w:before="3"/>
        <w:rPr>
          <w:rFonts w:ascii="宋体" w:hAnsi="宋体" w:cs="宋体" w:eastAsia="宋体" w:hint="default"/>
          <w:b/>
          <w:bCs/>
          <w:sz w:val="5"/>
          <w:szCs w:val="5"/>
        </w:rPr>
      </w:pPr>
    </w:p>
    <w:tbl>
      <w:tblPr>
        <w:tblW w:w="0" w:type="auto"/>
        <w:jc w:val="left"/>
        <w:tblInd w:w="126" w:type="dxa"/>
        <w:tblLayout w:type="fixed"/>
        <w:tblCellMar>
          <w:top w:w="0" w:type="dxa"/>
          <w:left w:w="0" w:type="dxa"/>
          <w:bottom w:w="0" w:type="dxa"/>
          <w:right w:w="0" w:type="dxa"/>
        </w:tblCellMar>
        <w:tblLook w:val="01E0"/>
      </w:tblPr>
      <w:tblGrid>
        <w:gridCol w:w="4556"/>
        <w:gridCol w:w="5087"/>
      </w:tblGrid>
      <w:tr>
        <w:trPr>
          <w:trHeight w:val="398" w:hRule="exact"/>
        </w:trPr>
        <w:tc>
          <w:tcPr>
            <w:tcW w:w="4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8" w:right="0"/>
              <w:jc w:val="center"/>
              <w:rPr>
                <w:rFonts w:ascii="宋体" w:hAnsi="宋体" w:cs="宋体" w:eastAsia="宋体" w:hint="default"/>
                <w:sz w:val="18"/>
                <w:szCs w:val="18"/>
              </w:rPr>
            </w:pPr>
            <w:r>
              <w:rPr>
                <w:rFonts w:ascii="宋体" w:hAnsi="宋体" w:cs="宋体" w:eastAsia="宋体" w:hint="default"/>
                <w:sz w:val="18"/>
                <w:szCs w:val="18"/>
              </w:rPr>
              <w:t>其他关联方名称</w:t>
            </w:r>
            <w:r>
              <w:rPr>
                <w:rFonts w:ascii="宋体" w:hAnsi="宋体" w:cs="宋体" w:eastAsia="宋体" w:hint="default"/>
                <w:sz w:val="18"/>
                <w:szCs w:val="18"/>
              </w:rPr>
              <w:t> </w:t>
            </w:r>
          </w:p>
        </w:tc>
        <w:tc>
          <w:tcPr>
            <w:tcW w:w="5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548" w:right="0"/>
              <w:jc w:val="left"/>
              <w:rPr>
                <w:rFonts w:ascii="宋体" w:hAnsi="宋体" w:cs="宋体" w:eastAsia="宋体" w:hint="default"/>
                <w:sz w:val="18"/>
                <w:szCs w:val="18"/>
              </w:rPr>
            </w:pPr>
            <w:r>
              <w:rPr>
                <w:rFonts w:ascii="宋体" w:hAnsi="宋体" w:cs="宋体" w:eastAsia="宋体" w:hint="default"/>
                <w:sz w:val="18"/>
                <w:szCs w:val="18"/>
              </w:rPr>
              <w:t>其他关联方与本企业关系</w:t>
            </w:r>
            <w:r>
              <w:rPr>
                <w:rFonts w:ascii="宋体" w:hAnsi="宋体" w:cs="宋体" w:eastAsia="宋体" w:hint="default"/>
                <w:sz w:val="18"/>
                <w:szCs w:val="18"/>
              </w:rPr>
              <w:t> </w:t>
            </w:r>
          </w:p>
        </w:tc>
      </w:tr>
      <w:tr>
        <w:trPr>
          <w:trHeight w:val="396" w:hRule="exact"/>
        </w:trPr>
        <w:tc>
          <w:tcPr>
            <w:tcW w:w="4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吴鹰</w:t>
            </w:r>
            <w:r>
              <w:rPr>
                <w:rFonts w:ascii="宋体" w:hAnsi="宋体" w:cs="宋体" w:eastAsia="宋体" w:hint="default"/>
                <w:sz w:val="18"/>
                <w:szCs w:val="18"/>
              </w:rPr>
              <w:t> </w:t>
            </w:r>
          </w:p>
        </w:tc>
        <w:tc>
          <w:tcPr>
            <w:tcW w:w="5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法定代表人</w:t>
            </w:r>
            <w:r>
              <w:rPr>
                <w:rFonts w:ascii="宋体" w:hAnsi="宋体" w:cs="宋体" w:eastAsia="宋体" w:hint="default"/>
                <w:sz w:val="18"/>
                <w:szCs w:val="18"/>
              </w:rPr>
              <w:t> </w:t>
            </w:r>
          </w:p>
        </w:tc>
      </w:tr>
      <w:tr>
        <w:trPr>
          <w:trHeight w:val="398" w:hRule="exact"/>
        </w:trPr>
        <w:tc>
          <w:tcPr>
            <w:tcW w:w="4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刘英魁</w:t>
            </w:r>
            <w:r>
              <w:rPr>
                <w:rFonts w:ascii="宋体" w:hAnsi="宋体" w:cs="宋体" w:eastAsia="宋体" w:hint="default"/>
                <w:sz w:val="18"/>
                <w:szCs w:val="18"/>
              </w:rPr>
              <w:t> </w:t>
            </w:r>
          </w:p>
        </w:tc>
        <w:tc>
          <w:tcPr>
            <w:tcW w:w="5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spacing w:val="-45"/>
                <w:sz w:val="18"/>
                <w:szCs w:val="18"/>
              </w:rPr>
              <w:t> </w:t>
            </w:r>
            <w:r>
              <w:rPr>
                <w:rFonts w:ascii="宋体" w:hAnsi="宋体" w:cs="宋体" w:eastAsia="宋体" w:hint="default"/>
                <w:sz w:val="18"/>
                <w:szCs w:val="18"/>
              </w:rPr>
              <w:t>5%</w:t>
            </w:r>
            <w:r>
              <w:rPr>
                <w:rFonts w:ascii="宋体" w:hAnsi="宋体" w:cs="宋体" w:eastAsia="宋体" w:hint="default"/>
                <w:sz w:val="18"/>
                <w:szCs w:val="18"/>
              </w:rPr>
              <w:t>以上股东</w:t>
            </w:r>
            <w:r>
              <w:rPr>
                <w:rFonts w:ascii="宋体" w:hAnsi="宋体" w:cs="宋体" w:eastAsia="宋体" w:hint="default"/>
                <w:sz w:val="18"/>
                <w:szCs w:val="18"/>
              </w:rPr>
              <w:t> </w:t>
            </w:r>
          </w:p>
        </w:tc>
      </w:tr>
      <w:tr>
        <w:trPr>
          <w:trHeight w:val="397" w:hRule="exact"/>
        </w:trPr>
        <w:tc>
          <w:tcPr>
            <w:tcW w:w="4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103" w:right="0"/>
              <w:jc w:val="left"/>
              <w:rPr>
                <w:rFonts w:ascii="宋体" w:hAnsi="宋体" w:cs="宋体" w:eastAsia="宋体" w:hint="default"/>
                <w:sz w:val="18"/>
                <w:szCs w:val="18"/>
              </w:rPr>
            </w:pPr>
            <w:r>
              <w:rPr>
                <w:rFonts w:ascii="宋体" w:hAnsi="宋体" w:cs="宋体" w:eastAsia="宋体" w:hint="default"/>
                <w:sz w:val="18"/>
                <w:szCs w:val="18"/>
              </w:rPr>
              <w:t>北京博升优势科技发展有限公司</w:t>
            </w:r>
            <w:r>
              <w:rPr>
                <w:rFonts w:ascii="宋体" w:hAnsi="宋体" w:cs="宋体" w:eastAsia="宋体" w:hint="default"/>
                <w:sz w:val="18"/>
                <w:szCs w:val="18"/>
              </w:rPr>
              <w:t> </w:t>
            </w:r>
          </w:p>
        </w:tc>
        <w:tc>
          <w:tcPr>
            <w:tcW w:w="5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103" w:right="0"/>
              <w:jc w:val="left"/>
              <w:rPr>
                <w:rFonts w:ascii="宋体" w:hAnsi="宋体" w:cs="宋体" w:eastAsia="宋体" w:hint="default"/>
                <w:sz w:val="18"/>
                <w:szCs w:val="18"/>
              </w:rPr>
            </w:pPr>
            <w:r>
              <w:rPr>
                <w:rFonts w:ascii="宋体" w:hAnsi="宋体" w:cs="宋体" w:eastAsia="宋体" w:hint="default"/>
                <w:sz w:val="18"/>
                <w:szCs w:val="18"/>
              </w:rPr>
              <w:t>第一大股东的一致行动人</w:t>
            </w:r>
            <w:r>
              <w:rPr>
                <w:rFonts w:ascii="宋体" w:hAnsi="宋体" w:cs="宋体" w:eastAsia="宋体" w:hint="default"/>
                <w:sz w:val="18"/>
                <w:szCs w:val="18"/>
              </w:rPr>
              <w:t> </w:t>
            </w:r>
          </w:p>
        </w:tc>
      </w:tr>
      <w:tr>
        <w:trPr>
          <w:trHeight w:val="396" w:hRule="exact"/>
        </w:trPr>
        <w:tc>
          <w:tcPr>
            <w:tcW w:w="4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联动优势科技有限公司</w:t>
            </w:r>
            <w:r>
              <w:rPr>
                <w:rFonts w:ascii="宋体" w:hAnsi="宋体" w:cs="宋体" w:eastAsia="宋体" w:hint="default"/>
                <w:sz w:val="18"/>
                <w:szCs w:val="18"/>
              </w:rPr>
              <w:t> </w:t>
            </w:r>
          </w:p>
        </w:tc>
        <w:tc>
          <w:tcPr>
            <w:tcW w:w="5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法定代表人吴鹰是联动优势科技有限公司母公司海联金汇科技</w:t>
            </w:r>
          </w:p>
        </w:tc>
      </w:tr>
      <w:tr>
        <w:trPr>
          <w:trHeight w:val="398" w:hRule="exact"/>
        </w:trPr>
        <w:tc>
          <w:tcPr>
            <w:tcW w:w="4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北京中天嘉华通信技术有限公司</w:t>
            </w:r>
            <w:r>
              <w:rPr>
                <w:rFonts w:ascii="宋体" w:hAnsi="宋体" w:cs="宋体" w:eastAsia="宋体" w:hint="default"/>
                <w:sz w:val="18"/>
                <w:szCs w:val="18"/>
              </w:rPr>
              <w:t> </w:t>
            </w:r>
          </w:p>
        </w:tc>
        <w:tc>
          <w:tcPr>
            <w:tcW w:w="5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刘英魁控制的公司</w:t>
            </w:r>
            <w:r>
              <w:rPr>
                <w:rFonts w:ascii="宋体" w:hAnsi="宋体" w:cs="宋体" w:eastAsia="宋体" w:hint="default"/>
                <w:sz w:val="18"/>
                <w:szCs w:val="18"/>
              </w:rPr>
              <w:t> </w:t>
            </w:r>
          </w:p>
        </w:tc>
      </w:tr>
      <w:tr>
        <w:trPr>
          <w:trHeight w:val="396" w:hRule="exact"/>
        </w:trPr>
        <w:tc>
          <w:tcPr>
            <w:tcW w:w="4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北京东方般若科技发展有限公司</w:t>
            </w:r>
            <w:r>
              <w:rPr>
                <w:rFonts w:ascii="宋体" w:hAnsi="宋体" w:cs="宋体" w:eastAsia="宋体" w:hint="default"/>
                <w:sz w:val="18"/>
                <w:szCs w:val="18"/>
              </w:rPr>
              <w:t> </w:t>
            </w:r>
          </w:p>
        </w:tc>
        <w:tc>
          <w:tcPr>
            <w:tcW w:w="5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刘英魁控制的公司</w:t>
            </w:r>
            <w:r>
              <w:rPr>
                <w:rFonts w:ascii="宋体" w:hAnsi="宋体" w:cs="宋体" w:eastAsia="宋体" w:hint="default"/>
                <w:sz w:val="18"/>
                <w:szCs w:val="18"/>
              </w:rPr>
              <w:t> </w:t>
            </w:r>
          </w:p>
        </w:tc>
      </w:tr>
      <w:tr>
        <w:trPr>
          <w:trHeight w:val="398" w:hRule="exact"/>
        </w:trPr>
        <w:tc>
          <w:tcPr>
            <w:tcW w:w="4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宁波保税区嘉惠秋实创业投资合伙企业</w:t>
            </w:r>
            <w:r>
              <w:rPr>
                <w:rFonts w:ascii="宋体" w:hAnsi="宋体" w:cs="宋体" w:eastAsia="宋体" w:hint="default"/>
                <w:sz w:val="18"/>
                <w:szCs w:val="18"/>
              </w:rPr>
              <w:t>(</w:t>
            </w:r>
            <w:r>
              <w:rPr>
                <w:rFonts w:ascii="宋体" w:hAnsi="宋体" w:cs="宋体" w:eastAsia="宋体" w:hint="default"/>
                <w:sz w:val="18"/>
                <w:szCs w:val="18"/>
              </w:rPr>
              <w:t>有限合伙</w:t>
            </w:r>
            <w:r>
              <w:rPr>
                <w:rFonts w:ascii="宋体" w:hAnsi="宋体" w:cs="宋体" w:eastAsia="宋体" w:hint="default"/>
                <w:sz w:val="18"/>
                <w:szCs w:val="18"/>
              </w:rPr>
              <w:t>) </w:t>
            </w:r>
          </w:p>
        </w:tc>
        <w:tc>
          <w:tcPr>
            <w:tcW w:w="5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刘英魁控制的公司</w:t>
            </w:r>
            <w:r>
              <w:rPr>
                <w:rFonts w:ascii="宋体" w:hAnsi="宋体" w:cs="宋体" w:eastAsia="宋体" w:hint="default"/>
                <w:sz w:val="18"/>
                <w:szCs w:val="18"/>
              </w:rPr>
              <w:t> </w:t>
            </w:r>
          </w:p>
        </w:tc>
      </w:tr>
      <w:tr>
        <w:trPr>
          <w:trHeight w:val="396" w:hRule="exact"/>
        </w:trPr>
        <w:tc>
          <w:tcPr>
            <w:tcW w:w="4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宁波保税区嘉语春华创业投资合伙企业</w:t>
            </w:r>
            <w:r>
              <w:rPr>
                <w:rFonts w:ascii="宋体" w:hAnsi="宋体" w:cs="宋体" w:eastAsia="宋体" w:hint="default"/>
                <w:sz w:val="18"/>
                <w:szCs w:val="18"/>
              </w:rPr>
              <w:t>(</w:t>
            </w:r>
            <w:r>
              <w:rPr>
                <w:rFonts w:ascii="宋体" w:hAnsi="宋体" w:cs="宋体" w:eastAsia="宋体" w:hint="default"/>
                <w:sz w:val="18"/>
                <w:szCs w:val="18"/>
              </w:rPr>
              <w:t>有限合伙</w:t>
            </w:r>
            <w:r>
              <w:rPr>
                <w:rFonts w:ascii="宋体" w:hAnsi="宋体" w:cs="宋体" w:eastAsia="宋体" w:hint="default"/>
                <w:sz w:val="18"/>
                <w:szCs w:val="18"/>
              </w:rPr>
              <w:t>) </w:t>
            </w:r>
          </w:p>
        </w:tc>
        <w:tc>
          <w:tcPr>
            <w:tcW w:w="5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刘英魁控制的公司</w:t>
            </w:r>
            <w:r>
              <w:rPr>
                <w:rFonts w:ascii="宋体" w:hAnsi="宋体" w:cs="宋体" w:eastAsia="宋体" w:hint="default"/>
                <w:sz w:val="18"/>
                <w:szCs w:val="18"/>
              </w:rPr>
              <w:t> </w:t>
            </w:r>
          </w:p>
        </w:tc>
      </w:tr>
      <w:tr>
        <w:trPr>
          <w:trHeight w:val="398" w:hRule="exact"/>
        </w:trPr>
        <w:tc>
          <w:tcPr>
            <w:tcW w:w="4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北京中天嘉华管理咨询有限公司</w:t>
            </w:r>
            <w:r>
              <w:rPr>
                <w:rFonts w:ascii="宋体" w:hAnsi="宋体" w:cs="宋体" w:eastAsia="宋体" w:hint="default"/>
                <w:sz w:val="18"/>
                <w:szCs w:val="18"/>
              </w:rPr>
              <w:t> </w:t>
            </w:r>
          </w:p>
        </w:tc>
        <w:tc>
          <w:tcPr>
            <w:tcW w:w="5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刘英魁控制的公司</w:t>
            </w:r>
            <w:r>
              <w:rPr>
                <w:rFonts w:ascii="宋体" w:hAnsi="宋体" w:cs="宋体" w:eastAsia="宋体" w:hint="default"/>
                <w:sz w:val="18"/>
                <w:szCs w:val="18"/>
              </w:rPr>
              <w:t> </w:t>
            </w:r>
          </w:p>
        </w:tc>
      </w:tr>
      <w:tr>
        <w:trPr>
          <w:trHeight w:val="396" w:hRule="exact"/>
        </w:trPr>
        <w:tc>
          <w:tcPr>
            <w:tcW w:w="4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北京优财富科技发展有限公司</w:t>
            </w:r>
            <w:r>
              <w:rPr>
                <w:rFonts w:ascii="宋体" w:hAnsi="宋体" w:cs="宋体" w:eastAsia="宋体" w:hint="default"/>
                <w:sz w:val="18"/>
                <w:szCs w:val="18"/>
              </w:rPr>
              <w:t> </w:t>
            </w:r>
          </w:p>
        </w:tc>
        <w:tc>
          <w:tcPr>
            <w:tcW w:w="5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刘英魁控制的公司</w:t>
            </w:r>
            <w:r>
              <w:rPr>
                <w:rFonts w:ascii="宋体" w:hAnsi="宋体" w:cs="宋体" w:eastAsia="宋体" w:hint="default"/>
                <w:sz w:val="18"/>
                <w:szCs w:val="18"/>
              </w:rPr>
              <w:t> </w:t>
            </w:r>
          </w:p>
        </w:tc>
      </w:tr>
      <w:tr>
        <w:trPr>
          <w:trHeight w:val="396" w:hRule="exact"/>
        </w:trPr>
        <w:tc>
          <w:tcPr>
            <w:tcW w:w="4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北京中天嘉华保险代理有限公司</w:t>
            </w:r>
            <w:r>
              <w:rPr>
                <w:rFonts w:ascii="宋体" w:hAnsi="宋体" w:cs="宋体" w:eastAsia="宋体" w:hint="default"/>
                <w:sz w:val="18"/>
                <w:szCs w:val="18"/>
              </w:rPr>
              <w:t> </w:t>
            </w:r>
          </w:p>
        </w:tc>
        <w:tc>
          <w:tcPr>
            <w:tcW w:w="5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刘英魁控制的公司</w:t>
            </w:r>
            <w:r>
              <w:rPr>
                <w:rFonts w:ascii="宋体" w:hAnsi="宋体" w:cs="宋体" w:eastAsia="宋体" w:hint="default"/>
                <w:sz w:val="18"/>
                <w:szCs w:val="18"/>
              </w:rPr>
              <w:t> </w:t>
            </w:r>
          </w:p>
        </w:tc>
      </w:tr>
      <w:tr>
        <w:trPr>
          <w:trHeight w:val="399" w:hRule="exact"/>
        </w:trPr>
        <w:tc>
          <w:tcPr>
            <w:tcW w:w="4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清远市长实建设有限公司</w:t>
            </w:r>
            <w:r>
              <w:rPr>
                <w:rFonts w:ascii="宋体" w:hAnsi="宋体" w:cs="宋体" w:eastAsia="宋体" w:hint="default"/>
                <w:sz w:val="18"/>
                <w:szCs w:val="18"/>
              </w:rPr>
              <w:t> </w:t>
            </w:r>
          </w:p>
        </w:tc>
        <w:tc>
          <w:tcPr>
            <w:tcW w:w="5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本公司 </w:t>
            </w:r>
            <w:r>
              <w:rPr>
                <w:rFonts w:ascii="宋体" w:hAnsi="宋体" w:cs="宋体" w:eastAsia="宋体" w:hint="default"/>
                <w:sz w:val="18"/>
                <w:szCs w:val="18"/>
              </w:rPr>
              <w:t>2015</w:t>
            </w:r>
            <w:r>
              <w:rPr>
                <w:rFonts w:ascii="宋体" w:hAnsi="宋体" w:cs="宋体" w:eastAsia="宋体" w:hint="default"/>
                <w:spacing w:val="-3"/>
                <w:sz w:val="18"/>
                <w:szCs w:val="18"/>
              </w:rPr>
              <w:t> </w:t>
            </w:r>
            <w:r>
              <w:rPr>
                <w:rFonts w:ascii="宋体" w:hAnsi="宋体" w:cs="宋体" w:eastAsia="宋体" w:hint="default"/>
                <w:sz w:val="18"/>
                <w:szCs w:val="18"/>
              </w:rPr>
              <w:t>年重组收购交易对方控股子公司</w:t>
            </w:r>
            <w:r>
              <w:rPr>
                <w:rFonts w:ascii="宋体" w:hAnsi="宋体" w:cs="宋体" w:eastAsia="宋体" w:hint="default"/>
                <w:sz w:val="18"/>
                <w:szCs w:val="18"/>
              </w:rPr>
              <w:t> </w:t>
            </w:r>
          </w:p>
        </w:tc>
      </w:tr>
      <w:tr>
        <w:trPr>
          <w:trHeight w:val="396" w:hRule="exact"/>
        </w:trPr>
        <w:tc>
          <w:tcPr>
            <w:tcW w:w="4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广东长实投资有限公司</w:t>
            </w:r>
            <w:r>
              <w:rPr>
                <w:rFonts w:ascii="宋体" w:hAnsi="宋体" w:cs="宋体" w:eastAsia="宋体" w:hint="default"/>
                <w:sz w:val="18"/>
                <w:szCs w:val="18"/>
              </w:rPr>
              <w:t> </w:t>
            </w:r>
          </w:p>
        </w:tc>
        <w:tc>
          <w:tcPr>
            <w:tcW w:w="50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本公司 </w:t>
            </w:r>
            <w:r>
              <w:rPr>
                <w:rFonts w:ascii="宋体" w:hAnsi="宋体" w:cs="宋体" w:eastAsia="宋体" w:hint="default"/>
                <w:sz w:val="18"/>
                <w:szCs w:val="18"/>
              </w:rPr>
              <w:t>2015</w:t>
            </w:r>
            <w:r>
              <w:rPr>
                <w:rFonts w:ascii="宋体" w:hAnsi="宋体" w:cs="宋体" w:eastAsia="宋体" w:hint="default"/>
                <w:spacing w:val="-3"/>
                <w:sz w:val="18"/>
                <w:szCs w:val="18"/>
              </w:rPr>
              <w:t> </w:t>
            </w:r>
            <w:r>
              <w:rPr>
                <w:rFonts w:ascii="宋体" w:hAnsi="宋体" w:cs="宋体" w:eastAsia="宋体" w:hint="default"/>
                <w:sz w:val="18"/>
                <w:szCs w:val="18"/>
              </w:rPr>
              <w:t>年重组收购交易对方控股子公司</w:t>
            </w:r>
            <w:r>
              <w:rPr>
                <w:rFonts w:ascii="宋体" w:hAnsi="宋体" w:cs="宋体" w:eastAsia="宋体" w:hint="default"/>
                <w:sz w:val="18"/>
                <w:szCs w:val="18"/>
              </w:rPr>
              <w:t> </w:t>
            </w:r>
          </w:p>
        </w:tc>
      </w:tr>
    </w:tbl>
    <w:p>
      <w:pPr>
        <w:spacing w:line="240" w:lineRule="auto" w:before="7"/>
        <w:rPr>
          <w:rFonts w:ascii="宋体" w:hAnsi="宋体" w:cs="宋体" w:eastAsia="宋体" w:hint="default"/>
          <w:b/>
          <w:bCs/>
          <w:sz w:val="6"/>
          <w:szCs w:val="6"/>
        </w:rPr>
      </w:pPr>
    </w:p>
    <w:p>
      <w:pPr>
        <w:spacing w:line="374" w:lineRule="auto" w:before="36"/>
        <w:ind w:left="566" w:right="4847"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五）关联交易情况</w:t>
      </w:r>
      <w:r>
        <w:rPr>
          <w:rFonts w:ascii="宋体" w:hAnsi="宋体" w:cs="宋体" w:eastAsia="宋体" w:hint="default"/>
          <w:b/>
          <w:bCs/>
          <w:w w:val="99"/>
          <w:sz w:val="21"/>
          <w:szCs w:val="21"/>
        </w:rPr>
        <w:t> </w:t>
      </w:r>
      <w:r>
        <w:rPr>
          <w:rFonts w:ascii="宋体" w:hAnsi="宋体" w:cs="宋体" w:eastAsia="宋体" w:hint="default"/>
          <w:b/>
          <w:bCs/>
          <w:sz w:val="21"/>
          <w:szCs w:val="21"/>
        </w:rPr>
        <w:t>1</w:t>
      </w:r>
      <w:r>
        <w:rPr>
          <w:rFonts w:ascii="宋体" w:hAnsi="宋体" w:cs="宋体" w:eastAsia="宋体" w:hint="default"/>
          <w:b/>
          <w:bCs/>
          <w:sz w:val="21"/>
          <w:szCs w:val="21"/>
        </w:rPr>
        <w:t>、</w:t>
      </w:r>
      <w:r>
        <w:rPr>
          <w:rFonts w:ascii="宋体" w:hAnsi="宋体" w:cs="宋体" w:eastAsia="宋体" w:hint="default"/>
          <w:sz w:val="21"/>
          <w:szCs w:val="21"/>
        </w:rPr>
        <w:t>购销商品、提供和接受劳务的关联交易</w:t>
      </w:r>
      <w:r>
        <w:rPr>
          <w:rFonts w:ascii="宋体" w:hAnsi="宋体" w:cs="宋体" w:eastAsia="宋体" w:hint="default"/>
          <w:sz w:val="21"/>
          <w:szCs w:val="21"/>
        </w:rPr>
        <w:t> </w:t>
      </w:r>
    </w:p>
    <w:p>
      <w:pPr>
        <w:pStyle w:val="BodyText"/>
        <w:spacing w:line="240" w:lineRule="auto" w:before="34"/>
        <w:ind w:left="354" w:right="1146"/>
        <w:jc w:val="left"/>
        <w:rPr>
          <w:rFonts w:ascii="宋体" w:hAnsi="宋体" w:cs="宋体" w:eastAsia="宋体" w:hint="default"/>
        </w:rPr>
      </w:pPr>
      <w:r>
        <w:rPr/>
        <w:t>（</w:t>
      </w:r>
      <w:r>
        <w:rPr>
          <w:rFonts w:ascii="宋体" w:hAnsi="宋体" w:cs="宋体" w:eastAsia="宋体" w:hint="default"/>
        </w:rPr>
        <w:t>1</w:t>
      </w:r>
      <w:r>
        <w:rPr/>
        <w:t>）采购商品</w:t>
      </w:r>
      <w:r>
        <w:rPr>
          <w:rFonts w:ascii="宋体" w:hAnsi="宋体" w:cs="宋体" w:eastAsia="宋体" w:hint="default"/>
        </w:rPr>
        <w:t>/</w:t>
      </w:r>
      <w:r>
        <w:rPr/>
        <w:t>接受劳务情况表</w:t>
      </w:r>
      <w:r>
        <w:rPr>
          <w:rFonts w:ascii="宋体" w:hAnsi="宋体" w:cs="宋体" w:eastAsia="宋体" w:hint="default"/>
        </w:rPr>
        <w:t> </w:t>
      </w:r>
    </w:p>
    <w:p>
      <w:pPr>
        <w:spacing w:line="240" w:lineRule="auto" w:before="6"/>
        <w:rPr>
          <w:rFonts w:ascii="宋体" w:hAnsi="宋体" w:cs="宋体" w:eastAsia="宋体" w:hint="default"/>
          <w:sz w:val="14"/>
          <w:szCs w:val="14"/>
        </w:rPr>
      </w:pPr>
    </w:p>
    <w:tbl>
      <w:tblPr>
        <w:tblW w:w="0" w:type="auto"/>
        <w:jc w:val="left"/>
        <w:tblInd w:w="123" w:type="dxa"/>
        <w:tblLayout w:type="fixed"/>
        <w:tblCellMar>
          <w:top w:w="0" w:type="dxa"/>
          <w:left w:w="0" w:type="dxa"/>
          <w:bottom w:w="0" w:type="dxa"/>
          <w:right w:w="0" w:type="dxa"/>
        </w:tblCellMar>
        <w:tblLook w:val="01E0"/>
      </w:tblPr>
      <w:tblGrid>
        <w:gridCol w:w="2783"/>
        <w:gridCol w:w="1310"/>
        <w:gridCol w:w="2604"/>
        <w:gridCol w:w="1431"/>
        <w:gridCol w:w="1514"/>
      </w:tblGrid>
      <w:tr>
        <w:trPr>
          <w:trHeight w:val="396" w:hRule="exact"/>
        </w:trPr>
        <w:tc>
          <w:tcPr>
            <w:tcW w:w="2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 w:right="0"/>
              <w:jc w:val="center"/>
              <w:rPr>
                <w:rFonts w:ascii="宋体" w:hAnsi="宋体" w:cs="宋体" w:eastAsia="宋体" w:hint="default"/>
                <w:sz w:val="18"/>
                <w:szCs w:val="18"/>
              </w:rPr>
            </w:pPr>
            <w:r>
              <w:rPr>
                <w:rFonts w:ascii="宋体" w:hAnsi="宋体" w:cs="宋体" w:eastAsia="宋体" w:hint="default"/>
                <w:sz w:val="18"/>
                <w:szCs w:val="18"/>
              </w:rPr>
              <w:t>关联方</w:t>
            </w:r>
            <w:r>
              <w:rPr>
                <w:rFonts w:ascii="宋体" w:hAnsi="宋体" w:cs="宋体" w:eastAsia="宋体" w:hint="default"/>
                <w:sz w:val="18"/>
                <w:szCs w:val="18"/>
              </w:rPr>
              <w:t> </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10" w:right="0"/>
              <w:jc w:val="left"/>
              <w:rPr>
                <w:rFonts w:ascii="宋体" w:hAnsi="宋体" w:cs="宋体" w:eastAsia="宋体" w:hint="default"/>
                <w:sz w:val="18"/>
                <w:szCs w:val="18"/>
              </w:rPr>
            </w:pPr>
            <w:r>
              <w:rPr>
                <w:rFonts w:ascii="宋体" w:hAnsi="宋体" w:cs="宋体" w:eastAsia="宋体" w:hint="default"/>
                <w:sz w:val="18"/>
                <w:szCs w:val="18"/>
              </w:rPr>
              <w:t>关联交易内容</w:t>
            </w:r>
            <w:r>
              <w:rPr>
                <w:rFonts w:ascii="宋体" w:hAnsi="宋体" w:cs="宋体" w:eastAsia="宋体" w:hint="default"/>
                <w:sz w:val="18"/>
                <w:szCs w:val="18"/>
              </w:rPr>
              <w:t> </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 w:right="0"/>
              <w:jc w:val="center"/>
              <w:rPr>
                <w:rFonts w:ascii="宋体" w:hAnsi="宋体" w:cs="宋体" w:eastAsia="宋体" w:hint="default"/>
                <w:sz w:val="18"/>
                <w:szCs w:val="18"/>
              </w:rPr>
            </w:pPr>
            <w:r>
              <w:rPr>
                <w:rFonts w:ascii="宋体" w:hAnsi="宋体" w:cs="宋体" w:eastAsia="宋体" w:hint="default"/>
                <w:sz w:val="18"/>
                <w:szCs w:val="18"/>
              </w:rPr>
              <w:t>关联交易定价方式及决策程序</w:t>
            </w:r>
            <w:r>
              <w:rPr>
                <w:rFonts w:ascii="宋体" w:hAnsi="宋体" w:cs="宋体" w:eastAsia="宋体" w:hint="default"/>
                <w:sz w:val="18"/>
                <w:szCs w:val="18"/>
              </w:rPr>
              <w:t> </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1" w:right="0"/>
              <w:jc w:val="left"/>
              <w:rPr>
                <w:rFonts w:ascii="宋体" w:hAnsi="宋体" w:cs="宋体" w:eastAsia="宋体" w:hint="default"/>
                <w:sz w:val="18"/>
                <w:szCs w:val="18"/>
              </w:rPr>
            </w:pPr>
            <w:r>
              <w:rPr>
                <w:rFonts w:ascii="宋体" w:hAnsi="宋体" w:cs="宋体" w:eastAsia="宋体" w:hint="default"/>
                <w:sz w:val="18"/>
                <w:szCs w:val="18"/>
              </w:rPr>
              <w:t>本期发生额</w:t>
            </w:r>
            <w:r>
              <w:rPr>
                <w:rFonts w:ascii="宋体" w:hAnsi="宋体" w:cs="宋体" w:eastAsia="宋体" w:hint="default"/>
                <w:sz w:val="18"/>
                <w:szCs w:val="18"/>
              </w:rPr>
              <w:t> </w:t>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04" w:right="0"/>
              <w:jc w:val="left"/>
              <w:rPr>
                <w:rFonts w:ascii="宋体" w:hAnsi="宋体" w:cs="宋体" w:eastAsia="宋体" w:hint="default"/>
                <w:sz w:val="18"/>
                <w:szCs w:val="18"/>
              </w:rPr>
            </w:pPr>
            <w:r>
              <w:rPr>
                <w:rFonts w:ascii="宋体" w:hAnsi="宋体" w:cs="宋体" w:eastAsia="宋体" w:hint="default"/>
                <w:sz w:val="18"/>
                <w:szCs w:val="18"/>
              </w:rPr>
              <w:t>上期发生额</w:t>
            </w:r>
            <w:r>
              <w:rPr>
                <w:rFonts w:ascii="宋体" w:hAnsi="宋体" w:cs="宋体" w:eastAsia="宋体" w:hint="default"/>
                <w:sz w:val="18"/>
                <w:szCs w:val="18"/>
              </w:rPr>
              <w:t> </w:t>
            </w:r>
          </w:p>
        </w:tc>
      </w:tr>
      <w:tr>
        <w:trPr>
          <w:trHeight w:val="398" w:hRule="exact"/>
        </w:trPr>
        <w:tc>
          <w:tcPr>
            <w:tcW w:w="2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联动优势科技有限公司</w:t>
            </w:r>
            <w:r>
              <w:rPr>
                <w:rFonts w:ascii="宋体" w:hAnsi="宋体" w:cs="宋体" w:eastAsia="宋体" w:hint="default"/>
                <w:sz w:val="18"/>
                <w:szCs w:val="18"/>
              </w:rPr>
              <w:t> </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短信服务</w:t>
            </w:r>
            <w:r>
              <w:rPr>
                <w:rFonts w:ascii="宋体" w:hAnsi="宋体" w:cs="宋体" w:eastAsia="宋体" w:hint="default"/>
                <w:sz w:val="18"/>
                <w:szCs w:val="18"/>
              </w:rPr>
              <w:t> </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7" w:right="0"/>
              <w:jc w:val="center"/>
              <w:rPr>
                <w:rFonts w:ascii="宋体" w:hAnsi="宋体" w:cs="宋体" w:eastAsia="宋体" w:hint="default"/>
                <w:sz w:val="18"/>
                <w:szCs w:val="18"/>
              </w:rPr>
            </w:pPr>
            <w:r>
              <w:rPr>
                <w:rFonts w:ascii="宋体" w:hAnsi="宋体" w:cs="宋体" w:eastAsia="宋体" w:hint="default"/>
                <w:sz w:val="18"/>
                <w:szCs w:val="18"/>
              </w:rPr>
              <w:t>根据市场价格确定</w:t>
            </w:r>
            <w:r>
              <w:rPr>
                <w:rFonts w:ascii="宋体" w:hAnsi="宋体" w:cs="宋体" w:eastAsia="宋体" w:hint="default"/>
                <w:sz w:val="18"/>
                <w:szCs w:val="18"/>
              </w:rPr>
              <w:t> </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9"/>
              <w:jc w:val="right"/>
              <w:rPr>
                <w:rFonts w:ascii="宋体" w:hAnsi="宋体" w:cs="宋体" w:eastAsia="宋体" w:hint="default"/>
                <w:sz w:val="18"/>
                <w:szCs w:val="18"/>
              </w:rPr>
            </w:pPr>
            <w:r>
              <w:rPr>
                <w:rFonts w:ascii="宋体"/>
                <w:spacing w:val="-1"/>
                <w:sz w:val="18"/>
              </w:rPr>
              <w:t>74,858.23</w:t>
            </w:r>
            <w:r>
              <w:rPr>
                <w:rFonts w:ascii="宋体"/>
                <w:sz w:val="18"/>
              </w:rPr>
              <w:t> </w:t>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212,620.65</w:t>
            </w:r>
            <w:r>
              <w:rPr>
                <w:rFonts w:ascii="宋体"/>
                <w:sz w:val="18"/>
              </w:rPr>
              <w:t> </w:t>
            </w:r>
          </w:p>
        </w:tc>
      </w:tr>
      <w:tr>
        <w:trPr>
          <w:trHeight w:val="396" w:hRule="exact"/>
        </w:trPr>
        <w:tc>
          <w:tcPr>
            <w:tcW w:w="2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32"/>
              <w:jc w:val="left"/>
              <w:rPr>
                <w:rFonts w:ascii="宋体" w:hAnsi="宋体" w:cs="宋体" w:eastAsia="宋体" w:hint="default"/>
                <w:sz w:val="18"/>
                <w:szCs w:val="18"/>
              </w:rPr>
            </w:pPr>
            <w:r>
              <w:rPr>
                <w:rFonts w:ascii="宋体" w:hAnsi="宋体" w:cs="宋体" w:eastAsia="宋体" w:hint="default"/>
                <w:sz w:val="18"/>
                <w:szCs w:val="18"/>
              </w:rPr>
              <w:t>北京博升优势科技发展有限公司</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13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5" w:right="0"/>
              <w:jc w:val="left"/>
              <w:rPr>
                <w:rFonts w:ascii="宋体" w:hAnsi="宋体" w:cs="宋体" w:eastAsia="宋体" w:hint="default"/>
                <w:sz w:val="18"/>
                <w:szCs w:val="18"/>
              </w:rPr>
            </w:pPr>
            <w:r>
              <w:rPr>
                <w:rFonts w:ascii="宋体" w:hAnsi="宋体" w:cs="宋体" w:eastAsia="宋体" w:hint="default"/>
                <w:sz w:val="18"/>
                <w:szCs w:val="18"/>
              </w:rPr>
              <w:t>短信服务</w:t>
            </w:r>
            <w:r>
              <w:rPr>
                <w:rFonts w:ascii="宋体" w:hAnsi="宋体" w:cs="宋体" w:eastAsia="宋体" w:hint="default"/>
                <w:sz w:val="18"/>
                <w:szCs w:val="18"/>
              </w:rPr>
              <w:t> </w:t>
            </w:r>
          </w:p>
        </w:tc>
        <w:tc>
          <w:tcPr>
            <w:tcW w:w="26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7" w:right="0"/>
              <w:jc w:val="center"/>
              <w:rPr>
                <w:rFonts w:ascii="宋体" w:hAnsi="宋体" w:cs="宋体" w:eastAsia="宋体" w:hint="default"/>
                <w:sz w:val="18"/>
                <w:szCs w:val="18"/>
              </w:rPr>
            </w:pPr>
            <w:r>
              <w:rPr>
                <w:rFonts w:ascii="宋体" w:hAnsi="宋体" w:cs="宋体" w:eastAsia="宋体" w:hint="default"/>
                <w:sz w:val="18"/>
                <w:szCs w:val="18"/>
              </w:rPr>
              <w:t>根据市场价格确定</w:t>
            </w:r>
            <w:r>
              <w:rPr>
                <w:rFonts w:ascii="宋体" w:hAnsi="宋体" w:cs="宋体" w:eastAsia="宋体" w:hint="default"/>
                <w:sz w:val="18"/>
                <w:szCs w:val="18"/>
              </w:rPr>
              <w:t> </w:t>
            </w:r>
          </w:p>
        </w:tc>
        <w:tc>
          <w:tcPr>
            <w:tcW w:w="14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9"/>
              <w:jc w:val="right"/>
              <w:rPr>
                <w:rFonts w:ascii="宋体" w:hAnsi="宋体" w:cs="宋体" w:eastAsia="宋体" w:hint="default"/>
                <w:sz w:val="18"/>
                <w:szCs w:val="18"/>
              </w:rPr>
            </w:pPr>
            <w:r>
              <w:rPr>
                <w:rFonts w:ascii="宋体"/>
                <w:spacing w:val="-1"/>
                <w:sz w:val="18"/>
              </w:rPr>
              <w:t>917,724.16</w:t>
            </w:r>
            <w:r>
              <w:rPr>
                <w:rFonts w:ascii="宋体"/>
                <w:sz w:val="18"/>
              </w:rPr>
              <w:t> </w:t>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
              <w:jc w:val="right"/>
              <w:rPr>
                <w:rFonts w:ascii="宋体" w:hAnsi="宋体" w:cs="宋体" w:eastAsia="宋体" w:hint="default"/>
                <w:sz w:val="18"/>
                <w:szCs w:val="18"/>
              </w:rPr>
            </w:pPr>
            <w:r>
              <w:rPr>
                <w:rFonts w:ascii="宋体"/>
                <w:sz w:val="18"/>
              </w:rPr>
              <w:t> </w:t>
            </w:r>
          </w:p>
        </w:tc>
      </w:tr>
    </w:tbl>
    <w:p>
      <w:pPr>
        <w:spacing w:line="240" w:lineRule="auto" w:before="7"/>
        <w:rPr>
          <w:rFonts w:ascii="宋体" w:hAnsi="宋体" w:cs="宋体" w:eastAsia="宋体" w:hint="default"/>
          <w:sz w:val="6"/>
          <w:szCs w:val="6"/>
        </w:rPr>
      </w:pPr>
    </w:p>
    <w:p>
      <w:pPr>
        <w:pStyle w:val="BodyText"/>
        <w:spacing w:line="240" w:lineRule="auto" w:before="36"/>
        <w:ind w:left="354" w:right="1146"/>
        <w:jc w:val="left"/>
        <w:rPr>
          <w:rFonts w:ascii="宋体" w:hAnsi="宋体" w:cs="宋体" w:eastAsia="宋体" w:hint="default"/>
        </w:rPr>
      </w:pPr>
      <w:r>
        <w:rPr/>
        <w:t>（</w:t>
      </w:r>
      <w:r>
        <w:rPr>
          <w:rFonts w:ascii="宋体" w:hAnsi="宋体" w:cs="宋体" w:eastAsia="宋体" w:hint="default"/>
        </w:rPr>
        <w:t>2</w:t>
      </w:r>
      <w:r>
        <w:rPr/>
        <w:t>）出售商品</w:t>
      </w:r>
      <w:r>
        <w:rPr>
          <w:rFonts w:ascii="宋体" w:hAnsi="宋体" w:cs="宋体" w:eastAsia="宋体" w:hint="default"/>
        </w:rPr>
        <w:t>/</w:t>
      </w:r>
      <w:r>
        <w:rPr/>
        <w:t>提供劳务情况表</w:t>
      </w:r>
      <w:r>
        <w:rPr>
          <w:rFonts w:ascii="宋体" w:hAnsi="宋体" w:cs="宋体" w:eastAsia="宋体" w:hint="default"/>
        </w:rPr>
        <w:t> </w:t>
      </w:r>
    </w:p>
    <w:p>
      <w:pPr>
        <w:spacing w:line="240" w:lineRule="auto" w:before="6"/>
        <w:rPr>
          <w:rFonts w:ascii="宋体" w:hAnsi="宋体" w:cs="宋体" w:eastAsia="宋体" w:hint="default"/>
          <w:sz w:val="14"/>
          <w:szCs w:val="14"/>
        </w:rPr>
      </w:pPr>
    </w:p>
    <w:tbl>
      <w:tblPr>
        <w:tblW w:w="0" w:type="auto"/>
        <w:jc w:val="left"/>
        <w:tblInd w:w="138" w:type="dxa"/>
        <w:tblLayout w:type="fixed"/>
        <w:tblCellMar>
          <w:top w:w="0" w:type="dxa"/>
          <w:left w:w="0" w:type="dxa"/>
          <w:bottom w:w="0" w:type="dxa"/>
          <w:right w:w="0" w:type="dxa"/>
        </w:tblCellMar>
        <w:tblLook w:val="01E0"/>
      </w:tblPr>
      <w:tblGrid>
        <w:gridCol w:w="3071"/>
        <w:gridCol w:w="1687"/>
        <w:gridCol w:w="2280"/>
        <w:gridCol w:w="2619"/>
      </w:tblGrid>
      <w:tr>
        <w:trPr>
          <w:trHeight w:val="397" w:hRule="exact"/>
        </w:trPr>
        <w:tc>
          <w:tcPr>
            <w:tcW w:w="30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89" w:right="0"/>
              <w:jc w:val="center"/>
              <w:rPr>
                <w:rFonts w:ascii="宋体" w:hAnsi="宋体" w:cs="宋体" w:eastAsia="宋体" w:hint="default"/>
                <w:sz w:val="18"/>
                <w:szCs w:val="18"/>
              </w:rPr>
            </w:pPr>
            <w:r>
              <w:rPr>
                <w:rFonts w:ascii="宋体" w:hAnsi="宋体" w:cs="宋体" w:eastAsia="宋体" w:hint="default"/>
                <w:sz w:val="18"/>
                <w:szCs w:val="18"/>
              </w:rPr>
              <w:t>关联方</w:t>
            </w:r>
            <w:r>
              <w:rPr>
                <w:rFonts w:ascii="宋体" w:hAnsi="宋体" w:cs="宋体" w:eastAsia="宋体" w:hint="default"/>
                <w:sz w:val="18"/>
                <w:szCs w:val="18"/>
              </w:rPr>
              <w:t> </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87" w:right="0"/>
              <w:jc w:val="center"/>
              <w:rPr>
                <w:rFonts w:ascii="宋体" w:hAnsi="宋体" w:cs="宋体" w:eastAsia="宋体" w:hint="default"/>
                <w:sz w:val="18"/>
                <w:szCs w:val="18"/>
              </w:rPr>
            </w:pPr>
            <w:r>
              <w:rPr>
                <w:rFonts w:ascii="宋体" w:hAnsi="宋体" w:cs="宋体" w:eastAsia="宋体" w:hint="default"/>
                <w:sz w:val="18"/>
                <w:szCs w:val="18"/>
              </w:rPr>
              <w:t>关联交易内容</w:t>
            </w:r>
            <w:r>
              <w:rPr>
                <w:rFonts w:ascii="宋体" w:hAnsi="宋体" w:cs="宋体" w:eastAsia="宋体" w:hint="default"/>
                <w:sz w:val="18"/>
                <w:szCs w:val="18"/>
              </w:rPr>
              <w:t> </w:t>
            </w:r>
          </w:p>
        </w:tc>
        <w:tc>
          <w:tcPr>
            <w:tcW w:w="2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684" w:right="0"/>
              <w:jc w:val="left"/>
              <w:rPr>
                <w:rFonts w:ascii="宋体" w:hAnsi="宋体" w:cs="宋体" w:eastAsia="宋体" w:hint="default"/>
                <w:sz w:val="18"/>
                <w:szCs w:val="18"/>
              </w:rPr>
            </w:pPr>
            <w:r>
              <w:rPr>
                <w:rFonts w:ascii="宋体" w:hAnsi="宋体" w:cs="宋体" w:eastAsia="宋体" w:hint="default"/>
                <w:sz w:val="18"/>
                <w:szCs w:val="18"/>
              </w:rPr>
              <w:t>本期发生额</w:t>
            </w:r>
            <w:r>
              <w:rPr>
                <w:rFonts w:ascii="宋体" w:hAnsi="宋体" w:cs="宋体" w:eastAsia="宋体" w:hint="default"/>
                <w:sz w:val="18"/>
                <w:szCs w:val="18"/>
              </w:rPr>
              <w:t> </w:t>
            </w:r>
          </w:p>
        </w:tc>
        <w:tc>
          <w:tcPr>
            <w:tcW w:w="2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854" w:right="0"/>
              <w:jc w:val="left"/>
              <w:rPr>
                <w:rFonts w:ascii="宋体" w:hAnsi="宋体" w:cs="宋体" w:eastAsia="宋体" w:hint="default"/>
                <w:sz w:val="18"/>
                <w:szCs w:val="18"/>
              </w:rPr>
            </w:pPr>
            <w:r>
              <w:rPr>
                <w:rFonts w:ascii="宋体" w:hAnsi="宋体" w:cs="宋体" w:eastAsia="宋体" w:hint="default"/>
                <w:sz w:val="18"/>
                <w:szCs w:val="18"/>
              </w:rPr>
              <w:t>上期发生额</w:t>
            </w:r>
            <w:r>
              <w:rPr>
                <w:rFonts w:ascii="宋体" w:hAnsi="宋体" w:cs="宋体" w:eastAsia="宋体" w:hint="default"/>
                <w:sz w:val="18"/>
                <w:szCs w:val="18"/>
              </w:rPr>
              <w:t> </w:t>
            </w:r>
          </w:p>
        </w:tc>
      </w:tr>
      <w:tr>
        <w:trPr>
          <w:trHeight w:val="398" w:hRule="exact"/>
        </w:trPr>
        <w:tc>
          <w:tcPr>
            <w:tcW w:w="30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联动优势科技有限公司</w:t>
            </w:r>
            <w:r>
              <w:rPr>
                <w:rFonts w:ascii="宋体" w:hAnsi="宋体" w:cs="宋体" w:eastAsia="宋体" w:hint="default"/>
                <w:sz w:val="18"/>
                <w:szCs w:val="18"/>
              </w:rPr>
              <w:t> </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7" w:right="0"/>
              <w:jc w:val="center"/>
              <w:rPr>
                <w:rFonts w:ascii="宋体" w:hAnsi="宋体" w:cs="宋体" w:eastAsia="宋体" w:hint="default"/>
                <w:sz w:val="18"/>
                <w:szCs w:val="18"/>
              </w:rPr>
            </w:pPr>
            <w:r>
              <w:rPr>
                <w:rFonts w:ascii="宋体" w:hAnsi="宋体" w:cs="宋体" w:eastAsia="宋体" w:hint="default"/>
                <w:sz w:val="18"/>
                <w:szCs w:val="18"/>
              </w:rPr>
              <w:t>短信服务</w:t>
            </w:r>
            <w:r>
              <w:rPr>
                <w:rFonts w:ascii="宋体" w:hAnsi="宋体" w:cs="宋体" w:eastAsia="宋体" w:hint="default"/>
                <w:sz w:val="18"/>
                <w:szCs w:val="18"/>
              </w:rPr>
              <w:t> </w:t>
            </w:r>
          </w:p>
        </w:tc>
        <w:tc>
          <w:tcPr>
            <w:tcW w:w="2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3,364,100.09</w:t>
            </w:r>
            <w:r>
              <w:rPr>
                <w:rFonts w:ascii="宋体"/>
                <w:sz w:val="18"/>
              </w:rPr>
              <w:t> </w:t>
            </w:r>
          </w:p>
        </w:tc>
        <w:tc>
          <w:tcPr>
            <w:tcW w:w="2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pacing w:val="-1"/>
                <w:sz w:val="18"/>
              </w:rPr>
              <w:t>75,000,785.18</w:t>
            </w:r>
            <w:r>
              <w:rPr>
                <w:rFonts w:ascii="宋体"/>
                <w:sz w:val="18"/>
              </w:rPr>
              <w:t> </w:t>
            </w:r>
          </w:p>
        </w:tc>
      </w:tr>
      <w:tr>
        <w:trPr>
          <w:trHeight w:val="396" w:hRule="exact"/>
        </w:trPr>
        <w:tc>
          <w:tcPr>
            <w:tcW w:w="30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北京中天嘉华管理咨询有限公司</w:t>
            </w:r>
            <w:r>
              <w:rPr>
                <w:rFonts w:ascii="宋体" w:hAnsi="宋体" w:cs="宋体" w:eastAsia="宋体" w:hint="default"/>
                <w:sz w:val="18"/>
                <w:szCs w:val="18"/>
              </w:rPr>
              <w:t> </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7" w:right="0"/>
              <w:jc w:val="center"/>
              <w:rPr>
                <w:rFonts w:ascii="宋体" w:hAnsi="宋体" w:cs="宋体" w:eastAsia="宋体" w:hint="default"/>
                <w:sz w:val="18"/>
                <w:szCs w:val="18"/>
              </w:rPr>
            </w:pPr>
            <w:r>
              <w:rPr>
                <w:rFonts w:ascii="宋体" w:hAnsi="宋体" w:cs="宋体" w:eastAsia="宋体" w:hint="default"/>
                <w:sz w:val="18"/>
                <w:szCs w:val="18"/>
              </w:rPr>
              <w:t>短信服务</w:t>
            </w:r>
            <w:r>
              <w:rPr>
                <w:rFonts w:ascii="宋体" w:hAnsi="宋体" w:cs="宋体" w:eastAsia="宋体" w:hint="default"/>
                <w:sz w:val="18"/>
                <w:szCs w:val="18"/>
              </w:rPr>
              <w:t> </w:t>
            </w:r>
          </w:p>
        </w:tc>
        <w:tc>
          <w:tcPr>
            <w:tcW w:w="2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2,630,714.03</w:t>
            </w:r>
            <w:r>
              <w:rPr>
                <w:rFonts w:ascii="宋体"/>
                <w:sz w:val="18"/>
              </w:rPr>
              <w:t> </w:t>
            </w:r>
          </w:p>
        </w:tc>
        <w:tc>
          <w:tcPr>
            <w:tcW w:w="2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z w:val="18"/>
              </w:rPr>
              <w:t> </w:t>
            </w:r>
          </w:p>
        </w:tc>
      </w:tr>
      <w:tr>
        <w:trPr>
          <w:trHeight w:val="396" w:hRule="exact"/>
        </w:trPr>
        <w:tc>
          <w:tcPr>
            <w:tcW w:w="30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北京优财富科技发展有限公司</w:t>
            </w:r>
            <w:r>
              <w:rPr>
                <w:rFonts w:ascii="宋体" w:hAnsi="宋体" w:cs="宋体" w:eastAsia="宋体" w:hint="default"/>
                <w:sz w:val="18"/>
                <w:szCs w:val="18"/>
              </w:rPr>
              <w:t> </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7" w:right="0"/>
              <w:jc w:val="center"/>
              <w:rPr>
                <w:rFonts w:ascii="宋体" w:hAnsi="宋体" w:cs="宋体" w:eastAsia="宋体" w:hint="default"/>
                <w:sz w:val="18"/>
                <w:szCs w:val="18"/>
              </w:rPr>
            </w:pPr>
            <w:r>
              <w:rPr>
                <w:rFonts w:ascii="宋体" w:hAnsi="宋体" w:cs="宋体" w:eastAsia="宋体" w:hint="default"/>
                <w:sz w:val="18"/>
                <w:szCs w:val="18"/>
              </w:rPr>
              <w:t>软件服务</w:t>
            </w:r>
            <w:r>
              <w:rPr>
                <w:rFonts w:ascii="宋体" w:hAnsi="宋体" w:cs="宋体" w:eastAsia="宋体" w:hint="default"/>
                <w:sz w:val="18"/>
                <w:szCs w:val="18"/>
              </w:rPr>
              <w:t> </w:t>
            </w:r>
          </w:p>
        </w:tc>
        <w:tc>
          <w:tcPr>
            <w:tcW w:w="2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154,528.30</w:t>
            </w:r>
            <w:r>
              <w:rPr>
                <w:rFonts w:ascii="宋体"/>
                <w:sz w:val="18"/>
              </w:rPr>
              <w:t> </w:t>
            </w:r>
          </w:p>
        </w:tc>
        <w:tc>
          <w:tcPr>
            <w:tcW w:w="2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z w:val="18"/>
              </w:rPr>
              <w:t> </w:t>
            </w:r>
          </w:p>
        </w:tc>
      </w:tr>
      <w:tr>
        <w:trPr>
          <w:trHeight w:val="398" w:hRule="exact"/>
        </w:trPr>
        <w:tc>
          <w:tcPr>
            <w:tcW w:w="30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北京博升优势科技发展有限公司</w:t>
            </w:r>
            <w:r>
              <w:rPr>
                <w:rFonts w:ascii="宋体" w:hAnsi="宋体" w:cs="宋体" w:eastAsia="宋体" w:hint="default"/>
                <w:sz w:val="18"/>
                <w:szCs w:val="18"/>
              </w:rPr>
              <w:t> </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7" w:right="0"/>
              <w:jc w:val="center"/>
              <w:rPr>
                <w:rFonts w:ascii="宋体" w:hAnsi="宋体" w:cs="宋体" w:eastAsia="宋体" w:hint="default"/>
                <w:sz w:val="18"/>
                <w:szCs w:val="18"/>
              </w:rPr>
            </w:pPr>
            <w:r>
              <w:rPr>
                <w:rFonts w:ascii="宋体" w:hAnsi="宋体" w:cs="宋体" w:eastAsia="宋体" w:hint="default"/>
                <w:sz w:val="18"/>
                <w:szCs w:val="18"/>
              </w:rPr>
              <w:t>短信服务</w:t>
            </w:r>
            <w:r>
              <w:rPr>
                <w:rFonts w:ascii="宋体" w:hAnsi="宋体" w:cs="宋体" w:eastAsia="宋体" w:hint="default"/>
                <w:sz w:val="18"/>
                <w:szCs w:val="18"/>
              </w:rPr>
              <w:t> </w:t>
            </w:r>
          </w:p>
        </w:tc>
        <w:tc>
          <w:tcPr>
            <w:tcW w:w="2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977,326.78</w:t>
            </w:r>
            <w:r>
              <w:rPr>
                <w:rFonts w:ascii="宋体"/>
                <w:sz w:val="18"/>
              </w:rPr>
              <w:t> </w:t>
            </w:r>
          </w:p>
        </w:tc>
        <w:tc>
          <w:tcPr>
            <w:tcW w:w="2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1"/>
              <w:jc w:val="right"/>
              <w:rPr>
                <w:rFonts w:ascii="宋体" w:hAnsi="宋体" w:cs="宋体" w:eastAsia="宋体" w:hint="default"/>
                <w:sz w:val="18"/>
                <w:szCs w:val="18"/>
              </w:rPr>
            </w:pPr>
            <w:r>
              <w:rPr>
                <w:rFonts w:ascii="宋体"/>
                <w:sz w:val="18"/>
              </w:rPr>
              <w:t> </w:t>
            </w:r>
          </w:p>
        </w:tc>
      </w:tr>
    </w:tbl>
    <w:p>
      <w:pPr>
        <w:spacing w:after="0" w:line="240" w:lineRule="auto"/>
        <w:jc w:val="right"/>
        <w:rPr>
          <w:rFonts w:ascii="宋体" w:hAnsi="宋体" w:cs="宋体" w:eastAsia="宋体" w:hint="default"/>
          <w:sz w:val="18"/>
          <w:szCs w:val="18"/>
        </w:rPr>
        <w:sectPr>
          <w:pgSz w:w="11910" w:h="16840"/>
          <w:pgMar w:header="880" w:footer="975" w:top="1100" w:bottom="1160" w:left="1160" w:right="0"/>
        </w:sectPr>
      </w:pPr>
    </w:p>
    <w:p>
      <w:pPr>
        <w:spacing w:line="240" w:lineRule="auto" w:before="8"/>
        <w:rPr>
          <w:rFonts w:ascii="宋体" w:hAnsi="宋体" w:cs="宋体" w:eastAsia="宋体" w:hint="default"/>
          <w:sz w:val="24"/>
          <w:szCs w:val="24"/>
        </w:rPr>
      </w:pPr>
    </w:p>
    <w:tbl>
      <w:tblPr>
        <w:tblW w:w="0" w:type="auto"/>
        <w:jc w:val="left"/>
        <w:tblInd w:w="138" w:type="dxa"/>
        <w:tblLayout w:type="fixed"/>
        <w:tblCellMar>
          <w:top w:w="0" w:type="dxa"/>
          <w:left w:w="0" w:type="dxa"/>
          <w:bottom w:w="0" w:type="dxa"/>
          <w:right w:w="0" w:type="dxa"/>
        </w:tblCellMar>
        <w:tblLook w:val="01E0"/>
      </w:tblPr>
      <w:tblGrid>
        <w:gridCol w:w="3071"/>
        <w:gridCol w:w="1687"/>
        <w:gridCol w:w="2280"/>
        <w:gridCol w:w="2619"/>
      </w:tblGrid>
      <w:tr>
        <w:trPr>
          <w:trHeight w:val="396" w:hRule="exact"/>
        </w:trPr>
        <w:tc>
          <w:tcPr>
            <w:tcW w:w="30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 w:right="0"/>
              <w:jc w:val="center"/>
              <w:rPr>
                <w:rFonts w:ascii="宋体" w:hAnsi="宋体" w:cs="宋体" w:eastAsia="宋体" w:hint="default"/>
                <w:sz w:val="18"/>
                <w:szCs w:val="18"/>
              </w:rPr>
            </w:pPr>
            <w:r>
              <w:rPr>
                <w:rFonts w:ascii="宋体" w:hAnsi="宋体" w:cs="宋体" w:eastAsia="宋体" w:hint="default"/>
                <w:sz w:val="18"/>
                <w:szCs w:val="18"/>
              </w:rPr>
              <w:t>关联方</w:t>
            </w:r>
            <w:r>
              <w:rPr>
                <w:rFonts w:ascii="宋体" w:hAnsi="宋体" w:cs="宋体" w:eastAsia="宋体" w:hint="default"/>
                <w:sz w:val="18"/>
                <w:szCs w:val="18"/>
              </w:rPr>
              <w:t> </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7" w:right="0"/>
              <w:jc w:val="center"/>
              <w:rPr>
                <w:rFonts w:ascii="宋体" w:hAnsi="宋体" w:cs="宋体" w:eastAsia="宋体" w:hint="default"/>
                <w:sz w:val="18"/>
                <w:szCs w:val="18"/>
              </w:rPr>
            </w:pPr>
            <w:r>
              <w:rPr>
                <w:rFonts w:ascii="宋体" w:hAnsi="宋体" w:cs="宋体" w:eastAsia="宋体" w:hint="default"/>
                <w:sz w:val="18"/>
                <w:szCs w:val="18"/>
              </w:rPr>
              <w:t>关联交易内容</w:t>
            </w:r>
            <w:r>
              <w:rPr>
                <w:rFonts w:ascii="宋体" w:hAnsi="宋体" w:cs="宋体" w:eastAsia="宋体" w:hint="default"/>
                <w:sz w:val="18"/>
                <w:szCs w:val="18"/>
              </w:rPr>
              <w:t> </w:t>
            </w:r>
          </w:p>
        </w:tc>
        <w:tc>
          <w:tcPr>
            <w:tcW w:w="2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684" w:right="0"/>
              <w:jc w:val="left"/>
              <w:rPr>
                <w:rFonts w:ascii="宋体" w:hAnsi="宋体" w:cs="宋体" w:eastAsia="宋体" w:hint="default"/>
                <w:sz w:val="18"/>
                <w:szCs w:val="18"/>
              </w:rPr>
            </w:pPr>
            <w:r>
              <w:rPr>
                <w:rFonts w:ascii="宋体" w:hAnsi="宋体" w:cs="宋体" w:eastAsia="宋体" w:hint="default"/>
                <w:sz w:val="18"/>
                <w:szCs w:val="18"/>
              </w:rPr>
              <w:t>本期发生额</w:t>
            </w:r>
            <w:r>
              <w:rPr>
                <w:rFonts w:ascii="宋体" w:hAnsi="宋体" w:cs="宋体" w:eastAsia="宋体" w:hint="default"/>
                <w:sz w:val="18"/>
                <w:szCs w:val="18"/>
              </w:rPr>
              <w:t> </w:t>
            </w:r>
          </w:p>
        </w:tc>
        <w:tc>
          <w:tcPr>
            <w:tcW w:w="2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54" w:right="0"/>
              <w:jc w:val="left"/>
              <w:rPr>
                <w:rFonts w:ascii="宋体" w:hAnsi="宋体" w:cs="宋体" w:eastAsia="宋体" w:hint="default"/>
                <w:sz w:val="18"/>
                <w:szCs w:val="18"/>
              </w:rPr>
            </w:pPr>
            <w:r>
              <w:rPr>
                <w:rFonts w:ascii="宋体" w:hAnsi="宋体" w:cs="宋体" w:eastAsia="宋体" w:hint="default"/>
                <w:sz w:val="18"/>
                <w:szCs w:val="18"/>
              </w:rPr>
              <w:t>上期发生额</w:t>
            </w:r>
            <w:r>
              <w:rPr>
                <w:rFonts w:ascii="宋体" w:hAnsi="宋体" w:cs="宋体" w:eastAsia="宋体" w:hint="default"/>
                <w:sz w:val="18"/>
                <w:szCs w:val="18"/>
              </w:rPr>
              <w:t> </w:t>
            </w:r>
          </w:p>
        </w:tc>
      </w:tr>
      <w:tr>
        <w:trPr>
          <w:trHeight w:val="399" w:hRule="exact"/>
        </w:trPr>
        <w:tc>
          <w:tcPr>
            <w:tcW w:w="30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北京中天嘉华保险代理有限公司</w:t>
            </w:r>
            <w:r>
              <w:rPr>
                <w:rFonts w:ascii="宋体" w:hAnsi="宋体" w:cs="宋体" w:eastAsia="宋体" w:hint="default"/>
                <w:sz w:val="18"/>
                <w:szCs w:val="18"/>
              </w:rPr>
              <w:t> </w:t>
            </w:r>
          </w:p>
        </w:tc>
        <w:tc>
          <w:tcPr>
            <w:tcW w:w="16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7" w:right="0"/>
              <w:jc w:val="center"/>
              <w:rPr>
                <w:rFonts w:ascii="宋体" w:hAnsi="宋体" w:cs="宋体" w:eastAsia="宋体" w:hint="default"/>
                <w:sz w:val="18"/>
                <w:szCs w:val="18"/>
              </w:rPr>
            </w:pPr>
            <w:r>
              <w:rPr>
                <w:rFonts w:ascii="宋体" w:hAnsi="宋体" w:cs="宋体" w:eastAsia="宋体" w:hint="default"/>
                <w:sz w:val="18"/>
                <w:szCs w:val="18"/>
              </w:rPr>
              <w:t>短信服务</w:t>
            </w:r>
            <w:r>
              <w:rPr>
                <w:rFonts w:ascii="宋体" w:hAnsi="宋体" w:cs="宋体" w:eastAsia="宋体" w:hint="default"/>
                <w:sz w:val="18"/>
                <w:szCs w:val="18"/>
              </w:rPr>
              <w:t> </w:t>
            </w:r>
          </w:p>
        </w:tc>
        <w:tc>
          <w:tcPr>
            <w:tcW w:w="22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267" w:right="0"/>
              <w:jc w:val="left"/>
              <w:rPr>
                <w:rFonts w:ascii="宋体" w:hAnsi="宋体" w:cs="宋体" w:eastAsia="宋体" w:hint="default"/>
                <w:sz w:val="18"/>
                <w:szCs w:val="18"/>
              </w:rPr>
            </w:pPr>
            <w:r>
              <w:rPr>
                <w:rFonts w:ascii="宋体"/>
                <w:sz w:val="18"/>
              </w:rPr>
              <w:t>102,881.92 </w:t>
            </w:r>
          </w:p>
        </w:tc>
        <w:tc>
          <w:tcPr>
            <w:tcW w:w="26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1"/>
              <w:jc w:val="right"/>
              <w:rPr>
                <w:rFonts w:ascii="宋体" w:hAnsi="宋体" w:cs="宋体" w:eastAsia="宋体" w:hint="default"/>
                <w:sz w:val="18"/>
                <w:szCs w:val="18"/>
              </w:rPr>
            </w:pPr>
            <w:r>
              <w:rPr>
                <w:rFonts w:ascii="宋体"/>
                <w:sz w:val="18"/>
              </w:rPr>
              <w:t> </w:t>
            </w:r>
          </w:p>
        </w:tc>
      </w:tr>
    </w:tbl>
    <w:p>
      <w:pPr>
        <w:spacing w:line="240" w:lineRule="auto" w:before="7"/>
        <w:rPr>
          <w:rFonts w:ascii="宋体" w:hAnsi="宋体" w:cs="宋体" w:eastAsia="宋体" w:hint="default"/>
          <w:sz w:val="6"/>
          <w:szCs w:val="6"/>
        </w:rPr>
      </w:pPr>
    </w:p>
    <w:p>
      <w:pPr>
        <w:pStyle w:val="BodyText"/>
        <w:spacing w:line="240" w:lineRule="auto" w:before="36"/>
        <w:ind w:left="566" w:right="1146"/>
        <w:jc w:val="left"/>
        <w:rPr>
          <w:rFonts w:ascii="宋体" w:hAnsi="宋体" w:cs="宋体" w:eastAsia="宋体" w:hint="default"/>
        </w:rPr>
      </w:pPr>
      <w:r>
        <w:rPr>
          <w:rFonts w:ascii="宋体" w:hAnsi="宋体" w:cs="宋体" w:eastAsia="宋体" w:hint="default"/>
          <w:b/>
          <w:bCs/>
        </w:rPr>
        <w:t>2</w:t>
      </w:r>
      <w:r>
        <w:rPr>
          <w:rFonts w:ascii="宋体" w:hAnsi="宋体" w:cs="宋体" w:eastAsia="宋体" w:hint="default"/>
          <w:b/>
          <w:bCs/>
        </w:rPr>
        <w:t>、</w:t>
      </w:r>
      <w:r>
        <w:rPr/>
        <w:t>关联受托管理</w:t>
      </w:r>
      <w:r>
        <w:rPr>
          <w:rFonts w:ascii="宋体" w:hAnsi="宋体" w:cs="宋体" w:eastAsia="宋体" w:hint="default"/>
        </w:rPr>
        <w:t>/</w:t>
      </w:r>
      <w:r>
        <w:rPr/>
        <w:t>承包及委托管理</w:t>
      </w:r>
      <w:r>
        <w:rPr>
          <w:rFonts w:ascii="宋体" w:hAnsi="宋体" w:cs="宋体" w:eastAsia="宋体" w:hint="default"/>
        </w:rPr>
        <w:t>/</w:t>
      </w:r>
      <w:r>
        <w:rPr/>
        <w:t>出包情况</w:t>
      </w:r>
      <w:r>
        <w:rPr>
          <w:rFonts w:ascii="宋体" w:hAnsi="宋体" w:cs="宋体" w:eastAsia="宋体" w:hint="default"/>
        </w:rPr>
        <w:t> </w:t>
      </w:r>
    </w:p>
    <w:p>
      <w:pPr>
        <w:pStyle w:val="BodyText"/>
        <w:spacing w:line="374" w:lineRule="auto" w:before="152"/>
        <w:ind w:left="566" w:right="8206" w:hanging="3"/>
        <w:jc w:val="left"/>
        <w:rPr>
          <w:rFonts w:ascii="宋体" w:hAnsi="宋体" w:cs="宋体" w:eastAsia="宋体" w:hint="default"/>
        </w:rPr>
      </w:pPr>
      <w:r>
        <w:rPr/>
        <w:t>无。</w:t>
      </w:r>
      <w:r>
        <w:rPr>
          <w:rFonts w:ascii="宋体" w:hAnsi="宋体" w:cs="宋体" w:eastAsia="宋体" w:hint="default"/>
          <w:w w:val="100"/>
        </w:rPr>
        <w:t> </w:t>
      </w:r>
      <w:r>
        <w:rPr>
          <w:rFonts w:ascii="宋体" w:hAnsi="宋体" w:cs="宋体" w:eastAsia="宋体" w:hint="default"/>
          <w:b/>
          <w:bCs/>
        </w:rPr>
        <w:t>3</w:t>
      </w:r>
      <w:r>
        <w:rPr>
          <w:rFonts w:ascii="宋体" w:hAnsi="宋体" w:cs="宋体" w:eastAsia="宋体" w:hint="default"/>
          <w:b/>
          <w:bCs/>
        </w:rPr>
        <w:t>、</w:t>
      </w:r>
      <w:r>
        <w:rPr/>
        <w:t>关联租赁情况</w:t>
      </w:r>
      <w:r>
        <w:rPr>
          <w:rFonts w:ascii="宋体" w:hAnsi="宋体" w:cs="宋体" w:eastAsia="宋体" w:hint="default"/>
          <w:spacing w:val="-3"/>
        </w:rPr>
        <w:t> </w:t>
      </w:r>
      <w:r>
        <w:rPr>
          <w:rFonts w:ascii="宋体" w:hAnsi="宋体" w:cs="宋体" w:eastAsia="宋体" w:hint="default"/>
        </w:rPr>
        <w:t> </w:t>
      </w:r>
    </w:p>
    <w:p>
      <w:pPr>
        <w:pStyle w:val="BodyText"/>
        <w:spacing w:line="374" w:lineRule="auto" w:before="34"/>
        <w:ind w:left="570" w:right="7673" w:hanging="8"/>
        <w:jc w:val="left"/>
        <w:rPr>
          <w:rFonts w:ascii="宋体" w:hAnsi="宋体" w:cs="宋体" w:eastAsia="宋体" w:hint="default"/>
        </w:rPr>
      </w:pPr>
      <w:r>
        <w:rPr/>
        <w:t>（</w:t>
      </w:r>
      <w:r>
        <w:rPr>
          <w:rFonts w:ascii="宋体" w:hAnsi="宋体" w:cs="宋体" w:eastAsia="宋体" w:hint="default"/>
        </w:rPr>
        <w:t>1</w:t>
      </w:r>
      <w:r>
        <w:rPr/>
        <w:t>）本公司作为出租方</w:t>
      </w:r>
      <w:r>
        <w:rPr>
          <w:rFonts w:ascii="宋体" w:hAnsi="宋体" w:cs="宋体" w:eastAsia="宋体" w:hint="default"/>
          <w:w w:val="100"/>
        </w:rPr>
        <w:t> </w:t>
      </w:r>
      <w:r>
        <w:rPr/>
        <w:t>无。</w:t>
      </w:r>
      <w:r>
        <w:rPr>
          <w:rFonts w:ascii="宋体" w:hAnsi="宋体" w:cs="宋体" w:eastAsia="宋体" w:hint="default"/>
        </w:rPr>
        <w:t> </w:t>
      </w:r>
    </w:p>
    <w:p>
      <w:pPr>
        <w:pStyle w:val="BodyText"/>
        <w:spacing w:line="240" w:lineRule="auto" w:before="34"/>
        <w:ind w:left="563" w:right="7673"/>
        <w:jc w:val="left"/>
        <w:rPr>
          <w:rFonts w:ascii="宋体" w:hAnsi="宋体" w:cs="宋体" w:eastAsia="宋体" w:hint="default"/>
        </w:rPr>
      </w:pPr>
      <w:r>
        <w:rPr/>
        <w:t>（</w:t>
      </w:r>
      <w:r>
        <w:rPr>
          <w:rFonts w:ascii="宋体" w:hAnsi="宋体" w:cs="宋体" w:eastAsia="宋体" w:hint="default"/>
        </w:rPr>
        <w:t>2</w:t>
      </w:r>
      <w:r>
        <w:rPr/>
        <w:t>）本公司作为承租方</w:t>
      </w:r>
      <w:r>
        <w:rPr>
          <w:rFonts w:ascii="宋体" w:hAnsi="宋体" w:cs="宋体" w:eastAsia="宋体" w:hint="default"/>
        </w:rPr>
        <w:t> </w:t>
      </w:r>
    </w:p>
    <w:p>
      <w:pPr>
        <w:spacing w:line="240" w:lineRule="auto" w:before="6"/>
        <w:rPr>
          <w:rFonts w:ascii="宋体" w:hAnsi="宋体" w:cs="宋体" w:eastAsia="宋体" w:hint="default"/>
          <w:sz w:val="14"/>
          <w:szCs w:val="14"/>
        </w:rPr>
      </w:pPr>
    </w:p>
    <w:tbl>
      <w:tblPr>
        <w:tblW w:w="0" w:type="auto"/>
        <w:jc w:val="left"/>
        <w:tblInd w:w="107" w:type="dxa"/>
        <w:tblLayout w:type="fixed"/>
        <w:tblCellMar>
          <w:top w:w="0" w:type="dxa"/>
          <w:left w:w="0" w:type="dxa"/>
          <w:bottom w:w="0" w:type="dxa"/>
          <w:right w:w="0" w:type="dxa"/>
        </w:tblCellMar>
        <w:tblLook w:val="01E0"/>
      </w:tblPr>
      <w:tblGrid>
        <w:gridCol w:w="2218"/>
        <w:gridCol w:w="2204"/>
        <w:gridCol w:w="2206"/>
        <w:gridCol w:w="3073"/>
      </w:tblGrid>
      <w:tr>
        <w:trPr>
          <w:trHeight w:val="396" w:hRule="exact"/>
        </w:trPr>
        <w:tc>
          <w:tcPr>
            <w:tcW w:w="2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653" w:right="0"/>
              <w:jc w:val="left"/>
              <w:rPr>
                <w:rFonts w:ascii="宋体" w:hAnsi="宋体" w:cs="宋体" w:eastAsia="宋体" w:hint="default"/>
                <w:sz w:val="18"/>
                <w:szCs w:val="18"/>
              </w:rPr>
            </w:pPr>
            <w:r>
              <w:rPr>
                <w:rFonts w:ascii="宋体" w:hAnsi="宋体" w:cs="宋体" w:eastAsia="宋体" w:hint="default"/>
                <w:sz w:val="18"/>
                <w:szCs w:val="18"/>
              </w:rPr>
              <w:t>出租方名称</w:t>
            </w:r>
            <w:r>
              <w:rPr>
                <w:rFonts w:ascii="宋体" w:hAnsi="宋体" w:cs="宋体" w:eastAsia="宋体" w:hint="default"/>
                <w:sz w:val="18"/>
                <w:szCs w:val="18"/>
              </w:rPr>
              <w:t> </w:t>
            </w:r>
          </w:p>
        </w:tc>
        <w:tc>
          <w:tcPr>
            <w:tcW w:w="2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0" w:right="0"/>
              <w:jc w:val="center"/>
              <w:rPr>
                <w:rFonts w:ascii="宋体" w:hAnsi="宋体" w:cs="宋体" w:eastAsia="宋体" w:hint="default"/>
                <w:sz w:val="18"/>
                <w:szCs w:val="18"/>
              </w:rPr>
            </w:pPr>
            <w:r>
              <w:rPr>
                <w:rFonts w:ascii="宋体" w:hAnsi="宋体" w:cs="宋体" w:eastAsia="宋体" w:hint="default"/>
                <w:sz w:val="18"/>
                <w:szCs w:val="18"/>
              </w:rPr>
              <w:t>租赁资产种类</w:t>
            </w:r>
            <w:r>
              <w:rPr>
                <w:rFonts w:ascii="宋体" w:hAnsi="宋体" w:cs="宋体" w:eastAsia="宋体" w:hint="default"/>
                <w:sz w:val="18"/>
                <w:szCs w:val="18"/>
              </w:rPr>
              <w:t> </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376" w:right="0"/>
              <w:jc w:val="left"/>
              <w:rPr>
                <w:rFonts w:ascii="宋体" w:hAnsi="宋体" w:cs="宋体" w:eastAsia="宋体" w:hint="default"/>
                <w:sz w:val="18"/>
                <w:szCs w:val="18"/>
              </w:rPr>
            </w:pPr>
            <w:r>
              <w:rPr>
                <w:rFonts w:ascii="宋体" w:hAnsi="宋体" w:cs="宋体" w:eastAsia="宋体" w:hint="default"/>
                <w:sz w:val="18"/>
                <w:szCs w:val="18"/>
              </w:rPr>
              <w:t>本期确认的租赁费</w:t>
            </w:r>
            <w:r>
              <w:rPr>
                <w:rFonts w:ascii="宋体" w:hAnsi="宋体" w:cs="宋体" w:eastAsia="宋体" w:hint="default"/>
                <w:sz w:val="18"/>
                <w:szCs w:val="18"/>
              </w:rPr>
              <w:t> </w:t>
            </w:r>
          </w:p>
        </w:tc>
        <w:tc>
          <w:tcPr>
            <w:tcW w:w="30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08" w:right="0"/>
              <w:jc w:val="left"/>
              <w:rPr>
                <w:rFonts w:ascii="宋体" w:hAnsi="宋体" w:cs="宋体" w:eastAsia="宋体" w:hint="default"/>
                <w:sz w:val="18"/>
                <w:szCs w:val="18"/>
              </w:rPr>
            </w:pPr>
            <w:r>
              <w:rPr>
                <w:rFonts w:ascii="宋体" w:hAnsi="宋体" w:cs="宋体" w:eastAsia="宋体" w:hint="default"/>
                <w:sz w:val="18"/>
                <w:szCs w:val="18"/>
              </w:rPr>
              <w:t>上期确认的租赁费</w:t>
            </w:r>
            <w:r>
              <w:rPr>
                <w:rFonts w:ascii="宋体" w:hAnsi="宋体" w:cs="宋体" w:eastAsia="宋体" w:hint="default"/>
                <w:sz w:val="18"/>
                <w:szCs w:val="18"/>
              </w:rPr>
              <w:t> </w:t>
            </w:r>
          </w:p>
        </w:tc>
      </w:tr>
      <w:tr>
        <w:trPr>
          <w:trHeight w:val="399" w:hRule="exact"/>
        </w:trPr>
        <w:tc>
          <w:tcPr>
            <w:tcW w:w="2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6" w:right="0"/>
              <w:jc w:val="left"/>
              <w:rPr>
                <w:rFonts w:ascii="宋体" w:hAnsi="宋体" w:cs="宋体" w:eastAsia="宋体" w:hint="default"/>
                <w:sz w:val="18"/>
                <w:szCs w:val="18"/>
              </w:rPr>
            </w:pPr>
            <w:r>
              <w:rPr>
                <w:rFonts w:ascii="宋体" w:hAnsi="宋体" w:cs="宋体" w:eastAsia="宋体" w:hint="default"/>
                <w:sz w:val="18"/>
                <w:szCs w:val="18"/>
              </w:rPr>
              <w:t>广东长实投资有限公司</w:t>
            </w:r>
            <w:r>
              <w:rPr>
                <w:rFonts w:ascii="宋体" w:hAnsi="宋体" w:cs="宋体" w:eastAsia="宋体" w:hint="default"/>
                <w:sz w:val="18"/>
                <w:szCs w:val="18"/>
              </w:rPr>
              <w:t> </w:t>
            </w:r>
          </w:p>
        </w:tc>
        <w:tc>
          <w:tcPr>
            <w:tcW w:w="2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3" w:right="0"/>
              <w:jc w:val="center"/>
              <w:rPr>
                <w:rFonts w:ascii="宋体" w:hAnsi="宋体" w:cs="宋体" w:eastAsia="宋体" w:hint="default"/>
                <w:sz w:val="18"/>
                <w:szCs w:val="18"/>
              </w:rPr>
            </w:pPr>
            <w:r>
              <w:rPr>
                <w:rFonts w:ascii="宋体" w:hAnsi="宋体" w:cs="宋体" w:eastAsia="宋体" w:hint="default"/>
                <w:sz w:val="18"/>
                <w:szCs w:val="18"/>
              </w:rPr>
              <w:t>办公室</w:t>
            </w:r>
            <w:r>
              <w:rPr>
                <w:rFonts w:ascii="宋体" w:hAnsi="宋体" w:cs="宋体" w:eastAsia="宋体" w:hint="default"/>
                <w:sz w:val="18"/>
                <w:szCs w:val="18"/>
              </w:rPr>
              <w:t> </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4"/>
              <w:jc w:val="right"/>
              <w:rPr>
                <w:rFonts w:ascii="宋体" w:hAnsi="宋体" w:cs="宋体" w:eastAsia="宋体" w:hint="default"/>
                <w:sz w:val="18"/>
                <w:szCs w:val="18"/>
              </w:rPr>
            </w:pPr>
            <w:r>
              <w:rPr>
                <w:rFonts w:ascii="宋体"/>
                <w:spacing w:val="-1"/>
                <w:sz w:val="18"/>
              </w:rPr>
              <w:t>523,646.82</w:t>
            </w:r>
          </w:p>
        </w:tc>
        <w:tc>
          <w:tcPr>
            <w:tcW w:w="30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4"/>
              <w:jc w:val="right"/>
              <w:rPr>
                <w:rFonts w:ascii="宋体" w:hAnsi="宋体" w:cs="宋体" w:eastAsia="宋体" w:hint="default"/>
                <w:sz w:val="18"/>
                <w:szCs w:val="18"/>
              </w:rPr>
            </w:pPr>
            <w:r>
              <w:rPr>
                <w:rFonts w:ascii="宋体"/>
                <w:spacing w:val="-1"/>
                <w:sz w:val="18"/>
              </w:rPr>
              <w:t>498,711.39</w:t>
            </w:r>
          </w:p>
        </w:tc>
      </w:tr>
      <w:tr>
        <w:trPr>
          <w:trHeight w:val="396" w:hRule="exact"/>
        </w:trPr>
        <w:tc>
          <w:tcPr>
            <w:tcW w:w="22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6" w:right="0"/>
              <w:jc w:val="left"/>
              <w:rPr>
                <w:rFonts w:ascii="宋体" w:hAnsi="宋体" w:cs="宋体" w:eastAsia="宋体" w:hint="default"/>
                <w:sz w:val="18"/>
                <w:szCs w:val="18"/>
              </w:rPr>
            </w:pPr>
            <w:r>
              <w:rPr>
                <w:rFonts w:ascii="宋体" w:hAnsi="宋体" w:cs="宋体" w:eastAsia="宋体" w:hint="default"/>
                <w:sz w:val="18"/>
                <w:szCs w:val="18"/>
              </w:rPr>
              <w:t>清远市长实建设有限公司</w:t>
            </w:r>
            <w:r>
              <w:rPr>
                <w:rFonts w:ascii="宋体" w:hAnsi="宋体" w:cs="宋体" w:eastAsia="宋体" w:hint="default"/>
                <w:sz w:val="18"/>
                <w:szCs w:val="18"/>
              </w:rPr>
              <w:t> </w:t>
            </w:r>
          </w:p>
        </w:tc>
        <w:tc>
          <w:tcPr>
            <w:tcW w:w="22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3" w:right="0"/>
              <w:jc w:val="center"/>
              <w:rPr>
                <w:rFonts w:ascii="宋体" w:hAnsi="宋体" w:cs="宋体" w:eastAsia="宋体" w:hint="default"/>
                <w:sz w:val="18"/>
                <w:szCs w:val="18"/>
              </w:rPr>
            </w:pPr>
            <w:r>
              <w:rPr>
                <w:rFonts w:ascii="宋体" w:hAnsi="宋体" w:cs="宋体" w:eastAsia="宋体" w:hint="default"/>
                <w:sz w:val="18"/>
                <w:szCs w:val="18"/>
              </w:rPr>
              <w:t>办公室</w:t>
            </w:r>
            <w:r>
              <w:rPr>
                <w:rFonts w:ascii="宋体" w:hAnsi="宋体" w:cs="宋体" w:eastAsia="宋体" w:hint="default"/>
                <w:sz w:val="18"/>
                <w:szCs w:val="18"/>
              </w:rPr>
              <w:t> </w:t>
            </w:r>
          </w:p>
        </w:tc>
        <w:tc>
          <w:tcPr>
            <w:tcW w:w="22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4"/>
              <w:jc w:val="right"/>
              <w:rPr>
                <w:rFonts w:ascii="宋体" w:hAnsi="宋体" w:cs="宋体" w:eastAsia="宋体" w:hint="default"/>
                <w:sz w:val="18"/>
                <w:szCs w:val="18"/>
              </w:rPr>
            </w:pPr>
            <w:r>
              <w:rPr>
                <w:rFonts w:ascii="宋体"/>
                <w:spacing w:val="-1"/>
                <w:sz w:val="18"/>
              </w:rPr>
              <w:t>584,387.64</w:t>
            </w:r>
          </w:p>
        </w:tc>
        <w:tc>
          <w:tcPr>
            <w:tcW w:w="30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6"/>
              <w:jc w:val="right"/>
              <w:rPr>
                <w:rFonts w:ascii="宋体" w:hAnsi="宋体" w:cs="宋体" w:eastAsia="宋体" w:hint="default"/>
                <w:sz w:val="18"/>
                <w:szCs w:val="18"/>
              </w:rPr>
            </w:pPr>
            <w:r>
              <w:rPr>
                <w:rFonts w:ascii="宋体"/>
                <w:spacing w:val="1"/>
                <w:sz w:val="18"/>
              </w:rPr>
              <w:t>  </w:t>
            </w:r>
            <w:r>
              <w:rPr>
                <w:rFonts w:ascii="宋体"/>
                <w:spacing w:val="-1"/>
                <w:sz w:val="18"/>
              </w:rPr>
              <w:t>584,387.64</w:t>
            </w:r>
          </w:p>
        </w:tc>
      </w:tr>
    </w:tbl>
    <w:p>
      <w:pPr>
        <w:spacing w:line="240" w:lineRule="auto" w:before="7"/>
        <w:rPr>
          <w:rFonts w:ascii="宋体" w:hAnsi="宋体" w:cs="宋体" w:eastAsia="宋体" w:hint="default"/>
          <w:sz w:val="6"/>
          <w:szCs w:val="6"/>
        </w:rPr>
      </w:pPr>
    </w:p>
    <w:p>
      <w:pPr>
        <w:pStyle w:val="BodyText"/>
        <w:spacing w:line="374" w:lineRule="auto" w:before="36"/>
        <w:ind w:left="503" w:right="6364" w:firstLine="62"/>
        <w:jc w:val="left"/>
        <w:rPr>
          <w:rFonts w:ascii="宋体" w:hAnsi="宋体" w:cs="宋体" w:eastAsia="宋体" w:hint="default"/>
        </w:rPr>
      </w:pPr>
      <w:r>
        <w:rPr>
          <w:rFonts w:ascii="宋体" w:hAnsi="宋体" w:cs="宋体" w:eastAsia="宋体" w:hint="default"/>
          <w:b/>
          <w:bCs/>
        </w:rPr>
        <w:t>4</w:t>
      </w:r>
      <w:r>
        <w:rPr>
          <w:rFonts w:ascii="宋体" w:hAnsi="宋体" w:cs="宋体" w:eastAsia="宋体" w:hint="default"/>
          <w:b/>
          <w:bCs/>
        </w:rPr>
        <w:t>、</w:t>
      </w:r>
      <w:r>
        <w:rPr/>
        <w:t>关联担保情况</w:t>
      </w:r>
      <w:r>
        <w:rPr>
          <w:rFonts w:ascii="宋体" w:hAnsi="宋体" w:cs="宋体" w:eastAsia="宋体" w:hint="default"/>
          <w:spacing w:val="-3"/>
          <w:w w:val="100"/>
        </w:rPr>
        <w:t> </w:t>
      </w:r>
      <w:r>
        <w:rPr>
          <w:rFonts w:ascii="宋体" w:hAnsi="宋体" w:cs="宋体" w:eastAsia="宋体" w:hint="default"/>
          <w:w w:val="100"/>
        </w:rPr>
        <w:t> </w:t>
      </w:r>
      <w:r>
        <w:rPr>
          <w:spacing w:val="-14"/>
          <w:w w:val="100"/>
        </w:rPr>
        <w:t>详见附注六、（十八）及（二十七）。</w:t>
      </w:r>
      <w:r>
        <w:rPr>
          <w:spacing w:val="-104"/>
          <w:w w:val="100"/>
        </w:rPr>
        <w:t> </w:t>
      </w:r>
      <w:r>
        <w:rPr>
          <w:rFonts w:ascii="宋体" w:hAnsi="宋体" w:cs="宋体" w:eastAsia="宋体" w:hint="default"/>
          <w:spacing w:val="-104"/>
          <w:w w:val="100"/>
        </w:rPr>
      </w:r>
      <w:r>
        <w:rPr>
          <w:rFonts w:ascii="宋体" w:hAnsi="宋体" w:cs="宋体" w:eastAsia="宋体" w:hint="default"/>
          <w:b/>
          <w:bCs/>
        </w:rPr>
        <w:t>5</w:t>
      </w:r>
      <w:r>
        <w:rPr>
          <w:rFonts w:ascii="宋体" w:hAnsi="宋体" w:cs="宋体" w:eastAsia="宋体" w:hint="default"/>
          <w:b/>
          <w:bCs/>
        </w:rPr>
        <w:t>、</w:t>
      </w:r>
      <w:r>
        <w:rPr/>
        <w:t>关联方资金拆借</w:t>
      </w:r>
      <w:r>
        <w:rPr>
          <w:rFonts w:ascii="宋体" w:hAnsi="宋体" w:cs="宋体" w:eastAsia="宋体" w:hint="default"/>
          <w:w w:val="100"/>
        </w:rPr>
        <w:t> </w:t>
      </w:r>
      <w:r>
        <w:rPr>
          <w:spacing w:val="-17"/>
          <w:w w:val="100"/>
        </w:rPr>
        <w:t>见本附注十（五）</w:t>
      </w:r>
      <w:r>
        <w:rPr>
          <w:rFonts w:ascii="宋体" w:hAnsi="宋体" w:cs="宋体" w:eastAsia="宋体" w:hint="default"/>
          <w:spacing w:val="-17"/>
          <w:w w:val="100"/>
        </w:rPr>
        <w:t>7</w:t>
      </w:r>
      <w:r>
        <w:rPr>
          <w:spacing w:val="-17"/>
          <w:w w:val="100"/>
        </w:rPr>
        <w:t>、（</w:t>
      </w:r>
      <w:r>
        <w:rPr>
          <w:rFonts w:ascii="宋体" w:hAnsi="宋体" w:cs="宋体" w:eastAsia="宋体" w:hint="default"/>
          <w:spacing w:val="-17"/>
          <w:w w:val="100"/>
        </w:rPr>
        <w:t>3</w:t>
      </w:r>
      <w:r>
        <w:rPr>
          <w:spacing w:val="-17"/>
          <w:w w:val="100"/>
        </w:rPr>
        <w:t>）。</w:t>
      </w:r>
      <w:r>
        <w:rPr>
          <w:rFonts w:ascii="宋体" w:hAnsi="宋体" w:cs="宋体" w:eastAsia="宋体" w:hint="default"/>
          <w:spacing w:val="-17"/>
          <w:w w:val="100"/>
        </w:rPr>
        <w:t> </w:t>
      </w:r>
    </w:p>
    <w:p>
      <w:pPr>
        <w:pStyle w:val="BodyText"/>
        <w:spacing w:line="240" w:lineRule="auto" w:before="75"/>
        <w:ind w:left="566" w:right="1146"/>
        <w:jc w:val="left"/>
        <w:rPr>
          <w:rFonts w:ascii="宋体" w:hAnsi="宋体" w:cs="宋体" w:eastAsia="宋体" w:hint="default"/>
        </w:rPr>
      </w:pPr>
      <w:r>
        <w:rPr>
          <w:rFonts w:ascii="宋体" w:hAnsi="宋体" w:cs="宋体" w:eastAsia="宋体" w:hint="default"/>
          <w:b/>
          <w:bCs/>
        </w:rPr>
        <w:t>6</w:t>
      </w:r>
      <w:r>
        <w:rPr>
          <w:rFonts w:ascii="宋体" w:hAnsi="宋体" w:cs="宋体" w:eastAsia="宋体" w:hint="default"/>
          <w:b/>
          <w:bCs/>
        </w:rPr>
        <w:t>、</w:t>
      </w:r>
      <w:r>
        <w:rPr/>
        <w:t>关联方资产转让、债务重组情况</w:t>
      </w:r>
      <w:r>
        <w:rPr>
          <w:rFonts w:ascii="宋体" w:hAnsi="宋体" w:cs="宋体" w:eastAsia="宋体" w:hint="default"/>
        </w:rPr>
        <w:t> </w:t>
      </w:r>
    </w:p>
    <w:p>
      <w:pPr>
        <w:pStyle w:val="BodyText"/>
        <w:spacing w:line="372" w:lineRule="auto" w:before="154"/>
        <w:ind w:left="566" w:right="8206" w:hanging="3"/>
        <w:jc w:val="left"/>
        <w:rPr>
          <w:rFonts w:ascii="宋体" w:hAnsi="宋体" w:cs="宋体" w:eastAsia="宋体" w:hint="default"/>
        </w:rPr>
      </w:pPr>
      <w:r>
        <w:rPr/>
        <w:t>无。</w:t>
      </w:r>
      <w:r>
        <w:rPr>
          <w:rFonts w:ascii="宋体" w:hAnsi="宋体" w:cs="宋体" w:eastAsia="宋体" w:hint="default"/>
          <w:w w:val="100"/>
        </w:rPr>
        <w:t> </w:t>
      </w:r>
      <w:r>
        <w:rPr>
          <w:rFonts w:ascii="宋体" w:hAnsi="宋体" w:cs="宋体" w:eastAsia="宋体" w:hint="default"/>
          <w:b/>
          <w:bCs/>
        </w:rPr>
        <w:t>7</w:t>
      </w:r>
      <w:r>
        <w:rPr>
          <w:rFonts w:ascii="宋体" w:hAnsi="宋体" w:cs="宋体" w:eastAsia="宋体" w:hint="default"/>
          <w:b/>
          <w:bCs/>
        </w:rPr>
        <w:t>、</w:t>
      </w:r>
      <w:r>
        <w:rPr/>
        <w:t>其他关联交易</w:t>
      </w:r>
      <w:r>
        <w:rPr>
          <w:rFonts w:ascii="宋体" w:hAnsi="宋体" w:cs="宋体" w:eastAsia="宋体" w:hint="default"/>
        </w:rPr>
        <w:t> </w:t>
      </w:r>
    </w:p>
    <w:p>
      <w:pPr>
        <w:pStyle w:val="BodyText"/>
        <w:spacing w:line="272" w:lineRule="exact" w:before="67"/>
        <w:ind w:left="143" w:right="703" w:firstLine="420"/>
        <w:jc w:val="left"/>
        <w:rPr>
          <w:rFonts w:ascii="宋体" w:hAnsi="宋体" w:cs="宋体" w:eastAsia="宋体" w:hint="default"/>
        </w:rPr>
      </w:pPr>
      <w:r>
        <w:rPr>
          <w:spacing w:val="-3"/>
        </w:rPr>
        <w:t>（</w:t>
      </w:r>
      <w:r>
        <w:rPr>
          <w:rFonts w:ascii="宋体" w:hAnsi="宋体" w:cs="宋体" w:eastAsia="宋体" w:hint="default"/>
          <w:spacing w:val="-3"/>
        </w:rPr>
        <w:t>1</w:t>
      </w:r>
      <w:r>
        <w:rPr>
          <w:spacing w:val="-3"/>
        </w:rPr>
        <w:t>）子公司嘉华信息与北京东方般若科技发展有限公司发生代收代付业务，截止资产负债表日代收</w:t>
      </w:r>
      <w:r>
        <w:rPr>
          <w:w w:val="100"/>
        </w:rPr>
        <w:t> </w:t>
      </w:r>
      <w:r>
        <w:rPr/>
        <w:t>余额为</w:t>
      </w:r>
      <w:r>
        <w:rPr>
          <w:spacing w:val="-51"/>
        </w:rPr>
        <w:t> </w:t>
      </w:r>
      <w:r>
        <w:rPr>
          <w:rFonts w:ascii="宋体" w:hAnsi="宋体" w:cs="宋体" w:eastAsia="宋体" w:hint="default"/>
        </w:rPr>
        <w:t>73,678.41</w:t>
      </w:r>
      <w:r>
        <w:rPr>
          <w:rFonts w:ascii="宋体" w:hAnsi="宋体" w:cs="宋体" w:eastAsia="宋体" w:hint="default"/>
          <w:spacing w:val="-52"/>
        </w:rPr>
        <w:t> </w:t>
      </w:r>
      <w:r>
        <w:rPr>
          <w:spacing w:val="-3"/>
        </w:rPr>
        <w:t>元。</w:t>
      </w:r>
      <w:r>
        <w:rPr>
          <w:rFonts w:ascii="宋体" w:hAnsi="宋体" w:cs="宋体" w:eastAsia="宋体" w:hint="default"/>
        </w:rPr>
        <w:t> </w:t>
      </w:r>
    </w:p>
    <w:p>
      <w:pPr>
        <w:pStyle w:val="BodyText"/>
        <w:spacing w:line="272" w:lineRule="exact" w:before="157"/>
        <w:ind w:left="143" w:right="703" w:firstLine="420"/>
        <w:jc w:val="left"/>
        <w:rPr>
          <w:rFonts w:ascii="宋体" w:hAnsi="宋体" w:cs="宋体" w:eastAsia="宋体" w:hint="default"/>
        </w:rPr>
      </w:pPr>
      <w:r>
        <w:rPr>
          <w:spacing w:val="-3"/>
        </w:rPr>
        <w:t>（</w:t>
      </w:r>
      <w:r>
        <w:rPr>
          <w:rFonts w:ascii="宋体" w:hAnsi="宋体" w:cs="宋体" w:eastAsia="宋体" w:hint="default"/>
          <w:spacing w:val="-3"/>
        </w:rPr>
        <w:t>2</w:t>
      </w:r>
      <w:r>
        <w:rPr>
          <w:spacing w:val="-3"/>
        </w:rPr>
        <w:t>）子公司长实通信与清远市长实建设有限公司发生代收代付业务，截止资产负债表日代收和代付</w:t>
      </w:r>
      <w:r>
        <w:rPr>
          <w:w w:val="100"/>
        </w:rPr>
        <w:t> </w:t>
      </w:r>
      <w:r>
        <w:rPr/>
        <w:t>款金额分别为人民币</w:t>
      </w:r>
      <w:r>
        <w:rPr>
          <w:spacing w:val="-54"/>
        </w:rPr>
        <w:t> </w:t>
      </w:r>
      <w:r>
        <w:rPr>
          <w:rFonts w:ascii="宋体" w:hAnsi="宋体" w:cs="宋体" w:eastAsia="宋体" w:hint="default"/>
        </w:rPr>
        <w:t>28,215,515.99</w:t>
      </w:r>
      <w:r>
        <w:rPr>
          <w:rFonts w:ascii="宋体" w:hAnsi="宋体" w:cs="宋体" w:eastAsia="宋体" w:hint="default"/>
          <w:spacing w:val="-56"/>
        </w:rPr>
        <w:t> </w:t>
      </w:r>
      <w:r>
        <w:rPr/>
        <w:t>元和人民币</w:t>
      </w:r>
      <w:r>
        <w:rPr>
          <w:spacing w:val="-54"/>
        </w:rPr>
        <w:t> </w:t>
      </w:r>
      <w:r>
        <w:rPr>
          <w:rFonts w:ascii="宋体" w:hAnsi="宋体" w:cs="宋体" w:eastAsia="宋体" w:hint="default"/>
        </w:rPr>
        <w:t>31,025,261.10</w:t>
      </w:r>
      <w:r>
        <w:rPr>
          <w:rFonts w:ascii="宋体" w:hAnsi="宋体" w:cs="宋体" w:eastAsia="宋体" w:hint="default"/>
          <w:spacing w:val="-54"/>
        </w:rPr>
        <w:t> </w:t>
      </w:r>
      <w:r>
        <w:rPr>
          <w:spacing w:val="-3"/>
        </w:rPr>
        <w:t>元。</w:t>
      </w:r>
      <w:r>
        <w:rPr>
          <w:rFonts w:ascii="宋体" w:hAnsi="宋体" w:cs="宋体" w:eastAsia="宋体" w:hint="default"/>
        </w:rPr>
        <w:t> </w:t>
      </w:r>
    </w:p>
    <w:p>
      <w:pPr>
        <w:pStyle w:val="BodyText"/>
        <w:spacing w:line="273" w:lineRule="exact" w:before="130"/>
        <w:ind w:left="563" w:right="703"/>
        <w:jc w:val="left"/>
      </w:pPr>
      <w:r>
        <w:rPr/>
        <w:t>（</w:t>
      </w:r>
      <w:r>
        <w:rPr>
          <w:rFonts w:ascii="宋体" w:hAnsi="宋体" w:cs="宋体" w:eastAsia="宋体" w:hint="default"/>
        </w:rPr>
        <w:t>3</w:t>
      </w:r>
      <w:r>
        <w:rPr/>
        <w:t>）公司</w:t>
      </w:r>
      <w:r>
        <w:rPr>
          <w:spacing w:val="-53"/>
        </w:rPr>
        <w:t> </w:t>
      </w:r>
      <w:r>
        <w:rPr>
          <w:rFonts w:ascii="宋体" w:hAnsi="宋体" w:cs="宋体" w:eastAsia="宋体" w:hint="default"/>
        </w:rPr>
        <w:t>2018</w:t>
      </w:r>
      <w:r>
        <w:rPr>
          <w:rFonts w:ascii="宋体" w:hAnsi="宋体" w:cs="宋体" w:eastAsia="宋体" w:hint="default"/>
          <w:spacing w:val="-51"/>
        </w:rPr>
        <w:t> </w:t>
      </w:r>
      <w:r>
        <w:rPr/>
        <w:t>年度收购嘉华信息</w:t>
      </w:r>
      <w:r>
        <w:rPr>
          <w:spacing w:val="-51"/>
        </w:rPr>
        <w:t> </w:t>
      </w:r>
      <w:r>
        <w:rPr>
          <w:rFonts w:ascii="宋体" w:hAnsi="宋体" w:cs="宋体" w:eastAsia="宋体" w:hint="default"/>
        </w:rPr>
        <w:t>100%</w:t>
      </w:r>
      <w:r>
        <w:rPr/>
        <w:t>股权，其中涉及现金对价</w:t>
      </w:r>
      <w:r>
        <w:rPr>
          <w:spacing w:val="-51"/>
        </w:rPr>
        <w:t> </w:t>
      </w:r>
      <w:r>
        <w:rPr>
          <w:rFonts w:ascii="宋体" w:hAnsi="宋体" w:cs="宋体" w:eastAsia="宋体" w:hint="default"/>
        </w:rPr>
        <w:t>75,480.00</w:t>
      </w:r>
      <w:r>
        <w:rPr>
          <w:rFonts w:ascii="宋体" w:hAnsi="宋体" w:cs="宋体" w:eastAsia="宋体" w:hint="default"/>
          <w:spacing w:val="-53"/>
        </w:rPr>
        <w:t> </w:t>
      </w:r>
      <w:r>
        <w:rPr/>
        <w:t>万元，上述现金对价分</w:t>
      </w:r>
    </w:p>
    <w:p>
      <w:pPr>
        <w:pStyle w:val="BodyText"/>
        <w:spacing w:line="272" w:lineRule="exact"/>
        <w:ind w:left="143" w:right="0"/>
        <w:jc w:val="both"/>
        <w:rPr>
          <w:rFonts w:ascii="宋体" w:hAnsi="宋体" w:cs="宋体" w:eastAsia="宋体" w:hint="default"/>
        </w:rPr>
      </w:pPr>
      <w:r>
        <w:rPr>
          <w:spacing w:val="-2"/>
        </w:rPr>
        <w:t>三期支付，截止资产负债表日第一期、第二期股权支付款已支付完成，第三期股权转让款支付</w:t>
      </w:r>
      <w:r>
        <w:rPr>
          <w:spacing w:val="59"/>
        </w:rPr>
        <w:t> </w:t>
      </w:r>
      <w:r>
        <w:rPr>
          <w:rFonts w:ascii="宋体" w:hAnsi="宋体" w:cs="宋体" w:eastAsia="宋体" w:hint="default"/>
          <w:spacing w:val="-2"/>
        </w:rPr>
        <w:t>4,000.00</w:t>
      </w:r>
    </w:p>
    <w:p>
      <w:pPr>
        <w:pStyle w:val="BodyText"/>
        <w:spacing w:line="272" w:lineRule="exact"/>
        <w:ind w:left="143" w:right="0"/>
        <w:jc w:val="both"/>
        <w:rPr>
          <w:rFonts w:ascii="宋体" w:hAnsi="宋体" w:cs="宋体" w:eastAsia="宋体" w:hint="default"/>
        </w:rPr>
      </w:pPr>
      <w:r>
        <w:rPr>
          <w:w w:val="100"/>
        </w:rPr>
        <w:t>万元</w:t>
      </w:r>
      <w:r>
        <w:rPr>
          <w:rFonts w:ascii="宋体" w:hAnsi="宋体" w:cs="宋体" w:eastAsia="宋体" w:hint="default"/>
          <w:spacing w:val="-3"/>
          <w:w w:val="100"/>
        </w:rPr>
        <w:t>,</w:t>
      </w:r>
      <w:r>
        <w:rPr>
          <w:w w:val="100"/>
        </w:rPr>
        <w:t>合</w:t>
      </w:r>
      <w:r>
        <w:rPr>
          <w:spacing w:val="-3"/>
          <w:w w:val="100"/>
        </w:rPr>
        <w:t>计</w:t>
      </w:r>
      <w:r>
        <w:rPr>
          <w:w w:val="100"/>
        </w:rPr>
        <w:t>累</w:t>
      </w:r>
      <w:r>
        <w:rPr>
          <w:spacing w:val="-3"/>
          <w:w w:val="100"/>
        </w:rPr>
        <w:t>计</w:t>
      </w:r>
      <w:r>
        <w:rPr>
          <w:w w:val="100"/>
        </w:rPr>
        <w:t>支付</w:t>
      </w:r>
      <w:r>
        <w:rPr>
          <w:spacing w:val="-55"/>
        </w:rPr>
        <w:t> </w:t>
      </w:r>
      <w:r>
        <w:rPr>
          <w:rFonts w:ascii="宋体" w:hAnsi="宋体" w:cs="宋体" w:eastAsia="宋体" w:hint="default"/>
          <w:w w:val="100"/>
        </w:rPr>
        <w:t>41,</w:t>
      </w:r>
      <w:r>
        <w:rPr>
          <w:rFonts w:ascii="宋体" w:hAnsi="宋体" w:cs="宋体" w:eastAsia="宋体" w:hint="default"/>
          <w:spacing w:val="-3"/>
          <w:w w:val="100"/>
        </w:rPr>
        <w:t>74</w:t>
      </w:r>
      <w:r>
        <w:rPr>
          <w:rFonts w:ascii="宋体" w:hAnsi="宋体" w:cs="宋体" w:eastAsia="宋体" w:hint="default"/>
          <w:w w:val="100"/>
        </w:rPr>
        <w:t>0</w:t>
      </w:r>
      <w:r>
        <w:rPr>
          <w:rFonts w:ascii="宋体" w:hAnsi="宋体" w:cs="宋体" w:eastAsia="宋体" w:hint="default"/>
          <w:spacing w:val="-53"/>
        </w:rPr>
        <w:t> </w:t>
      </w:r>
      <w:r>
        <w:rPr>
          <w:w w:val="100"/>
        </w:rPr>
        <w:t>万</w:t>
      </w:r>
      <w:r>
        <w:rPr>
          <w:spacing w:val="-3"/>
          <w:w w:val="100"/>
        </w:rPr>
        <w:t>元</w:t>
      </w:r>
      <w:r>
        <w:rPr>
          <w:spacing w:val="-85"/>
          <w:w w:val="100"/>
        </w:rPr>
        <w:t>，</w:t>
      </w:r>
      <w:r>
        <w:rPr>
          <w:w w:val="100"/>
        </w:rPr>
        <w:t>协</w:t>
      </w:r>
      <w:r>
        <w:rPr>
          <w:spacing w:val="-3"/>
          <w:w w:val="100"/>
        </w:rPr>
        <w:t>议</w:t>
      </w:r>
      <w:r>
        <w:rPr>
          <w:w w:val="100"/>
        </w:rPr>
        <w:t>约</w:t>
      </w:r>
      <w:r>
        <w:rPr>
          <w:spacing w:val="-3"/>
          <w:w w:val="100"/>
        </w:rPr>
        <w:t>定</w:t>
      </w:r>
      <w:r>
        <w:rPr>
          <w:w w:val="100"/>
        </w:rPr>
        <w:t>第</w:t>
      </w:r>
      <w:r>
        <w:rPr>
          <w:spacing w:val="-3"/>
          <w:w w:val="100"/>
        </w:rPr>
        <w:t>三</w:t>
      </w:r>
      <w:r>
        <w:rPr>
          <w:w w:val="100"/>
        </w:rPr>
        <w:t>笔</w:t>
      </w:r>
      <w:r>
        <w:rPr>
          <w:spacing w:val="-3"/>
          <w:w w:val="100"/>
        </w:rPr>
        <w:t>股</w:t>
      </w:r>
      <w:r>
        <w:rPr>
          <w:w w:val="100"/>
        </w:rPr>
        <w:t>权支</w:t>
      </w:r>
      <w:r>
        <w:rPr>
          <w:spacing w:val="-3"/>
          <w:w w:val="100"/>
        </w:rPr>
        <w:t>付</w:t>
      </w:r>
      <w:r>
        <w:rPr>
          <w:w w:val="100"/>
        </w:rPr>
        <w:t>款</w:t>
      </w:r>
      <w:r>
        <w:rPr>
          <w:spacing w:val="-52"/>
        </w:rPr>
        <w:t> </w:t>
      </w:r>
      <w:r>
        <w:rPr>
          <w:rFonts w:ascii="宋体" w:hAnsi="宋体" w:cs="宋体" w:eastAsia="宋体" w:hint="default"/>
          <w:spacing w:val="-3"/>
          <w:w w:val="100"/>
        </w:rPr>
        <w:t>3</w:t>
      </w:r>
      <w:r>
        <w:rPr>
          <w:rFonts w:ascii="宋体" w:hAnsi="宋体" w:cs="宋体" w:eastAsia="宋体" w:hint="default"/>
          <w:w w:val="100"/>
        </w:rPr>
        <w:t>7,7</w:t>
      </w:r>
      <w:r>
        <w:rPr>
          <w:rFonts w:ascii="宋体" w:hAnsi="宋体" w:cs="宋体" w:eastAsia="宋体" w:hint="default"/>
          <w:spacing w:val="-3"/>
          <w:w w:val="100"/>
        </w:rPr>
        <w:t>4</w:t>
      </w:r>
      <w:r>
        <w:rPr>
          <w:rFonts w:ascii="宋体" w:hAnsi="宋体" w:cs="宋体" w:eastAsia="宋体" w:hint="default"/>
          <w:w w:val="100"/>
        </w:rPr>
        <w:t>0.00</w:t>
      </w:r>
      <w:r>
        <w:rPr>
          <w:rFonts w:ascii="宋体" w:hAnsi="宋体" w:cs="宋体" w:eastAsia="宋体" w:hint="default"/>
          <w:spacing w:val="-55"/>
        </w:rPr>
        <w:t> </w:t>
      </w:r>
      <w:r>
        <w:rPr>
          <w:w w:val="100"/>
        </w:rPr>
        <w:t>万</w:t>
      </w:r>
      <w:r>
        <w:rPr>
          <w:spacing w:val="-3"/>
          <w:w w:val="100"/>
        </w:rPr>
        <w:t>元</w:t>
      </w:r>
      <w:r>
        <w:rPr>
          <w:rFonts w:ascii="宋体" w:hAnsi="宋体" w:cs="宋体" w:eastAsia="宋体" w:hint="default"/>
          <w:spacing w:val="-3"/>
          <w:w w:val="100"/>
        </w:rPr>
        <w:t>,</w:t>
      </w:r>
      <w:r>
        <w:rPr>
          <w:w w:val="100"/>
        </w:rPr>
        <w:t>本期</w:t>
      </w:r>
      <w:r>
        <w:rPr>
          <w:spacing w:val="-3"/>
          <w:w w:val="100"/>
        </w:rPr>
        <w:t>支</w:t>
      </w:r>
      <w:r>
        <w:rPr>
          <w:w w:val="100"/>
        </w:rPr>
        <w:t>付</w:t>
      </w:r>
      <w:r>
        <w:rPr>
          <w:spacing w:val="-3"/>
          <w:w w:val="100"/>
        </w:rPr>
        <w:t>刘英</w:t>
      </w:r>
      <w:r>
        <w:rPr>
          <w:w w:val="100"/>
        </w:rPr>
        <w:t>魁</w:t>
      </w:r>
      <w:r>
        <w:rPr>
          <w:spacing w:val="-52"/>
        </w:rPr>
        <w:t> </w:t>
      </w:r>
      <w:r>
        <w:rPr>
          <w:rFonts w:ascii="宋体" w:hAnsi="宋体" w:cs="宋体" w:eastAsia="宋体" w:hint="default"/>
          <w:w w:val="100"/>
        </w:rPr>
        <w:t>4,</w:t>
      </w:r>
      <w:r>
        <w:rPr>
          <w:rFonts w:ascii="宋体" w:hAnsi="宋体" w:cs="宋体" w:eastAsia="宋体" w:hint="default"/>
          <w:spacing w:val="-3"/>
          <w:w w:val="100"/>
        </w:rPr>
        <w:t>0</w:t>
      </w:r>
      <w:r>
        <w:rPr>
          <w:rFonts w:ascii="宋体" w:hAnsi="宋体" w:cs="宋体" w:eastAsia="宋体" w:hint="default"/>
          <w:w w:val="100"/>
        </w:rPr>
        <w:t>00.</w:t>
      </w:r>
      <w:r>
        <w:rPr>
          <w:rFonts w:ascii="宋体" w:hAnsi="宋体" w:cs="宋体" w:eastAsia="宋体" w:hint="default"/>
          <w:spacing w:val="-3"/>
          <w:w w:val="100"/>
        </w:rPr>
        <w:t>0</w:t>
      </w:r>
      <w:r>
        <w:rPr>
          <w:rFonts w:ascii="宋体" w:hAnsi="宋体" w:cs="宋体" w:eastAsia="宋体" w:hint="default"/>
          <w:w w:val="100"/>
        </w:rPr>
        <w:t>0</w:t>
      </w:r>
    </w:p>
    <w:p>
      <w:pPr>
        <w:pStyle w:val="BodyText"/>
        <w:spacing w:line="237" w:lineRule="auto"/>
        <w:ind w:left="143" w:right="1071"/>
        <w:jc w:val="both"/>
        <w:rPr>
          <w:rFonts w:ascii="宋体" w:hAnsi="宋体" w:cs="宋体" w:eastAsia="宋体" w:hint="default"/>
        </w:rPr>
      </w:pPr>
      <w:r>
        <w:rPr>
          <w:spacing w:val="-9"/>
        </w:rPr>
        <w:t>万元，合计剩余股权转让款</w:t>
      </w:r>
      <w:r>
        <w:rPr>
          <w:spacing w:val="-22"/>
        </w:rPr>
        <w:t> </w:t>
      </w:r>
      <w:r>
        <w:rPr>
          <w:rFonts w:ascii="宋体" w:hAnsi="宋体" w:cs="宋体" w:eastAsia="宋体" w:hint="default"/>
        </w:rPr>
        <w:t>33,740</w:t>
      </w:r>
      <w:r>
        <w:rPr>
          <w:rFonts w:ascii="宋体" w:hAnsi="宋体" w:cs="宋体" w:eastAsia="宋体" w:hint="default"/>
          <w:spacing w:val="-25"/>
        </w:rPr>
        <w:t> </w:t>
      </w:r>
      <w:r>
        <w:rPr>
          <w:spacing w:val="-7"/>
        </w:rPr>
        <w:t>万元。截止目前，关于剩余股权转让款公司已与刘英魁签署补充协议，</w:t>
      </w:r>
      <w:r>
        <w:rPr>
          <w:spacing w:val="-91"/>
        </w:rPr>
        <w:t> </w:t>
      </w:r>
      <w:r>
        <w:rPr>
          <w:spacing w:val="-91"/>
        </w:rPr>
      </w:r>
      <w:r>
        <w:rPr/>
        <w:t>协议约定公司可延期支付上述股权转让款，延期支付期间（以原收购协议约定应支付的日期为起息日）</w:t>
      </w:r>
      <w:r>
        <w:rPr>
          <w:spacing w:val="-36"/>
        </w:rPr>
        <w:t> </w:t>
      </w:r>
      <w:r>
        <w:rPr>
          <w:spacing w:val="-36"/>
        </w:rPr>
      </w:r>
      <w:r>
        <w:rPr/>
        <w:t>公司按实际占用天数以</w:t>
      </w:r>
      <w:r>
        <w:rPr>
          <w:spacing w:val="-16"/>
        </w:rPr>
        <w:t> </w:t>
      </w:r>
      <w:r>
        <w:rPr>
          <w:rFonts w:ascii="宋体" w:hAnsi="宋体" w:cs="宋体" w:eastAsia="宋体" w:hint="default"/>
          <w:spacing w:val="-4"/>
        </w:rPr>
        <w:t>0.02%</w:t>
      </w:r>
      <w:r>
        <w:rPr>
          <w:spacing w:val="-4"/>
        </w:rPr>
        <w:t>的利率支付利息。依据签订的补充协议，视为借款，已按照补充协议约定利</w:t>
      </w:r>
      <w:r>
        <w:rPr>
          <w:spacing w:val="-87"/>
        </w:rPr>
        <w:t> </w:t>
      </w:r>
      <w:r>
        <w:rPr>
          <w:spacing w:val="-87"/>
        </w:rPr>
      </w:r>
      <w:r>
        <w:rPr/>
        <w:t>率，计提应付利息</w:t>
      </w:r>
      <w:r>
        <w:rPr>
          <w:spacing w:val="-54"/>
        </w:rPr>
        <w:t> </w:t>
      </w:r>
      <w:r>
        <w:rPr>
          <w:rFonts w:ascii="宋体" w:hAnsi="宋体" w:cs="宋体" w:eastAsia="宋体" w:hint="default"/>
        </w:rPr>
        <w:t>15,912,720.00</w:t>
      </w:r>
      <w:r>
        <w:rPr>
          <w:rFonts w:ascii="宋体" w:hAnsi="宋体" w:cs="宋体" w:eastAsia="宋体" w:hint="default"/>
          <w:spacing w:val="-53"/>
        </w:rPr>
        <w:t> </w:t>
      </w:r>
      <w:r>
        <w:rPr>
          <w:spacing w:val="-3"/>
        </w:rPr>
        <w:t>元。</w:t>
      </w:r>
      <w:r>
        <w:rPr>
          <w:rFonts w:ascii="宋体" w:hAnsi="宋体" w:cs="宋体" w:eastAsia="宋体" w:hint="default"/>
        </w:rPr>
        <w:t> </w:t>
      </w:r>
    </w:p>
    <w:p>
      <w:pPr>
        <w:spacing w:line="374" w:lineRule="auto" w:before="155"/>
        <w:ind w:left="566" w:right="6619" w:firstLine="0"/>
        <w:jc w:val="left"/>
        <w:rPr>
          <w:rFonts w:ascii="宋体" w:hAnsi="宋体" w:cs="宋体" w:eastAsia="宋体" w:hint="default"/>
          <w:sz w:val="21"/>
          <w:szCs w:val="21"/>
        </w:rPr>
      </w:pPr>
      <w:r>
        <w:rPr>
          <w:rFonts w:ascii="宋体" w:hAnsi="宋体" w:cs="宋体" w:eastAsia="宋体" w:hint="default"/>
          <w:b/>
          <w:bCs/>
          <w:sz w:val="21"/>
          <w:szCs w:val="21"/>
        </w:rPr>
        <w:t>（六）关联方应收应付款项</w:t>
      </w:r>
      <w:r>
        <w:rPr>
          <w:rFonts w:ascii="宋体" w:hAnsi="宋体" w:cs="宋体" w:eastAsia="宋体" w:hint="default"/>
          <w:b/>
          <w:bCs/>
          <w:w w:val="99"/>
          <w:sz w:val="21"/>
          <w:szCs w:val="21"/>
        </w:rPr>
        <w:t> </w:t>
      </w:r>
      <w:r>
        <w:rPr>
          <w:rFonts w:ascii="宋体" w:hAnsi="宋体" w:cs="宋体" w:eastAsia="宋体" w:hint="default"/>
          <w:b/>
          <w:bCs/>
          <w:sz w:val="21"/>
          <w:szCs w:val="21"/>
        </w:rPr>
        <w:t>1</w:t>
      </w:r>
      <w:r>
        <w:rPr>
          <w:rFonts w:ascii="宋体" w:hAnsi="宋体" w:cs="宋体" w:eastAsia="宋体" w:hint="default"/>
          <w:b/>
          <w:bCs/>
          <w:sz w:val="21"/>
          <w:szCs w:val="21"/>
        </w:rPr>
        <w:t>、</w:t>
      </w:r>
      <w:r>
        <w:rPr>
          <w:rFonts w:ascii="宋体" w:hAnsi="宋体" w:cs="宋体" w:eastAsia="宋体" w:hint="default"/>
          <w:sz w:val="21"/>
          <w:szCs w:val="21"/>
        </w:rPr>
        <w:t>应收项目</w:t>
      </w:r>
      <w:r>
        <w:rPr>
          <w:rFonts w:ascii="宋体" w:hAnsi="宋体" w:cs="宋体" w:eastAsia="宋体" w:hint="default"/>
          <w:sz w:val="21"/>
          <w:szCs w:val="21"/>
        </w:rPr>
        <w:t> </w:t>
      </w:r>
    </w:p>
    <w:p>
      <w:pPr>
        <w:spacing w:line="240" w:lineRule="auto" w:before="6"/>
        <w:rPr>
          <w:rFonts w:ascii="宋体" w:hAnsi="宋体" w:cs="宋体" w:eastAsia="宋体" w:hint="default"/>
          <w:sz w:val="5"/>
          <w:szCs w:val="5"/>
        </w:rPr>
      </w:pPr>
    </w:p>
    <w:tbl>
      <w:tblPr>
        <w:tblW w:w="0" w:type="auto"/>
        <w:jc w:val="left"/>
        <w:tblInd w:w="126" w:type="dxa"/>
        <w:tblLayout w:type="fixed"/>
        <w:tblCellMar>
          <w:top w:w="0" w:type="dxa"/>
          <w:left w:w="0" w:type="dxa"/>
          <w:bottom w:w="0" w:type="dxa"/>
          <w:right w:w="0" w:type="dxa"/>
        </w:tblCellMar>
        <w:tblLook w:val="01E0"/>
      </w:tblPr>
      <w:tblGrid>
        <w:gridCol w:w="1200"/>
        <w:gridCol w:w="2905"/>
        <w:gridCol w:w="1419"/>
        <w:gridCol w:w="1200"/>
        <w:gridCol w:w="1419"/>
        <w:gridCol w:w="1514"/>
      </w:tblGrid>
      <w:tr>
        <w:trPr>
          <w:trHeight w:val="396" w:hRule="exact"/>
        </w:trPr>
        <w:tc>
          <w:tcPr>
            <w:tcW w:w="1200"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235" w:right="0"/>
              <w:jc w:val="left"/>
              <w:rPr>
                <w:rFonts w:ascii="宋体" w:hAnsi="宋体" w:cs="宋体" w:eastAsia="宋体" w:hint="default"/>
                <w:sz w:val="18"/>
                <w:szCs w:val="18"/>
              </w:rPr>
            </w:pPr>
            <w:r>
              <w:rPr>
                <w:rFonts w:ascii="宋体" w:hAnsi="宋体" w:cs="宋体" w:eastAsia="宋体" w:hint="default"/>
                <w:sz w:val="18"/>
                <w:szCs w:val="18"/>
              </w:rPr>
              <w:t>项目名称</w:t>
            </w:r>
            <w:r>
              <w:rPr>
                <w:rFonts w:ascii="宋体" w:hAnsi="宋体" w:cs="宋体" w:eastAsia="宋体" w:hint="default"/>
                <w:sz w:val="18"/>
                <w:szCs w:val="18"/>
              </w:rPr>
              <w:t> </w:t>
            </w:r>
          </w:p>
        </w:tc>
        <w:tc>
          <w:tcPr>
            <w:tcW w:w="2905"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87" w:right="0"/>
              <w:jc w:val="center"/>
              <w:rPr>
                <w:rFonts w:ascii="宋体" w:hAnsi="宋体" w:cs="宋体" w:eastAsia="宋体" w:hint="default"/>
                <w:sz w:val="18"/>
                <w:szCs w:val="18"/>
              </w:rPr>
            </w:pPr>
            <w:r>
              <w:rPr>
                <w:rFonts w:ascii="宋体" w:hAnsi="宋体" w:cs="宋体" w:eastAsia="宋体" w:hint="default"/>
                <w:sz w:val="18"/>
                <w:szCs w:val="18"/>
              </w:rPr>
              <w:t>关联方</w:t>
            </w:r>
            <w:r>
              <w:rPr>
                <w:rFonts w:ascii="宋体" w:hAnsi="宋体" w:cs="宋体" w:eastAsia="宋体" w:hint="default"/>
                <w:sz w:val="18"/>
                <w:szCs w:val="18"/>
              </w:rPr>
              <w:t> </w:t>
            </w:r>
          </w:p>
        </w:tc>
        <w:tc>
          <w:tcPr>
            <w:tcW w:w="261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43"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c>
          <w:tcPr>
            <w:tcW w:w="293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 w:right="0"/>
              <w:jc w:val="center"/>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r>
      <w:tr>
        <w:trPr>
          <w:trHeight w:val="398" w:hRule="exact"/>
        </w:trPr>
        <w:tc>
          <w:tcPr>
            <w:tcW w:w="1200" w:type="dxa"/>
            <w:vMerge/>
            <w:tcBorders>
              <w:left w:val="single" w:sz="4" w:space="0" w:color="000000"/>
              <w:bottom w:val="single" w:sz="4" w:space="0" w:color="000000"/>
              <w:right w:val="single" w:sz="4" w:space="0" w:color="000000"/>
            </w:tcBorders>
          </w:tcPr>
          <w:p>
            <w:pPr/>
          </w:p>
        </w:tc>
        <w:tc>
          <w:tcPr>
            <w:tcW w:w="2905" w:type="dxa"/>
            <w:vMerge/>
            <w:tcBorders>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43" w:right="0"/>
              <w:jc w:val="left"/>
              <w:rPr>
                <w:rFonts w:ascii="宋体" w:hAnsi="宋体" w:cs="宋体" w:eastAsia="宋体" w:hint="default"/>
                <w:sz w:val="18"/>
                <w:szCs w:val="18"/>
              </w:rPr>
            </w:pPr>
            <w:r>
              <w:rPr>
                <w:rFonts w:ascii="宋体" w:hAnsi="宋体" w:cs="宋体" w:eastAsia="宋体" w:hint="default"/>
                <w:sz w:val="18"/>
                <w:szCs w:val="18"/>
              </w:rPr>
              <w:t>账面余额</w:t>
            </w:r>
            <w:r>
              <w:rPr>
                <w:rFonts w:ascii="宋体" w:hAnsi="宋体" w:cs="宋体" w:eastAsia="宋体" w:hint="default"/>
                <w:sz w:val="18"/>
                <w:szCs w:val="18"/>
              </w:rPr>
              <w:t> </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5" w:right="0"/>
              <w:jc w:val="left"/>
              <w:rPr>
                <w:rFonts w:ascii="宋体" w:hAnsi="宋体" w:cs="宋体" w:eastAsia="宋体" w:hint="default"/>
                <w:sz w:val="18"/>
                <w:szCs w:val="18"/>
              </w:rPr>
            </w:pPr>
            <w:r>
              <w:rPr>
                <w:rFonts w:ascii="宋体" w:hAnsi="宋体" w:cs="宋体" w:eastAsia="宋体" w:hint="default"/>
                <w:sz w:val="18"/>
                <w:szCs w:val="18"/>
              </w:rPr>
              <w:t>坏账准备</w:t>
            </w:r>
            <w:r>
              <w:rPr>
                <w:rFonts w:ascii="宋体" w:hAnsi="宋体" w:cs="宋体" w:eastAsia="宋体" w:hint="default"/>
                <w:sz w:val="18"/>
                <w:szCs w:val="18"/>
              </w:rPr>
              <w:t> </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43" w:right="0"/>
              <w:jc w:val="left"/>
              <w:rPr>
                <w:rFonts w:ascii="宋体" w:hAnsi="宋体" w:cs="宋体" w:eastAsia="宋体" w:hint="default"/>
                <w:sz w:val="18"/>
                <w:szCs w:val="18"/>
              </w:rPr>
            </w:pPr>
            <w:r>
              <w:rPr>
                <w:rFonts w:ascii="宋体" w:hAnsi="宋体" w:cs="宋体" w:eastAsia="宋体" w:hint="default"/>
                <w:sz w:val="18"/>
                <w:szCs w:val="18"/>
              </w:rPr>
              <w:t>账面余额</w:t>
            </w:r>
            <w:r>
              <w:rPr>
                <w:rFonts w:ascii="宋体" w:hAnsi="宋体" w:cs="宋体" w:eastAsia="宋体" w:hint="default"/>
                <w:sz w:val="18"/>
                <w:szCs w:val="18"/>
              </w:rPr>
              <w:t> </w:t>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91" w:right="0"/>
              <w:jc w:val="left"/>
              <w:rPr>
                <w:rFonts w:ascii="宋体" w:hAnsi="宋体" w:cs="宋体" w:eastAsia="宋体" w:hint="default"/>
                <w:sz w:val="18"/>
                <w:szCs w:val="18"/>
              </w:rPr>
            </w:pPr>
            <w:r>
              <w:rPr>
                <w:rFonts w:ascii="宋体" w:hAnsi="宋体" w:cs="宋体" w:eastAsia="宋体" w:hint="default"/>
                <w:sz w:val="18"/>
                <w:szCs w:val="18"/>
              </w:rPr>
              <w:t>坏账准备</w:t>
            </w:r>
            <w:r>
              <w:rPr>
                <w:rFonts w:ascii="宋体" w:hAnsi="宋体" w:cs="宋体" w:eastAsia="宋体" w:hint="default"/>
                <w:sz w:val="18"/>
                <w:szCs w:val="18"/>
              </w:rPr>
              <w:t> </w:t>
            </w:r>
          </w:p>
        </w:tc>
      </w:tr>
      <w:tr>
        <w:trPr>
          <w:trHeight w:val="396"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应收账款</w:t>
            </w:r>
            <w:r>
              <w:rPr>
                <w:rFonts w:ascii="宋体" w:hAnsi="宋体" w:cs="宋体" w:eastAsia="宋体" w:hint="default"/>
                <w:sz w:val="18"/>
                <w:szCs w:val="18"/>
              </w:rPr>
              <w:t> </w:t>
            </w:r>
          </w:p>
        </w:tc>
        <w:tc>
          <w:tcPr>
            <w:tcW w:w="2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联动优势科技有限公司</w:t>
            </w:r>
            <w:r>
              <w:rPr>
                <w:rFonts w:ascii="宋体" w:hAnsi="宋体" w:cs="宋体" w:eastAsia="宋体" w:hint="default"/>
                <w:sz w:val="18"/>
                <w:szCs w:val="18"/>
              </w:rPr>
              <w:t> </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1,538,377.50 </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75" w:right="0"/>
              <w:jc w:val="left"/>
              <w:rPr>
                <w:rFonts w:ascii="宋体" w:hAnsi="宋体" w:cs="宋体" w:eastAsia="宋体" w:hint="default"/>
                <w:sz w:val="18"/>
                <w:szCs w:val="18"/>
              </w:rPr>
            </w:pPr>
            <w:r>
              <w:rPr>
                <w:rFonts w:ascii="宋体"/>
                <w:sz w:val="18"/>
              </w:rPr>
              <w:t>76,919.72 </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19,351,435.44</w:t>
            </w:r>
            <w:r>
              <w:rPr>
                <w:rFonts w:ascii="宋体"/>
                <w:sz w:val="18"/>
              </w:rPr>
              <w:t> </w:t>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3"/>
              <w:jc w:val="right"/>
              <w:rPr>
                <w:rFonts w:ascii="宋体" w:hAnsi="宋体" w:cs="宋体" w:eastAsia="宋体" w:hint="default"/>
                <w:sz w:val="18"/>
                <w:szCs w:val="18"/>
              </w:rPr>
            </w:pPr>
            <w:r>
              <w:rPr>
                <w:rFonts w:ascii="宋体"/>
                <w:spacing w:val="-1"/>
                <w:sz w:val="18"/>
              </w:rPr>
              <w:t>967,599.24</w:t>
            </w:r>
            <w:r>
              <w:rPr>
                <w:rFonts w:ascii="宋体"/>
                <w:sz w:val="18"/>
              </w:rPr>
              <w:t> </w:t>
            </w:r>
          </w:p>
        </w:tc>
      </w:tr>
      <w:tr>
        <w:trPr>
          <w:trHeight w:val="398"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应收账款</w:t>
            </w:r>
            <w:r>
              <w:rPr>
                <w:rFonts w:ascii="宋体" w:hAnsi="宋体" w:cs="宋体" w:eastAsia="宋体" w:hint="default"/>
                <w:sz w:val="18"/>
                <w:szCs w:val="18"/>
              </w:rPr>
              <w:t> </w:t>
            </w:r>
          </w:p>
        </w:tc>
        <w:tc>
          <w:tcPr>
            <w:tcW w:w="2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北京中天嘉华管理咨询有限公司</w:t>
            </w:r>
            <w:r>
              <w:rPr>
                <w:rFonts w:ascii="宋体" w:hAnsi="宋体" w:cs="宋体" w:eastAsia="宋体" w:hint="default"/>
                <w:sz w:val="18"/>
                <w:szCs w:val="18"/>
              </w:rPr>
              <w:t> </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359,756.88 </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75" w:right="0"/>
              <w:jc w:val="left"/>
              <w:rPr>
                <w:rFonts w:ascii="宋体" w:hAnsi="宋体" w:cs="宋体" w:eastAsia="宋体" w:hint="default"/>
                <w:sz w:val="18"/>
                <w:szCs w:val="18"/>
              </w:rPr>
            </w:pPr>
            <w:r>
              <w:rPr>
                <w:rFonts w:ascii="宋体"/>
                <w:sz w:val="18"/>
              </w:rPr>
              <w:t>17,987.84 </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
              <w:jc w:val="right"/>
              <w:rPr>
                <w:rFonts w:ascii="宋体" w:hAnsi="宋体" w:cs="宋体" w:eastAsia="宋体" w:hint="default"/>
                <w:sz w:val="18"/>
                <w:szCs w:val="18"/>
              </w:rPr>
            </w:pPr>
            <w:r>
              <w:rPr>
                <w:rFonts w:ascii="宋体"/>
                <w:sz w:val="18"/>
              </w:rPr>
              <w:t> </w:t>
            </w:r>
          </w:p>
        </w:tc>
      </w:tr>
    </w:tbl>
    <w:p>
      <w:pPr>
        <w:spacing w:after="0" w:line="240" w:lineRule="auto"/>
        <w:jc w:val="right"/>
        <w:rPr>
          <w:rFonts w:ascii="宋体" w:hAnsi="宋体" w:cs="宋体" w:eastAsia="宋体" w:hint="default"/>
          <w:sz w:val="18"/>
          <w:szCs w:val="18"/>
        </w:rPr>
        <w:sectPr>
          <w:pgSz w:w="11910" w:h="16840"/>
          <w:pgMar w:header="880" w:footer="975" w:top="1100" w:bottom="1160" w:left="1160" w:right="0"/>
        </w:sectPr>
      </w:pPr>
    </w:p>
    <w:p>
      <w:pPr>
        <w:spacing w:line="240" w:lineRule="auto" w:before="8"/>
        <w:rPr>
          <w:rFonts w:ascii="宋体" w:hAnsi="宋体" w:cs="宋体" w:eastAsia="宋体" w:hint="default"/>
          <w:sz w:val="24"/>
          <w:szCs w:val="24"/>
        </w:rPr>
      </w:pPr>
    </w:p>
    <w:tbl>
      <w:tblPr>
        <w:tblW w:w="0" w:type="auto"/>
        <w:jc w:val="left"/>
        <w:tblInd w:w="126" w:type="dxa"/>
        <w:tblLayout w:type="fixed"/>
        <w:tblCellMar>
          <w:top w:w="0" w:type="dxa"/>
          <w:left w:w="0" w:type="dxa"/>
          <w:bottom w:w="0" w:type="dxa"/>
          <w:right w:w="0" w:type="dxa"/>
        </w:tblCellMar>
        <w:tblLook w:val="01E0"/>
      </w:tblPr>
      <w:tblGrid>
        <w:gridCol w:w="1200"/>
        <w:gridCol w:w="2905"/>
        <w:gridCol w:w="1419"/>
        <w:gridCol w:w="1200"/>
        <w:gridCol w:w="1419"/>
        <w:gridCol w:w="1514"/>
      </w:tblGrid>
      <w:tr>
        <w:trPr>
          <w:trHeight w:val="396" w:hRule="exact"/>
        </w:trPr>
        <w:tc>
          <w:tcPr>
            <w:tcW w:w="1200"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35" w:right="0"/>
              <w:jc w:val="left"/>
              <w:rPr>
                <w:rFonts w:ascii="宋体" w:hAnsi="宋体" w:cs="宋体" w:eastAsia="宋体" w:hint="default"/>
                <w:sz w:val="18"/>
                <w:szCs w:val="18"/>
              </w:rPr>
            </w:pPr>
            <w:r>
              <w:rPr>
                <w:rFonts w:ascii="宋体" w:hAnsi="宋体" w:cs="宋体" w:eastAsia="宋体" w:hint="default"/>
                <w:sz w:val="18"/>
                <w:szCs w:val="18"/>
              </w:rPr>
              <w:t>项目名称</w:t>
            </w:r>
            <w:r>
              <w:rPr>
                <w:rFonts w:ascii="宋体" w:hAnsi="宋体" w:cs="宋体" w:eastAsia="宋体" w:hint="default"/>
                <w:sz w:val="18"/>
                <w:szCs w:val="18"/>
              </w:rPr>
              <w:t> </w:t>
            </w:r>
          </w:p>
        </w:tc>
        <w:tc>
          <w:tcPr>
            <w:tcW w:w="2905" w:type="dxa"/>
            <w:vMerge w:val="restart"/>
            <w:tcBorders>
              <w:top w:val="single" w:sz="4" w:space="0" w:color="000000"/>
              <w:left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87" w:right="0"/>
              <w:jc w:val="center"/>
              <w:rPr>
                <w:rFonts w:ascii="宋体" w:hAnsi="宋体" w:cs="宋体" w:eastAsia="宋体" w:hint="default"/>
                <w:sz w:val="18"/>
                <w:szCs w:val="18"/>
              </w:rPr>
            </w:pPr>
            <w:r>
              <w:rPr>
                <w:rFonts w:ascii="宋体" w:hAnsi="宋体" w:cs="宋体" w:eastAsia="宋体" w:hint="default"/>
                <w:sz w:val="18"/>
                <w:szCs w:val="18"/>
              </w:rPr>
              <w:t>关联方</w:t>
            </w:r>
            <w:r>
              <w:rPr>
                <w:rFonts w:ascii="宋体" w:hAnsi="宋体" w:cs="宋体" w:eastAsia="宋体" w:hint="default"/>
                <w:sz w:val="18"/>
                <w:szCs w:val="18"/>
              </w:rPr>
              <w:t> </w:t>
            </w:r>
          </w:p>
        </w:tc>
        <w:tc>
          <w:tcPr>
            <w:tcW w:w="261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43"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c>
          <w:tcPr>
            <w:tcW w:w="293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 w:right="0"/>
              <w:jc w:val="center"/>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r>
      <w:tr>
        <w:trPr>
          <w:trHeight w:val="399" w:hRule="exact"/>
        </w:trPr>
        <w:tc>
          <w:tcPr>
            <w:tcW w:w="1200" w:type="dxa"/>
            <w:vMerge/>
            <w:tcBorders>
              <w:left w:val="single" w:sz="4" w:space="0" w:color="000000"/>
              <w:bottom w:val="single" w:sz="4" w:space="0" w:color="000000"/>
              <w:right w:val="single" w:sz="4" w:space="0" w:color="000000"/>
            </w:tcBorders>
          </w:tcPr>
          <w:p>
            <w:pPr/>
          </w:p>
        </w:tc>
        <w:tc>
          <w:tcPr>
            <w:tcW w:w="2905" w:type="dxa"/>
            <w:vMerge/>
            <w:tcBorders>
              <w:left w:val="single" w:sz="4" w:space="0" w:color="000000"/>
              <w:bottom w:val="single" w:sz="4" w:space="0" w:color="000000"/>
              <w:right w:val="single" w:sz="4" w:space="0" w:color="000000"/>
            </w:tcBorders>
          </w:tcPr>
          <w:p>
            <w:pP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43" w:right="0"/>
              <w:jc w:val="left"/>
              <w:rPr>
                <w:rFonts w:ascii="宋体" w:hAnsi="宋体" w:cs="宋体" w:eastAsia="宋体" w:hint="default"/>
                <w:sz w:val="18"/>
                <w:szCs w:val="18"/>
              </w:rPr>
            </w:pPr>
            <w:r>
              <w:rPr>
                <w:rFonts w:ascii="宋体" w:hAnsi="宋体" w:cs="宋体" w:eastAsia="宋体" w:hint="default"/>
                <w:sz w:val="18"/>
                <w:szCs w:val="18"/>
              </w:rPr>
              <w:t>账面余额</w:t>
            </w:r>
            <w:r>
              <w:rPr>
                <w:rFonts w:ascii="宋体" w:hAnsi="宋体" w:cs="宋体" w:eastAsia="宋体" w:hint="default"/>
                <w:sz w:val="18"/>
                <w:szCs w:val="18"/>
              </w:rPr>
              <w:t> </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35" w:right="0"/>
              <w:jc w:val="left"/>
              <w:rPr>
                <w:rFonts w:ascii="宋体" w:hAnsi="宋体" w:cs="宋体" w:eastAsia="宋体" w:hint="default"/>
                <w:sz w:val="18"/>
                <w:szCs w:val="18"/>
              </w:rPr>
            </w:pPr>
            <w:r>
              <w:rPr>
                <w:rFonts w:ascii="宋体" w:hAnsi="宋体" w:cs="宋体" w:eastAsia="宋体" w:hint="default"/>
                <w:sz w:val="18"/>
                <w:szCs w:val="18"/>
              </w:rPr>
              <w:t>坏账准备</w:t>
            </w:r>
            <w:r>
              <w:rPr>
                <w:rFonts w:ascii="宋体" w:hAnsi="宋体" w:cs="宋体" w:eastAsia="宋体" w:hint="default"/>
                <w:sz w:val="18"/>
                <w:szCs w:val="18"/>
              </w:rPr>
              <w:t> </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43" w:right="0"/>
              <w:jc w:val="left"/>
              <w:rPr>
                <w:rFonts w:ascii="宋体" w:hAnsi="宋体" w:cs="宋体" w:eastAsia="宋体" w:hint="default"/>
                <w:sz w:val="18"/>
                <w:szCs w:val="18"/>
              </w:rPr>
            </w:pPr>
            <w:r>
              <w:rPr>
                <w:rFonts w:ascii="宋体" w:hAnsi="宋体" w:cs="宋体" w:eastAsia="宋体" w:hint="default"/>
                <w:sz w:val="18"/>
                <w:szCs w:val="18"/>
              </w:rPr>
              <w:t>账面余额</w:t>
            </w:r>
            <w:r>
              <w:rPr>
                <w:rFonts w:ascii="宋体" w:hAnsi="宋体" w:cs="宋体" w:eastAsia="宋体" w:hint="default"/>
                <w:sz w:val="18"/>
                <w:szCs w:val="18"/>
              </w:rPr>
              <w:t> </w:t>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91" w:right="0"/>
              <w:jc w:val="left"/>
              <w:rPr>
                <w:rFonts w:ascii="宋体" w:hAnsi="宋体" w:cs="宋体" w:eastAsia="宋体" w:hint="default"/>
                <w:sz w:val="18"/>
                <w:szCs w:val="18"/>
              </w:rPr>
            </w:pPr>
            <w:r>
              <w:rPr>
                <w:rFonts w:ascii="宋体" w:hAnsi="宋体" w:cs="宋体" w:eastAsia="宋体" w:hint="default"/>
                <w:sz w:val="18"/>
                <w:szCs w:val="18"/>
              </w:rPr>
              <w:t>坏账准备</w:t>
            </w:r>
            <w:r>
              <w:rPr>
                <w:rFonts w:ascii="宋体" w:hAnsi="宋体" w:cs="宋体" w:eastAsia="宋体" w:hint="default"/>
                <w:sz w:val="18"/>
                <w:szCs w:val="18"/>
              </w:rPr>
              <w:t> </w:t>
            </w:r>
          </w:p>
        </w:tc>
      </w:tr>
      <w:tr>
        <w:trPr>
          <w:trHeight w:val="396"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应收账款</w:t>
            </w:r>
            <w:r>
              <w:rPr>
                <w:rFonts w:ascii="宋体" w:hAnsi="宋体" w:cs="宋体" w:eastAsia="宋体" w:hint="default"/>
                <w:sz w:val="18"/>
                <w:szCs w:val="18"/>
              </w:rPr>
              <w:t> </w:t>
            </w:r>
          </w:p>
        </w:tc>
        <w:tc>
          <w:tcPr>
            <w:tcW w:w="2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北京中天嘉华保险代理有限公司</w:t>
            </w:r>
            <w:r>
              <w:rPr>
                <w:rFonts w:ascii="宋体" w:hAnsi="宋体" w:cs="宋体" w:eastAsia="宋体" w:hint="default"/>
                <w:sz w:val="18"/>
                <w:szCs w:val="18"/>
              </w:rPr>
              <w:t> </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160,600.03 </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16,060.00</w:t>
            </w:r>
            <w:r>
              <w:rPr>
                <w:rFonts w:ascii="宋体"/>
                <w:sz w:val="18"/>
              </w:rPr>
              <w:t> </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160,449.78</w:t>
            </w:r>
            <w:r>
              <w:rPr>
                <w:rFonts w:ascii="宋体"/>
                <w:sz w:val="18"/>
              </w:rPr>
              <w:t> </w:t>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
              <w:jc w:val="right"/>
              <w:rPr>
                <w:rFonts w:ascii="宋体" w:hAnsi="宋体" w:cs="宋体" w:eastAsia="宋体" w:hint="default"/>
                <w:sz w:val="18"/>
                <w:szCs w:val="18"/>
              </w:rPr>
            </w:pPr>
            <w:r>
              <w:rPr>
                <w:rFonts w:ascii="宋体"/>
                <w:spacing w:val="-1"/>
                <w:sz w:val="18"/>
              </w:rPr>
              <w:t>8,022.49</w:t>
            </w:r>
            <w:r>
              <w:rPr>
                <w:rFonts w:ascii="宋体"/>
                <w:sz w:val="18"/>
              </w:rPr>
              <w:t> </w:t>
            </w:r>
          </w:p>
        </w:tc>
      </w:tr>
      <w:tr>
        <w:trPr>
          <w:trHeight w:val="398"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应收账款</w:t>
            </w:r>
            <w:r>
              <w:rPr>
                <w:rFonts w:ascii="宋体" w:hAnsi="宋体" w:cs="宋体" w:eastAsia="宋体" w:hint="default"/>
                <w:sz w:val="18"/>
                <w:szCs w:val="18"/>
              </w:rPr>
              <w:t> </w:t>
            </w:r>
          </w:p>
        </w:tc>
        <w:tc>
          <w:tcPr>
            <w:tcW w:w="2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北京中天嘉华通信技术有限公司</w:t>
            </w:r>
            <w:r>
              <w:rPr>
                <w:rFonts w:ascii="宋体" w:hAnsi="宋体" w:cs="宋体" w:eastAsia="宋体" w:hint="default"/>
                <w:sz w:val="18"/>
                <w:szCs w:val="18"/>
              </w:rPr>
              <w:t> </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11,382,679.16</w:t>
            </w:r>
            <w:r>
              <w:rPr>
                <w:rFonts w:ascii="宋体"/>
                <w:sz w:val="18"/>
              </w:rPr>
              <w:t> </w:t>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
              <w:jc w:val="right"/>
              <w:rPr>
                <w:rFonts w:ascii="宋体" w:hAnsi="宋体" w:cs="宋体" w:eastAsia="宋体" w:hint="default"/>
                <w:sz w:val="18"/>
                <w:szCs w:val="18"/>
              </w:rPr>
            </w:pPr>
            <w:r>
              <w:rPr>
                <w:rFonts w:ascii="宋体"/>
                <w:spacing w:val="-1"/>
                <w:sz w:val="18"/>
              </w:rPr>
              <w:t>569,133.96</w:t>
            </w:r>
            <w:r>
              <w:rPr>
                <w:rFonts w:ascii="宋体"/>
                <w:sz w:val="18"/>
              </w:rPr>
              <w:t> </w:t>
            </w:r>
          </w:p>
        </w:tc>
      </w:tr>
      <w:tr>
        <w:trPr>
          <w:trHeight w:val="396"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应收账款</w:t>
            </w:r>
            <w:r>
              <w:rPr>
                <w:rFonts w:ascii="宋体" w:hAnsi="宋体" w:cs="宋体" w:eastAsia="宋体" w:hint="default"/>
                <w:sz w:val="18"/>
                <w:szCs w:val="18"/>
              </w:rPr>
              <w:t> </w:t>
            </w:r>
          </w:p>
        </w:tc>
        <w:tc>
          <w:tcPr>
            <w:tcW w:w="2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北京博升优势科技发展有限公司</w:t>
            </w:r>
            <w:r>
              <w:rPr>
                <w:rFonts w:ascii="宋体" w:hAnsi="宋体" w:cs="宋体" w:eastAsia="宋体" w:hint="default"/>
                <w:sz w:val="18"/>
                <w:szCs w:val="18"/>
              </w:rPr>
              <w:t> </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410,817.68 </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20,540.88</w:t>
            </w:r>
            <w:r>
              <w:rPr>
                <w:rFonts w:ascii="宋体"/>
                <w:sz w:val="18"/>
              </w:rPr>
              <w:t> </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3"/>
              <w:jc w:val="right"/>
              <w:rPr>
                <w:rFonts w:ascii="宋体" w:hAnsi="宋体" w:cs="宋体" w:eastAsia="宋体" w:hint="default"/>
                <w:sz w:val="18"/>
                <w:szCs w:val="18"/>
              </w:rPr>
            </w:pPr>
            <w:r>
              <w:rPr>
                <w:rFonts w:ascii="宋体"/>
                <w:sz w:val="18"/>
              </w:rPr>
              <w:t> </w:t>
            </w:r>
          </w:p>
        </w:tc>
      </w:tr>
      <w:tr>
        <w:trPr>
          <w:trHeight w:val="398" w:hRule="exact"/>
        </w:trPr>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其他应收款</w:t>
            </w:r>
            <w:r>
              <w:rPr>
                <w:rFonts w:ascii="宋体" w:hAnsi="宋体" w:cs="宋体" w:eastAsia="宋体" w:hint="default"/>
                <w:sz w:val="18"/>
                <w:szCs w:val="18"/>
              </w:rPr>
              <w:t> </w:t>
            </w:r>
          </w:p>
        </w:tc>
        <w:tc>
          <w:tcPr>
            <w:tcW w:w="29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北京东方般若科技发展有限公司</w:t>
            </w:r>
            <w:r>
              <w:rPr>
                <w:rFonts w:ascii="宋体" w:hAnsi="宋体" w:cs="宋体" w:eastAsia="宋体" w:hint="default"/>
                <w:sz w:val="18"/>
                <w:szCs w:val="18"/>
              </w:rPr>
              <w:t> </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73,678.41</w:t>
            </w:r>
            <w:r>
              <w:rPr>
                <w:rFonts w:ascii="宋体"/>
                <w:sz w:val="18"/>
              </w:rPr>
              <w:t> </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3,683.92</w:t>
            </w:r>
            <w:r>
              <w:rPr>
                <w:rFonts w:ascii="宋体"/>
                <w:sz w:val="18"/>
              </w:rPr>
              <w:t> </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1,505,516.07</w:t>
            </w:r>
            <w:r>
              <w:rPr>
                <w:rFonts w:ascii="宋体"/>
                <w:sz w:val="18"/>
              </w:rPr>
              <w:t> </w:t>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3"/>
              <w:jc w:val="right"/>
              <w:rPr>
                <w:rFonts w:ascii="宋体" w:hAnsi="宋体" w:cs="宋体" w:eastAsia="宋体" w:hint="default"/>
                <w:sz w:val="18"/>
                <w:szCs w:val="18"/>
              </w:rPr>
            </w:pPr>
            <w:r>
              <w:rPr>
                <w:rFonts w:ascii="宋体"/>
                <w:spacing w:val="-1"/>
                <w:sz w:val="18"/>
              </w:rPr>
              <w:t>75,275.80</w:t>
            </w:r>
            <w:r>
              <w:rPr>
                <w:rFonts w:ascii="宋体"/>
                <w:sz w:val="18"/>
              </w:rPr>
              <w:t> </w:t>
            </w:r>
          </w:p>
        </w:tc>
      </w:tr>
    </w:tbl>
    <w:p>
      <w:pPr>
        <w:spacing w:line="240" w:lineRule="auto" w:before="7"/>
        <w:rPr>
          <w:rFonts w:ascii="宋体" w:hAnsi="宋体" w:cs="宋体" w:eastAsia="宋体" w:hint="default"/>
          <w:sz w:val="6"/>
          <w:szCs w:val="6"/>
        </w:rPr>
      </w:pPr>
    </w:p>
    <w:p>
      <w:pPr>
        <w:spacing w:before="36"/>
        <w:ind w:left="566" w:right="7673" w:firstLine="0"/>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w:t>
      </w:r>
      <w:r>
        <w:rPr>
          <w:rFonts w:ascii="宋体" w:hAnsi="宋体" w:cs="宋体" w:eastAsia="宋体" w:hint="default"/>
          <w:sz w:val="21"/>
          <w:szCs w:val="21"/>
        </w:rPr>
        <w:t>应付项目</w:t>
      </w:r>
      <w:r>
        <w:rPr>
          <w:rFonts w:ascii="宋体" w:hAnsi="宋体" w:cs="宋体" w:eastAsia="宋体" w:hint="default"/>
          <w:sz w:val="21"/>
          <w:szCs w:val="21"/>
        </w:rPr>
        <w:t> </w:t>
      </w:r>
    </w:p>
    <w:p>
      <w:pPr>
        <w:spacing w:line="240" w:lineRule="auto" w:before="3"/>
        <w:rPr>
          <w:rFonts w:ascii="宋体" w:hAnsi="宋体" w:cs="宋体" w:eastAsia="宋体" w:hint="default"/>
          <w:sz w:val="14"/>
          <w:szCs w:val="14"/>
        </w:rPr>
      </w:pPr>
    </w:p>
    <w:tbl>
      <w:tblPr>
        <w:tblW w:w="0" w:type="auto"/>
        <w:jc w:val="left"/>
        <w:tblInd w:w="150" w:type="dxa"/>
        <w:tblLayout w:type="fixed"/>
        <w:tblCellMar>
          <w:top w:w="0" w:type="dxa"/>
          <w:left w:w="0" w:type="dxa"/>
          <w:bottom w:w="0" w:type="dxa"/>
          <w:right w:w="0" w:type="dxa"/>
        </w:tblCellMar>
        <w:tblLook w:val="01E0"/>
      </w:tblPr>
      <w:tblGrid>
        <w:gridCol w:w="1356"/>
        <w:gridCol w:w="4904"/>
        <w:gridCol w:w="1745"/>
        <w:gridCol w:w="1609"/>
      </w:tblGrid>
      <w:tr>
        <w:trPr>
          <w:trHeight w:val="398" w:hRule="exact"/>
        </w:trPr>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312" w:right="0"/>
              <w:jc w:val="left"/>
              <w:rPr>
                <w:rFonts w:ascii="宋体" w:hAnsi="宋体" w:cs="宋体" w:eastAsia="宋体" w:hint="default"/>
                <w:sz w:val="18"/>
                <w:szCs w:val="18"/>
              </w:rPr>
            </w:pPr>
            <w:r>
              <w:rPr>
                <w:rFonts w:ascii="宋体" w:hAnsi="宋体" w:cs="宋体" w:eastAsia="宋体" w:hint="default"/>
                <w:sz w:val="18"/>
                <w:szCs w:val="18"/>
              </w:rPr>
              <w:t>项目名称</w:t>
            </w:r>
            <w:r>
              <w:rPr>
                <w:rFonts w:ascii="宋体" w:hAnsi="宋体" w:cs="宋体" w:eastAsia="宋体" w:hint="default"/>
                <w:sz w:val="18"/>
                <w:szCs w:val="18"/>
              </w:rPr>
              <w:t> </w:t>
            </w:r>
          </w:p>
        </w:tc>
        <w:tc>
          <w:tcPr>
            <w:tcW w:w="49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0" w:right="0"/>
              <w:jc w:val="center"/>
              <w:rPr>
                <w:rFonts w:ascii="宋体" w:hAnsi="宋体" w:cs="宋体" w:eastAsia="宋体" w:hint="default"/>
                <w:sz w:val="18"/>
                <w:szCs w:val="18"/>
              </w:rPr>
            </w:pPr>
            <w:r>
              <w:rPr>
                <w:rFonts w:ascii="宋体" w:hAnsi="宋体" w:cs="宋体" w:eastAsia="宋体" w:hint="default"/>
                <w:sz w:val="18"/>
                <w:szCs w:val="18"/>
              </w:rPr>
              <w:t>关联方</w:t>
            </w:r>
            <w:r>
              <w:rPr>
                <w:rFonts w:ascii="宋体" w:hAnsi="宋体" w:cs="宋体" w:eastAsia="宋体" w:hint="default"/>
                <w:sz w:val="18"/>
                <w:szCs w:val="18"/>
              </w:rPr>
              <w:t>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06"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439"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r>
      <w:tr>
        <w:trPr>
          <w:trHeight w:val="396" w:hRule="exact"/>
        </w:trPr>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应付账款</w:t>
            </w:r>
            <w:r>
              <w:rPr>
                <w:rFonts w:ascii="宋体" w:hAnsi="宋体" w:cs="宋体" w:eastAsia="宋体" w:hint="default"/>
                <w:sz w:val="18"/>
                <w:szCs w:val="18"/>
              </w:rPr>
              <w:t> </w:t>
            </w:r>
          </w:p>
        </w:tc>
        <w:tc>
          <w:tcPr>
            <w:tcW w:w="49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联动优势科技有限公司</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-18.54</w:t>
            </w:r>
            <w:r>
              <w:rPr>
                <w:rFonts w:ascii="宋体"/>
                <w:sz w:val="18"/>
              </w:rPr>
              <w:t> </w:t>
            </w: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7,823.48</w:t>
            </w:r>
            <w:r>
              <w:rPr>
                <w:rFonts w:ascii="宋体"/>
                <w:sz w:val="18"/>
              </w:rPr>
              <w:t> </w:t>
            </w:r>
          </w:p>
        </w:tc>
      </w:tr>
      <w:tr>
        <w:trPr>
          <w:trHeight w:val="396" w:hRule="exact"/>
        </w:trPr>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应付账款</w:t>
            </w:r>
            <w:r>
              <w:rPr>
                <w:rFonts w:ascii="宋体" w:hAnsi="宋体" w:cs="宋体" w:eastAsia="宋体" w:hint="default"/>
                <w:sz w:val="18"/>
                <w:szCs w:val="18"/>
              </w:rPr>
              <w:t> </w:t>
            </w:r>
          </w:p>
        </w:tc>
        <w:tc>
          <w:tcPr>
            <w:tcW w:w="49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北京博升优势科技发展有限公司</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74,349.76</w:t>
            </w:r>
            <w:r>
              <w:rPr>
                <w:rFonts w:ascii="宋体"/>
                <w:sz w:val="18"/>
              </w:rPr>
              <w:t> </w:t>
            </w: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z w:val="18"/>
              </w:rPr>
              <w:t> </w:t>
            </w:r>
          </w:p>
        </w:tc>
      </w:tr>
      <w:tr>
        <w:trPr>
          <w:trHeight w:val="399" w:hRule="exact"/>
        </w:trPr>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预收账款</w:t>
            </w:r>
            <w:r>
              <w:rPr>
                <w:rFonts w:ascii="宋体" w:hAnsi="宋体" w:cs="宋体" w:eastAsia="宋体" w:hint="default"/>
                <w:sz w:val="18"/>
                <w:szCs w:val="18"/>
              </w:rPr>
              <w:t> </w:t>
            </w:r>
          </w:p>
        </w:tc>
        <w:tc>
          <w:tcPr>
            <w:tcW w:w="49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联动优势科技有限公司</w:t>
            </w:r>
            <w:r>
              <w:rPr>
                <w:rFonts w:ascii="宋体" w:hAnsi="宋体" w:cs="宋体" w:eastAsia="宋体" w:hint="default"/>
                <w:sz w:val="18"/>
                <w:szCs w:val="18"/>
              </w:rPr>
              <w:t>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3,332.25</w:t>
            </w:r>
            <w:r>
              <w:rPr>
                <w:rFonts w:ascii="宋体"/>
                <w:sz w:val="18"/>
              </w:rPr>
              <w:t> </w:t>
            </w: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4,084.94</w:t>
            </w:r>
            <w:r>
              <w:rPr>
                <w:rFonts w:ascii="宋体"/>
                <w:sz w:val="18"/>
              </w:rPr>
              <w:t> </w:t>
            </w:r>
          </w:p>
        </w:tc>
      </w:tr>
      <w:tr>
        <w:trPr>
          <w:trHeight w:val="396" w:hRule="exact"/>
        </w:trPr>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预收账款</w:t>
            </w:r>
            <w:r>
              <w:rPr>
                <w:rFonts w:ascii="宋体" w:hAnsi="宋体" w:cs="宋体" w:eastAsia="宋体" w:hint="default"/>
                <w:sz w:val="18"/>
                <w:szCs w:val="18"/>
              </w:rPr>
              <w:t> </w:t>
            </w:r>
          </w:p>
        </w:tc>
        <w:tc>
          <w:tcPr>
            <w:tcW w:w="49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北京博升优势科技发展有限公司</w:t>
            </w:r>
            <w:r>
              <w:rPr>
                <w:rFonts w:ascii="宋体" w:hAnsi="宋体" w:cs="宋体" w:eastAsia="宋体" w:hint="default"/>
                <w:sz w:val="18"/>
                <w:szCs w:val="18"/>
              </w:rPr>
              <w:t>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4,736.04</w:t>
            </w:r>
            <w:r>
              <w:rPr>
                <w:rFonts w:ascii="宋体"/>
                <w:sz w:val="18"/>
              </w:rPr>
              <w:t> </w:t>
            </w: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z w:val="18"/>
              </w:rPr>
              <w:t> </w:t>
            </w:r>
          </w:p>
        </w:tc>
      </w:tr>
      <w:tr>
        <w:trPr>
          <w:trHeight w:val="398" w:hRule="exact"/>
        </w:trPr>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其他应付款</w:t>
            </w:r>
            <w:r>
              <w:rPr>
                <w:rFonts w:ascii="宋体" w:hAnsi="宋体" w:cs="宋体" w:eastAsia="宋体" w:hint="default"/>
                <w:sz w:val="18"/>
                <w:szCs w:val="18"/>
              </w:rPr>
              <w:t> </w:t>
            </w:r>
          </w:p>
        </w:tc>
        <w:tc>
          <w:tcPr>
            <w:tcW w:w="49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宁波保税区嘉语春华创业投资合伙企业（有限合伙）</w:t>
            </w:r>
            <w:r>
              <w:rPr>
                <w:rFonts w:ascii="宋体" w:hAnsi="宋体" w:cs="宋体" w:eastAsia="宋体" w:hint="default"/>
                <w:sz w:val="18"/>
                <w:szCs w:val="18"/>
              </w:rPr>
              <w:t>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270,085,200.00 </w:t>
            </w: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259,000,000.00 </w:t>
            </w:r>
          </w:p>
        </w:tc>
      </w:tr>
      <w:tr>
        <w:trPr>
          <w:trHeight w:val="396" w:hRule="exact"/>
        </w:trPr>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其他应付款</w:t>
            </w:r>
            <w:r>
              <w:rPr>
                <w:rFonts w:ascii="宋体" w:hAnsi="宋体" w:cs="宋体" w:eastAsia="宋体" w:hint="default"/>
                <w:sz w:val="18"/>
                <w:szCs w:val="18"/>
              </w:rPr>
              <w:t> </w:t>
            </w:r>
          </w:p>
        </w:tc>
        <w:tc>
          <w:tcPr>
            <w:tcW w:w="49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宁波保税区嘉惠秋实创业投资合伙企业（有限合伙）</w:t>
            </w:r>
            <w:r>
              <w:rPr>
                <w:rFonts w:ascii="宋体" w:hAnsi="宋体" w:cs="宋体" w:eastAsia="宋体" w:hint="default"/>
                <w:sz w:val="18"/>
                <w:szCs w:val="18"/>
              </w:rPr>
              <w:t>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77,167,200.00</w:t>
            </w:r>
            <w:r>
              <w:rPr>
                <w:rFonts w:ascii="宋体"/>
                <w:sz w:val="18"/>
              </w:rPr>
              <w:t> </w:t>
            </w: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74,000,000.00</w:t>
            </w:r>
            <w:r>
              <w:rPr>
                <w:rFonts w:ascii="宋体"/>
                <w:sz w:val="18"/>
              </w:rPr>
              <w:t> </w:t>
            </w:r>
          </w:p>
        </w:tc>
      </w:tr>
      <w:tr>
        <w:trPr>
          <w:trHeight w:val="396" w:hRule="exact"/>
        </w:trPr>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其他应付款</w:t>
            </w:r>
            <w:r>
              <w:rPr>
                <w:rFonts w:ascii="宋体" w:hAnsi="宋体" w:cs="宋体" w:eastAsia="宋体" w:hint="default"/>
                <w:sz w:val="18"/>
                <w:szCs w:val="18"/>
              </w:rPr>
              <w:t> </w:t>
            </w:r>
          </w:p>
        </w:tc>
        <w:tc>
          <w:tcPr>
            <w:tcW w:w="49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刘英魁</w:t>
            </w:r>
            <w:r>
              <w:rPr>
                <w:rFonts w:ascii="宋体" w:hAnsi="宋体" w:cs="宋体" w:eastAsia="宋体" w:hint="default"/>
                <w:sz w:val="18"/>
                <w:szCs w:val="18"/>
              </w:rPr>
              <w:t>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6,060,320.00</w:t>
            </w:r>
            <w:r>
              <w:rPr>
                <w:rFonts w:ascii="宋体"/>
                <w:sz w:val="18"/>
              </w:rPr>
              <w:t> </w:t>
            </w: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44,400,000.00</w:t>
            </w:r>
            <w:r>
              <w:rPr>
                <w:rFonts w:ascii="宋体"/>
                <w:sz w:val="18"/>
              </w:rPr>
              <w:t> </w:t>
            </w:r>
          </w:p>
        </w:tc>
      </w:tr>
      <w:tr>
        <w:trPr>
          <w:trHeight w:val="398" w:hRule="exact"/>
        </w:trPr>
        <w:tc>
          <w:tcPr>
            <w:tcW w:w="13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其他应付款</w:t>
            </w:r>
            <w:r>
              <w:rPr>
                <w:rFonts w:ascii="宋体" w:hAnsi="宋体" w:cs="宋体" w:eastAsia="宋体" w:hint="default"/>
                <w:sz w:val="18"/>
                <w:szCs w:val="18"/>
              </w:rPr>
              <w:t> </w:t>
            </w:r>
          </w:p>
        </w:tc>
        <w:tc>
          <w:tcPr>
            <w:tcW w:w="49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清远市长实建设有限公司</w:t>
            </w:r>
            <w:r>
              <w:rPr>
                <w:rFonts w:ascii="宋体" w:hAnsi="宋体" w:cs="宋体" w:eastAsia="宋体" w:hint="default"/>
                <w:sz w:val="18"/>
                <w:szCs w:val="18"/>
              </w:rPr>
              <w:t> </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10,376,588.07</w:t>
            </w:r>
            <w:r>
              <w:rPr>
                <w:rFonts w:ascii="宋体"/>
                <w:sz w:val="18"/>
              </w:rPr>
              <w:t> </w:t>
            </w:r>
          </w:p>
        </w:tc>
        <w:tc>
          <w:tcPr>
            <w:tcW w:w="16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13,086,333.18</w:t>
            </w:r>
            <w:r>
              <w:rPr>
                <w:rFonts w:ascii="宋体"/>
                <w:sz w:val="18"/>
              </w:rPr>
              <w:t> </w:t>
            </w:r>
          </w:p>
        </w:tc>
      </w:tr>
    </w:tbl>
    <w:p>
      <w:pPr>
        <w:spacing w:line="240" w:lineRule="auto" w:before="7"/>
        <w:rPr>
          <w:rFonts w:ascii="宋体" w:hAnsi="宋体" w:cs="宋体" w:eastAsia="宋体" w:hint="default"/>
          <w:sz w:val="6"/>
          <w:szCs w:val="6"/>
        </w:rPr>
      </w:pPr>
    </w:p>
    <w:p>
      <w:pPr>
        <w:spacing w:line="393" w:lineRule="auto" w:before="36"/>
        <w:ind w:left="563" w:right="8516" w:hanging="209"/>
        <w:jc w:val="left"/>
        <w:rPr>
          <w:rFonts w:ascii="宋体" w:hAnsi="宋体" w:cs="宋体" w:eastAsia="宋体" w:hint="default"/>
          <w:sz w:val="21"/>
          <w:szCs w:val="21"/>
        </w:rPr>
      </w:pPr>
      <w:r>
        <w:rPr>
          <w:rFonts w:ascii="宋体" w:hAnsi="宋体" w:cs="宋体" w:eastAsia="宋体" w:hint="default"/>
          <w:b/>
          <w:bCs/>
          <w:sz w:val="21"/>
          <w:szCs w:val="21"/>
        </w:rPr>
        <w:t>（七）关联方承诺</w:t>
      </w:r>
      <w:r>
        <w:rPr>
          <w:rFonts w:ascii="宋体" w:hAnsi="宋体" w:cs="宋体" w:eastAsia="宋体" w:hint="default"/>
          <w:b/>
          <w:bCs/>
          <w:w w:val="99"/>
          <w:sz w:val="21"/>
          <w:szCs w:val="21"/>
        </w:rPr>
        <w:t> </w:t>
      </w:r>
      <w:r>
        <w:rPr>
          <w:rFonts w:ascii="宋体" w:hAnsi="宋体" w:cs="宋体" w:eastAsia="宋体" w:hint="default"/>
          <w:sz w:val="21"/>
          <w:szCs w:val="21"/>
        </w:rPr>
        <w:t>无。</w:t>
      </w:r>
      <w:r>
        <w:rPr>
          <w:rFonts w:ascii="宋体" w:hAnsi="宋体" w:cs="宋体" w:eastAsia="宋体" w:hint="default"/>
          <w:sz w:val="21"/>
          <w:szCs w:val="21"/>
        </w:rPr>
        <w:t> </w:t>
      </w:r>
    </w:p>
    <w:p>
      <w:pPr>
        <w:pStyle w:val="Heading3"/>
        <w:spacing w:line="240" w:lineRule="auto" w:before="37"/>
        <w:ind w:left="143" w:right="0"/>
        <w:jc w:val="both"/>
        <w:rPr>
          <w:rFonts w:ascii="宋体" w:hAnsi="宋体" w:cs="宋体" w:eastAsia="宋体" w:hint="default"/>
          <w:b w:val="0"/>
          <w:bCs w:val="0"/>
        </w:rPr>
      </w:pPr>
      <w:r>
        <w:rPr/>
        <w:t>十一、承诺及或有事项</w:t>
      </w:r>
      <w:r>
        <w:rPr>
          <w:rFonts w:ascii="宋体" w:hAnsi="宋体" w:cs="宋体" w:eastAsia="宋体" w:hint="default"/>
          <w:w w:val="99"/>
        </w:rPr>
        <w:t> </w:t>
      </w:r>
      <w:r>
        <w:rPr>
          <w:rFonts w:ascii="宋体" w:hAnsi="宋体" w:cs="宋体" w:eastAsia="宋体" w:hint="default"/>
          <w:b w:val="0"/>
          <w:bCs w:val="0"/>
        </w:rPr>
      </w:r>
    </w:p>
    <w:p>
      <w:pPr>
        <w:spacing w:before="152"/>
        <w:ind w:left="354" w:right="7673" w:firstLine="0"/>
        <w:jc w:val="left"/>
        <w:rPr>
          <w:rFonts w:ascii="宋体" w:hAnsi="宋体" w:cs="宋体" w:eastAsia="宋体" w:hint="default"/>
          <w:sz w:val="21"/>
          <w:szCs w:val="21"/>
        </w:rPr>
      </w:pPr>
      <w:r>
        <w:rPr>
          <w:rFonts w:ascii="宋体" w:hAnsi="宋体" w:cs="宋体" w:eastAsia="宋体" w:hint="default"/>
          <w:b/>
          <w:bCs/>
          <w:sz w:val="21"/>
          <w:szCs w:val="21"/>
        </w:rPr>
        <w:t>（一）重要承诺事项</w:t>
      </w:r>
      <w:r>
        <w:rPr>
          <w:rFonts w:ascii="宋体" w:hAnsi="宋体" w:cs="宋体" w:eastAsia="宋体" w:hint="default"/>
          <w:b/>
          <w:bCs/>
          <w:w w:val="99"/>
          <w:sz w:val="21"/>
          <w:szCs w:val="21"/>
        </w:rPr>
        <w:t> </w:t>
      </w:r>
      <w:r>
        <w:rPr>
          <w:rFonts w:ascii="宋体" w:hAnsi="宋体" w:cs="宋体" w:eastAsia="宋体" w:hint="default"/>
          <w:sz w:val="21"/>
          <w:szCs w:val="21"/>
        </w:rPr>
      </w:r>
    </w:p>
    <w:p>
      <w:pPr>
        <w:pStyle w:val="BodyText"/>
        <w:spacing w:line="240" w:lineRule="auto" w:before="176"/>
        <w:ind w:left="563" w:right="1146"/>
        <w:jc w:val="left"/>
        <w:rPr>
          <w:rFonts w:ascii="宋体" w:hAnsi="宋体" w:cs="宋体" w:eastAsia="宋体" w:hint="default"/>
        </w:rPr>
      </w:pPr>
      <w:r>
        <w:rPr/>
        <w:t>截至</w:t>
      </w:r>
      <w:r>
        <w:rPr>
          <w:spacing w:val="-54"/>
        </w:rPr>
        <w:t> </w:t>
      </w:r>
      <w:r>
        <w:rPr>
          <w:rFonts w:ascii="宋体" w:hAnsi="宋体" w:cs="宋体" w:eastAsia="宋体" w:hint="default"/>
        </w:rPr>
        <w:t>2019</w:t>
      </w:r>
      <w:r>
        <w:rPr>
          <w:rFonts w:ascii="宋体" w:hAnsi="宋体" w:cs="宋体" w:eastAsia="宋体" w:hint="default"/>
          <w:spacing w:val="-56"/>
        </w:rPr>
        <w:t> </w:t>
      </w:r>
      <w:r>
        <w:rPr/>
        <w:t>年</w:t>
      </w:r>
      <w:r>
        <w:rPr>
          <w:spacing w:val="-54"/>
        </w:rPr>
        <w:t> </w:t>
      </w:r>
      <w:r>
        <w:rPr>
          <w:rFonts w:ascii="宋体" w:hAnsi="宋体" w:cs="宋体" w:eastAsia="宋体" w:hint="default"/>
        </w:rPr>
        <w:t>12</w:t>
      </w:r>
      <w:r>
        <w:rPr>
          <w:rFonts w:ascii="宋体" w:hAnsi="宋体" w:cs="宋体" w:eastAsia="宋体" w:hint="default"/>
          <w:spacing w:val="-56"/>
        </w:rPr>
        <w:t> </w:t>
      </w:r>
      <w:r>
        <w:rPr/>
        <w:t>月</w:t>
      </w:r>
      <w:r>
        <w:rPr>
          <w:spacing w:val="-54"/>
        </w:rPr>
        <w:t> </w:t>
      </w:r>
      <w:r>
        <w:rPr>
          <w:rFonts w:ascii="宋体" w:hAnsi="宋体" w:cs="宋体" w:eastAsia="宋体" w:hint="default"/>
        </w:rPr>
        <w:t>31</w:t>
      </w:r>
      <w:r>
        <w:rPr>
          <w:rFonts w:ascii="宋体" w:hAnsi="宋体" w:cs="宋体" w:eastAsia="宋体" w:hint="default"/>
          <w:spacing w:val="-54"/>
        </w:rPr>
        <w:t> </w:t>
      </w:r>
      <w:r>
        <w:rPr/>
        <w:t>日，本公司无需要披露的重大承诺事项。</w:t>
      </w:r>
      <w:r>
        <w:rPr>
          <w:rFonts w:ascii="宋体" w:hAnsi="宋体" w:cs="宋体" w:eastAsia="宋体" w:hint="default"/>
        </w:rPr>
        <w:t> </w:t>
      </w:r>
    </w:p>
    <w:p>
      <w:pPr>
        <w:pStyle w:val="Heading3"/>
        <w:spacing w:line="240" w:lineRule="auto" w:before="171"/>
        <w:ind w:left="354" w:right="7673"/>
        <w:jc w:val="left"/>
        <w:rPr>
          <w:rFonts w:ascii="宋体" w:hAnsi="宋体" w:cs="宋体" w:eastAsia="宋体" w:hint="default"/>
          <w:b w:val="0"/>
          <w:bCs w:val="0"/>
        </w:rPr>
      </w:pPr>
      <w:r>
        <w:rPr/>
        <w:t>（二）或有事项</w:t>
      </w:r>
      <w:r>
        <w:rPr>
          <w:rFonts w:ascii="宋体" w:hAnsi="宋体" w:cs="宋体" w:eastAsia="宋体" w:hint="default"/>
          <w:w w:val="99"/>
        </w:rPr>
        <w:t> </w:t>
      </w:r>
      <w:r>
        <w:rPr>
          <w:rFonts w:ascii="宋体" w:hAnsi="宋体" w:cs="宋体" w:eastAsia="宋体" w:hint="default"/>
          <w:b w:val="0"/>
          <w:bCs w:val="0"/>
        </w:rPr>
      </w:r>
    </w:p>
    <w:p>
      <w:pPr>
        <w:pStyle w:val="BodyText"/>
        <w:spacing w:line="273" w:lineRule="exact" w:before="152"/>
        <w:ind w:left="563" w:right="703"/>
        <w:jc w:val="left"/>
      </w:pPr>
      <w:r>
        <w:rPr>
          <w:rFonts w:ascii="宋体" w:hAnsi="宋体" w:cs="宋体" w:eastAsia="宋体" w:hint="default"/>
        </w:rPr>
        <w:t>2015</w:t>
      </w:r>
      <w:r>
        <w:rPr>
          <w:rFonts w:ascii="宋体" w:hAnsi="宋体" w:cs="宋体" w:eastAsia="宋体" w:hint="default"/>
          <w:spacing w:val="45"/>
        </w:rPr>
        <w:t> </w:t>
      </w:r>
      <w:r>
        <w:rPr>
          <w:spacing w:val="-2"/>
        </w:rPr>
        <w:t>年度公司实施重大资产出售，将本公司之华联商厦分公司、现代广场分公司转让给茂业控股，</w:t>
      </w:r>
    </w:p>
    <w:p>
      <w:pPr>
        <w:pStyle w:val="BodyText"/>
        <w:spacing w:line="237" w:lineRule="auto"/>
        <w:ind w:left="143" w:right="1071"/>
        <w:jc w:val="both"/>
        <w:rPr>
          <w:rFonts w:ascii="宋体" w:hAnsi="宋体" w:cs="宋体" w:eastAsia="宋体" w:hint="default"/>
        </w:rPr>
      </w:pPr>
      <w:r>
        <w:rPr/>
        <w:t>而后将茂业控股</w:t>
      </w:r>
      <w:r>
        <w:rPr>
          <w:spacing w:val="-48"/>
        </w:rPr>
        <w:t> </w:t>
      </w:r>
      <w:r>
        <w:rPr>
          <w:rFonts w:ascii="宋体" w:hAnsi="宋体" w:cs="宋体" w:eastAsia="宋体" w:hint="default"/>
          <w:spacing w:val="-4"/>
        </w:rPr>
        <w:t>100%</w:t>
      </w:r>
      <w:r>
        <w:rPr>
          <w:spacing w:val="-4"/>
        </w:rPr>
        <w:t>股权转让给中兆投资管理有限公司</w:t>
      </w:r>
      <w:r>
        <w:rPr>
          <w:rFonts w:ascii="宋体" w:hAnsi="宋体" w:cs="宋体" w:eastAsia="宋体" w:hint="default"/>
          <w:spacing w:val="-4"/>
        </w:rPr>
        <w:t>(</w:t>
      </w:r>
      <w:r>
        <w:rPr>
          <w:spacing w:val="-4"/>
        </w:rPr>
        <w:t>简称“中兆投资”</w:t>
      </w:r>
      <w:r>
        <w:rPr>
          <w:rFonts w:ascii="宋体" w:hAnsi="宋体" w:cs="宋体" w:eastAsia="宋体" w:hint="default"/>
          <w:spacing w:val="-4"/>
        </w:rPr>
        <w:t>)</w:t>
      </w:r>
      <w:r>
        <w:rPr>
          <w:spacing w:val="-4"/>
        </w:rPr>
        <w:t>，并于</w:t>
      </w:r>
      <w:r>
        <w:rPr>
          <w:spacing w:val="-48"/>
        </w:rPr>
        <w:t> </w:t>
      </w:r>
      <w:r>
        <w:rPr>
          <w:rFonts w:ascii="宋体" w:hAnsi="宋体" w:cs="宋体" w:eastAsia="宋体" w:hint="default"/>
        </w:rPr>
        <w:t>2015</w:t>
      </w:r>
      <w:r>
        <w:rPr>
          <w:rFonts w:ascii="宋体" w:hAnsi="宋体" w:cs="宋体" w:eastAsia="宋体" w:hint="default"/>
          <w:spacing w:val="-50"/>
        </w:rPr>
        <w:t> </w:t>
      </w:r>
      <w:r>
        <w:rPr/>
        <w:t>年</w:t>
      </w:r>
      <w:r>
        <w:rPr>
          <w:spacing w:val="-48"/>
        </w:rPr>
        <w:t> </w:t>
      </w:r>
      <w:r>
        <w:rPr>
          <w:rFonts w:ascii="宋体" w:hAnsi="宋体" w:cs="宋体" w:eastAsia="宋体" w:hint="default"/>
        </w:rPr>
        <w:t>10</w:t>
      </w:r>
      <w:r>
        <w:rPr>
          <w:rFonts w:ascii="宋体" w:hAnsi="宋体" w:cs="宋体" w:eastAsia="宋体" w:hint="default"/>
          <w:spacing w:val="-50"/>
        </w:rPr>
        <w:t> </w:t>
      </w:r>
      <w:r>
        <w:rPr/>
        <w:t>月</w:t>
      </w:r>
      <w:r>
        <w:rPr>
          <w:spacing w:val="-48"/>
        </w:rPr>
        <w:t> </w:t>
      </w:r>
      <w:r>
        <w:rPr>
          <w:rFonts w:ascii="宋体" w:hAnsi="宋体" w:cs="宋体" w:eastAsia="宋体" w:hint="default"/>
        </w:rPr>
        <w:t>26</w:t>
      </w:r>
      <w:r>
        <w:rPr>
          <w:rFonts w:ascii="宋体" w:hAnsi="宋体" w:cs="宋体" w:eastAsia="宋体" w:hint="default"/>
          <w:spacing w:val="-48"/>
        </w:rPr>
        <w:t> </w:t>
      </w:r>
      <w:r>
        <w:rPr>
          <w:spacing w:val="-3"/>
        </w:rPr>
        <w:t>日完</w:t>
      </w:r>
      <w:r>
        <w:rPr>
          <w:spacing w:val="-102"/>
        </w:rPr>
        <w:t> </w:t>
      </w:r>
      <w:r>
        <w:rPr/>
        <w:t>成交割。公司与中兆投资签订的《资产出售协议》约定出售资产交割日前标的资产的风险、费用全部由</w:t>
      </w:r>
      <w:r>
        <w:rPr>
          <w:spacing w:val="-36"/>
        </w:rPr>
        <w:t> </w:t>
      </w:r>
      <w:r>
        <w:rPr>
          <w:spacing w:val="-36"/>
        </w:rPr>
      </w:r>
      <w:r>
        <w:rPr>
          <w:spacing w:val="-7"/>
        </w:rPr>
        <w:t>中兆投资承担。</w:t>
      </w:r>
      <w:r>
        <w:rPr>
          <w:rFonts w:ascii="宋体" w:hAnsi="宋体" w:cs="宋体" w:eastAsia="宋体" w:hint="default"/>
          <w:spacing w:val="-7"/>
        </w:rPr>
        <w:t>2016</w:t>
      </w:r>
      <w:r>
        <w:rPr>
          <w:rFonts w:ascii="宋体" w:hAnsi="宋体" w:cs="宋体" w:eastAsia="宋体" w:hint="default"/>
          <w:spacing w:val="-48"/>
        </w:rPr>
        <w:t> </w:t>
      </w:r>
      <w:r>
        <w:rPr>
          <w:spacing w:val="-9"/>
        </w:rPr>
        <w:t>年度，秦皇岛市国税稽查局</w:t>
      </w:r>
      <w:r>
        <w:rPr>
          <w:rFonts w:ascii="宋体" w:hAnsi="宋体" w:cs="宋体" w:eastAsia="宋体" w:hint="default"/>
          <w:spacing w:val="-9"/>
        </w:rPr>
        <w:t>(</w:t>
      </w:r>
      <w:r>
        <w:rPr>
          <w:spacing w:val="-9"/>
        </w:rPr>
        <w:t>简称“秦国税稽查局”</w:t>
      </w:r>
      <w:r>
        <w:rPr>
          <w:rFonts w:ascii="宋体" w:hAnsi="宋体" w:cs="宋体" w:eastAsia="宋体" w:hint="default"/>
          <w:spacing w:val="-9"/>
        </w:rPr>
        <w:t>)</w:t>
      </w:r>
      <w:r>
        <w:rPr>
          <w:rFonts w:ascii="宋体" w:hAnsi="宋体" w:cs="宋体" w:eastAsia="宋体" w:hint="default"/>
          <w:spacing w:val="8"/>
        </w:rPr>
        <w:t> </w:t>
      </w:r>
      <w:r>
        <w:rPr/>
        <w:t>对公司</w:t>
      </w:r>
      <w:r>
        <w:rPr>
          <w:spacing w:val="-50"/>
        </w:rPr>
        <w:t> </w:t>
      </w:r>
      <w:r>
        <w:rPr>
          <w:rFonts w:ascii="宋体" w:hAnsi="宋体" w:cs="宋体" w:eastAsia="宋体" w:hint="default"/>
        </w:rPr>
        <w:t>2013</w:t>
      </w:r>
      <w:r>
        <w:rPr>
          <w:rFonts w:ascii="宋体" w:hAnsi="宋体" w:cs="宋体" w:eastAsia="宋体" w:hint="default"/>
          <w:spacing w:val="-50"/>
        </w:rPr>
        <w:t> </w:t>
      </w:r>
      <w:r>
        <w:rPr/>
        <w:t>年</w:t>
      </w:r>
      <w:r>
        <w:rPr>
          <w:spacing w:val="-47"/>
        </w:rPr>
        <w:t> </w:t>
      </w:r>
      <w:r>
        <w:rPr>
          <w:rFonts w:ascii="宋体" w:hAnsi="宋体" w:cs="宋体" w:eastAsia="宋体" w:hint="default"/>
        </w:rPr>
        <w:t>1</w:t>
      </w:r>
      <w:r>
        <w:rPr>
          <w:rFonts w:ascii="宋体" w:hAnsi="宋体" w:cs="宋体" w:eastAsia="宋体" w:hint="default"/>
          <w:spacing w:val="-50"/>
        </w:rPr>
        <w:t> </w:t>
      </w:r>
      <w:r>
        <w:rPr/>
        <w:t>月</w:t>
      </w:r>
      <w:r>
        <w:rPr>
          <w:spacing w:val="-48"/>
        </w:rPr>
        <w:t> </w:t>
      </w:r>
      <w:r>
        <w:rPr>
          <w:rFonts w:ascii="宋体" w:hAnsi="宋体" w:cs="宋体" w:eastAsia="宋体" w:hint="default"/>
        </w:rPr>
        <w:t>1</w:t>
      </w:r>
      <w:r>
        <w:rPr>
          <w:rFonts w:ascii="宋体" w:hAnsi="宋体" w:cs="宋体" w:eastAsia="宋体" w:hint="default"/>
          <w:spacing w:val="-50"/>
        </w:rPr>
        <w:t> </w:t>
      </w:r>
      <w:r>
        <w:rPr/>
        <w:t>日至</w:t>
      </w:r>
      <w:r>
        <w:rPr>
          <w:spacing w:val="-48"/>
        </w:rPr>
        <w:t> </w:t>
      </w:r>
      <w:r>
        <w:rPr>
          <w:rFonts w:ascii="宋体" w:hAnsi="宋体" w:cs="宋体" w:eastAsia="宋体" w:hint="default"/>
        </w:rPr>
        <w:t>2015</w:t>
      </w:r>
    </w:p>
    <w:p>
      <w:pPr>
        <w:pStyle w:val="BodyText"/>
        <w:spacing w:line="272" w:lineRule="exact"/>
        <w:ind w:left="143" w:right="0"/>
        <w:jc w:val="both"/>
      </w:pPr>
      <w:r>
        <w:rPr/>
        <w:t>年</w:t>
      </w:r>
      <w:r>
        <w:rPr>
          <w:spacing w:val="-54"/>
        </w:rPr>
        <w:t> </w:t>
      </w:r>
      <w:r>
        <w:rPr>
          <w:rFonts w:ascii="宋体" w:hAnsi="宋体" w:cs="宋体" w:eastAsia="宋体" w:hint="default"/>
        </w:rPr>
        <w:t>12</w:t>
      </w:r>
      <w:r>
        <w:rPr>
          <w:rFonts w:ascii="宋体" w:hAnsi="宋体" w:cs="宋体" w:eastAsia="宋体" w:hint="default"/>
          <w:spacing w:val="-57"/>
        </w:rPr>
        <w:t> </w:t>
      </w:r>
      <w:r>
        <w:rPr/>
        <w:t>月</w:t>
      </w:r>
      <w:r>
        <w:rPr>
          <w:spacing w:val="-55"/>
        </w:rPr>
        <w:t> </w:t>
      </w:r>
      <w:r>
        <w:rPr>
          <w:rFonts w:ascii="宋体" w:hAnsi="宋体" w:cs="宋体" w:eastAsia="宋体" w:hint="default"/>
        </w:rPr>
        <w:t>31</w:t>
      </w:r>
      <w:r>
        <w:rPr>
          <w:rFonts w:ascii="宋体" w:hAnsi="宋体" w:cs="宋体" w:eastAsia="宋体" w:hint="default"/>
          <w:spacing w:val="-57"/>
        </w:rPr>
        <w:t> </w:t>
      </w:r>
      <w:r>
        <w:rPr/>
        <w:t>日期间涉税情况进行检查，稽查结果为公司需补缴企业所得税</w:t>
      </w:r>
      <w:r>
        <w:rPr>
          <w:spacing w:val="-55"/>
        </w:rPr>
        <w:t> </w:t>
      </w:r>
      <w:r>
        <w:rPr>
          <w:rFonts w:ascii="宋体" w:hAnsi="宋体" w:cs="宋体" w:eastAsia="宋体" w:hint="default"/>
        </w:rPr>
        <w:t>1,443,876.57</w:t>
      </w:r>
      <w:r>
        <w:rPr>
          <w:rFonts w:ascii="宋体" w:hAnsi="宋体" w:cs="宋体" w:eastAsia="宋体" w:hint="default"/>
          <w:spacing w:val="-54"/>
        </w:rPr>
        <w:t> </w:t>
      </w:r>
      <w:r>
        <w:rPr>
          <w:spacing w:val="-4"/>
        </w:rPr>
        <w:t>元，同时补缴税</w:t>
      </w:r>
    </w:p>
    <w:p>
      <w:pPr>
        <w:pStyle w:val="BodyText"/>
        <w:spacing w:line="240" w:lineRule="auto"/>
        <w:ind w:left="143" w:right="1068"/>
        <w:jc w:val="both"/>
        <w:rPr>
          <w:rFonts w:ascii="宋体" w:hAnsi="宋体" w:cs="宋体" w:eastAsia="宋体" w:hint="default"/>
        </w:rPr>
      </w:pPr>
      <w:r>
        <w:rPr/>
        <w:t>款滞纳金</w:t>
      </w:r>
      <w:r>
        <w:rPr>
          <w:spacing w:val="-37"/>
        </w:rPr>
        <w:t> </w:t>
      </w:r>
      <w:r>
        <w:rPr>
          <w:rFonts w:ascii="宋体" w:hAnsi="宋体" w:cs="宋体" w:eastAsia="宋体" w:hint="default"/>
        </w:rPr>
        <w:t>566,963.66</w:t>
      </w:r>
      <w:r>
        <w:rPr>
          <w:rFonts w:ascii="宋体" w:hAnsi="宋体" w:cs="宋体" w:eastAsia="宋体" w:hint="default"/>
          <w:spacing w:val="-37"/>
        </w:rPr>
        <w:t> </w:t>
      </w:r>
      <w:r>
        <w:rPr/>
        <w:t>元，合计</w:t>
      </w:r>
      <w:r>
        <w:rPr>
          <w:spacing w:val="-36"/>
        </w:rPr>
        <w:t> </w:t>
      </w:r>
      <w:r>
        <w:rPr>
          <w:rFonts w:ascii="宋体" w:hAnsi="宋体" w:cs="宋体" w:eastAsia="宋体" w:hint="default"/>
        </w:rPr>
        <w:t>2,010,841.23</w:t>
      </w:r>
      <w:r>
        <w:rPr>
          <w:rFonts w:ascii="宋体" w:hAnsi="宋体" w:cs="宋体" w:eastAsia="宋体" w:hint="default"/>
          <w:spacing w:val="-35"/>
        </w:rPr>
        <w:t> </w:t>
      </w:r>
      <w:r>
        <w:rPr/>
        <w:t>元。基于《资产出售协议》之约定，公司向中兆投资追索</w:t>
      </w:r>
      <w:r>
        <w:rPr>
          <w:w w:val="100"/>
        </w:rPr>
        <w:t> </w:t>
      </w:r>
      <w:r>
        <w:rPr/>
        <w:t>已支付上述税款及滞纳金。</w:t>
      </w:r>
      <w:r>
        <w:rPr>
          <w:rFonts w:ascii="宋体" w:hAnsi="宋体" w:cs="宋体" w:eastAsia="宋体" w:hint="default"/>
        </w:rPr>
        <w:t> </w:t>
      </w:r>
    </w:p>
    <w:p>
      <w:pPr>
        <w:pStyle w:val="BodyText"/>
        <w:spacing w:line="240" w:lineRule="auto" w:before="152"/>
        <w:ind w:left="143" w:right="1066" w:firstLine="420"/>
        <w:jc w:val="left"/>
      </w:pPr>
      <w:r>
        <w:rPr>
          <w:spacing w:val="-5"/>
        </w:rPr>
        <w:t>由于双方对于《资产出售协议》之约定的相关条款存在异议，公司向华南国际仲裁院申请仲裁。</w:t>
      </w:r>
      <w:r>
        <w:rPr>
          <w:rFonts w:ascii="宋体" w:hAnsi="宋体" w:cs="宋体" w:eastAsia="宋体" w:hint="default"/>
          <w:spacing w:val="-5"/>
        </w:rPr>
        <w:t>2018</w:t>
      </w:r>
      <w:r>
        <w:rPr>
          <w:rFonts w:ascii="宋体" w:hAnsi="宋体" w:cs="宋体" w:eastAsia="宋体" w:hint="default"/>
          <w:w w:val="100"/>
        </w:rPr>
        <w:t> </w:t>
      </w:r>
      <w:r>
        <w:rPr/>
        <w:t>年</w:t>
      </w:r>
      <w:r>
        <w:rPr>
          <w:spacing w:val="-52"/>
        </w:rPr>
        <w:t> </w:t>
      </w:r>
      <w:r>
        <w:rPr>
          <w:rFonts w:ascii="宋体" w:hAnsi="宋体" w:cs="宋体" w:eastAsia="宋体" w:hint="default"/>
        </w:rPr>
        <w:t>12</w:t>
      </w:r>
      <w:r>
        <w:rPr>
          <w:rFonts w:ascii="宋体" w:hAnsi="宋体" w:cs="宋体" w:eastAsia="宋体" w:hint="default"/>
          <w:spacing w:val="-55"/>
        </w:rPr>
        <w:t> </w:t>
      </w:r>
      <w:r>
        <w:rPr/>
        <w:t>月</w:t>
      </w:r>
      <w:r>
        <w:rPr>
          <w:spacing w:val="-53"/>
        </w:rPr>
        <w:t> </w:t>
      </w:r>
      <w:r>
        <w:rPr>
          <w:rFonts w:ascii="宋体" w:hAnsi="宋体" w:cs="宋体" w:eastAsia="宋体" w:hint="default"/>
        </w:rPr>
        <w:t>12</w:t>
      </w:r>
      <w:r>
        <w:rPr>
          <w:rFonts w:ascii="宋体" w:hAnsi="宋体" w:cs="宋体" w:eastAsia="宋体" w:hint="default"/>
          <w:spacing w:val="-55"/>
        </w:rPr>
        <w:t> </w:t>
      </w:r>
      <w:r>
        <w:rPr/>
        <w:t>日，华南国际仲裁院下达了裁决书</w:t>
      </w:r>
      <w:r>
        <w:rPr>
          <w:rFonts w:ascii="宋体" w:hAnsi="宋体" w:cs="宋体" w:eastAsia="宋体" w:hint="default"/>
        </w:rPr>
        <w:t>(</w:t>
      </w:r>
      <w:r>
        <w:rPr/>
        <w:t>华南国仲裁深裁</w:t>
      </w:r>
      <w:r>
        <w:rPr>
          <w:rFonts w:ascii="宋体" w:hAnsi="宋体" w:cs="宋体" w:eastAsia="宋体" w:hint="default"/>
        </w:rPr>
        <w:t>[2018]D473</w:t>
      </w:r>
      <w:r>
        <w:rPr>
          <w:rFonts w:ascii="宋体" w:hAnsi="宋体" w:cs="宋体" w:eastAsia="宋体" w:hint="default"/>
          <w:spacing w:val="-2"/>
        </w:rPr>
        <w:t> </w:t>
      </w:r>
      <w:r>
        <w:rPr>
          <w:spacing w:val="-3"/>
        </w:rPr>
        <w:t>号</w:t>
      </w:r>
      <w:r>
        <w:rPr>
          <w:rFonts w:ascii="宋体" w:hAnsi="宋体" w:cs="宋体" w:eastAsia="宋体" w:hint="default"/>
          <w:spacing w:val="-3"/>
        </w:rPr>
        <w:t>)</w:t>
      </w:r>
      <w:r>
        <w:rPr>
          <w:spacing w:val="-3"/>
        </w:rPr>
        <w:t>，约定中兆投资应于裁决</w:t>
      </w:r>
    </w:p>
    <w:p>
      <w:pPr>
        <w:pStyle w:val="BodyText"/>
        <w:spacing w:line="271" w:lineRule="exact"/>
        <w:ind w:left="143" w:right="0"/>
        <w:jc w:val="both"/>
        <w:rPr>
          <w:rFonts w:ascii="宋体" w:hAnsi="宋体" w:cs="宋体" w:eastAsia="宋体" w:hint="default"/>
        </w:rPr>
      </w:pPr>
      <w:r>
        <w:rPr/>
        <w:t>结果作出之日起</w:t>
      </w:r>
      <w:r>
        <w:rPr>
          <w:spacing w:val="-55"/>
        </w:rPr>
        <w:t> </w:t>
      </w:r>
      <w:r>
        <w:rPr>
          <w:rFonts w:ascii="宋体" w:hAnsi="宋体" w:cs="宋体" w:eastAsia="宋体" w:hint="default"/>
        </w:rPr>
        <w:t>15</w:t>
      </w:r>
      <w:r>
        <w:rPr>
          <w:rFonts w:ascii="宋体" w:hAnsi="宋体" w:cs="宋体" w:eastAsia="宋体" w:hint="default"/>
          <w:spacing w:val="-57"/>
        </w:rPr>
        <w:t> </w:t>
      </w:r>
      <w:r>
        <w:rPr/>
        <w:t>日内向公司支付公司已支付的税款、滞纳金及其他费用合计</w:t>
      </w:r>
      <w:r>
        <w:rPr>
          <w:spacing w:val="-55"/>
        </w:rPr>
        <w:t> </w:t>
      </w:r>
      <w:r>
        <w:rPr>
          <w:rFonts w:ascii="宋体" w:hAnsi="宋体" w:cs="宋体" w:eastAsia="宋体" w:hint="default"/>
        </w:rPr>
        <w:t>825,327.40</w:t>
      </w:r>
      <w:r>
        <w:rPr>
          <w:rFonts w:ascii="宋体" w:hAnsi="宋体" w:cs="宋体" w:eastAsia="宋体" w:hint="default"/>
          <w:spacing w:val="-57"/>
        </w:rPr>
        <w:t> </w:t>
      </w:r>
      <w:r>
        <w:rPr/>
        <w:t>元。</w:t>
      </w:r>
      <w:r>
        <w:rPr>
          <w:rFonts w:ascii="宋体" w:hAnsi="宋体" w:cs="宋体" w:eastAsia="宋体" w:hint="default"/>
        </w:rPr>
        <w:t> </w:t>
      </w:r>
    </w:p>
    <w:p>
      <w:pPr>
        <w:spacing w:line="240" w:lineRule="auto" w:before="12"/>
        <w:rPr>
          <w:rFonts w:ascii="宋体" w:hAnsi="宋体" w:cs="宋体" w:eastAsia="宋体" w:hint="default"/>
          <w:sz w:val="13"/>
          <w:szCs w:val="13"/>
        </w:rPr>
      </w:pPr>
    </w:p>
    <w:p>
      <w:pPr>
        <w:pStyle w:val="BodyText"/>
        <w:spacing w:line="272" w:lineRule="exact"/>
        <w:ind w:left="143" w:right="703" w:firstLine="420"/>
        <w:jc w:val="left"/>
        <w:rPr>
          <w:rFonts w:ascii="宋体" w:hAnsi="宋体" w:cs="宋体" w:eastAsia="宋体" w:hint="default"/>
        </w:rPr>
      </w:pPr>
      <w:r>
        <w:rPr/>
        <w:t>截止</w:t>
      </w:r>
      <w:r>
        <w:rPr>
          <w:spacing w:val="-44"/>
        </w:rPr>
        <w:t> </w:t>
      </w:r>
      <w:r>
        <w:rPr>
          <w:rFonts w:ascii="宋体" w:hAnsi="宋体" w:cs="宋体" w:eastAsia="宋体" w:hint="default"/>
        </w:rPr>
        <w:t>2019</w:t>
      </w:r>
      <w:r>
        <w:rPr>
          <w:rFonts w:ascii="宋体" w:hAnsi="宋体" w:cs="宋体" w:eastAsia="宋体" w:hint="default"/>
          <w:spacing w:val="-46"/>
        </w:rPr>
        <w:t> </w:t>
      </w:r>
      <w:r>
        <w:rPr/>
        <w:t>年</w:t>
      </w:r>
      <w:r>
        <w:rPr>
          <w:spacing w:val="-44"/>
        </w:rPr>
        <w:t> </w:t>
      </w:r>
      <w:r>
        <w:rPr>
          <w:rFonts w:ascii="宋体" w:hAnsi="宋体" w:cs="宋体" w:eastAsia="宋体" w:hint="default"/>
        </w:rPr>
        <w:t>12</w:t>
      </w:r>
      <w:r>
        <w:rPr>
          <w:rFonts w:ascii="宋体" w:hAnsi="宋体" w:cs="宋体" w:eastAsia="宋体" w:hint="default"/>
          <w:spacing w:val="-46"/>
        </w:rPr>
        <w:t> </w:t>
      </w:r>
      <w:r>
        <w:rPr/>
        <w:t>月</w:t>
      </w:r>
      <w:r>
        <w:rPr>
          <w:spacing w:val="-44"/>
        </w:rPr>
        <w:t> </w:t>
      </w:r>
      <w:r>
        <w:rPr>
          <w:rFonts w:ascii="宋体" w:hAnsi="宋体" w:cs="宋体" w:eastAsia="宋体" w:hint="default"/>
        </w:rPr>
        <w:t>31</w:t>
      </w:r>
      <w:r>
        <w:rPr>
          <w:rFonts w:ascii="宋体" w:hAnsi="宋体" w:cs="宋体" w:eastAsia="宋体" w:hint="default"/>
          <w:spacing w:val="-44"/>
        </w:rPr>
        <w:t> </w:t>
      </w:r>
      <w:r>
        <w:rPr>
          <w:spacing w:val="-3"/>
        </w:rPr>
        <w:t>日，公司尚未收到上述款项，基于谨慎性原则，公司未对上述应收款项予以确</w:t>
      </w:r>
      <w:r>
        <w:rPr>
          <w:w w:val="100"/>
        </w:rPr>
        <w:t> </w:t>
      </w:r>
      <w:r>
        <w:rPr/>
        <w:t>认。</w:t>
      </w:r>
      <w:r>
        <w:rPr>
          <w:rFonts w:ascii="宋体" w:hAnsi="宋体" w:cs="宋体" w:eastAsia="宋体" w:hint="default"/>
        </w:rPr>
        <w:t> </w:t>
      </w:r>
    </w:p>
    <w:p>
      <w:pPr>
        <w:pStyle w:val="Heading3"/>
        <w:spacing w:line="240" w:lineRule="auto" w:before="130"/>
        <w:ind w:left="143" w:right="0"/>
        <w:jc w:val="both"/>
        <w:rPr>
          <w:rFonts w:ascii="宋体" w:hAnsi="宋体" w:cs="宋体" w:eastAsia="宋体" w:hint="default"/>
          <w:b w:val="0"/>
          <w:bCs w:val="0"/>
        </w:rPr>
      </w:pPr>
      <w:r>
        <w:rPr/>
        <w:t>十二、资产负债表日后事项</w:t>
      </w:r>
      <w:r>
        <w:rPr>
          <w:rFonts w:ascii="宋体" w:hAnsi="宋体" w:cs="宋体" w:eastAsia="宋体" w:hint="default"/>
          <w:w w:val="99"/>
        </w:rPr>
        <w:t> </w:t>
      </w:r>
      <w:r>
        <w:rPr>
          <w:rFonts w:ascii="宋体" w:hAnsi="宋体" w:cs="宋体" w:eastAsia="宋体" w:hint="default"/>
          <w:b w:val="0"/>
          <w:bCs w:val="0"/>
        </w:rPr>
      </w:r>
    </w:p>
    <w:p>
      <w:pPr>
        <w:spacing w:before="152"/>
        <w:ind w:left="354" w:right="7673" w:firstLine="0"/>
        <w:jc w:val="left"/>
        <w:rPr>
          <w:rFonts w:ascii="宋体" w:hAnsi="宋体" w:cs="宋体" w:eastAsia="宋体" w:hint="default"/>
          <w:sz w:val="21"/>
          <w:szCs w:val="21"/>
        </w:rPr>
      </w:pPr>
      <w:r>
        <w:rPr>
          <w:rFonts w:ascii="宋体" w:hAnsi="宋体" w:cs="宋体" w:eastAsia="宋体" w:hint="default"/>
          <w:b/>
          <w:bCs/>
          <w:sz w:val="21"/>
          <w:szCs w:val="21"/>
        </w:rPr>
        <w:t>（一）重要的非调整事项</w:t>
      </w:r>
      <w:r>
        <w:rPr>
          <w:rFonts w:ascii="宋体" w:hAnsi="宋体" w:cs="宋体" w:eastAsia="宋体" w:hint="default"/>
          <w:b/>
          <w:bCs/>
          <w:w w:val="99"/>
          <w:sz w:val="21"/>
          <w:szCs w:val="21"/>
        </w:rPr>
        <w:t> </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80" w:footer="975" w:top="1100" w:bottom="1160" w:left="1160" w:right="0"/>
        </w:sectPr>
      </w:pPr>
    </w:p>
    <w:p>
      <w:pPr>
        <w:spacing w:line="240" w:lineRule="auto" w:before="11"/>
        <w:rPr>
          <w:rFonts w:ascii="宋体" w:hAnsi="宋体" w:cs="宋体" w:eastAsia="宋体" w:hint="default"/>
          <w:b/>
          <w:bCs/>
          <w:sz w:val="20"/>
          <w:szCs w:val="20"/>
        </w:rPr>
      </w:pPr>
    </w:p>
    <w:p>
      <w:pPr>
        <w:pStyle w:val="BodyText"/>
        <w:spacing w:line="240" w:lineRule="auto" w:before="36"/>
        <w:ind w:left="563" w:right="7673"/>
        <w:jc w:val="left"/>
        <w:rPr>
          <w:rFonts w:ascii="宋体" w:hAnsi="宋体" w:cs="宋体" w:eastAsia="宋体" w:hint="default"/>
        </w:rPr>
      </w:pPr>
      <w:r>
        <w:rPr/>
        <w:t>无。</w:t>
      </w:r>
      <w:r>
        <w:rPr>
          <w:rFonts w:ascii="宋体" w:hAnsi="宋体" w:cs="宋体" w:eastAsia="宋体" w:hint="default"/>
        </w:rPr>
        <w:t> </w:t>
      </w:r>
    </w:p>
    <w:p>
      <w:pPr>
        <w:pStyle w:val="Heading3"/>
        <w:spacing w:line="240" w:lineRule="auto" w:before="172"/>
        <w:ind w:left="354" w:right="7673"/>
        <w:jc w:val="left"/>
        <w:rPr>
          <w:rFonts w:ascii="宋体" w:hAnsi="宋体" w:cs="宋体" w:eastAsia="宋体" w:hint="default"/>
          <w:b w:val="0"/>
          <w:bCs w:val="0"/>
        </w:rPr>
      </w:pPr>
      <w:r>
        <w:rPr/>
        <w:t>（二）利润分配情况</w:t>
      </w:r>
      <w:r>
        <w:rPr>
          <w:rFonts w:ascii="宋体" w:hAnsi="宋体" w:cs="宋体" w:eastAsia="宋体" w:hint="default"/>
          <w:w w:val="99"/>
        </w:rPr>
        <w:t> </w:t>
      </w:r>
      <w:r>
        <w:rPr>
          <w:rFonts w:ascii="宋体" w:hAnsi="宋体" w:cs="宋体" w:eastAsia="宋体" w:hint="default"/>
          <w:b w:val="0"/>
          <w:bCs w:val="0"/>
        </w:rPr>
      </w:r>
    </w:p>
    <w:p>
      <w:pPr>
        <w:pStyle w:val="BodyText"/>
        <w:spacing w:line="274" w:lineRule="exact" w:before="152"/>
        <w:ind w:left="563" w:right="703"/>
        <w:jc w:val="left"/>
        <w:rPr>
          <w:rFonts w:ascii="宋体" w:hAnsi="宋体" w:cs="宋体" w:eastAsia="宋体" w:hint="default"/>
        </w:rPr>
      </w:pPr>
      <w:r>
        <w:rPr>
          <w:rFonts w:ascii="宋体" w:hAnsi="宋体" w:cs="宋体" w:eastAsia="宋体" w:hint="default"/>
        </w:rPr>
        <w:t>2020</w:t>
      </w:r>
      <w:r>
        <w:rPr>
          <w:rFonts w:ascii="宋体" w:hAnsi="宋体" w:cs="宋体" w:eastAsia="宋体" w:hint="default"/>
          <w:spacing w:val="-46"/>
        </w:rPr>
        <w:t> </w:t>
      </w:r>
      <w:r>
        <w:rPr/>
        <w:t>年</w:t>
      </w:r>
      <w:r>
        <w:rPr>
          <w:spacing w:val="-48"/>
        </w:rPr>
        <w:t> </w:t>
      </w:r>
      <w:r>
        <w:rPr>
          <w:rFonts w:ascii="宋体" w:hAnsi="宋体" w:cs="宋体" w:eastAsia="宋体" w:hint="default"/>
        </w:rPr>
        <w:t>4</w:t>
      </w:r>
      <w:r>
        <w:rPr>
          <w:rFonts w:ascii="宋体" w:hAnsi="宋体" w:cs="宋体" w:eastAsia="宋体" w:hint="default"/>
          <w:spacing w:val="-45"/>
        </w:rPr>
        <w:t> </w:t>
      </w:r>
      <w:r>
        <w:rPr/>
        <w:t>月</w:t>
      </w:r>
      <w:r>
        <w:rPr>
          <w:spacing w:val="-45"/>
        </w:rPr>
        <w:t> </w:t>
      </w:r>
      <w:r>
        <w:rPr>
          <w:rFonts w:ascii="宋体" w:hAnsi="宋体" w:cs="宋体" w:eastAsia="宋体" w:hint="default"/>
        </w:rPr>
        <w:t>26</w:t>
      </w:r>
      <w:r>
        <w:rPr>
          <w:rFonts w:ascii="宋体" w:hAnsi="宋体" w:cs="宋体" w:eastAsia="宋体" w:hint="default"/>
          <w:spacing w:val="-45"/>
        </w:rPr>
        <w:t> </w:t>
      </w:r>
      <w:r>
        <w:rPr/>
        <w:t>日，公司第八届董事会</w:t>
      </w:r>
      <w:r>
        <w:rPr>
          <w:spacing w:val="-45"/>
        </w:rPr>
        <w:t> </w:t>
      </w:r>
      <w:r>
        <w:rPr>
          <w:rFonts w:ascii="宋体" w:hAnsi="宋体" w:cs="宋体" w:eastAsia="宋体" w:hint="default"/>
        </w:rPr>
        <w:t>2020</w:t>
      </w:r>
      <w:r>
        <w:rPr>
          <w:rFonts w:ascii="宋体" w:hAnsi="宋体" w:cs="宋体" w:eastAsia="宋体" w:hint="default"/>
          <w:spacing w:val="-46"/>
        </w:rPr>
        <w:t> </w:t>
      </w:r>
      <w:r>
        <w:rPr/>
        <w:t>年第二次会议，批准</w:t>
      </w:r>
      <w:r>
        <w:rPr>
          <w:spacing w:val="-45"/>
        </w:rPr>
        <w:t> </w:t>
      </w:r>
      <w:r>
        <w:rPr>
          <w:rFonts w:ascii="宋体" w:hAnsi="宋体" w:cs="宋体" w:eastAsia="宋体" w:hint="default"/>
        </w:rPr>
        <w:t>2019</w:t>
      </w:r>
      <w:r>
        <w:rPr>
          <w:rFonts w:ascii="宋体" w:hAnsi="宋体" w:cs="宋体" w:eastAsia="宋体" w:hint="default"/>
          <w:spacing w:val="-46"/>
        </w:rPr>
        <w:t> </w:t>
      </w:r>
      <w:r>
        <w:rPr/>
        <w:t>年度利润分配预案，以</w:t>
      </w:r>
      <w:r>
        <w:rPr>
          <w:spacing w:val="-48"/>
        </w:rPr>
        <w:t> </w:t>
      </w:r>
      <w:r>
        <w:rPr>
          <w:rFonts w:ascii="宋体" w:hAnsi="宋体" w:cs="宋体" w:eastAsia="宋体" w:hint="default"/>
        </w:rPr>
        <w:t>2019</w:t>
      </w:r>
    </w:p>
    <w:p>
      <w:pPr>
        <w:pStyle w:val="BodyText"/>
        <w:spacing w:line="272" w:lineRule="exact" w:before="27"/>
        <w:ind w:left="143" w:right="1070"/>
        <w:jc w:val="left"/>
        <w:rPr>
          <w:rFonts w:ascii="宋体" w:hAnsi="宋体" w:cs="宋体" w:eastAsia="宋体" w:hint="default"/>
        </w:rPr>
      </w:pPr>
      <w:r>
        <w:rPr/>
        <w:t>年</w:t>
      </w:r>
      <w:r>
        <w:rPr>
          <w:spacing w:val="-45"/>
        </w:rPr>
        <w:t> </w:t>
      </w:r>
      <w:r>
        <w:rPr>
          <w:rFonts w:ascii="宋体" w:hAnsi="宋体" w:cs="宋体" w:eastAsia="宋体" w:hint="default"/>
        </w:rPr>
        <w:t>12</w:t>
      </w:r>
      <w:r>
        <w:rPr>
          <w:rFonts w:ascii="宋体" w:hAnsi="宋体" w:cs="宋体" w:eastAsia="宋体" w:hint="default"/>
          <w:spacing w:val="-45"/>
        </w:rPr>
        <w:t> </w:t>
      </w:r>
      <w:r>
        <w:rPr/>
        <w:t>月</w:t>
      </w:r>
      <w:r>
        <w:rPr>
          <w:spacing w:val="-48"/>
        </w:rPr>
        <w:t> </w:t>
      </w:r>
      <w:r>
        <w:rPr>
          <w:rFonts w:ascii="宋体" w:hAnsi="宋体" w:cs="宋体" w:eastAsia="宋体" w:hint="default"/>
        </w:rPr>
        <w:t>31</w:t>
      </w:r>
      <w:r>
        <w:rPr>
          <w:rFonts w:ascii="宋体" w:hAnsi="宋体" w:cs="宋体" w:eastAsia="宋体" w:hint="default"/>
          <w:spacing w:val="-45"/>
        </w:rPr>
        <w:t> </w:t>
      </w:r>
      <w:r>
        <w:rPr/>
        <w:t>日的公司总股本</w:t>
      </w:r>
      <w:r>
        <w:rPr>
          <w:spacing w:val="-46"/>
        </w:rPr>
        <w:t> </w:t>
      </w:r>
      <w:r>
        <w:rPr>
          <w:rFonts w:ascii="宋体" w:hAnsi="宋体" w:cs="宋体" w:eastAsia="宋体" w:hint="default"/>
        </w:rPr>
        <w:t>669,101,883</w:t>
      </w:r>
      <w:r>
        <w:rPr>
          <w:rFonts w:ascii="宋体" w:hAnsi="宋体" w:cs="宋体" w:eastAsia="宋体" w:hint="default"/>
          <w:spacing w:val="-47"/>
        </w:rPr>
        <w:t> </w:t>
      </w:r>
      <w:r>
        <w:rPr/>
        <w:t>股扣除已回购股份</w:t>
      </w:r>
      <w:r>
        <w:rPr>
          <w:spacing w:val="-45"/>
        </w:rPr>
        <w:t> </w:t>
      </w:r>
      <w:r>
        <w:rPr>
          <w:rFonts w:ascii="宋体" w:hAnsi="宋体" w:cs="宋体" w:eastAsia="宋体" w:hint="default"/>
        </w:rPr>
        <w:t>1,128,800</w:t>
      </w:r>
      <w:r>
        <w:rPr>
          <w:rFonts w:ascii="宋体" w:hAnsi="宋体" w:cs="宋体" w:eastAsia="宋体" w:hint="default"/>
          <w:spacing w:val="-48"/>
        </w:rPr>
        <w:t> </w:t>
      </w:r>
      <w:r>
        <w:rPr/>
        <w:t>股后的</w:t>
      </w:r>
      <w:r>
        <w:rPr>
          <w:spacing w:val="-46"/>
        </w:rPr>
        <w:t> </w:t>
      </w:r>
      <w:r>
        <w:rPr>
          <w:rFonts w:ascii="宋体" w:hAnsi="宋体" w:cs="宋体" w:eastAsia="宋体" w:hint="default"/>
        </w:rPr>
        <w:t>667,973,083</w:t>
      </w:r>
      <w:r>
        <w:rPr>
          <w:rFonts w:ascii="宋体" w:hAnsi="宋体" w:cs="宋体" w:eastAsia="宋体" w:hint="default"/>
          <w:spacing w:val="-47"/>
        </w:rPr>
        <w:t> </w:t>
      </w:r>
      <w:r>
        <w:rPr/>
        <w:t>为基数，以</w:t>
      </w:r>
      <w:r>
        <w:rPr>
          <w:w w:val="100"/>
        </w:rPr>
        <w:t> </w:t>
      </w:r>
      <w:r>
        <w:rPr/>
        <w:t>资本公积金向全体股东每</w:t>
      </w:r>
      <w:r>
        <w:rPr>
          <w:spacing w:val="-57"/>
        </w:rPr>
        <w:t> </w:t>
      </w:r>
      <w:r>
        <w:rPr>
          <w:rFonts w:ascii="宋体" w:hAnsi="宋体" w:cs="宋体" w:eastAsia="宋体" w:hint="default"/>
        </w:rPr>
        <w:t>10</w:t>
      </w:r>
      <w:r>
        <w:rPr>
          <w:rFonts w:ascii="宋体" w:hAnsi="宋体" w:cs="宋体" w:eastAsia="宋体" w:hint="default"/>
          <w:spacing w:val="-55"/>
        </w:rPr>
        <w:t> </w:t>
      </w:r>
      <w:r>
        <w:rPr/>
        <w:t>股转增</w:t>
      </w:r>
      <w:r>
        <w:rPr>
          <w:spacing w:val="-5"/>
        </w:rPr>
        <w:t> </w:t>
      </w:r>
      <w:r>
        <w:rPr>
          <w:rFonts w:ascii="宋体" w:hAnsi="宋体" w:cs="宋体" w:eastAsia="宋体" w:hint="default"/>
          <w:spacing w:val="-5"/>
        </w:rPr>
      </w:r>
      <w:r>
        <w:rPr>
          <w:rFonts w:ascii="宋体" w:hAnsi="宋体" w:cs="宋体" w:eastAsia="宋体" w:hint="default"/>
        </w:rPr>
        <w:t>4</w:t>
      </w:r>
      <w:r>
        <w:rPr>
          <w:rFonts w:ascii="宋体" w:hAnsi="宋体" w:cs="宋体" w:eastAsia="宋体" w:hint="default"/>
          <w:spacing w:val="-55"/>
        </w:rPr>
        <w:t> </w:t>
      </w:r>
      <w:r>
        <w:rPr/>
        <w:t>股，不派发现金红利，不送红股。</w:t>
      </w:r>
      <w:r>
        <w:rPr>
          <w:rFonts w:ascii="宋体" w:hAnsi="宋体" w:cs="宋体" w:eastAsia="宋体" w:hint="default"/>
        </w:rPr>
        <w:t> </w:t>
      </w:r>
    </w:p>
    <w:p>
      <w:pPr>
        <w:spacing w:line="391" w:lineRule="auto" w:before="130"/>
        <w:ind w:left="563" w:right="8516" w:hanging="209"/>
        <w:jc w:val="left"/>
        <w:rPr>
          <w:rFonts w:ascii="宋体" w:hAnsi="宋体" w:cs="宋体" w:eastAsia="宋体" w:hint="default"/>
          <w:sz w:val="21"/>
          <w:szCs w:val="21"/>
        </w:rPr>
      </w:pPr>
      <w:r>
        <w:rPr>
          <w:rFonts w:ascii="宋体" w:hAnsi="宋体" w:cs="宋体" w:eastAsia="宋体" w:hint="default"/>
          <w:b/>
          <w:bCs/>
          <w:sz w:val="21"/>
          <w:szCs w:val="21"/>
        </w:rPr>
        <w:t>（三）销售退回</w:t>
      </w:r>
      <w:r>
        <w:rPr>
          <w:rFonts w:ascii="宋体" w:hAnsi="宋体" w:cs="宋体" w:eastAsia="宋体" w:hint="default"/>
          <w:b/>
          <w:bCs/>
          <w:w w:val="99"/>
          <w:sz w:val="21"/>
          <w:szCs w:val="21"/>
        </w:rPr>
        <w:t> </w:t>
      </w:r>
      <w:r>
        <w:rPr>
          <w:rFonts w:ascii="宋体" w:hAnsi="宋体" w:cs="宋体" w:eastAsia="宋体" w:hint="default"/>
          <w:sz w:val="21"/>
          <w:szCs w:val="21"/>
        </w:rPr>
        <w:t>无。</w:t>
      </w:r>
      <w:r>
        <w:rPr>
          <w:rFonts w:ascii="宋体" w:hAnsi="宋体" w:cs="宋体" w:eastAsia="宋体" w:hint="default"/>
          <w:sz w:val="21"/>
          <w:szCs w:val="21"/>
        </w:rPr>
        <w:t> </w:t>
      </w:r>
    </w:p>
    <w:p>
      <w:pPr>
        <w:spacing w:line="374" w:lineRule="auto" w:before="39"/>
        <w:ind w:left="563" w:right="1146" w:hanging="209"/>
        <w:jc w:val="left"/>
        <w:rPr>
          <w:rFonts w:ascii="宋体" w:hAnsi="宋体" w:cs="宋体" w:eastAsia="宋体" w:hint="default"/>
          <w:sz w:val="21"/>
          <w:szCs w:val="21"/>
        </w:rPr>
      </w:pPr>
      <w:r>
        <w:rPr>
          <w:rFonts w:ascii="宋体" w:hAnsi="宋体" w:cs="宋体" w:eastAsia="宋体" w:hint="default"/>
          <w:b/>
          <w:bCs/>
          <w:sz w:val="21"/>
          <w:szCs w:val="21"/>
        </w:rPr>
        <w:t>（四）其他资产负债表日后事项说明</w:t>
      </w:r>
      <w:r>
        <w:rPr>
          <w:rFonts w:ascii="宋体" w:hAnsi="宋体" w:cs="宋体" w:eastAsia="宋体" w:hint="default"/>
          <w:b/>
          <w:bCs/>
          <w:w w:val="99"/>
          <w:sz w:val="21"/>
          <w:szCs w:val="21"/>
        </w:rPr>
        <w:t> </w:t>
      </w:r>
      <w:r>
        <w:rPr>
          <w:rFonts w:ascii="宋体" w:hAnsi="宋体" w:cs="宋体" w:eastAsia="宋体" w:hint="default"/>
          <w:sz w:val="21"/>
          <w:szCs w:val="21"/>
        </w:rPr>
        <w:t>截至财务报表批准报出日，公司持股比较大的股东股份质押情况如下：</w:t>
      </w:r>
      <w:r>
        <w:rPr>
          <w:rFonts w:ascii="宋体" w:hAnsi="宋体" w:cs="宋体" w:eastAsia="宋体" w:hint="default"/>
          <w:sz w:val="21"/>
          <w:szCs w:val="21"/>
        </w:rPr>
        <w:t> </w:t>
      </w:r>
    </w:p>
    <w:p>
      <w:pPr>
        <w:spacing w:line="240" w:lineRule="auto" w:before="3"/>
        <w:rPr>
          <w:rFonts w:ascii="宋体" w:hAnsi="宋体" w:cs="宋体" w:eastAsia="宋体" w:hint="default"/>
          <w:sz w:val="5"/>
          <w:szCs w:val="5"/>
        </w:rPr>
      </w:pPr>
    </w:p>
    <w:tbl>
      <w:tblPr>
        <w:tblW w:w="0" w:type="auto"/>
        <w:jc w:val="left"/>
        <w:tblInd w:w="177" w:type="dxa"/>
        <w:tblLayout w:type="fixed"/>
        <w:tblCellMar>
          <w:top w:w="0" w:type="dxa"/>
          <w:left w:w="0" w:type="dxa"/>
          <w:bottom w:w="0" w:type="dxa"/>
          <w:right w:w="0" w:type="dxa"/>
        </w:tblCellMar>
        <w:tblLook w:val="01E0"/>
      </w:tblPr>
      <w:tblGrid>
        <w:gridCol w:w="2878"/>
        <w:gridCol w:w="1514"/>
        <w:gridCol w:w="833"/>
        <w:gridCol w:w="1527"/>
        <w:gridCol w:w="1582"/>
        <w:gridCol w:w="1226"/>
      </w:tblGrid>
      <w:tr>
        <w:trPr>
          <w:trHeight w:val="637" w:hRule="exact"/>
        </w:trPr>
        <w:tc>
          <w:tcPr>
            <w:tcW w:w="2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91" w:right="0"/>
              <w:jc w:val="center"/>
              <w:rPr>
                <w:rFonts w:ascii="宋体" w:hAnsi="宋体" w:cs="宋体" w:eastAsia="宋体" w:hint="default"/>
                <w:sz w:val="18"/>
                <w:szCs w:val="18"/>
              </w:rPr>
            </w:pPr>
            <w:r>
              <w:rPr>
                <w:rFonts w:ascii="宋体" w:hAnsi="宋体" w:cs="宋体" w:eastAsia="宋体" w:hint="default"/>
                <w:sz w:val="18"/>
                <w:szCs w:val="18"/>
              </w:rPr>
              <w:t>股东名称</w:t>
            </w:r>
            <w:r>
              <w:rPr>
                <w:rFonts w:ascii="宋体" w:hAnsi="宋体" w:cs="宋体" w:eastAsia="宋体" w:hint="default"/>
                <w:sz w:val="18"/>
                <w:szCs w:val="18"/>
              </w:rPr>
              <w:t> </w:t>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05" w:right="0"/>
              <w:jc w:val="left"/>
              <w:rPr>
                <w:rFonts w:ascii="宋体" w:hAnsi="宋体" w:cs="宋体" w:eastAsia="宋体" w:hint="default"/>
                <w:sz w:val="18"/>
                <w:szCs w:val="18"/>
              </w:rPr>
            </w:pPr>
            <w:r>
              <w:rPr>
                <w:rFonts w:ascii="宋体" w:hAnsi="宋体" w:cs="宋体" w:eastAsia="宋体" w:hint="default"/>
                <w:sz w:val="18"/>
                <w:szCs w:val="18"/>
              </w:rPr>
              <w:t>总持有数量</w:t>
            </w:r>
            <w:r>
              <w:rPr>
                <w:rFonts w:ascii="宋体" w:hAnsi="宋体" w:cs="宋体" w:eastAsia="宋体" w:hint="default"/>
                <w:sz w:val="18"/>
                <w:szCs w:val="18"/>
              </w:rPr>
              <w:t> </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3"/>
              <w:ind w:left="103" w:right="11"/>
              <w:jc w:val="left"/>
              <w:rPr>
                <w:rFonts w:ascii="宋体" w:hAnsi="宋体" w:cs="宋体" w:eastAsia="宋体" w:hint="default"/>
                <w:sz w:val="18"/>
                <w:szCs w:val="18"/>
              </w:rPr>
            </w:pPr>
            <w:r>
              <w:rPr>
                <w:rFonts w:ascii="宋体" w:hAnsi="宋体" w:cs="宋体" w:eastAsia="宋体" w:hint="default"/>
                <w:sz w:val="18"/>
                <w:szCs w:val="18"/>
              </w:rPr>
              <w:t>持有比 </w:t>
            </w:r>
            <w:r>
              <w:rPr>
                <w:rFonts w:ascii="宋体" w:hAnsi="宋体" w:cs="宋体" w:eastAsia="宋体" w:hint="default"/>
                <w:spacing w:val="-4"/>
                <w:sz w:val="18"/>
                <w:szCs w:val="18"/>
              </w:rPr>
              <w:t>例（</w:t>
            </w:r>
            <w:r>
              <w:rPr>
                <w:rFonts w:ascii="宋体" w:hAnsi="宋体" w:cs="宋体" w:eastAsia="宋体" w:hint="default"/>
                <w:spacing w:val="-4"/>
                <w:sz w:val="18"/>
                <w:szCs w:val="18"/>
              </w:rPr>
              <w:t>%</w:t>
            </w:r>
            <w:r>
              <w:rPr>
                <w:rFonts w:ascii="宋体" w:hAnsi="宋体" w:cs="宋体" w:eastAsia="宋体" w:hint="default"/>
                <w:spacing w:val="-4"/>
                <w:sz w:val="18"/>
                <w:szCs w:val="18"/>
              </w:rPr>
              <w:t>）</w:t>
            </w:r>
            <w:r>
              <w:rPr>
                <w:rFonts w:ascii="宋体" w:hAnsi="宋体" w:cs="宋体" w:eastAsia="宋体" w:hint="default"/>
                <w:sz w:val="18"/>
                <w:szCs w:val="18"/>
              </w:rPr>
              <w:t> </w:t>
            </w:r>
          </w:p>
        </w:tc>
        <w:tc>
          <w:tcPr>
            <w:tcW w:w="1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限售股股数</w:t>
            </w:r>
            <w:r>
              <w:rPr>
                <w:rFonts w:ascii="宋体" w:hAnsi="宋体" w:cs="宋体" w:eastAsia="宋体" w:hint="default"/>
                <w:spacing w:val="-2"/>
                <w:sz w:val="18"/>
                <w:szCs w:val="18"/>
              </w:rPr>
              <w:t> </w:t>
            </w:r>
            <w:r>
              <w:rPr>
                <w:rFonts w:ascii="宋体" w:hAnsi="宋体" w:cs="宋体" w:eastAsia="宋体" w:hint="default"/>
                <w:sz w:val="18"/>
                <w:szCs w:val="18"/>
              </w:rPr>
              <w:t>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424" w:right="0"/>
              <w:jc w:val="left"/>
              <w:rPr>
                <w:rFonts w:ascii="宋体" w:hAnsi="宋体" w:cs="宋体" w:eastAsia="宋体" w:hint="default"/>
                <w:sz w:val="18"/>
                <w:szCs w:val="18"/>
              </w:rPr>
            </w:pPr>
            <w:r>
              <w:rPr>
                <w:rFonts w:ascii="宋体" w:hAnsi="宋体" w:cs="宋体" w:eastAsia="宋体" w:hint="default"/>
                <w:sz w:val="18"/>
                <w:szCs w:val="18"/>
              </w:rPr>
              <w:t>质押股数</w:t>
            </w:r>
            <w:r>
              <w:rPr>
                <w:rFonts w:ascii="宋体" w:hAnsi="宋体" w:cs="宋体" w:eastAsia="宋体" w:hint="default"/>
                <w:sz w:val="18"/>
                <w:szCs w:val="18"/>
              </w:rPr>
              <w:t> </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01" w:right="0"/>
              <w:jc w:val="left"/>
              <w:rPr>
                <w:rFonts w:ascii="宋体" w:hAnsi="宋体" w:cs="宋体" w:eastAsia="宋体" w:hint="default"/>
                <w:sz w:val="18"/>
                <w:szCs w:val="18"/>
              </w:rPr>
            </w:pPr>
            <w:r>
              <w:rPr>
                <w:rFonts w:ascii="宋体" w:hAnsi="宋体" w:cs="宋体" w:eastAsia="宋体" w:hint="default"/>
                <w:sz w:val="18"/>
                <w:szCs w:val="18"/>
              </w:rPr>
              <w:t>质押比例</w:t>
            </w:r>
            <w:r>
              <w:rPr>
                <w:rFonts w:ascii="宋体" w:hAnsi="宋体" w:cs="宋体" w:eastAsia="宋体" w:hint="default"/>
                <w:sz w:val="18"/>
                <w:szCs w:val="18"/>
              </w:rPr>
              <w:t>% </w:t>
            </w:r>
          </w:p>
        </w:tc>
      </w:tr>
      <w:tr>
        <w:trPr>
          <w:trHeight w:val="396" w:hRule="exact"/>
        </w:trPr>
        <w:tc>
          <w:tcPr>
            <w:tcW w:w="2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5" w:right="0"/>
              <w:jc w:val="left"/>
              <w:rPr>
                <w:rFonts w:ascii="宋体" w:hAnsi="宋体" w:cs="宋体" w:eastAsia="宋体" w:hint="default"/>
                <w:sz w:val="18"/>
                <w:szCs w:val="18"/>
              </w:rPr>
            </w:pPr>
            <w:r>
              <w:rPr>
                <w:rFonts w:ascii="宋体" w:hAnsi="宋体" w:cs="宋体" w:eastAsia="宋体" w:hint="default"/>
                <w:spacing w:val="-3"/>
                <w:sz w:val="18"/>
                <w:szCs w:val="18"/>
              </w:rPr>
              <w:t>孝昌鹰溪谷投资中心（有限合伙）</w:t>
            </w:r>
            <w:r>
              <w:rPr>
                <w:rFonts w:ascii="宋体" w:hAnsi="宋体" w:cs="宋体" w:eastAsia="宋体" w:hint="default"/>
                <w:sz w:val="18"/>
                <w:szCs w:val="18"/>
              </w:rPr>
              <w:t> </w:t>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41" w:right="0"/>
              <w:jc w:val="left"/>
              <w:rPr>
                <w:rFonts w:ascii="宋体" w:hAnsi="宋体" w:cs="宋体" w:eastAsia="宋体" w:hint="default"/>
                <w:sz w:val="18"/>
                <w:szCs w:val="18"/>
              </w:rPr>
            </w:pPr>
            <w:r>
              <w:rPr>
                <w:rFonts w:ascii="宋体"/>
                <w:sz w:val="18"/>
              </w:rPr>
              <w:t>148,360,844.00 </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22.17 </w:t>
            </w:r>
          </w:p>
        </w:tc>
        <w:tc>
          <w:tcPr>
            <w:tcW w:w="1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105,779,998.00 </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71.30 </w:t>
            </w:r>
          </w:p>
        </w:tc>
      </w:tr>
      <w:tr>
        <w:trPr>
          <w:trHeight w:val="396" w:hRule="exact"/>
        </w:trPr>
        <w:tc>
          <w:tcPr>
            <w:tcW w:w="2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中兆投资管理有限公司</w:t>
            </w:r>
            <w:r>
              <w:rPr>
                <w:rFonts w:ascii="宋体" w:hAnsi="宋体" w:cs="宋体" w:eastAsia="宋体" w:hint="default"/>
                <w:sz w:val="18"/>
                <w:szCs w:val="18"/>
              </w:rPr>
              <w:t> </w:t>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41" w:right="0"/>
              <w:jc w:val="left"/>
              <w:rPr>
                <w:rFonts w:ascii="宋体" w:hAnsi="宋体" w:cs="宋体" w:eastAsia="宋体" w:hint="default"/>
                <w:sz w:val="18"/>
                <w:szCs w:val="18"/>
              </w:rPr>
            </w:pPr>
            <w:r>
              <w:rPr>
                <w:rFonts w:ascii="宋体"/>
                <w:sz w:val="18"/>
              </w:rPr>
              <w:t>138,074,832.00 </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20.64 </w:t>
            </w:r>
          </w:p>
        </w:tc>
        <w:tc>
          <w:tcPr>
            <w:tcW w:w="1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131,415,800.00 </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95.18 </w:t>
            </w:r>
          </w:p>
        </w:tc>
      </w:tr>
      <w:tr>
        <w:trPr>
          <w:trHeight w:val="398" w:hRule="exact"/>
        </w:trPr>
        <w:tc>
          <w:tcPr>
            <w:tcW w:w="2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z w:val="18"/>
                <w:szCs w:val="18"/>
              </w:rPr>
              <w:t>刘英魁</w:t>
            </w:r>
            <w:r>
              <w:rPr>
                <w:rFonts w:ascii="宋体" w:hAnsi="宋体" w:cs="宋体" w:eastAsia="宋体" w:hint="default"/>
                <w:sz w:val="18"/>
                <w:szCs w:val="18"/>
              </w:rPr>
              <w:t> </w:t>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63,634,356.00</w:t>
            </w:r>
            <w:r>
              <w:rPr>
                <w:rFonts w:ascii="宋体"/>
                <w:sz w:val="18"/>
              </w:rPr>
              <w:t> </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9.51</w:t>
            </w:r>
            <w:r>
              <w:rPr>
                <w:rFonts w:ascii="宋体"/>
                <w:sz w:val="18"/>
              </w:rPr>
              <w:t> </w:t>
            </w:r>
          </w:p>
        </w:tc>
        <w:tc>
          <w:tcPr>
            <w:tcW w:w="1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47,275,097.00</w:t>
            </w:r>
            <w:r>
              <w:rPr>
                <w:rFonts w:ascii="宋体"/>
                <w:sz w:val="18"/>
              </w:rPr>
              <w:t>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5,158,332.00 </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8.11</w:t>
            </w:r>
            <w:r>
              <w:rPr>
                <w:rFonts w:ascii="宋体"/>
                <w:sz w:val="18"/>
              </w:rPr>
              <w:t> </w:t>
            </w:r>
          </w:p>
        </w:tc>
      </w:tr>
      <w:tr>
        <w:trPr>
          <w:trHeight w:val="396" w:hRule="exact"/>
        </w:trPr>
        <w:tc>
          <w:tcPr>
            <w:tcW w:w="2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5" w:right="0"/>
              <w:jc w:val="left"/>
              <w:rPr>
                <w:rFonts w:ascii="宋体" w:hAnsi="宋体" w:cs="宋体" w:eastAsia="宋体" w:hint="default"/>
                <w:sz w:val="18"/>
                <w:szCs w:val="18"/>
              </w:rPr>
            </w:pPr>
            <w:r>
              <w:rPr>
                <w:rFonts w:ascii="宋体" w:hAnsi="宋体" w:cs="宋体" w:eastAsia="宋体" w:hint="default"/>
                <w:spacing w:val="-3"/>
                <w:sz w:val="18"/>
                <w:szCs w:val="18"/>
              </w:rPr>
              <w:t>深圳通泰达投资中心（有限合伙）</w:t>
            </w:r>
            <w:r>
              <w:rPr>
                <w:rFonts w:ascii="宋体" w:hAnsi="宋体" w:cs="宋体" w:eastAsia="宋体" w:hint="default"/>
                <w:sz w:val="18"/>
                <w:szCs w:val="18"/>
              </w:rPr>
              <w:t> </w:t>
            </w:r>
          </w:p>
        </w:tc>
        <w:tc>
          <w:tcPr>
            <w:tcW w:w="15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56,620,000.00</w:t>
            </w:r>
            <w:r>
              <w:rPr>
                <w:rFonts w:ascii="宋体"/>
                <w:sz w:val="18"/>
              </w:rPr>
              <w:t> </w:t>
            </w:r>
          </w:p>
        </w:tc>
        <w:tc>
          <w:tcPr>
            <w:tcW w:w="8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8.46</w:t>
            </w:r>
            <w:r>
              <w:rPr>
                <w:rFonts w:ascii="宋体"/>
                <w:sz w:val="18"/>
              </w:rPr>
              <w:t> </w:t>
            </w:r>
          </w:p>
        </w:tc>
        <w:tc>
          <w:tcPr>
            <w:tcW w:w="15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56,620,000.00 </w:t>
            </w:r>
          </w:p>
        </w:tc>
        <w:tc>
          <w:tcPr>
            <w:tcW w:w="12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100.00</w:t>
            </w:r>
            <w:r>
              <w:rPr>
                <w:rFonts w:ascii="宋体"/>
                <w:sz w:val="18"/>
              </w:rPr>
              <w:t> </w:t>
            </w:r>
          </w:p>
        </w:tc>
      </w:tr>
    </w:tbl>
    <w:p>
      <w:pPr>
        <w:spacing w:line="240" w:lineRule="auto" w:before="7"/>
        <w:rPr>
          <w:rFonts w:ascii="宋体" w:hAnsi="宋体" w:cs="宋体" w:eastAsia="宋体" w:hint="default"/>
          <w:sz w:val="6"/>
          <w:szCs w:val="6"/>
        </w:rPr>
      </w:pPr>
    </w:p>
    <w:p>
      <w:pPr>
        <w:pStyle w:val="Heading3"/>
        <w:spacing w:line="240" w:lineRule="auto"/>
        <w:ind w:left="143" w:right="0"/>
        <w:jc w:val="both"/>
        <w:rPr>
          <w:rFonts w:ascii="宋体" w:hAnsi="宋体" w:cs="宋体" w:eastAsia="宋体" w:hint="default"/>
          <w:b w:val="0"/>
          <w:bCs w:val="0"/>
        </w:rPr>
      </w:pPr>
      <w:r>
        <w:rPr/>
        <w:t>十三、其他重要事项</w:t>
      </w:r>
      <w:r>
        <w:rPr>
          <w:rFonts w:ascii="宋体" w:hAnsi="宋体" w:cs="宋体" w:eastAsia="宋体" w:hint="default"/>
          <w:w w:val="99"/>
        </w:rPr>
        <w:t> </w:t>
      </w:r>
      <w:r>
        <w:rPr>
          <w:rFonts w:ascii="宋体" w:hAnsi="宋体" w:cs="宋体" w:eastAsia="宋体" w:hint="default"/>
          <w:b w:val="0"/>
          <w:bCs w:val="0"/>
        </w:rPr>
      </w:r>
    </w:p>
    <w:p>
      <w:pPr>
        <w:spacing w:line="391" w:lineRule="auto" w:before="154"/>
        <w:ind w:left="563" w:right="7673" w:hanging="209"/>
        <w:jc w:val="left"/>
        <w:rPr>
          <w:rFonts w:ascii="宋体" w:hAnsi="宋体" w:cs="宋体" w:eastAsia="宋体" w:hint="default"/>
          <w:sz w:val="21"/>
          <w:szCs w:val="21"/>
        </w:rPr>
      </w:pPr>
      <w:r>
        <w:rPr>
          <w:rFonts w:ascii="宋体" w:hAnsi="宋体" w:cs="宋体" w:eastAsia="宋体" w:hint="default"/>
          <w:b/>
          <w:bCs/>
          <w:sz w:val="21"/>
          <w:szCs w:val="21"/>
        </w:rPr>
        <w:t>（一）前期会计差错更正</w:t>
      </w:r>
      <w:r>
        <w:rPr>
          <w:rFonts w:ascii="宋体" w:hAnsi="宋体" w:cs="宋体" w:eastAsia="宋体" w:hint="default"/>
          <w:b/>
          <w:bCs/>
          <w:w w:val="99"/>
          <w:sz w:val="21"/>
          <w:szCs w:val="21"/>
        </w:rPr>
        <w:t> </w:t>
      </w:r>
      <w:r>
        <w:rPr>
          <w:rFonts w:ascii="宋体" w:hAnsi="宋体" w:cs="宋体" w:eastAsia="宋体" w:hint="default"/>
          <w:sz w:val="21"/>
          <w:szCs w:val="21"/>
        </w:rPr>
        <w:t>无。</w:t>
      </w:r>
      <w:r>
        <w:rPr>
          <w:rFonts w:ascii="宋体" w:hAnsi="宋体" w:cs="宋体" w:eastAsia="宋体" w:hint="default"/>
          <w:sz w:val="21"/>
          <w:szCs w:val="21"/>
        </w:rPr>
        <w:t> </w:t>
      </w:r>
    </w:p>
    <w:p>
      <w:pPr>
        <w:spacing w:line="374" w:lineRule="auto" w:before="39"/>
        <w:ind w:left="563" w:right="4847" w:hanging="209"/>
        <w:jc w:val="left"/>
        <w:rPr>
          <w:rFonts w:ascii="宋体" w:hAnsi="宋体" w:cs="宋体" w:eastAsia="宋体" w:hint="default"/>
          <w:sz w:val="21"/>
          <w:szCs w:val="21"/>
        </w:rPr>
      </w:pPr>
      <w:r>
        <w:rPr>
          <w:rFonts w:ascii="宋体" w:hAnsi="宋体" w:cs="宋体" w:eastAsia="宋体" w:hint="default"/>
          <w:b/>
          <w:bCs/>
          <w:sz w:val="21"/>
          <w:szCs w:val="21"/>
        </w:rPr>
        <w:t>（二）债务重组</w:t>
      </w:r>
      <w:r>
        <w:rPr>
          <w:rFonts w:ascii="宋体" w:hAnsi="宋体" w:cs="宋体" w:eastAsia="宋体" w:hint="default"/>
          <w:b/>
          <w:bCs/>
          <w:w w:val="99"/>
          <w:sz w:val="21"/>
          <w:szCs w:val="21"/>
        </w:rPr>
        <w:t> </w:t>
      </w:r>
      <w:r>
        <w:rPr>
          <w:rFonts w:ascii="宋体" w:hAnsi="宋体" w:cs="宋体" w:eastAsia="宋体" w:hint="default"/>
          <w:sz w:val="21"/>
          <w:szCs w:val="21"/>
        </w:rPr>
        <w:t>1</w:t>
      </w:r>
      <w:r>
        <w:rPr>
          <w:rFonts w:ascii="宋体" w:hAnsi="宋体" w:cs="宋体" w:eastAsia="宋体" w:hint="default"/>
          <w:sz w:val="21"/>
          <w:szCs w:val="21"/>
        </w:rPr>
        <w:t>、关于泰盛亚德茌平数据中心项目债务重组</w:t>
      </w:r>
      <w:r>
        <w:rPr>
          <w:rFonts w:ascii="宋体" w:hAnsi="宋体" w:cs="宋体" w:eastAsia="宋体" w:hint="default"/>
          <w:sz w:val="21"/>
          <w:szCs w:val="21"/>
        </w:rPr>
        <w:t> </w:t>
      </w:r>
    </w:p>
    <w:p>
      <w:pPr>
        <w:pStyle w:val="BodyText"/>
        <w:spacing w:line="237" w:lineRule="auto" w:before="37"/>
        <w:ind w:left="143" w:right="703" w:firstLine="420"/>
        <w:jc w:val="left"/>
        <w:rPr>
          <w:rFonts w:ascii="宋体" w:hAnsi="宋体" w:cs="宋体" w:eastAsia="宋体" w:hint="default"/>
        </w:rPr>
      </w:pPr>
      <w:r>
        <w:rPr>
          <w:rFonts w:ascii="宋体" w:hAnsi="宋体" w:cs="宋体" w:eastAsia="宋体" w:hint="default"/>
        </w:rPr>
        <w:t>2019</w:t>
      </w:r>
      <w:r>
        <w:rPr>
          <w:rFonts w:ascii="宋体" w:hAnsi="宋体" w:cs="宋体" w:eastAsia="宋体" w:hint="default"/>
          <w:spacing w:val="-47"/>
        </w:rPr>
        <w:t> </w:t>
      </w:r>
      <w:r>
        <w:rPr/>
        <w:t>年</w:t>
      </w:r>
      <w:r>
        <w:rPr>
          <w:spacing w:val="-49"/>
        </w:rPr>
        <w:t> </w:t>
      </w:r>
      <w:r>
        <w:rPr>
          <w:rFonts w:ascii="宋体" w:hAnsi="宋体" w:cs="宋体" w:eastAsia="宋体" w:hint="default"/>
        </w:rPr>
        <w:t>7</w:t>
      </w:r>
      <w:r>
        <w:rPr>
          <w:rFonts w:ascii="宋体" w:hAnsi="宋体" w:cs="宋体" w:eastAsia="宋体" w:hint="default"/>
          <w:spacing w:val="-46"/>
        </w:rPr>
        <w:t> </w:t>
      </w:r>
      <w:r>
        <w:rPr/>
        <w:t>月，长实通信、北京泰盛亚德数字科技有限公司茌平分公司（以下简称“泰盛亚德茌平分</w:t>
      </w:r>
      <w:r>
        <w:rPr>
          <w:w w:val="100"/>
        </w:rPr>
        <w:t> </w:t>
      </w:r>
      <w:r>
        <w:rPr>
          <w:spacing w:val="-7"/>
          <w:w w:val="100"/>
        </w:rPr>
        <w:t>公司”）与中国联合网络通信有限公司清远市分公司（以下简称“清远联通”）签订了《</w:t>
      </w:r>
      <w:r>
        <w:rPr>
          <w:rFonts w:ascii="宋体" w:hAnsi="宋体" w:cs="宋体" w:eastAsia="宋体" w:hint="default"/>
          <w:spacing w:val="-7"/>
          <w:w w:val="100"/>
        </w:rPr>
        <w:t>&lt;</w:t>
      </w:r>
      <w:r>
        <w:rPr>
          <w:spacing w:val="-7"/>
          <w:w w:val="100"/>
        </w:rPr>
        <w:t>关于数据中心建</w:t>
      </w:r>
      <w:r>
        <w:rPr>
          <w:spacing w:val="-80"/>
          <w:w w:val="100"/>
        </w:rPr>
        <w:t> </w:t>
      </w:r>
      <w:r>
        <w:rPr>
          <w:spacing w:val="-80"/>
          <w:w w:val="100"/>
        </w:rPr>
      </w:r>
      <w:r>
        <w:rPr>
          <w:spacing w:val="-11"/>
          <w:w w:val="100"/>
        </w:rPr>
        <w:t>设项目合同</w:t>
      </w:r>
      <w:r>
        <w:rPr>
          <w:rFonts w:ascii="宋体" w:hAnsi="宋体" w:cs="宋体" w:eastAsia="宋体" w:hint="default"/>
          <w:spacing w:val="-11"/>
          <w:w w:val="100"/>
        </w:rPr>
        <w:t>&gt;</w:t>
      </w:r>
      <w:r>
        <w:rPr>
          <w:spacing w:val="-11"/>
          <w:w w:val="100"/>
        </w:rPr>
        <w:t>的终止协议》（以下简称“终止协议”），因泰盛亚德茌平分公司业务发展规划及市场的变化，</w:t>
      </w:r>
      <w:r>
        <w:rPr>
          <w:spacing w:val="-94"/>
          <w:w w:val="100"/>
        </w:rPr>
        <w:t> </w:t>
      </w:r>
      <w:r>
        <w:rPr>
          <w:spacing w:val="-94"/>
          <w:w w:val="100"/>
        </w:rPr>
      </w:r>
      <w:r>
        <w:rPr>
          <w:spacing w:val="-1"/>
          <w:w w:val="100"/>
        </w:rPr>
        <w:t>三方决定终止于</w:t>
      </w:r>
      <w:r>
        <w:rPr>
          <w:spacing w:val="-39"/>
          <w:w w:val="100"/>
        </w:rPr>
        <w:t> </w:t>
      </w:r>
      <w:r>
        <w:rPr>
          <w:rFonts w:ascii="宋体" w:hAnsi="宋体" w:cs="宋体" w:eastAsia="宋体" w:hint="default"/>
          <w:w w:val="100"/>
        </w:rPr>
        <w:t>2018</w:t>
      </w:r>
      <w:r>
        <w:rPr>
          <w:rFonts w:ascii="宋体" w:hAnsi="宋体" w:cs="宋体" w:eastAsia="宋体" w:hint="default"/>
          <w:spacing w:val="-39"/>
          <w:w w:val="100"/>
        </w:rPr>
        <w:t> </w:t>
      </w:r>
      <w:r>
        <w:rPr>
          <w:w w:val="100"/>
        </w:rPr>
        <w:t>年</w:t>
      </w:r>
      <w:r>
        <w:rPr>
          <w:spacing w:val="-37"/>
          <w:w w:val="100"/>
        </w:rPr>
        <w:t> </w:t>
      </w:r>
      <w:r>
        <w:rPr>
          <w:rFonts w:ascii="宋体" w:hAnsi="宋体" w:cs="宋体" w:eastAsia="宋体" w:hint="default"/>
          <w:spacing w:val="-2"/>
          <w:w w:val="100"/>
        </w:rPr>
        <w:t>12</w:t>
      </w:r>
      <w:r>
        <w:rPr>
          <w:rFonts w:ascii="宋体" w:hAnsi="宋体" w:cs="宋体" w:eastAsia="宋体" w:hint="default"/>
          <w:spacing w:val="-37"/>
          <w:w w:val="100"/>
        </w:rPr>
        <w:t> </w:t>
      </w:r>
      <w:r>
        <w:rPr>
          <w:w w:val="100"/>
        </w:rPr>
        <w:t>月</w:t>
      </w:r>
      <w:r>
        <w:rPr>
          <w:spacing w:val="-36"/>
          <w:w w:val="100"/>
        </w:rPr>
        <w:t> </w:t>
      </w:r>
      <w:r>
        <w:rPr>
          <w:rFonts w:ascii="宋体" w:hAnsi="宋体" w:cs="宋体" w:eastAsia="宋体" w:hint="default"/>
          <w:w w:val="100"/>
        </w:rPr>
        <w:t>6</w:t>
      </w:r>
      <w:r>
        <w:rPr>
          <w:rFonts w:ascii="宋体" w:hAnsi="宋体" w:cs="宋体" w:eastAsia="宋体" w:hint="default"/>
          <w:spacing w:val="-37"/>
          <w:w w:val="100"/>
        </w:rPr>
        <w:t> </w:t>
      </w:r>
      <w:r>
        <w:rPr>
          <w:spacing w:val="-12"/>
          <w:w w:val="100"/>
        </w:rPr>
        <w:t>日签订的《关于数据中心建设项目合同》（以下简称“原合同”）。同日，</w:t>
      </w:r>
      <w:r>
        <w:rPr>
          <w:w w:val="100"/>
        </w:rPr>
        <w:t> </w:t>
      </w:r>
      <w:r>
        <w:rPr>
          <w:spacing w:val="-9"/>
          <w:w w:val="100"/>
        </w:rPr>
        <w:t>泰盛亚德茌平分公司与长实通信签订《数据中心建设项目回款协议》（以下简称“回款协议”），终止协议</w:t>
      </w:r>
      <w:r>
        <w:rPr>
          <w:spacing w:val="-98"/>
          <w:w w:val="100"/>
        </w:rPr>
        <w:t> </w:t>
      </w:r>
      <w:r>
        <w:rPr>
          <w:spacing w:val="-98"/>
          <w:w w:val="100"/>
        </w:rPr>
      </w:r>
      <w:r>
        <w:rPr>
          <w:spacing w:val="-3"/>
        </w:rPr>
        <w:t>及回款协议约定，自</w:t>
      </w:r>
      <w:r>
        <w:rPr>
          <w:spacing w:val="-40"/>
        </w:rPr>
        <w:t> </w:t>
      </w:r>
      <w:r>
        <w:rPr>
          <w:rFonts w:ascii="宋体" w:hAnsi="宋体" w:cs="宋体" w:eastAsia="宋体" w:hint="default"/>
        </w:rPr>
        <w:t>2019</w:t>
      </w:r>
      <w:r>
        <w:rPr>
          <w:rFonts w:ascii="宋体" w:hAnsi="宋体" w:cs="宋体" w:eastAsia="宋体" w:hint="default"/>
          <w:spacing w:val="-44"/>
        </w:rPr>
        <w:t> </w:t>
      </w:r>
      <w:r>
        <w:rPr/>
        <w:t>年</w:t>
      </w:r>
      <w:r>
        <w:rPr>
          <w:spacing w:val="-41"/>
        </w:rPr>
        <w:t> </w:t>
      </w:r>
      <w:r>
        <w:rPr>
          <w:rFonts w:ascii="宋体" w:hAnsi="宋体" w:cs="宋体" w:eastAsia="宋体" w:hint="default"/>
        </w:rPr>
        <w:t>7</w:t>
      </w:r>
      <w:r>
        <w:rPr>
          <w:rFonts w:ascii="宋体" w:hAnsi="宋体" w:cs="宋体" w:eastAsia="宋体" w:hint="default"/>
          <w:spacing w:val="-40"/>
        </w:rPr>
        <w:t> </w:t>
      </w:r>
      <w:r>
        <w:rPr>
          <w:spacing w:val="-3"/>
        </w:rPr>
        <w:t>月起，原合同中长实通信的权益，由泰盛亚德茌平分公司与长实通信协商</w:t>
      </w:r>
      <w:r>
        <w:rPr>
          <w:spacing w:val="-75"/>
        </w:rPr>
        <w:t> </w:t>
      </w:r>
      <w:r>
        <w:rPr>
          <w:spacing w:val="-75"/>
        </w:rPr>
      </w:r>
      <w:r>
        <w:rPr/>
        <w:t>解决，数据中心建设项目的工程款由泰盛亚德茌平分公司直接结算给长实通信。回款协议同时约定，泰</w:t>
      </w:r>
      <w:r>
        <w:rPr>
          <w:spacing w:val="-36"/>
        </w:rPr>
        <w:t> </w:t>
      </w:r>
      <w:r>
        <w:rPr>
          <w:spacing w:val="-36"/>
        </w:rPr>
      </w:r>
      <w:r>
        <w:rPr/>
        <w:t>盛亚德茌平分公司将数据中心相关资产抵押给长实通信，长实通信继续提供运维服务。如泰盛亚德茌平</w:t>
      </w:r>
      <w:r>
        <w:rPr>
          <w:spacing w:val="-36"/>
        </w:rPr>
        <w:t> </w:t>
      </w:r>
      <w:r>
        <w:rPr>
          <w:spacing w:val="-36"/>
        </w:rPr>
      </w:r>
      <w:r>
        <w:rPr/>
        <w:t>分公司延期支付欠付长实通信的建设款或维护费超过</w:t>
      </w:r>
      <w:r>
        <w:rPr>
          <w:spacing w:val="-56"/>
        </w:rPr>
        <w:t> </w:t>
      </w:r>
      <w:r>
        <w:rPr>
          <w:rFonts w:ascii="宋体" w:hAnsi="宋体" w:cs="宋体" w:eastAsia="宋体" w:hint="default"/>
        </w:rPr>
        <w:t>15</w:t>
      </w:r>
      <w:r>
        <w:rPr>
          <w:rFonts w:ascii="宋体" w:hAnsi="宋体" w:cs="宋体" w:eastAsia="宋体" w:hint="default"/>
          <w:spacing w:val="-59"/>
        </w:rPr>
        <w:t> </w:t>
      </w:r>
      <w:r>
        <w:rPr/>
        <w:t>天，长实通信有权解除合同。</w:t>
      </w:r>
      <w:r>
        <w:rPr>
          <w:rFonts w:ascii="宋体" w:hAnsi="宋体" w:cs="宋体" w:eastAsia="宋体" w:hint="default"/>
        </w:rPr>
        <w:t> </w:t>
      </w:r>
    </w:p>
    <w:p>
      <w:pPr>
        <w:pStyle w:val="BodyText"/>
        <w:spacing w:line="237" w:lineRule="auto" w:before="157"/>
        <w:ind w:left="143" w:right="1071" w:firstLine="420"/>
        <w:jc w:val="both"/>
      </w:pPr>
      <w:r>
        <w:rPr/>
        <w:t>由于数据中心所在地工业园区电力供应政策的影响，造成数据中心无法正常运营，泰盛亚德茌平分</w:t>
      </w:r>
      <w:r>
        <w:rPr>
          <w:w w:val="100"/>
        </w:rPr>
        <w:t> </w:t>
      </w:r>
      <w:r>
        <w:rPr>
          <w:spacing w:val="-3"/>
        </w:rPr>
        <w:t>公司无法按照回款协议约定时间及时支付数据机房工程款。</w:t>
      </w:r>
      <w:r>
        <w:rPr>
          <w:rFonts w:ascii="宋体" w:hAnsi="宋体" w:cs="宋体" w:eastAsia="宋体" w:hint="default"/>
          <w:spacing w:val="-3"/>
        </w:rPr>
        <w:t>2019</w:t>
      </w:r>
      <w:r>
        <w:rPr>
          <w:rFonts w:ascii="宋体" w:hAnsi="宋体" w:cs="宋体" w:eastAsia="宋体" w:hint="default"/>
          <w:spacing w:val="-34"/>
        </w:rPr>
        <w:t> </w:t>
      </w:r>
      <w:r>
        <w:rPr/>
        <w:t>年</w:t>
      </w:r>
      <w:r>
        <w:rPr>
          <w:spacing w:val="-31"/>
        </w:rPr>
        <w:t> </w:t>
      </w:r>
      <w:r>
        <w:rPr>
          <w:rFonts w:ascii="宋体" w:hAnsi="宋体" w:cs="宋体" w:eastAsia="宋体" w:hint="default"/>
        </w:rPr>
        <w:t>12</w:t>
      </w:r>
      <w:r>
        <w:rPr>
          <w:rFonts w:ascii="宋体" w:hAnsi="宋体" w:cs="宋体" w:eastAsia="宋体" w:hint="default"/>
          <w:spacing w:val="-31"/>
        </w:rPr>
        <w:t> </w:t>
      </w:r>
      <w:r>
        <w:rPr>
          <w:spacing w:val="-5"/>
        </w:rPr>
        <w:t>月，长实通信与泰盛亚德茌平分公</w:t>
      </w:r>
      <w:r>
        <w:rPr>
          <w:spacing w:val="-96"/>
        </w:rPr>
        <w:t> </w:t>
      </w:r>
      <w:r>
        <w:rPr>
          <w:spacing w:val="-96"/>
        </w:rPr>
      </w:r>
      <w:r>
        <w:rPr>
          <w:spacing w:val="-5"/>
          <w:w w:val="100"/>
        </w:rPr>
        <w:t>司签订《以资抵债协议》，泰盛亚德茌平分公司将位于茌平县信立源织业园内的数据中心及其相关附属品</w:t>
      </w:r>
      <w:r>
        <w:rPr>
          <w:spacing w:val="-74"/>
          <w:w w:val="100"/>
        </w:rPr>
        <w:t> </w:t>
      </w:r>
      <w:r>
        <w:rPr>
          <w:spacing w:val="-74"/>
          <w:w w:val="100"/>
        </w:rPr>
      </w:r>
      <w:r>
        <w:rPr>
          <w:spacing w:val="-3"/>
        </w:rPr>
        <w:t>转让给长实通信作抵偿所欠工程款。截止</w:t>
      </w:r>
      <w:r>
        <w:rPr>
          <w:spacing w:val="-40"/>
        </w:rPr>
        <w:t> </w:t>
      </w:r>
      <w:r>
        <w:rPr>
          <w:rFonts w:ascii="宋体" w:hAnsi="宋体" w:cs="宋体" w:eastAsia="宋体" w:hint="default"/>
        </w:rPr>
        <w:t>2019</w:t>
      </w:r>
      <w:r>
        <w:rPr>
          <w:rFonts w:ascii="宋体" w:hAnsi="宋体" w:cs="宋体" w:eastAsia="宋体" w:hint="default"/>
          <w:spacing w:val="-44"/>
        </w:rPr>
        <w:t> </w:t>
      </w:r>
      <w:r>
        <w:rPr/>
        <w:t>年</w:t>
      </w:r>
      <w:r>
        <w:rPr>
          <w:spacing w:val="-41"/>
        </w:rPr>
        <w:t> </w:t>
      </w:r>
      <w:r>
        <w:rPr>
          <w:rFonts w:ascii="宋体" w:hAnsi="宋体" w:cs="宋体" w:eastAsia="宋体" w:hint="default"/>
        </w:rPr>
        <w:t>12</w:t>
      </w:r>
      <w:r>
        <w:rPr>
          <w:rFonts w:ascii="宋体" w:hAnsi="宋体" w:cs="宋体" w:eastAsia="宋体" w:hint="default"/>
          <w:spacing w:val="-41"/>
        </w:rPr>
        <w:t> </w:t>
      </w:r>
      <w:r>
        <w:rPr/>
        <w:t>月</w:t>
      </w:r>
      <w:r>
        <w:rPr>
          <w:spacing w:val="-41"/>
        </w:rPr>
        <w:t> </w:t>
      </w:r>
      <w:r>
        <w:rPr>
          <w:rFonts w:ascii="宋体" w:hAnsi="宋体" w:cs="宋体" w:eastAsia="宋体" w:hint="default"/>
        </w:rPr>
        <w:t>23</w:t>
      </w:r>
      <w:r>
        <w:rPr>
          <w:rFonts w:ascii="宋体" w:hAnsi="宋体" w:cs="宋体" w:eastAsia="宋体" w:hint="default"/>
          <w:spacing w:val="-41"/>
        </w:rPr>
        <w:t> </w:t>
      </w:r>
      <w:r>
        <w:rPr>
          <w:spacing w:val="-3"/>
        </w:rPr>
        <w:t>日，长实通信应收泰盛亚德茌平数据中心项目</w:t>
      </w:r>
    </w:p>
    <w:p>
      <w:pPr>
        <w:pStyle w:val="BodyText"/>
        <w:spacing w:line="237" w:lineRule="auto"/>
        <w:ind w:left="143" w:right="1071"/>
        <w:jc w:val="both"/>
        <w:rPr>
          <w:rFonts w:ascii="宋体" w:hAnsi="宋体" w:cs="宋体" w:eastAsia="宋体" w:hint="default"/>
        </w:rPr>
      </w:pPr>
      <w:r>
        <w:rPr>
          <w:spacing w:val="-2"/>
          <w:w w:val="100"/>
        </w:rPr>
        <w:t>涉及长期应收款净额</w:t>
      </w:r>
      <w:r>
        <w:rPr>
          <w:spacing w:val="-48"/>
          <w:w w:val="100"/>
        </w:rPr>
        <w:t> </w:t>
      </w:r>
      <w:r>
        <w:rPr>
          <w:rFonts w:ascii="宋体" w:hAnsi="宋体" w:cs="宋体" w:eastAsia="宋体" w:hint="default"/>
          <w:spacing w:val="-1"/>
          <w:w w:val="100"/>
        </w:rPr>
        <w:t>47,710,369.11</w:t>
      </w:r>
      <w:r>
        <w:rPr>
          <w:rFonts w:ascii="宋体" w:hAnsi="宋体" w:cs="宋体" w:eastAsia="宋体" w:hint="default"/>
          <w:spacing w:val="-50"/>
          <w:w w:val="100"/>
        </w:rPr>
        <w:t> </w:t>
      </w:r>
      <w:r>
        <w:rPr>
          <w:spacing w:val="-6"/>
          <w:w w:val="100"/>
        </w:rPr>
        <w:t>元（扣除未实现融资收益），根据北京国融兴华资产评估有限责任公</w:t>
      </w:r>
      <w:r>
        <w:rPr>
          <w:spacing w:val="-104"/>
          <w:w w:val="100"/>
        </w:rPr>
        <w:t> </w:t>
      </w:r>
      <w:r>
        <w:rPr>
          <w:spacing w:val="-104"/>
          <w:w w:val="100"/>
        </w:rPr>
      </w:r>
      <w:r>
        <w:rPr>
          <w:spacing w:val="-5"/>
          <w:w w:val="100"/>
        </w:rPr>
        <w:t>司出具的《广东长实通信科技有限公司建设茌平数据机房抵债收回的资产项目资产评估报告》，茌平数据</w:t>
      </w:r>
      <w:r>
        <w:rPr>
          <w:spacing w:val="-76"/>
          <w:w w:val="100"/>
        </w:rPr>
        <w:t> </w:t>
      </w:r>
      <w:r>
        <w:rPr>
          <w:spacing w:val="-76"/>
          <w:w w:val="100"/>
        </w:rPr>
      </w:r>
      <w:r>
        <w:rPr/>
        <w:t>中心及相关附属品评估价值为</w:t>
      </w:r>
      <w:r>
        <w:rPr>
          <w:spacing w:val="-53"/>
        </w:rPr>
        <w:t> </w:t>
      </w:r>
      <w:r>
        <w:rPr>
          <w:rFonts w:ascii="宋体" w:hAnsi="宋体" w:cs="宋体" w:eastAsia="宋体" w:hint="default"/>
        </w:rPr>
        <w:t>18,056,534.00</w:t>
      </w:r>
      <w:r>
        <w:rPr>
          <w:rFonts w:ascii="宋体" w:hAnsi="宋体" w:cs="宋体" w:eastAsia="宋体" w:hint="default"/>
          <w:spacing w:val="-56"/>
        </w:rPr>
        <w:t> </w:t>
      </w:r>
      <w:r>
        <w:rPr/>
        <w:t>元，差额确认债务重组损失</w:t>
      </w:r>
      <w:r>
        <w:rPr>
          <w:spacing w:val="-54"/>
        </w:rPr>
        <w:t> </w:t>
      </w:r>
      <w:r>
        <w:rPr>
          <w:rFonts w:ascii="宋体" w:hAnsi="宋体" w:cs="宋体" w:eastAsia="宋体" w:hint="default"/>
        </w:rPr>
        <w:t>29,653,835.11</w:t>
      </w:r>
      <w:r>
        <w:rPr>
          <w:rFonts w:ascii="宋体" w:hAnsi="宋体" w:cs="宋体" w:eastAsia="宋体" w:hint="default"/>
          <w:spacing w:val="-53"/>
        </w:rPr>
        <w:t> </w:t>
      </w:r>
      <w:r>
        <w:rPr>
          <w:spacing w:val="-3"/>
        </w:rPr>
        <w:t>元。</w:t>
      </w:r>
      <w:r>
        <w:rPr>
          <w:rFonts w:ascii="宋体" w:hAnsi="宋体" w:cs="宋体" w:eastAsia="宋体" w:hint="default"/>
        </w:rPr>
        <w:t> </w:t>
      </w:r>
    </w:p>
    <w:p>
      <w:pPr>
        <w:pStyle w:val="BodyText"/>
        <w:spacing w:line="240" w:lineRule="auto" w:before="155"/>
        <w:ind w:left="563" w:right="1146"/>
        <w:jc w:val="left"/>
        <w:rPr>
          <w:rFonts w:ascii="宋体" w:hAnsi="宋体" w:cs="宋体" w:eastAsia="宋体" w:hint="default"/>
        </w:rPr>
      </w:pPr>
      <w:r>
        <w:rPr>
          <w:rFonts w:ascii="宋体" w:hAnsi="宋体" w:cs="宋体" w:eastAsia="宋体" w:hint="default"/>
        </w:rPr>
        <w:t>2</w:t>
      </w:r>
      <w:r>
        <w:rPr/>
        <w:t>、关于泰盛亚德汶川数据中心项目债务重组</w:t>
      </w:r>
      <w:r>
        <w:rPr>
          <w:rFonts w:ascii="宋体" w:hAnsi="宋体" w:cs="宋体" w:eastAsia="宋体" w:hint="default"/>
        </w:rPr>
        <w:t> </w:t>
      </w:r>
    </w:p>
    <w:p>
      <w:pPr>
        <w:pStyle w:val="BodyText"/>
        <w:spacing w:line="240" w:lineRule="auto" w:before="152"/>
        <w:ind w:left="143" w:right="703" w:firstLine="420"/>
        <w:jc w:val="left"/>
      </w:pPr>
      <w:r>
        <w:rPr>
          <w:rFonts w:ascii="宋体" w:hAnsi="宋体" w:cs="宋体" w:eastAsia="宋体" w:hint="default"/>
        </w:rPr>
        <w:t>2018</w:t>
      </w:r>
      <w:r>
        <w:rPr>
          <w:rFonts w:ascii="宋体" w:hAnsi="宋体" w:cs="宋体" w:eastAsia="宋体" w:hint="default"/>
          <w:spacing w:val="3"/>
        </w:rPr>
        <w:t> </w:t>
      </w:r>
      <w:r>
        <w:rPr>
          <w:spacing w:val="-4"/>
        </w:rPr>
        <w:t>年度，长实通信以分期收款方式承建北京泰盛亚德数字科技有限公司汶川数据中心的建设项目，</w:t>
      </w:r>
      <w:r>
        <w:rPr>
          <w:w w:val="100"/>
        </w:rPr>
        <w:t> </w:t>
      </w:r>
      <w:r>
        <w:rPr/>
        <w:t>同时建成后为其提供维护服务。</w:t>
      </w:r>
      <w:r>
        <w:rPr>
          <w:rFonts w:ascii="宋体" w:hAnsi="宋体" w:cs="宋体" w:eastAsia="宋体" w:hint="default"/>
        </w:rPr>
        <w:t>2019</w:t>
      </w:r>
      <w:r>
        <w:rPr>
          <w:rFonts w:ascii="宋体" w:hAnsi="宋体" w:cs="宋体" w:eastAsia="宋体" w:hint="default"/>
          <w:spacing w:val="-49"/>
        </w:rPr>
        <w:t> </w:t>
      </w:r>
      <w:r>
        <w:rPr/>
        <w:t>年</w:t>
      </w:r>
      <w:r>
        <w:rPr>
          <w:spacing w:val="-46"/>
        </w:rPr>
        <w:t> </w:t>
      </w:r>
      <w:r>
        <w:rPr>
          <w:rFonts w:ascii="宋体" w:hAnsi="宋体" w:cs="宋体" w:eastAsia="宋体" w:hint="default"/>
        </w:rPr>
        <w:t>8</w:t>
      </w:r>
      <w:r>
        <w:rPr>
          <w:rFonts w:ascii="宋体" w:hAnsi="宋体" w:cs="宋体" w:eastAsia="宋体" w:hint="default"/>
          <w:spacing w:val="-49"/>
        </w:rPr>
        <w:t> </w:t>
      </w:r>
      <w:r>
        <w:rPr/>
        <w:t>月，四川省汶川县发生特大泥石流灾害，汶川县水磨镇数据中</w:t>
      </w:r>
    </w:p>
    <w:p>
      <w:pPr>
        <w:spacing w:after="0" w:line="240" w:lineRule="auto"/>
        <w:jc w:val="left"/>
        <w:sectPr>
          <w:pgSz w:w="11910" w:h="16840"/>
          <w:pgMar w:header="880" w:footer="975" w:top="1100" w:bottom="1160" w:left="1160" w:right="0"/>
        </w:sectPr>
      </w:pPr>
    </w:p>
    <w:p>
      <w:pPr>
        <w:spacing w:line="240" w:lineRule="auto" w:before="3"/>
        <w:rPr>
          <w:rFonts w:ascii="宋体" w:hAnsi="宋体" w:cs="宋体" w:eastAsia="宋体" w:hint="default"/>
          <w:sz w:val="19"/>
          <w:szCs w:val="19"/>
        </w:rPr>
      </w:pPr>
    </w:p>
    <w:p>
      <w:pPr>
        <w:pStyle w:val="BodyText"/>
        <w:spacing w:line="272" w:lineRule="exact" w:before="64"/>
        <w:ind w:left="163" w:right="1068"/>
        <w:jc w:val="left"/>
        <w:rPr>
          <w:rFonts w:ascii="宋体" w:hAnsi="宋体" w:cs="宋体" w:eastAsia="宋体" w:hint="default"/>
        </w:rPr>
      </w:pPr>
      <w:r>
        <w:rPr>
          <w:spacing w:val="-7"/>
        </w:rPr>
        <w:t>心及其设备等受到严重破坏，已无法运营。</w:t>
      </w:r>
      <w:r>
        <w:rPr>
          <w:rFonts w:ascii="宋体" w:hAnsi="宋体" w:cs="宋体" w:eastAsia="宋体" w:hint="default"/>
          <w:spacing w:val="-7"/>
        </w:rPr>
        <w:t>2019</w:t>
      </w:r>
      <w:r>
        <w:rPr>
          <w:rFonts w:ascii="宋体" w:hAnsi="宋体" w:cs="宋体" w:eastAsia="宋体" w:hint="default"/>
          <w:spacing w:val="-27"/>
        </w:rPr>
        <w:t> </w:t>
      </w:r>
      <w:r>
        <w:rPr/>
        <w:t>年</w:t>
      </w:r>
      <w:r>
        <w:rPr>
          <w:spacing w:val="-30"/>
        </w:rPr>
        <w:t> </w:t>
      </w:r>
      <w:r>
        <w:rPr>
          <w:rFonts w:ascii="宋体" w:hAnsi="宋体" w:cs="宋体" w:eastAsia="宋体" w:hint="default"/>
        </w:rPr>
        <w:t>12</w:t>
      </w:r>
      <w:r>
        <w:rPr>
          <w:rFonts w:ascii="宋体" w:hAnsi="宋体" w:cs="宋体" w:eastAsia="宋体" w:hint="default"/>
          <w:spacing w:val="-27"/>
        </w:rPr>
        <w:t> </w:t>
      </w:r>
      <w:r>
        <w:rPr>
          <w:spacing w:val="-10"/>
        </w:rPr>
        <w:t>月，泰盛亚德与长实通信汶川分公司（以下简称“汶</w:t>
      </w:r>
      <w:r>
        <w:rPr>
          <w:spacing w:val="-94"/>
        </w:rPr>
        <w:t> </w:t>
      </w:r>
      <w:r>
        <w:rPr>
          <w:spacing w:val="-94"/>
        </w:rPr>
      </w:r>
      <w:r>
        <w:rPr>
          <w:spacing w:val="-7"/>
          <w:w w:val="100"/>
        </w:rPr>
        <w:t>川分公司”）签订《关于汶川水磨镇数据中心建设、维护项目终止的协议》，协议规定，泰盛亚德于</w:t>
      </w:r>
      <w:r>
        <w:rPr>
          <w:spacing w:val="6"/>
          <w:w w:val="100"/>
        </w:rPr>
        <w:t> </w:t>
      </w:r>
      <w:r>
        <w:rPr>
          <w:rFonts w:ascii="宋体" w:hAnsi="宋体" w:cs="宋体" w:eastAsia="宋体" w:hint="default"/>
          <w:spacing w:val="-1"/>
          <w:w w:val="100"/>
        </w:rPr>
        <w:t>2019</w:t>
      </w:r>
    </w:p>
    <w:p>
      <w:pPr>
        <w:pStyle w:val="BodyText"/>
        <w:spacing w:line="247" w:lineRule="exact"/>
        <w:ind w:left="163" w:right="0"/>
        <w:jc w:val="left"/>
      </w:pPr>
      <w:r>
        <w:rPr/>
        <w:t>年</w:t>
      </w:r>
      <w:r>
        <w:rPr>
          <w:spacing w:val="-41"/>
        </w:rPr>
        <w:t> </w:t>
      </w:r>
      <w:r>
        <w:rPr>
          <w:rFonts w:ascii="宋体" w:hAnsi="宋体" w:cs="宋体" w:eastAsia="宋体" w:hint="default"/>
        </w:rPr>
        <w:t>12</w:t>
      </w:r>
      <w:r>
        <w:rPr>
          <w:rFonts w:ascii="宋体" w:hAnsi="宋体" w:cs="宋体" w:eastAsia="宋体" w:hint="default"/>
          <w:spacing w:val="-42"/>
        </w:rPr>
        <w:t> </w:t>
      </w:r>
      <w:r>
        <w:rPr/>
        <w:t>月</w:t>
      </w:r>
      <w:r>
        <w:rPr>
          <w:spacing w:val="-42"/>
        </w:rPr>
        <w:t> </w:t>
      </w:r>
      <w:r>
        <w:rPr>
          <w:rFonts w:ascii="宋体" w:hAnsi="宋体" w:cs="宋体" w:eastAsia="宋体" w:hint="default"/>
        </w:rPr>
        <w:t>30</w:t>
      </w:r>
      <w:r>
        <w:rPr>
          <w:rFonts w:ascii="宋体" w:hAnsi="宋体" w:cs="宋体" w:eastAsia="宋体" w:hint="default"/>
          <w:spacing w:val="-42"/>
        </w:rPr>
        <w:t> </w:t>
      </w:r>
      <w:r>
        <w:rPr/>
        <w:t>日前支付应付建设款</w:t>
      </w:r>
      <w:r>
        <w:rPr>
          <w:spacing w:val="-44"/>
        </w:rPr>
        <w:t> </w:t>
      </w:r>
      <w:r>
        <w:rPr>
          <w:rFonts w:ascii="宋体" w:hAnsi="宋体" w:cs="宋体" w:eastAsia="宋体" w:hint="default"/>
        </w:rPr>
        <w:t>240</w:t>
      </w:r>
      <w:r>
        <w:rPr>
          <w:rFonts w:ascii="宋体" w:hAnsi="宋体" w:cs="宋体" w:eastAsia="宋体" w:hint="default"/>
          <w:spacing w:val="-44"/>
        </w:rPr>
        <w:t> </w:t>
      </w:r>
      <w:r>
        <w:rPr/>
        <w:t>万元，以汶川数据中心现有资产交割给汶川分公司，以抵偿欠付长</w:t>
      </w:r>
    </w:p>
    <w:p>
      <w:pPr>
        <w:pStyle w:val="BodyText"/>
        <w:spacing w:line="272" w:lineRule="exact"/>
        <w:ind w:left="163" w:right="0"/>
        <w:jc w:val="left"/>
      </w:pPr>
      <w:r>
        <w:rPr/>
        <w:t>实通信其余</w:t>
      </w:r>
      <w:r>
        <w:rPr>
          <w:spacing w:val="-45"/>
        </w:rPr>
        <w:t> </w:t>
      </w:r>
      <w:r>
        <w:rPr>
          <w:rFonts w:ascii="宋体" w:hAnsi="宋体" w:cs="宋体" w:eastAsia="宋体" w:hint="default"/>
        </w:rPr>
        <w:t>350</w:t>
      </w:r>
      <w:r>
        <w:rPr>
          <w:rFonts w:ascii="宋体" w:hAnsi="宋体" w:cs="宋体" w:eastAsia="宋体" w:hint="default"/>
          <w:spacing w:val="-48"/>
        </w:rPr>
        <w:t> </w:t>
      </w:r>
      <w:r>
        <w:rPr>
          <w:spacing w:val="-3"/>
        </w:rPr>
        <w:t>万元（不含未实现融资收益）建设款。截止</w:t>
      </w:r>
      <w:r>
        <w:rPr>
          <w:spacing w:val="-46"/>
        </w:rPr>
        <w:t> </w:t>
      </w:r>
      <w:r>
        <w:rPr>
          <w:rFonts w:ascii="宋体" w:hAnsi="宋体" w:cs="宋体" w:eastAsia="宋体" w:hint="default"/>
        </w:rPr>
        <w:t>2019</w:t>
      </w:r>
      <w:r>
        <w:rPr>
          <w:rFonts w:ascii="宋体" w:hAnsi="宋体" w:cs="宋体" w:eastAsia="宋体" w:hint="default"/>
          <w:spacing w:val="-46"/>
        </w:rPr>
        <w:t> </w:t>
      </w:r>
      <w:r>
        <w:rPr/>
        <w:t>年</w:t>
      </w:r>
      <w:r>
        <w:rPr>
          <w:spacing w:val="-48"/>
        </w:rPr>
        <w:t> </w:t>
      </w:r>
      <w:r>
        <w:rPr>
          <w:rFonts w:ascii="宋体" w:hAnsi="宋体" w:cs="宋体" w:eastAsia="宋体" w:hint="default"/>
        </w:rPr>
        <w:t>12</w:t>
      </w:r>
      <w:r>
        <w:rPr>
          <w:rFonts w:ascii="宋体" w:hAnsi="宋体" w:cs="宋体" w:eastAsia="宋体" w:hint="default"/>
          <w:spacing w:val="-48"/>
        </w:rPr>
        <w:t> </w:t>
      </w:r>
      <w:r>
        <w:rPr/>
        <w:t>月</w:t>
      </w:r>
      <w:r>
        <w:rPr>
          <w:spacing w:val="-46"/>
        </w:rPr>
        <w:t> </w:t>
      </w:r>
      <w:r>
        <w:rPr>
          <w:rFonts w:ascii="宋体" w:hAnsi="宋体" w:cs="宋体" w:eastAsia="宋体" w:hint="default"/>
        </w:rPr>
        <w:t>20</w:t>
      </w:r>
      <w:r>
        <w:rPr>
          <w:rFonts w:ascii="宋体" w:hAnsi="宋体" w:cs="宋体" w:eastAsia="宋体" w:hint="default"/>
          <w:spacing w:val="-48"/>
        </w:rPr>
        <w:t> </w:t>
      </w:r>
      <w:r>
        <w:rPr>
          <w:spacing w:val="-3"/>
        </w:rPr>
        <w:t>日，经管理层评估，汶川数</w:t>
      </w:r>
    </w:p>
    <w:p>
      <w:pPr>
        <w:pStyle w:val="BodyText"/>
        <w:spacing w:line="274" w:lineRule="exact"/>
        <w:ind w:left="163" w:right="1067"/>
        <w:jc w:val="left"/>
        <w:rPr>
          <w:rFonts w:ascii="宋体" w:hAnsi="宋体" w:cs="宋体" w:eastAsia="宋体" w:hint="default"/>
        </w:rPr>
      </w:pPr>
      <w:r>
        <w:rPr/>
        <w:t>据中心及其相关附属品已无实际价值，确认债务重组损失</w:t>
      </w:r>
      <w:r>
        <w:rPr>
          <w:spacing w:val="-55"/>
        </w:rPr>
        <w:t> </w:t>
      </w:r>
      <w:r>
        <w:rPr>
          <w:rFonts w:ascii="宋体" w:hAnsi="宋体" w:cs="宋体" w:eastAsia="宋体" w:hint="default"/>
        </w:rPr>
        <w:t>3,291,351.96</w:t>
      </w:r>
      <w:r>
        <w:rPr>
          <w:rFonts w:ascii="宋体" w:hAnsi="宋体" w:cs="宋体" w:eastAsia="宋体" w:hint="default"/>
          <w:spacing w:val="-55"/>
        </w:rPr>
        <w:t> </w:t>
      </w:r>
      <w:r>
        <w:rPr>
          <w:spacing w:val="-3"/>
        </w:rPr>
        <w:t>元。</w:t>
      </w:r>
      <w:r>
        <w:rPr>
          <w:rFonts w:ascii="宋体" w:hAnsi="宋体" w:cs="宋体" w:eastAsia="宋体" w:hint="default"/>
        </w:rPr>
        <w:t> </w:t>
      </w:r>
    </w:p>
    <w:p>
      <w:pPr>
        <w:pStyle w:val="BodyText"/>
        <w:spacing w:line="405" w:lineRule="auto" w:before="152"/>
        <w:ind w:left="583" w:right="8066" w:hanging="209"/>
        <w:jc w:val="left"/>
        <w:rPr>
          <w:rFonts w:ascii="宋体" w:hAnsi="宋体" w:cs="宋体" w:eastAsia="宋体" w:hint="default"/>
        </w:rPr>
      </w:pPr>
      <w:r>
        <w:rPr>
          <w:rFonts w:ascii="宋体" w:hAnsi="宋体" w:cs="宋体" w:eastAsia="宋体" w:hint="default"/>
          <w:b/>
          <w:bCs/>
        </w:rPr>
        <w:t>（三）资产置换</w:t>
      </w:r>
      <w:r>
        <w:rPr>
          <w:rFonts w:ascii="宋体" w:hAnsi="宋体" w:cs="宋体" w:eastAsia="宋体" w:hint="default"/>
          <w:b/>
          <w:bCs/>
          <w:w w:val="99"/>
        </w:rPr>
        <w:t> </w:t>
      </w:r>
      <w:r>
        <w:rPr>
          <w:rFonts w:ascii="宋体" w:hAnsi="宋体" w:cs="宋体" w:eastAsia="宋体" w:hint="default"/>
        </w:rPr>
        <w:t>1</w:t>
      </w:r>
      <w:r>
        <w:rPr/>
        <w:t>、非货币性资产交换</w:t>
      </w:r>
      <w:r>
        <w:rPr>
          <w:rFonts w:ascii="宋体" w:hAnsi="宋体" w:cs="宋体" w:eastAsia="宋体" w:hint="default"/>
          <w:w w:val="100"/>
        </w:rPr>
        <w:t> </w:t>
      </w:r>
      <w:r>
        <w:rPr/>
        <w:t>无。</w:t>
      </w:r>
      <w:r>
        <w:rPr>
          <w:spacing w:val="-3"/>
        </w:rPr>
        <w:t> </w:t>
      </w:r>
      <w:r>
        <w:rPr>
          <w:rFonts w:ascii="宋体" w:hAnsi="宋体" w:cs="宋体" w:eastAsia="宋体" w:hint="default"/>
          <w:spacing w:val="-3"/>
        </w:rPr>
      </w:r>
      <w:r>
        <w:rPr>
          <w:rFonts w:ascii="宋体" w:hAnsi="宋体" w:cs="宋体" w:eastAsia="宋体" w:hint="default"/>
        </w:rPr>
        <w:t>2</w:t>
      </w:r>
      <w:r>
        <w:rPr/>
        <w:t>、其他资产置换</w:t>
      </w:r>
      <w:r>
        <w:rPr>
          <w:rFonts w:ascii="宋体" w:hAnsi="宋体" w:cs="宋体" w:eastAsia="宋体" w:hint="default"/>
          <w:w w:val="100"/>
        </w:rPr>
        <w:t> </w:t>
      </w:r>
      <w:r>
        <w:rPr>
          <w:rFonts w:ascii="宋体" w:hAnsi="宋体" w:cs="宋体" w:eastAsia="宋体" w:hint="default"/>
          <w:w w:val="100"/>
        </w:rPr>
        <w:t>                                                                                </w:t>
      </w:r>
      <w:r>
        <w:rPr/>
        <w:t>无。</w:t>
      </w:r>
      <w:r>
        <w:rPr>
          <w:rFonts w:ascii="宋体" w:hAnsi="宋体" w:cs="宋体" w:eastAsia="宋体" w:hint="default"/>
        </w:rPr>
        <w:t> </w:t>
      </w:r>
    </w:p>
    <w:p>
      <w:pPr>
        <w:spacing w:line="393" w:lineRule="auto" w:before="26"/>
        <w:ind w:left="583" w:right="8516" w:hanging="209"/>
        <w:jc w:val="left"/>
        <w:rPr>
          <w:rFonts w:ascii="宋体" w:hAnsi="宋体" w:cs="宋体" w:eastAsia="宋体" w:hint="default"/>
          <w:sz w:val="21"/>
          <w:szCs w:val="21"/>
        </w:rPr>
      </w:pPr>
      <w:r>
        <w:rPr>
          <w:rFonts w:ascii="宋体" w:hAnsi="宋体" w:cs="宋体" w:eastAsia="宋体" w:hint="default"/>
          <w:b/>
          <w:bCs/>
          <w:sz w:val="21"/>
          <w:szCs w:val="21"/>
        </w:rPr>
        <w:t>（四）年金计划</w:t>
      </w:r>
      <w:r>
        <w:rPr>
          <w:rFonts w:ascii="宋体" w:hAnsi="宋体" w:cs="宋体" w:eastAsia="宋体" w:hint="default"/>
          <w:b/>
          <w:bCs/>
          <w:w w:val="99"/>
          <w:sz w:val="21"/>
          <w:szCs w:val="21"/>
        </w:rPr>
        <w:t> </w:t>
      </w:r>
      <w:r>
        <w:rPr>
          <w:rFonts w:ascii="宋体" w:hAnsi="宋体" w:cs="宋体" w:eastAsia="宋体" w:hint="default"/>
          <w:sz w:val="21"/>
          <w:szCs w:val="21"/>
        </w:rPr>
        <w:t>无。</w:t>
      </w:r>
      <w:r>
        <w:rPr>
          <w:rFonts w:ascii="宋体" w:hAnsi="宋体" w:cs="宋体" w:eastAsia="宋体" w:hint="default"/>
          <w:sz w:val="21"/>
          <w:szCs w:val="21"/>
        </w:rPr>
        <w:t> </w:t>
      </w:r>
    </w:p>
    <w:p>
      <w:pPr>
        <w:spacing w:line="393" w:lineRule="auto" w:before="37"/>
        <w:ind w:left="583" w:right="8516" w:hanging="209"/>
        <w:jc w:val="left"/>
        <w:rPr>
          <w:rFonts w:ascii="宋体" w:hAnsi="宋体" w:cs="宋体" w:eastAsia="宋体" w:hint="default"/>
          <w:sz w:val="21"/>
          <w:szCs w:val="21"/>
        </w:rPr>
      </w:pPr>
      <w:r>
        <w:rPr>
          <w:rFonts w:ascii="宋体" w:hAnsi="宋体" w:cs="宋体" w:eastAsia="宋体" w:hint="default"/>
          <w:b/>
          <w:bCs/>
          <w:sz w:val="21"/>
          <w:szCs w:val="21"/>
        </w:rPr>
        <w:t>（五）终止经营</w:t>
      </w:r>
      <w:r>
        <w:rPr>
          <w:rFonts w:ascii="宋体" w:hAnsi="宋体" w:cs="宋体" w:eastAsia="宋体" w:hint="default"/>
          <w:b/>
          <w:bCs/>
          <w:w w:val="99"/>
          <w:sz w:val="21"/>
          <w:szCs w:val="21"/>
        </w:rPr>
        <w:t> </w:t>
      </w:r>
      <w:r>
        <w:rPr>
          <w:rFonts w:ascii="宋体" w:hAnsi="宋体" w:cs="宋体" w:eastAsia="宋体" w:hint="default"/>
          <w:sz w:val="21"/>
          <w:szCs w:val="21"/>
        </w:rPr>
        <w:t>无。</w:t>
      </w:r>
      <w:r>
        <w:rPr>
          <w:rFonts w:ascii="宋体" w:hAnsi="宋体" w:cs="宋体" w:eastAsia="宋体" w:hint="default"/>
          <w:sz w:val="21"/>
          <w:szCs w:val="21"/>
        </w:rPr>
        <w:t> </w:t>
      </w:r>
    </w:p>
    <w:p>
      <w:pPr>
        <w:spacing w:line="372" w:lineRule="auto" w:before="37"/>
        <w:ind w:left="586" w:right="5986" w:hanging="212"/>
        <w:jc w:val="left"/>
        <w:rPr>
          <w:rFonts w:ascii="宋体" w:hAnsi="宋体" w:cs="宋体" w:eastAsia="宋体" w:hint="default"/>
          <w:sz w:val="21"/>
          <w:szCs w:val="21"/>
        </w:rPr>
      </w:pPr>
      <w:r>
        <w:rPr>
          <w:rFonts w:ascii="宋体" w:hAnsi="宋体" w:cs="宋体" w:eastAsia="宋体" w:hint="default"/>
          <w:b/>
          <w:bCs/>
          <w:sz w:val="21"/>
          <w:szCs w:val="21"/>
        </w:rPr>
        <w:t>（六）分部信息</w:t>
      </w:r>
      <w:r>
        <w:rPr>
          <w:rFonts w:ascii="宋体" w:hAnsi="宋体" w:cs="宋体" w:eastAsia="宋体" w:hint="default"/>
          <w:b/>
          <w:bCs/>
          <w:w w:val="99"/>
          <w:sz w:val="21"/>
          <w:szCs w:val="21"/>
        </w:rPr>
        <w:t> </w:t>
      </w:r>
      <w:r>
        <w:rPr>
          <w:rFonts w:ascii="宋体" w:hAnsi="宋体" w:cs="宋体" w:eastAsia="宋体" w:hint="default"/>
          <w:b/>
          <w:bCs/>
          <w:sz w:val="21"/>
          <w:szCs w:val="21"/>
        </w:rPr>
        <w:t>1</w:t>
      </w:r>
      <w:r>
        <w:rPr>
          <w:rFonts w:ascii="宋体" w:hAnsi="宋体" w:cs="宋体" w:eastAsia="宋体" w:hint="default"/>
          <w:b/>
          <w:bCs/>
          <w:sz w:val="21"/>
          <w:szCs w:val="21"/>
        </w:rPr>
        <w:t>、</w:t>
      </w:r>
      <w:r>
        <w:rPr>
          <w:rFonts w:ascii="宋体" w:hAnsi="宋体" w:cs="宋体" w:eastAsia="宋体" w:hint="default"/>
          <w:sz w:val="21"/>
          <w:szCs w:val="21"/>
        </w:rPr>
        <w:t>报告分部的确定依据与会计政策</w:t>
      </w:r>
      <w:r>
        <w:rPr>
          <w:rFonts w:ascii="宋体" w:hAnsi="宋体" w:cs="宋体" w:eastAsia="宋体" w:hint="default"/>
          <w:sz w:val="21"/>
          <w:szCs w:val="21"/>
        </w:rPr>
        <w:t> </w:t>
      </w:r>
    </w:p>
    <w:p>
      <w:pPr>
        <w:pStyle w:val="BodyText"/>
        <w:spacing w:line="237" w:lineRule="auto" w:before="41"/>
        <w:ind w:left="163" w:right="1073" w:firstLine="420"/>
        <w:jc w:val="both"/>
        <w:rPr>
          <w:rFonts w:ascii="宋体" w:hAnsi="宋体" w:cs="宋体" w:eastAsia="宋体" w:hint="default"/>
        </w:rPr>
      </w:pPr>
      <w:r>
        <w:rPr/>
        <w:t>本公司根据内部组织结构、管理要求及内部报告制度确定了移动信息传输及金服外包相关业务、通</w:t>
      </w:r>
      <w:r>
        <w:rPr>
          <w:w w:val="100"/>
        </w:rPr>
        <w:t> </w:t>
      </w:r>
      <w:r>
        <w:rPr/>
        <w:t>讯网络维护及相关业务和其他共三大报告分部。每个报告分部为单独的业务分部，提供不同的产品和劳</w:t>
      </w:r>
      <w:r>
        <w:rPr>
          <w:spacing w:val="-36"/>
        </w:rPr>
        <w:t> </w:t>
      </w:r>
      <w:r>
        <w:rPr>
          <w:spacing w:val="-36"/>
        </w:rPr>
      </w:r>
      <w:r>
        <w:rPr/>
        <w:t>务，由于每个分部需要不同的技术及市场策略而需要进行单独的管理。本公司管理层将会定期审阅不同</w:t>
      </w:r>
      <w:r>
        <w:rPr>
          <w:spacing w:val="-36"/>
        </w:rPr>
        <w:t> </w:t>
      </w:r>
      <w:r>
        <w:rPr>
          <w:spacing w:val="-36"/>
        </w:rPr>
      </w:r>
      <w:r>
        <w:rPr/>
        <w:t>分部的财务信息以决定向其配置资源、评价业绩。本公司的分部报告按所属地区划分，分为移动信息传</w:t>
      </w:r>
      <w:r>
        <w:rPr>
          <w:spacing w:val="-36"/>
        </w:rPr>
        <w:t> </w:t>
      </w:r>
      <w:r>
        <w:rPr>
          <w:spacing w:val="-36"/>
        </w:rPr>
      </w:r>
      <w:r>
        <w:rPr/>
        <w:t>输及金服外包相关业务、通讯网络维护及相关业务和其他三个分部。</w:t>
      </w:r>
      <w:r>
        <w:rPr>
          <w:rFonts w:ascii="宋体" w:hAnsi="宋体" w:cs="宋体" w:eastAsia="宋体" w:hint="default"/>
        </w:rPr>
        <w:t> </w:t>
      </w:r>
    </w:p>
    <w:p>
      <w:pPr>
        <w:pStyle w:val="BodyText"/>
        <w:spacing w:line="240" w:lineRule="auto" w:before="153"/>
        <w:ind w:left="586" w:right="1067"/>
        <w:jc w:val="left"/>
        <w:rPr>
          <w:rFonts w:ascii="宋体" w:hAnsi="宋体" w:cs="宋体" w:eastAsia="宋体" w:hint="default"/>
        </w:rPr>
      </w:pPr>
      <w:r>
        <w:rPr>
          <w:rFonts w:ascii="宋体" w:hAnsi="宋体" w:cs="宋体" w:eastAsia="宋体" w:hint="default"/>
          <w:b/>
          <w:bCs/>
        </w:rPr>
        <w:t>2</w:t>
      </w:r>
      <w:r>
        <w:rPr>
          <w:rFonts w:ascii="宋体" w:hAnsi="宋体" w:cs="宋体" w:eastAsia="宋体" w:hint="default"/>
          <w:b/>
          <w:bCs/>
        </w:rPr>
        <w:t>、</w:t>
      </w:r>
      <w:r>
        <w:rPr/>
        <w:t>报告分部的财务信息</w:t>
      </w:r>
      <w:r>
        <w:rPr>
          <w:rFonts w:ascii="宋体" w:hAnsi="宋体" w:cs="宋体" w:eastAsia="宋体" w:hint="default"/>
        </w:rPr>
        <w:t> </w:t>
      </w:r>
    </w:p>
    <w:p>
      <w:pPr>
        <w:spacing w:line="240" w:lineRule="auto" w:before="6"/>
        <w:rPr>
          <w:rFonts w:ascii="宋体" w:hAnsi="宋体" w:cs="宋体" w:eastAsia="宋体" w:hint="default"/>
          <w:sz w:val="14"/>
          <w:szCs w:val="14"/>
        </w:rPr>
      </w:pPr>
    </w:p>
    <w:tbl>
      <w:tblPr>
        <w:tblW w:w="0" w:type="auto"/>
        <w:jc w:val="left"/>
        <w:tblInd w:w="117" w:type="dxa"/>
        <w:tblLayout w:type="fixed"/>
        <w:tblCellMar>
          <w:top w:w="0" w:type="dxa"/>
          <w:left w:w="0" w:type="dxa"/>
          <w:bottom w:w="0" w:type="dxa"/>
          <w:right w:w="0" w:type="dxa"/>
        </w:tblCellMar>
        <w:tblLook w:val="01E0"/>
      </w:tblPr>
      <w:tblGrid>
        <w:gridCol w:w="984"/>
        <w:gridCol w:w="1813"/>
        <w:gridCol w:w="1733"/>
        <w:gridCol w:w="1664"/>
        <w:gridCol w:w="1788"/>
        <w:gridCol w:w="1690"/>
      </w:tblGrid>
      <w:tr>
        <w:trPr>
          <w:trHeight w:val="475" w:hRule="exact"/>
        </w:trPr>
        <w:tc>
          <w:tcPr>
            <w:tcW w:w="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90"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181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271" w:right="0" w:hanging="89"/>
              <w:jc w:val="left"/>
              <w:rPr>
                <w:rFonts w:ascii="宋体" w:hAnsi="宋体" w:cs="宋体" w:eastAsia="宋体" w:hint="default"/>
                <w:sz w:val="18"/>
                <w:szCs w:val="18"/>
              </w:rPr>
            </w:pPr>
            <w:r>
              <w:rPr>
                <w:rFonts w:ascii="宋体" w:hAnsi="宋体" w:cs="宋体" w:eastAsia="宋体" w:hint="default"/>
                <w:sz w:val="18"/>
                <w:szCs w:val="18"/>
              </w:rPr>
              <w:t>移动信息传输及金</w:t>
            </w:r>
          </w:p>
          <w:p>
            <w:pPr>
              <w:pStyle w:val="TableParagraph"/>
              <w:spacing w:line="234" w:lineRule="exact"/>
              <w:ind w:left="271" w:right="0"/>
              <w:jc w:val="left"/>
              <w:rPr>
                <w:rFonts w:ascii="宋体" w:hAnsi="宋体" w:cs="宋体" w:eastAsia="宋体" w:hint="default"/>
                <w:sz w:val="18"/>
                <w:szCs w:val="18"/>
              </w:rPr>
            </w:pPr>
            <w:r>
              <w:rPr>
                <w:rFonts w:ascii="宋体" w:hAnsi="宋体" w:cs="宋体" w:eastAsia="宋体" w:hint="default"/>
                <w:sz w:val="18"/>
                <w:szCs w:val="18"/>
              </w:rPr>
              <w:t>服外包相关业务</w:t>
            </w:r>
            <w:r>
              <w:rPr>
                <w:rFonts w:ascii="宋体" w:hAnsi="宋体" w:cs="宋体" w:eastAsia="宋体" w:hint="default"/>
                <w:sz w:val="18"/>
                <w:szCs w:val="18"/>
              </w:rPr>
              <w:t> </w:t>
            </w:r>
          </w:p>
        </w:tc>
        <w:tc>
          <w:tcPr>
            <w:tcW w:w="1733"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4" w:right="0"/>
              <w:jc w:val="center"/>
              <w:rPr>
                <w:rFonts w:ascii="宋体" w:hAnsi="宋体" w:cs="宋体" w:eastAsia="宋体" w:hint="default"/>
                <w:sz w:val="18"/>
                <w:szCs w:val="18"/>
              </w:rPr>
            </w:pPr>
            <w:r>
              <w:rPr>
                <w:rFonts w:ascii="宋体" w:hAnsi="宋体" w:cs="宋体" w:eastAsia="宋体" w:hint="default"/>
                <w:sz w:val="18"/>
                <w:szCs w:val="18"/>
              </w:rPr>
              <w:t>通讯网络维护及相</w:t>
            </w:r>
          </w:p>
          <w:p>
            <w:pPr>
              <w:pStyle w:val="TableParagraph"/>
              <w:spacing w:line="234" w:lineRule="exact"/>
              <w:ind w:left="92" w:right="0"/>
              <w:jc w:val="center"/>
              <w:rPr>
                <w:rFonts w:ascii="宋体" w:hAnsi="宋体" w:cs="宋体" w:eastAsia="宋体" w:hint="default"/>
                <w:sz w:val="18"/>
                <w:szCs w:val="18"/>
              </w:rPr>
            </w:pPr>
            <w:r>
              <w:rPr>
                <w:rFonts w:ascii="宋体" w:hAnsi="宋体" w:cs="宋体" w:eastAsia="宋体" w:hint="default"/>
                <w:sz w:val="18"/>
                <w:szCs w:val="18"/>
              </w:rPr>
              <w:t>关业务</w:t>
            </w:r>
            <w:r>
              <w:rPr>
                <w:rFonts w:ascii="宋体" w:hAnsi="宋体" w:cs="宋体" w:eastAsia="宋体" w:hint="default"/>
                <w:sz w:val="18"/>
                <w:szCs w:val="18"/>
              </w:rPr>
              <w:t> </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87" w:right="0"/>
              <w:jc w:val="center"/>
              <w:rPr>
                <w:rFonts w:ascii="宋体" w:hAnsi="宋体" w:cs="宋体" w:eastAsia="宋体" w:hint="default"/>
                <w:sz w:val="18"/>
                <w:szCs w:val="18"/>
              </w:rPr>
            </w:pPr>
            <w:r>
              <w:rPr>
                <w:rFonts w:ascii="宋体" w:hAnsi="宋体" w:cs="宋体" w:eastAsia="宋体" w:hint="default"/>
                <w:sz w:val="18"/>
                <w:szCs w:val="18"/>
              </w:rPr>
              <w:t>其他</w:t>
            </w:r>
            <w:r>
              <w:rPr>
                <w:rFonts w:ascii="宋体" w:hAnsi="宋体" w:cs="宋体" w:eastAsia="宋体" w:hint="default"/>
                <w:sz w:val="18"/>
                <w:szCs w:val="18"/>
              </w:rPr>
              <w:t> </w:t>
            </w:r>
          </w:p>
        </w:tc>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393" w:right="0"/>
              <w:jc w:val="left"/>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分部间抵销</w:t>
            </w:r>
            <w:r>
              <w:rPr>
                <w:rFonts w:ascii="宋体" w:hAnsi="宋体" w:cs="宋体" w:eastAsia="宋体" w:hint="default"/>
                <w:sz w:val="18"/>
                <w:szCs w:val="18"/>
              </w:rPr>
              <w:t> </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5"/>
              <w:ind w:left="90"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r>
      <w:tr>
        <w:trPr>
          <w:trHeight w:val="398" w:hRule="exact"/>
        </w:trPr>
        <w:tc>
          <w:tcPr>
            <w:tcW w:w="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0" w:right="0"/>
              <w:jc w:val="center"/>
              <w:rPr>
                <w:rFonts w:ascii="宋体" w:hAnsi="宋体" w:cs="宋体" w:eastAsia="宋体" w:hint="default"/>
                <w:sz w:val="18"/>
                <w:szCs w:val="18"/>
              </w:rPr>
            </w:pPr>
            <w:r>
              <w:rPr>
                <w:rFonts w:ascii="宋体" w:hAnsi="宋体" w:cs="宋体" w:eastAsia="宋体" w:hint="default"/>
                <w:sz w:val="18"/>
                <w:szCs w:val="18"/>
              </w:rPr>
              <w:t>营业收入</w:t>
            </w:r>
            <w:r>
              <w:rPr>
                <w:rFonts w:ascii="宋体" w:hAnsi="宋体" w:cs="宋体" w:eastAsia="宋体" w:hint="default"/>
                <w:sz w:val="18"/>
                <w:szCs w:val="18"/>
              </w:rPr>
              <w:t> </w:t>
            </w:r>
          </w:p>
        </w:tc>
        <w:tc>
          <w:tcPr>
            <w:tcW w:w="1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9"/>
              <w:jc w:val="right"/>
              <w:rPr>
                <w:rFonts w:ascii="宋体" w:hAnsi="宋体" w:cs="宋体" w:eastAsia="宋体" w:hint="default"/>
                <w:sz w:val="18"/>
                <w:szCs w:val="18"/>
              </w:rPr>
            </w:pPr>
            <w:r>
              <w:rPr>
                <w:rFonts w:ascii="宋体"/>
                <w:spacing w:val="-1"/>
                <w:sz w:val="18"/>
              </w:rPr>
              <w:t>1,634,298,747.83 </w:t>
            </w:r>
          </w:p>
        </w:tc>
        <w:tc>
          <w:tcPr>
            <w:tcW w:w="17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1,519,704,593.41 </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8,862,820.04 </w:t>
            </w:r>
          </w:p>
        </w:tc>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
              <w:jc w:val="right"/>
              <w:rPr>
                <w:rFonts w:ascii="宋体" w:hAnsi="宋体" w:cs="宋体" w:eastAsia="宋体" w:hint="default"/>
                <w:sz w:val="18"/>
                <w:szCs w:val="18"/>
              </w:rPr>
            </w:pPr>
            <w:r>
              <w:rPr>
                <w:rFonts w:ascii="宋体"/>
                <w:spacing w:val="-1"/>
                <w:sz w:val="18"/>
              </w:rPr>
              <w:t>-234,734.37</w:t>
            </w:r>
            <w:r>
              <w:rPr>
                <w:rFonts w:ascii="宋体"/>
                <w:sz w:val="18"/>
              </w:rPr>
              <w:t> </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25" w:right="0"/>
              <w:jc w:val="center"/>
              <w:rPr>
                <w:rFonts w:ascii="宋体" w:hAnsi="宋体" w:cs="宋体" w:eastAsia="宋体" w:hint="default"/>
                <w:sz w:val="18"/>
                <w:szCs w:val="18"/>
              </w:rPr>
            </w:pPr>
            <w:r>
              <w:rPr>
                <w:rFonts w:ascii="宋体"/>
                <w:sz w:val="18"/>
              </w:rPr>
              <w:t>3,162,631,426.91 </w:t>
            </w:r>
          </w:p>
        </w:tc>
      </w:tr>
      <w:tr>
        <w:trPr>
          <w:trHeight w:val="396" w:hRule="exact"/>
        </w:trPr>
        <w:tc>
          <w:tcPr>
            <w:tcW w:w="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0" w:right="0"/>
              <w:jc w:val="center"/>
              <w:rPr>
                <w:rFonts w:ascii="宋体" w:hAnsi="宋体" w:cs="宋体" w:eastAsia="宋体" w:hint="default"/>
                <w:sz w:val="18"/>
                <w:szCs w:val="18"/>
              </w:rPr>
            </w:pPr>
            <w:r>
              <w:rPr>
                <w:rFonts w:ascii="宋体" w:hAnsi="宋体" w:cs="宋体" w:eastAsia="宋体" w:hint="default"/>
                <w:sz w:val="18"/>
                <w:szCs w:val="18"/>
              </w:rPr>
              <w:t>营业成本</w:t>
            </w:r>
            <w:r>
              <w:rPr>
                <w:rFonts w:ascii="宋体" w:hAnsi="宋体" w:cs="宋体" w:eastAsia="宋体" w:hint="default"/>
                <w:sz w:val="18"/>
                <w:szCs w:val="18"/>
              </w:rPr>
              <w:t> </w:t>
            </w:r>
          </w:p>
        </w:tc>
        <w:tc>
          <w:tcPr>
            <w:tcW w:w="1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9"/>
              <w:jc w:val="right"/>
              <w:rPr>
                <w:rFonts w:ascii="宋体" w:hAnsi="宋体" w:cs="宋体" w:eastAsia="宋体" w:hint="default"/>
                <w:sz w:val="18"/>
                <w:szCs w:val="18"/>
              </w:rPr>
            </w:pPr>
            <w:r>
              <w:rPr>
                <w:rFonts w:ascii="宋体"/>
                <w:spacing w:val="-1"/>
                <w:sz w:val="18"/>
              </w:rPr>
              <w:t>1,319,491,739.90 </w:t>
            </w:r>
          </w:p>
        </w:tc>
        <w:tc>
          <w:tcPr>
            <w:tcW w:w="17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1,382,469,628.25 </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542,036.58 </w:t>
            </w:r>
          </w:p>
        </w:tc>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
              <w:jc w:val="right"/>
              <w:rPr>
                <w:rFonts w:ascii="宋体" w:hAnsi="宋体" w:cs="宋体" w:eastAsia="宋体" w:hint="default"/>
                <w:sz w:val="18"/>
                <w:szCs w:val="18"/>
              </w:rPr>
            </w:pPr>
            <w:r>
              <w:rPr>
                <w:rFonts w:ascii="宋体"/>
                <w:spacing w:val="-1"/>
                <w:sz w:val="18"/>
              </w:rPr>
              <w:t>-234,734.37</w:t>
            </w:r>
            <w:r>
              <w:rPr>
                <w:rFonts w:ascii="宋体"/>
                <w:sz w:val="18"/>
              </w:rPr>
              <w:t> </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25" w:right="0"/>
              <w:jc w:val="center"/>
              <w:rPr>
                <w:rFonts w:ascii="宋体" w:hAnsi="宋体" w:cs="宋体" w:eastAsia="宋体" w:hint="default"/>
                <w:sz w:val="18"/>
                <w:szCs w:val="18"/>
              </w:rPr>
            </w:pPr>
            <w:r>
              <w:rPr>
                <w:rFonts w:ascii="宋体"/>
                <w:sz w:val="18"/>
              </w:rPr>
              <w:t>2,702,268,670.36 </w:t>
            </w:r>
          </w:p>
        </w:tc>
      </w:tr>
      <w:tr>
        <w:trPr>
          <w:trHeight w:val="398" w:hRule="exact"/>
        </w:trPr>
        <w:tc>
          <w:tcPr>
            <w:tcW w:w="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0" w:right="0"/>
              <w:jc w:val="center"/>
              <w:rPr>
                <w:rFonts w:ascii="宋体" w:hAnsi="宋体" w:cs="宋体" w:eastAsia="宋体" w:hint="default"/>
                <w:sz w:val="18"/>
                <w:szCs w:val="18"/>
              </w:rPr>
            </w:pPr>
            <w:r>
              <w:rPr>
                <w:rFonts w:ascii="宋体" w:hAnsi="宋体" w:cs="宋体" w:eastAsia="宋体" w:hint="default"/>
                <w:sz w:val="18"/>
                <w:szCs w:val="18"/>
              </w:rPr>
              <w:t>资产总额</w:t>
            </w:r>
            <w:r>
              <w:rPr>
                <w:rFonts w:ascii="宋体" w:hAnsi="宋体" w:cs="宋体" w:eastAsia="宋体" w:hint="default"/>
                <w:sz w:val="18"/>
                <w:szCs w:val="18"/>
              </w:rPr>
              <w:t> </w:t>
            </w:r>
          </w:p>
        </w:tc>
        <w:tc>
          <w:tcPr>
            <w:tcW w:w="1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9"/>
              <w:jc w:val="right"/>
              <w:rPr>
                <w:rFonts w:ascii="宋体" w:hAnsi="宋体" w:cs="宋体" w:eastAsia="宋体" w:hint="default"/>
                <w:sz w:val="18"/>
                <w:szCs w:val="18"/>
              </w:rPr>
            </w:pPr>
            <w:r>
              <w:rPr>
                <w:rFonts w:ascii="宋体"/>
                <w:spacing w:val="-1"/>
                <w:sz w:val="18"/>
              </w:rPr>
              <w:t>1,243,628,663.28 </w:t>
            </w:r>
          </w:p>
        </w:tc>
        <w:tc>
          <w:tcPr>
            <w:tcW w:w="17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1,043,328,601.59 </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3,678,315,990.45 </w:t>
            </w:r>
          </w:p>
        </w:tc>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
              <w:jc w:val="right"/>
              <w:rPr>
                <w:rFonts w:ascii="宋体" w:hAnsi="宋体" w:cs="宋体" w:eastAsia="宋体" w:hint="default"/>
                <w:sz w:val="18"/>
                <w:szCs w:val="18"/>
              </w:rPr>
            </w:pPr>
            <w:r>
              <w:rPr>
                <w:rFonts w:ascii="宋体"/>
                <w:spacing w:val="-1"/>
                <w:sz w:val="18"/>
              </w:rPr>
              <w:t>-2,057,677,564.75</w:t>
            </w:r>
            <w:r>
              <w:rPr>
                <w:rFonts w:ascii="宋体"/>
                <w:sz w:val="18"/>
              </w:rPr>
              <w:t> </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25" w:right="0"/>
              <w:jc w:val="center"/>
              <w:rPr>
                <w:rFonts w:ascii="宋体" w:hAnsi="宋体" w:cs="宋体" w:eastAsia="宋体" w:hint="default"/>
                <w:sz w:val="18"/>
                <w:szCs w:val="18"/>
              </w:rPr>
            </w:pPr>
            <w:r>
              <w:rPr>
                <w:rFonts w:ascii="宋体"/>
                <w:sz w:val="18"/>
              </w:rPr>
              <w:t>3,907,595,690.57 </w:t>
            </w:r>
          </w:p>
        </w:tc>
      </w:tr>
      <w:tr>
        <w:trPr>
          <w:trHeight w:val="396" w:hRule="exact"/>
        </w:trPr>
        <w:tc>
          <w:tcPr>
            <w:tcW w:w="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0" w:right="0"/>
              <w:jc w:val="center"/>
              <w:rPr>
                <w:rFonts w:ascii="宋体" w:hAnsi="宋体" w:cs="宋体" w:eastAsia="宋体" w:hint="default"/>
                <w:sz w:val="18"/>
                <w:szCs w:val="18"/>
              </w:rPr>
            </w:pPr>
            <w:r>
              <w:rPr>
                <w:rFonts w:ascii="宋体" w:hAnsi="宋体" w:cs="宋体" w:eastAsia="宋体" w:hint="default"/>
                <w:sz w:val="18"/>
                <w:szCs w:val="18"/>
              </w:rPr>
              <w:t>负债总额</w:t>
            </w:r>
            <w:r>
              <w:rPr>
                <w:rFonts w:ascii="宋体" w:hAnsi="宋体" w:cs="宋体" w:eastAsia="宋体" w:hint="default"/>
                <w:sz w:val="18"/>
                <w:szCs w:val="18"/>
              </w:rPr>
              <w:t> </w:t>
            </w:r>
          </w:p>
        </w:tc>
        <w:tc>
          <w:tcPr>
            <w:tcW w:w="1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9"/>
              <w:jc w:val="right"/>
              <w:rPr>
                <w:rFonts w:ascii="宋体" w:hAnsi="宋体" w:cs="宋体" w:eastAsia="宋体" w:hint="default"/>
                <w:sz w:val="18"/>
                <w:szCs w:val="18"/>
              </w:rPr>
            </w:pPr>
            <w:r>
              <w:rPr>
                <w:rFonts w:ascii="宋体"/>
                <w:spacing w:val="-1"/>
                <w:sz w:val="18"/>
              </w:rPr>
              <w:t>322,744,618.35 </w:t>
            </w:r>
          </w:p>
        </w:tc>
        <w:tc>
          <w:tcPr>
            <w:tcW w:w="17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731,643,258.58 </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810,923,341.58 </w:t>
            </w:r>
          </w:p>
        </w:tc>
        <w:tc>
          <w:tcPr>
            <w:tcW w:w="1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
              <w:jc w:val="right"/>
              <w:rPr>
                <w:rFonts w:ascii="宋体" w:hAnsi="宋体" w:cs="宋体" w:eastAsia="宋体" w:hint="default"/>
                <w:sz w:val="18"/>
                <w:szCs w:val="18"/>
              </w:rPr>
            </w:pPr>
            <w:r>
              <w:rPr>
                <w:rFonts w:ascii="宋体"/>
                <w:spacing w:val="-1"/>
                <w:sz w:val="18"/>
              </w:rPr>
              <w:t>-280,343,175.42</w:t>
            </w:r>
            <w:r>
              <w:rPr>
                <w:rFonts w:ascii="宋体"/>
                <w:sz w:val="18"/>
              </w:rPr>
              <w:t> </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25" w:right="0"/>
              <w:jc w:val="center"/>
              <w:rPr>
                <w:rFonts w:ascii="宋体" w:hAnsi="宋体" w:cs="宋体" w:eastAsia="宋体" w:hint="default"/>
                <w:sz w:val="18"/>
                <w:szCs w:val="18"/>
              </w:rPr>
            </w:pPr>
            <w:r>
              <w:rPr>
                <w:rFonts w:ascii="宋体"/>
                <w:sz w:val="18"/>
              </w:rPr>
              <w:t>1,584,968,043.09 </w:t>
            </w:r>
          </w:p>
        </w:tc>
      </w:tr>
    </w:tbl>
    <w:p>
      <w:pPr>
        <w:spacing w:line="240" w:lineRule="auto" w:before="7"/>
        <w:rPr>
          <w:rFonts w:ascii="宋体" w:hAnsi="宋体" w:cs="宋体" w:eastAsia="宋体" w:hint="default"/>
          <w:sz w:val="6"/>
          <w:szCs w:val="6"/>
        </w:rPr>
      </w:pPr>
    </w:p>
    <w:p>
      <w:pPr>
        <w:pStyle w:val="Heading3"/>
        <w:spacing w:line="393" w:lineRule="auto"/>
        <w:ind w:left="583" w:right="5986" w:hanging="209"/>
        <w:jc w:val="left"/>
        <w:rPr>
          <w:rFonts w:ascii="宋体" w:hAnsi="宋体" w:cs="宋体" w:eastAsia="宋体" w:hint="default"/>
          <w:b w:val="0"/>
          <w:bCs w:val="0"/>
        </w:rPr>
      </w:pPr>
      <w:r>
        <w:rPr/>
        <w:t>（七）其他对投资者决策有影响的重要事项</w:t>
      </w:r>
      <w:r>
        <w:rPr>
          <w:rFonts w:ascii="宋体" w:hAnsi="宋体" w:cs="宋体" w:eastAsia="宋体" w:hint="default"/>
          <w:w w:val="99"/>
        </w:rPr>
        <w:t> </w:t>
      </w:r>
      <w:r>
        <w:rPr>
          <w:rFonts w:ascii="宋体" w:hAnsi="宋体" w:cs="宋体" w:eastAsia="宋体" w:hint="default"/>
          <w:b w:val="0"/>
          <w:bCs w:val="0"/>
        </w:rPr>
        <w:t>无。</w:t>
      </w:r>
      <w:r>
        <w:rPr>
          <w:rFonts w:ascii="宋体" w:hAnsi="宋体" w:cs="宋体" w:eastAsia="宋体" w:hint="default"/>
          <w:b w:val="0"/>
          <w:bCs w:val="0"/>
        </w:rPr>
        <w:t> </w:t>
      </w:r>
    </w:p>
    <w:p>
      <w:pPr>
        <w:spacing w:before="37"/>
        <w:ind w:left="163" w:right="1067" w:firstLine="0"/>
        <w:jc w:val="left"/>
        <w:rPr>
          <w:rFonts w:ascii="宋体" w:hAnsi="宋体" w:cs="宋体" w:eastAsia="宋体" w:hint="default"/>
          <w:sz w:val="21"/>
          <w:szCs w:val="21"/>
        </w:rPr>
      </w:pPr>
      <w:r>
        <w:rPr>
          <w:rFonts w:ascii="宋体" w:hAnsi="宋体" w:cs="宋体" w:eastAsia="宋体" w:hint="default"/>
          <w:b/>
          <w:bCs/>
          <w:sz w:val="21"/>
          <w:szCs w:val="21"/>
        </w:rPr>
        <w:t>十四、母公司财务报表主要项目注释</w:t>
      </w:r>
      <w:r>
        <w:rPr>
          <w:rFonts w:ascii="宋体" w:hAnsi="宋体" w:cs="宋体" w:eastAsia="宋体" w:hint="default"/>
          <w:b/>
          <w:bCs/>
          <w:w w:val="99"/>
          <w:sz w:val="21"/>
          <w:szCs w:val="21"/>
        </w:rPr>
        <w:t> </w:t>
      </w:r>
      <w:r>
        <w:rPr>
          <w:rFonts w:ascii="宋体" w:hAnsi="宋体" w:cs="宋体" w:eastAsia="宋体" w:hint="default"/>
          <w:sz w:val="21"/>
          <w:szCs w:val="21"/>
        </w:rPr>
      </w:r>
    </w:p>
    <w:p>
      <w:pPr>
        <w:spacing w:before="153"/>
        <w:ind w:left="374" w:right="8066" w:firstLine="0"/>
        <w:jc w:val="left"/>
        <w:rPr>
          <w:rFonts w:ascii="宋体" w:hAnsi="宋体" w:cs="宋体" w:eastAsia="宋体" w:hint="default"/>
          <w:sz w:val="21"/>
          <w:szCs w:val="21"/>
        </w:rPr>
      </w:pPr>
      <w:r>
        <w:rPr>
          <w:rFonts w:ascii="宋体" w:hAnsi="宋体" w:cs="宋体" w:eastAsia="宋体" w:hint="default"/>
          <w:b/>
          <w:bCs/>
          <w:sz w:val="21"/>
          <w:szCs w:val="21"/>
        </w:rPr>
        <w:t>（一）其他应收款</w:t>
      </w:r>
      <w:r>
        <w:rPr>
          <w:rFonts w:ascii="宋体" w:hAnsi="宋体" w:cs="宋体" w:eastAsia="宋体" w:hint="default"/>
          <w:b/>
          <w:bCs/>
          <w:w w:val="99"/>
          <w:sz w:val="21"/>
          <w:szCs w:val="21"/>
        </w:rPr>
        <w:t> </w:t>
      </w:r>
      <w:r>
        <w:rPr>
          <w:rFonts w:ascii="宋体" w:hAnsi="宋体" w:cs="宋体" w:eastAsia="宋体" w:hint="default"/>
          <w:sz w:val="21"/>
          <w:szCs w:val="21"/>
        </w:rPr>
      </w:r>
    </w:p>
    <w:p>
      <w:pPr>
        <w:spacing w:line="240" w:lineRule="auto" w:before="6"/>
        <w:rPr>
          <w:rFonts w:ascii="宋体" w:hAnsi="宋体" w:cs="宋体" w:eastAsia="宋体" w:hint="default"/>
          <w:b/>
          <w:bCs/>
          <w:sz w:val="14"/>
          <w:szCs w:val="14"/>
        </w:rPr>
      </w:pPr>
    </w:p>
    <w:tbl>
      <w:tblPr>
        <w:tblW w:w="0" w:type="auto"/>
        <w:jc w:val="left"/>
        <w:tblInd w:w="167" w:type="dxa"/>
        <w:tblLayout w:type="fixed"/>
        <w:tblCellMar>
          <w:top w:w="0" w:type="dxa"/>
          <w:left w:w="0" w:type="dxa"/>
          <w:bottom w:w="0" w:type="dxa"/>
          <w:right w:w="0" w:type="dxa"/>
        </w:tblCellMar>
        <w:tblLook w:val="01E0"/>
      </w:tblPr>
      <w:tblGrid>
        <w:gridCol w:w="4993"/>
        <w:gridCol w:w="2170"/>
        <w:gridCol w:w="2345"/>
      </w:tblGrid>
      <w:tr>
        <w:trPr>
          <w:trHeight w:val="396" w:hRule="exact"/>
        </w:trPr>
        <w:tc>
          <w:tcPr>
            <w:tcW w:w="4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9" w:right="0"/>
              <w:jc w:val="center"/>
              <w:rPr>
                <w:rFonts w:ascii="宋体" w:hAnsi="宋体" w:cs="宋体" w:eastAsia="宋体" w:hint="default"/>
                <w:sz w:val="18"/>
                <w:szCs w:val="18"/>
              </w:rPr>
            </w:pPr>
            <w:r>
              <w:rPr>
                <w:rFonts w:ascii="宋体" w:hAnsi="宋体" w:cs="宋体" w:eastAsia="宋体" w:hint="default"/>
                <w:sz w:val="18"/>
                <w:szCs w:val="18"/>
              </w:rPr>
              <w:t>种类</w:t>
            </w:r>
            <w:r>
              <w:rPr>
                <w:rFonts w:ascii="宋体" w:hAnsi="宋体" w:cs="宋体" w:eastAsia="宋体" w:hint="default"/>
                <w:sz w:val="18"/>
                <w:szCs w:val="18"/>
              </w:rPr>
              <w:t> </w:t>
            </w:r>
          </w:p>
        </w:tc>
        <w:tc>
          <w:tcPr>
            <w:tcW w:w="2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717" w:right="0"/>
              <w:jc w:val="left"/>
              <w:rPr>
                <w:rFonts w:ascii="宋体" w:hAnsi="宋体" w:cs="宋体" w:eastAsia="宋体" w:hint="default"/>
                <w:sz w:val="18"/>
                <w:szCs w:val="18"/>
              </w:rPr>
            </w:pPr>
            <w:r>
              <w:rPr>
                <w:rFonts w:ascii="宋体" w:hAnsi="宋体" w:cs="宋体" w:eastAsia="宋体" w:hint="default"/>
                <w:sz w:val="18"/>
                <w:szCs w:val="18"/>
              </w:rPr>
              <w:t>期末金额</w:t>
            </w:r>
            <w:r>
              <w:rPr>
                <w:rFonts w:ascii="宋体" w:hAnsi="宋体" w:cs="宋体" w:eastAsia="宋体" w:hint="default"/>
                <w:sz w:val="18"/>
                <w:szCs w:val="18"/>
              </w:rPr>
              <w:t> </w:t>
            </w:r>
          </w:p>
        </w:tc>
        <w:tc>
          <w:tcPr>
            <w:tcW w:w="23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08" w:right="0"/>
              <w:jc w:val="left"/>
              <w:rPr>
                <w:rFonts w:ascii="宋体" w:hAnsi="宋体" w:cs="宋体" w:eastAsia="宋体" w:hint="default"/>
                <w:sz w:val="18"/>
                <w:szCs w:val="18"/>
              </w:rPr>
            </w:pPr>
            <w:r>
              <w:rPr>
                <w:rFonts w:ascii="宋体" w:hAnsi="宋体" w:cs="宋体" w:eastAsia="宋体" w:hint="default"/>
                <w:sz w:val="18"/>
                <w:szCs w:val="18"/>
              </w:rPr>
              <w:t>期初金额</w:t>
            </w:r>
            <w:r>
              <w:rPr>
                <w:rFonts w:ascii="宋体" w:hAnsi="宋体" w:cs="宋体" w:eastAsia="宋体" w:hint="default"/>
                <w:sz w:val="18"/>
                <w:szCs w:val="18"/>
              </w:rPr>
              <w:t> </w:t>
            </w:r>
          </w:p>
        </w:tc>
      </w:tr>
      <w:tr>
        <w:trPr>
          <w:trHeight w:val="396" w:hRule="exact"/>
        </w:trPr>
        <w:tc>
          <w:tcPr>
            <w:tcW w:w="4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应收利息</w:t>
            </w:r>
            <w:r>
              <w:rPr>
                <w:rFonts w:ascii="宋体" w:hAnsi="宋体" w:cs="宋体" w:eastAsia="宋体" w:hint="default"/>
                <w:sz w:val="18"/>
                <w:szCs w:val="18"/>
              </w:rPr>
              <w:t> </w:t>
            </w:r>
          </w:p>
        </w:tc>
        <w:tc>
          <w:tcPr>
            <w:tcW w:w="2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3"/>
              <w:jc w:val="right"/>
              <w:rPr>
                <w:rFonts w:ascii="宋体" w:hAnsi="宋体" w:cs="宋体" w:eastAsia="宋体" w:hint="default"/>
                <w:sz w:val="18"/>
                <w:szCs w:val="18"/>
              </w:rPr>
            </w:pPr>
            <w:r>
              <w:rPr>
                <w:rFonts w:ascii="宋体"/>
                <w:sz w:val="18"/>
              </w:rPr>
              <w:t> </w:t>
            </w:r>
          </w:p>
        </w:tc>
        <w:tc>
          <w:tcPr>
            <w:tcW w:w="23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z w:val="18"/>
              </w:rPr>
              <w:t>- </w:t>
            </w:r>
          </w:p>
        </w:tc>
      </w:tr>
      <w:tr>
        <w:trPr>
          <w:trHeight w:val="398" w:hRule="exact"/>
        </w:trPr>
        <w:tc>
          <w:tcPr>
            <w:tcW w:w="4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应收股利</w:t>
            </w:r>
            <w:r>
              <w:rPr>
                <w:rFonts w:ascii="宋体" w:hAnsi="宋体" w:cs="宋体" w:eastAsia="宋体" w:hint="default"/>
                <w:sz w:val="18"/>
                <w:szCs w:val="18"/>
              </w:rPr>
              <w:t> </w:t>
            </w:r>
          </w:p>
        </w:tc>
        <w:tc>
          <w:tcPr>
            <w:tcW w:w="2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
              <w:jc w:val="right"/>
              <w:rPr>
                <w:rFonts w:ascii="宋体" w:hAnsi="宋体" w:cs="宋体" w:eastAsia="宋体" w:hint="default"/>
                <w:sz w:val="18"/>
                <w:szCs w:val="18"/>
              </w:rPr>
            </w:pPr>
            <w:r>
              <w:rPr>
                <w:rFonts w:ascii="宋体"/>
                <w:spacing w:val="-1"/>
                <w:sz w:val="18"/>
              </w:rPr>
              <w:t>61,576,014.41</w:t>
            </w:r>
            <w:r>
              <w:rPr>
                <w:rFonts w:ascii="宋体"/>
                <w:sz w:val="18"/>
              </w:rPr>
              <w:t> </w:t>
            </w:r>
          </w:p>
        </w:tc>
        <w:tc>
          <w:tcPr>
            <w:tcW w:w="23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148,400,000.00 </w:t>
            </w:r>
          </w:p>
        </w:tc>
      </w:tr>
    </w:tbl>
    <w:p>
      <w:pPr>
        <w:spacing w:after="0" w:line="240" w:lineRule="auto"/>
        <w:jc w:val="right"/>
        <w:rPr>
          <w:rFonts w:ascii="宋体" w:hAnsi="宋体" w:cs="宋体" w:eastAsia="宋体" w:hint="default"/>
          <w:sz w:val="18"/>
          <w:szCs w:val="18"/>
        </w:rPr>
        <w:sectPr>
          <w:pgSz w:w="11910" w:h="16840"/>
          <w:pgMar w:header="880" w:footer="975" w:top="1100" w:bottom="1160" w:left="1140" w:right="0"/>
        </w:sectPr>
      </w:pPr>
    </w:p>
    <w:p>
      <w:pPr>
        <w:spacing w:line="240" w:lineRule="auto" w:before="8"/>
        <w:rPr>
          <w:rFonts w:ascii="宋体" w:hAnsi="宋体" w:cs="宋体" w:eastAsia="宋体" w:hint="default"/>
          <w:b/>
          <w:bCs/>
          <w:sz w:val="24"/>
          <w:szCs w:val="24"/>
        </w:rPr>
      </w:pPr>
    </w:p>
    <w:tbl>
      <w:tblPr>
        <w:tblW w:w="0" w:type="auto"/>
        <w:jc w:val="left"/>
        <w:tblInd w:w="148" w:type="dxa"/>
        <w:tblLayout w:type="fixed"/>
        <w:tblCellMar>
          <w:top w:w="0" w:type="dxa"/>
          <w:left w:w="0" w:type="dxa"/>
          <w:bottom w:w="0" w:type="dxa"/>
          <w:right w:w="0" w:type="dxa"/>
        </w:tblCellMar>
        <w:tblLook w:val="01E0"/>
      </w:tblPr>
      <w:tblGrid>
        <w:gridCol w:w="4993"/>
        <w:gridCol w:w="2170"/>
        <w:gridCol w:w="2345"/>
      </w:tblGrid>
      <w:tr>
        <w:trPr>
          <w:trHeight w:val="396" w:hRule="exact"/>
        </w:trPr>
        <w:tc>
          <w:tcPr>
            <w:tcW w:w="4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219"/>
              <w:jc w:val="right"/>
              <w:rPr>
                <w:rFonts w:ascii="宋体" w:hAnsi="宋体" w:cs="宋体" w:eastAsia="宋体" w:hint="default"/>
                <w:sz w:val="18"/>
                <w:szCs w:val="18"/>
              </w:rPr>
            </w:pPr>
            <w:r>
              <w:rPr>
                <w:rFonts w:ascii="宋体" w:hAnsi="宋体" w:cs="宋体" w:eastAsia="宋体" w:hint="default"/>
                <w:sz w:val="18"/>
                <w:szCs w:val="18"/>
              </w:rPr>
              <w:t>种类</w:t>
            </w:r>
            <w:r>
              <w:rPr>
                <w:rFonts w:ascii="宋体" w:hAnsi="宋体" w:cs="宋体" w:eastAsia="宋体" w:hint="default"/>
                <w:sz w:val="18"/>
                <w:szCs w:val="18"/>
              </w:rPr>
              <w:t> </w:t>
            </w:r>
          </w:p>
        </w:tc>
        <w:tc>
          <w:tcPr>
            <w:tcW w:w="2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717" w:right="0"/>
              <w:jc w:val="left"/>
              <w:rPr>
                <w:rFonts w:ascii="宋体" w:hAnsi="宋体" w:cs="宋体" w:eastAsia="宋体" w:hint="default"/>
                <w:sz w:val="18"/>
                <w:szCs w:val="18"/>
              </w:rPr>
            </w:pPr>
            <w:r>
              <w:rPr>
                <w:rFonts w:ascii="宋体" w:hAnsi="宋体" w:cs="宋体" w:eastAsia="宋体" w:hint="default"/>
                <w:sz w:val="18"/>
                <w:szCs w:val="18"/>
              </w:rPr>
              <w:t>期末金额</w:t>
            </w:r>
            <w:r>
              <w:rPr>
                <w:rFonts w:ascii="宋体" w:hAnsi="宋体" w:cs="宋体" w:eastAsia="宋体" w:hint="default"/>
                <w:sz w:val="18"/>
                <w:szCs w:val="18"/>
              </w:rPr>
              <w:t> </w:t>
            </w:r>
          </w:p>
        </w:tc>
        <w:tc>
          <w:tcPr>
            <w:tcW w:w="23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08" w:right="0"/>
              <w:jc w:val="left"/>
              <w:rPr>
                <w:rFonts w:ascii="宋体" w:hAnsi="宋体" w:cs="宋体" w:eastAsia="宋体" w:hint="default"/>
                <w:sz w:val="18"/>
                <w:szCs w:val="18"/>
              </w:rPr>
            </w:pPr>
            <w:r>
              <w:rPr>
                <w:rFonts w:ascii="宋体" w:hAnsi="宋体" w:cs="宋体" w:eastAsia="宋体" w:hint="default"/>
                <w:sz w:val="18"/>
                <w:szCs w:val="18"/>
              </w:rPr>
              <w:t>期初金额</w:t>
            </w:r>
            <w:r>
              <w:rPr>
                <w:rFonts w:ascii="宋体" w:hAnsi="宋体" w:cs="宋体" w:eastAsia="宋体" w:hint="default"/>
                <w:sz w:val="18"/>
                <w:szCs w:val="18"/>
              </w:rPr>
              <w:t> </w:t>
            </w:r>
          </w:p>
        </w:tc>
      </w:tr>
      <w:tr>
        <w:trPr>
          <w:trHeight w:val="399" w:hRule="exact"/>
        </w:trPr>
        <w:tc>
          <w:tcPr>
            <w:tcW w:w="4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其他应收款项</w:t>
            </w:r>
            <w:r>
              <w:rPr>
                <w:rFonts w:ascii="宋体" w:hAnsi="宋体" w:cs="宋体" w:eastAsia="宋体" w:hint="default"/>
                <w:sz w:val="18"/>
                <w:szCs w:val="18"/>
              </w:rPr>
              <w:t> </w:t>
            </w:r>
          </w:p>
        </w:tc>
        <w:tc>
          <w:tcPr>
            <w:tcW w:w="2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
              <w:jc w:val="right"/>
              <w:rPr>
                <w:rFonts w:ascii="宋体" w:hAnsi="宋体" w:cs="宋体" w:eastAsia="宋体" w:hint="default"/>
                <w:sz w:val="18"/>
                <w:szCs w:val="18"/>
              </w:rPr>
            </w:pPr>
            <w:r>
              <w:rPr>
                <w:rFonts w:ascii="宋体"/>
                <w:spacing w:val="-1"/>
                <w:sz w:val="18"/>
              </w:rPr>
              <w:t>102,306.04</w:t>
            </w:r>
            <w:r>
              <w:rPr>
                <w:rFonts w:ascii="宋体"/>
                <w:sz w:val="18"/>
              </w:rPr>
              <w:t> </w:t>
            </w:r>
          </w:p>
        </w:tc>
        <w:tc>
          <w:tcPr>
            <w:tcW w:w="23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71,427.67</w:t>
            </w:r>
            <w:r>
              <w:rPr>
                <w:rFonts w:ascii="宋体"/>
                <w:sz w:val="18"/>
              </w:rPr>
              <w:t> </w:t>
            </w:r>
          </w:p>
        </w:tc>
      </w:tr>
      <w:tr>
        <w:trPr>
          <w:trHeight w:val="396" w:hRule="exact"/>
        </w:trPr>
        <w:tc>
          <w:tcPr>
            <w:tcW w:w="4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219"/>
              <w:jc w:val="righ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21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4"/>
              <w:jc w:val="right"/>
              <w:rPr>
                <w:rFonts w:ascii="宋体" w:hAnsi="宋体" w:cs="宋体" w:eastAsia="宋体" w:hint="default"/>
                <w:sz w:val="18"/>
                <w:szCs w:val="18"/>
              </w:rPr>
            </w:pPr>
            <w:r>
              <w:rPr>
                <w:rFonts w:ascii="宋体"/>
                <w:spacing w:val="-1"/>
                <w:sz w:val="18"/>
              </w:rPr>
              <w:t>61,678,320.45</w:t>
            </w:r>
            <w:r>
              <w:rPr>
                <w:rFonts w:ascii="宋体"/>
                <w:sz w:val="18"/>
              </w:rPr>
              <w:t> </w:t>
            </w:r>
          </w:p>
        </w:tc>
        <w:tc>
          <w:tcPr>
            <w:tcW w:w="23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148,471,427.67 </w:t>
            </w:r>
          </w:p>
        </w:tc>
      </w:tr>
    </w:tbl>
    <w:p>
      <w:pPr>
        <w:spacing w:line="240" w:lineRule="auto" w:before="7"/>
        <w:rPr>
          <w:rFonts w:ascii="宋体" w:hAnsi="宋体" w:cs="宋体" w:eastAsia="宋体" w:hint="default"/>
          <w:b/>
          <w:bCs/>
          <w:sz w:val="6"/>
          <w:szCs w:val="6"/>
        </w:rPr>
      </w:pPr>
    </w:p>
    <w:p>
      <w:pPr>
        <w:spacing w:before="36"/>
        <w:ind w:left="566" w:right="7673" w:firstLine="0"/>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w:t>
      </w:r>
      <w:r>
        <w:rPr>
          <w:rFonts w:ascii="宋体" w:hAnsi="宋体" w:cs="宋体" w:eastAsia="宋体" w:hint="default"/>
          <w:sz w:val="21"/>
          <w:szCs w:val="21"/>
        </w:rPr>
        <w:t>应收利息</w:t>
      </w:r>
      <w:r>
        <w:rPr>
          <w:rFonts w:ascii="宋体" w:hAnsi="宋体" w:cs="宋体" w:eastAsia="宋体" w:hint="default"/>
          <w:sz w:val="21"/>
          <w:szCs w:val="21"/>
        </w:rPr>
        <w:t> </w:t>
      </w:r>
    </w:p>
    <w:p>
      <w:pPr>
        <w:pStyle w:val="BodyText"/>
        <w:spacing w:line="408" w:lineRule="auto" w:before="154"/>
        <w:ind w:left="566" w:right="8516" w:firstLine="208"/>
        <w:jc w:val="left"/>
        <w:rPr>
          <w:rFonts w:ascii="宋体" w:hAnsi="宋体" w:cs="宋体" w:eastAsia="宋体" w:hint="default"/>
        </w:rPr>
      </w:pPr>
      <w:r>
        <w:rPr/>
        <w:t>无。</w:t>
      </w:r>
      <w:r>
        <w:rPr>
          <w:rFonts w:ascii="宋体" w:hAnsi="宋体" w:cs="宋体" w:eastAsia="宋体" w:hint="default"/>
          <w:w w:val="100"/>
        </w:rPr>
        <w:t> </w:t>
      </w:r>
      <w:r>
        <w:rPr>
          <w:rFonts w:ascii="宋体" w:hAnsi="宋体" w:cs="宋体" w:eastAsia="宋体" w:hint="default"/>
          <w:b/>
          <w:bCs/>
        </w:rPr>
        <w:t>2</w:t>
      </w:r>
      <w:r>
        <w:rPr>
          <w:rFonts w:ascii="宋体" w:hAnsi="宋体" w:cs="宋体" w:eastAsia="宋体" w:hint="default"/>
          <w:b/>
          <w:bCs/>
        </w:rPr>
        <w:t>、</w:t>
      </w:r>
      <w:r>
        <w:rPr/>
        <w:t>应收股利</w:t>
      </w:r>
      <w:r>
        <w:rPr>
          <w:rFonts w:ascii="宋体" w:hAnsi="宋体" w:cs="宋体" w:eastAsia="宋体" w:hint="default"/>
        </w:rPr>
        <w:t> </w:t>
      </w:r>
    </w:p>
    <w:p>
      <w:pPr>
        <w:spacing w:line="240" w:lineRule="auto" w:before="3"/>
        <w:rPr>
          <w:rFonts w:ascii="宋体" w:hAnsi="宋体" w:cs="宋体" w:eastAsia="宋体" w:hint="default"/>
          <w:sz w:val="3"/>
          <w:szCs w:val="3"/>
        </w:rPr>
      </w:pPr>
    </w:p>
    <w:tbl>
      <w:tblPr>
        <w:tblW w:w="0" w:type="auto"/>
        <w:jc w:val="left"/>
        <w:tblInd w:w="191" w:type="dxa"/>
        <w:tblLayout w:type="fixed"/>
        <w:tblCellMar>
          <w:top w:w="0" w:type="dxa"/>
          <w:left w:w="0" w:type="dxa"/>
          <w:bottom w:w="0" w:type="dxa"/>
          <w:right w:w="0" w:type="dxa"/>
        </w:tblCellMar>
        <w:tblLook w:val="01E0"/>
      </w:tblPr>
      <w:tblGrid>
        <w:gridCol w:w="5014"/>
        <w:gridCol w:w="1822"/>
        <w:gridCol w:w="2583"/>
      </w:tblGrid>
      <w:tr>
        <w:trPr>
          <w:trHeight w:val="396" w:hRule="exact"/>
        </w:trPr>
        <w:tc>
          <w:tcPr>
            <w:tcW w:w="50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231"/>
              <w:jc w:val="right"/>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545" w:right="0"/>
              <w:jc w:val="left"/>
              <w:rPr>
                <w:rFonts w:ascii="宋体" w:hAnsi="宋体" w:cs="宋体" w:eastAsia="宋体" w:hint="default"/>
                <w:sz w:val="18"/>
                <w:szCs w:val="18"/>
              </w:rPr>
            </w:pPr>
            <w:r>
              <w:rPr>
                <w:rFonts w:ascii="宋体" w:hAnsi="宋体" w:cs="宋体" w:eastAsia="宋体" w:hint="default"/>
                <w:sz w:val="18"/>
                <w:szCs w:val="18"/>
              </w:rPr>
              <w:t>期末金额</w:t>
            </w:r>
            <w:r>
              <w:rPr>
                <w:rFonts w:ascii="宋体" w:hAnsi="宋体" w:cs="宋体" w:eastAsia="宋体" w:hint="default"/>
                <w:sz w:val="18"/>
                <w:szCs w:val="18"/>
              </w:rPr>
              <w:t> </w:t>
            </w:r>
          </w:p>
        </w:tc>
        <w:tc>
          <w:tcPr>
            <w:tcW w:w="2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26" w:right="0"/>
              <w:jc w:val="left"/>
              <w:rPr>
                <w:rFonts w:ascii="宋体" w:hAnsi="宋体" w:cs="宋体" w:eastAsia="宋体" w:hint="default"/>
                <w:sz w:val="18"/>
                <w:szCs w:val="18"/>
              </w:rPr>
            </w:pPr>
            <w:r>
              <w:rPr>
                <w:rFonts w:ascii="宋体" w:hAnsi="宋体" w:cs="宋体" w:eastAsia="宋体" w:hint="default"/>
                <w:sz w:val="18"/>
                <w:szCs w:val="18"/>
              </w:rPr>
              <w:t>期初金额</w:t>
            </w:r>
            <w:r>
              <w:rPr>
                <w:rFonts w:ascii="宋体" w:hAnsi="宋体" w:cs="宋体" w:eastAsia="宋体" w:hint="default"/>
                <w:sz w:val="18"/>
                <w:szCs w:val="18"/>
              </w:rPr>
              <w:t> </w:t>
            </w:r>
          </w:p>
        </w:tc>
      </w:tr>
      <w:tr>
        <w:trPr>
          <w:trHeight w:val="398" w:hRule="exact"/>
        </w:trPr>
        <w:tc>
          <w:tcPr>
            <w:tcW w:w="50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应收子公司利润</w:t>
            </w:r>
            <w:r>
              <w:rPr>
                <w:rFonts w:ascii="宋体" w:hAnsi="宋体" w:cs="宋体" w:eastAsia="宋体" w:hint="default"/>
                <w:sz w:val="18"/>
                <w:szCs w:val="18"/>
              </w:rPr>
              <w:t> </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537" w:right="0"/>
              <w:jc w:val="left"/>
              <w:rPr>
                <w:rFonts w:ascii="宋体" w:hAnsi="宋体" w:cs="宋体" w:eastAsia="宋体" w:hint="default"/>
                <w:sz w:val="18"/>
                <w:szCs w:val="18"/>
              </w:rPr>
            </w:pPr>
            <w:r>
              <w:rPr>
                <w:rFonts w:ascii="宋体"/>
                <w:sz w:val="18"/>
              </w:rPr>
              <w:t>61,576,014.41 </w:t>
            </w:r>
          </w:p>
        </w:tc>
        <w:tc>
          <w:tcPr>
            <w:tcW w:w="2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148,400,000.00 </w:t>
            </w:r>
          </w:p>
        </w:tc>
      </w:tr>
      <w:tr>
        <w:trPr>
          <w:trHeight w:val="396" w:hRule="exact"/>
        </w:trPr>
        <w:tc>
          <w:tcPr>
            <w:tcW w:w="50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231"/>
              <w:jc w:val="righ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537" w:right="0"/>
              <w:jc w:val="left"/>
              <w:rPr>
                <w:rFonts w:ascii="宋体" w:hAnsi="宋体" w:cs="宋体" w:eastAsia="宋体" w:hint="default"/>
                <w:sz w:val="18"/>
                <w:szCs w:val="18"/>
              </w:rPr>
            </w:pPr>
            <w:r>
              <w:rPr>
                <w:rFonts w:ascii="宋体"/>
                <w:sz w:val="18"/>
              </w:rPr>
              <w:t>61,576,014.41 </w:t>
            </w:r>
          </w:p>
        </w:tc>
        <w:tc>
          <w:tcPr>
            <w:tcW w:w="25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148,400,000.00 </w:t>
            </w:r>
          </w:p>
        </w:tc>
      </w:tr>
    </w:tbl>
    <w:p>
      <w:pPr>
        <w:spacing w:line="240" w:lineRule="auto" w:before="3"/>
        <w:rPr>
          <w:rFonts w:ascii="宋体" w:hAnsi="宋体" w:cs="宋体" w:eastAsia="宋体" w:hint="default"/>
          <w:sz w:val="8"/>
          <w:szCs w:val="8"/>
        </w:rPr>
      </w:pPr>
    </w:p>
    <w:p>
      <w:pPr>
        <w:spacing w:before="36"/>
        <w:ind w:left="566" w:right="7673" w:firstLine="0"/>
        <w:jc w:val="left"/>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b/>
          <w:bCs/>
          <w:sz w:val="21"/>
          <w:szCs w:val="21"/>
        </w:rPr>
        <w:t>、</w:t>
      </w:r>
      <w:r>
        <w:rPr>
          <w:rFonts w:ascii="宋体" w:hAnsi="宋体" w:cs="宋体" w:eastAsia="宋体" w:hint="default"/>
          <w:sz w:val="21"/>
          <w:szCs w:val="21"/>
        </w:rPr>
        <w:t>其他应收款</w:t>
      </w:r>
      <w:r>
        <w:rPr>
          <w:rFonts w:ascii="宋体" w:hAnsi="宋体" w:cs="宋体" w:eastAsia="宋体" w:hint="default"/>
          <w:sz w:val="21"/>
          <w:szCs w:val="21"/>
        </w:rPr>
        <w:t> </w:t>
      </w:r>
    </w:p>
    <w:p>
      <w:pPr>
        <w:pStyle w:val="BodyText"/>
        <w:spacing w:line="240" w:lineRule="auto" w:before="171"/>
        <w:ind w:left="354" w:right="7673"/>
        <w:jc w:val="left"/>
        <w:rPr>
          <w:rFonts w:ascii="宋体" w:hAnsi="宋体" w:cs="宋体" w:eastAsia="宋体" w:hint="default"/>
        </w:rPr>
      </w:pPr>
      <w:r>
        <w:rPr/>
        <w:t>（</w:t>
      </w:r>
      <w:r>
        <w:rPr>
          <w:rFonts w:ascii="宋体" w:hAnsi="宋体" w:cs="宋体" w:eastAsia="宋体" w:hint="default"/>
        </w:rPr>
        <w:t>1</w:t>
      </w:r>
      <w:r>
        <w:rPr/>
        <w:t>）按账龄披露</w:t>
      </w:r>
      <w:r>
        <w:rPr>
          <w:rFonts w:ascii="宋体" w:hAnsi="宋体" w:cs="宋体" w:eastAsia="宋体" w:hint="default"/>
        </w:rPr>
        <w:t> </w:t>
      </w:r>
    </w:p>
    <w:p>
      <w:pPr>
        <w:spacing w:line="240" w:lineRule="auto" w:before="6"/>
        <w:rPr>
          <w:rFonts w:ascii="宋体" w:hAnsi="宋体" w:cs="宋体" w:eastAsia="宋体" w:hint="default"/>
          <w:sz w:val="14"/>
          <w:szCs w:val="14"/>
        </w:rPr>
      </w:pPr>
    </w:p>
    <w:tbl>
      <w:tblPr>
        <w:tblW w:w="0" w:type="auto"/>
        <w:jc w:val="left"/>
        <w:tblInd w:w="179" w:type="dxa"/>
        <w:tblLayout w:type="fixed"/>
        <w:tblCellMar>
          <w:top w:w="0" w:type="dxa"/>
          <w:left w:w="0" w:type="dxa"/>
          <w:bottom w:w="0" w:type="dxa"/>
          <w:right w:w="0" w:type="dxa"/>
        </w:tblCellMar>
        <w:tblLook w:val="01E0"/>
      </w:tblPr>
      <w:tblGrid>
        <w:gridCol w:w="4412"/>
        <w:gridCol w:w="5065"/>
      </w:tblGrid>
      <w:tr>
        <w:trPr>
          <w:trHeight w:val="396" w:hRule="exact"/>
        </w:trPr>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929"/>
              <w:jc w:val="right"/>
              <w:rPr>
                <w:rFonts w:ascii="宋体" w:hAnsi="宋体" w:cs="宋体" w:eastAsia="宋体" w:hint="default"/>
                <w:sz w:val="18"/>
                <w:szCs w:val="18"/>
              </w:rPr>
            </w:pPr>
            <w:r>
              <w:rPr>
                <w:rFonts w:ascii="宋体" w:hAnsi="宋体" w:cs="宋体" w:eastAsia="宋体" w:hint="default"/>
                <w:sz w:val="18"/>
                <w:szCs w:val="18"/>
              </w:rPr>
              <w:t>账龄</w:t>
            </w:r>
            <w:r>
              <w:rPr>
                <w:rFonts w:ascii="宋体" w:hAnsi="宋体" w:cs="宋体" w:eastAsia="宋体" w:hint="default"/>
                <w:sz w:val="18"/>
                <w:szCs w:val="18"/>
              </w:rPr>
              <w:t> </w:t>
            </w:r>
          </w:p>
        </w:tc>
        <w:tc>
          <w:tcPr>
            <w:tcW w:w="50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9"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r>
      <w:tr>
        <w:trPr>
          <w:trHeight w:val="398" w:hRule="exact"/>
        </w:trPr>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7"/>
                <w:sz w:val="18"/>
                <w:szCs w:val="18"/>
              </w:rPr>
              <w:t> </w:t>
            </w:r>
            <w:r>
              <w:rPr>
                <w:rFonts w:ascii="宋体" w:hAnsi="宋体" w:cs="宋体" w:eastAsia="宋体" w:hint="default"/>
                <w:sz w:val="18"/>
                <w:szCs w:val="18"/>
              </w:rPr>
              <w:t>年以内</w:t>
            </w:r>
            <w:r>
              <w:rPr>
                <w:rFonts w:ascii="宋体" w:hAnsi="宋体" w:cs="宋体" w:eastAsia="宋体" w:hint="default"/>
                <w:sz w:val="18"/>
                <w:szCs w:val="18"/>
              </w:rPr>
              <w:t> </w:t>
            </w:r>
          </w:p>
        </w:tc>
        <w:tc>
          <w:tcPr>
            <w:tcW w:w="50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107,690.57</w:t>
            </w:r>
            <w:r>
              <w:rPr>
                <w:rFonts w:ascii="宋体"/>
                <w:sz w:val="18"/>
              </w:rPr>
              <w:t> </w:t>
            </w:r>
          </w:p>
        </w:tc>
      </w:tr>
      <w:tr>
        <w:trPr>
          <w:trHeight w:val="396" w:hRule="exact"/>
        </w:trPr>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减：坏账准备</w:t>
            </w:r>
            <w:r>
              <w:rPr>
                <w:rFonts w:ascii="宋体" w:hAnsi="宋体" w:cs="宋体" w:eastAsia="宋体" w:hint="default"/>
                <w:sz w:val="18"/>
                <w:szCs w:val="18"/>
              </w:rPr>
              <w:t> </w:t>
            </w:r>
          </w:p>
        </w:tc>
        <w:tc>
          <w:tcPr>
            <w:tcW w:w="50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5,384.53</w:t>
            </w:r>
            <w:r>
              <w:rPr>
                <w:rFonts w:ascii="宋体"/>
                <w:sz w:val="18"/>
              </w:rPr>
              <w:t> </w:t>
            </w:r>
          </w:p>
        </w:tc>
      </w:tr>
      <w:tr>
        <w:trPr>
          <w:trHeight w:val="398" w:hRule="exact"/>
        </w:trPr>
        <w:tc>
          <w:tcPr>
            <w:tcW w:w="44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929"/>
              <w:jc w:val="righ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50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102,306.04</w:t>
            </w:r>
            <w:r>
              <w:rPr>
                <w:rFonts w:ascii="宋体"/>
                <w:sz w:val="18"/>
              </w:rPr>
              <w:t> </w:t>
            </w:r>
          </w:p>
        </w:tc>
      </w:tr>
    </w:tbl>
    <w:p>
      <w:pPr>
        <w:spacing w:line="240" w:lineRule="auto" w:before="7"/>
        <w:rPr>
          <w:rFonts w:ascii="宋体" w:hAnsi="宋体" w:cs="宋体" w:eastAsia="宋体" w:hint="default"/>
          <w:sz w:val="6"/>
          <w:szCs w:val="6"/>
        </w:rPr>
      </w:pPr>
    </w:p>
    <w:p>
      <w:pPr>
        <w:pStyle w:val="BodyText"/>
        <w:spacing w:line="240" w:lineRule="auto" w:before="36"/>
        <w:ind w:left="354" w:right="7673"/>
        <w:jc w:val="left"/>
        <w:rPr>
          <w:rFonts w:ascii="宋体" w:hAnsi="宋体" w:cs="宋体" w:eastAsia="宋体" w:hint="default"/>
        </w:rPr>
      </w:pPr>
      <w:r>
        <w:rPr/>
        <w:t>（</w:t>
      </w:r>
      <w:r>
        <w:rPr>
          <w:rFonts w:ascii="宋体" w:hAnsi="宋体" w:cs="宋体" w:eastAsia="宋体" w:hint="default"/>
        </w:rPr>
        <w:t>2</w:t>
      </w:r>
      <w:r>
        <w:rPr/>
        <w:t>）按款项性质分类情况</w:t>
      </w:r>
      <w:r>
        <w:rPr>
          <w:rFonts w:ascii="宋体" w:hAnsi="宋体" w:cs="宋体" w:eastAsia="宋体" w:hint="default"/>
        </w:rPr>
        <w:t> </w:t>
      </w:r>
    </w:p>
    <w:p>
      <w:pPr>
        <w:spacing w:line="240" w:lineRule="auto" w:before="3"/>
        <w:rPr>
          <w:rFonts w:ascii="宋体" w:hAnsi="宋体" w:cs="宋体" w:eastAsia="宋体" w:hint="default"/>
          <w:sz w:val="14"/>
          <w:szCs w:val="14"/>
        </w:rPr>
      </w:pPr>
    </w:p>
    <w:tbl>
      <w:tblPr>
        <w:tblW w:w="0" w:type="auto"/>
        <w:jc w:val="left"/>
        <w:tblInd w:w="150" w:type="dxa"/>
        <w:tblLayout w:type="fixed"/>
        <w:tblCellMar>
          <w:top w:w="0" w:type="dxa"/>
          <w:left w:w="0" w:type="dxa"/>
          <w:bottom w:w="0" w:type="dxa"/>
          <w:right w:w="0" w:type="dxa"/>
        </w:tblCellMar>
        <w:tblLook w:val="01E0"/>
      </w:tblPr>
      <w:tblGrid>
        <w:gridCol w:w="2874"/>
        <w:gridCol w:w="2993"/>
        <w:gridCol w:w="3651"/>
      </w:tblGrid>
      <w:tr>
        <w:trPr>
          <w:trHeight w:val="396" w:hRule="exact"/>
        </w:trPr>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7" w:right="0"/>
              <w:jc w:val="center"/>
              <w:rPr>
                <w:rFonts w:ascii="宋体" w:hAnsi="宋体" w:cs="宋体" w:eastAsia="宋体" w:hint="default"/>
                <w:sz w:val="18"/>
                <w:szCs w:val="18"/>
              </w:rPr>
            </w:pPr>
            <w:r>
              <w:rPr>
                <w:rFonts w:ascii="宋体" w:hAnsi="宋体" w:cs="宋体" w:eastAsia="宋体" w:hint="default"/>
                <w:sz w:val="18"/>
                <w:szCs w:val="18"/>
              </w:rPr>
              <w:t>款项性质</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50" w:right="0"/>
              <w:jc w:val="left"/>
              <w:rPr>
                <w:rFonts w:ascii="宋体" w:hAnsi="宋体" w:cs="宋体" w:eastAsia="宋体" w:hint="default"/>
                <w:sz w:val="18"/>
                <w:szCs w:val="18"/>
              </w:rPr>
            </w:pPr>
            <w:r>
              <w:rPr>
                <w:rFonts w:ascii="宋体" w:hAnsi="宋体" w:cs="宋体" w:eastAsia="宋体" w:hint="default"/>
                <w:sz w:val="18"/>
                <w:szCs w:val="18"/>
              </w:rPr>
              <w:t>期末账面余额</w:t>
            </w:r>
            <w:r>
              <w:rPr>
                <w:rFonts w:ascii="宋体" w:hAnsi="宋体" w:cs="宋体" w:eastAsia="宋体" w:hint="default"/>
                <w:sz w:val="18"/>
                <w:szCs w:val="18"/>
              </w:rPr>
              <w:t> </w:t>
            </w:r>
          </w:p>
        </w:tc>
        <w:tc>
          <w:tcPr>
            <w:tcW w:w="3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279" w:right="0"/>
              <w:jc w:val="left"/>
              <w:rPr>
                <w:rFonts w:ascii="宋体" w:hAnsi="宋体" w:cs="宋体" w:eastAsia="宋体" w:hint="default"/>
                <w:sz w:val="18"/>
                <w:szCs w:val="18"/>
              </w:rPr>
            </w:pPr>
            <w:r>
              <w:rPr>
                <w:rFonts w:ascii="宋体" w:hAnsi="宋体" w:cs="宋体" w:eastAsia="宋体" w:hint="default"/>
                <w:sz w:val="18"/>
                <w:szCs w:val="18"/>
              </w:rPr>
              <w:t>期初账面余额</w:t>
            </w:r>
            <w:r>
              <w:rPr>
                <w:rFonts w:ascii="宋体" w:hAnsi="宋体" w:cs="宋体" w:eastAsia="宋体" w:hint="default"/>
                <w:sz w:val="18"/>
                <w:szCs w:val="18"/>
              </w:rPr>
              <w:t> </w:t>
            </w:r>
          </w:p>
        </w:tc>
      </w:tr>
      <w:tr>
        <w:trPr>
          <w:trHeight w:val="398" w:hRule="exact"/>
        </w:trPr>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员工业务备用金</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z w:val="18"/>
              </w:rPr>
              <w:t> </w:t>
            </w:r>
            <w:r>
              <w:rPr>
                <w:rFonts w:ascii="宋体"/>
                <w:spacing w:val="-1"/>
                <w:sz w:val="18"/>
              </w:rPr>
              <w:t>5,000.00</w:t>
            </w:r>
            <w:r>
              <w:rPr>
                <w:rFonts w:ascii="宋体"/>
                <w:sz w:val="18"/>
              </w:rPr>
              <w:t> </w:t>
            </w:r>
          </w:p>
        </w:tc>
        <w:tc>
          <w:tcPr>
            <w:tcW w:w="3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21,817.02</w:t>
            </w:r>
            <w:r>
              <w:rPr>
                <w:rFonts w:ascii="宋体"/>
                <w:sz w:val="18"/>
              </w:rPr>
              <w:t> </w:t>
            </w:r>
          </w:p>
        </w:tc>
      </w:tr>
      <w:tr>
        <w:trPr>
          <w:trHeight w:val="396" w:hRule="exact"/>
        </w:trPr>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押金</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2"/>
                <w:sz w:val="18"/>
              </w:rPr>
              <w:t> </w:t>
            </w:r>
            <w:r>
              <w:rPr>
                <w:rFonts w:ascii="宋体"/>
                <w:spacing w:val="-1"/>
                <w:sz w:val="18"/>
              </w:rPr>
              <w:t>53,370.00</w:t>
            </w:r>
            <w:r>
              <w:rPr>
                <w:rFonts w:ascii="宋体"/>
                <w:sz w:val="18"/>
              </w:rPr>
              <w:t> </w:t>
            </w:r>
          </w:p>
        </w:tc>
        <w:tc>
          <w:tcPr>
            <w:tcW w:w="3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53,370.00</w:t>
            </w:r>
            <w:r>
              <w:rPr>
                <w:rFonts w:ascii="宋体"/>
                <w:sz w:val="18"/>
              </w:rPr>
              <w:t> </w:t>
            </w:r>
          </w:p>
        </w:tc>
      </w:tr>
      <w:tr>
        <w:trPr>
          <w:trHeight w:val="398" w:hRule="exact"/>
        </w:trPr>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往来及其他款项</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2"/>
                <w:sz w:val="18"/>
              </w:rPr>
              <w:t> </w:t>
            </w:r>
            <w:r>
              <w:rPr>
                <w:rFonts w:ascii="宋体"/>
                <w:spacing w:val="-1"/>
                <w:sz w:val="18"/>
              </w:rPr>
              <w:t>49,320.57</w:t>
            </w:r>
            <w:r>
              <w:rPr>
                <w:rFonts w:ascii="宋体"/>
                <w:sz w:val="18"/>
              </w:rPr>
              <w:t> </w:t>
            </w:r>
          </w:p>
        </w:tc>
        <w:tc>
          <w:tcPr>
            <w:tcW w:w="3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r>
      <w:tr>
        <w:trPr>
          <w:trHeight w:val="396" w:hRule="exact"/>
        </w:trPr>
        <w:tc>
          <w:tcPr>
            <w:tcW w:w="28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7"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29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z w:val="18"/>
              </w:rPr>
              <w:t> </w:t>
            </w:r>
            <w:r>
              <w:rPr>
                <w:rFonts w:ascii="宋体"/>
                <w:spacing w:val="-1"/>
                <w:sz w:val="18"/>
              </w:rPr>
              <w:t>107,690.57</w:t>
            </w:r>
            <w:r>
              <w:rPr>
                <w:rFonts w:ascii="宋体"/>
                <w:sz w:val="18"/>
              </w:rPr>
              <w:t> </w:t>
            </w:r>
          </w:p>
        </w:tc>
        <w:tc>
          <w:tcPr>
            <w:tcW w:w="36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 </w:t>
            </w:r>
            <w:r>
              <w:rPr>
                <w:rFonts w:ascii="宋体"/>
                <w:spacing w:val="-1"/>
                <w:sz w:val="18"/>
              </w:rPr>
              <w:t>75,187.02</w:t>
            </w:r>
            <w:r>
              <w:rPr>
                <w:rFonts w:ascii="宋体"/>
                <w:sz w:val="18"/>
              </w:rPr>
              <w:t> </w:t>
            </w:r>
          </w:p>
        </w:tc>
      </w:tr>
    </w:tbl>
    <w:p>
      <w:pPr>
        <w:spacing w:line="240" w:lineRule="auto" w:before="7"/>
        <w:rPr>
          <w:rFonts w:ascii="宋体" w:hAnsi="宋体" w:cs="宋体" w:eastAsia="宋体" w:hint="default"/>
          <w:sz w:val="6"/>
          <w:szCs w:val="6"/>
        </w:rPr>
      </w:pPr>
    </w:p>
    <w:p>
      <w:pPr>
        <w:pStyle w:val="BodyText"/>
        <w:spacing w:line="240" w:lineRule="auto" w:before="36"/>
        <w:ind w:left="354" w:right="7673"/>
        <w:jc w:val="left"/>
        <w:rPr>
          <w:rFonts w:ascii="宋体" w:hAnsi="宋体" w:cs="宋体" w:eastAsia="宋体" w:hint="default"/>
        </w:rPr>
      </w:pPr>
      <w:r>
        <w:rPr/>
        <w:t>（</w:t>
      </w:r>
      <w:r>
        <w:rPr>
          <w:rFonts w:ascii="宋体" w:hAnsi="宋体" w:cs="宋体" w:eastAsia="宋体" w:hint="default"/>
        </w:rPr>
        <w:t>3</w:t>
      </w:r>
      <w:r>
        <w:rPr/>
        <w:t>）坏账准备计提情况</w:t>
      </w:r>
      <w:r>
        <w:rPr>
          <w:rFonts w:ascii="宋体" w:hAnsi="宋体" w:cs="宋体" w:eastAsia="宋体" w:hint="default"/>
        </w:rPr>
        <w:t> </w:t>
      </w:r>
    </w:p>
    <w:p>
      <w:pPr>
        <w:spacing w:line="240" w:lineRule="auto" w:before="6"/>
        <w:rPr>
          <w:rFonts w:ascii="宋体" w:hAnsi="宋体" w:cs="宋体" w:eastAsia="宋体" w:hint="default"/>
          <w:sz w:val="14"/>
          <w:szCs w:val="14"/>
        </w:rPr>
      </w:pPr>
    </w:p>
    <w:tbl>
      <w:tblPr>
        <w:tblW w:w="0" w:type="auto"/>
        <w:jc w:val="left"/>
        <w:tblInd w:w="150" w:type="dxa"/>
        <w:tblLayout w:type="fixed"/>
        <w:tblCellMar>
          <w:top w:w="0" w:type="dxa"/>
          <w:left w:w="0" w:type="dxa"/>
          <w:bottom w:w="0" w:type="dxa"/>
          <w:right w:w="0" w:type="dxa"/>
        </w:tblCellMar>
        <w:tblLook w:val="01E0"/>
      </w:tblPr>
      <w:tblGrid>
        <w:gridCol w:w="2576"/>
        <w:gridCol w:w="1556"/>
        <w:gridCol w:w="2129"/>
        <w:gridCol w:w="2209"/>
        <w:gridCol w:w="1063"/>
      </w:tblGrid>
      <w:tr>
        <w:trPr>
          <w:trHeight w:val="554" w:hRule="exact"/>
        </w:trPr>
        <w:tc>
          <w:tcPr>
            <w:tcW w:w="257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left="924" w:right="0"/>
              <w:jc w:val="left"/>
              <w:rPr>
                <w:rFonts w:ascii="宋体" w:hAnsi="宋体" w:cs="宋体" w:eastAsia="宋体" w:hint="default"/>
                <w:sz w:val="18"/>
                <w:szCs w:val="18"/>
              </w:rPr>
            </w:pPr>
            <w:r>
              <w:rPr>
                <w:rFonts w:ascii="宋体" w:hAnsi="宋体" w:cs="宋体" w:eastAsia="宋体" w:hint="default"/>
                <w:sz w:val="18"/>
                <w:szCs w:val="18"/>
              </w:rPr>
              <w:t>坏账准备</w:t>
            </w:r>
            <w:r>
              <w:rPr>
                <w:rFonts w:ascii="宋体" w:hAnsi="宋体" w:cs="宋体" w:eastAsia="宋体" w:hint="default"/>
                <w:sz w:val="18"/>
                <w:szCs w:val="18"/>
              </w:rPr>
              <w:t> </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415" w:right="0"/>
              <w:jc w:val="left"/>
              <w:rPr>
                <w:rFonts w:ascii="宋体" w:hAnsi="宋体" w:cs="宋体" w:eastAsia="宋体" w:hint="default"/>
                <w:sz w:val="18"/>
                <w:szCs w:val="18"/>
              </w:rPr>
            </w:pPr>
            <w:r>
              <w:rPr>
                <w:rFonts w:ascii="宋体" w:hAnsi="宋体" w:cs="宋体" w:eastAsia="宋体" w:hint="default"/>
                <w:sz w:val="18"/>
                <w:szCs w:val="18"/>
              </w:rPr>
              <w:t>第一阶段</w:t>
            </w:r>
            <w:r>
              <w:rPr>
                <w:rFonts w:ascii="宋体" w:hAnsi="宋体" w:cs="宋体" w:eastAsia="宋体" w:hint="default"/>
                <w:sz w:val="18"/>
                <w:szCs w:val="18"/>
              </w:rPr>
              <w:t> </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700" w:right="0"/>
              <w:jc w:val="left"/>
              <w:rPr>
                <w:rFonts w:ascii="宋体" w:hAnsi="宋体" w:cs="宋体" w:eastAsia="宋体" w:hint="default"/>
                <w:sz w:val="18"/>
                <w:szCs w:val="18"/>
              </w:rPr>
            </w:pPr>
            <w:r>
              <w:rPr>
                <w:rFonts w:ascii="宋体" w:hAnsi="宋体" w:cs="宋体" w:eastAsia="宋体" w:hint="default"/>
                <w:sz w:val="18"/>
                <w:szCs w:val="18"/>
              </w:rPr>
              <w:t>第二阶段</w:t>
            </w:r>
            <w:r>
              <w:rPr>
                <w:rFonts w:ascii="宋体" w:hAnsi="宋体" w:cs="宋体" w:eastAsia="宋体" w:hint="default"/>
                <w:sz w:val="18"/>
                <w:szCs w:val="18"/>
              </w:rPr>
              <w:t> </w:t>
            </w:r>
          </w:p>
        </w:tc>
        <w:tc>
          <w:tcPr>
            <w:tcW w:w="22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8"/>
              <w:ind w:left="739" w:right="0"/>
              <w:jc w:val="left"/>
              <w:rPr>
                <w:rFonts w:ascii="宋体" w:hAnsi="宋体" w:cs="宋体" w:eastAsia="宋体" w:hint="default"/>
                <w:sz w:val="18"/>
                <w:szCs w:val="18"/>
              </w:rPr>
            </w:pPr>
            <w:r>
              <w:rPr>
                <w:rFonts w:ascii="宋体" w:hAnsi="宋体" w:cs="宋体" w:eastAsia="宋体" w:hint="default"/>
                <w:sz w:val="18"/>
                <w:szCs w:val="18"/>
              </w:rPr>
              <w:t>第三阶段</w:t>
            </w:r>
            <w:r>
              <w:rPr>
                <w:rFonts w:ascii="宋体" w:hAnsi="宋体" w:cs="宋体" w:eastAsia="宋体" w:hint="default"/>
                <w:sz w:val="18"/>
                <w:szCs w:val="18"/>
              </w:rPr>
              <w:t> </w:t>
            </w:r>
          </w:p>
        </w:tc>
        <w:tc>
          <w:tcPr>
            <w:tcW w:w="1063"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left="345" w:right="0"/>
              <w:jc w:val="lef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r>
      <w:tr>
        <w:trPr>
          <w:trHeight w:val="790" w:hRule="exact"/>
        </w:trPr>
        <w:tc>
          <w:tcPr>
            <w:tcW w:w="2576" w:type="dxa"/>
            <w:vMerge/>
            <w:tcBorders>
              <w:left w:val="single" w:sz="4" w:space="0" w:color="000000"/>
              <w:bottom w:val="single" w:sz="4" w:space="0" w:color="000000"/>
              <w:right w:val="single" w:sz="4" w:space="0" w:color="000000"/>
            </w:tcBorders>
          </w:tcPr>
          <w:p>
            <w:pP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before="125"/>
              <w:ind w:left="415" w:right="137" w:hanging="272"/>
              <w:jc w:val="left"/>
              <w:rPr>
                <w:rFonts w:ascii="宋体" w:hAnsi="宋体" w:cs="宋体" w:eastAsia="宋体" w:hint="default"/>
                <w:sz w:val="18"/>
                <w:szCs w:val="18"/>
              </w:rPr>
            </w:pPr>
            <w:r>
              <w:rPr>
                <w:rFonts w:ascii="宋体" w:hAnsi="宋体" w:cs="宋体" w:eastAsia="宋体" w:hint="default"/>
                <w:sz w:val="18"/>
                <w:szCs w:val="18"/>
              </w:rPr>
              <w:t>未来</w:t>
            </w:r>
            <w:r>
              <w:rPr>
                <w:rFonts w:ascii="宋体" w:hAnsi="宋体" w:cs="宋体" w:eastAsia="宋体" w:hint="default"/>
                <w:sz w:val="18"/>
                <w:szCs w:val="18"/>
              </w:rPr>
              <w:t>12</w:t>
            </w:r>
            <w:r>
              <w:rPr>
                <w:rFonts w:ascii="宋体" w:hAnsi="宋体" w:cs="宋体" w:eastAsia="宋体" w:hint="default"/>
                <w:sz w:val="18"/>
                <w:szCs w:val="18"/>
              </w:rPr>
              <w:t>个月预期 信用损失</w:t>
            </w:r>
            <w:r>
              <w:rPr>
                <w:rFonts w:ascii="宋体" w:hAnsi="宋体" w:cs="宋体" w:eastAsia="宋体" w:hint="default"/>
                <w:sz w:val="18"/>
                <w:szCs w:val="18"/>
              </w:rPr>
              <w:t> </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2" w:lineRule="auto" w:before="125"/>
              <w:ind w:left="249" w:right="156" w:hanging="89"/>
              <w:jc w:val="left"/>
              <w:rPr>
                <w:rFonts w:ascii="宋体" w:hAnsi="宋体" w:cs="宋体" w:eastAsia="宋体" w:hint="default"/>
                <w:sz w:val="18"/>
                <w:szCs w:val="18"/>
              </w:rPr>
            </w:pPr>
            <w:r>
              <w:rPr>
                <w:rFonts w:ascii="宋体" w:hAnsi="宋体" w:cs="宋体" w:eastAsia="宋体" w:hint="default"/>
                <w:sz w:val="18"/>
                <w:szCs w:val="18"/>
              </w:rPr>
              <w:t>整个存续期预期信用损 失</w:t>
            </w:r>
            <w:r>
              <w:rPr>
                <w:rFonts w:ascii="宋体" w:hAnsi="宋体" w:cs="宋体" w:eastAsia="宋体" w:hint="default"/>
                <w:sz w:val="18"/>
                <w:szCs w:val="18"/>
              </w:rPr>
              <w:t>(</w:t>
            </w:r>
            <w:r>
              <w:rPr>
                <w:rFonts w:ascii="宋体" w:hAnsi="宋体" w:cs="宋体" w:eastAsia="宋体" w:hint="default"/>
                <w:sz w:val="18"/>
                <w:szCs w:val="18"/>
              </w:rPr>
              <w:t>未发生信用减值</w:t>
            </w:r>
            <w:r>
              <w:rPr>
                <w:rFonts w:ascii="宋体" w:hAnsi="宋体" w:cs="宋体" w:eastAsia="宋体" w:hint="default"/>
                <w:sz w:val="18"/>
                <w:szCs w:val="18"/>
              </w:rPr>
              <w:t>) </w:t>
            </w:r>
          </w:p>
        </w:tc>
        <w:tc>
          <w:tcPr>
            <w:tcW w:w="22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5"/>
              <w:ind w:right="1"/>
              <w:jc w:val="center"/>
              <w:rPr>
                <w:rFonts w:ascii="宋体" w:hAnsi="宋体" w:cs="宋体" w:eastAsia="宋体" w:hint="default"/>
                <w:sz w:val="18"/>
                <w:szCs w:val="18"/>
              </w:rPr>
            </w:pPr>
            <w:r>
              <w:rPr>
                <w:rFonts w:ascii="宋体" w:hAnsi="宋体" w:cs="宋体" w:eastAsia="宋体" w:hint="default"/>
                <w:sz w:val="18"/>
                <w:szCs w:val="18"/>
              </w:rPr>
              <w:t>整个存续期预期信用损失</w:t>
            </w:r>
          </w:p>
          <w:p>
            <w:pPr>
              <w:pStyle w:val="TableParagraph"/>
              <w:spacing w:line="240" w:lineRule="auto" w:before="2"/>
              <w:ind w:left="89" w:right="0"/>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已发生信用减值</w:t>
            </w:r>
            <w:r>
              <w:rPr>
                <w:rFonts w:ascii="宋体" w:hAnsi="宋体" w:cs="宋体" w:eastAsia="宋体" w:hint="default"/>
                <w:sz w:val="18"/>
                <w:szCs w:val="18"/>
              </w:rPr>
              <w:t>) </w:t>
            </w:r>
          </w:p>
        </w:tc>
        <w:tc>
          <w:tcPr>
            <w:tcW w:w="1063" w:type="dxa"/>
            <w:vMerge/>
            <w:tcBorders>
              <w:left w:val="single" w:sz="4" w:space="0" w:color="000000"/>
              <w:bottom w:val="single" w:sz="4" w:space="0" w:color="000000"/>
              <w:right w:val="single" w:sz="4" w:space="0" w:color="000000"/>
            </w:tcBorders>
          </w:tcPr>
          <w:p>
            <w:pPr/>
          </w:p>
        </w:tc>
      </w:tr>
      <w:tr>
        <w:trPr>
          <w:trHeight w:val="408" w:hRule="exact"/>
        </w:trPr>
        <w:tc>
          <w:tcPr>
            <w:tcW w:w="2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1</w:t>
            </w:r>
            <w:r>
              <w:rPr>
                <w:rFonts w:ascii="宋体" w:hAnsi="宋体" w:cs="宋体" w:eastAsia="宋体" w:hint="default"/>
                <w:spacing w:val="-45"/>
                <w:sz w:val="18"/>
                <w:szCs w:val="18"/>
              </w:rPr>
              <w:t> </w:t>
            </w:r>
            <w:r>
              <w:rPr>
                <w:rFonts w:ascii="宋体" w:hAnsi="宋体" w:cs="宋体" w:eastAsia="宋体" w:hint="default"/>
                <w:sz w:val="18"/>
                <w:szCs w:val="18"/>
              </w:rPr>
              <w:t>日余额</w:t>
            </w:r>
            <w:r>
              <w:rPr>
                <w:rFonts w:ascii="宋体" w:hAnsi="宋体" w:cs="宋体" w:eastAsia="宋体" w:hint="default"/>
                <w:sz w:val="18"/>
                <w:szCs w:val="18"/>
              </w:rPr>
              <w:t> </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
              <w:jc w:val="right"/>
              <w:rPr>
                <w:rFonts w:ascii="宋体" w:hAnsi="宋体" w:cs="宋体" w:eastAsia="宋体" w:hint="default"/>
                <w:sz w:val="18"/>
                <w:szCs w:val="18"/>
              </w:rPr>
            </w:pPr>
            <w:r>
              <w:rPr>
                <w:rFonts w:ascii="宋体"/>
                <w:spacing w:val="-1"/>
                <w:sz w:val="18"/>
              </w:rPr>
              <w:t>3,759.35</w:t>
            </w:r>
            <w:r>
              <w:rPr>
                <w:rFonts w:ascii="宋体"/>
                <w:sz w:val="18"/>
              </w:rPr>
              <w:t> </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
              <w:jc w:val="right"/>
              <w:rPr>
                <w:rFonts w:ascii="宋体" w:hAnsi="宋体" w:cs="宋体" w:eastAsia="宋体" w:hint="default"/>
                <w:sz w:val="18"/>
                <w:szCs w:val="18"/>
              </w:rPr>
            </w:pPr>
            <w:r>
              <w:rPr>
                <w:rFonts w:ascii="宋体"/>
                <w:sz w:val="18"/>
              </w:rPr>
              <w:t> </w:t>
            </w:r>
          </w:p>
        </w:tc>
        <w:tc>
          <w:tcPr>
            <w:tcW w:w="22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
              <w:jc w:val="right"/>
              <w:rPr>
                <w:rFonts w:ascii="宋体" w:hAnsi="宋体" w:cs="宋体" w:eastAsia="宋体" w:hint="default"/>
                <w:sz w:val="18"/>
                <w:szCs w:val="18"/>
              </w:rPr>
            </w:pPr>
            <w:r>
              <w:rPr>
                <w:rFonts w:ascii="宋体"/>
                <w:sz w:val="18"/>
              </w:rPr>
              <w:t> </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
              <w:jc w:val="right"/>
              <w:rPr>
                <w:rFonts w:ascii="宋体" w:hAnsi="宋体" w:cs="宋体" w:eastAsia="宋体" w:hint="default"/>
                <w:sz w:val="18"/>
                <w:szCs w:val="18"/>
              </w:rPr>
            </w:pPr>
            <w:r>
              <w:rPr>
                <w:rFonts w:ascii="宋体"/>
                <w:spacing w:val="-1"/>
                <w:sz w:val="18"/>
              </w:rPr>
              <w:t>3,759.35</w:t>
            </w:r>
            <w:r>
              <w:rPr>
                <w:rFonts w:ascii="宋体"/>
                <w:sz w:val="18"/>
              </w:rPr>
              <w:t> </w:t>
            </w:r>
          </w:p>
        </w:tc>
      </w:tr>
      <w:tr>
        <w:trPr>
          <w:trHeight w:val="406" w:hRule="exact"/>
        </w:trPr>
        <w:tc>
          <w:tcPr>
            <w:tcW w:w="2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宋体" w:hAnsi="宋体" w:cs="宋体" w:eastAsia="宋体" w:hint="default"/>
                <w:sz w:val="18"/>
                <w:szCs w:val="18"/>
              </w:rPr>
              <w:t>1</w:t>
            </w:r>
            <w:r>
              <w:rPr>
                <w:rFonts w:ascii="宋体" w:hAnsi="宋体" w:cs="宋体" w:eastAsia="宋体" w:hint="default"/>
                <w:spacing w:val="-45"/>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宋体" w:hAnsi="宋体" w:cs="宋体" w:eastAsia="宋体" w:hint="default"/>
                <w:sz w:val="18"/>
                <w:szCs w:val="18"/>
              </w:rPr>
              <w:t>1</w:t>
            </w:r>
            <w:r>
              <w:rPr>
                <w:rFonts w:ascii="宋体" w:hAnsi="宋体" w:cs="宋体" w:eastAsia="宋体" w:hint="default"/>
                <w:spacing w:val="-45"/>
                <w:sz w:val="18"/>
                <w:szCs w:val="18"/>
              </w:rPr>
              <w:t> </w:t>
            </w:r>
            <w:r>
              <w:rPr>
                <w:rFonts w:ascii="宋体" w:hAnsi="宋体" w:cs="宋体" w:eastAsia="宋体" w:hint="default"/>
                <w:sz w:val="18"/>
                <w:szCs w:val="18"/>
              </w:rPr>
              <w:t>日余额在本期</w:t>
            </w:r>
            <w:r>
              <w:rPr>
                <w:rFonts w:ascii="宋体" w:hAnsi="宋体" w:cs="宋体" w:eastAsia="宋体" w:hint="default"/>
                <w:sz w:val="18"/>
                <w:szCs w:val="18"/>
              </w:rPr>
              <w:t> </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595"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 </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92" w:right="0"/>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 </w:t>
            </w:r>
          </w:p>
        </w:tc>
        <w:tc>
          <w:tcPr>
            <w:tcW w:w="22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9" w:right="0"/>
              <w:jc w:val="center"/>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 </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345"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 </w:t>
            </w:r>
          </w:p>
        </w:tc>
      </w:tr>
      <w:tr>
        <w:trPr>
          <w:trHeight w:val="408" w:hRule="exact"/>
        </w:trPr>
        <w:tc>
          <w:tcPr>
            <w:tcW w:w="2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转入第二阶段</w:t>
            </w:r>
            <w:r>
              <w:rPr>
                <w:rFonts w:ascii="宋体" w:hAnsi="宋体" w:cs="宋体" w:eastAsia="宋体" w:hint="default"/>
                <w:sz w:val="18"/>
                <w:szCs w:val="18"/>
              </w:rPr>
              <w:t> </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
              <w:jc w:val="right"/>
              <w:rPr>
                <w:rFonts w:ascii="宋体" w:hAnsi="宋体" w:cs="宋体" w:eastAsia="宋体" w:hint="default"/>
                <w:sz w:val="18"/>
                <w:szCs w:val="18"/>
              </w:rPr>
            </w:pPr>
            <w:r>
              <w:rPr>
                <w:rFonts w:ascii="宋体"/>
                <w:sz w:val="18"/>
              </w:rPr>
              <w:t> </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
              <w:jc w:val="right"/>
              <w:rPr>
                <w:rFonts w:ascii="宋体" w:hAnsi="宋体" w:cs="宋体" w:eastAsia="宋体" w:hint="default"/>
                <w:sz w:val="18"/>
                <w:szCs w:val="18"/>
              </w:rPr>
            </w:pPr>
            <w:r>
              <w:rPr>
                <w:rFonts w:ascii="宋体"/>
                <w:sz w:val="18"/>
              </w:rPr>
              <w:t> </w:t>
            </w:r>
          </w:p>
        </w:tc>
        <w:tc>
          <w:tcPr>
            <w:tcW w:w="22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
              <w:jc w:val="right"/>
              <w:rPr>
                <w:rFonts w:ascii="宋体" w:hAnsi="宋体" w:cs="宋体" w:eastAsia="宋体" w:hint="default"/>
                <w:sz w:val="18"/>
                <w:szCs w:val="18"/>
              </w:rPr>
            </w:pPr>
            <w:r>
              <w:rPr>
                <w:rFonts w:ascii="宋体"/>
                <w:sz w:val="18"/>
              </w:rPr>
              <w:t> </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
              <w:jc w:val="right"/>
              <w:rPr>
                <w:rFonts w:ascii="宋体" w:hAnsi="宋体" w:cs="宋体" w:eastAsia="宋体" w:hint="default"/>
                <w:sz w:val="18"/>
                <w:szCs w:val="18"/>
              </w:rPr>
            </w:pPr>
            <w:r>
              <w:rPr>
                <w:rFonts w:ascii="宋体"/>
                <w:sz w:val="18"/>
              </w:rPr>
              <w:t> </w:t>
            </w:r>
          </w:p>
        </w:tc>
      </w:tr>
      <w:tr>
        <w:trPr>
          <w:trHeight w:val="406" w:hRule="exact"/>
        </w:trPr>
        <w:tc>
          <w:tcPr>
            <w:tcW w:w="2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转入第三阶段</w:t>
            </w:r>
            <w:r>
              <w:rPr>
                <w:rFonts w:ascii="宋体" w:hAnsi="宋体" w:cs="宋体" w:eastAsia="宋体" w:hint="default"/>
                <w:sz w:val="18"/>
                <w:szCs w:val="18"/>
              </w:rPr>
              <w:t> </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
              <w:jc w:val="right"/>
              <w:rPr>
                <w:rFonts w:ascii="宋体" w:hAnsi="宋体" w:cs="宋体" w:eastAsia="宋体" w:hint="default"/>
                <w:sz w:val="18"/>
                <w:szCs w:val="18"/>
              </w:rPr>
            </w:pPr>
            <w:r>
              <w:rPr>
                <w:rFonts w:ascii="宋体"/>
                <w:sz w:val="18"/>
              </w:rPr>
              <w:t> </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
              <w:jc w:val="right"/>
              <w:rPr>
                <w:rFonts w:ascii="宋体" w:hAnsi="宋体" w:cs="宋体" w:eastAsia="宋体" w:hint="default"/>
                <w:sz w:val="18"/>
                <w:szCs w:val="18"/>
              </w:rPr>
            </w:pPr>
            <w:r>
              <w:rPr>
                <w:rFonts w:ascii="宋体"/>
                <w:sz w:val="18"/>
              </w:rPr>
              <w:t> </w:t>
            </w:r>
          </w:p>
        </w:tc>
        <w:tc>
          <w:tcPr>
            <w:tcW w:w="22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
              <w:jc w:val="right"/>
              <w:rPr>
                <w:rFonts w:ascii="宋体" w:hAnsi="宋体" w:cs="宋体" w:eastAsia="宋体" w:hint="default"/>
                <w:sz w:val="18"/>
                <w:szCs w:val="18"/>
              </w:rPr>
            </w:pPr>
            <w:r>
              <w:rPr>
                <w:rFonts w:ascii="宋体"/>
                <w:sz w:val="18"/>
              </w:rPr>
              <w:t> </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
              <w:jc w:val="right"/>
              <w:rPr>
                <w:rFonts w:ascii="宋体" w:hAnsi="宋体" w:cs="宋体" w:eastAsia="宋体" w:hint="default"/>
                <w:sz w:val="18"/>
                <w:szCs w:val="18"/>
              </w:rPr>
            </w:pPr>
            <w:r>
              <w:rPr>
                <w:rFonts w:ascii="宋体"/>
                <w:sz w:val="18"/>
              </w:rPr>
              <w:t> </w:t>
            </w:r>
          </w:p>
        </w:tc>
      </w:tr>
      <w:tr>
        <w:trPr>
          <w:trHeight w:val="408" w:hRule="exact"/>
        </w:trPr>
        <w:tc>
          <w:tcPr>
            <w:tcW w:w="2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转回第二阶段</w:t>
            </w:r>
            <w:r>
              <w:rPr>
                <w:rFonts w:ascii="宋体" w:hAnsi="宋体" w:cs="宋体" w:eastAsia="宋体" w:hint="default"/>
                <w:sz w:val="18"/>
                <w:szCs w:val="18"/>
              </w:rPr>
              <w:t> </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8"/>
              <w:jc w:val="right"/>
              <w:rPr>
                <w:rFonts w:ascii="宋体" w:hAnsi="宋体" w:cs="宋体" w:eastAsia="宋体" w:hint="default"/>
                <w:sz w:val="18"/>
                <w:szCs w:val="18"/>
              </w:rPr>
            </w:pPr>
            <w:r>
              <w:rPr>
                <w:rFonts w:ascii="宋体"/>
                <w:sz w:val="18"/>
              </w:rPr>
              <w:t> </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1"/>
              <w:jc w:val="right"/>
              <w:rPr>
                <w:rFonts w:ascii="宋体" w:hAnsi="宋体" w:cs="宋体" w:eastAsia="宋体" w:hint="default"/>
                <w:sz w:val="18"/>
                <w:szCs w:val="18"/>
              </w:rPr>
            </w:pPr>
            <w:r>
              <w:rPr>
                <w:rFonts w:ascii="宋体"/>
                <w:sz w:val="18"/>
              </w:rPr>
              <w:t> </w:t>
            </w:r>
          </w:p>
        </w:tc>
        <w:tc>
          <w:tcPr>
            <w:tcW w:w="22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1"/>
              <w:jc w:val="right"/>
              <w:rPr>
                <w:rFonts w:ascii="宋体" w:hAnsi="宋体" w:cs="宋体" w:eastAsia="宋体" w:hint="default"/>
                <w:sz w:val="18"/>
                <w:szCs w:val="18"/>
              </w:rPr>
            </w:pPr>
            <w:r>
              <w:rPr>
                <w:rFonts w:ascii="宋体"/>
                <w:sz w:val="18"/>
              </w:rPr>
              <w:t> </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1"/>
              <w:jc w:val="right"/>
              <w:rPr>
                <w:rFonts w:ascii="宋体" w:hAnsi="宋体" w:cs="宋体" w:eastAsia="宋体" w:hint="default"/>
                <w:sz w:val="18"/>
                <w:szCs w:val="18"/>
              </w:rPr>
            </w:pPr>
            <w:r>
              <w:rPr>
                <w:rFonts w:ascii="宋体"/>
                <w:sz w:val="18"/>
              </w:rPr>
              <w:t> </w:t>
            </w:r>
          </w:p>
        </w:tc>
      </w:tr>
      <w:tr>
        <w:trPr>
          <w:trHeight w:val="406" w:hRule="exact"/>
        </w:trPr>
        <w:tc>
          <w:tcPr>
            <w:tcW w:w="2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宋体" w:hAnsi="宋体" w:cs="宋体" w:eastAsia="宋体" w:hint="default"/>
                <w:sz w:val="18"/>
                <w:szCs w:val="18"/>
              </w:rPr>
              <w:t>转回第一阶段</w:t>
            </w:r>
            <w:r>
              <w:rPr>
                <w:rFonts w:ascii="宋体" w:hAnsi="宋体" w:cs="宋体" w:eastAsia="宋体" w:hint="default"/>
                <w:sz w:val="18"/>
                <w:szCs w:val="18"/>
              </w:rPr>
              <w:t> </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
              <w:jc w:val="right"/>
              <w:rPr>
                <w:rFonts w:ascii="宋体" w:hAnsi="宋体" w:cs="宋体" w:eastAsia="宋体" w:hint="default"/>
                <w:sz w:val="18"/>
                <w:szCs w:val="18"/>
              </w:rPr>
            </w:pPr>
            <w:r>
              <w:rPr>
                <w:rFonts w:ascii="宋体"/>
                <w:sz w:val="18"/>
              </w:rPr>
              <w:t> </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
              <w:jc w:val="right"/>
              <w:rPr>
                <w:rFonts w:ascii="宋体" w:hAnsi="宋体" w:cs="宋体" w:eastAsia="宋体" w:hint="default"/>
                <w:sz w:val="18"/>
                <w:szCs w:val="18"/>
              </w:rPr>
            </w:pPr>
            <w:r>
              <w:rPr>
                <w:rFonts w:ascii="宋体"/>
                <w:sz w:val="18"/>
              </w:rPr>
              <w:t> </w:t>
            </w:r>
          </w:p>
        </w:tc>
        <w:tc>
          <w:tcPr>
            <w:tcW w:w="22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
              <w:jc w:val="right"/>
              <w:rPr>
                <w:rFonts w:ascii="宋体" w:hAnsi="宋体" w:cs="宋体" w:eastAsia="宋体" w:hint="default"/>
                <w:sz w:val="18"/>
                <w:szCs w:val="18"/>
              </w:rPr>
            </w:pPr>
            <w:r>
              <w:rPr>
                <w:rFonts w:ascii="宋体"/>
                <w:sz w:val="18"/>
              </w:rPr>
              <w:t> </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
              <w:jc w:val="right"/>
              <w:rPr>
                <w:rFonts w:ascii="宋体" w:hAnsi="宋体" w:cs="宋体" w:eastAsia="宋体" w:hint="default"/>
                <w:sz w:val="18"/>
                <w:szCs w:val="18"/>
              </w:rPr>
            </w:pPr>
            <w:r>
              <w:rPr>
                <w:rFonts w:ascii="宋体"/>
                <w:sz w:val="18"/>
              </w:rPr>
              <w:t> </w:t>
            </w:r>
          </w:p>
        </w:tc>
      </w:tr>
      <w:tr>
        <w:trPr>
          <w:trHeight w:val="408" w:hRule="exact"/>
        </w:trPr>
        <w:tc>
          <w:tcPr>
            <w:tcW w:w="2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本期计提</w:t>
            </w:r>
            <w:r>
              <w:rPr>
                <w:rFonts w:ascii="宋体" w:hAnsi="宋体" w:cs="宋体" w:eastAsia="宋体" w:hint="default"/>
                <w:sz w:val="18"/>
                <w:szCs w:val="18"/>
              </w:rPr>
              <w:t> </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
              <w:jc w:val="right"/>
              <w:rPr>
                <w:rFonts w:ascii="宋体" w:hAnsi="宋体" w:cs="宋体" w:eastAsia="宋体" w:hint="default"/>
                <w:sz w:val="18"/>
                <w:szCs w:val="18"/>
              </w:rPr>
            </w:pPr>
            <w:r>
              <w:rPr>
                <w:rFonts w:ascii="宋体"/>
                <w:spacing w:val="-1"/>
                <w:sz w:val="18"/>
              </w:rPr>
              <w:t>1,625.18</w:t>
            </w:r>
            <w:r>
              <w:rPr>
                <w:rFonts w:ascii="宋体"/>
                <w:sz w:val="18"/>
              </w:rPr>
              <w:t> </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1"/>
              <w:jc w:val="right"/>
              <w:rPr>
                <w:rFonts w:ascii="宋体" w:hAnsi="宋体" w:cs="宋体" w:eastAsia="宋体" w:hint="default"/>
                <w:sz w:val="18"/>
                <w:szCs w:val="18"/>
              </w:rPr>
            </w:pPr>
            <w:r>
              <w:rPr>
                <w:rFonts w:ascii="宋体"/>
                <w:sz w:val="18"/>
              </w:rPr>
              <w:t> </w:t>
            </w:r>
          </w:p>
        </w:tc>
        <w:tc>
          <w:tcPr>
            <w:tcW w:w="22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1"/>
              <w:jc w:val="right"/>
              <w:rPr>
                <w:rFonts w:ascii="宋体" w:hAnsi="宋体" w:cs="宋体" w:eastAsia="宋体" w:hint="default"/>
                <w:sz w:val="18"/>
                <w:szCs w:val="18"/>
              </w:rPr>
            </w:pPr>
            <w:r>
              <w:rPr>
                <w:rFonts w:ascii="宋体"/>
                <w:sz w:val="18"/>
              </w:rPr>
              <w:t> </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1"/>
              <w:jc w:val="right"/>
              <w:rPr>
                <w:rFonts w:ascii="宋体" w:hAnsi="宋体" w:cs="宋体" w:eastAsia="宋体" w:hint="default"/>
                <w:sz w:val="18"/>
                <w:szCs w:val="18"/>
              </w:rPr>
            </w:pPr>
            <w:r>
              <w:rPr>
                <w:rFonts w:ascii="宋体"/>
                <w:spacing w:val="-1"/>
                <w:sz w:val="18"/>
              </w:rPr>
              <w:t>1,625.18</w:t>
            </w:r>
            <w:r>
              <w:rPr>
                <w:rFonts w:ascii="宋体"/>
                <w:sz w:val="18"/>
              </w:rPr>
              <w:t> </w:t>
            </w:r>
          </w:p>
        </w:tc>
      </w:tr>
    </w:tbl>
    <w:p>
      <w:pPr>
        <w:spacing w:after="0" w:line="240" w:lineRule="auto"/>
        <w:jc w:val="right"/>
        <w:rPr>
          <w:rFonts w:ascii="宋体" w:hAnsi="宋体" w:cs="宋体" w:eastAsia="宋体" w:hint="default"/>
          <w:sz w:val="18"/>
          <w:szCs w:val="18"/>
        </w:rPr>
        <w:sectPr>
          <w:pgSz w:w="11910" w:h="16840"/>
          <w:pgMar w:header="880" w:footer="975" w:top="1100" w:bottom="1160" w:left="1160" w:right="0"/>
        </w:sectPr>
      </w:pPr>
    </w:p>
    <w:p>
      <w:pPr>
        <w:spacing w:line="240" w:lineRule="auto" w:before="8"/>
        <w:rPr>
          <w:rFonts w:ascii="宋体" w:hAnsi="宋体" w:cs="宋体" w:eastAsia="宋体" w:hint="default"/>
          <w:sz w:val="24"/>
          <w:szCs w:val="24"/>
        </w:rPr>
      </w:pPr>
    </w:p>
    <w:tbl>
      <w:tblPr>
        <w:tblW w:w="0" w:type="auto"/>
        <w:jc w:val="left"/>
        <w:tblInd w:w="150" w:type="dxa"/>
        <w:tblLayout w:type="fixed"/>
        <w:tblCellMar>
          <w:top w:w="0" w:type="dxa"/>
          <w:left w:w="0" w:type="dxa"/>
          <w:bottom w:w="0" w:type="dxa"/>
          <w:right w:w="0" w:type="dxa"/>
        </w:tblCellMar>
        <w:tblLook w:val="01E0"/>
      </w:tblPr>
      <w:tblGrid>
        <w:gridCol w:w="2576"/>
        <w:gridCol w:w="1556"/>
        <w:gridCol w:w="2129"/>
        <w:gridCol w:w="2209"/>
        <w:gridCol w:w="1063"/>
      </w:tblGrid>
      <w:tr>
        <w:trPr>
          <w:trHeight w:val="408" w:hRule="exact"/>
        </w:trPr>
        <w:tc>
          <w:tcPr>
            <w:tcW w:w="2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本期转回</w:t>
            </w:r>
            <w:r>
              <w:rPr>
                <w:rFonts w:ascii="宋体" w:hAnsi="宋体" w:cs="宋体" w:eastAsia="宋体" w:hint="default"/>
                <w:sz w:val="18"/>
                <w:szCs w:val="18"/>
              </w:rPr>
              <w:t> </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
              <w:jc w:val="right"/>
              <w:rPr>
                <w:rFonts w:ascii="宋体" w:hAnsi="宋体" w:cs="宋体" w:eastAsia="宋体" w:hint="default"/>
                <w:sz w:val="18"/>
                <w:szCs w:val="18"/>
              </w:rPr>
            </w:pPr>
            <w:r>
              <w:rPr>
                <w:rFonts w:ascii="宋体"/>
                <w:sz w:val="18"/>
              </w:rPr>
              <w:t> </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
              <w:jc w:val="right"/>
              <w:rPr>
                <w:rFonts w:ascii="宋体" w:hAnsi="宋体" w:cs="宋体" w:eastAsia="宋体" w:hint="default"/>
                <w:sz w:val="18"/>
                <w:szCs w:val="18"/>
              </w:rPr>
            </w:pPr>
            <w:r>
              <w:rPr>
                <w:rFonts w:ascii="宋体"/>
                <w:sz w:val="18"/>
              </w:rPr>
              <w:t> </w:t>
            </w:r>
          </w:p>
        </w:tc>
        <w:tc>
          <w:tcPr>
            <w:tcW w:w="22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
              <w:jc w:val="right"/>
              <w:rPr>
                <w:rFonts w:ascii="宋体" w:hAnsi="宋体" w:cs="宋体" w:eastAsia="宋体" w:hint="default"/>
                <w:sz w:val="18"/>
                <w:szCs w:val="18"/>
              </w:rPr>
            </w:pPr>
            <w:r>
              <w:rPr>
                <w:rFonts w:ascii="宋体"/>
                <w:sz w:val="18"/>
              </w:rPr>
              <w:t> </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
              <w:jc w:val="right"/>
              <w:rPr>
                <w:rFonts w:ascii="宋体" w:hAnsi="宋体" w:cs="宋体" w:eastAsia="宋体" w:hint="default"/>
                <w:sz w:val="18"/>
                <w:szCs w:val="18"/>
              </w:rPr>
            </w:pPr>
            <w:r>
              <w:rPr>
                <w:rFonts w:ascii="宋体"/>
                <w:sz w:val="18"/>
              </w:rPr>
              <w:t> </w:t>
            </w:r>
          </w:p>
        </w:tc>
      </w:tr>
      <w:tr>
        <w:trPr>
          <w:trHeight w:val="406" w:hRule="exact"/>
        </w:trPr>
        <w:tc>
          <w:tcPr>
            <w:tcW w:w="2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本期转销</w:t>
            </w:r>
            <w:r>
              <w:rPr>
                <w:rFonts w:ascii="宋体" w:hAnsi="宋体" w:cs="宋体" w:eastAsia="宋体" w:hint="default"/>
                <w:sz w:val="18"/>
                <w:szCs w:val="18"/>
              </w:rPr>
              <w:t> </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
              <w:jc w:val="right"/>
              <w:rPr>
                <w:rFonts w:ascii="宋体" w:hAnsi="宋体" w:cs="宋体" w:eastAsia="宋体" w:hint="default"/>
                <w:sz w:val="18"/>
                <w:szCs w:val="18"/>
              </w:rPr>
            </w:pPr>
            <w:r>
              <w:rPr>
                <w:rFonts w:ascii="宋体"/>
                <w:sz w:val="18"/>
              </w:rPr>
              <w:t> </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
              <w:jc w:val="right"/>
              <w:rPr>
                <w:rFonts w:ascii="宋体" w:hAnsi="宋体" w:cs="宋体" w:eastAsia="宋体" w:hint="default"/>
                <w:sz w:val="18"/>
                <w:szCs w:val="18"/>
              </w:rPr>
            </w:pPr>
            <w:r>
              <w:rPr>
                <w:rFonts w:ascii="宋体"/>
                <w:sz w:val="18"/>
              </w:rPr>
              <w:t> </w:t>
            </w:r>
          </w:p>
        </w:tc>
        <w:tc>
          <w:tcPr>
            <w:tcW w:w="22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
              <w:jc w:val="right"/>
              <w:rPr>
                <w:rFonts w:ascii="宋体" w:hAnsi="宋体" w:cs="宋体" w:eastAsia="宋体" w:hint="default"/>
                <w:sz w:val="18"/>
                <w:szCs w:val="18"/>
              </w:rPr>
            </w:pPr>
            <w:r>
              <w:rPr>
                <w:rFonts w:ascii="宋体"/>
                <w:sz w:val="18"/>
              </w:rPr>
              <w:t> </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
              <w:jc w:val="right"/>
              <w:rPr>
                <w:rFonts w:ascii="宋体" w:hAnsi="宋体" w:cs="宋体" w:eastAsia="宋体" w:hint="default"/>
                <w:sz w:val="18"/>
                <w:szCs w:val="18"/>
              </w:rPr>
            </w:pPr>
            <w:r>
              <w:rPr>
                <w:rFonts w:ascii="宋体"/>
                <w:sz w:val="18"/>
              </w:rPr>
              <w:t> </w:t>
            </w:r>
          </w:p>
        </w:tc>
      </w:tr>
      <w:tr>
        <w:trPr>
          <w:trHeight w:val="408" w:hRule="exact"/>
        </w:trPr>
        <w:tc>
          <w:tcPr>
            <w:tcW w:w="2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本期核销</w:t>
            </w:r>
            <w:r>
              <w:rPr>
                <w:rFonts w:ascii="宋体" w:hAnsi="宋体" w:cs="宋体" w:eastAsia="宋体" w:hint="default"/>
                <w:sz w:val="18"/>
                <w:szCs w:val="18"/>
              </w:rPr>
              <w:t> </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
              <w:jc w:val="right"/>
              <w:rPr>
                <w:rFonts w:ascii="宋体" w:hAnsi="宋体" w:cs="宋体" w:eastAsia="宋体" w:hint="default"/>
                <w:sz w:val="18"/>
                <w:szCs w:val="18"/>
              </w:rPr>
            </w:pPr>
            <w:r>
              <w:rPr>
                <w:rFonts w:ascii="宋体"/>
                <w:sz w:val="18"/>
              </w:rPr>
              <w:t> </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
              <w:jc w:val="right"/>
              <w:rPr>
                <w:rFonts w:ascii="宋体" w:hAnsi="宋体" w:cs="宋体" w:eastAsia="宋体" w:hint="default"/>
                <w:sz w:val="18"/>
                <w:szCs w:val="18"/>
              </w:rPr>
            </w:pPr>
            <w:r>
              <w:rPr>
                <w:rFonts w:ascii="宋体"/>
                <w:sz w:val="18"/>
              </w:rPr>
              <w:t> </w:t>
            </w:r>
          </w:p>
        </w:tc>
        <w:tc>
          <w:tcPr>
            <w:tcW w:w="22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
              <w:jc w:val="right"/>
              <w:rPr>
                <w:rFonts w:ascii="宋体" w:hAnsi="宋体" w:cs="宋体" w:eastAsia="宋体" w:hint="default"/>
                <w:sz w:val="18"/>
                <w:szCs w:val="18"/>
              </w:rPr>
            </w:pPr>
            <w:r>
              <w:rPr>
                <w:rFonts w:ascii="宋体"/>
                <w:sz w:val="18"/>
              </w:rPr>
              <w:t> </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
              <w:jc w:val="right"/>
              <w:rPr>
                <w:rFonts w:ascii="宋体" w:hAnsi="宋体" w:cs="宋体" w:eastAsia="宋体" w:hint="default"/>
                <w:sz w:val="18"/>
                <w:szCs w:val="18"/>
              </w:rPr>
            </w:pPr>
            <w:r>
              <w:rPr>
                <w:rFonts w:ascii="宋体"/>
                <w:sz w:val="18"/>
              </w:rPr>
              <w:t> </w:t>
            </w:r>
          </w:p>
        </w:tc>
      </w:tr>
      <w:tr>
        <w:trPr>
          <w:trHeight w:val="406" w:hRule="exact"/>
        </w:trPr>
        <w:tc>
          <w:tcPr>
            <w:tcW w:w="2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其他变动</w:t>
            </w:r>
            <w:r>
              <w:rPr>
                <w:rFonts w:ascii="宋体" w:hAnsi="宋体" w:cs="宋体" w:eastAsia="宋体" w:hint="default"/>
                <w:sz w:val="18"/>
                <w:szCs w:val="18"/>
              </w:rPr>
              <w:t> </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8"/>
              <w:jc w:val="right"/>
              <w:rPr>
                <w:rFonts w:ascii="宋体" w:hAnsi="宋体" w:cs="宋体" w:eastAsia="宋体" w:hint="default"/>
                <w:sz w:val="18"/>
                <w:szCs w:val="18"/>
              </w:rPr>
            </w:pPr>
            <w:r>
              <w:rPr>
                <w:rFonts w:ascii="宋体"/>
                <w:sz w:val="18"/>
              </w:rPr>
              <w:t> </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
              <w:jc w:val="right"/>
              <w:rPr>
                <w:rFonts w:ascii="宋体" w:hAnsi="宋体" w:cs="宋体" w:eastAsia="宋体" w:hint="default"/>
                <w:sz w:val="18"/>
                <w:szCs w:val="18"/>
              </w:rPr>
            </w:pPr>
            <w:r>
              <w:rPr>
                <w:rFonts w:ascii="宋体"/>
                <w:sz w:val="18"/>
              </w:rPr>
              <w:t> </w:t>
            </w:r>
          </w:p>
        </w:tc>
        <w:tc>
          <w:tcPr>
            <w:tcW w:w="22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
              <w:jc w:val="right"/>
              <w:rPr>
                <w:rFonts w:ascii="宋体" w:hAnsi="宋体" w:cs="宋体" w:eastAsia="宋体" w:hint="default"/>
                <w:sz w:val="18"/>
                <w:szCs w:val="18"/>
              </w:rPr>
            </w:pPr>
            <w:r>
              <w:rPr>
                <w:rFonts w:ascii="宋体"/>
                <w:sz w:val="18"/>
              </w:rPr>
              <w:t> </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1"/>
              <w:jc w:val="right"/>
              <w:rPr>
                <w:rFonts w:ascii="宋体" w:hAnsi="宋体" w:cs="宋体" w:eastAsia="宋体" w:hint="default"/>
                <w:sz w:val="18"/>
                <w:szCs w:val="18"/>
              </w:rPr>
            </w:pPr>
            <w:r>
              <w:rPr>
                <w:rFonts w:ascii="宋体"/>
                <w:sz w:val="18"/>
              </w:rPr>
              <w:t> </w:t>
            </w:r>
          </w:p>
        </w:tc>
      </w:tr>
      <w:tr>
        <w:trPr>
          <w:trHeight w:val="408" w:hRule="exact"/>
        </w:trPr>
        <w:tc>
          <w:tcPr>
            <w:tcW w:w="2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5"/>
                <w:sz w:val="18"/>
                <w:szCs w:val="18"/>
              </w:rPr>
              <w:t> </w:t>
            </w:r>
            <w:r>
              <w:rPr>
                <w:rFonts w:ascii="宋体" w:hAnsi="宋体" w:cs="宋体" w:eastAsia="宋体" w:hint="default"/>
                <w:sz w:val="18"/>
                <w:szCs w:val="18"/>
              </w:rPr>
              <w:t>年</w:t>
            </w:r>
            <w:r>
              <w:rPr>
                <w:rFonts w:ascii="宋体" w:hAnsi="宋体" w:cs="宋体" w:eastAsia="宋体" w:hint="default"/>
                <w:spacing w:val="-49"/>
                <w:sz w:val="18"/>
                <w:szCs w:val="18"/>
              </w:rPr>
              <w:t> </w:t>
            </w:r>
            <w:r>
              <w:rPr>
                <w:rFonts w:ascii="宋体" w:hAnsi="宋体" w:cs="宋体" w:eastAsia="宋体" w:hint="default"/>
                <w:sz w:val="18"/>
                <w:szCs w:val="18"/>
              </w:rPr>
              <w:t>12</w:t>
            </w:r>
            <w:r>
              <w:rPr>
                <w:rFonts w:ascii="宋体" w:hAnsi="宋体" w:cs="宋体" w:eastAsia="宋体" w:hint="default"/>
                <w:spacing w:val="-46"/>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宋体" w:hAnsi="宋体" w:cs="宋体" w:eastAsia="宋体" w:hint="default"/>
                <w:sz w:val="18"/>
                <w:szCs w:val="18"/>
              </w:rPr>
              <w:t>31</w:t>
            </w:r>
            <w:r>
              <w:rPr>
                <w:rFonts w:ascii="宋体" w:hAnsi="宋体" w:cs="宋体" w:eastAsia="宋体" w:hint="default"/>
                <w:spacing w:val="-46"/>
                <w:sz w:val="18"/>
                <w:szCs w:val="18"/>
              </w:rPr>
              <w:t> </w:t>
            </w:r>
            <w:r>
              <w:rPr>
                <w:rFonts w:ascii="宋体" w:hAnsi="宋体" w:cs="宋体" w:eastAsia="宋体" w:hint="default"/>
                <w:sz w:val="18"/>
                <w:szCs w:val="18"/>
              </w:rPr>
              <w:t>日余额</w:t>
            </w:r>
            <w:r>
              <w:rPr>
                <w:rFonts w:ascii="宋体" w:hAnsi="宋体" w:cs="宋体" w:eastAsia="宋体" w:hint="default"/>
                <w:sz w:val="18"/>
                <w:szCs w:val="18"/>
              </w:rPr>
              <w:t> </w:t>
            </w:r>
          </w:p>
        </w:tc>
        <w:tc>
          <w:tcPr>
            <w:tcW w:w="15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9"/>
              <w:jc w:val="right"/>
              <w:rPr>
                <w:rFonts w:ascii="宋体" w:hAnsi="宋体" w:cs="宋体" w:eastAsia="宋体" w:hint="default"/>
                <w:sz w:val="18"/>
                <w:szCs w:val="18"/>
              </w:rPr>
            </w:pPr>
            <w:r>
              <w:rPr>
                <w:rFonts w:ascii="宋体"/>
                <w:spacing w:val="-1"/>
                <w:sz w:val="18"/>
              </w:rPr>
              <w:t>5,384.53</w:t>
            </w:r>
            <w:r>
              <w:rPr>
                <w:rFonts w:ascii="宋体"/>
                <w:sz w:val="18"/>
              </w:rPr>
              <w:t> </w:t>
            </w:r>
          </w:p>
        </w:tc>
        <w:tc>
          <w:tcPr>
            <w:tcW w:w="21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1"/>
              <w:jc w:val="right"/>
              <w:rPr>
                <w:rFonts w:ascii="宋体" w:hAnsi="宋体" w:cs="宋体" w:eastAsia="宋体" w:hint="default"/>
                <w:sz w:val="18"/>
                <w:szCs w:val="18"/>
              </w:rPr>
            </w:pPr>
            <w:r>
              <w:rPr>
                <w:rFonts w:ascii="宋体"/>
                <w:sz w:val="18"/>
              </w:rPr>
              <w:t> </w:t>
            </w:r>
          </w:p>
        </w:tc>
        <w:tc>
          <w:tcPr>
            <w:tcW w:w="22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1"/>
              <w:jc w:val="right"/>
              <w:rPr>
                <w:rFonts w:ascii="宋体" w:hAnsi="宋体" w:cs="宋体" w:eastAsia="宋体" w:hint="default"/>
                <w:sz w:val="18"/>
                <w:szCs w:val="18"/>
              </w:rPr>
            </w:pPr>
            <w:r>
              <w:rPr>
                <w:rFonts w:ascii="宋体"/>
                <w:sz w:val="18"/>
              </w:rPr>
              <w:t> </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1"/>
              <w:jc w:val="right"/>
              <w:rPr>
                <w:rFonts w:ascii="宋体" w:hAnsi="宋体" w:cs="宋体" w:eastAsia="宋体" w:hint="default"/>
                <w:sz w:val="18"/>
                <w:szCs w:val="18"/>
              </w:rPr>
            </w:pPr>
            <w:r>
              <w:rPr>
                <w:rFonts w:ascii="宋体"/>
                <w:spacing w:val="-1"/>
                <w:sz w:val="18"/>
              </w:rPr>
              <w:t>5,384.53</w:t>
            </w:r>
            <w:r>
              <w:rPr>
                <w:rFonts w:ascii="宋体"/>
                <w:sz w:val="18"/>
              </w:rPr>
              <w:t> </w:t>
            </w:r>
          </w:p>
        </w:tc>
      </w:tr>
    </w:tbl>
    <w:p>
      <w:pPr>
        <w:spacing w:line="240" w:lineRule="auto" w:before="3"/>
        <w:rPr>
          <w:rFonts w:ascii="宋体" w:hAnsi="宋体" w:cs="宋体" w:eastAsia="宋体" w:hint="default"/>
          <w:sz w:val="8"/>
          <w:szCs w:val="8"/>
        </w:rPr>
      </w:pPr>
    </w:p>
    <w:p>
      <w:pPr>
        <w:pStyle w:val="BodyText"/>
        <w:spacing w:line="240" w:lineRule="auto" w:before="36"/>
        <w:ind w:left="354" w:right="1146"/>
        <w:jc w:val="left"/>
        <w:rPr>
          <w:rFonts w:ascii="宋体" w:hAnsi="宋体" w:cs="宋体" w:eastAsia="宋体" w:hint="default"/>
        </w:rPr>
      </w:pPr>
      <w:r>
        <w:rPr/>
        <w:t>（</w:t>
      </w:r>
      <w:r>
        <w:rPr>
          <w:rFonts w:ascii="宋体" w:hAnsi="宋体" w:cs="宋体" w:eastAsia="宋体" w:hint="default"/>
        </w:rPr>
        <w:t>4</w:t>
      </w:r>
      <w:r>
        <w:rPr/>
        <w:t>）本期计提、收回或转回的坏账准备情况</w:t>
      </w:r>
      <w:r>
        <w:rPr>
          <w:rFonts w:ascii="宋体" w:hAnsi="宋体" w:cs="宋体" w:eastAsia="宋体" w:hint="default"/>
        </w:rPr>
        <w:t> </w:t>
      </w:r>
    </w:p>
    <w:p>
      <w:pPr>
        <w:spacing w:line="240" w:lineRule="auto" w:before="9"/>
        <w:rPr>
          <w:rFonts w:ascii="宋体" w:hAnsi="宋体" w:cs="宋体" w:eastAsia="宋体" w:hint="default"/>
          <w:sz w:val="15"/>
          <w:szCs w:val="15"/>
        </w:rPr>
      </w:pPr>
    </w:p>
    <w:tbl>
      <w:tblPr>
        <w:tblW w:w="0" w:type="auto"/>
        <w:jc w:val="left"/>
        <w:tblInd w:w="138" w:type="dxa"/>
        <w:tblLayout w:type="fixed"/>
        <w:tblCellMar>
          <w:top w:w="0" w:type="dxa"/>
          <w:left w:w="0" w:type="dxa"/>
          <w:bottom w:w="0" w:type="dxa"/>
          <w:right w:w="0" w:type="dxa"/>
        </w:tblCellMar>
        <w:tblLook w:val="01E0"/>
      </w:tblPr>
      <w:tblGrid>
        <w:gridCol w:w="2264"/>
        <w:gridCol w:w="1093"/>
        <w:gridCol w:w="1049"/>
        <w:gridCol w:w="1308"/>
        <w:gridCol w:w="1378"/>
        <w:gridCol w:w="1133"/>
        <w:gridCol w:w="1308"/>
      </w:tblGrid>
      <w:tr>
        <w:trPr>
          <w:trHeight w:val="398" w:hRule="exact"/>
        </w:trPr>
        <w:tc>
          <w:tcPr>
            <w:tcW w:w="2264"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88" w:right="0"/>
              <w:jc w:val="center"/>
              <w:rPr>
                <w:rFonts w:ascii="宋体" w:hAnsi="宋体" w:cs="宋体" w:eastAsia="宋体" w:hint="default"/>
                <w:sz w:val="18"/>
                <w:szCs w:val="18"/>
              </w:rPr>
            </w:pPr>
            <w:r>
              <w:rPr>
                <w:rFonts w:ascii="宋体" w:hAnsi="宋体" w:cs="宋体" w:eastAsia="宋体" w:hint="default"/>
                <w:sz w:val="18"/>
                <w:szCs w:val="18"/>
              </w:rPr>
              <w:t>类别</w:t>
            </w:r>
            <w:r>
              <w:rPr>
                <w:rFonts w:ascii="宋体" w:hAnsi="宋体" w:cs="宋体" w:eastAsia="宋体" w:hint="default"/>
                <w:sz w:val="18"/>
                <w:szCs w:val="18"/>
              </w:rPr>
              <w:t> </w:t>
            </w:r>
          </w:p>
        </w:tc>
        <w:tc>
          <w:tcPr>
            <w:tcW w:w="1093"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180"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c>
          <w:tcPr>
            <w:tcW w:w="4868"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9" w:right="0"/>
              <w:jc w:val="center"/>
              <w:rPr>
                <w:rFonts w:ascii="宋体" w:hAnsi="宋体" w:cs="宋体" w:eastAsia="宋体" w:hint="default"/>
                <w:sz w:val="18"/>
                <w:szCs w:val="18"/>
              </w:rPr>
            </w:pPr>
            <w:r>
              <w:rPr>
                <w:rFonts w:ascii="宋体" w:hAnsi="宋体" w:cs="宋体" w:eastAsia="宋体" w:hint="default"/>
                <w:sz w:val="18"/>
                <w:szCs w:val="18"/>
              </w:rPr>
              <w:t>本期变动金额</w:t>
            </w:r>
            <w:r>
              <w:rPr>
                <w:rFonts w:ascii="宋体" w:hAnsi="宋体" w:cs="宋体" w:eastAsia="宋体" w:hint="default"/>
                <w:sz w:val="18"/>
                <w:szCs w:val="18"/>
              </w:rPr>
              <w:t> </w:t>
            </w:r>
          </w:p>
        </w:tc>
        <w:tc>
          <w:tcPr>
            <w:tcW w:w="1308" w:type="dxa"/>
            <w:vMerge w:val="restart"/>
            <w:tcBorders>
              <w:top w:val="single" w:sz="4" w:space="0" w:color="000000"/>
              <w:left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288"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r>
      <w:tr>
        <w:trPr>
          <w:trHeight w:val="396" w:hRule="exact"/>
        </w:trPr>
        <w:tc>
          <w:tcPr>
            <w:tcW w:w="2264" w:type="dxa"/>
            <w:vMerge/>
            <w:tcBorders>
              <w:left w:val="single" w:sz="4" w:space="0" w:color="000000"/>
              <w:bottom w:val="single" w:sz="4" w:space="0" w:color="000000"/>
              <w:right w:val="single" w:sz="4" w:space="0" w:color="000000"/>
            </w:tcBorders>
          </w:tcPr>
          <w:p>
            <w:pPr/>
          </w:p>
        </w:tc>
        <w:tc>
          <w:tcPr>
            <w:tcW w:w="1093" w:type="dxa"/>
            <w:vMerge/>
            <w:tcBorders>
              <w:left w:val="single" w:sz="4" w:space="0" w:color="000000"/>
              <w:bottom w:val="single" w:sz="4" w:space="0" w:color="000000"/>
              <w:right w:val="single" w:sz="4" w:space="0" w:color="000000"/>
            </w:tcBorders>
          </w:tcPr>
          <w:p>
            <w:pP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338" w:right="0"/>
              <w:jc w:val="left"/>
              <w:rPr>
                <w:rFonts w:ascii="宋体" w:hAnsi="宋体" w:cs="宋体" w:eastAsia="宋体" w:hint="default"/>
                <w:sz w:val="18"/>
                <w:szCs w:val="18"/>
              </w:rPr>
            </w:pPr>
            <w:r>
              <w:rPr>
                <w:rFonts w:ascii="宋体" w:hAnsi="宋体" w:cs="宋体" w:eastAsia="宋体" w:hint="default"/>
                <w:sz w:val="18"/>
                <w:szCs w:val="18"/>
              </w:rPr>
              <w:t>计提</w:t>
            </w:r>
            <w:r>
              <w:rPr>
                <w:rFonts w:ascii="宋体" w:hAnsi="宋体" w:cs="宋体" w:eastAsia="宋体" w:hint="default"/>
                <w:sz w:val="18"/>
                <w:szCs w:val="18"/>
              </w:rPr>
              <w:t> </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99" w:right="0"/>
              <w:jc w:val="left"/>
              <w:rPr>
                <w:rFonts w:ascii="宋体" w:hAnsi="宋体" w:cs="宋体" w:eastAsia="宋体" w:hint="default"/>
                <w:sz w:val="18"/>
                <w:szCs w:val="18"/>
              </w:rPr>
            </w:pPr>
            <w:r>
              <w:rPr>
                <w:rFonts w:ascii="宋体" w:hAnsi="宋体" w:cs="宋体" w:eastAsia="宋体" w:hint="default"/>
                <w:sz w:val="18"/>
                <w:szCs w:val="18"/>
              </w:rPr>
              <w:t>收回或转回</w:t>
            </w:r>
            <w:r>
              <w:rPr>
                <w:rFonts w:ascii="宋体" w:hAnsi="宋体" w:cs="宋体" w:eastAsia="宋体" w:hint="default"/>
                <w:sz w:val="18"/>
                <w:szCs w:val="18"/>
              </w:rPr>
              <w:t> </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35" w:right="0"/>
              <w:jc w:val="left"/>
              <w:rPr>
                <w:rFonts w:ascii="宋体" w:hAnsi="宋体" w:cs="宋体" w:eastAsia="宋体" w:hint="default"/>
                <w:sz w:val="18"/>
                <w:szCs w:val="18"/>
              </w:rPr>
            </w:pPr>
            <w:r>
              <w:rPr>
                <w:rFonts w:ascii="宋体" w:hAnsi="宋体" w:cs="宋体" w:eastAsia="宋体" w:hint="default"/>
                <w:sz w:val="18"/>
                <w:szCs w:val="18"/>
              </w:rPr>
              <w:t>转销或核销</w:t>
            </w:r>
            <w:r>
              <w:rPr>
                <w:rFonts w:ascii="宋体" w:hAnsi="宋体" w:cs="宋体" w:eastAsia="宋体" w:hint="default"/>
                <w:sz w:val="18"/>
                <w:szCs w:val="18"/>
              </w:rPr>
              <w:t> </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01" w:right="0"/>
              <w:jc w:val="left"/>
              <w:rPr>
                <w:rFonts w:ascii="宋体" w:hAnsi="宋体" w:cs="宋体" w:eastAsia="宋体" w:hint="default"/>
                <w:sz w:val="18"/>
                <w:szCs w:val="18"/>
              </w:rPr>
            </w:pPr>
            <w:r>
              <w:rPr>
                <w:rFonts w:ascii="宋体" w:hAnsi="宋体" w:cs="宋体" w:eastAsia="宋体" w:hint="default"/>
                <w:sz w:val="18"/>
                <w:szCs w:val="18"/>
              </w:rPr>
              <w:t>其他变动</w:t>
            </w:r>
            <w:r>
              <w:rPr>
                <w:rFonts w:ascii="宋体" w:hAnsi="宋体" w:cs="宋体" w:eastAsia="宋体" w:hint="default"/>
                <w:sz w:val="18"/>
                <w:szCs w:val="18"/>
              </w:rPr>
              <w:t> </w:t>
            </w:r>
          </w:p>
        </w:tc>
        <w:tc>
          <w:tcPr>
            <w:tcW w:w="1308" w:type="dxa"/>
            <w:vMerge/>
            <w:tcBorders>
              <w:left w:val="single" w:sz="4" w:space="0" w:color="000000"/>
              <w:bottom w:val="single" w:sz="4" w:space="0" w:color="000000"/>
              <w:right w:val="single" w:sz="4" w:space="0" w:color="000000"/>
            </w:tcBorders>
          </w:tcPr>
          <w:p>
            <w:pPr/>
          </w:p>
        </w:tc>
      </w:tr>
      <w:tr>
        <w:trPr>
          <w:trHeight w:val="396"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其他应收款坏账准备</w:t>
            </w:r>
            <w:r>
              <w:rPr>
                <w:rFonts w:ascii="宋体" w:hAnsi="宋体" w:cs="宋体" w:eastAsia="宋体" w:hint="default"/>
                <w:sz w:val="18"/>
                <w:szCs w:val="18"/>
              </w:rPr>
              <w:t> </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3,759.35 </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1,625.18</w:t>
            </w:r>
            <w:r>
              <w:rPr>
                <w:rFonts w:ascii="宋体"/>
                <w:sz w:val="18"/>
              </w:rPr>
              <w:t> </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z w:val="18"/>
              </w:rPr>
              <w:t> </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05" w:lineRule="exact"/>
              <w:ind w:right="11"/>
              <w:jc w:val="right"/>
              <w:rPr>
                <w:rFonts w:ascii="宋体" w:hAnsi="宋体" w:cs="宋体" w:eastAsia="宋体" w:hint="default"/>
                <w:sz w:val="18"/>
                <w:szCs w:val="18"/>
              </w:rPr>
            </w:pPr>
            <w:r>
              <w:rPr>
                <w:rFonts w:ascii="宋体"/>
                <w:sz w:val="18"/>
              </w:rPr>
              <w:t> </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5,384.53</w:t>
            </w:r>
            <w:r>
              <w:rPr>
                <w:rFonts w:ascii="宋体"/>
                <w:sz w:val="18"/>
              </w:rPr>
              <w:t> </w:t>
            </w:r>
          </w:p>
        </w:tc>
      </w:tr>
      <w:tr>
        <w:trPr>
          <w:trHeight w:val="399" w:hRule="exact"/>
        </w:trPr>
        <w:tc>
          <w:tcPr>
            <w:tcW w:w="22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8"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0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3,759.35 </w:t>
            </w:r>
          </w:p>
        </w:tc>
        <w:tc>
          <w:tcPr>
            <w:tcW w:w="10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1,625.18</w:t>
            </w:r>
            <w:r>
              <w:rPr>
                <w:rFonts w:ascii="宋体"/>
                <w:sz w:val="18"/>
              </w:rPr>
              <w:t> </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z w:val="18"/>
              </w:rPr>
              <w:t> </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z w:val="18"/>
              </w:rPr>
              <w:t> </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08" w:lineRule="exact"/>
              <w:ind w:right="11"/>
              <w:jc w:val="right"/>
              <w:rPr>
                <w:rFonts w:ascii="宋体" w:hAnsi="宋体" w:cs="宋体" w:eastAsia="宋体" w:hint="default"/>
                <w:sz w:val="18"/>
                <w:szCs w:val="18"/>
              </w:rPr>
            </w:pPr>
            <w:r>
              <w:rPr>
                <w:rFonts w:ascii="宋体"/>
                <w:sz w:val="18"/>
              </w:rPr>
              <w:t> </w:t>
            </w:r>
          </w:p>
        </w:tc>
        <w:tc>
          <w:tcPr>
            <w:tcW w:w="13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1"/>
              <w:jc w:val="right"/>
              <w:rPr>
                <w:rFonts w:ascii="宋体" w:hAnsi="宋体" w:cs="宋体" w:eastAsia="宋体" w:hint="default"/>
                <w:sz w:val="18"/>
                <w:szCs w:val="18"/>
              </w:rPr>
            </w:pPr>
            <w:r>
              <w:rPr>
                <w:rFonts w:ascii="宋体"/>
                <w:spacing w:val="-1"/>
                <w:sz w:val="18"/>
              </w:rPr>
              <w:t>5,384.53</w:t>
            </w:r>
            <w:r>
              <w:rPr>
                <w:rFonts w:ascii="宋体"/>
                <w:sz w:val="18"/>
              </w:rPr>
              <w:t> </w:t>
            </w:r>
          </w:p>
        </w:tc>
      </w:tr>
    </w:tbl>
    <w:p>
      <w:pPr>
        <w:spacing w:line="240" w:lineRule="auto" w:before="7"/>
        <w:rPr>
          <w:rFonts w:ascii="宋体" w:hAnsi="宋体" w:cs="宋体" w:eastAsia="宋体" w:hint="default"/>
          <w:sz w:val="6"/>
          <w:szCs w:val="6"/>
        </w:rPr>
      </w:pPr>
    </w:p>
    <w:p>
      <w:pPr>
        <w:pStyle w:val="BodyText"/>
        <w:spacing w:line="372" w:lineRule="auto" w:before="36"/>
        <w:ind w:left="563" w:right="6619" w:hanging="209"/>
        <w:jc w:val="left"/>
        <w:rPr>
          <w:rFonts w:ascii="宋体" w:hAnsi="宋体" w:cs="宋体" w:eastAsia="宋体" w:hint="default"/>
        </w:rPr>
      </w:pPr>
      <w:r>
        <w:rPr/>
        <w:t>（</w:t>
      </w:r>
      <w:r>
        <w:rPr>
          <w:rFonts w:ascii="宋体" w:hAnsi="宋体" w:cs="宋体" w:eastAsia="宋体" w:hint="default"/>
        </w:rPr>
        <w:t>5</w:t>
      </w:r>
      <w:r>
        <w:rPr/>
        <w:t>）本期实际核销的其他应收款情况</w:t>
      </w:r>
      <w:r>
        <w:rPr>
          <w:rFonts w:ascii="宋体" w:hAnsi="宋体" w:cs="宋体" w:eastAsia="宋体" w:hint="default"/>
          <w:w w:val="100"/>
        </w:rPr>
        <w:t> </w:t>
      </w:r>
      <w:r>
        <w:rPr/>
        <w:t>无。</w:t>
      </w:r>
      <w:r>
        <w:rPr>
          <w:rFonts w:ascii="宋体" w:hAnsi="宋体" w:cs="宋体" w:eastAsia="宋体" w:hint="default"/>
        </w:rPr>
        <w:t> </w:t>
      </w:r>
    </w:p>
    <w:p>
      <w:pPr>
        <w:pStyle w:val="BodyText"/>
        <w:spacing w:line="240" w:lineRule="auto" w:before="39"/>
        <w:ind w:left="354" w:right="1146"/>
        <w:jc w:val="left"/>
        <w:rPr>
          <w:rFonts w:ascii="宋体" w:hAnsi="宋体" w:cs="宋体" w:eastAsia="宋体" w:hint="default"/>
        </w:rPr>
      </w:pPr>
      <w:r>
        <w:rPr/>
        <w:t>（</w:t>
      </w:r>
      <w:r>
        <w:rPr>
          <w:rFonts w:ascii="宋体" w:hAnsi="宋体" w:cs="宋体" w:eastAsia="宋体" w:hint="default"/>
        </w:rPr>
        <w:t>6</w:t>
      </w:r>
      <w:r>
        <w:rPr/>
        <w:t>）按欠款方归集的期末余额前五名的其他应收款情况</w:t>
      </w:r>
      <w:r>
        <w:rPr>
          <w:rFonts w:ascii="宋体" w:hAnsi="宋体" w:cs="宋体" w:eastAsia="宋体" w:hint="default"/>
        </w:rPr>
        <w:t> </w:t>
      </w:r>
    </w:p>
    <w:p>
      <w:pPr>
        <w:spacing w:line="240" w:lineRule="auto" w:before="3"/>
        <w:rPr>
          <w:rFonts w:ascii="宋体" w:hAnsi="宋体" w:cs="宋体" w:eastAsia="宋体" w:hint="default"/>
          <w:sz w:val="14"/>
          <w:szCs w:val="14"/>
        </w:rPr>
      </w:pPr>
    </w:p>
    <w:tbl>
      <w:tblPr>
        <w:tblW w:w="0" w:type="auto"/>
        <w:jc w:val="left"/>
        <w:tblInd w:w="138" w:type="dxa"/>
        <w:tblLayout w:type="fixed"/>
        <w:tblCellMar>
          <w:top w:w="0" w:type="dxa"/>
          <w:left w:w="0" w:type="dxa"/>
          <w:bottom w:w="0" w:type="dxa"/>
          <w:right w:w="0" w:type="dxa"/>
        </w:tblCellMar>
        <w:tblLook w:val="01E0"/>
      </w:tblPr>
      <w:tblGrid>
        <w:gridCol w:w="1486"/>
        <w:gridCol w:w="1678"/>
        <w:gridCol w:w="1267"/>
        <w:gridCol w:w="1174"/>
        <w:gridCol w:w="2004"/>
        <w:gridCol w:w="1937"/>
      </w:tblGrid>
      <w:tr>
        <w:trPr>
          <w:trHeight w:val="478" w:hRule="exact"/>
        </w:trPr>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377" w:right="0"/>
              <w:jc w:val="left"/>
              <w:rPr>
                <w:rFonts w:ascii="宋体" w:hAnsi="宋体" w:cs="宋体" w:eastAsia="宋体" w:hint="default"/>
                <w:sz w:val="18"/>
                <w:szCs w:val="18"/>
              </w:rPr>
            </w:pPr>
            <w:r>
              <w:rPr>
                <w:rFonts w:ascii="宋体" w:hAnsi="宋体" w:cs="宋体" w:eastAsia="宋体" w:hint="default"/>
                <w:sz w:val="18"/>
                <w:szCs w:val="18"/>
              </w:rPr>
              <w:t>单位名称</w:t>
            </w:r>
            <w:r>
              <w:rPr>
                <w:rFonts w:ascii="宋体" w:hAnsi="宋体" w:cs="宋体" w:eastAsia="宋体" w:hint="default"/>
                <w:sz w:val="18"/>
                <w:szCs w:val="18"/>
              </w:rPr>
              <w:t> </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90" w:right="0"/>
              <w:jc w:val="center"/>
              <w:rPr>
                <w:rFonts w:ascii="宋体" w:hAnsi="宋体" w:cs="宋体" w:eastAsia="宋体" w:hint="default"/>
                <w:sz w:val="18"/>
                <w:szCs w:val="18"/>
              </w:rPr>
            </w:pPr>
            <w:r>
              <w:rPr>
                <w:rFonts w:ascii="宋体" w:hAnsi="宋体" w:cs="宋体" w:eastAsia="宋体" w:hint="default"/>
                <w:sz w:val="18"/>
                <w:szCs w:val="18"/>
              </w:rPr>
              <w:t>款项的性质</w:t>
            </w:r>
            <w:r>
              <w:rPr>
                <w:rFonts w:ascii="宋体" w:hAnsi="宋体" w:cs="宋体" w:eastAsia="宋体" w:hint="default"/>
                <w:sz w:val="18"/>
                <w:szCs w:val="18"/>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68"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91" w:right="0"/>
              <w:jc w:val="center"/>
              <w:rPr>
                <w:rFonts w:ascii="宋体" w:hAnsi="宋体" w:cs="宋体" w:eastAsia="宋体" w:hint="default"/>
                <w:sz w:val="18"/>
                <w:szCs w:val="18"/>
              </w:rPr>
            </w:pPr>
            <w:r>
              <w:rPr>
                <w:rFonts w:ascii="宋体" w:hAnsi="宋体" w:cs="宋体" w:eastAsia="宋体" w:hint="default"/>
                <w:sz w:val="18"/>
                <w:szCs w:val="18"/>
              </w:rPr>
              <w:t>账龄</w:t>
            </w:r>
            <w:r>
              <w:rPr>
                <w:rFonts w:ascii="宋体" w:hAnsi="宋体" w:cs="宋体" w:eastAsia="宋体" w:hint="default"/>
                <w:sz w:val="18"/>
                <w:szCs w:val="18"/>
              </w:rPr>
              <w:t> </w:t>
            </w:r>
          </w:p>
        </w:tc>
        <w:tc>
          <w:tcPr>
            <w:tcW w:w="2004" w:type="dxa"/>
            <w:tcBorders>
              <w:top w:val="single" w:sz="4" w:space="0" w:color="000000"/>
              <w:left w:val="single" w:sz="4" w:space="0" w:color="000000"/>
              <w:bottom w:val="single" w:sz="4" w:space="0" w:color="000000"/>
              <w:right w:val="single" w:sz="4" w:space="0" w:color="000000"/>
            </w:tcBorders>
          </w:tcPr>
          <w:p>
            <w:pPr>
              <w:pStyle w:val="TableParagraph"/>
              <w:spacing w:line="206" w:lineRule="exact"/>
              <w:ind w:left="230" w:right="0" w:hanging="44"/>
              <w:jc w:val="left"/>
              <w:rPr>
                <w:rFonts w:ascii="宋体" w:hAnsi="宋体" w:cs="宋体" w:eastAsia="宋体" w:hint="default"/>
                <w:sz w:val="18"/>
                <w:szCs w:val="18"/>
              </w:rPr>
            </w:pPr>
            <w:r>
              <w:rPr>
                <w:rFonts w:ascii="宋体" w:hAnsi="宋体" w:cs="宋体" w:eastAsia="宋体" w:hint="default"/>
                <w:sz w:val="18"/>
                <w:szCs w:val="18"/>
              </w:rPr>
              <w:t>占其他应收款期末余</w:t>
            </w:r>
          </w:p>
          <w:p>
            <w:pPr>
              <w:pStyle w:val="TableParagraph"/>
              <w:spacing w:line="234" w:lineRule="exact"/>
              <w:ind w:left="230" w:right="0"/>
              <w:jc w:val="left"/>
              <w:rPr>
                <w:rFonts w:ascii="宋体" w:hAnsi="宋体" w:cs="宋体" w:eastAsia="宋体" w:hint="default"/>
                <w:sz w:val="18"/>
                <w:szCs w:val="18"/>
              </w:rPr>
            </w:pPr>
            <w:r>
              <w:rPr>
                <w:rFonts w:ascii="宋体" w:hAnsi="宋体" w:cs="宋体" w:eastAsia="宋体" w:hint="default"/>
                <w:sz w:val="18"/>
                <w:szCs w:val="18"/>
              </w:rPr>
              <w:t>额合计数的比例</w:t>
            </w:r>
            <w:r>
              <w:rPr>
                <w:rFonts w:ascii="宋体" w:hAnsi="宋体" w:cs="宋体" w:eastAsia="宋体" w:hint="default"/>
                <w:sz w:val="18"/>
                <w:szCs w:val="18"/>
              </w:rPr>
              <w:t>(%) </w:t>
            </w:r>
          </w:p>
        </w:tc>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242" w:right="0"/>
              <w:jc w:val="left"/>
              <w:rPr>
                <w:rFonts w:ascii="宋体" w:hAnsi="宋体" w:cs="宋体" w:eastAsia="宋体" w:hint="default"/>
                <w:sz w:val="18"/>
                <w:szCs w:val="18"/>
              </w:rPr>
            </w:pPr>
            <w:r>
              <w:rPr>
                <w:rFonts w:ascii="宋体" w:hAnsi="宋体" w:cs="宋体" w:eastAsia="宋体" w:hint="default"/>
                <w:sz w:val="18"/>
                <w:szCs w:val="18"/>
              </w:rPr>
              <w:t>坏账准备期末余额</w:t>
            </w:r>
            <w:r>
              <w:rPr>
                <w:rFonts w:ascii="宋体" w:hAnsi="宋体" w:cs="宋体" w:eastAsia="宋体" w:hint="default"/>
                <w:sz w:val="18"/>
                <w:szCs w:val="18"/>
              </w:rPr>
              <w:t> </w:t>
            </w:r>
          </w:p>
        </w:tc>
      </w:tr>
      <w:tr>
        <w:trPr>
          <w:trHeight w:val="322" w:hRule="exact"/>
        </w:trPr>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孙萍</w:t>
            </w:r>
            <w:r>
              <w:rPr>
                <w:rFonts w:ascii="宋体" w:hAnsi="宋体" w:cs="宋体" w:eastAsia="宋体" w:hint="default"/>
                <w:sz w:val="18"/>
                <w:szCs w:val="18"/>
              </w:rPr>
              <w:t> </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7" w:right="0"/>
              <w:jc w:val="center"/>
              <w:rPr>
                <w:rFonts w:ascii="宋体" w:hAnsi="宋体" w:cs="宋体" w:eastAsia="宋体" w:hint="default"/>
                <w:sz w:val="18"/>
                <w:szCs w:val="18"/>
              </w:rPr>
            </w:pPr>
            <w:r>
              <w:rPr>
                <w:rFonts w:ascii="宋体" w:hAnsi="宋体" w:cs="宋体" w:eastAsia="宋体" w:hint="default"/>
                <w:sz w:val="18"/>
                <w:szCs w:val="18"/>
              </w:rPr>
              <w:t>押金</w:t>
            </w:r>
            <w:r>
              <w:rPr>
                <w:rFonts w:ascii="宋体" w:hAnsi="宋体" w:cs="宋体" w:eastAsia="宋体" w:hint="default"/>
                <w:sz w:val="18"/>
                <w:szCs w:val="18"/>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pacing w:val="-1"/>
                <w:sz w:val="18"/>
              </w:rPr>
              <w:t>53,370.00</w:t>
            </w:r>
            <w:r>
              <w:rPr>
                <w:rFonts w:ascii="宋体"/>
                <w:sz w:val="18"/>
              </w:rPr>
              <w:t> </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94"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7"/>
                <w:sz w:val="18"/>
                <w:szCs w:val="18"/>
              </w:rPr>
              <w:t> </w:t>
            </w:r>
            <w:r>
              <w:rPr>
                <w:rFonts w:ascii="宋体" w:hAnsi="宋体" w:cs="宋体" w:eastAsia="宋体" w:hint="default"/>
                <w:sz w:val="18"/>
                <w:szCs w:val="18"/>
              </w:rPr>
              <w:t>年以内</w:t>
            </w:r>
            <w:r>
              <w:rPr>
                <w:rFonts w:ascii="宋体" w:hAnsi="宋体" w:cs="宋体" w:eastAsia="宋体" w:hint="default"/>
                <w:sz w:val="18"/>
                <w:szCs w:val="18"/>
              </w:rPr>
              <w:t> </w:t>
            </w:r>
          </w:p>
        </w:tc>
        <w:tc>
          <w:tcPr>
            <w:tcW w:w="2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z w:val="18"/>
              </w:rPr>
              <w:t>49.56 </w:t>
            </w:r>
          </w:p>
        </w:tc>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pacing w:val="-1"/>
                <w:sz w:val="18"/>
              </w:rPr>
              <w:t>2,668.50</w:t>
            </w:r>
            <w:r>
              <w:rPr>
                <w:rFonts w:ascii="宋体"/>
                <w:sz w:val="18"/>
              </w:rPr>
              <w:t> </w:t>
            </w:r>
          </w:p>
        </w:tc>
      </w:tr>
      <w:tr>
        <w:trPr>
          <w:trHeight w:val="634" w:hRule="exact"/>
        </w:trPr>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99"/>
              <w:jc w:val="left"/>
              <w:rPr>
                <w:rFonts w:ascii="宋体" w:hAnsi="宋体" w:cs="宋体" w:eastAsia="宋体" w:hint="default"/>
                <w:sz w:val="18"/>
                <w:szCs w:val="18"/>
              </w:rPr>
            </w:pPr>
            <w:r>
              <w:rPr>
                <w:rFonts w:ascii="宋体" w:hAnsi="宋体" w:cs="宋体" w:eastAsia="宋体" w:hint="default"/>
                <w:sz w:val="18"/>
                <w:szCs w:val="18"/>
              </w:rPr>
              <w:t>互盛（中国）有</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限公司</w:t>
            </w:r>
            <w:r>
              <w:rPr>
                <w:rFonts w:ascii="宋体" w:hAnsi="宋体" w:cs="宋体" w:eastAsia="宋体" w:hint="default"/>
                <w:sz w:val="18"/>
                <w:szCs w:val="18"/>
              </w:rPr>
              <w:t> </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90" w:right="0"/>
              <w:jc w:val="center"/>
              <w:rPr>
                <w:rFonts w:ascii="宋体" w:hAnsi="宋体" w:cs="宋体" w:eastAsia="宋体" w:hint="default"/>
                <w:sz w:val="18"/>
                <w:szCs w:val="18"/>
              </w:rPr>
            </w:pPr>
            <w:r>
              <w:rPr>
                <w:rFonts w:ascii="宋体" w:hAnsi="宋体" w:cs="宋体" w:eastAsia="宋体" w:hint="default"/>
                <w:sz w:val="18"/>
                <w:szCs w:val="18"/>
              </w:rPr>
              <w:t>往来及其他款项</w:t>
            </w:r>
            <w:r>
              <w:rPr>
                <w:rFonts w:ascii="宋体" w:hAnsi="宋体" w:cs="宋体" w:eastAsia="宋体" w:hint="default"/>
                <w:sz w:val="18"/>
                <w:szCs w:val="18"/>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6,000.00</w:t>
            </w:r>
            <w:r>
              <w:rPr>
                <w:rFonts w:ascii="宋体"/>
                <w:sz w:val="18"/>
              </w:rPr>
              <w:t> </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94"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7"/>
                <w:sz w:val="18"/>
                <w:szCs w:val="18"/>
              </w:rPr>
              <w:t> </w:t>
            </w:r>
            <w:r>
              <w:rPr>
                <w:rFonts w:ascii="宋体" w:hAnsi="宋体" w:cs="宋体" w:eastAsia="宋体" w:hint="default"/>
                <w:sz w:val="18"/>
                <w:szCs w:val="18"/>
              </w:rPr>
              <w:t>年以内</w:t>
            </w:r>
            <w:r>
              <w:rPr>
                <w:rFonts w:ascii="宋体" w:hAnsi="宋体" w:cs="宋体" w:eastAsia="宋体" w:hint="default"/>
                <w:sz w:val="18"/>
                <w:szCs w:val="18"/>
              </w:rPr>
              <w:t> </w:t>
            </w:r>
          </w:p>
        </w:tc>
        <w:tc>
          <w:tcPr>
            <w:tcW w:w="2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5.57</w:t>
            </w:r>
            <w:r>
              <w:rPr>
                <w:rFonts w:ascii="宋体"/>
                <w:sz w:val="18"/>
              </w:rPr>
              <w:t> </w:t>
            </w:r>
          </w:p>
        </w:tc>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300.00</w:t>
            </w:r>
            <w:r>
              <w:rPr>
                <w:rFonts w:ascii="宋体"/>
                <w:sz w:val="18"/>
              </w:rPr>
              <w:t> </w:t>
            </w:r>
          </w:p>
        </w:tc>
      </w:tr>
      <w:tr>
        <w:trPr>
          <w:trHeight w:val="398" w:hRule="exact"/>
        </w:trPr>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戴颖</w:t>
            </w:r>
            <w:r>
              <w:rPr>
                <w:rFonts w:ascii="宋体" w:hAnsi="宋体" w:cs="宋体" w:eastAsia="宋体" w:hint="default"/>
                <w:sz w:val="18"/>
                <w:szCs w:val="18"/>
              </w:rPr>
              <w:t> </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0" w:right="0"/>
              <w:jc w:val="center"/>
              <w:rPr>
                <w:rFonts w:ascii="宋体" w:hAnsi="宋体" w:cs="宋体" w:eastAsia="宋体" w:hint="default"/>
                <w:sz w:val="18"/>
                <w:szCs w:val="18"/>
              </w:rPr>
            </w:pPr>
            <w:r>
              <w:rPr>
                <w:rFonts w:ascii="宋体" w:hAnsi="宋体" w:cs="宋体" w:eastAsia="宋体" w:hint="default"/>
                <w:sz w:val="18"/>
                <w:szCs w:val="18"/>
              </w:rPr>
              <w:t>员工业务备用金</w:t>
            </w:r>
            <w:r>
              <w:rPr>
                <w:rFonts w:ascii="宋体" w:hAnsi="宋体" w:cs="宋体" w:eastAsia="宋体" w:hint="default"/>
                <w:sz w:val="18"/>
                <w:szCs w:val="18"/>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5,000.00</w:t>
            </w:r>
            <w:r>
              <w:rPr>
                <w:rFonts w:ascii="宋体"/>
                <w:sz w:val="18"/>
              </w:rPr>
              <w:t> </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4"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7"/>
                <w:sz w:val="18"/>
                <w:szCs w:val="18"/>
              </w:rPr>
              <w:t> </w:t>
            </w:r>
            <w:r>
              <w:rPr>
                <w:rFonts w:ascii="宋体" w:hAnsi="宋体" w:cs="宋体" w:eastAsia="宋体" w:hint="default"/>
                <w:sz w:val="18"/>
                <w:szCs w:val="18"/>
              </w:rPr>
              <w:t>年以内</w:t>
            </w:r>
            <w:r>
              <w:rPr>
                <w:rFonts w:ascii="宋体" w:hAnsi="宋体" w:cs="宋体" w:eastAsia="宋体" w:hint="default"/>
                <w:sz w:val="18"/>
                <w:szCs w:val="18"/>
              </w:rPr>
              <w:t> </w:t>
            </w:r>
          </w:p>
        </w:tc>
        <w:tc>
          <w:tcPr>
            <w:tcW w:w="2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4.64</w:t>
            </w:r>
            <w:r>
              <w:rPr>
                <w:rFonts w:ascii="宋体"/>
                <w:sz w:val="18"/>
              </w:rPr>
              <w:t> </w:t>
            </w:r>
          </w:p>
        </w:tc>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250.00</w:t>
            </w:r>
            <w:r>
              <w:rPr>
                <w:rFonts w:ascii="宋体"/>
                <w:sz w:val="18"/>
              </w:rPr>
              <w:t> </w:t>
            </w:r>
          </w:p>
        </w:tc>
      </w:tr>
      <w:tr>
        <w:trPr>
          <w:trHeight w:val="396" w:hRule="exact"/>
        </w:trPr>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代缴社保公积金</w:t>
            </w:r>
            <w:r>
              <w:rPr>
                <w:rFonts w:ascii="宋体" w:hAnsi="宋体" w:cs="宋体" w:eastAsia="宋体" w:hint="default"/>
                <w:sz w:val="18"/>
                <w:szCs w:val="18"/>
              </w:rPr>
              <w:t> </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0" w:right="0"/>
              <w:jc w:val="center"/>
              <w:rPr>
                <w:rFonts w:ascii="宋体" w:hAnsi="宋体" w:cs="宋体" w:eastAsia="宋体" w:hint="default"/>
                <w:sz w:val="18"/>
                <w:szCs w:val="18"/>
              </w:rPr>
            </w:pPr>
            <w:r>
              <w:rPr>
                <w:rFonts w:ascii="宋体" w:hAnsi="宋体" w:cs="宋体" w:eastAsia="宋体" w:hint="default"/>
                <w:sz w:val="18"/>
                <w:szCs w:val="18"/>
              </w:rPr>
              <w:t>往来及其他款项</w:t>
            </w:r>
            <w:r>
              <w:rPr>
                <w:rFonts w:ascii="宋体" w:hAnsi="宋体" w:cs="宋体" w:eastAsia="宋体" w:hint="default"/>
                <w:sz w:val="18"/>
                <w:szCs w:val="18"/>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43,320.57</w:t>
            </w:r>
            <w:r>
              <w:rPr>
                <w:rFonts w:ascii="宋体"/>
                <w:sz w:val="18"/>
              </w:rPr>
              <w:t> </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4" w:right="0"/>
              <w:jc w:val="center"/>
              <w:rPr>
                <w:rFonts w:ascii="宋体" w:hAnsi="宋体" w:cs="宋体" w:eastAsia="宋体" w:hint="default"/>
                <w:sz w:val="18"/>
                <w:szCs w:val="18"/>
              </w:rPr>
            </w:pPr>
            <w:r>
              <w:rPr>
                <w:rFonts w:ascii="宋体" w:hAnsi="宋体" w:cs="宋体" w:eastAsia="宋体" w:hint="default"/>
                <w:sz w:val="18"/>
                <w:szCs w:val="18"/>
              </w:rPr>
              <w:t>1</w:t>
            </w:r>
            <w:r>
              <w:rPr>
                <w:rFonts w:ascii="宋体" w:hAnsi="宋体" w:cs="宋体" w:eastAsia="宋体" w:hint="default"/>
                <w:spacing w:val="-47"/>
                <w:sz w:val="18"/>
                <w:szCs w:val="18"/>
              </w:rPr>
              <w:t> </w:t>
            </w:r>
            <w:r>
              <w:rPr>
                <w:rFonts w:ascii="宋体" w:hAnsi="宋体" w:cs="宋体" w:eastAsia="宋体" w:hint="default"/>
                <w:sz w:val="18"/>
                <w:szCs w:val="18"/>
              </w:rPr>
              <w:t>年以内</w:t>
            </w:r>
            <w:r>
              <w:rPr>
                <w:rFonts w:ascii="宋体" w:hAnsi="宋体" w:cs="宋体" w:eastAsia="宋体" w:hint="default"/>
                <w:sz w:val="18"/>
                <w:szCs w:val="18"/>
              </w:rPr>
              <w:t> </w:t>
            </w:r>
          </w:p>
        </w:tc>
        <w:tc>
          <w:tcPr>
            <w:tcW w:w="2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40.23 </w:t>
            </w:r>
          </w:p>
        </w:tc>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2,166.03</w:t>
            </w:r>
            <w:r>
              <w:rPr>
                <w:rFonts w:ascii="宋体"/>
                <w:sz w:val="18"/>
              </w:rPr>
              <w:t> </w:t>
            </w:r>
          </w:p>
        </w:tc>
      </w:tr>
      <w:tr>
        <w:trPr>
          <w:trHeight w:val="399" w:hRule="exact"/>
        </w:trPr>
        <w:tc>
          <w:tcPr>
            <w:tcW w:w="14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557" w:right="0"/>
              <w:jc w:val="lef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89" w:right="0"/>
              <w:jc w:val="center"/>
              <w:rPr>
                <w:rFonts w:ascii="宋体" w:hAnsi="宋体" w:cs="宋体" w:eastAsia="宋体" w:hint="default"/>
                <w:sz w:val="18"/>
                <w:szCs w:val="18"/>
              </w:rPr>
            </w:pPr>
            <w:r>
              <w:rPr>
                <w:rFonts w:ascii="宋体"/>
                <w:sz w:val="18"/>
              </w:rPr>
              <w:t>-- </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107,690.57</w:t>
            </w:r>
            <w:r>
              <w:rPr>
                <w:rFonts w:ascii="宋体"/>
                <w:sz w:val="18"/>
              </w:rPr>
              <w:t> </w:t>
            </w:r>
          </w:p>
        </w:tc>
        <w:tc>
          <w:tcPr>
            <w:tcW w:w="11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94" w:right="0"/>
              <w:jc w:val="center"/>
              <w:rPr>
                <w:rFonts w:ascii="宋体" w:hAnsi="宋体" w:cs="宋体" w:eastAsia="宋体" w:hint="default"/>
                <w:sz w:val="18"/>
                <w:szCs w:val="18"/>
              </w:rPr>
            </w:pPr>
            <w:r>
              <w:rPr>
                <w:rFonts w:ascii="宋体"/>
                <w:sz w:val="18"/>
              </w:rPr>
              <w:t>-- </w:t>
            </w:r>
          </w:p>
        </w:tc>
        <w:tc>
          <w:tcPr>
            <w:tcW w:w="20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1"/>
              <w:jc w:val="right"/>
              <w:rPr>
                <w:rFonts w:ascii="宋体" w:hAnsi="宋体" w:cs="宋体" w:eastAsia="宋体" w:hint="default"/>
                <w:sz w:val="18"/>
                <w:szCs w:val="18"/>
              </w:rPr>
            </w:pPr>
            <w:r>
              <w:rPr>
                <w:rFonts w:ascii="宋体"/>
                <w:spacing w:val="-1"/>
                <w:sz w:val="18"/>
              </w:rPr>
              <w:t>100.00</w:t>
            </w:r>
            <w:r>
              <w:rPr>
                <w:rFonts w:ascii="宋体"/>
                <w:sz w:val="18"/>
              </w:rPr>
              <w:t> </w:t>
            </w:r>
          </w:p>
        </w:tc>
        <w:tc>
          <w:tcPr>
            <w:tcW w:w="19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1"/>
              <w:jc w:val="right"/>
              <w:rPr>
                <w:rFonts w:ascii="宋体" w:hAnsi="宋体" w:cs="宋体" w:eastAsia="宋体" w:hint="default"/>
                <w:sz w:val="18"/>
                <w:szCs w:val="18"/>
              </w:rPr>
            </w:pPr>
            <w:r>
              <w:rPr>
                <w:rFonts w:ascii="宋体"/>
                <w:spacing w:val="-1"/>
                <w:sz w:val="18"/>
              </w:rPr>
              <w:t>5,384.53</w:t>
            </w:r>
            <w:r>
              <w:rPr>
                <w:rFonts w:ascii="宋体"/>
                <w:sz w:val="18"/>
              </w:rPr>
              <w:t> </w:t>
            </w:r>
          </w:p>
        </w:tc>
      </w:tr>
    </w:tbl>
    <w:p>
      <w:pPr>
        <w:spacing w:line="240" w:lineRule="auto" w:before="7"/>
        <w:rPr>
          <w:rFonts w:ascii="宋体" w:hAnsi="宋体" w:cs="宋体" w:eastAsia="宋体" w:hint="default"/>
          <w:sz w:val="6"/>
          <w:szCs w:val="6"/>
        </w:rPr>
      </w:pPr>
    </w:p>
    <w:p>
      <w:pPr>
        <w:pStyle w:val="BodyText"/>
        <w:spacing w:line="372" w:lineRule="auto" w:before="36"/>
        <w:ind w:left="563" w:right="6947" w:hanging="209"/>
        <w:jc w:val="left"/>
        <w:rPr>
          <w:rFonts w:ascii="宋体" w:hAnsi="宋体" w:cs="宋体" w:eastAsia="宋体" w:hint="default"/>
        </w:rPr>
      </w:pPr>
      <w:r>
        <w:rPr/>
        <w:t>（</w:t>
      </w:r>
      <w:r>
        <w:rPr>
          <w:rFonts w:ascii="宋体" w:hAnsi="宋体" w:cs="宋体" w:eastAsia="宋体" w:hint="default"/>
        </w:rPr>
        <w:t>7</w:t>
      </w:r>
      <w:r>
        <w:rPr/>
        <w:t>）涉及政府补助的其他应收款</w:t>
      </w:r>
      <w:r>
        <w:rPr>
          <w:rFonts w:ascii="宋体" w:hAnsi="宋体" w:cs="宋体" w:eastAsia="宋体" w:hint="default"/>
          <w:w w:val="100"/>
        </w:rPr>
        <w:t> </w:t>
      </w:r>
      <w:r>
        <w:rPr/>
        <w:t>无。</w:t>
      </w:r>
      <w:r>
        <w:rPr>
          <w:rFonts w:ascii="宋体" w:hAnsi="宋体" w:cs="宋体" w:eastAsia="宋体" w:hint="default"/>
        </w:rPr>
        <w:t> </w:t>
      </w:r>
    </w:p>
    <w:p>
      <w:pPr>
        <w:pStyle w:val="BodyText"/>
        <w:spacing w:line="372" w:lineRule="auto" w:before="39"/>
        <w:ind w:left="563" w:right="5687" w:hanging="209"/>
        <w:jc w:val="left"/>
        <w:rPr>
          <w:rFonts w:ascii="宋体" w:hAnsi="宋体" w:cs="宋体" w:eastAsia="宋体" w:hint="default"/>
        </w:rPr>
      </w:pPr>
      <w:r>
        <w:rPr/>
        <w:t>（</w:t>
      </w:r>
      <w:r>
        <w:rPr>
          <w:rFonts w:ascii="宋体" w:hAnsi="宋体" w:cs="宋体" w:eastAsia="宋体" w:hint="default"/>
        </w:rPr>
        <w:t>8</w:t>
      </w:r>
      <w:r>
        <w:rPr/>
        <w:t>）因金融资产转移而终止确认的其他应收款</w:t>
      </w:r>
      <w:r>
        <w:rPr>
          <w:rFonts w:ascii="宋体" w:hAnsi="宋体" w:cs="宋体" w:eastAsia="宋体" w:hint="default"/>
          <w:w w:val="100"/>
        </w:rPr>
        <w:t> </w:t>
      </w:r>
      <w:r>
        <w:rPr/>
        <w:t>无。</w:t>
      </w:r>
      <w:r>
        <w:rPr>
          <w:rFonts w:ascii="宋体" w:hAnsi="宋体" w:cs="宋体" w:eastAsia="宋体" w:hint="default"/>
        </w:rPr>
        <w:t> </w:t>
      </w:r>
    </w:p>
    <w:p>
      <w:pPr>
        <w:pStyle w:val="BodyText"/>
        <w:spacing w:line="372" w:lineRule="auto" w:before="39"/>
        <w:ind w:left="563" w:right="4847" w:hanging="209"/>
        <w:jc w:val="left"/>
        <w:rPr>
          <w:rFonts w:ascii="宋体" w:hAnsi="宋体" w:cs="宋体" w:eastAsia="宋体" w:hint="default"/>
        </w:rPr>
      </w:pPr>
      <w:r>
        <w:rPr/>
        <w:t>（</w:t>
      </w:r>
      <w:r>
        <w:rPr>
          <w:rFonts w:ascii="宋体" w:hAnsi="宋体" w:cs="宋体" w:eastAsia="宋体" w:hint="default"/>
        </w:rPr>
        <w:t>9</w:t>
      </w:r>
      <w:r>
        <w:rPr/>
        <w:t>）转移其他应收款且继续涉入形成的资产、负债金额</w:t>
      </w:r>
      <w:r>
        <w:rPr>
          <w:rFonts w:ascii="宋体" w:hAnsi="宋体" w:cs="宋体" w:eastAsia="宋体" w:hint="default"/>
          <w:w w:val="100"/>
        </w:rPr>
        <w:t> </w:t>
      </w:r>
      <w:r>
        <w:rPr/>
        <w:t>无。</w:t>
      </w:r>
      <w:r>
        <w:rPr>
          <w:rFonts w:ascii="宋体" w:hAnsi="宋体" w:cs="宋体" w:eastAsia="宋体" w:hint="default"/>
        </w:rPr>
        <w:t> </w:t>
      </w:r>
    </w:p>
    <w:p>
      <w:pPr>
        <w:pStyle w:val="Heading3"/>
        <w:spacing w:line="240" w:lineRule="auto" w:before="39"/>
        <w:ind w:left="354" w:right="7673"/>
        <w:jc w:val="left"/>
        <w:rPr>
          <w:rFonts w:ascii="宋体" w:hAnsi="宋体" w:cs="宋体" w:eastAsia="宋体" w:hint="default"/>
          <w:b w:val="0"/>
          <w:bCs w:val="0"/>
        </w:rPr>
      </w:pPr>
      <w:r>
        <w:rPr/>
        <w:t>（二）长期股权投资</w:t>
      </w:r>
      <w:r>
        <w:rPr>
          <w:rFonts w:ascii="宋体" w:hAnsi="宋体" w:cs="宋体" w:eastAsia="宋体" w:hint="default"/>
          <w:w w:val="99"/>
        </w:rPr>
        <w:t> </w:t>
      </w:r>
      <w:r>
        <w:rPr>
          <w:rFonts w:ascii="宋体" w:hAnsi="宋体" w:cs="宋体" w:eastAsia="宋体" w:hint="default"/>
          <w:b w:val="0"/>
          <w:bCs w:val="0"/>
        </w:rPr>
      </w:r>
    </w:p>
    <w:p>
      <w:pPr>
        <w:spacing w:line="240" w:lineRule="auto" w:before="3"/>
        <w:rPr>
          <w:rFonts w:ascii="宋体" w:hAnsi="宋体" w:cs="宋体" w:eastAsia="宋体" w:hint="default"/>
          <w:b/>
          <w:bCs/>
          <w:sz w:val="14"/>
          <w:szCs w:val="14"/>
        </w:rPr>
      </w:pPr>
    </w:p>
    <w:tbl>
      <w:tblPr>
        <w:tblW w:w="0" w:type="auto"/>
        <w:jc w:val="left"/>
        <w:tblInd w:w="107" w:type="dxa"/>
        <w:tblLayout w:type="fixed"/>
        <w:tblCellMar>
          <w:top w:w="0" w:type="dxa"/>
          <w:left w:w="0" w:type="dxa"/>
          <w:bottom w:w="0" w:type="dxa"/>
          <w:right w:w="0" w:type="dxa"/>
        </w:tblCellMar>
        <w:tblLook w:val="01E0"/>
      </w:tblPr>
      <w:tblGrid>
        <w:gridCol w:w="2276"/>
        <w:gridCol w:w="2211"/>
        <w:gridCol w:w="2213"/>
        <w:gridCol w:w="2864"/>
      </w:tblGrid>
      <w:tr>
        <w:trPr>
          <w:trHeight w:val="399" w:hRule="exact"/>
        </w:trPr>
        <w:tc>
          <w:tcPr>
            <w:tcW w:w="2276"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8"/>
                <w:szCs w:val="18"/>
              </w:rPr>
            </w:pPr>
          </w:p>
          <w:p>
            <w:pPr>
              <w:pStyle w:val="TableParagraph"/>
              <w:spacing w:line="240" w:lineRule="auto"/>
              <w:ind w:left="90"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728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95" w:right="0"/>
              <w:jc w:val="center"/>
              <w:rPr>
                <w:rFonts w:ascii="宋体" w:hAnsi="宋体" w:cs="宋体" w:eastAsia="宋体" w:hint="default"/>
                <w:sz w:val="18"/>
                <w:szCs w:val="18"/>
              </w:rPr>
            </w:pPr>
            <w:r>
              <w:rPr>
                <w:rFonts w:ascii="宋体" w:hAnsi="宋体" w:cs="宋体" w:eastAsia="宋体" w:hint="default"/>
                <w:sz w:val="18"/>
                <w:szCs w:val="18"/>
              </w:rPr>
              <w:t>期末金额</w:t>
            </w:r>
            <w:r>
              <w:rPr>
                <w:rFonts w:ascii="宋体" w:hAnsi="宋体" w:cs="宋体" w:eastAsia="宋体" w:hint="default"/>
                <w:sz w:val="18"/>
                <w:szCs w:val="18"/>
              </w:rPr>
              <w:t> </w:t>
            </w:r>
          </w:p>
        </w:tc>
      </w:tr>
      <w:tr>
        <w:trPr>
          <w:trHeight w:val="396" w:hRule="exact"/>
        </w:trPr>
        <w:tc>
          <w:tcPr>
            <w:tcW w:w="2276" w:type="dxa"/>
            <w:vMerge/>
            <w:tcBorders>
              <w:left w:val="single" w:sz="4" w:space="0" w:color="000000"/>
              <w:bottom w:val="single" w:sz="4" w:space="0" w:color="000000"/>
              <w:right w:val="single" w:sz="4" w:space="0" w:color="000000"/>
            </w:tcBorders>
          </w:tcPr>
          <w:p>
            <w:pPr/>
          </w:p>
        </w:tc>
        <w:tc>
          <w:tcPr>
            <w:tcW w:w="2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742" w:right="0"/>
              <w:jc w:val="left"/>
              <w:rPr>
                <w:rFonts w:ascii="宋体" w:hAnsi="宋体" w:cs="宋体" w:eastAsia="宋体" w:hint="default"/>
                <w:sz w:val="18"/>
                <w:szCs w:val="18"/>
              </w:rPr>
            </w:pPr>
            <w:r>
              <w:rPr>
                <w:rFonts w:ascii="宋体" w:hAnsi="宋体" w:cs="宋体" w:eastAsia="宋体" w:hint="default"/>
                <w:sz w:val="18"/>
                <w:szCs w:val="18"/>
              </w:rPr>
              <w:t>账面余额</w:t>
            </w:r>
            <w:r>
              <w:rPr>
                <w:rFonts w:ascii="宋体" w:hAnsi="宋体" w:cs="宋体" w:eastAsia="宋体" w:hint="default"/>
                <w:sz w:val="18"/>
                <w:szCs w:val="18"/>
              </w:rPr>
              <w:t> </w:t>
            </w:r>
          </w:p>
        </w:tc>
        <w:tc>
          <w:tcPr>
            <w:tcW w:w="2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743" w:right="0"/>
              <w:jc w:val="left"/>
              <w:rPr>
                <w:rFonts w:ascii="宋体" w:hAnsi="宋体" w:cs="宋体" w:eastAsia="宋体" w:hint="default"/>
                <w:sz w:val="18"/>
                <w:szCs w:val="18"/>
              </w:rPr>
            </w:pPr>
            <w:r>
              <w:rPr>
                <w:rFonts w:ascii="宋体" w:hAnsi="宋体" w:cs="宋体" w:eastAsia="宋体" w:hint="default"/>
                <w:sz w:val="18"/>
                <w:szCs w:val="18"/>
              </w:rPr>
              <w:t>减值准备</w:t>
            </w:r>
            <w:r>
              <w:rPr>
                <w:rFonts w:ascii="宋体" w:hAnsi="宋体" w:cs="宋体" w:eastAsia="宋体" w:hint="default"/>
                <w:sz w:val="18"/>
                <w:szCs w:val="18"/>
              </w:rPr>
              <w:t> </w:t>
            </w:r>
          </w:p>
        </w:tc>
        <w:tc>
          <w:tcPr>
            <w:tcW w:w="2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2" w:right="0"/>
              <w:jc w:val="center"/>
              <w:rPr>
                <w:rFonts w:ascii="宋体" w:hAnsi="宋体" w:cs="宋体" w:eastAsia="宋体" w:hint="default"/>
                <w:sz w:val="18"/>
                <w:szCs w:val="18"/>
              </w:rPr>
            </w:pPr>
            <w:r>
              <w:rPr>
                <w:rFonts w:ascii="宋体" w:hAnsi="宋体" w:cs="宋体" w:eastAsia="宋体" w:hint="default"/>
                <w:sz w:val="18"/>
                <w:szCs w:val="18"/>
              </w:rPr>
              <w:t>账面价值</w:t>
            </w:r>
            <w:r>
              <w:rPr>
                <w:rFonts w:ascii="宋体" w:hAnsi="宋体" w:cs="宋体" w:eastAsia="宋体" w:hint="default"/>
                <w:sz w:val="18"/>
                <w:szCs w:val="18"/>
              </w:rPr>
              <w:t> </w:t>
            </w:r>
          </w:p>
        </w:tc>
      </w:tr>
      <w:tr>
        <w:trPr>
          <w:trHeight w:val="396" w:hRule="exact"/>
        </w:trPr>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6" w:right="0"/>
              <w:jc w:val="left"/>
              <w:rPr>
                <w:rFonts w:ascii="宋体" w:hAnsi="宋体" w:cs="宋体" w:eastAsia="宋体" w:hint="default"/>
                <w:sz w:val="18"/>
                <w:szCs w:val="18"/>
              </w:rPr>
            </w:pPr>
            <w:r>
              <w:rPr>
                <w:rFonts w:ascii="宋体" w:hAnsi="宋体" w:cs="宋体" w:eastAsia="宋体" w:hint="default"/>
                <w:sz w:val="18"/>
                <w:szCs w:val="18"/>
              </w:rPr>
              <w:t>对子公司投资</w:t>
            </w:r>
            <w:r>
              <w:rPr>
                <w:rFonts w:ascii="宋体" w:hAnsi="宋体" w:cs="宋体" w:eastAsia="宋体" w:hint="default"/>
                <w:sz w:val="18"/>
                <w:szCs w:val="18"/>
              </w:rPr>
              <w:t> </w:t>
            </w:r>
          </w:p>
        </w:tc>
        <w:tc>
          <w:tcPr>
            <w:tcW w:w="2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宋体" w:hAnsi="宋体" w:cs="宋体" w:eastAsia="宋体" w:hint="default"/>
                <w:sz w:val="18"/>
                <w:szCs w:val="18"/>
              </w:rPr>
            </w:pPr>
            <w:r>
              <w:rPr>
                <w:rFonts w:ascii="宋体"/>
                <w:spacing w:val="-1"/>
                <w:sz w:val="18"/>
              </w:rPr>
              <w:t>3,578,000,000.00</w:t>
            </w:r>
          </w:p>
        </w:tc>
        <w:tc>
          <w:tcPr>
            <w:tcW w:w="2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宋体" w:hAnsi="宋体" w:cs="宋体" w:eastAsia="宋体" w:hint="default"/>
                <w:sz w:val="18"/>
                <w:szCs w:val="18"/>
              </w:rPr>
            </w:pPr>
            <w:r>
              <w:rPr>
                <w:rFonts w:ascii="宋体"/>
                <w:spacing w:val="-1"/>
                <w:sz w:val="18"/>
              </w:rPr>
              <w:t>870,660,000.00</w:t>
            </w:r>
          </w:p>
        </w:tc>
        <w:tc>
          <w:tcPr>
            <w:tcW w:w="2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宋体" w:hAnsi="宋体" w:cs="宋体" w:eastAsia="宋体" w:hint="default"/>
                <w:sz w:val="18"/>
                <w:szCs w:val="18"/>
              </w:rPr>
            </w:pPr>
            <w:r>
              <w:rPr>
                <w:rFonts w:ascii="宋体"/>
                <w:spacing w:val="-1"/>
                <w:sz w:val="18"/>
              </w:rPr>
              <w:t>2,707,340,000.00</w:t>
            </w:r>
          </w:p>
        </w:tc>
      </w:tr>
      <w:tr>
        <w:trPr>
          <w:trHeight w:val="398" w:hRule="exact"/>
        </w:trPr>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26" w:right="0"/>
              <w:jc w:val="left"/>
              <w:rPr>
                <w:rFonts w:ascii="宋体" w:hAnsi="宋体" w:cs="宋体" w:eastAsia="宋体" w:hint="default"/>
                <w:sz w:val="18"/>
                <w:szCs w:val="18"/>
              </w:rPr>
            </w:pPr>
            <w:r>
              <w:rPr>
                <w:rFonts w:ascii="宋体" w:hAnsi="宋体" w:cs="宋体" w:eastAsia="宋体" w:hint="default"/>
                <w:sz w:val="18"/>
                <w:szCs w:val="18"/>
              </w:rPr>
              <w:t>对联营、合营企业投资</w:t>
            </w:r>
            <w:r>
              <w:rPr>
                <w:rFonts w:ascii="宋体" w:hAnsi="宋体" w:cs="宋体" w:eastAsia="宋体" w:hint="default"/>
                <w:sz w:val="18"/>
                <w:szCs w:val="18"/>
              </w:rPr>
              <w:t> </w:t>
            </w:r>
          </w:p>
        </w:tc>
        <w:tc>
          <w:tcPr>
            <w:tcW w:w="2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pacing w:val="-1"/>
                <w:sz w:val="18"/>
              </w:rPr>
              <w:t>159,527.65</w:t>
            </w:r>
          </w:p>
        </w:tc>
        <w:tc>
          <w:tcPr>
            <w:tcW w:w="2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宋体" w:hAnsi="宋体" w:cs="宋体" w:eastAsia="宋体" w:hint="default"/>
                <w:sz w:val="18"/>
                <w:szCs w:val="18"/>
              </w:rPr>
            </w:pPr>
            <w:r>
              <w:rPr>
                <w:rFonts w:ascii="宋体"/>
                <w:sz w:val="18"/>
              </w:rPr>
              <w:t>-</w:t>
            </w:r>
          </w:p>
        </w:tc>
        <w:tc>
          <w:tcPr>
            <w:tcW w:w="2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pacing w:val="-1"/>
                <w:sz w:val="18"/>
              </w:rPr>
              <w:t>159,527.65</w:t>
            </w:r>
          </w:p>
        </w:tc>
      </w:tr>
      <w:tr>
        <w:trPr>
          <w:trHeight w:val="396" w:hRule="exact"/>
        </w:trPr>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0"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2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宋体" w:hAnsi="宋体" w:cs="宋体" w:eastAsia="宋体" w:hint="default"/>
                <w:sz w:val="18"/>
                <w:szCs w:val="18"/>
              </w:rPr>
            </w:pPr>
            <w:r>
              <w:rPr>
                <w:rFonts w:ascii="宋体"/>
                <w:spacing w:val="-1"/>
                <w:sz w:val="18"/>
              </w:rPr>
              <w:t>3,578,159,527.65</w:t>
            </w:r>
          </w:p>
        </w:tc>
        <w:tc>
          <w:tcPr>
            <w:tcW w:w="2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宋体" w:hAnsi="宋体" w:cs="宋体" w:eastAsia="宋体" w:hint="default"/>
                <w:sz w:val="18"/>
                <w:szCs w:val="18"/>
              </w:rPr>
            </w:pPr>
            <w:r>
              <w:rPr>
                <w:rFonts w:ascii="宋体"/>
                <w:spacing w:val="-1"/>
                <w:sz w:val="18"/>
              </w:rPr>
              <w:t>870,660,000.00</w:t>
            </w:r>
          </w:p>
        </w:tc>
        <w:tc>
          <w:tcPr>
            <w:tcW w:w="28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宋体" w:hAnsi="宋体" w:cs="宋体" w:eastAsia="宋体" w:hint="default"/>
                <w:sz w:val="18"/>
                <w:szCs w:val="18"/>
              </w:rPr>
            </w:pPr>
            <w:r>
              <w:rPr>
                <w:rFonts w:ascii="宋体"/>
                <w:spacing w:val="-1"/>
                <w:sz w:val="18"/>
              </w:rPr>
              <w:t>2,707,499,527.65</w:t>
            </w:r>
          </w:p>
        </w:tc>
      </w:tr>
    </w:tbl>
    <w:p>
      <w:pPr>
        <w:spacing w:line="240" w:lineRule="auto" w:before="7"/>
        <w:rPr>
          <w:rFonts w:ascii="宋体" w:hAnsi="宋体" w:cs="宋体" w:eastAsia="宋体" w:hint="default"/>
          <w:b/>
          <w:bCs/>
          <w:sz w:val="6"/>
          <w:szCs w:val="6"/>
        </w:rPr>
      </w:pPr>
    </w:p>
    <w:p>
      <w:pPr>
        <w:pStyle w:val="BodyText"/>
        <w:spacing w:line="240" w:lineRule="auto" w:before="36"/>
        <w:ind w:left="143" w:right="7673"/>
        <w:jc w:val="left"/>
        <w:rPr>
          <w:rFonts w:ascii="宋体" w:hAnsi="宋体" w:cs="宋体" w:eastAsia="宋体" w:hint="default"/>
        </w:rPr>
      </w:pPr>
      <w:r>
        <w:rPr/>
        <w:t>续表</w:t>
      </w:r>
      <w:r>
        <w:rPr>
          <w:spacing w:val="-49"/>
        </w:rPr>
        <w:t> </w:t>
      </w:r>
      <w:r>
        <w:rPr>
          <w:rFonts w:ascii="宋体" w:hAnsi="宋体" w:cs="宋体" w:eastAsia="宋体" w:hint="default"/>
          <w:spacing w:val="-3"/>
        </w:rPr>
        <w:t>1</w:t>
      </w:r>
      <w:r>
        <w:rPr>
          <w:rFonts w:ascii="宋体" w:hAnsi="宋体" w:cs="宋体" w:eastAsia="宋体" w:hint="default"/>
        </w:rPr>
        <w:t> </w:t>
      </w:r>
    </w:p>
    <w:p>
      <w:pPr>
        <w:spacing w:after="0" w:line="240" w:lineRule="auto"/>
        <w:jc w:val="left"/>
        <w:rPr>
          <w:rFonts w:ascii="宋体" w:hAnsi="宋体" w:cs="宋体" w:eastAsia="宋体" w:hint="default"/>
        </w:rPr>
        <w:sectPr>
          <w:pgSz w:w="11910" w:h="16840"/>
          <w:pgMar w:header="880" w:footer="975" w:top="1100" w:bottom="1160" w:left="1160" w:right="0"/>
        </w:sectPr>
      </w:pPr>
    </w:p>
    <w:p>
      <w:pPr>
        <w:spacing w:line="240" w:lineRule="auto" w:before="8"/>
        <w:rPr>
          <w:rFonts w:ascii="宋体" w:hAnsi="宋体" w:cs="宋体" w:eastAsia="宋体" w:hint="default"/>
          <w:sz w:val="24"/>
          <w:szCs w:val="24"/>
        </w:rPr>
      </w:pPr>
    </w:p>
    <w:tbl>
      <w:tblPr>
        <w:tblW w:w="0" w:type="auto"/>
        <w:jc w:val="left"/>
        <w:tblInd w:w="107" w:type="dxa"/>
        <w:tblLayout w:type="fixed"/>
        <w:tblCellMar>
          <w:top w:w="0" w:type="dxa"/>
          <w:left w:w="0" w:type="dxa"/>
          <w:bottom w:w="0" w:type="dxa"/>
          <w:right w:w="0" w:type="dxa"/>
        </w:tblCellMar>
        <w:tblLook w:val="01E0"/>
      </w:tblPr>
      <w:tblGrid>
        <w:gridCol w:w="2276"/>
        <w:gridCol w:w="2211"/>
        <w:gridCol w:w="2213"/>
        <w:gridCol w:w="2878"/>
      </w:tblGrid>
      <w:tr>
        <w:trPr>
          <w:trHeight w:val="396" w:hRule="exact"/>
        </w:trPr>
        <w:tc>
          <w:tcPr>
            <w:tcW w:w="2276" w:type="dxa"/>
            <w:vMerge w:val="restart"/>
            <w:tcBorders>
              <w:top w:val="single" w:sz="4"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8"/>
                <w:szCs w:val="18"/>
              </w:rPr>
            </w:pPr>
          </w:p>
          <w:p>
            <w:pPr>
              <w:pStyle w:val="TableParagraph"/>
              <w:spacing w:line="240" w:lineRule="auto"/>
              <w:ind w:left="90"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7302"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5" w:right="0"/>
              <w:jc w:val="center"/>
              <w:rPr>
                <w:rFonts w:ascii="宋体" w:hAnsi="宋体" w:cs="宋体" w:eastAsia="宋体" w:hint="default"/>
                <w:sz w:val="18"/>
                <w:szCs w:val="18"/>
              </w:rPr>
            </w:pPr>
            <w:r>
              <w:rPr>
                <w:rFonts w:ascii="宋体" w:hAnsi="宋体" w:cs="宋体" w:eastAsia="宋体" w:hint="default"/>
                <w:sz w:val="18"/>
                <w:szCs w:val="18"/>
              </w:rPr>
              <w:t>期初金额</w:t>
            </w:r>
            <w:r>
              <w:rPr>
                <w:rFonts w:ascii="宋体" w:hAnsi="宋体" w:cs="宋体" w:eastAsia="宋体" w:hint="default"/>
                <w:sz w:val="18"/>
                <w:szCs w:val="18"/>
              </w:rPr>
              <w:t> </w:t>
            </w:r>
          </w:p>
        </w:tc>
      </w:tr>
      <w:tr>
        <w:trPr>
          <w:trHeight w:val="399" w:hRule="exact"/>
        </w:trPr>
        <w:tc>
          <w:tcPr>
            <w:tcW w:w="2276" w:type="dxa"/>
            <w:vMerge/>
            <w:tcBorders>
              <w:left w:val="single" w:sz="4" w:space="0" w:color="000000"/>
              <w:bottom w:val="single" w:sz="4" w:space="0" w:color="000000"/>
              <w:right w:val="single" w:sz="4" w:space="0" w:color="000000"/>
            </w:tcBorders>
          </w:tcPr>
          <w:p>
            <w:pPr/>
          </w:p>
        </w:tc>
        <w:tc>
          <w:tcPr>
            <w:tcW w:w="2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742" w:right="0"/>
              <w:jc w:val="left"/>
              <w:rPr>
                <w:rFonts w:ascii="宋体" w:hAnsi="宋体" w:cs="宋体" w:eastAsia="宋体" w:hint="default"/>
                <w:sz w:val="18"/>
                <w:szCs w:val="18"/>
              </w:rPr>
            </w:pPr>
            <w:r>
              <w:rPr>
                <w:rFonts w:ascii="宋体" w:hAnsi="宋体" w:cs="宋体" w:eastAsia="宋体" w:hint="default"/>
                <w:sz w:val="18"/>
                <w:szCs w:val="18"/>
              </w:rPr>
              <w:t>账面余额</w:t>
            </w:r>
            <w:r>
              <w:rPr>
                <w:rFonts w:ascii="宋体" w:hAnsi="宋体" w:cs="宋体" w:eastAsia="宋体" w:hint="default"/>
                <w:sz w:val="18"/>
                <w:szCs w:val="18"/>
              </w:rPr>
              <w:t> </w:t>
            </w:r>
          </w:p>
        </w:tc>
        <w:tc>
          <w:tcPr>
            <w:tcW w:w="2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743" w:right="0"/>
              <w:jc w:val="left"/>
              <w:rPr>
                <w:rFonts w:ascii="宋体" w:hAnsi="宋体" w:cs="宋体" w:eastAsia="宋体" w:hint="default"/>
                <w:sz w:val="18"/>
                <w:szCs w:val="18"/>
              </w:rPr>
            </w:pPr>
            <w:r>
              <w:rPr>
                <w:rFonts w:ascii="宋体" w:hAnsi="宋体" w:cs="宋体" w:eastAsia="宋体" w:hint="default"/>
                <w:sz w:val="18"/>
                <w:szCs w:val="18"/>
              </w:rPr>
              <w:t>减值准备</w:t>
            </w:r>
            <w:r>
              <w:rPr>
                <w:rFonts w:ascii="宋体" w:hAnsi="宋体" w:cs="宋体" w:eastAsia="宋体" w:hint="default"/>
                <w:sz w:val="18"/>
                <w:szCs w:val="18"/>
              </w:rPr>
              <w:t> </w:t>
            </w:r>
          </w:p>
        </w:tc>
        <w:tc>
          <w:tcPr>
            <w:tcW w:w="2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7" w:right="0"/>
              <w:jc w:val="center"/>
              <w:rPr>
                <w:rFonts w:ascii="宋体" w:hAnsi="宋体" w:cs="宋体" w:eastAsia="宋体" w:hint="default"/>
                <w:sz w:val="18"/>
                <w:szCs w:val="18"/>
              </w:rPr>
            </w:pPr>
            <w:r>
              <w:rPr>
                <w:rFonts w:ascii="宋体" w:hAnsi="宋体" w:cs="宋体" w:eastAsia="宋体" w:hint="default"/>
                <w:sz w:val="18"/>
                <w:szCs w:val="18"/>
              </w:rPr>
              <w:t>账面价值</w:t>
            </w:r>
            <w:r>
              <w:rPr>
                <w:rFonts w:ascii="宋体" w:hAnsi="宋体" w:cs="宋体" w:eastAsia="宋体" w:hint="default"/>
                <w:sz w:val="18"/>
                <w:szCs w:val="18"/>
              </w:rPr>
              <w:t> </w:t>
            </w:r>
          </w:p>
        </w:tc>
      </w:tr>
      <w:tr>
        <w:trPr>
          <w:trHeight w:val="396" w:hRule="exact"/>
        </w:trPr>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6" w:right="0"/>
              <w:jc w:val="left"/>
              <w:rPr>
                <w:rFonts w:ascii="宋体" w:hAnsi="宋体" w:cs="宋体" w:eastAsia="宋体" w:hint="default"/>
                <w:sz w:val="18"/>
                <w:szCs w:val="18"/>
              </w:rPr>
            </w:pPr>
            <w:r>
              <w:rPr>
                <w:rFonts w:ascii="宋体" w:hAnsi="宋体" w:cs="宋体" w:eastAsia="宋体" w:hint="default"/>
                <w:sz w:val="18"/>
                <w:szCs w:val="18"/>
              </w:rPr>
              <w:t>对子公司投资</w:t>
            </w:r>
            <w:r>
              <w:rPr>
                <w:rFonts w:ascii="宋体" w:hAnsi="宋体" w:cs="宋体" w:eastAsia="宋体" w:hint="default"/>
                <w:sz w:val="18"/>
                <w:szCs w:val="18"/>
              </w:rPr>
              <w:t> </w:t>
            </w:r>
          </w:p>
        </w:tc>
        <w:tc>
          <w:tcPr>
            <w:tcW w:w="2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2"/>
              <w:jc w:val="right"/>
              <w:rPr>
                <w:rFonts w:ascii="宋体" w:hAnsi="宋体" w:cs="宋体" w:eastAsia="宋体" w:hint="default"/>
                <w:sz w:val="18"/>
                <w:szCs w:val="18"/>
              </w:rPr>
            </w:pPr>
            <w:r>
              <w:rPr>
                <w:rFonts w:ascii="宋体"/>
                <w:spacing w:val="-1"/>
                <w:sz w:val="18"/>
              </w:rPr>
              <w:t>3,578,000,000.00</w:t>
            </w:r>
          </w:p>
        </w:tc>
        <w:tc>
          <w:tcPr>
            <w:tcW w:w="2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宋体" w:hAnsi="宋体" w:cs="宋体" w:eastAsia="宋体" w:hint="default"/>
                <w:sz w:val="18"/>
                <w:szCs w:val="18"/>
              </w:rPr>
            </w:pPr>
            <w:r>
              <w:rPr>
                <w:rFonts w:ascii="宋体"/>
                <w:sz w:val="18"/>
              </w:rPr>
              <w:t>-</w:t>
            </w:r>
          </w:p>
        </w:tc>
        <w:tc>
          <w:tcPr>
            <w:tcW w:w="2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right"/>
              <w:rPr>
                <w:rFonts w:ascii="宋体" w:hAnsi="宋体" w:cs="宋体" w:eastAsia="宋体" w:hint="default"/>
                <w:sz w:val="18"/>
                <w:szCs w:val="18"/>
              </w:rPr>
            </w:pPr>
            <w:r>
              <w:rPr>
                <w:rFonts w:ascii="宋体"/>
                <w:spacing w:val="-1"/>
                <w:sz w:val="18"/>
              </w:rPr>
              <w:t>3,578,000,000.00</w:t>
            </w:r>
          </w:p>
        </w:tc>
      </w:tr>
      <w:tr>
        <w:trPr>
          <w:trHeight w:val="398" w:hRule="exact"/>
        </w:trPr>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6" w:right="0"/>
              <w:jc w:val="left"/>
              <w:rPr>
                <w:rFonts w:ascii="宋体" w:hAnsi="宋体" w:cs="宋体" w:eastAsia="宋体" w:hint="default"/>
                <w:sz w:val="18"/>
                <w:szCs w:val="18"/>
              </w:rPr>
            </w:pPr>
            <w:r>
              <w:rPr>
                <w:rFonts w:ascii="宋体" w:hAnsi="宋体" w:cs="宋体" w:eastAsia="宋体" w:hint="default"/>
                <w:sz w:val="18"/>
                <w:szCs w:val="18"/>
              </w:rPr>
              <w:t>对联营、合营企业投资</w:t>
            </w:r>
            <w:r>
              <w:rPr>
                <w:rFonts w:ascii="宋体" w:hAnsi="宋体" w:cs="宋体" w:eastAsia="宋体" w:hint="default"/>
                <w:sz w:val="18"/>
                <w:szCs w:val="18"/>
              </w:rPr>
              <w:t> </w:t>
            </w:r>
          </w:p>
        </w:tc>
        <w:tc>
          <w:tcPr>
            <w:tcW w:w="2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1"/>
              <w:jc w:val="right"/>
              <w:rPr>
                <w:rFonts w:ascii="宋体" w:hAnsi="宋体" w:cs="宋体" w:eastAsia="宋体" w:hint="default"/>
                <w:sz w:val="18"/>
                <w:szCs w:val="18"/>
              </w:rPr>
            </w:pPr>
            <w:r>
              <w:rPr>
                <w:rFonts w:ascii="宋体"/>
                <w:spacing w:val="-1"/>
                <w:sz w:val="18"/>
              </w:rPr>
              <w:t>132,450.03</w:t>
            </w:r>
          </w:p>
        </w:tc>
        <w:tc>
          <w:tcPr>
            <w:tcW w:w="2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3"/>
              <w:jc w:val="right"/>
              <w:rPr>
                <w:rFonts w:ascii="宋体" w:hAnsi="宋体" w:cs="宋体" w:eastAsia="宋体" w:hint="default"/>
                <w:sz w:val="18"/>
                <w:szCs w:val="18"/>
              </w:rPr>
            </w:pPr>
            <w:r>
              <w:rPr>
                <w:rFonts w:ascii="宋体"/>
                <w:sz w:val="18"/>
              </w:rPr>
              <w:t>-</w:t>
            </w:r>
          </w:p>
        </w:tc>
        <w:tc>
          <w:tcPr>
            <w:tcW w:w="2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24"/>
              <w:jc w:val="right"/>
              <w:rPr>
                <w:rFonts w:ascii="宋体" w:hAnsi="宋体" w:cs="宋体" w:eastAsia="宋体" w:hint="default"/>
                <w:sz w:val="18"/>
                <w:szCs w:val="18"/>
              </w:rPr>
            </w:pPr>
            <w:r>
              <w:rPr>
                <w:rFonts w:ascii="宋体"/>
                <w:spacing w:val="-1"/>
                <w:sz w:val="18"/>
              </w:rPr>
              <w:t>132,450.03</w:t>
            </w:r>
          </w:p>
        </w:tc>
      </w:tr>
      <w:tr>
        <w:trPr>
          <w:trHeight w:val="396" w:hRule="exact"/>
        </w:trPr>
        <w:tc>
          <w:tcPr>
            <w:tcW w:w="22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90"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22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2"/>
              <w:jc w:val="right"/>
              <w:rPr>
                <w:rFonts w:ascii="宋体" w:hAnsi="宋体" w:cs="宋体" w:eastAsia="宋体" w:hint="default"/>
                <w:sz w:val="18"/>
                <w:szCs w:val="18"/>
              </w:rPr>
            </w:pPr>
            <w:r>
              <w:rPr>
                <w:rFonts w:ascii="宋体"/>
                <w:spacing w:val="-1"/>
                <w:sz w:val="18"/>
              </w:rPr>
              <w:t>3,578,132,450.03</w:t>
            </w:r>
          </w:p>
        </w:tc>
        <w:tc>
          <w:tcPr>
            <w:tcW w:w="22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3"/>
              <w:jc w:val="right"/>
              <w:rPr>
                <w:rFonts w:ascii="宋体" w:hAnsi="宋体" w:cs="宋体" w:eastAsia="宋体" w:hint="default"/>
                <w:sz w:val="18"/>
                <w:szCs w:val="18"/>
              </w:rPr>
            </w:pPr>
            <w:r>
              <w:rPr>
                <w:rFonts w:ascii="宋体"/>
                <w:sz w:val="18"/>
              </w:rPr>
              <w:t>-</w:t>
            </w:r>
          </w:p>
        </w:tc>
        <w:tc>
          <w:tcPr>
            <w:tcW w:w="28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4"/>
              <w:jc w:val="right"/>
              <w:rPr>
                <w:rFonts w:ascii="宋体" w:hAnsi="宋体" w:cs="宋体" w:eastAsia="宋体" w:hint="default"/>
                <w:sz w:val="18"/>
                <w:szCs w:val="18"/>
              </w:rPr>
            </w:pPr>
            <w:r>
              <w:rPr>
                <w:rFonts w:ascii="宋体"/>
                <w:spacing w:val="-1"/>
                <w:sz w:val="18"/>
              </w:rPr>
              <w:t>3,578,132,450.03</w:t>
            </w:r>
          </w:p>
        </w:tc>
      </w:tr>
    </w:tbl>
    <w:p>
      <w:pPr>
        <w:spacing w:line="240" w:lineRule="auto" w:before="7"/>
        <w:rPr>
          <w:rFonts w:ascii="宋体" w:hAnsi="宋体" w:cs="宋体" w:eastAsia="宋体" w:hint="default"/>
          <w:sz w:val="6"/>
          <w:szCs w:val="6"/>
        </w:rPr>
      </w:pPr>
    </w:p>
    <w:p>
      <w:pPr>
        <w:spacing w:before="36"/>
        <w:ind w:left="566" w:right="7673" w:firstLine="0"/>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w:t>
      </w:r>
      <w:r>
        <w:rPr>
          <w:rFonts w:ascii="宋体" w:hAnsi="宋体" w:cs="宋体" w:eastAsia="宋体" w:hint="default"/>
          <w:sz w:val="21"/>
          <w:szCs w:val="21"/>
        </w:rPr>
        <w:t>对子公司投资</w:t>
      </w:r>
      <w:r>
        <w:rPr>
          <w:rFonts w:ascii="宋体" w:hAnsi="宋体" w:cs="宋体" w:eastAsia="宋体" w:hint="default"/>
          <w:sz w:val="21"/>
          <w:szCs w:val="21"/>
        </w:rPr>
        <w:t> </w:t>
      </w:r>
    </w:p>
    <w:p>
      <w:pPr>
        <w:spacing w:line="240" w:lineRule="auto" w:before="6"/>
        <w:rPr>
          <w:rFonts w:ascii="宋体" w:hAnsi="宋体" w:cs="宋体" w:eastAsia="宋体" w:hint="default"/>
          <w:sz w:val="14"/>
          <w:szCs w:val="14"/>
        </w:rPr>
      </w:pPr>
    </w:p>
    <w:tbl>
      <w:tblPr>
        <w:tblW w:w="0" w:type="auto"/>
        <w:jc w:val="left"/>
        <w:tblInd w:w="126" w:type="dxa"/>
        <w:tblLayout w:type="fixed"/>
        <w:tblCellMar>
          <w:top w:w="0" w:type="dxa"/>
          <w:left w:w="0" w:type="dxa"/>
          <w:bottom w:w="0" w:type="dxa"/>
          <w:right w:w="0" w:type="dxa"/>
        </w:tblCellMar>
        <w:tblLook w:val="01E0"/>
      </w:tblPr>
      <w:tblGrid>
        <w:gridCol w:w="1568"/>
        <w:gridCol w:w="1705"/>
        <w:gridCol w:w="670"/>
        <w:gridCol w:w="600"/>
        <w:gridCol w:w="1664"/>
        <w:gridCol w:w="1692"/>
        <w:gridCol w:w="1690"/>
      </w:tblGrid>
      <w:tr>
        <w:trPr>
          <w:trHeight w:val="475" w:hRule="exact"/>
        </w:trPr>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90" w:right="0"/>
              <w:jc w:val="center"/>
              <w:rPr>
                <w:rFonts w:ascii="宋体" w:hAnsi="宋体" w:cs="宋体" w:eastAsia="宋体" w:hint="default"/>
                <w:sz w:val="18"/>
                <w:szCs w:val="18"/>
              </w:rPr>
            </w:pPr>
            <w:r>
              <w:rPr>
                <w:rFonts w:ascii="宋体" w:hAnsi="宋体" w:cs="宋体" w:eastAsia="宋体" w:hint="default"/>
                <w:sz w:val="18"/>
                <w:szCs w:val="18"/>
              </w:rPr>
              <w:t>被投资单位</w:t>
            </w:r>
            <w:r>
              <w:rPr>
                <w:rFonts w:ascii="宋体" w:hAnsi="宋体" w:cs="宋体" w:eastAsia="宋体" w:hint="default"/>
                <w:sz w:val="18"/>
                <w:szCs w:val="18"/>
              </w:rPr>
              <w:t> </w:t>
            </w:r>
          </w:p>
        </w:tc>
        <w:tc>
          <w:tcPr>
            <w:tcW w:w="17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489" w:right="0"/>
              <w:jc w:val="left"/>
              <w:rPr>
                <w:rFonts w:ascii="宋体" w:hAnsi="宋体" w:cs="宋体" w:eastAsia="宋体" w:hint="default"/>
                <w:sz w:val="18"/>
                <w:szCs w:val="18"/>
              </w:rPr>
            </w:pPr>
            <w:r>
              <w:rPr>
                <w:rFonts w:ascii="宋体" w:hAnsi="宋体" w:cs="宋体" w:eastAsia="宋体" w:hint="default"/>
                <w:sz w:val="18"/>
                <w:szCs w:val="18"/>
              </w:rPr>
              <w:t>期初金额</w:t>
            </w:r>
            <w:r>
              <w:rPr>
                <w:rFonts w:ascii="宋体" w:hAnsi="宋体" w:cs="宋体" w:eastAsia="宋体" w:hint="default"/>
                <w:sz w:val="18"/>
                <w:szCs w:val="18"/>
              </w:rPr>
              <w:t> </w:t>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51" w:right="0"/>
              <w:jc w:val="left"/>
              <w:rPr>
                <w:rFonts w:ascii="宋体" w:hAnsi="宋体" w:cs="宋体" w:eastAsia="宋体" w:hint="default"/>
                <w:sz w:val="18"/>
                <w:szCs w:val="18"/>
              </w:rPr>
            </w:pPr>
            <w:r>
              <w:rPr>
                <w:rFonts w:ascii="宋体" w:hAnsi="宋体" w:cs="宋体" w:eastAsia="宋体" w:hint="default"/>
                <w:sz w:val="18"/>
                <w:szCs w:val="18"/>
              </w:rPr>
              <w:t>本期</w:t>
            </w:r>
          </w:p>
          <w:p>
            <w:pPr>
              <w:pStyle w:val="TableParagraph"/>
              <w:spacing w:line="234" w:lineRule="exact"/>
              <w:ind w:left="151" w:right="0"/>
              <w:jc w:val="left"/>
              <w:rPr>
                <w:rFonts w:ascii="宋体" w:hAnsi="宋体" w:cs="宋体" w:eastAsia="宋体" w:hint="default"/>
                <w:sz w:val="18"/>
                <w:szCs w:val="18"/>
              </w:rPr>
            </w:pPr>
            <w:r>
              <w:rPr>
                <w:rFonts w:ascii="宋体" w:hAnsi="宋体" w:cs="宋体" w:eastAsia="宋体" w:hint="default"/>
                <w:sz w:val="18"/>
                <w:szCs w:val="18"/>
              </w:rPr>
              <w:t>增加</w:t>
            </w:r>
            <w:r>
              <w:rPr>
                <w:rFonts w:ascii="宋体" w:hAnsi="宋体" w:cs="宋体" w:eastAsia="宋体" w:hint="default"/>
                <w:sz w:val="18"/>
                <w:szCs w:val="18"/>
              </w:rPr>
              <w:t> </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04" w:lineRule="exact"/>
              <w:ind w:left="115" w:right="0"/>
              <w:jc w:val="left"/>
              <w:rPr>
                <w:rFonts w:ascii="宋体" w:hAnsi="宋体" w:cs="宋体" w:eastAsia="宋体" w:hint="default"/>
                <w:sz w:val="18"/>
                <w:szCs w:val="18"/>
              </w:rPr>
            </w:pPr>
            <w:r>
              <w:rPr>
                <w:rFonts w:ascii="宋体" w:hAnsi="宋体" w:cs="宋体" w:eastAsia="宋体" w:hint="default"/>
                <w:sz w:val="18"/>
                <w:szCs w:val="18"/>
              </w:rPr>
              <w:t>本期</w:t>
            </w:r>
          </w:p>
          <w:p>
            <w:pPr>
              <w:pStyle w:val="TableParagraph"/>
              <w:spacing w:line="234" w:lineRule="exact"/>
              <w:ind w:left="115" w:right="0"/>
              <w:jc w:val="left"/>
              <w:rPr>
                <w:rFonts w:ascii="宋体" w:hAnsi="宋体" w:cs="宋体" w:eastAsia="宋体" w:hint="default"/>
                <w:sz w:val="18"/>
                <w:szCs w:val="18"/>
              </w:rPr>
            </w:pPr>
            <w:r>
              <w:rPr>
                <w:rFonts w:ascii="宋体" w:hAnsi="宋体" w:cs="宋体" w:eastAsia="宋体" w:hint="default"/>
                <w:sz w:val="18"/>
                <w:szCs w:val="18"/>
              </w:rPr>
              <w:t>减少</w:t>
            </w:r>
            <w:r>
              <w:rPr>
                <w:rFonts w:ascii="宋体" w:hAnsi="宋体" w:cs="宋体" w:eastAsia="宋体" w:hint="default"/>
                <w:sz w:val="18"/>
                <w:szCs w:val="18"/>
              </w:rPr>
              <w:t> </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left="465" w:right="0"/>
              <w:jc w:val="left"/>
              <w:rPr>
                <w:rFonts w:ascii="宋体" w:hAnsi="宋体" w:cs="宋体" w:eastAsia="宋体" w:hint="default"/>
                <w:sz w:val="18"/>
                <w:szCs w:val="18"/>
              </w:rPr>
            </w:pPr>
            <w:r>
              <w:rPr>
                <w:rFonts w:ascii="宋体" w:hAnsi="宋体" w:cs="宋体" w:eastAsia="宋体" w:hint="default"/>
                <w:sz w:val="18"/>
                <w:szCs w:val="18"/>
              </w:rPr>
              <w:t>期末金额</w:t>
            </w:r>
            <w:r>
              <w:rPr>
                <w:rFonts w:ascii="宋体" w:hAnsi="宋体" w:cs="宋体" w:eastAsia="宋体" w:hint="default"/>
                <w:sz w:val="18"/>
                <w:szCs w:val="18"/>
              </w:rPr>
              <w:t> </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30"/>
              <w:jc w:val="right"/>
              <w:rPr>
                <w:rFonts w:ascii="宋体" w:hAnsi="宋体" w:cs="宋体" w:eastAsia="宋体" w:hint="default"/>
                <w:sz w:val="18"/>
                <w:szCs w:val="18"/>
              </w:rPr>
            </w:pPr>
            <w:r>
              <w:rPr>
                <w:rFonts w:ascii="宋体" w:hAnsi="宋体" w:cs="宋体" w:eastAsia="宋体" w:hint="default"/>
                <w:sz w:val="18"/>
                <w:szCs w:val="18"/>
              </w:rPr>
              <w:t>本期计提减值准备</w:t>
            </w:r>
            <w:r>
              <w:rPr>
                <w:rFonts w:ascii="宋体" w:hAnsi="宋体" w:cs="宋体" w:eastAsia="宋体" w:hint="default"/>
                <w:sz w:val="18"/>
                <w:szCs w:val="18"/>
              </w:rPr>
              <w:t> </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29"/>
              <w:jc w:val="right"/>
              <w:rPr>
                <w:rFonts w:ascii="宋体" w:hAnsi="宋体" w:cs="宋体" w:eastAsia="宋体" w:hint="default"/>
                <w:sz w:val="18"/>
                <w:szCs w:val="18"/>
              </w:rPr>
            </w:pPr>
            <w:r>
              <w:rPr>
                <w:rFonts w:ascii="宋体" w:hAnsi="宋体" w:cs="宋体" w:eastAsia="宋体" w:hint="default"/>
                <w:sz w:val="18"/>
                <w:szCs w:val="18"/>
              </w:rPr>
              <w:t>减值准备期末余额</w:t>
            </w:r>
            <w:r>
              <w:rPr>
                <w:rFonts w:ascii="宋体" w:hAnsi="宋体" w:cs="宋体" w:eastAsia="宋体" w:hint="default"/>
                <w:sz w:val="18"/>
                <w:szCs w:val="18"/>
              </w:rPr>
              <w:t> </w:t>
            </w:r>
          </w:p>
        </w:tc>
      </w:tr>
      <w:tr>
        <w:trPr>
          <w:trHeight w:val="631" w:hRule="exact"/>
        </w:trPr>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3"/>
              <w:ind w:left="103" w:right="104"/>
              <w:jc w:val="left"/>
              <w:rPr>
                <w:rFonts w:ascii="宋体" w:hAnsi="宋体" w:cs="宋体" w:eastAsia="宋体" w:hint="default"/>
                <w:sz w:val="18"/>
                <w:szCs w:val="18"/>
              </w:rPr>
            </w:pPr>
            <w:r>
              <w:rPr>
                <w:rFonts w:ascii="宋体" w:hAnsi="宋体" w:cs="宋体" w:eastAsia="宋体" w:hint="default"/>
                <w:spacing w:val="12"/>
                <w:sz w:val="18"/>
                <w:szCs w:val="18"/>
              </w:rPr>
              <w:t>北京创世漫道科</w:t>
            </w:r>
            <w:r>
              <w:rPr>
                <w:rFonts w:ascii="宋体" w:hAnsi="宋体" w:cs="宋体" w:eastAsia="宋体" w:hint="default"/>
                <w:sz w:val="18"/>
                <w:szCs w:val="18"/>
              </w:rPr>
              <w:t> 技有限公司</w:t>
            </w:r>
            <w:r>
              <w:rPr>
                <w:rFonts w:ascii="宋体" w:hAnsi="宋体" w:cs="宋体" w:eastAsia="宋体" w:hint="default"/>
                <w:sz w:val="18"/>
                <w:szCs w:val="18"/>
              </w:rPr>
              <w:t> </w:t>
            </w:r>
          </w:p>
        </w:tc>
        <w:tc>
          <w:tcPr>
            <w:tcW w:w="17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8"/>
              <w:jc w:val="right"/>
              <w:rPr>
                <w:rFonts w:ascii="宋体" w:hAnsi="宋体" w:cs="宋体" w:eastAsia="宋体" w:hint="default"/>
                <w:sz w:val="18"/>
                <w:szCs w:val="18"/>
              </w:rPr>
            </w:pPr>
            <w:r>
              <w:rPr>
                <w:rFonts w:ascii="宋体"/>
                <w:spacing w:val="-1"/>
                <w:sz w:val="18"/>
              </w:rPr>
              <w:t>898,000,000.00 </w:t>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8"/>
              <w:jc w:val="right"/>
              <w:rPr>
                <w:rFonts w:ascii="宋体" w:hAnsi="宋体" w:cs="宋体" w:eastAsia="宋体" w:hint="default"/>
                <w:sz w:val="18"/>
                <w:szCs w:val="18"/>
              </w:rPr>
            </w:pPr>
            <w:r>
              <w:rPr>
                <w:rFonts w:ascii="宋体"/>
                <w:sz w:val="18"/>
              </w:rPr>
              <w:t>- </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1"/>
              <w:jc w:val="right"/>
              <w:rPr>
                <w:rFonts w:ascii="宋体" w:hAnsi="宋体" w:cs="宋体" w:eastAsia="宋体" w:hint="default"/>
                <w:sz w:val="18"/>
                <w:szCs w:val="18"/>
              </w:rPr>
            </w:pPr>
            <w:r>
              <w:rPr>
                <w:rFonts w:ascii="宋体"/>
                <w:sz w:val="18"/>
              </w:rPr>
              <w:t>- </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898,000,000.00 </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2"/>
              <w:jc w:val="right"/>
              <w:rPr>
                <w:rFonts w:ascii="宋体" w:hAnsi="宋体" w:cs="宋体" w:eastAsia="宋体" w:hint="default"/>
                <w:sz w:val="18"/>
                <w:szCs w:val="18"/>
              </w:rPr>
            </w:pPr>
            <w:r>
              <w:rPr>
                <w:rFonts w:ascii="宋体"/>
                <w:spacing w:val="-1"/>
                <w:sz w:val="18"/>
              </w:rPr>
              <w:t>189,460,000.00</w:t>
            </w:r>
            <w:r>
              <w:rPr>
                <w:rFonts w:ascii="宋体"/>
                <w:sz w:val="18"/>
              </w:rPr>
              <w:t> </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0"/>
              <w:jc w:val="right"/>
              <w:rPr>
                <w:rFonts w:ascii="宋体" w:hAnsi="宋体" w:cs="宋体" w:eastAsia="宋体" w:hint="default"/>
                <w:sz w:val="18"/>
                <w:szCs w:val="18"/>
              </w:rPr>
            </w:pPr>
            <w:r>
              <w:rPr>
                <w:rFonts w:ascii="宋体"/>
                <w:spacing w:val="-1"/>
                <w:sz w:val="18"/>
              </w:rPr>
              <w:t>189,460,000.00</w:t>
            </w:r>
            <w:r>
              <w:rPr>
                <w:rFonts w:ascii="宋体"/>
                <w:sz w:val="18"/>
              </w:rPr>
              <w:t> </w:t>
            </w:r>
          </w:p>
        </w:tc>
      </w:tr>
      <w:tr>
        <w:trPr>
          <w:trHeight w:val="641" w:hRule="exact"/>
        </w:trPr>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103" w:right="104"/>
              <w:jc w:val="left"/>
              <w:rPr>
                <w:rFonts w:ascii="宋体" w:hAnsi="宋体" w:cs="宋体" w:eastAsia="宋体" w:hint="default"/>
                <w:sz w:val="18"/>
                <w:szCs w:val="18"/>
              </w:rPr>
            </w:pPr>
            <w:r>
              <w:rPr>
                <w:rFonts w:ascii="宋体" w:hAnsi="宋体" w:cs="宋体" w:eastAsia="宋体" w:hint="default"/>
                <w:spacing w:val="12"/>
                <w:sz w:val="18"/>
                <w:szCs w:val="18"/>
              </w:rPr>
              <w:t>广东长实通信科</w:t>
            </w:r>
            <w:r>
              <w:rPr>
                <w:rFonts w:ascii="宋体" w:hAnsi="宋体" w:cs="宋体" w:eastAsia="宋体" w:hint="default"/>
                <w:sz w:val="18"/>
                <w:szCs w:val="18"/>
              </w:rPr>
              <w:t> 技有限公司</w:t>
            </w:r>
            <w:r>
              <w:rPr>
                <w:rFonts w:ascii="宋体" w:hAnsi="宋体" w:cs="宋体" w:eastAsia="宋体" w:hint="default"/>
                <w:sz w:val="18"/>
                <w:szCs w:val="18"/>
              </w:rPr>
              <w:t> </w:t>
            </w:r>
          </w:p>
        </w:tc>
        <w:tc>
          <w:tcPr>
            <w:tcW w:w="17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8"/>
              <w:jc w:val="right"/>
              <w:rPr>
                <w:rFonts w:ascii="宋体" w:hAnsi="宋体" w:cs="宋体" w:eastAsia="宋体" w:hint="default"/>
                <w:sz w:val="18"/>
                <w:szCs w:val="18"/>
              </w:rPr>
            </w:pPr>
            <w:r>
              <w:rPr>
                <w:rFonts w:ascii="宋体"/>
                <w:spacing w:val="-1"/>
                <w:sz w:val="18"/>
              </w:rPr>
              <w:t>1,200,000,000.00 </w:t>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8"/>
              <w:jc w:val="right"/>
              <w:rPr>
                <w:rFonts w:ascii="宋体" w:hAnsi="宋体" w:cs="宋体" w:eastAsia="宋体" w:hint="default"/>
                <w:sz w:val="18"/>
                <w:szCs w:val="18"/>
              </w:rPr>
            </w:pPr>
            <w:r>
              <w:rPr>
                <w:rFonts w:ascii="宋体"/>
                <w:sz w:val="18"/>
              </w:rPr>
              <w:t>- </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1"/>
              <w:jc w:val="right"/>
              <w:rPr>
                <w:rFonts w:ascii="宋体" w:hAnsi="宋体" w:cs="宋体" w:eastAsia="宋体" w:hint="default"/>
                <w:sz w:val="18"/>
                <w:szCs w:val="18"/>
              </w:rPr>
            </w:pPr>
            <w:r>
              <w:rPr>
                <w:rFonts w:ascii="宋体"/>
                <w:sz w:val="18"/>
              </w:rPr>
              <w:t>- </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1,200,000,000.00 </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2"/>
              <w:jc w:val="right"/>
              <w:rPr>
                <w:rFonts w:ascii="宋体" w:hAnsi="宋体" w:cs="宋体" w:eastAsia="宋体" w:hint="default"/>
                <w:sz w:val="18"/>
                <w:szCs w:val="18"/>
              </w:rPr>
            </w:pPr>
            <w:r>
              <w:rPr>
                <w:rFonts w:ascii="宋体"/>
                <w:spacing w:val="-1"/>
                <w:sz w:val="18"/>
              </w:rPr>
              <w:t>681,200,000.00</w:t>
            </w:r>
            <w:r>
              <w:rPr>
                <w:rFonts w:ascii="宋体"/>
                <w:sz w:val="18"/>
              </w:rPr>
              <w:t> </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0"/>
              <w:jc w:val="right"/>
              <w:rPr>
                <w:rFonts w:ascii="宋体" w:hAnsi="宋体" w:cs="宋体" w:eastAsia="宋体" w:hint="default"/>
                <w:sz w:val="18"/>
                <w:szCs w:val="18"/>
              </w:rPr>
            </w:pPr>
            <w:r>
              <w:rPr>
                <w:rFonts w:ascii="宋体"/>
                <w:spacing w:val="-1"/>
                <w:sz w:val="18"/>
              </w:rPr>
              <w:t>681,200,000.00</w:t>
            </w:r>
            <w:r>
              <w:rPr>
                <w:rFonts w:ascii="宋体"/>
                <w:sz w:val="18"/>
              </w:rPr>
              <w:t> </w:t>
            </w:r>
          </w:p>
        </w:tc>
      </w:tr>
      <w:tr>
        <w:trPr>
          <w:trHeight w:val="655" w:hRule="exact"/>
        </w:trPr>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2"/>
              <w:jc w:val="left"/>
              <w:rPr>
                <w:rFonts w:ascii="宋体" w:hAnsi="宋体" w:cs="宋体" w:eastAsia="宋体" w:hint="default"/>
                <w:sz w:val="18"/>
                <w:szCs w:val="18"/>
              </w:rPr>
            </w:pPr>
            <w:r>
              <w:rPr>
                <w:rFonts w:ascii="宋体" w:hAnsi="宋体" w:cs="宋体" w:eastAsia="宋体" w:hint="default"/>
                <w:spacing w:val="12"/>
                <w:sz w:val="18"/>
                <w:szCs w:val="18"/>
              </w:rPr>
              <w:t>北京中天嘉华信</w:t>
            </w:r>
            <w:r>
              <w:rPr>
                <w:rFonts w:ascii="宋体" w:hAnsi="宋体" w:cs="宋体" w:eastAsia="宋体" w:hint="default"/>
                <w:sz w:val="18"/>
                <w:szCs w:val="18"/>
              </w:rPr>
              <w:t> 息技术有限公司</w:t>
            </w:r>
            <w:r>
              <w:rPr>
                <w:rFonts w:ascii="宋体" w:hAnsi="宋体" w:cs="宋体" w:eastAsia="宋体" w:hint="default"/>
                <w:sz w:val="18"/>
                <w:szCs w:val="18"/>
              </w:rPr>
              <w:t> </w:t>
            </w:r>
          </w:p>
        </w:tc>
        <w:tc>
          <w:tcPr>
            <w:tcW w:w="17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8"/>
              <w:jc w:val="right"/>
              <w:rPr>
                <w:rFonts w:ascii="宋体" w:hAnsi="宋体" w:cs="宋体" w:eastAsia="宋体" w:hint="default"/>
                <w:sz w:val="18"/>
                <w:szCs w:val="18"/>
              </w:rPr>
            </w:pPr>
            <w:r>
              <w:rPr>
                <w:rFonts w:ascii="宋体"/>
                <w:spacing w:val="-1"/>
                <w:sz w:val="18"/>
              </w:rPr>
              <w:t>1,480,000,000.00 </w:t>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8"/>
              <w:jc w:val="right"/>
              <w:rPr>
                <w:rFonts w:ascii="宋体" w:hAnsi="宋体" w:cs="宋体" w:eastAsia="宋体" w:hint="default"/>
                <w:sz w:val="18"/>
                <w:szCs w:val="18"/>
              </w:rPr>
            </w:pPr>
            <w:r>
              <w:rPr>
                <w:rFonts w:ascii="宋体"/>
                <w:sz w:val="18"/>
              </w:rPr>
              <w:t>- </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11"/>
              <w:jc w:val="right"/>
              <w:rPr>
                <w:rFonts w:ascii="宋体" w:hAnsi="宋体" w:cs="宋体" w:eastAsia="宋体" w:hint="default"/>
                <w:sz w:val="18"/>
                <w:szCs w:val="18"/>
              </w:rPr>
            </w:pPr>
            <w:r>
              <w:rPr>
                <w:rFonts w:ascii="宋体"/>
                <w:sz w:val="18"/>
              </w:rPr>
              <w:t>- </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11"/>
              <w:jc w:val="right"/>
              <w:rPr>
                <w:rFonts w:ascii="宋体" w:hAnsi="宋体" w:cs="宋体" w:eastAsia="宋体" w:hint="default"/>
                <w:sz w:val="18"/>
                <w:szCs w:val="18"/>
              </w:rPr>
            </w:pPr>
            <w:r>
              <w:rPr>
                <w:rFonts w:ascii="宋体"/>
                <w:spacing w:val="-1"/>
                <w:sz w:val="18"/>
              </w:rPr>
              <w:t>1,480,000,000.00 </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11"/>
              <w:jc w:val="right"/>
              <w:rPr>
                <w:rFonts w:ascii="宋体" w:hAnsi="宋体" w:cs="宋体" w:eastAsia="宋体" w:hint="default"/>
                <w:sz w:val="18"/>
                <w:szCs w:val="18"/>
              </w:rPr>
            </w:pPr>
            <w:r>
              <w:rPr>
                <w:rFonts w:ascii="宋体"/>
                <w:sz w:val="18"/>
              </w:rPr>
              <w:t>- </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8"/>
              <w:jc w:val="right"/>
              <w:rPr>
                <w:rFonts w:ascii="宋体" w:hAnsi="宋体" w:cs="宋体" w:eastAsia="宋体" w:hint="default"/>
                <w:sz w:val="18"/>
                <w:szCs w:val="18"/>
              </w:rPr>
            </w:pPr>
            <w:r>
              <w:rPr>
                <w:rFonts w:ascii="宋体"/>
                <w:sz w:val="18"/>
              </w:rPr>
              <w:t>- </w:t>
            </w:r>
          </w:p>
        </w:tc>
      </w:tr>
      <w:tr>
        <w:trPr>
          <w:trHeight w:val="324" w:hRule="exact"/>
        </w:trPr>
        <w:tc>
          <w:tcPr>
            <w:tcW w:w="15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88"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17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8"/>
              <w:jc w:val="right"/>
              <w:rPr>
                <w:rFonts w:ascii="宋体" w:hAnsi="宋体" w:cs="宋体" w:eastAsia="宋体" w:hint="default"/>
                <w:sz w:val="18"/>
                <w:szCs w:val="18"/>
              </w:rPr>
            </w:pPr>
            <w:r>
              <w:rPr>
                <w:rFonts w:ascii="宋体"/>
                <w:spacing w:val="-1"/>
                <w:sz w:val="18"/>
              </w:rPr>
              <w:t>3,578,000,000.00 </w:t>
            </w:r>
          </w:p>
        </w:tc>
        <w:tc>
          <w:tcPr>
            <w:tcW w:w="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
              <w:jc w:val="right"/>
              <w:rPr>
                <w:rFonts w:ascii="宋体" w:hAnsi="宋体" w:cs="宋体" w:eastAsia="宋体" w:hint="default"/>
                <w:sz w:val="18"/>
                <w:szCs w:val="18"/>
              </w:rPr>
            </w:pPr>
            <w:r>
              <w:rPr>
                <w:rFonts w:ascii="宋体"/>
                <w:sz w:val="18"/>
              </w:rPr>
              <w:t>- </w:t>
            </w:r>
          </w:p>
        </w:tc>
        <w:tc>
          <w:tcPr>
            <w:tcW w:w="6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1"/>
              <w:jc w:val="right"/>
              <w:rPr>
                <w:rFonts w:ascii="宋体" w:hAnsi="宋体" w:cs="宋体" w:eastAsia="宋体" w:hint="default"/>
                <w:sz w:val="18"/>
                <w:szCs w:val="18"/>
              </w:rPr>
            </w:pPr>
            <w:r>
              <w:rPr>
                <w:rFonts w:ascii="宋体"/>
                <w:sz w:val="18"/>
              </w:rPr>
              <w:t>- </w:t>
            </w:r>
          </w:p>
        </w:tc>
        <w:tc>
          <w:tcPr>
            <w:tcW w:w="1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11"/>
              <w:jc w:val="right"/>
              <w:rPr>
                <w:rFonts w:ascii="宋体" w:hAnsi="宋体" w:cs="宋体" w:eastAsia="宋体" w:hint="default"/>
                <w:sz w:val="18"/>
                <w:szCs w:val="18"/>
              </w:rPr>
            </w:pPr>
            <w:r>
              <w:rPr>
                <w:rFonts w:ascii="宋体"/>
                <w:spacing w:val="-1"/>
                <w:sz w:val="18"/>
              </w:rPr>
              <w:t>3,578,000,000.00 </w:t>
            </w:r>
          </w:p>
        </w:tc>
        <w:tc>
          <w:tcPr>
            <w:tcW w:w="16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2"/>
              <w:jc w:val="right"/>
              <w:rPr>
                <w:rFonts w:ascii="宋体" w:hAnsi="宋体" w:cs="宋体" w:eastAsia="宋体" w:hint="default"/>
                <w:sz w:val="18"/>
                <w:szCs w:val="18"/>
              </w:rPr>
            </w:pPr>
            <w:r>
              <w:rPr>
                <w:rFonts w:ascii="宋体"/>
                <w:spacing w:val="-1"/>
                <w:sz w:val="18"/>
              </w:rPr>
              <w:t>870,660,000.00</w:t>
            </w:r>
            <w:r>
              <w:rPr>
                <w:rFonts w:ascii="宋体"/>
                <w:sz w:val="18"/>
              </w:rPr>
              <w:t> </w:t>
            </w:r>
          </w:p>
        </w:tc>
        <w:tc>
          <w:tcPr>
            <w:tcW w:w="16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10"/>
              <w:jc w:val="right"/>
              <w:rPr>
                <w:rFonts w:ascii="宋体" w:hAnsi="宋体" w:cs="宋体" w:eastAsia="宋体" w:hint="default"/>
                <w:sz w:val="18"/>
                <w:szCs w:val="18"/>
              </w:rPr>
            </w:pPr>
            <w:r>
              <w:rPr>
                <w:rFonts w:ascii="宋体"/>
                <w:spacing w:val="-1"/>
                <w:sz w:val="18"/>
              </w:rPr>
              <w:t>870,660,000.00</w:t>
            </w:r>
            <w:r>
              <w:rPr>
                <w:rFonts w:ascii="宋体"/>
                <w:sz w:val="18"/>
              </w:rPr>
              <w:t> </w:t>
            </w:r>
          </w:p>
        </w:tc>
      </w:tr>
    </w:tbl>
    <w:p>
      <w:pPr>
        <w:spacing w:line="240" w:lineRule="auto" w:before="7"/>
        <w:rPr>
          <w:rFonts w:ascii="宋体" w:hAnsi="宋体" w:cs="宋体" w:eastAsia="宋体" w:hint="default"/>
          <w:sz w:val="6"/>
          <w:szCs w:val="6"/>
        </w:rPr>
      </w:pPr>
    </w:p>
    <w:p>
      <w:pPr>
        <w:pStyle w:val="BodyText"/>
        <w:spacing w:line="240" w:lineRule="auto" w:before="36"/>
        <w:ind w:left="566" w:right="7673"/>
        <w:jc w:val="left"/>
        <w:rPr>
          <w:rFonts w:ascii="宋体" w:hAnsi="宋体" w:cs="宋体" w:eastAsia="宋体" w:hint="default"/>
        </w:rPr>
      </w:pPr>
      <w:r>
        <w:rPr>
          <w:rFonts w:ascii="宋体" w:hAnsi="宋体" w:cs="宋体" w:eastAsia="宋体" w:hint="default"/>
          <w:b/>
          <w:bCs/>
        </w:rPr>
        <w:t>2</w:t>
      </w:r>
      <w:r>
        <w:rPr>
          <w:rFonts w:ascii="宋体" w:hAnsi="宋体" w:cs="宋体" w:eastAsia="宋体" w:hint="default"/>
          <w:b/>
          <w:bCs/>
        </w:rPr>
        <w:t>、</w:t>
      </w:r>
      <w:r>
        <w:rPr/>
        <w:t>对联营企业投资</w:t>
      </w:r>
      <w:r>
        <w:rPr>
          <w:rFonts w:ascii="宋体" w:hAnsi="宋体" w:cs="宋体" w:eastAsia="宋体" w:hint="default"/>
        </w:rPr>
        <w:t> </w:t>
      </w:r>
    </w:p>
    <w:p>
      <w:pPr>
        <w:spacing w:line="240" w:lineRule="auto" w:before="3"/>
        <w:rPr>
          <w:rFonts w:ascii="宋体" w:hAnsi="宋体" w:cs="宋体" w:eastAsia="宋体" w:hint="default"/>
          <w:sz w:val="14"/>
          <w:szCs w:val="14"/>
        </w:rPr>
      </w:pPr>
    </w:p>
    <w:tbl>
      <w:tblPr>
        <w:tblW w:w="0" w:type="auto"/>
        <w:jc w:val="left"/>
        <w:tblInd w:w="126" w:type="dxa"/>
        <w:tblLayout w:type="fixed"/>
        <w:tblCellMar>
          <w:top w:w="0" w:type="dxa"/>
          <w:left w:w="0" w:type="dxa"/>
          <w:bottom w:w="0" w:type="dxa"/>
          <w:right w:w="0" w:type="dxa"/>
        </w:tblCellMar>
        <w:tblLook w:val="01E0"/>
      </w:tblPr>
      <w:tblGrid>
        <w:gridCol w:w="4268"/>
        <w:gridCol w:w="2674"/>
        <w:gridCol w:w="2660"/>
      </w:tblGrid>
      <w:tr>
        <w:trPr>
          <w:trHeight w:val="398"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7" w:right="0"/>
              <w:jc w:val="center"/>
              <w:rPr>
                <w:rFonts w:ascii="宋体" w:hAnsi="宋体" w:cs="宋体" w:eastAsia="宋体" w:hint="default"/>
                <w:sz w:val="18"/>
                <w:szCs w:val="18"/>
              </w:rPr>
            </w:pPr>
            <w:r>
              <w:rPr>
                <w:rFonts w:ascii="宋体" w:hAnsi="宋体" w:cs="宋体" w:eastAsia="宋体" w:hint="default"/>
                <w:sz w:val="18"/>
                <w:szCs w:val="18"/>
              </w:rPr>
              <w:t>被投资单位</w:t>
            </w:r>
            <w:r>
              <w:rPr>
                <w:rFonts w:ascii="宋体" w:hAnsi="宋体" w:cs="宋体" w:eastAsia="宋体" w:hint="default"/>
                <w:sz w:val="18"/>
                <w:szCs w:val="18"/>
              </w:rPr>
              <w:t> </w:t>
            </w:r>
          </w:p>
        </w:tc>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794" w:right="0"/>
              <w:jc w:val="left"/>
              <w:rPr>
                <w:rFonts w:ascii="宋体" w:hAnsi="宋体" w:cs="宋体" w:eastAsia="宋体" w:hint="default"/>
                <w:sz w:val="18"/>
                <w:szCs w:val="18"/>
              </w:rPr>
            </w:pPr>
            <w:r>
              <w:rPr>
                <w:rFonts w:ascii="宋体" w:hAnsi="宋体" w:cs="宋体" w:eastAsia="宋体" w:hint="default"/>
                <w:sz w:val="18"/>
                <w:szCs w:val="18"/>
              </w:rPr>
              <w:t>初始投资成本</w:t>
            </w:r>
            <w:r>
              <w:rPr>
                <w:rFonts w:ascii="宋体" w:hAnsi="宋体" w:cs="宋体" w:eastAsia="宋体" w:hint="default"/>
                <w:sz w:val="18"/>
                <w:szCs w:val="18"/>
              </w:rPr>
              <w:t> </w:t>
            </w:r>
          </w:p>
        </w:tc>
        <w:tc>
          <w:tcPr>
            <w:tcW w:w="2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964"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宋体" w:hAnsi="宋体" w:cs="宋体" w:eastAsia="宋体" w:hint="default"/>
                <w:sz w:val="18"/>
                <w:szCs w:val="18"/>
              </w:rPr>
              <w:t> </w:t>
            </w:r>
          </w:p>
        </w:tc>
      </w:tr>
      <w:tr>
        <w:trPr>
          <w:trHeight w:val="396"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河北雄安泽兴股权投资基金（有限合伙）</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8"/>
              <w:jc w:val="right"/>
              <w:rPr>
                <w:rFonts w:ascii="宋体" w:hAnsi="宋体" w:cs="宋体" w:eastAsia="宋体" w:hint="default"/>
                <w:sz w:val="18"/>
                <w:szCs w:val="18"/>
              </w:rPr>
            </w:pPr>
            <w:r>
              <w:rPr>
                <w:rFonts w:ascii="宋体"/>
                <w:spacing w:val="-1"/>
                <w:sz w:val="18"/>
              </w:rPr>
              <w:t>1,000,000.00</w:t>
            </w:r>
            <w:r>
              <w:rPr>
                <w:rFonts w:ascii="宋体"/>
                <w:sz w:val="18"/>
              </w:rPr>
              <w:t> </w:t>
            </w:r>
          </w:p>
        </w:tc>
        <w:tc>
          <w:tcPr>
            <w:tcW w:w="2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2"/>
              <w:jc w:val="right"/>
              <w:rPr>
                <w:rFonts w:ascii="宋体" w:hAnsi="宋体" w:cs="宋体" w:eastAsia="宋体" w:hint="default"/>
                <w:sz w:val="18"/>
                <w:szCs w:val="18"/>
              </w:rPr>
            </w:pPr>
            <w:r>
              <w:rPr>
                <w:rFonts w:ascii="宋体"/>
                <w:spacing w:val="-1"/>
                <w:sz w:val="18"/>
              </w:rPr>
              <w:t>132,450.03</w:t>
            </w:r>
            <w:r>
              <w:rPr>
                <w:rFonts w:ascii="宋体"/>
                <w:sz w:val="18"/>
              </w:rPr>
              <w:t> </w:t>
            </w:r>
          </w:p>
        </w:tc>
      </w:tr>
      <w:tr>
        <w:trPr>
          <w:trHeight w:val="398" w:hRule="exact"/>
        </w:trPr>
        <w:tc>
          <w:tcPr>
            <w:tcW w:w="4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9"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26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1,000,000.00</w:t>
            </w:r>
            <w:r>
              <w:rPr>
                <w:rFonts w:ascii="宋体"/>
                <w:sz w:val="18"/>
              </w:rPr>
              <w:t> </w:t>
            </w:r>
          </w:p>
        </w:tc>
        <w:tc>
          <w:tcPr>
            <w:tcW w:w="26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132,450.03</w:t>
            </w:r>
            <w:r>
              <w:rPr>
                <w:rFonts w:ascii="宋体"/>
                <w:sz w:val="18"/>
              </w:rPr>
              <w:t> </w:t>
            </w:r>
          </w:p>
        </w:tc>
      </w:tr>
    </w:tbl>
    <w:p>
      <w:pPr>
        <w:spacing w:line="240" w:lineRule="auto" w:before="7"/>
        <w:rPr>
          <w:rFonts w:ascii="宋体" w:hAnsi="宋体" w:cs="宋体" w:eastAsia="宋体" w:hint="default"/>
          <w:sz w:val="6"/>
          <w:szCs w:val="6"/>
        </w:rPr>
      </w:pPr>
    </w:p>
    <w:p>
      <w:pPr>
        <w:pStyle w:val="BodyText"/>
        <w:spacing w:line="240" w:lineRule="auto" w:before="36"/>
        <w:ind w:left="563" w:right="7673"/>
        <w:jc w:val="left"/>
        <w:rPr>
          <w:rFonts w:ascii="宋体" w:hAnsi="宋体" w:cs="宋体" w:eastAsia="宋体" w:hint="default"/>
        </w:rPr>
      </w:pPr>
      <w:r>
        <w:rPr/>
        <w:t>续表</w:t>
      </w:r>
      <w:r>
        <w:rPr>
          <w:spacing w:val="-50"/>
        </w:rPr>
        <w:t> </w:t>
      </w:r>
      <w:r>
        <w:rPr>
          <w:rFonts w:ascii="宋体" w:hAnsi="宋体" w:cs="宋体" w:eastAsia="宋体" w:hint="default"/>
          <w:spacing w:val="-3"/>
        </w:rPr>
        <w:t>1</w:t>
      </w:r>
      <w:r>
        <w:rPr>
          <w:rFonts w:ascii="宋体" w:hAnsi="宋体" w:cs="宋体" w:eastAsia="宋体" w:hint="default"/>
        </w:rPr>
        <w:t> </w:t>
      </w:r>
    </w:p>
    <w:p>
      <w:pPr>
        <w:spacing w:line="240" w:lineRule="auto" w:before="3"/>
        <w:rPr>
          <w:rFonts w:ascii="宋体" w:hAnsi="宋体" w:cs="宋体" w:eastAsia="宋体" w:hint="default"/>
          <w:sz w:val="14"/>
          <w:szCs w:val="14"/>
        </w:rPr>
      </w:pPr>
    </w:p>
    <w:tbl>
      <w:tblPr>
        <w:tblW w:w="0" w:type="auto"/>
        <w:jc w:val="left"/>
        <w:tblInd w:w="150" w:type="dxa"/>
        <w:tblLayout w:type="fixed"/>
        <w:tblCellMar>
          <w:top w:w="0" w:type="dxa"/>
          <w:left w:w="0" w:type="dxa"/>
          <w:bottom w:w="0" w:type="dxa"/>
          <w:right w:w="0" w:type="dxa"/>
        </w:tblCellMar>
        <w:tblLook w:val="01E0"/>
      </w:tblPr>
      <w:tblGrid>
        <w:gridCol w:w="1971"/>
        <w:gridCol w:w="1241"/>
        <w:gridCol w:w="1001"/>
        <w:gridCol w:w="1637"/>
        <w:gridCol w:w="1200"/>
        <w:gridCol w:w="1078"/>
        <w:gridCol w:w="1445"/>
      </w:tblGrid>
      <w:tr>
        <w:trPr>
          <w:trHeight w:val="624" w:hRule="exact"/>
        </w:trPr>
        <w:tc>
          <w:tcPr>
            <w:tcW w:w="1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90" w:right="0"/>
              <w:jc w:val="center"/>
              <w:rPr>
                <w:rFonts w:ascii="宋体" w:hAnsi="宋体" w:cs="宋体" w:eastAsia="宋体" w:hint="default"/>
                <w:sz w:val="18"/>
                <w:szCs w:val="18"/>
              </w:rPr>
            </w:pPr>
            <w:r>
              <w:rPr>
                <w:rFonts w:ascii="宋体" w:hAnsi="宋体" w:cs="宋体" w:eastAsia="宋体" w:hint="default"/>
                <w:sz w:val="18"/>
                <w:szCs w:val="18"/>
              </w:rPr>
              <w:t>被投资单位</w:t>
            </w:r>
            <w:r>
              <w:rPr>
                <w:rFonts w:ascii="宋体" w:hAnsi="宋体" w:cs="宋体" w:eastAsia="宋体" w:hint="default"/>
                <w:sz w:val="18"/>
                <w:szCs w:val="18"/>
              </w:rPr>
              <w:t> </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left="256" w:right="0"/>
              <w:jc w:val="left"/>
              <w:rPr>
                <w:rFonts w:ascii="宋体" w:hAnsi="宋体" w:cs="宋体" w:eastAsia="宋体" w:hint="default"/>
                <w:sz w:val="18"/>
                <w:szCs w:val="18"/>
              </w:rPr>
            </w:pPr>
            <w:r>
              <w:rPr>
                <w:rFonts w:ascii="宋体" w:hAnsi="宋体" w:cs="宋体" w:eastAsia="宋体" w:hint="default"/>
                <w:sz w:val="18"/>
                <w:szCs w:val="18"/>
              </w:rPr>
              <w:t>追加投资</w:t>
            </w:r>
            <w:r>
              <w:rPr>
                <w:rFonts w:ascii="宋体" w:hAnsi="宋体" w:cs="宋体" w:eastAsia="宋体" w:hint="default"/>
                <w:sz w:val="18"/>
                <w:szCs w:val="18"/>
              </w:rPr>
              <w:t> </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right="42"/>
              <w:jc w:val="right"/>
              <w:rPr>
                <w:rFonts w:ascii="宋体" w:hAnsi="宋体" w:cs="宋体" w:eastAsia="宋体" w:hint="default"/>
                <w:sz w:val="18"/>
                <w:szCs w:val="18"/>
              </w:rPr>
            </w:pPr>
            <w:r>
              <w:rPr>
                <w:rFonts w:ascii="宋体" w:hAnsi="宋体" w:cs="宋体" w:eastAsia="宋体" w:hint="default"/>
                <w:sz w:val="18"/>
                <w:szCs w:val="18"/>
              </w:rPr>
              <w:t>减少投资</w:t>
            </w:r>
            <w:r>
              <w:rPr>
                <w:rFonts w:ascii="宋体" w:hAnsi="宋体" w:cs="宋体" w:eastAsia="宋体" w:hint="default"/>
                <w:sz w:val="18"/>
                <w:szCs w:val="18"/>
              </w:rPr>
              <w:t> </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455" w:right="180" w:hanging="272"/>
              <w:jc w:val="left"/>
              <w:rPr>
                <w:rFonts w:ascii="宋体" w:hAnsi="宋体" w:cs="宋体" w:eastAsia="宋体" w:hint="default"/>
                <w:sz w:val="18"/>
                <w:szCs w:val="18"/>
              </w:rPr>
            </w:pPr>
            <w:r>
              <w:rPr>
                <w:rFonts w:ascii="宋体" w:hAnsi="宋体" w:cs="宋体" w:eastAsia="宋体" w:hint="default"/>
                <w:sz w:val="18"/>
                <w:szCs w:val="18"/>
              </w:rPr>
              <w:t>权益法下确认的 投资损益</w:t>
            </w:r>
            <w:r>
              <w:rPr>
                <w:rFonts w:ascii="宋体" w:hAnsi="宋体" w:cs="宋体" w:eastAsia="宋体" w:hint="default"/>
                <w:sz w:val="18"/>
                <w:szCs w:val="18"/>
              </w:rPr>
              <w:t> </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324" w:right="144" w:hanging="180"/>
              <w:jc w:val="left"/>
              <w:rPr>
                <w:rFonts w:ascii="宋体" w:hAnsi="宋体" w:cs="宋体" w:eastAsia="宋体" w:hint="default"/>
                <w:sz w:val="18"/>
                <w:szCs w:val="18"/>
              </w:rPr>
            </w:pPr>
            <w:r>
              <w:rPr>
                <w:rFonts w:ascii="宋体" w:hAnsi="宋体" w:cs="宋体" w:eastAsia="宋体" w:hint="default"/>
                <w:sz w:val="18"/>
                <w:szCs w:val="18"/>
              </w:rPr>
              <w:t>其他综合收 益调整</w:t>
            </w:r>
            <w:r>
              <w:rPr>
                <w:rFonts w:ascii="宋体" w:hAnsi="宋体" w:cs="宋体" w:eastAsia="宋体" w:hint="default"/>
                <w:sz w:val="18"/>
                <w:szCs w:val="18"/>
              </w:rPr>
              <w:t> </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352" w:right="173" w:hanging="180"/>
              <w:jc w:val="left"/>
              <w:rPr>
                <w:rFonts w:ascii="宋体" w:hAnsi="宋体" w:cs="宋体" w:eastAsia="宋体" w:hint="default"/>
                <w:sz w:val="18"/>
                <w:szCs w:val="18"/>
              </w:rPr>
            </w:pPr>
            <w:r>
              <w:rPr>
                <w:rFonts w:ascii="宋体" w:hAnsi="宋体" w:cs="宋体" w:eastAsia="宋体" w:hint="default"/>
                <w:sz w:val="18"/>
                <w:szCs w:val="18"/>
              </w:rPr>
              <w:t>其他权益 变动</w:t>
            </w:r>
            <w:r>
              <w:rPr>
                <w:rFonts w:ascii="宋体" w:hAnsi="宋体" w:cs="宋体" w:eastAsia="宋体" w:hint="default"/>
                <w:sz w:val="18"/>
                <w:szCs w:val="18"/>
              </w:rPr>
              <w:t> </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268" w:right="174" w:hanging="92"/>
              <w:jc w:val="left"/>
              <w:rPr>
                <w:rFonts w:ascii="宋体" w:hAnsi="宋体" w:cs="宋体" w:eastAsia="宋体" w:hint="default"/>
                <w:sz w:val="18"/>
                <w:szCs w:val="18"/>
              </w:rPr>
            </w:pPr>
            <w:r>
              <w:rPr>
                <w:rFonts w:ascii="宋体" w:hAnsi="宋体" w:cs="宋体" w:eastAsia="宋体" w:hint="default"/>
                <w:sz w:val="18"/>
                <w:szCs w:val="18"/>
              </w:rPr>
              <w:t>宣告发放现金 股利或利润</w:t>
            </w:r>
            <w:r>
              <w:rPr>
                <w:rFonts w:ascii="宋体" w:hAnsi="宋体" w:cs="宋体" w:eastAsia="宋体" w:hint="default"/>
                <w:sz w:val="18"/>
                <w:szCs w:val="18"/>
              </w:rPr>
              <w:t> </w:t>
            </w:r>
          </w:p>
        </w:tc>
      </w:tr>
      <w:tr>
        <w:trPr>
          <w:trHeight w:val="624" w:hRule="exact"/>
        </w:trPr>
        <w:tc>
          <w:tcPr>
            <w:tcW w:w="197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33"/>
              <w:jc w:val="left"/>
              <w:rPr>
                <w:rFonts w:ascii="宋体" w:hAnsi="宋体" w:cs="宋体" w:eastAsia="宋体" w:hint="default"/>
                <w:sz w:val="18"/>
                <w:szCs w:val="18"/>
              </w:rPr>
            </w:pPr>
            <w:r>
              <w:rPr>
                <w:rFonts w:ascii="宋体" w:hAnsi="宋体" w:cs="宋体" w:eastAsia="宋体" w:hint="default"/>
                <w:sz w:val="18"/>
                <w:szCs w:val="18"/>
              </w:rPr>
              <w:t>河北雄安泽兴股权投 资基金（有限合伙）</w:t>
            </w:r>
            <w:r>
              <w:rPr>
                <w:rFonts w:ascii="宋体" w:hAnsi="宋体" w:cs="宋体" w:eastAsia="宋体" w:hint="default"/>
                <w:spacing w:val="1"/>
                <w:sz w:val="18"/>
                <w:szCs w:val="18"/>
              </w:rPr>
              <w:t> </w:t>
            </w:r>
            <w:r>
              <w:rPr>
                <w:rFonts w:ascii="宋体" w:hAnsi="宋体" w:cs="宋体" w:eastAsia="宋体" w:hint="default"/>
                <w:spacing w:val="-2"/>
                <w:sz w:val="18"/>
                <w:szCs w:val="18"/>
              </w:rPr>
              <w:t> </w:t>
            </w:r>
            <w:r>
              <w:rPr>
                <w:rFonts w:ascii="宋体" w:hAnsi="宋体" w:cs="宋体" w:eastAsia="宋体" w:hint="default"/>
                <w:sz w:val="18"/>
                <w:szCs w:val="18"/>
              </w:rPr>
              <w:t> </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right="11"/>
              <w:jc w:val="right"/>
              <w:rPr>
                <w:rFonts w:ascii="宋体" w:hAnsi="宋体" w:cs="宋体" w:eastAsia="宋体" w:hint="default"/>
                <w:sz w:val="18"/>
                <w:szCs w:val="18"/>
              </w:rPr>
            </w:pPr>
            <w:r>
              <w:rPr>
                <w:rFonts w:ascii="宋体"/>
                <w:sz w:val="18"/>
              </w:rPr>
              <w:t>- </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right="8"/>
              <w:jc w:val="right"/>
              <w:rPr>
                <w:rFonts w:ascii="宋体" w:hAnsi="宋体" w:cs="宋体" w:eastAsia="宋体" w:hint="default"/>
                <w:sz w:val="18"/>
                <w:szCs w:val="18"/>
              </w:rPr>
            </w:pPr>
            <w:r>
              <w:rPr>
                <w:rFonts w:ascii="宋体"/>
                <w:sz w:val="18"/>
              </w:rPr>
              <w:t>- </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right="10"/>
              <w:jc w:val="right"/>
              <w:rPr>
                <w:rFonts w:ascii="宋体" w:hAnsi="宋体" w:cs="宋体" w:eastAsia="宋体" w:hint="default"/>
                <w:sz w:val="18"/>
                <w:szCs w:val="18"/>
              </w:rPr>
            </w:pPr>
            <w:r>
              <w:rPr>
                <w:rFonts w:ascii="宋体"/>
                <w:spacing w:val="-1"/>
                <w:sz w:val="18"/>
              </w:rPr>
              <w:t>27,077.62</w:t>
            </w:r>
            <w:r>
              <w:rPr>
                <w:rFonts w:ascii="宋体"/>
                <w:sz w:val="18"/>
              </w:rPr>
              <w:t> </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right="11"/>
              <w:jc w:val="right"/>
              <w:rPr>
                <w:rFonts w:ascii="宋体" w:hAnsi="宋体" w:cs="宋体" w:eastAsia="宋体" w:hint="default"/>
                <w:sz w:val="18"/>
                <w:szCs w:val="18"/>
              </w:rPr>
            </w:pPr>
            <w:r>
              <w:rPr>
                <w:rFonts w:ascii="宋体"/>
                <w:sz w:val="18"/>
              </w:rPr>
              <w:t>- </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right="11"/>
              <w:jc w:val="right"/>
              <w:rPr>
                <w:rFonts w:ascii="宋体" w:hAnsi="宋体" w:cs="宋体" w:eastAsia="宋体" w:hint="default"/>
                <w:sz w:val="18"/>
                <w:szCs w:val="18"/>
              </w:rPr>
            </w:pPr>
            <w:r>
              <w:rPr>
                <w:rFonts w:ascii="宋体"/>
                <w:sz w:val="18"/>
              </w:rPr>
              <w:t>- </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right="8"/>
              <w:jc w:val="right"/>
              <w:rPr>
                <w:rFonts w:ascii="宋体" w:hAnsi="宋体" w:cs="宋体" w:eastAsia="宋体" w:hint="default"/>
                <w:sz w:val="18"/>
                <w:szCs w:val="18"/>
              </w:rPr>
            </w:pPr>
            <w:r>
              <w:rPr>
                <w:rFonts w:ascii="宋体"/>
                <w:sz w:val="18"/>
              </w:rPr>
              <w:t>- </w:t>
            </w:r>
          </w:p>
        </w:tc>
      </w:tr>
      <w:tr>
        <w:trPr>
          <w:trHeight w:val="398" w:hRule="exact"/>
        </w:trPr>
        <w:tc>
          <w:tcPr>
            <w:tcW w:w="197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81" w:right="0"/>
              <w:jc w:val="center"/>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合计</w:t>
            </w:r>
            <w:r>
              <w:rPr>
                <w:rFonts w:ascii="宋体" w:hAnsi="宋体" w:cs="宋体" w:eastAsia="宋体" w:hint="default"/>
                <w:spacing w:val="-2"/>
                <w:sz w:val="18"/>
                <w:szCs w:val="18"/>
              </w:rPr>
              <w:t> </w:t>
            </w:r>
            <w:r>
              <w:rPr>
                <w:rFonts w:ascii="宋体" w:hAnsi="宋体" w:cs="宋体" w:eastAsia="宋体" w:hint="default"/>
                <w:sz w:val="18"/>
                <w:szCs w:val="18"/>
              </w:rPr>
              <w:t> </w:t>
            </w:r>
          </w:p>
        </w:tc>
        <w:tc>
          <w:tcPr>
            <w:tcW w:w="12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10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z w:val="18"/>
              </w:rPr>
              <w:t>- </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0"/>
              <w:jc w:val="right"/>
              <w:rPr>
                <w:rFonts w:ascii="宋体" w:hAnsi="宋体" w:cs="宋体" w:eastAsia="宋体" w:hint="default"/>
                <w:sz w:val="18"/>
                <w:szCs w:val="18"/>
              </w:rPr>
            </w:pPr>
            <w:r>
              <w:rPr>
                <w:rFonts w:ascii="宋体"/>
                <w:spacing w:val="-1"/>
                <w:sz w:val="18"/>
              </w:rPr>
              <w:t>27,077.62</w:t>
            </w:r>
            <w:r>
              <w:rPr>
                <w:rFonts w:ascii="宋体"/>
                <w:sz w:val="18"/>
              </w:rPr>
              <w:t> </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10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14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z w:val="18"/>
              </w:rPr>
              <w:t>- </w:t>
            </w:r>
          </w:p>
        </w:tc>
      </w:tr>
    </w:tbl>
    <w:p>
      <w:pPr>
        <w:spacing w:line="240" w:lineRule="auto" w:before="7"/>
        <w:rPr>
          <w:rFonts w:ascii="宋体" w:hAnsi="宋体" w:cs="宋体" w:eastAsia="宋体" w:hint="default"/>
          <w:sz w:val="6"/>
          <w:szCs w:val="6"/>
        </w:rPr>
      </w:pPr>
    </w:p>
    <w:p>
      <w:pPr>
        <w:pStyle w:val="BodyText"/>
        <w:spacing w:line="240" w:lineRule="auto" w:before="36"/>
        <w:ind w:left="563" w:right="7673"/>
        <w:jc w:val="left"/>
        <w:rPr>
          <w:rFonts w:ascii="宋体" w:hAnsi="宋体" w:cs="宋体" w:eastAsia="宋体" w:hint="default"/>
        </w:rPr>
      </w:pPr>
      <w:r>
        <w:rPr/>
        <w:t>续表</w:t>
      </w:r>
      <w:r>
        <w:rPr>
          <w:spacing w:val="-50"/>
        </w:rPr>
        <w:t> </w:t>
      </w:r>
      <w:r>
        <w:rPr>
          <w:rFonts w:ascii="宋体" w:hAnsi="宋体" w:cs="宋体" w:eastAsia="宋体" w:hint="default"/>
          <w:spacing w:val="-3"/>
        </w:rPr>
        <w:t>2</w:t>
      </w:r>
      <w:r>
        <w:rPr>
          <w:rFonts w:ascii="宋体" w:hAnsi="宋体" w:cs="宋体" w:eastAsia="宋体" w:hint="default"/>
        </w:rPr>
        <w:t> </w:t>
      </w:r>
    </w:p>
    <w:p>
      <w:pPr>
        <w:spacing w:line="240" w:lineRule="auto" w:before="3"/>
        <w:rPr>
          <w:rFonts w:ascii="宋体" w:hAnsi="宋体" w:cs="宋体" w:eastAsia="宋体" w:hint="default"/>
          <w:sz w:val="14"/>
          <w:szCs w:val="14"/>
        </w:rPr>
      </w:pPr>
    </w:p>
    <w:tbl>
      <w:tblPr>
        <w:tblW w:w="0" w:type="auto"/>
        <w:jc w:val="left"/>
        <w:tblInd w:w="177" w:type="dxa"/>
        <w:tblLayout w:type="fixed"/>
        <w:tblCellMar>
          <w:top w:w="0" w:type="dxa"/>
          <w:left w:w="0" w:type="dxa"/>
          <w:bottom w:w="0" w:type="dxa"/>
          <w:right w:w="0" w:type="dxa"/>
        </w:tblCellMar>
        <w:tblLook w:val="01E0"/>
      </w:tblPr>
      <w:tblGrid>
        <w:gridCol w:w="2225"/>
        <w:gridCol w:w="2209"/>
        <w:gridCol w:w="2592"/>
        <w:gridCol w:w="2523"/>
      </w:tblGrid>
      <w:tr>
        <w:trPr>
          <w:trHeight w:val="624" w:hRule="exact"/>
        </w:trPr>
        <w:tc>
          <w:tcPr>
            <w:tcW w:w="2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left="181" w:right="0"/>
              <w:jc w:val="center"/>
              <w:rPr>
                <w:rFonts w:ascii="宋体" w:hAnsi="宋体" w:cs="宋体" w:eastAsia="宋体" w:hint="default"/>
                <w:sz w:val="18"/>
                <w:szCs w:val="18"/>
              </w:rPr>
            </w:pPr>
            <w:r>
              <w:rPr>
                <w:rFonts w:ascii="宋体" w:hAnsi="宋体" w:cs="宋体" w:eastAsia="宋体" w:hint="default"/>
                <w:sz w:val="18"/>
                <w:szCs w:val="18"/>
              </w:rPr>
              <w:t>被投资单位</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22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left="739"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宋体" w:hAnsi="宋体" w:cs="宋体" w:eastAsia="宋体" w:hint="default"/>
                <w:sz w:val="18"/>
                <w:szCs w:val="18"/>
              </w:rPr>
              <w:t> </w:t>
            </w:r>
          </w:p>
        </w:tc>
        <w:tc>
          <w:tcPr>
            <w:tcW w:w="2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left="571" w:right="0"/>
              <w:jc w:val="left"/>
              <w:rPr>
                <w:rFonts w:ascii="宋体" w:hAnsi="宋体" w:cs="宋体" w:eastAsia="宋体" w:hint="default"/>
                <w:sz w:val="18"/>
                <w:szCs w:val="18"/>
              </w:rPr>
            </w:pPr>
            <w:r>
              <w:rPr>
                <w:rFonts w:ascii="宋体" w:hAnsi="宋体" w:cs="宋体" w:eastAsia="宋体" w:hint="default"/>
                <w:sz w:val="18"/>
                <w:szCs w:val="18"/>
              </w:rPr>
              <w:t>本期计提减值准备</w:t>
            </w:r>
            <w:r>
              <w:rPr>
                <w:rFonts w:ascii="宋体" w:hAnsi="宋体" w:cs="宋体" w:eastAsia="宋体" w:hint="default"/>
                <w:sz w:val="18"/>
                <w:szCs w:val="18"/>
              </w:rPr>
              <w:t> </w:t>
            </w:r>
          </w:p>
        </w:tc>
        <w:tc>
          <w:tcPr>
            <w:tcW w:w="25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left="535" w:right="0"/>
              <w:jc w:val="left"/>
              <w:rPr>
                <w:rFonts w:ascii="宋体" w:hAnsi="宋体" w:cs="宋体" w:eastAsia="宋体" w:hint="default"/>
                <w:sz w:val="18"/>
                <w:szCs w:val="18"/>
              </w:rPr>
            </w:pPr>
            <w:r>
              <w:rPr>
                <w:rFonts w:ascii="宋体" w:hAnsi="宋体" w:cs="宋体" w:eastAsia="宋体" w:hint="default"/>
                <w:sz w:val="18"/>
                <w:szCs w:val="18"/>
              </w:rPr>
              <w:t>期末减值准备余额</w:t>
            </w:r>
            <w:r>
              <w:rPr>
                <w:rFonts w:ascii="宋体" w:hAnsi="宋体" w:cs="宋体" w:eastAsia="宋体" w:hint="default"/>
                <w:sz w:val="18"/>
                <w:szCs w:val="18"/>
              </w:rPr>
              <w:t> </w:t>
            </w:r>
          </w:p>
        </w:tc>
      </w:tr>
      <w:tr>
        <w:trPr>
          <w:trHeight w:val="624" w:hRule="exact"/>
        </w:trPr>
        <w:tc>
          <w:tcPr>
            <w:tcW w:w="222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5" w:right="127"/>
              <w:jc w:val="left"/>
              <w:rPr>
                <w:rFonts w:ascii="宋体" w:hAnsi="宋体" w:cs="宋体" w:eastAsia="宋体" w:hint="default"/>
                <w:sz w:val="18"/>
                <w:szCs w:val="18"/>
              </w:rPr>
            </w:pPr>
            <w:r>
              <w:rPr>
                <w:rFonts w:ascii="宋体" w:hAnsi="宋体" w:cs="宋体" w:eastAsia="宋体" w:hint="default"/>
                <w:sz w:val="18"/>
                <w:szCs w:val="18"/>
              </w:rPr>
              <w:t>河北雄安泽兴股权投资基 金（有限合伙）</w:t>
            </w:r>
            <w:r>
              <w:rPr>
                <w:rFonts w:ascii="宋体" w:hAnsi="宋体" w:cs="宋体" w:eastAsia="宋体" w:hint="default"/>
                <w:spacing w:val="1"/>
                <w:sz w:val="18"/>
                <w:szCs w:val="18"/>
              </w:rPr>
              <w:t> </w:t>
            </w:r>
            <w:r>
              <w:rPr>
                <w:rFonts w:ascii="宋体" w:hAnsi="宋体" w:cs="宋体" w:eastAsia="宋体" w:hint="default"/>
                <w:spacing w:val="-2"/>
                <w:sz w:val="18"/>
                <w:szCs w:val="18"/>
              </w:rPr>
              <w:t> </w:t>
            </w:r>
            <w:r>
              <w:rPr>
                <w:rFonts w:ascii="宋体" w:hAnsi="宋体" w:cs="宋体" w:eastAsia="宋体" w:hint="default"/>
                <w:sz w:val="18"/>
                <w:szCs w:val="18"/>
              </w:rPr>
              <w:t> </w:t>
            </w:r>
          </w:p>
        </w:tc>
        <w:tc>
          <w:tcPr>
            <w:tcW w:w="22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right="12"/>
              <w:jc w:val="right"/>
              <w:rPr>
                <w:rFonts w:ascii="宋体" w:hAnsi="宋体" w:cs="宋体" w:eastAsia="宋体" w:hint="default"/>
                <w:sz w:val="18"/>
                <w:szCs w:val="18"/>
              </w:rPr>
            </w:pPr>
            <w:r>
              <w:rPr>
                <w:rFonts w:ascii="宋体"/>
                <w:spacing w:val="-1"/>
                <w:sz w:val="18"/>
              </w:rPr>
              <w:t>159,527.65</w:t>
            </w:r>
            <w:r>
              <w:rPr>
                <w:rFonts w:ascii="宋体"/>
                <w:sz w:val="18"/>
              </w:rPr>
              <w:t> </w:t>
            </w:r>
          </w:p>
        </w:tc>
        <w:tc>
          <w:tcPr>
            <w:tcW w:w="2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right="11"/>
              <w:jc w:val="right"/>
              <w:rPr>
                <w:rFonts w:ascii="宋体" w:hAnsi="宋体" w:cs="宋体" w:eastAsia="宋体" w:hint="default"/>
                <w:sz w:val="18"/>
                <w:szCs w:val="18"/>
              </w:rPr>
            </w:pPr>
            <w:r>
              <w:rPr>
                <w:rFonts w:ascii="宋体"/>
                <w:sz w:val="18"/>
              </w:rPr>
              <w:t>- </w:t>
            </w:r>
          </w:p>
        </w:tc>
        <w:tc>
          <w:tcPr>
            <w:tcW w:w="25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right="11"/>
              <w:jc w:val="right"/>
              <w:rPr>
                <w:rFonts w:ascii="宋体" w:hAnsi="宋体" w:cs="宋体" w:eastAsia="宋体" w:hint="default"/>
                <w:sz w:val="18"/>
                <w:szCs w:val="18"/>
              </w:rPr>
            </w:pPr>
            <w:r>
              <w:rPr>
                <w:rFonts w:ascii="宋体"/>
                <w:sz w:val="18"/>
              </w:rPr>
              <w:t>- </w:t>
            </w:r>
          </w:p>
        </w:tc>
      </w:tr>
      <w:tr>
        <w:trPr>
          <w:trHeight w:val="398" w:hRule="exact"/>
        </w:trPr>
        <w:tc>
          <w:tcPr>
            <w:tcW w:w="22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81" w:right="0"/>
              <w:jc w:val="center"/>
              <w:rPr>
                <w:rFonts w:ascii="宋体" w:hAnsi="宋体" w:cs="宋体" w:eastAsia="宋体" w:hint="default"/>
                <w:sz w:val="18"/>
                <w:szCs w:val="18"/>
              </w:rPr>
            </w:pPr>
            <w:r>
              <w:rPr>
                <w:rFonts w:ascii="宋体" w:hAnsi="宋体" w:cs="宋体" w:eastAsia="宋体" w:hint="default"/>
                <w:spacing w:val="1"/>
                <w:sz w:val="18"/>
                <w:szCs w:val="18"/>
              </w:rPr>
              <w:t> </w:t>
            </w:r>
            <w:r>
              <w:rPr>
                <w:rFonts w:ascii="宋体" w:hAnsi="宋体" w:cs="宋体" w:eastAsia="宋体" w:hint="default"/>
                <w:sz w:val="18"/>
                <w:szCs w:val="18"/>
              </w:rPr>
              <w:t>合计</w:t>
            </w:r>
            <w:r>
              <w:rPr>
                <w:rFonts w:ascii="宋体" w:hAnsi="宋体" w:cs="宋体" w:eastAsia="宋体" w:hint="default"/>
                <w:spacing w:val="-2"/>
                <w:sz w:val="18"/>
                <w:szCs w:val="18"/>
              </w:rPr>
              <w:t> </w:t>
            </w:r>
            <w:r>
              <w:rPr>
                <w:rFonts w:ascii="宋体" w:hAnsi="宋体" w:cs="宋体" w:eastAsia="宋体" w:hint="default"/>
                <w:sz w:val="18"/>
                <w:szCs w:val="18"/>
              </w:rPr>
              <w:t> </w:t>
            </w:r>
          </w:p>
        </w:tc>
        <w:tc>
          <w:tcPr>
            <w:tcW w:w="22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159,527.65</w:t>
            </w:r>
            <w:r>
              <w:rPr>
                <w:rFonts w:ascii="宋体"/>
                <w:sz w:val="18"/>
              </w:rPr>
              <w:t> </w:t>
            </w:r>
          </w:p>
        </w:tc>
        <w:tc>
          <w:tcPr>
            <w:tcW w:w="2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1"/>
              <w:jc w:val="right"/>
              <w:rPr>
                <w:rFonts w:ascii="宋体" w:hAnsi="宋体" w:cs="宋体" w:eastAsia="宋体" w:hint="default"/>
                <w:sz w:val="18"/>
                <w:szCs w:val="18"/>
              </w:rPr>
            </w:pPr>
            <w:r>
              <w:rPr>
                <w:rFonts w:ascii="宋体"/>
                <w:sz w:val="18"/>
              </w:rPr>
              <w:t>- </w:t>
            </w:r>
          </w:p>
        </w:tc>
        <w:tc>
          <w:tcPr>
            <w:tcW w:w="25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7"/>
              <w:ind w:right="11"/>
              <w:jc w:val="right"/>
              <w:rPr>
                <w:rFonts w:ascii="宋体" w:hAnsi="宋体" w:cs="宋体" w:eastAsia="宋体" w:hint="default"/>
                <w:sz w:val="18"/>
                <w:szCs w:val="18"/>
              </w:rPr>
            </w:pPr>
            <w:r>
              <w:rPr>
                <w:rFonts w:ascii="宋体"/>
                <w:sz w:val="18"/>
              </w:rPr>
              <w:t>- </w:t>
            </w:r>
          </w:p>
        </w:tc>
      </w:tr>
    </w:tbl>
    <w:p>
      <w:pPr>
        <w:spacing w:line="240" w:lineRule="auto" w:before="8"/>
        <w:rPr>
          <w:rFonts w:ascii="宋体" w:hAnsi="宋体" w:cs="宋体" w:eastAsia="宋体" w:hint="default"/>
          <w:sz w:val="6"/>
          <w:szCs w:val="6"/>
        </w:rPr>
      </w:pPr>
    </w:p>
    <w:p>
      <w:pPr>
        <w:pStyle w:val="BodyText"/>
        <w:spacing w:line="272" w:lineRule="exact" w:before="64"/>
        <w:ind w:left="143" w:right="1067" w:firstLine="420"/>
        <w:jc w:val="left"/>
        <w:rPr>
          <w:rFonts w:ascii="宋体" w:hAnsi="宋体" w:cs="宋体" w:eastAsia="宋体" w:hint="default"/>
        </w:rPr>
      </w:pPr>
      <w:r>
        <w:rPr/>
        <w:t>说明：</w:t>
      </w:r>
      <w:r>
        <w:rPr>
          <w:rFonts w:ascii="宋体" w:hAnsi="宋体" w:cs="宋体" w:eastAsia="宋体" w:hint="default"/>
        </w:rPr>
        <w:t>2018</w:t>
      </w:r>
      <w:r>
        <w:rPr>
          <w:rFonts w:ascii="宋体" w:hAnsi="宋体" w:cs="宋体" w:eastAsia="宋体" w:hint="default"/>
          <w:spacing w:val="-49"/>
        </w:rPr>
        <w:t> </w:t>
      </w:r>
      <w:r>
        <w:rPr/>
        <w:t>年</w:t>
      </w:r>
      <w:r>
        <w:rPr>
          <w:spacing w:val="-51"/>
        </w:rPr>
        <w:t> </w:t>
      </w:r>
      <w:r>
        <w:rPr>
          <w:rFonts w:ascii="宋体" w:hAnsi="宋体" w:cs="宋体" w:eastAsia="宋体" w:hint="default"/>
        </w:rPr>
        <w:t>6</w:t>
      </w:r>
      <w:r>
        <w:rPr>
          <w:rFonts w:ascii="宋体" w:hAnsi="宋体" w:cs="宋体" w:eastAsia="宋体" w:hint="default"/>
          <w:spacing w:val="-49"/>
        </w:rPr>
        <w:t> </w:t>
      </w:r>
      <w:r>
        <w:rPr/>
        <w:t>月份，公司对河北雄安泽兴股权投资基金（有限合伙）企业投资</w:t>
      </w:r>
      <w:r>
        <w:rPr>
          <w:spacing w:val="-49"/>
        </w:rPr>
        <w:t> </w:t>
      </w:r>
      <w:r>
        <w:rPr>
          <w:rFonts w:ascii="宋体" w:hAnsi="宋体" w:cs="宋体" w:eastAsia="宋体" w:hint="default"/>
        </w:rPr>
        <w:t>100</w:t>
      </w:r>
      <w:r>
        <w:rPr>
          <w:rFonts w:ascii="宋体" w:hAnsi="宋体" w:cs="宋体" w:eastAsia="宋体" w:hint="default"/>
          <w:spacing w:val="-51"/>
        </w:rPr>
        <w:t> </w:t>
      </w:r>
      <w:r>
        <w:rPr/>
        <w:t>万元，占实际</w:t>
      </w:r>
      <w:r>
        <w:rPr>
          <w:w w:val="100"/>
        </w:rPr>
        <w:t> </w:t>
      </w:r>
      <w:r>
        <w:rPr/>
        <w:t>出资比例的</w:t>
      </w:r>
      <w:r>
        <w:rPr>
          <w:spacing w:val="-54"/>
        </w:rPr>
        <w:t> </w:t>
      </w:r>
      <w:r>
        <w:rPr>
          <w:rFonts w:ascii="宋体" w:hAnsi="宋体" w:cs="宋体" w:eastAsia="宋体" w:hint="default"/>
        </w:rPr>
        <w:t>49.83%</w:t>
      </w:r>
      <w:r>
        <w:rPr/>
        <w:t>，公司对其采用权益法核算，</w:t>
      </w:r>
      <w:r>
        <w:rPr>
          <w:rFonts w:ascii="宋体" w:hAnsi="宋体" w:cs="宋体" w:eastAsia="宋体" w:hint="default"/>
        </w:rPr>
        <w:t>2019</w:t>
      </w:r>
      <w:r>
        <w:rPr>
          <w:rFonts w:ascii="宋体" w:hAnsi="宋体" w:cs="宋体" w:eastAsia="宋体" w:hint="default"/>
          <w:spacing w:val="-55"/>
        </w:rPr>
        <w:t> </w:t>
      </w:r>
      <w:r>
        <w:rPr/>
        <w:t>年度确认投资收益</w:t>
      </w:r>
      <w:r>
        <w:rPr>
          <w:spacing w:val="-57"/>
        </w:rPr>
        <w:t> </w:t>
      </w:r>
      <w:r>
        <w:rPr>
          <w:rFonts w:ascii="宋体" w:hAnsi="宋体" w:cs="宋体" w:eastAsia="宋体" w:hint="default"/>
        </w:rPr>
        <w:t>27,077.62</w:t>
      </w:r>
      <w:r>
        <w:rPr>
          <w:rFonts w:ascii="宋体" w:hAnsi="宋体" w:cs="宋体" w:eastAsia="宋体" w:hint="default"/>
          <w:spacing w:val="-57"/>
        </w:rPr>
        <w:t> </w:t>
      </w:r>
      <w:r>
        <w:rPr/>
        <w:t>元。</w:t>
      </w:r>
      <w:r>
        <w:rPr>
          <w:rFonts w:ascii="宋体" w:hAnsi="宋体" w:cs="宋体" w:eastAsia="宋体" w:hint="default"/>
        </w:rPr>
        <w:t> </w:t>
      </w:r>
    </w:p>
    <w:p>
      <w:pPr>
        <w:pStyle w:val="Heading3"/>
        <w:spacing w:line="240" w:lineRule="auto" w:before="130"/>
        <w:ind w:left="354" w:right="7673"/>
        <w:jc w:val="left"/>
        <w:rPr>
          <w:rFonts w:ascii="宋体" w:hAnsi="宋体" w:cs="宋体" w:eastAsia="宋体" w:hint="default"/>
          <w:b w:val="0"/>
          <w:bCs w:val="0"/>
        </w:rPr>
      </w:pPr>
      <w:r>
        <w:rPr/>
        <w:t>（三）投资收益</w:t>
      </w:r>
      <w:r>
        <w:rPr>
          <w:rFonts w:ascii="宋体" w:hAnsi="宋体" w:cs="宋体" w:eastAsia="宋体" w:hint="default"/>
          <w:w w:val="99"/>
        </w:rPr>
        <w:t> </w:t>
      </w:r>
      <w:r>
        <w:rPr>
          <w:rFonts w:ascii="宋体" w:hAnsi="宋体" w:cs="宋体" w:eastAsia="宋体" w:hint="default"/>
          <w:b w:val="0"/>
          <w:bCs w:val="0"/>
        </w:rPr>
      </w:r>
    </w:p>
    <w:p>
      <w:pPr>
        <w:spacing w:line="240" w:lineRule="auto" w:before="3"/>
        <w:rPr>
          <w:rFonts w:ascii="宋体" w:hAnsi="宋体" w:cs="宋体" w:eastAsia="宋体" w:hint="default"/>
          <w:b/>
          <w:bCs/>
          <w:sz w:val="14"/>
          <w:szCs w:val="14"/>
        </w:rPr>
      </w:pPr>
    </w:p>
    <w:tbl>
      <w:tblPr>
        <w:tblW w:w="0" w:type="auto"/>
        <w:jc w:val="left"/>
        <w:tblInd w:w="167" w:type="dxa"/>
        <w:tblLayout w:type="fixed"/>
        <w:tblCellMar>
          <w:top w:w="0" w:type="dxa"/>
          <w:left w:w="0" w:type="dxa"/>
          <w:bottom w:w="0" w:type="dxa"/>
          <w:right w:w="0" w:type="dxa"/>
        </w:tblCellMar>
        <w:tblLook w:val="01E0"/>
      </w:tblPr>
      <w:tblGrid>
        <w:gridCol w:w="2936"/>
        <w:gridCol w:w="2566"/>
        <w:gridCol w:w="4059"/>
      </w:tblGrid>
      <w:tr>
        <w:trPr>
          <w:trHeight w:val="398" w:hRule="exact"/>
        </w:trPr>
        <w:tc>
          <w:tcPr>
            <w:tcW w:w="2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6"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2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28" w:right="0"/>
              <w:jc w:val="left"/>
              <w:rPr>
                <w:rFonts w:ascii="宋体" w:hAnsi="宋体" w:cs="宋体" w:eastAsia="宋体" w:hint="default"/>
                <w:sz w:val="18"/>
                <w:szCs w:val="18"/>
              </w:rPr>
            </w:pPr>
            <w:r>
              <w:rPr>
                <w:rFonts w:ascii="宋体" w:hAnsi="宋体" w:cs="宋体" w:eastAsia="宋体" w:hint="default"/>
                <w:sz w:val="18"/>
                <w:szCs w:val="18"/>
              </w:rPr>
              <w:t>本期发生额</w:t>
            </w:r>
            <w:r>
              <w:rPr>
                <w:rFonts w:ascii="宋体" w:hAnsi="宋体" w:cs="宋体" w:eastAsia="宋体" w:hint="default"/>
                <w:sz w:val="18"/>
                <w:szCs w:val="18"/>
              </w:rPr>
              <w:t> </w:t>
            </w:r>
          </w:p>
        </w:tc>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9" w:right="0"/>
              <w:jc w:val="center"/>
              <w:rPr>
                <w:rFonts w:ascii="宋体" w:hAnsi="宋体" w:cs="宋体" w:eastAsia="宋体" w:hint="default"/>
                <w:sz w:val="18"/>
                <w:szCs w:val="18"/>
              </w:rPr>
            </w:pPr>
            <w:r>
              <w:rPr>
                <w:rFonts w:ascii="宋体" w:hAnsi="宋体" w:cs="宋体" w:eastAsia="宋体" w:hint="default"/>
                <w:sz w:val="18"/>
                <w:szCs w:val="18"/>
              </w:rPr>
              <w:t>上期发生额</w:t>
            </w:r>
            <w:r>
              <w:rPr>
                <w:rFonts w:ascii="宋体" w:hAnsi="宋体" w:cs="宋体" w:eastAsia="宋体" w:hint="default"/>
                <w:sz w:val="18"/>
                <w:szCs w:val="18"/>
              </w:rPr>
              <w:t> </w:t>
            </w:r>
          </w:p>
        </w:tc>
      </w:tr>
      <w:tr>
        <w:trPr>
          <w:trHeight w:val="396" w:hRule="exact"/>
        </w:trPr>
        <w:tc>
          <w:tcPr>
            <w:tcW w:w="2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成本法核算的长期股权投资收益</w:t>
            </w:r>
            <w:r>
              <w:rPr>
                <w:rFonts w:ascii="宋体" w:hAnsi="宋体" w:cs="宋体" w:eastAsia="宋体" w:hint="default"/>
                <w:sz w:val="18"/>
                <w:szCs w:val="18"/>
              </w:rPr>
              <w:t> </w:t>
            </w:r>
          </w:p>
        </w:tc>
        <w:tc>
          <w:tcPr>
            <w:tcW w:w="2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1281" w:right="0"/>
              <w:jc w:val="left"/>
              <w:rPr>
                <w:rFonts w:ascii="宋体" w:hAnsi="宋体" w:cs="宋体" w:eastAsia="宋体" w:hint="default"/>
                <w:sz w:val="18"/>
                <w:szCs w:val="18"/>
              </w:rPr>
            </w:pPr>
            <w:r>
              <w:rPr>
                <w:rFonts w:ascii="宋体"/>
                <w:sz w:val="18"/>
              </w:rPr>
              <w:t>33,906,869.06 </w:t>
            </w:r>
          </w:p>
        </w:tc>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2686" w:right="0"/>
              <w:jc w:val="left"/>
              <w:rPr>
                <w:rFonts w:ascii="宋体" w:hAnsi="宋体" w:cs="宋体" w:eastAsia="宋体" w:hint="default"/>
                <w:sz w:val="18"/>
                <w:szCs w:val="18"/>
              </w:rPr>
            </w:pPr>
            <w:r>
              <w:rPr>
                <w:rFonts w:ascii="宋体"/>
                <w:sz w:val="18"/>
              </w:rPr>
              <w:t>173,007,591.08 </w:t>
            </w:r>
          </w:p>
        </w:tc>
      </w:tr>
    </w:tbl>
    <w:p>
      <w:pPr>
        <w:spacing w:after="0" w:line="240" w:lineRule="auto"/>
        <w:jc w:val="left"/>
        <w:rPr>
          <w:rFonts w:ascii="宋体" w:hAnsi="宋体" w:cs="宋体" w:eastAsia="宋体" w:hint="default"/>
          <w:sz w:val="18"/>
          <w:szCs w:val="18"/>
        </w:rPr>
        <w:sectPr>
          <w:pgSz w:w="11910" w:h="16840"/>
          <w:pgMar w:header="880" w:footer="975" w:top="1100" w:bottom="1160" w:left="1160" w:right="0"/>
        </w:sectPr>
      </w:pPr>
    </w:p>
    <w:p>
      <w:pPr>
        <w:spacing w:line="240" w:lineRule="auto" w:before="8"/>
        <w:rPr>
          <w:rFonts w:ascii="宋体" w:hAnsi="宋体" w:cs="宋体" w:eastAsia="宋体" w:hint="default"/>
          <w:b/>
          <w:bCs/>
          <w:sz w:val="24"/>
          <w:szCs w:val="24"/>
        </w:rPr>
      </w:pPr>
    </w:p>
    <w:tbl>
      <w:tblPr>
        <w:tblW w:w="0" w:type="auto"/>
        <w:jc w:val="left"/>
        <w:tblInd w:w="167" w:type="dxa"/>
        <w:tblLayout w:type="fixed"/>
        <w:tblCellMar>
          <w:top w:w="0" w:type="dxa"/>
          <w:left w:w="0" w:type="dxa"/>
          <w:bottom w:w="0" w:type="dxa"/>
          <w:right w:w="0" w:type="dxa"/>
        </w:tblCellMar>
        <w:tblLook w:val="01E0"/>
      </w:tblPr>
      <w:tblGrid>
        <w:gridCol w:w="2936"/>
        <w:gridCol w:w="2566"/>
        <w:gridCol w:w="4059"/>
      </w:tblGrid>
      <w:tr>
        <w:trPr>
          <w:trHeight w:val="396" w:hRule="exact"/>
        </w:trPr>
        <w:tc>
          <w:tcPr>
            <w:tcW w:w="2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6"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2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28" w:right="0"/>
              <w:jc w:val="left"/>
              <w:rPr>
                <w:rFonts w:ascii="宋体" w:hAnsi="宋体" w:cs="宋体" w:eastAsia="宋体" w:hint="default"/>
                <w:sz w:val="18"/>
                <w:szCs w:val="18"/>
              </w:rPr>
            </w:pPr>
            <w:r>
              <w:rPr>
                <w:rFonts w:ascii="宋体" w:hAnsi="宋体" w:cs="宋体" w:eastAsia="宋体" w:hint="default"/>
                <w:sz w:val="18"/>
                <w:szCs w:val="18"/>
              </w:rPr>
              <w:t>本期发生额</w:t>
            </w:r>
            <w:r>
              <w:rPr>
                <w:rFonts w:ascii="宋体" w:hAnsi="宋体" w:cs="宋体" w:eastAsia="宋体" w:hint="default"/>
                <w:sz w:val="18"/>
                <w:szCs w:val="18"/>
              </w:rPr>
              <w:t> </w:t>
            </w:r>
          </w:p>
        </w:tc>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left="89" w:right="0"/>
              <w:jc w:val="center"/>
              <w:rPr>
                <w:rFonts w:ascii="宋体" w:hAnsi="宋体" w:cs="宋体" w:eastAsia="宋体" w:hint="default"/>
                <w:sz w:val="18"/>
                <w:szCs w:val="18"/>
              </w:rPr>
            </w:pPr>
            <w:r>
              <w:rPr>
                <w:rFonts w:ascii="宋体" w:hAnsi="宋体" w:cs="宋体" w:eastAsia="宋体" w:hint="default"/>
                <w:sz w:val="18"/>
                <w:szCs w:val="18"/>
              </w:rPr>
              <w:t>上期发生额</w:t>
            </w:r>
            <w:r>
              <w:rPr>
                <w:rFonts w:ascii="宋体" w:hAnsi="宋体" w:cs="宋体" w:eastAsia="宋体" w:hint="default"/>
                <w:sz w:val="18"/>
                <w:szCs w:val="18"/>
              </w:rPr>
              <w:t> </w:t>
            </w:r>
          </w:p>
        </w:tc>
      </w:tr>
      <w:tr>
        <w:trPr>
          <w:trHeight w:val="399" w:hRule="exact"/>
        </w:trPr>
        <w:tc>
          <w:tcPr>
            <w:tcW w:w="2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r>
              <w:rPr>
                <w:rFonts w:ascii="宋体" w:hAnsi="宋体" w:cs="宋体" w:eastAsia="宋体" w:hint="default"/>
                <w:sz w:val="18"/>
                <w:szCs w:val="18"/>
              </w:rPr>
              <w:t> </w:t>
            </w:r>
          </w:p>
        </w:tc>
        <w:tc>
          <w:tcPr>
            <w:tcW w:w="2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27,077.62</w:t>
            </w:r>
            <w:r>
              <w:rPr>
                <w:rFonts w:ascii="宋体"/>
                <w:sz w:val="18"/>
              </w:rPr>
              <w:t> </w:t>
            </w:r>
          </w:p>
        </w:tc>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-867,549.97</w:t>
            </w:r>
            <w:r>
              <w:rPr>
                <w:rFonts w:ascii="宋体"/>
                <w:sz w:val="18"/>
              </w:rPr>
              <w:t> </w:t>
            </w:r>
          </w:p>
        </w:tc>
      </w:tr>
      <w:tr>
        <w:trPr>
          <w:trHeight w:val="396" w:hRule="exact"/>
        </w:trPr>
        <w:tc>
          <w:tcPr>
            <w:tcW w:w="2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03" w:right="0"/>
              <w:jc w:val="left"/>
              <w:rPr>
                <w:rFonts w:ascii="宋体" w:hAnsi="宋体" w:cs="宋体" w:eastAsia="宋体" w:hint="default"/>
                <w:sz w:val="18"/>
                <w:szCs w:val="18"/>
              </w:rPr>
            </w:pPr>
            <w:r>
              <w:rPr>
                <w:rFonts w:ascii="宋体" w:hAnsi="宋体" w:cs="宋体" w:eastAsia="宋体" w:hint="default"/>
                <w:sz w:val="18"/>
                <w:szCs w:val="18"/>
              </w:rPr>
              <w:t>其他</w:t>
            </w:r>
            <w:r>
              <w:rPr>
                <w:rFonts w:ascii="宋体" w:hAnsi="宋体" w:cs="宋体" w:eastAsia="宋体" w:hint="default"/>
                <w:sz w:val="18"/>
                <w:szCs w:val="18"/>
              </w:rPr>
              <w:t> </w:t>
            </w:r>
          </w:p>
        </w:tc>
        <w:tc>
          <w:tcPr>
            <w:tcW w:w="2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z w:val="18"/>
              </w:rPr>
              <w:t> </w:t>
            </w:r>
          </w:p>
        </w:tc>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960,635.61</w:t>
            </w:r>
            <w:r>
              <w:rPr>
                <w:rFonts w:ascii="宋体"/>
                <w:sz w:val="18"/>
              </w:rPr>
              <w:t> </w:t>
            </w:r>
          </w:p>
        </w:tc>
      </w:tr>
      <w:tr>
        <w:trPr>
          <w:trHeight w:val="398" w:hRule="exact"/>
        </w:trPr>
        <w:tc>
          <w:tcPr>
            <w:tcW w:w="29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86" w:right="0"/>
              <w:jc w:val="center"/>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25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2"/>
              <w:jc w:val="right"/>
              <w:rPr>
                <w:rFonts w:ascii="宋体" w:hAnsi="宋体" w:cs="宋体" w:eastAsia="宋体" w:hint="default"/>
                <w:sz w:val="18"/>
                <w:szCs w:val="18"/>
              </w:rPr>
            </w:pPr>
            <w:r>
              <w:rPr>
                <w:rFonts w:ascii="宋体"/>
                <w:spacing w:val="-1"/>
                <w:sz w:val="18"/>
              </w:rPr>
              <w:t>33,933,946.68</w:t>
            </w:r>
            <w:r>
              <w:rPr>
                <w:rFonts w:ascii="宋体"/>
                <w:sz w:val="18"/>
              </w:rPr>
              <w:t> </w:t>
            </w:r>
          </w:p>
        </w:tc>
        <w:tc>
          <w:tcPr>
            <w:tcW w:w="4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11"/>
              <w:jc w:val="right"/>
              <w:rPr>
                <w:rFonts w:ascii="宋体" w:hAnsi="宋体" w:cs="宋体" w:eastAsia="宋体" w:hint="default"/>
                <w:sz w:val="18"/>
                <w:szCs w:val="18"/>
              </w:rPr>
            </w:pPr>
            <w:r>
              <w:rPr>
                <w:rFonts w:ascii="宋体"/>
                <w:spacing w:val="-1"/>
                <w:sz w:val="18"/>
              </w:rPr>
              <w:t>173,100,676.72 </w:t>
            </w:r>
          </w:p>
        </w:tc>
      </w:tr>
    </w:tbl>
    <w:p>
      <w:pPr>
        <w:spacing w:line="240" w:lineRule="auto" w:before="7"/>
        <w:rPr>
          <w:rFonts w:ascii="宋体" w:hAnsi="宋体" w:cs="宋体" w:eastAsia="宋体" w:hint="default"/>
          <w:b/>
          <w:bCs/>
          <w:sz w:val="6"/>
          <w:szCs w:val="6"/>
        </w:rPr>
      </w:pPr>
    </w:p>
    <w:p>
      <w:pPr>
        <w:spacing w:before="36"/>
        <w:ind w:left="143" w:right="7673" w:firstLine="0"/>
        <w:jc w:val="left"/>
        <w:rPr>
          <w:rFonts w:ascii="宋体" w:hAnsi="宋体" w:cs="宋体" w:eastAsia="宋体" w:hint="default"/>
          <w:sz w:val="21"/>
          <w:szCs w:val="21"/>
        </w:rPr>
      </w:pPr>
      <w:r>
        <w:rPr>
          <w:rFonts w:ascii="宋体" w:hAnsi="宋体" w:cs="宋体" w:eastAsia="宋体" w:hint="default"/>
          <w:b/>
          <w:bCs/>
          <w:sz w:val="21"/>
          <w:szCs w:val="21"/>
        </w:rPr>
        <w:t>十五、补充资料</w:t>
      </w:r>
      <w:r>
        <w:rPr>
          <w:rFonts w:ascii="宋体" w:hAnsi="宋体" w:cs="宋体" w:eastAsia="宋体" w:hint="default"/>
          <w:b/>
          <w:bCs/>
          <w:w w:val="99"/>
          <w:sz w:val="21"/>
          <w:szCs w:val="21"/>
        </w:rPr>
        <w:t> </w:t>
      </w:r>
      <w:r>
        <w:rPr>
          <w:rFonts w:ascii="宋体" w:hAnsi="宋体" w:cs="宋体" w:eastAsia="宋体" w:hint="default"/>
          <w:sz w:val="21"/>
          <w:szCs w:val="21"/>
        </w:rPr>
      </w:r>
    </w:p>
    <w:p>
      <w:pPr>
        <w:spacing w:before="152"/>
        <w:ind w:left="354" w:right="1146" w:firstLine="0"/>
        <w:jc w:val="left"/>
        <w:rPr>
          <w:rFonts w:ascii="宋体" w:hAnsi="宋体" w:cs="宋体" w:eastAsia="宋体" w:hint="default"/>
          <w:sz w:val="21"/>
          <w:szCs w:val="21"/>
        </w:rPr>
      </w:pPr>
      <w:r>
        <w:rPr>
          <w:rFonts w:ascii="宋体" w:hAnsi="宋体" w:cs="宋体" w:eastAsia="宋体" w:hint="default"/>
          <w:b/>
          <w:bCs/>
          <w:sz w:val="21"/>
          <w:szCs w:val="21"/>
        </w:rPr>
        <w:t>（一）当期非经常性损益明细表</w:t>
      </w:r>
      <w:r>
        <w:rPr>
          <w:rFonts w:ascii="宋体" w:hAnsi="宋体" w:cs="宋体" w:eastAsia="宋体" w:hint="default"/>
          <w:b/>
          <w:bCs/>
          <w:w w:val="99"/>
          <w:sz w:val="21"/>
          <w:szCs w:val="21"/>
        </w:rPr>
        <w:t> </w:t>
      </w:r>
      <w:r>
        <w:rPr>
          <w:rFonts w:ascii="宋体" w:hAnsi="宋体" w:cs="宋体" w:eastAsia="宋体" w:hint="default"/>
          <w:sz w:val="21"/>
          <w:szCs w:val="21"/>
        </w:rPr>
      </w:r>
    </w:p>
    <w:p>
      <w:pPr>
        <w:spacing w:line="240" w:lineRule="auto" w:before="6"/>
        <w:rPr>
          <w:rFonts w:ascii="宋体" w:hAnsi="宋体" w:cs="宋体" w:eastAsia="宋体" w:hint="default"/>
          <w:b/>
          <w:bCs/>
          <w:sz w:val="14"/>
          <w:szCs w:val="14"/>
        </w:rPr>
      </w:pPr>
    </w:p>
    <w:tbl>
      <w:tblPr>
        <w:tblW w:w="0" w:type="auto"/>
        <w:jc w:val="left"/>
        <w:tblInd w:w="194" w:type="dxa"/>
        <w:tblLayout w:type="fixed"/>
        <w:tblCellMar>
          <w:top w:w="0" w:type="dxa"/>
          <w:left w:w="0" w:type="dxa"/>
          <w:bottom w:w="0" w:type="dxa"/>
          <w:right w:w="0" w:type="dxa"/>
        </w:tblCellMar>
        <w:tblLook w:val="01E0"/>
      </w:tblPr>
      <w:tblGrid>
        <w:gridCol w:w="6630"/>
        <w:gridCol w:w="2917"/>
      </w:tblGrid>
      <w:tr>
        <w:trPr>
          <w:trHeight w:val="355" w:hRule="exact"/>
        </w:trPr>
        <w:tc>
          <w:tcPr>
            <w:tcW w:w="6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90"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2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03" w:right="0"/>
              <w:jc w:val="left"/>
              <w:rPr>
                <w:rFonts w:ascii="宋体" w:hAnsi="宋体" w:cs="宋体" w:eastAsia="宋体" w:hint="default"/>
                <w:sz w:val="18"/>
                <w:szCs w:val="18"/>
              </w:rPr>
            </w:pPr>
            <w:r>
              <w:rPr>
                <w:rFonts w:ascii="宋体" w:hAnsi="宋体" w:cs="宋体" w:eastAsia="宋体" w:hint="default"/>
                <w:sz w:val="18"/>
                <w:szCs w:val="18"/>
              </w:rPr>
              <w:t>本期发生额</w:t>
            </w:r>
            <w:r>
              <w:rPr>
                <w:rFonts w:ascii="宋体" w:hAnsi="宋体" w:cs="宋体" w:eastAsia="宋体" w:hint="default"/>
                <w:sz w:val="18"/>
                <w:szCs w:val="18"/>
              </w:rPr>
              <w:t> </w:t>
            </w:r>
          </w:p>
        </w:tc>
      </w:tr>
      <w:tr>
        <w:trPr>
          <w:trHeight w:val="396" w:hRule="exact"/>
        </w:trPr>
        <w:tc>
          <w:tcPr>
            <w:tcW w:w="6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r>
              <w:rPr>
                <w:rFonts w:ascii="宋体" w:hAnsi="宋体" w:cs="宋体" w:eastAsia="宋体" w:hint="default"/>
                <w:sz w:val="18"/>
                <w:szCs w:val="18"/>
              </w:rPr>
              <w:t> </w:t>
            </w:r>
          </w:p>
        </w:tc>
        <w:tc>
          <w:tcPr>
            <w:tcW w:w="2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9"/>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z w:val="18"/>
              </w:rPr>
              <w:t> </w:t>
            </w:r>
            <w:r>
              <w:rPr>
                <w:rFonts w:ascii="宋体"/>
                <w:spacing w:val="-1"/>
                <w:sz w:val="18"/>
              </w:rPr>
              <w:t>128,762.64</w:t>
            </w:r>
            <w:r>
              <w:rPr>
                <w:rFonts w:ascii="宋体"/>
                <w:sz w:val="18"/>
              </w:rPr>
              <w:t> </w:t>
            </w:r>
          </w:p>
        </w:tc>
      </w:tr>
      <w:tr>
        <w:trPr>
          <w:trHeight w:val="398" w:hRule="exact"/>
        </w:trPr>
        <w:tc>
          <w:tcPr>
            <w:tcW w:w="6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越权审批或无正式批准文件的税收返还、减免</w:t>
            </w:r>
            <w:r>
              <w:rPr>
                <w:rFonts w:ascii="宋体" w:hAnsi="宋体" w:cs="宋体" w:eastAsia="宋体" w:hint="default"/>
                <w:sz w:val="18"/>
                <w:szCs w:val="18"/>
              </w:rPr>
              <w:t> </w:t>
            </w:r>
          </w:p>
        </w:tc>
        <w:tc>
          <w:tcPr>
            <w:tcW w:w="2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3"/>
                <w:sz w:val="18"/>
              </w:rPr>
              <w:t> </w:t>
            </w:r>
            <w:r>
              <w:rPr>
                <w:rFonts w:ascii="宋体"/>
                <w:spacing w:val="-2"/>
                <w:w w:val="95"/>
                <w:sz w:val="18"/>
              </w:rPr>
              <w:t>-</w:t>
            </w:r>
            <w:r>
              <w:rPr>
                <w:rFonts w:ascii="宋体"/>
                <w:w w:val="95"/>
                <w:sz w:val="18"/>
              </w:rPr>
              <w:t> </w:t>
            </w:r>
          </w:p>
        </w:tc>
      </w:tr>
      <w:tr>
        <w:trPr>
          <w:trHeight w:val="625" w:hRule="exact"/>
        </w:trPr>
        <w:tc>
          <w:tcPr>
            <w:tcW w:w="663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105" w:right="99"/>
              <w:jc w:val="left"/>
              <w:rPr>
                <w:rFonts w:ascii="宋体" w:hAnsi="宋体" w:cs="宋体" w:eastAsia="宋体" w:hint="default"/>
                <w:sz w:val="18"/>
                <w:szCs w:val="18"/>
              </w:rPr>
            </w:pPr>
            <w:r>
              <w:rPr>
                <w:rFonts w:ascii="宋体" w:hAnsi="宋体" w:cs="宋体" w:eastAsia="宋体" w:hint="default"/>
                <w:spacing w:val="-2"/>
                <w:sz w:val="18"/>
                <w:szCs w:val="18"/>
              </w:rPr>
              <w:t>计入当期损益的政府补助（与企业业务密切相关，按照国家统一标准定额或定量享</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受的政府补助除外）</w:t>
            </w:r>
            <w:r>
              <w:rPr>
                <w:rFonts w:ascii="宋体" w:hAnsi="宋体" w:cs="宋体" w:eastAsia="宋体" w:hint="default"/>
                <w:sz w:val="18"/>
                <w:szCs w:val="18"/>
              </w:rPr>
              <w:t> </w:t>
            </w:r>
          </w:p>
        </w:tc>
        <w:tc>
          <w:tcPr>
            <w:tcW w:w="2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1"/>
              <w:ind w:right="9"/>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z w:val="18"/>
              </w:rPr>
              <w:t> </w:t>
            </w:r>
            <w:r>
              <w:rPr>
                <w:rFonts w:ascii="宋体"/>
                <w:spacing w:val="-1"/>
                <w:sz w:val="18"/>
              </w:rPr>
              <w:t>3,505,194.99</w:t>
            </w:r>
            <w:r>
              <w:rPr>
                <w:rFonts w:ascii="宋体"/>
                <w:sz w:val="18"/>
              </w:rPr>
              <w:t> </w:t>
            </w:r>
          </w:p>
        </w:tc>
      </w:tr>
      <w:tr>
        <w:trPr>
          <w:trHeight w:val="322" w:hRule="exact"/>
        </w:trPr>
        <w:tc>
          <w:tcPr>
            <w:tcW w:w="6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计入当期损益的对非金融企业收取的资金占用费</w:t>
            </w:r>
            <w:r>
              <w:rPr>
                <w:rFonts w:ascii="宋体" w:hAnsi="宋体" w:cs="宋体" w:eastAsia="宋体" w:hint="default"/>
                <w:sz w:val="18"/>
                <w:szCs w:val="18"/>
              </w:rPr>
              <w:t> </w:t>
            </w:r>
          </w:p>
        </w:tc>
        <w:tc>
          <w:tcPr>
            <w:tcW w:w="2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
              <w:jc w:val="right"/>
              <w:rPr>
                <w:rFonts w:ascii="宋体" w:hAnsi="宋体" w:cs="宋体" w:eastAsia="宋体" w:hint="default"/>
                <w:sz w:val="18"/>
                <w:szCs w:val="18"/>
              </w:rPr>
            </w:pPr>
            <w:r>
              <w:rPr>
                <w:rFonts w:ascii="宋体"/>
                <w:sz w:val="18"/>
              </w:rPr>
              <w:t> </w:t>
            </w:r>
          </w:p>
        </w:tc>
      </w:tr>
      <w:tr>
        <w:trPr>
          <w:trHeight w:val="634" w:hRule="exact"/>
        </w:trPr>
        <w:tc>
          <w:tcPr>
            <w:tcW w:w="663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5" w:right="102"/>
              <w:jc w:val="left"/>
              <w:rPr>
                <w:rFonts w:ascii="宋体" w:hAnsi="宋体" w:cs="宋体" w:eastAsia="宋体" w:hint="default"/>
                <w:sz w:val="18"/>
                <w:szCs w:val="18"/>
              </w:rPr>
            </w:pPr>
            <w:r>
              <w:rPr>
                <w:rFonts w:ascii="宋体" w:hAnsi="宋体" w:cs="宋体" w:eastAsia="宋体" w:hint="default"/>
                <w:spacing w:val="-2"/>
                <w:sz w:val="18"/>
                <w:szCs w:val="18"/>
              </w:rPr>
              <w:t>企业取得子公司、联营企业及合营企业的投资成本小于取得投资时应享有被投资单</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位可辨认净资产公允价值产生的收益</w:t>
            </w:r>
            <w:r>
              <w:rPr>
                <w:rFonts w:ascii="宋体" w:hAnsi="宋体" w:cs="宋体" w:eastAsia="宋体" w:hint="default"/>
                <w:sz w:val="18"/>
                <w:szCs w:val="18"/>
              </w:rPr>
              <w:t> </w:t>
            </w:r>
          </w:p>
        </w:tc>
        <w:tc>
          <w:tcPr>
            <w:tcW w:w="2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
              <w:jc w:val="right"/>
              <w:rPr>
                <w:rFonts w:ascii="宋体" w:hAnsi="宋体" w:cs="宋体" w:eastAsia="宋体" w:hint="default"/>
                <w:sz w:val="18"/>
                <w:szCs w:val="18"/>
              </w:rPr>
            </w:pPr>
            <w:r>
              <w:rPr>
                <w:rFonts w:ascii="宋体"/>
                <w:sz w:val="18"/>
              </w:rPr>
              <w:t> </w:t>
            </w:r>
          </w:p>
        </w:tc>
      </w:tr>
      <w:tr>
        <w:trPr>
          <w:trHeight w:val="396" w:hRule="exact"/>
        </w:trPr>
        <w:tc>
          <w:tcPr>
            <w:tcW w:w="6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非货币性资产交换损益</w:t>
            </w:r>
            <w:r>
              <w:rPr>
                <w:rFonts w:ascii="宋体" w:hAnsi="宋体" w:cs="宋体" w:eastAsia="宋体" w:hint="default"/>
                <w:sz w:val="18"/>
                <w:szCs w:val="18"/>
              </w:rPr>
              <w:t> </w:t>
            </w:r>
          </w:p>
        </w:tc>
        <w:tc>
          <w:tcPr>
            <w:tcW w:w="2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
              <w:jc w:val="right"/>
              <w:rPr>
                <w:rFonts w:ascii="宋体" w:hAnsi="宋体" w:cs="宋体" w:eastAsia="宋体" w:hint="default"/>
                <w:sz w:val="18"/>
                <w:szCs w:val="18"/>
              </w:rPr>
            </w:pPr>
            <w:r>
              <w:rPr>
                <w:rFonts w:ascii="宋体"/>
                <w:sz w:val="18"/>
              </w:rPr>
              <w:t> </w:t>
            </w:r>
          </w:p>
        </w:tc>
      </w:tr>
      <w:tr>
        <w:trPr>
          <w:trHeight w:val="398" w:hRule="exact"/>
        </w:trPr>
        <w:tc>
          <w:tcPr>
            <w:tcW w:w="6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委托他人投资或管理资产的损益</w:t>
            </w:r>
            <w:r>
              <w:rPr>
                <w:rFonts w:ascii="宋体" w:hAnsi="宋体" w:cs="宋体" w:eastAsia="宋体" w:hint="default"/>
                <w:sz w:val="18"/>
                <w:szCs w:val="18"/>
              </w:rPr>
              <w:t> </w:t>
            </w:r>
          </w:p>
        </w:tc>
        <w:tc>
          <w:tcPr>
            <w:tcW w:w="2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z w:val="18"/>
              </w:rPr>
              <w:t> </w:t>
            </w:r>
            <w:r>
              <w:rPr>
                <w:rFonts w:ascii="宋体"/>
                <w:spacing w:val="-1"/>
                <w:sz w:val="18"/>
              </w:rPr>
              <w:t>1,682,091.21</w:t>
            </w:r>
            <w:r>
              <w:rPr>
                <w:rFonts w:ascii="宋体"/>
                <w:sz w:val="18"/>
              </w:rPr>
              <w:t> </w:t>
            </w:r>
          </w:p>
        </w:tc>
      </w:tr>
      <w:tr>
        <w:trPr>
          <w:trHeight w:val="396" w:hRule="exact"/>
        </w:trPr>
        <w:tc>
          <w:tcPr>
            <w:tcW w:w="6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因不可抗力因素，如遭受自然灾害而计提的各项资产减值准备</w:t>
            </w:r>
            <w:r>
              <w:rPr>
                <w:rFonts w:ascii="宋体" w:hAnsi="宋体" w:cs="宋体" w:eastAsia="宋体" w:hint="default"/>
                <w:sz w:val="18"/>
                <w:szCs w:val="18"/>
              </w:rPr>
              <w:t> </w:t>
            </w:r>
          </w:p>
        </w:tc>
        <w:tc>
          <w:tcPr>
            <w:tcW w:w="2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
              <w:jc w:val="right"/>
              <w:rPr>
                <w:rFonts w:ascii="宋体" w:hAnsi="宋体" w:cs="宋体" w:eastAsia="宋体" w:hint="default"/>
                <w:sz w:val="18"/>
                <w:szCs w:val="18"/>
              </w:rPr>
            </w:pPr>
            <w:r>
              <w:rPr>
                <w:rFonts w:ascii="宋体"/>
                <w:sz w:val="18"/>
              </w:rPr>
              <w:t> </w:t>
            </w:r>
          </w:p>
        </w:tc>
      </w:tr>
      <w:tr>
        <w:trPr>
          <w:trHeight w:val="398" w:hRule="exact"/>
        </w:trPr>
        <w:tc>
          <w:tcPr>
            <w:tcW w:w="6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债务重组损益</w:t>
            </w:r>
            <w:r>
              <w:rPr>
                <w:rFonts w:ascii="宋体" w:hAnsi="宋体" w:cs="宋体" w:eastAsia="宋体" w:hint="default"/>
                <w:sz w:val="18"/>
                <w:szCs w:val="18"/>
              </w:rPr>
              <w:t> </w:t>
            </w:r>
          </w:p>
        </w:tc>
        <w:tc>
          <w:tcPr>
            <w:tcW w:w="2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9"/>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z w:val="18"/>
              </w:rPr>
              <w:t> </w:t>
            </w:r>
            <w:r>
              <w:rPr>
                <w:rFonts w:ascii="宋体"/>
                <w:spacing w:val="-1"/>
                <w:sz w:val="18"/>
              </w:rPr>
              <w:t>-32,945,187.07</w:t>
            </w:r>
            <w:r>
              <w:rPr>
                <w:rFonts w:ascii="宋体"/>
                <w:sz w:val="18"/>
              </w:rPr>
              <w:t> </w:t>
            </w:r>
          </w:p>
        </w:tc>
      </w:tr>
      <w:tr>
        <w:trPr>
          <w:trHeight w:val="396" w:hRule="exact"/>
        </w:trPr>
        <w:tc>
          <w:tcPr>
            <w:tcW w:w="6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企业重组费用，如安置职工的支出、整合费用等</w:t>
            </w:r>
            <w:r>
              <w:rPr>
                <w:rFonts w:ascii="宋体" w:hAnsi="宋体" w:cs="宋体" w:eastAsia="宋体" w:hint="default"/>
                <w:sz w:val="18"/>
                <w:szCs w:val="18"/>
              </w:rPr>
              <w:t> </w:t>
            </w:r>
          </w:p>
        </w:tc>
        <w:tc>
          <w:tcPr>
            <w:tcW w:w="2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
              <w:jc w:val="right"/>
              <w:rPr>
                <w:rFonts w:ascii="宋体" w:hAnsi="宋体" w:cs="宋体" w:eastAsia="宋体" w:hint="default"/>
                <w:sz w:val="18"/>
                <w:szCs w:val="18"/>
              </w:rPr>
            </w:pPr>
            <w:r>
              <w:rPr>
                <w:rFonts w:ascii="宋体"/>
                <w:sz w:val="18"/>
              </w:rPr>
              <w:t> </w:t>
            </w:r>
          </w:p>
        </w:tc>
      </w:tr>
      <w:tr>
        <w:trPr>
          <w:trHeight w:val="396" w:hRule="exact"/>
        </w:trPr>
        <w:tc>
          <w:tcPr>
            <w:tcW w:w="6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交易价格显失公允的交易产生的超过公允价值部分的损益</w:t>
            </w:r>
            <w:r>
              <w:rPr>
                <w:rFonts w:ascii="宋体" w:hAnsi="宋体" w:cs="宋体" w:eastAsia="宋体" w:hint="default"/>
                <w:sz w:val="18"/>
                <w:szCs w:val="18"/>
              </w:rPr>
              <w:t> </w:t>
            </w:r>
          </w:p>
        </w:tc>
        <w:tc>
          <w:tcPr>
            <w:tcW w:w="2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
              <w:jc w:val="right"/>
              <w:rPr>
                <w:rFonts w:ascii="宋体" w:hAnsi="宋体" w:cs="宋体" w:eastAsia="宋体" w:hint="default"/>
                <w:sz w:val="18"/>
                <w:szCs w:val="18"/>
              </w:rPr>
            </w:pPr>
            <w:r>
              <w:rPr>
                <w:rFonts w:ascii="宋体"/>
                <w:sz w:val="18"/>
              </w:rPr>
              <w:t> </w:t>
            </w:r>
          </w:p>
        </w:tc>
      </w:tr>
      <w:tr>
        <w:trPr>
          <w:trHeight w:val="399" w:hRule="exact"/>
        </w:trPr>
        <w:tc>
          <w:tcPr>
            <w:tcW w:w="6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5" w:right="0"/>
              <w:jc w:val="left"/>
              <w:rPr>
                <w:rFonts w:ascii="宋体" w:hAnsi="宋体" w:cs="宋体" w:eastAsia="宋体" w:hint="default"/>
                <w:sz w:val="18"/>
                <w:szCs w:val="18"/>
              </w:rPr>
            </w:pPr>
            <w:r>
              <w:rPr>
                <w:rFonts w:ascii="宋体" w:hAnsi="宋体" w:cs="宋体" w:eastAsia="宋体" w:hint="default"/>
                <w:sz w:val="18"/>
                <w:szCs w:val="18"/>
              </w:rPr>
              <w:t>同一控制下企业合并产生的子公司期初至合并日的当期净损益</w:t>
            </w:r>
            <w:r>
              <w:rPr>
                <w:rFonts w:ascii="宋体" w:hAnsi="宋体" w:cs="宋体" w:eastAsia="宋体" w:hint="default"/>
                <w:sz w:val="18"/>
                <w:szCs w:val="18"/>
              </w:rPr>
              <w:t> </w:t>
            </w:r>
          </w:p>
        </w:tc>
        <w:tc>
          <w:tcPr>
            <w:tcW w:w="2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8"/>
              <w:jc w:val="right"/>
              <w:rPr>
                <w:rFonts w:ascii="宋体" w:hAnsi="宋体" w:cs="宋体" w:eastAsia="宋体" w:hint="default"/>
                <w:sz w:val="18"/>
                <w:szCs w:val="18"/>
              </w:rPr>
            </w:pPr>
            <w:r>
              <w:rPr>
                <w:rFonts w:ascii="宋体"/>
                <w:sz w:val="18"/>
              </w:rPr>
              <w:t> </w:t>
            </w:r>
          </w:p>
        </w:tc>
      </w:tr>
      <w:tr>
        <w:trPr>
          <w:trHeight w:val="396" w:hRule="exact"/>
        </w:trPr>
        <w:tc>
          <w:tcPr>
            <w:tcW w:w="6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与公司正常经营业务无关的或有事项产生的损益</w:t>
            </w:r>
            <w:r>
              <w:rPr>
                <w:rFonts w:ascii="宋体" w:hAnsi="宋体" w:cs="宋体" w:eastAsia="宋体" w:hint="default"/>
                <w:sz w:val="18"/>
                <w:szCs w:val="18"/>
              </w:rPr>
              <w:t> </w:t>
            </w:r>
          </w:p>
        </w:tc>
        <w:tc>
          <w:tcPr>
            <w:tcW w:w="2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
              <w:jc w:val="right"/>
              <w:rPr>
                <w:rFonts w:ascii="宋体" w:hAnsi="宋体" w:cs="宋体" w:eastAsia="宋体" w:hint="default"/>
                <w:sz w:val="18"/>
                <w:szCs w:val="18"/>
              </w:rPr>
            </w:pPr>
            <w:r>
              <w:rPr>
                <w:rFonts w:ascii="宋体"/>
                <w:sz w:val="18"/>
              </w:rPr>
              <w:t> </w:t>
            </w:r>
          </w:p>
        </w:tc>
      </w:tr>
      <w:tr>
        <w:trPr>
          <w:trHeight w:val="1570" w:hRule="exact"/>
        </w:trPr>
        <w:tc>
          <w:tcPr>
            <w:tcW w:w="663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5" w:right="102"/>
              <w:jc w:val="both"/>
              <w:rPr>
                <w:rFonts w:ascii="宋体" w:hAnsi="宋体" w:cs="宋体" w:eastAsia="宋体" w:hint="default"/>
                <w:sz w:val="18"/>
                <w:szCs w:val="18"/>
              </w:rPr>
            </w:pPr>
            <w:r>
              <w:rPr>
                <w:rFonts w:ascii="宋体" w:hAnsi="宋体" w:cs="宋体" w:eastAsia="宋体" w:hint="default"/>
                <w:spacing w:val="-2"/>
                <w:sz w:val="18"/>
                <w:szCs w:val="18"/>
              </w:rPr>
              <w:t>除同公司正常经营业务相关的有效套期保值业务外，持有以公允价值计量且其变动</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2"/>
                <w:sz w:val="18"/>
                <w:szCs w:val="18"/>
              </w:rPr>
              <w:t>计入当期损益的金融资产、以公允价值计量且其变动计入当期损益的金融负债产生</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2"/>
                <w:sz w:val="18"/>
                <w:szCs w:val="18"/>
              </w:rPr>
              <w:t>的公允价值变动损益，以及处置以公允价值计量且其变动计入当期损益的金融资</w:t>
            </w:r>
            <w:r>
              <w:rPr>
                <w:rFonts w:ascii="宋体" w:hAnsi="宋体" w:cs="宋体" w:eastAsia="宋体" w:hint="default"/>
                <w:spacing w:val="-69"/>
                <w:sz w:val="18"/>
                <w:szCs w:val="18"/>
              </w:rPr>
              <w:t> </w:t>
            </w:r>
            <w:r>
              <w:rPr>
                <w:rFonts w:ascii="宋体" w:hAnsi="宋体" w:cs="宋体" w:eastAsia="宋体" w:hint="default"/>
                <w:spacing w:val="-69"/>
                <w:sz w:val="18"/>
                <w:szCs w:val="18"/>
              </w:rPr>
            </w:r>
            <w:r>
              <w:rPr>
                <w:rFonts w:ascii="宋体" w:hAnsi="宋体" w:cs="宋体" w:eastAsia="宋体" w:hint="default"/>
                <w:spacing w:val="-2"/>
                <w:sz w:val="18"/>
                <w:szCs w:val="18"/>
              </w:rPr>
              <w:t>产、以公允价值计量且其变动计入当期损益的金融负债和可供出售金融资产取得的</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投资收益</w:t>
            </w:r>
            <w:r>
              <w:rPr>
                <w:rFonts w:ascii="宋体" w:hAnsi="宋体" w:cs="宋体" w:eastAsia="宋体" w:hint="default"/>
                <w:sz w:val="18"/>
                <w:szCs w:val="18"/>
              </w:rPr>
              <w:t> </w:t>
            </w:r>
          </w:p>
        </w:tc>
        <w:tc>
          <w:tcPr>
            <w:tcW w:w="2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
              <w:jc w:val="right"/>
              <w:rPr>
                <w:rFonts w:ascii="宋体" w:hAnsi="宋体" w:cs="宋体" w:eastAsia="宋体" w:hint="default"/>
                <w:sz w:val="18"/>
                <w:szCs w:val="18"/>
              </w:rPr>
            </w:pPr>
            <w:r>
              <w:rPr>
                <w:rFonts w:ascii="宋体"/>
                <w:sz w:val="18"/>
              </w:rPr>
              <w:t> </w:t>
            </w:r>
          </w:p>
        </w:tc>
      </w:tr>
      <w:tr>
        <w:trPr>
          <w:trHeight w:val="398" w:hRule="exact"/>
        </w:trPr>
        <w:tc>
          <w:tcPr>
            <w:tcW w:w="6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5" w:right="0"/>
              <w:jc w:val="left"/>
              <w:rPr>
                <w:rFonts w:ascii="宋体" w:hAnsi="宋体" w:cs="宋体" w:eastAsia="宋体" w:hint="default"/>
                <w:sz w:val="18"/>
                <w:szCs w:val="18"/>
              </w:rPr>
            </w:pPr>
            <w:r>
              <w:rPr>
                <w:rFonts w:ascii="宋体" w:hAnsi="宋体" w:cs="宋体" w:eastAsia="宋体" w:hint="default"/>
                <w:sz w:val="18"/>
                <w:szCs w:val="18"/>
              </w:rPr>
              <w:t>单独进行减值测试的应收款项减值准备转回</w:t>
            </w:r>
            <w:r>
              <w:rPr>
                <w:rFonts w:ascii="宋体" w:hAnsi="宋体" w:cs="宋体" w:eastAsia="宋体" w:hint="default"/>
                <w:sz w:val="18"/>
                <w:szCs w:val="18"/>
              </w:rPr>
              <w:t> </w:t>
            </w:r>
          </w:p>
        </w:tc>
        <w:tc>
          <w:tcPr>
            <w:tcW w:w="2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9"/>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3"/>
                <w:sz w:val="18"/>
              </w:rPr>
              <w:t> </w:t>
            </w:r>
            <w:r>
              <w:rPr>
                <w:rFonts w:ascii="宋体"/>
                <w:spacing w:val="-1"/>
                <w:sz w:val="18"/>
              </w:rPr>
              <w:t>59,904.80</w:t>
            </w:r>
            <w:r>
              <w:rPr>
                <w:rFonts w:ascii="宋体"/>
                <w:sz w:val="18"/>
              </w:rPr>
              <w:t> </w:t>
            </w:r>
          </w:p>
        </w:tc>
      </w:tr>
      <w:tr>
        <w:trPr>
          <w:trHeight w:val="396" w:hRule="exact"/>
        </w:trPr>
        <w:tc>
          <w:tcPr>
            <w:tcW w:w="6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对外委托贷款取得的损益</w:t>
            </w:r>
            <w:r>
              <w:rPr>
                <w:rFonts w:ascii="宋体" w:hAnsi="宋体" w:cs="宋体" w:eastAsia="宋体" w:hint="default"/>
                <w:spacing w:val="1"/>
                <w:sz w:val="18"/>
                <w:szCs w:val="18"/>
              </w:rPr>
              <w:t> </w:t>
            </w:r>
            <w:r>
              <w:rPr>
                <w:rFonts w:ascii="宋体" w:hAnsi="宋体" w:cs="宋体" w:eastAsia="宋体" w:hint="default"/>
                <w:sz w:val="18"/>
                <w:szCs w:val="18"/>
              </w:rPr>
              <w:t> </w:t>
            </w:r>
          </w:p>
        </w:tc>
        <w:tc>
          <w:tcPr>
            <w:tcW w:w="2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
              <w:jc w:val="right"/>
              <w:rPr>
                <w:rFonts w:ascii="宋体" w:hAnsi="宋体" w:cs="宋体" w:eastAsia="宋体" w:hint="default"/>
                <w:sz w:val="18"/>
                <w:szCs w:val="18"/>
              </w:rPr>
            </w:pPr>
            <w:r>
              <w:rPr>
                <w:rFonts w:ascii="宋体"/>
                <w:sz w:val="18"/>
              </w:rPr>
              <w:t> </w:t>
            </w:r>
          </w:p>
        </w:tc>
      </w:tr>
      <w:tr>
        <w:trPr>
          <w:trHeight w:val="398" w:hRule="exact"/>
        </w:trPr>
        <w:tc>
          <w:tcPr>
            <w:tcW w:w="6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采用公允价值模式进行后续计量的投资性房地产公允价值变动产生的损益</w:t>
            </w:r>
            <w:r>
              <w:rPr>
                <w:rFonts w:ascii="宋体" w:hAnsi="宋体" w:cs="宋体" w:eastAsia="宋体" w:hint="default"/>
                <w:sz w:val="18"/>
                <w:szCs w:val="18"/>
              </w:rPr>
              <w:t> </w:t>
            </w:r>
          </w:p>
        </w:tc>
        <w:tc>
          <w:tcPr>
            <w:tcW w:w="2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
              <w:jc w:val="right"/>
              <w:rPr>
                <w:rFonts w:ascii="宋体" w:hAnsi="宋体" w:cs="宋体" w:eastAsia="宋体" w:hint="default"/>
                <w:sz w:val="18"/>
                <w:szCs w:val="18"/>
              </w:rPr>
            </w:pPr>
            <w:r>
              <w:rPr>
                <w:rFonts w:ascii="宋体"/>
                <w:sz w:val="18"/>
              </w:rPr>
              <w:t> </w:t>
            </w:r>
          </w:p>
        </w:tc>
      </w:tr>
      <w:tr>
        <w:trPr>
          <w:trHeight w:val="396" w:hRule="exact"/>
        </w:trPr>
        <w:tc>
          <w:tcPr>
            <w:tcW w:w="6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根据税收、会计等法律、法规的要求对当期损益进行一次性调整对当期损益的影响</w:t>
            </w:r>
            <w:r>
              <w:rPr>
                <w:rFonts w:ascii="宋体" w:hAnsi="宋体" w:cs="宋体" w:eastAsia="宋体" w:hint="default"/>
                <w:sz w:val="18"/>
                <w:szCs w:val="18"/>
              </w:rPr>
              <w:t> </w:t>
            </w:r>
          </w:p>
        </w:tc>
        <w:tc>
          <w:tcPr>
            <w:tcW w:w="2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8"/>
              <w:jc w:val="right"/>
              <w:rPr>
                <w:rFonts w:ascii="宋体" w:hAnsi="宋体" w:cs="宋体" w:eastAsia="宋体" w:hint="default"/>
                <w:sz w:val="18"/>
                <w:szCs w:val="18"/>
              </w:rPr>
            </w:pPr>
            <w:r>
              <w:rPr>
                <w:rFonts w:ascii="宋体"/>
                <w:sz w:val="18"/>
              </w:rPr>
              <w:t> </w:t>
            </w:r>
          </w:p>
        </w:tc>
      </w:tr>
      <w:tr>
        <w:trPr>
          <w:trHeight w:val="397" w:hRule="exact"/>
        </w:trPr>
        <w:tc>
          <w:tcPr>
            <w:tcW w:w="6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5" w:right="0"/>
              <w:jc w:val="left"/>
              <w:rPr>
                <w:rFonts w:ascii="宋体" w:hAnsi="宋体" w:cs="宋体" w:eastAsia="宋体" w:hint="default"/>
                <w:sz w:val="18"/>
                <w:szCs w:val="18"/>
              </w:rPr>
            </w:pPr>
            <w:r>
              <w:rPr>
                <w:rFonts w:ascii="宋体" w:hAnsi="宋体" w:cs="宋体" w:eastAsia="宋体" w:hint="default"/>
                <w:sz w:val="18"/>
                <w:szCs w:val="18"/>
              </w:rPr>
              <w:t>受托经营取得的托管费收入</w:t>
            </w:r>
            <w:r>
              <w:rPr>
                <w:rFonts w:ascii="宋体" w:hAnsi="宋体" w:cs="宋体" w:eastAsia="宋体" w:hint="default"/>
                <w:sz w:val="18"/>
                <w:szCs w:val="18"/>
              </w:rPr>
              <w:t> </w:t>
            </w:r>
          </w:p>
        </w:tc>
        <w:tc>
          <w:tcPr>
            <w:tcW w:w="2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8"/>
              <w:jc w:val="right"/>
              <w:rPr>
                <w:rFonts w:ascii="宋体" w:hAnsi="宋体" w:cs="宋体" w:eastAsia="宋体" w:hint="default"/>
                <w:sz w:val="18"/>
                <w:szCs w:val="18"/>
              </w:rPr>
            </w:pPr>
            <w:r>
              <w:rPr>
                <w:rFonts w:ascii="宋体"/>
                <w:sz w:val="18"/>
              </w:rPr>
              <w:t> </w:t>
            </w:r>
          </w:p>
        </w:tc>
      </w:tr>
      <w:tr>
        <w:trPr>
          <w:trHeight w:val="398" w:hRule="exact"/>
        </w:trPr>
        <w:tc>
          <w:tcPr>
            <w:tcW w:w="6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left="105"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r>
              <w:rPr>
                <w:rFonts w:ascii="宋体" w:hAnsi="宋体" w:cs="宋体" w:eastAsia="宋体" w:hint="default"/>
                <w:sz w:val="18"/>
                <w:szCs w:val="18"/>
              </w:rPr>
              <w:t> </w:t>
            </w:r>
          </w:p>
        </w:tc>
        <w:tc>
          <w:tcPr>
            <w:tcW w:w="2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-8,389,272.96</w:t>
            </w:r>
            <w:r>
              <w:rPr>
                <w:rFonts w:ascii="宋体"/>
                <w:sz w:val="18"/>
              </w:rPr>
              <w:t> </w:t>
            </w:r>
          </w:p>
        </w:tc>
      </w:tr>
      <w:tr>
        <w:trPr>
          <w:trHeight w:val="396" w:hRule="exact"/>
        </w:trPr>
        <w:tc>
          <w:tcPr>
            <w:tcW w:w="6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其他符合非经常性损益定义的损益项目</w:t>
            </w:r>
            <w:r>
              <w:rPr>
                <w:rFonts w:ascii="宋体" w:hAnsi="宋体" w:cs="宋体" w:eastAsia="宋体" w:hint="default"/>
                <w:sz w:val="18"/>
                <w:szCs w:val="18"/>
              </w:rPr>
              <w:t> </w:t>
            </w:r>
          </w:p>
        </w:tc>
        <w:tc>
          <w:tcPr>
            <w:tcW w:w="2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1"/>
                <w:sz w:val="18"/>
              </w:rPr>
              <w:t> </w:t>
            </w:r>
            <w:r>
              <w:rPr>
                <w:rFonts w:ascii="宋体"/>
                <w:spacing w:val="-2"/>
                <w:sz w:val="18"/>
              </w:rPr>
              <w:t> </w:t>
            </w:r>
            <w:r>
              <w:rPr>
                <w:rFonts w:ascii="宋体"/>
                <w:spacing w:val="3"/>
                <w:sz w:val="18"/>
              </w:rPr>
              <w:t> </w:t>
            </w:r>
            <w:r>
              <w:rPr>
                <w:rFonts w:ascii="宋体"/>
                <w:spacing w:val="-2"/>
                <w:w w:val="95"/>
                <w:sz w:val="18"/>
              </w:rPr>
              <w:t>-</w:t>
            </w:r>
            <w:r>
              <w:rPr>
                <w:rFonts w:ascii="宋体"/>
                <w:w w:val="95"/>
                <w:sz w:val="18"/>
              </w:rPr>
              <w:t> </w:t>
            </w:r>
          </w:p>
        </w:tc>
      </w:tr>
      <w:tr>
        <w:trPr>
          <w:trHeight w:val="398" w:hRule="exact"/>
        </w:trPr>
        <w:tc>
          <w:tcPr>
            <w:tcW w:w="6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所得税影响额</w:t>
            </w:r>
            <w:r>
              <w:rPr>
                <w:rFonts w:ascii="宋体" w:hAnsi="宋体" w:cs="宋体" w:eastAsia="宋体" w:hint="default"/>
                <w:sz w:val="18"/>
                <w:szCs w:val="18"/>
              </w:rPr>
              <w:t> </w:t>
            </w:r>
          </w:p>
        </w:tc>
        <w:tc>
          <w:tcPr>
            <w:tcW w:w="2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pacing w:val="-1"/>
                <w:sz w:val="18"/>
              </w:rPr>
              <w:t>-577,628.50</w:t>
            </w:r>
            <w:r>
              <w:rPr>
                <w:rFonts w:ascii="宋体"/>
                <w:sz w:val="18"/>
              </w:rPr>
              <w:t> </w:t>
            </w:r>
          </w:p>
        </w:tc>
      </w:tr>
      <w:tr>
        <w:trPr>
          <w:trHeight w:val="396" w:hRule="exact"/>
        </w:trPr>
        <w:tc>
          <w:tcPr>
            <w:tcW w:w="6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5" w:right="0"/>
              <w:jc w:val="left"/>
              <w:rPr>
                <w:rFonts w:ascii="宋体" w:hAnsi="宋体" w:cs="宋体" w:eastAsia="宋体" w:hint="default"/>
                <w:sz w:val="18"/>
                <w:szCs w:val="18"/>
              </w:rPr>
            </w:pPr>
            <w:r>
              <w:rPr>
                <w:rFonts w:ascii="宋体" w:hAnsi="宋体" w:cs="宋体" w:eastAsia="宋体" w:hint="default"/>
                <w:sz w:val="18"/>
                <w:szCs w:val="18"/>
              </w:rPr>
              <w:t>少数股东权益影响额（税后）</w:t>
            </w:r>
            <w:r>
              <w:rPr>
                <w:rFonts w:ascii="宋体" w:hAnsi="宋体" w:cs="宋体" w:eastAsia="宋体" w:hint="default"/>
                <w:sz w:val="18"/>
                <w:szCs w:val="18"/>
              </w:rPr>
              <w:t> </w:t>
            </w:r>
          </w:p>
        </w:tc>
        <w:tc>
          <w:tcPr>
            <w:tcW w:w="2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right="8"/>
              <w:jc w:val="right"/>
              <w:rPr>
                <w:rFonts w:ascii="宋体" w:hAnsi="宋体" w:cs="宋体" w:eastAsia="宋体" w:hint="default"/>
                <w:sz w:val="18"/>
                <w:szCs w:val="18"/>
              </w:rPr>
            </w:pPr>
            <w:r>
              <w:rPr>
                <w:rFonts w:ascii="宋体"/>
                <w:sz w:val="18"/>
              </w:rPr>
              <w:t> </w:t>
            </w:r>
          </w:p>
        </w:tc>
      </w:tr>
    </w:tbl>
    <w:p>
      <w:pPr>
        <w:spacing w:after="0" w:line="240" w:lineRule="auto"/>
        <w:jc w:val="right"/>
        <w:rPr>
          <w:rFonts w:ascii="宋体" w:hAnsi="宋体" w:cs="宋体" w:eastAsia="宋体" w:hint="default"/>
          <w:sz w:val="18"/>
          <w:szCs w:val="18"/>
        </w:rPr>
        <w:sectPr>
          <w:pgSz w:w="11910" w:h="16840"/>
          <w:pgMar w:header="880" w:footer="975" w:top="1100" w:bottom="1160" w:left="1160" w:right="0"/>
        </w:sectPr>
      </w:pPr>
    </w:p>
    <w:p>
      <w:pPr>
        <w:spacing w:line="240" w:lineRule="auto" w:before="8"/>
        <w:rPr>
          <w:rFonts w:ascii="宋体" w:hAnsi="宋体" w:cs="宋体" w:eastAsia="宋体" w:hint="default"/>
          <w:b/>
          <w:bCs/>
          <w:sz w:val="24"/>
          <w:szCs w:val="24"/>
        </w:rPr>
      </w:pPr>
    </w:p>
    <w:tbl>
      <w:tblPr>
        <w:tblW w:w="0" w:type="auto"/>
        <w:jc w:val="left"/>
        <w:tblInd w:w="194" w:type="dxa"/>
        <w:tblLayout w:type="fixed"/>
        <w:tblCellMar>
          <w:top w:w="0" w:type="dxa"/>
          <w:left w:w="0" w:type="dxa"/>
          <w:bottom w:w="0" w:type="dxa"/>
          <w:right w:w="0" w:type="dxa"/>
        </w:tblCellMar>
        <w:tblLook w:val="01E0"/>
      </w:tblPr>
      <w:tblGrid>
        <w:gridCol w:w="6630"/>
        <w:gridCol w:w="2917"/>
      </w:tblGrid>
      <w:tr>
        <w:trPr>
          <w:trHeight w:val="355" w:hRule="exact"/>
        </w:trPr>
        <w:tc>
          <w:tcPr>
            <w:tcW w:w="6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90" w:right="0"/>
              <w:jc w:val="center"/>
              <w:rPr>
                <w:rFonts w:ascii="宋体" w:hAnsi="宋体" w:cs="宋体" w:eastAsia="宋体" w:hint="default"/>
                <w:sz w:val="18"/>
                <w:szCs w:val="18"/>
              </w:rPr>
            </w:pPr>
            <w:r>
              <w:rPr>
                <w:rFonts w:ascii="宋体" w:hAnsi="宋体" w:cs="宋体" w:eastAsia="宋体" w:hint="default"/>
                <w:sz w:val="18"/>
                <w:szCs w:val="18"/>
              </w:rPr>
              <w:t>项目</w:t>
            </w:r>
            <w:r>
              <w:rPr>
                <w:rFonts w:ascii="宋体" w:hAnsi="宋体" w:cs="宋体" w:eastAsia="宋体" w:hint="default"/>
                <w:sz w:val="18"/>
                <w:szCs w:val="18"/>
              </w:rPr>
              <w:t> </w:t>
            </w:r>
          </w:p>
        </w:tc>
        <w:tc>
          <w:tcPr>
            <w:tcW w:w="2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5"/>
              <w:ind w:left="1003" w:right="0"/>
              <w:jc w:val="left"/>
              <w:rPr>
                <w:rFonts w:ascii="宋体" w:hAnsi="宋体" w:cs="宋体" w:eastAsia="宋体" w:hint="default"/>
                <w:sz w:val="18"/>
                <w:szCs w:val="18"/>
              </w:rPr>
            </w:pPr>
            <w:r>
              <w:rPr>
                <w:rFonts w:ascii="宋体" w:hAnsi="宋体" w:cs="宋体" w:eastAsia="宋体" w:hint="default"/>
                <w:sz w:val="18"/>
                <w:szCs w:val="18"/>
              </w:rPr>
              <w:t>本期发生额</w:t>
            </w:r>
            <w:r>
              <w:rPr>
                <w:rFonts w:ascii="宋体" w:hAnsi="宋体" w:cs="宋体" w:eastAsia="宋体" w:hint="default"/>
                <w:sz w:val="18"/>
                <w:szCs w:val="18"/>
              </w:rPr>
              <w:t> </w:t>
            </w:r>
          </w:p>
        </w:tc>
      </w:tr>
      <w:tr>
        <w:trPr>
          <w:trHeight w:val="399" w:hRule="exact"/>
        </w:trPr>
        <w:tc>
          <w:tcPr>
            <w:tcW w:w="66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5" w:right="0"/>
              <w:jc w:val="left"/>
              <w:rPr>
                <w:rFonts w:ascii="宋体" w:hAnsi="宋体" w:cs="宋体" w:eastAsia="宋体" w:hint="default"/>
                <w:sz w:val="18"/>
                <w:szCs w:val="18"/>
              </w:rPr>
            </w:pPr>
            <w:r>
              <w:rPr>
                <w:rFonts w:ascii="宋体" w:hAnsi="宋体" w:cs="宋体" w:eastAsia="宋体" w:hint="default"/>
                <w:sz w:val="18"/>
                <w:szCs w:val="18"/>
              </w:rPr>
              <w:t>合计</w:t>
            </w:r>
            <w:r>
              <w:rPr>
                <w:rFonts w:ascii="宋体" w:hAnsi="宋体" w:cs="宋体" w:eastAsia="宋体" w:hint="default"/>
                <w:sz w:val="18"/>
                <w:szCs w:val="18"/>
              </w:rPr>
              <w:t> </w:t>
            </w:r>
          </w:p>
        </w:tc>
        <w:tc>
          <w:tcPr>
            <w:tcW w:w="2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9"/>
              <w:ind w:left="1546" w:right="0"/>
              <w:jc w:val="left"/>
              <w:rPr>
                <w:rFonts w:ascii="宋体" w:hAnsi="宋体" w:cs="宋体" w:eastAsia="宋体" w:hint="default"/>
                <w:sz w:val="18"/>
                <w:szCs w:val="18"/>
              </w:rPr>
            </w:pPr>
            <w:r>
              <w:rPr>
                <w:rFonts w:ascii="宋体"/>
                <w:sz w:val="18"/>
              </w:rPr>
              <w:t>-36,536,134.89 </w:t>
            </w:r>
          </w:p>
        </w:tc>
      </w:tr>
    </w:tbl>
    <w:p>
      <w:pPr>
        <w:spacing w:line="240" w:lineRule="auto" w:before="7"/>
        <w:rPr>
          <w:rFonts w:ascii="宋体" w:hAnsi="宋体" w:cs="宋体" w:eastAsia="宋体" w:hint="default"/>
          <w:b/>
          <w:bCs/>
          <w:sz w:val="6"/>
          <w:szCs w:val="6"/>
        </w:rPr>
      </w:pPr>
    </w:p>
    <w:p>
      <w:pPr>
        <w:spacing w:before="36"/>
        <w:ind w:left="354" w:right="1146" w:firstLine="0"/>
        <w:jc w:val="left"/>
        <w:rPr>
          <w:rFonts w:ascii="宋体" w:hAnsi="宋体" w:cs="宋体" w:eastAsia="宋体" w:hint="default"/>
          <w:sz w:val="21"/>
          <w:szCs w:val="21"/>
        </w:rPr>
      </w:pPr>
      <w:r>
        <w:rPr>
          <w:rFonts w:ascii="宋体" w:hAnsi="宋体" w:cs="宋体" w:eastAsia="宋体" w:hint="default"/>
          <w:b/>
          <w:bCs/>
          <w:sz w:val="21"/>
          <w:szCs w:val="21"/>
        </w:rPr>
        <w:t>（二）净资产收益率及每股收益</w:t>
      </w:r>
      <w:r>
        <w:rPr>
          <w:rFonts w:ascii="宋体" w:hAnsi="宋体" w:cs="宋体" w:eastAsia="宋体" w:hint="default"/>
          <w:b/>
          <w:bCs/>
          <w:w w:val="99"/>
          <w:sz w:val="21"/>
          <w:szCs w:val="21"/>
        </w:rPr>
        <w:t> </w:t>
      </w:r>
      <w:r>
        <w:rPr>
          <w:rFonts w:ascii="宋体" w:hAnsi="宋体" w:cs="宋体" w:eastAsia="宋体" w:hint="default"/>
          <w:sz w:val="21"/>
          <w:szCs w:val="21"/>
        </w:rPr>
      </w:r>
    </w:p>
    <w:p>
      <w:pPr>
        <w:spacing w:line="240" w:lineRule="auto" w:before="3"/>
        <w:rPr>
          <w:rFonts w:ascii="宋体" w:hAnsi="宋体" w:cs="宋体" w:eastAsia="宋体" w:hint="default"/>
          <w:b/>
          <w:bCs/>
          <w:sz w:val="14"/>
          <w:szCs w:val="14"/>
        </w:rPr>
      </w:pPr>
    </w:p>
    <w:tbl>
      <w:tblPr>
        <w:tblW w:w="0" w:type="auto"/>
        <w:jc w:val="left"/>
        <w:tblInd w:w="194" w:type="dxa"/>
        <w:tblLayout w:type="fixed"/>
        <w:tblCellMar>
          <w:top w:w="0" w:type="dxa"/>
          <w:left w:w="0" w:type="dxa"/>
          <w:bottom w:w="0" w:type="dxa"/>
          <w:right w:w="0" w:type="dxa"/>
        </w:tblCellMar>
        <w:tblLook w:val="01E0"/>
      </w:tblPr>
      <w:tblGrid>
        <w:gridCol w:w="4623"/>
        <w:gridCol w:w="1844"/>
        <w:gridCol w:w="1561"/>
        <w:gridCol w:w="1519"/>
      </w:tblGrid>
      <w:tr>
        <w:trPr>
          <w:trHeight w:val="408" w:hRule="exact"/>
        </w:trPr>
        <w:tc>
          <w:tcPr>
            <w:tcW w:w="4623" w:type="dxa"/>
            <w:vMerge w:val="restart"/>
            <w:tcBorders>
              <w:top w:val="single" w:sz="4"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9"/>
                <w:szCs w:val="19"/>
              </w:rPr>
            </w:pPr>
          </w:p>
          <w:p>
            <w:pPr>
              <w:pStyle w:val="TableParagraph"/>
              <w:spacing w:line="240" w:lineRule="auto"/>
              <w:ind w:left="92" w:right="0"/>
              <w:jc w:val="center"/>
              <w:rPr>
                <w:rFonts w:ascii="宋体" w:hAnsi="宋体" w:cs="宋体" w:eastAsia="宋体" w:hint="default"/>
                <w:sz w:val="18"/>
                <w:szCs w:val="18"/>
              </w:rPr>
            </w:pPr>
            <w:r>
              <w:rPr>
                <w:rFonts w:ascii="宋体" w:hAnsi="宋体" w:cs="宋体" w:eastAsia="宋体" w:hint="default"/>
                <w:sz w:val="18"/>
                <w:szCs w:val="18"/>
              </w:rPr>
              <w:t>2019</w:t>
            </w:r>
            <w:r>
              <w:rPr>
                <w:rFonts w:ascii="宋体" w:hAnsi="宋体" w:cs="宋体" w:eastAsia="宋体" w:hint="default"/>
                <w:spacing w:val="-45"/>
                <w:sz w:val="18"/>
                <w:szCs w:val="18"/>
              </w:rPr>
              <w:t> </w:t>
            </w:r>
            <w:r>
              <w:rPr>
                <w:rFonts w:ascii="宋体" w:hAnsi="宋体" w:cs="宋体" w:eastAsia="宋体" w:hint="default"/>
                <w:sz w:val="18"/>
                <w:szCs w:val="18"/>
              </w:rPr>
              <w:t>年度</w:t>
            </w:r>
            <w:r>
              <w:rPr>
                <w:rFonts w:ascii="宋体" w:hAnsi="宋体" w:cs="宋体" w:eastAsia="宋体" w:hint="default"/>
                <w:sz w:val="18"/>
                <w:szCs w:val="18"/>
              </w:rPr>
              <w:t> </w:t>
            </w:r>
          </w:p>
        </w:tc>
        <w:tc>
          <w:tcPr>
            <w:tcW w:w="1844" w:type="dxa"/>
            <w:vMerge w:val="restart"/>
            <w:tcBorders>
              <w:top w:val="single" w:sz="4" w:space="0" w:color="000000"/>
              <w:left w:val="single" w:sz="4" w:space="0" w:color="000000"/>
              <w:right w:val="single" w:sz="4" w:space="0" w:color="000000"/>
            </w:tcBorders>
          </w:tcPr>
          <w:p>
            <w:pPr>
              <w:pStyle w:val="TableParagraph"/>
              <w:spacing w:line="240" w:lineRule="auto" w:before="137"/>
              <w:ind w:left="419" w:right="197" w:hanging="135"/>
              <w:jc w:val="left"/>
              <w:rPr>
                <w:rFonts w:ascii="宋体" w:hAnsi="宋体" w:cs="宋体" w:eastAsia="宋体" w:hint="default"/>
                <w:sz w:val="18"/>
                <w:szCs w:val="18"/>
              </w:rPr>
            </w:pPr>
            <w:r>
              <w:rPr>
                <w:rFonts w:ascii="宋体" w:hAnsi="宋体" w:cs="宋体" w:eastAsia="宋体" w:hint="default"/>
                <w:sz w:val="18"/>
                <w:szCs w:val="18"/>
              </w:rPr>
              <w:t>加权平均净资产</w:t>
            </w:r>
            <w:r>
              <w:rPr>
                <w:rFonts w:ascii="宋体" w:hAnsi="宋体" w:cs="宋体" w:eastAsia="宋体" w:hint="default"/>
                <w:sz w:val="18"/>
                <w:szCs w:val="18"/>
              </w:rPr>
              <w:t> </w:t>
            </w:r>
            <w:r>
              <w:rPr>
                <w:rFonts w:ascii="宋体" w:hAnsi="宋体" w:cs="宋体" w:eastAsia="宋体" w:hint="default"/>
                <w:sz w:val="18"/>
                <w:szCs w:val="18"/>
              </w:rPr>
              <w:t>收益率（</w:t>
            </w:r>
            <w:r>
              <w:rPr>
                <w:rFonts w:ascii="宋体" w:hAnsi="宋体" w:cs="宋体" w:eastAsia="宋体" w:hint="default"/>
                <w:sz w:val="18"/>
                <w:szCs w:val="18"/>
              </w:rPr>
              <w:t>%</w:t>
            </w:r>
            <w:r>
              <w:rPr>
                <w:rFonts w:ascii="宋体" w:hAnsi="宋体" w:cs="宋体" w:eastAsia="宋体" w:hint="default"/>
                <w:sz w:val="18"/>
                <w:szCs w:val="18"/>
              </w:rPr>
              <w:t>）</w:t>
            </w:r>
            <w:r>
              <w:rPr>
                <w:rFonts w:ascii="宋体" w:hAnsi="宋体" w:cs="宋体" w:eastAsia="宋体" w:hint="default"/>
                <w:sz w:val="18"/>
                <w:szCs w:val="18"/>
              </w:rPr>
              <w:t> </w:t>
            </w:r>
          </w:p>
        </w:tc>
        <w:tc>
          <w:tcPr>
            <w:tcW w:w="30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87" w:right="0"/>
              <w:jc w:val="center"/>
              <w:rPr>
                <w:rFonts w:ascii="宋体" w:hAnsi="宋体" w:cs="宋体" w:eastAsia="宋体" w:hint="default"/>
                <w:sz w:val="18"/>
                <w:szCs w:val="18"/>
              </w:rPr>
            </w:pPr>
            <w:r>
              <w:rPr>
                <w:rFonts w:ascii="宋体" w:hAnsi="宋体" w:cs="宋体" w:eastAsia="宋体" w:hint="default"/>
                <w:sz w:val="18"/>
                <w:szCs w:val="18"/>
              </w:rPr>
              <w:t>每股收益</w:t>
            </w:r>
            <w:r>
              <w:rPr>
                <w:rFonts w:ascii="宋体" w:hAnsi="宋体" w:cs="宋体" w:eastAsia="宋体" w:hint="default"/>
                <w:sz w:val="18"/>
                <w:szCs w:val="18"/>
              </w:rPr>
              <w:t> </w:t>
            </w:r>
          </w:p>
        </w:tc>
      </w:tr>
      <w:tr>
        <w:trPr>
          <w:trHeight w:val="406" w:hRule="exact"/>
        </w:trPr>
        <w:tc>
          <w:tcPr>
            <w:tcW w:w="4623" w:type="dxa"/>
            <w:vMerge/>
            <w:tcBorders>
              <w:left w:val="single" w:sz="4" w:space="0" w:color="000000"/>
              <w:bottom w:val="single" w:sz="4" w:space="0" w:color="000000"/>
              <w:right w:val="single" w:sz="4" w:space="0" w:color="000000"/>
            </w:tcBorders>
          </w:tcPr>
          <w:p>
            <w:pPr/>
          </w:p>
        </w:tc>
        <w:tc>
          <w:tcPr>
            <w:tcW w:w="1844" w:type="dxa"/>
            <w:vMerge/>
            <w:tcBorders>
              <w:left w:val="single" w:sz="4" w:space="0" w:color="000000"/>
              <w:bottom w:val="single" w:sz="4" w:space="0" w:color="000000"/>
              <w:right w:val="single" w:sz="4" w:space="0" w:color="000000"/>
            </w:tcBorders>
          </w:tcPr>
          <w:p>
            <w:pP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35" w:right="0"/>
              <w:jc w:val="left"/>
              <w:rPr>
                <w:rFonts w:ascii="宋体" w:hAnsi="宋体" w:cs="宋体" w:eastAsia="宋体" w:hint="default"/>
                <w:sz w:val="18"/>
                <w:szCs w:val="18"/>
              </w:rPr>
            </w:pPr>
            <w:r>
              <w:rPr>
                <w:rFonts w:ascii="宋体" w:hAnsi="宋体" w:cs="宋体" w:eastAsia="宋体" w:hint="default"/>
                <w:sz w:val="18"/>
                <w:szCs w:val="18"/>
              </w:rPr>
              <w:t>基本每股收益</w:t>
            </w:r>
            <w:r>
              <w:rPr>
                <w:rFonts w:ascii="宋体" w:hAnsi="宋体" w:cs="宋体" w:eastAsia="宋体" w:hint="default"/>
                <w:sz w:val="18"/>
                <w:szCs w:val="18"/>
              </w:rPr>
              <w:t> </w:t>
            </w:r>
          </w:p>
        </w:tc>
        <w:tc>
          <w:tcPr>
            <w:tcW w:w="1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15" w:right="0"/>
              <w:jc w:val="left"/>
              <w:rPr>
                <w:rFonts w:ascii="宋体" w:hAnsi="宋体" w:cs="宋体" w:eastAsia="宋体" w:hint="default"/>
                <w:sz w:val="18"/>
                <w:szCs w:val="18"/>
              </w:rPr>
            </w:pPr>
            <w:r>
              <w:rPr>
                <w:rFonts w:ascii="宋体" w:hAnsi="宋体" w:cs="宋体" w:eastAsia="宋体" w:hint="default"/>
                <w:sz w:val="18"/>
                <w:szCs w:val="18"/>
              </w:rPr>
              <w:t>稀释每股收益</w:t>
            </w:r>
            <w:r>
              <w:rPr>
                <w:rFonts w:ascii="宋体" w:hAnsi="宋体" w:cs="宋体" w:eastAsia="宋体" w:hint="default"/>
                <w:sz w:val="18"/>
                <w:szCs w:val="18"/>
              </w:rPr>
              <w:t> </w:t>
            </w:r>
          </w:p>
        </w:tc>
      </w:tr>
      <w:tr>
        <w:trPr>
          <w:trHeight w:val="408" w:hRule="exact"/>
        </w:trPr>
        <w:tc>
          <w:tcPr>
            <w:tcW w:w="4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r>
              <w:rPr>
                <w:rFonts w:ascii="宋体" w:hAnsi="宋体" w:cs="宋体" w:eastAsia="宋体" w:hint="default"/>
                <w:sz w:val="18"/>
                <w:szCs w:val="18"/>
              </w:rPr>
              <w:t> </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1"/>
              <w:jc w:val="right"/>
              <w:rPr>
                <w:rFonts w:ascii="宋体" w:hAnsi="宋体" w:cs="宋体" w:eastAsia="宋体" w:hint="default"/>
                <w:sz w:val="18"/>
                <w:szCs w:val="18"/>
              </w:rPr>
            </w:pPr>
            <w:r>
              <w:rPr>
                <w:rFonts w:ascii="宋体"/>
                <w:spacing w:val="-1"/>
                <w:sz w:val="18"/>
              </w:rPr>
              <w:t>-41.88</w:t>
            </w:r>
            <w:r>
              <w:rPr>
                <w:rFonts w:ascii="宋体"/>
                <w:sz w:val="18"/>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1"/>
              <w:jc w:val="right"/>
              <w:rPr>
                <w:rFonts w:ascii="宋体" w:hAnsi="宋体" w:cs="宋体" w:eastAsia="宋体" w:hint="default"/>
                <w:sz w:val="18"/>
                <w:szCs w:val="18"/>
              </w:rPr>
            </w:pPr>
            <w:r>
              <w:rPr>
                <w:rFonts w:ascii="宋体"/>
                <w:spacing w:val="-1"/>
                <w:sz w:val="18"/>
              </w:rPr>
              <w:t>-1.8558</w:t>
            </w:r>
            <w:r>
              <w:rPr>
                <w:rFonts w:ascii="宋体"/>
                <w:sz w:val="18"/>
              </w:rPr>
              <w:t> </w:t>
            </w:r>
          </w:p>
        </w:tc>
        <w:tc>
          <w:tcPr>
            <w:tcW w:w="1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8"/>
              <w:jc w:val="right"/>
              <w:rPr>
                <w:rFonts w:ascii="宋体" w:hAnsi="宋体" w:cs="宋体" w:eastAsia="宋体" w:hint="default"/>
                <w:sz w:val="18"/>
                <w:szCs w:val="18"/>
              </w:rPr>
            </w:pPr>
            <w:r>
              <w:rPr>
                <w:rFonts w:ascii="宋体"/>
                <w:spacing w:val="-1"/>
                <w:sz w:val="18"/>
              </w:rPr>
              <w:t>-1.8558</w:t>
            </w:r>
            <w:r>
              <w:rPr>
                <w:rFonts w:ascii="宋体"/>
                <w:sz w:val="18"/>
              </w:rPr>
              <w:t> </w:t>
            </w:r>
          </w:p>
        </w:tc>
      </w:tr>
      <w:tr>
        <w:trPr>
          <w:trHeight w:val="406" w:hRule="exact"/>
        </w:trPr>
        <w:tc>
          <w:tcPr>
            <w:tcW w:w="46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5" w:right="0"/>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扣除非经常性损益后归属于公司普通股股东的净利润</w:t>
            </w:r>
            <w:r>
              <w:rPr>
                <w:rFonts w:ascii="宋体" w:hAnsi="宋体" w:cs="宋体" w:eastAsia="宋体" w:hint="default"/>
                <w:sz w:val="18"/>
                <w:szCs w:val="18"/>
              </w:rPr>
              <w:t> </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1"/>
              <w:jc w:val="right"/>
              <w:rPr>
                <w:rFonts w:ascii="宋体" w:hAnsi="宋体" w:cs="宋体" w:eastAsia="宋体" w:hint="default"/>
                <w:sz w:val="18"/>
                <w:szCs w:val="18"/>
              </w:rPr>
            </w:pPr>
            <w:r>
              <w:rPr>
                <w:rFonts w:ascii="宋体"/>
                <w:spacing w:val="-1"/>
                <w:sz w:val="18"/>
              </w:rPr>
              <w:t>-40.65</w:t>
            </w:r>
            <w:r>
              <w:rPr>
                <w:rFonts w:ascii="宋体"/>
                <w:sz w:val="18"/>
              </w:rPr>
              <w:t> </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11"/>
              <w:jc w:val="right"/>
              <w:rPr>
                <w:rFonts w:ascii="宋体" w:hAnsi="宋体" w:cs="宋体" w:eastAsia="宋体" w:hint="default"/>
                <w:sz w:val="18"/>
                <w:szCs w:val="18"/>
              </w:rPr>
            </w:pPr>
            <w:r>
              <w:rPr>
                <w:rFonts w:ascii="宋体"/>
                <w:spacing w:val="-1"/>
                <w:sz w:val="18"/>
              </w:rPr>
              <w:t>-1.8012</w:t>
            </w:r>
            <w:r>
              <w:rPr>
                <w:rFonts w:ascii="宋体"/>
                <w:sz w:val="18"/>
              </w:rPr>
              <w:t> </w:t>
            </w:r>
          </w:p>
        </w:tc>
        <w:tc>
          <w:tcPr>
            <w:tcW w:w="15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right="8"/>
              <w:jc w:val="right"/>
              <w:rPr>
                <w:rFonts w:ascii="宋体" w:hAnsi="宋体" w:cs="宋体" w:eastAsia="宋体" w:hint="default"/>
                <w:sz w:val="18"/>
                <w:szCs w:val="18"/>
              </w:rPr>
            </w:pPr>
            <w:r>
              <w:rPr>
                <w:rFonts w:ascii="宋体"/>
                <w:spacing w:val="-1"/>
                <w:sz w:val="18"/>
              </w:rPr>
              <w:t>-1.8012</w:t>
            </w:r>
            <w:r>
              <w:rPr>
                <w:rFonts w:ascii="宋体"/>
                <w:sz w:val="18"/>
              </w:rPr>
              <w:t> </w:t>
            </w:r>
          </w:p>
        </w:tc>
      </w:tr>
    </w:tbl>
    <w:p>
      <w:pPr>
        <w:spacing w:after="0" w:line="240" w:lineRule="auto"/>
        <w:jc w:val="right"/>
        <w:rPr>
          <w:rFonts w:ascii="宋体" w:hAnsi="宋体" w:cs="宋体" w:eastAsia="宋体" w:hint="default"/>
          <w:sz w:val="18"/>
          <w:szCs w:val="18"/>
        </w:rPr>
        <w:sectPr>
          <w:pgSz w:w="11910" w:h="16840"/>
          <w:pgMar w:header="880" w:footer="975" w:top="1100" w:bottom="1160" w:left="1160" w:right="0"/>
        </w:sectPr>
      </w:pPr>
    </w:p>
    <w:p>
      <w:pPr>
        <w:spacing w:line="240" w:lineRule="auto" w:before="8"/>
        <w:rPr>
          <w:rFonts w:ascii="宋体" w:hAnsi="宋体" w:cs="宋体" w:eastAsia="宋体" w:hint="default"/>
          <w:b/>
          <w:bCs/>
          <w:sz w:val="2"/>
          <w:szCs w:val="2"/>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65pt;height:.75pt;mso-position-horizontal-relative:char;mso-position-vertical-relative:line" coordorigin="0,0" coordsize="9713,15">
            <v:group style="position:absolute;left:7;top:7;width:9698;height:2" coordorigin="7,7" coordsize="9698,2">
              <v:shape style="position:absolute;left:7;top:7;width:9698;height:2" coordorigin="7,7" coordsize="9698,0" path="m7,7l9705,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7"/>
          <w:szCs w:val="27"/>
        </w:rPr>
      </w:pPr>
    </w:p>
    <w:p>
      <w:pPr>
        <w:tabs>
          <w:tab w:pos="1768" w:val="left" w:leader="none"/>
        </w:tabs>
        <w:spacing w:before="0"/>
        <w:ind w:left="0" w:right="981" w:firstLine="0"/>
        <w:jc w:val="center"/>
        <w:rPr>
          <w:rFonts w:ascii="宋体" w:hAnsi="宋体" w:cs="宋体" w:eastAsia="宋体" w:hint="default"/>
          <w:sz w:val="32"/>
          <w:szCs w:val="32"/>
        </w:rPr>
      </w:pPr>
      <w:bookmarkStart w:name="_bookmark12" w:id="13"/>
      <w:bookmarkEnd w:id="13"/>
      <w:r>
        <w:rPr/>
      </w:r>
      <w:r>
        <w:rPr>
          <w:rFonts w:ascii="宋体" w:hAnsi="宋体" w:cs="宋体" w:eastAsia="宋体" w:hint="default"/>
          <w:b/>
          <w:bCs/>
          <w:w w:val="95"/>
          <w:sz w:val="32"/>
          <w:szCs w:val="32"/>
        </w:rPr>
        <w:t>第十三章</w:t>
        <w:tab/>
      </w:r>
      <w:r>
        <w:rPr>
          <w:rFonts w:ascii="宋体" w:hAnsi="宋体" w:cs="宋体" w:eastAsia="宋体" w:hint="default"/>
          <w:b/>
          <w:bCs/>
          <w:sz w:val="32"/>
          <w:szCs w:val="32"/>
        </w:rPr>
        <w:t>备查文件目录</w:t>
      </w:r>
      <w:r>
        <w:rPr>
          <w:rFonts w:ascii="宋体" w:hAnsi="宋体" w:cs="宋体" w:eastAsia="宋体" w:hint="default"/>
          <w:sz w:val="32"/>
          <w:szCs w:val="32"/>
        </w:rPr>
      </w:r>
    </w:p>
    <w:p>
      <w:pPr>
        <w:pStyle w:val="BodyText"/>
        <w:spacing w:line="240" w:lineRule="auto" w:before="283"/>
        <w:ind w:left="573" w:right="0"/>
        <w:jc w:val="left"/>
        <w:rPr>
          <w:rFonts w:ascii="宋体" w:hAnsi="宋体" w:cs="宋体" w:eastAsia="宋体" w:hint="default"/>
        </w:rPr>
      </w:pPr>
      <w:r>
        <w:rPr>
          <w:rFonts w:ascii="宋体"/>
          <w:w w:val="100"/>
        </w:rPr>
        <w:t> </w:t>
      </w:r>
    </w:p>
    <w:p>
      <w:pPr>
        <w:pStyle w:val="BodyText"/>
        <w:spacing w:line="273" w:lineRule="auto" w:before="116"/>
        <w:ind w:right="1133" w:firstLine="420"/>
        <w:jc w:val="left"/>
        <w:rPr>
          <w:rFonts w:ascii="宋体" w:hAnsi="宋体" w:cs="宋体" w:eastAsia="宋体" w:hint="default"/>
        </w:rPr>
      </w:pPr>
      <w:r>
        <w:rPr>
          <w:spacing w:val="-2"/>
        </w:rPr>
        <w:t>一、载有公司负责人、主管会计工作负责人、会计机构负责人（会计主管人员）签名并盖章的财务报</w:t>
      </w:r>
      <w:r>
        <w:rPr>
          <w:w w:val="100"/>
        </w:rPr>
        <w:t> </w:t>
      </w:r>
      <w:r>
        <w:rPr/>
        <w:t>表。</w:t>
      </w:r>
      <w:r>
        <w:rPr>
          <w:rFonts w:ascii="宋体" w:hAnsi="宋体" w:cs="宋体" w:eastAsia="宋体" w:hint="default"/>
        </w:rPr>
        <w:t> </w:t>
      </w:r>
    </w:p>
    <w:p>
      <w:pPr>
        <w:pStyle w:val="BodyText"/>
        <w:spacing w:line="340" w:lineRule="auto" w:before="87"/>
        <w:ind w:left="573" w:right="1133"/>
        <w:jc w:val="left"/>
      </w:pPr>
      <w:r>
        <w:rPr/>
        <w:t>二、载有会计师事务所盖章、注册会计师签名并盖章的审计报告原件。</w:t>
      </w:r>
      <w:r>
        <w:rPr>
          <w:rFonts w:ascii="宋体" w:hAnsi="宋体" w:cs="宋体" w:eastAsia="宋体" w:hint="default"/>
          <w:w w:val="100"/>
        </w:rPr>
        <w:t> </w:t>
      </w:r>
      <w:r>
        <w:rPr/>
        <w:t>三、报告期内在中国证监会指定网站上公开披露过的所有公司文件的正本及公告的原稿。</w:t>
      </w:r>
      <w:r>
        <w:rPr>
          <w:rFonts w:ascii="宋体" w:hAnsi="宋体" w:cs="宋体" w:eastAsia="宋体" w:hint="default"/>
          <w:w w:val="100"/>
        </w:rPr>
        <w:t> </w:t>
      </w:r>
      <w:r>
        <w:rPr>
          <w:spacing w:val="-2"/>
        </w:rPr>
        <w:t>公司将上述文件的原件或具有法律效力的复印件同时备置于公司住所、深圳证券交易所，以供社会公</w:t>
      </w:r>
    </w:p>
    <w:p>
      <w:pPr>
        <w:pStyle w:val="BodyText"/>
        <w:spacing w:line="226" w:lineRule="exact"/>
        <w:ind w:right="1133"/>
        <w:jc w:val="left"/>
        <w:rPr>
          <w:rFonts w:ascii="宋体" w:hAnsi="宋体" w:cs="宋体" w:eastAsia="宋体" w:hint="default"/>
        </w:rPr>
      </w:pPr>
      <w:r>
        <w:rPr/>
        <w:t>众查阅。</w:t>
      </w:r>
      <w:r>
        <w:rPr>
          <w:rFonts w:ascii="宋体" w:hAnsi="宋体" w:cs="宋体" w:eastAsia="宋体" w:hint="default"/>
        </w:rPr>
        <w:t> </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8"/>
          <w:szCs w:val="18"/>
        </w:rPr>
      </w:pPr>
    </w:p>
    <w:p>
      <w:pPr>
        <w:pStyle w:val="BodyText"/>
        <w:spacing w:line="240" w:lineRule="auto"/>
        <w:ind w:left="6850" w:right="819"/>
        <w:jc w:val="left"/>
        <w:rPr>
          <w:rFonts w:ascii="宋体" w:hAnsi="宋体" w:cs="宋体" w:eastAsia="宋体" w:hint="default"/>
        </w:rPr>
      </w:pPr>
      <w:r>
        <w:rPr/>
        <w:t>中嘉博创信息技术股份有限公司</w:t>
      </w:r>
      <w:r>
        <w:rPr>
          <w:rFonts w:ascii="宋体" w:hAnsi="宋体" w:cs="宋体" w:eastAsia="宋体" w:hint="default"/>
        </w:rPr>
        <w:t> </w:t>
      </w:r>
    </w:p>
    <w:p>
      <w:pPr>
        <w:pStyle w:val="BodyText"/>
        <w:spacing w:line="240" w:lineRule="auto" w:before="116"/>
        <w:ind w:left="193" w:right="1133"/>
        <w:jc w:val="left"/>
        <w:rPr>
          <w:rFonts w:ascii="宋体" w:hAnsi="宋体" w:cs="宋体" w:eastAsia="宋体" w:hint="default"/>
        </w:rPr>
      </w:pP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t>法定代表人</w:t>
      </w:r>
      <w:r>
        <w:rPr>
          <w:rFonts w:ascii="宋体" w:hAnsi="宋体" w:cs="宋体" w:eastAsia="宋体" w:hint="default"/>
        </w:rPr>
        <w:t>(</w:t>
      </w:r>
      <w:r>
        <w:rPr/>
        <w:t>签字</w:t>
      </w:r>
      <w:r>
        <w:rPr>
          <w:rFonts w:ascii="宋体" w:hAnsi="宋体" w:cs="宋体" w:eastAsia="宋体" w:hint="default"/>
        </w:rPr>
        <w:t>)</w:t>
      </w:r>
      <w:r>
        <w:rPr/>
        <w:t>：吴鹰</w:t>
      </w:r>
      <w:r>
        <w:rPr>
          <w:rFonts w:ascii="宋体" w:hAnsi="宋体" w:cs="宋体" w:eastAsia="宋体" w:hint="default"/>
        </w:rPr>
        <w:t> </w:t>
      </w:r>
    </w:p>
    <w:p>
      <w:pPr>
        <w:pStyle w:val="BodyText"/>
        <w:spacing w:line="240" w:lineRule="auto" w:before="157"/>
        <w:ind w:right="819"/>
        <w:jc w:val="left"/>
        <w:rPr>
          <w:rFonts w:ascii="宋体" w:hAnsi="宋体" w:cs="宋体" w:eastAsia="宋体" w:hint="default"/>
        </w:rPr>
      </w:pP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spacing w:val="-3"/>
          <w:w w:val="100"/>
        </w:rPr>
        <w:t>  </w:t>
      </w:r>
      <w:r>
        <w:rPr>
          <w:rFonts w:ascii="宋体" w:hAnsi="宋体" w:cs="宋体" w:eastAsia="宋体" w:hint="default"/>
          <w:w w:val="100"/>
        </w:rPr>
        <w:t>    </w:t>
      </w:r>
      <w:r>
        <w:rPr>
          <w:rFonts w:ascii="宋体" w:hAnsi="宋体" w:cs="宋体" w:eastAsia="宋体" w:hint="default"/>
        </w:rPr>
        <w:t>2020</w:t>
      </w:r>
      <w:r>
        <w:rPr>
          <w:rFonts w:ascii="宋体" w:hAnsi="宋体" w:cs="宋体" w:eastAsia="宋体" w:hint="default"/>
          <w:spacing w:val="-69"/>
        </w:rPr>
        <w:t> </w:t>
      </w:r>
      <w:r>
        <w:rPr/>
        <w:t>年</w:t>
      </w:r>
      <w:r>
        <w:rPr>
          <w:spacing w:val="-69"/>
        </w:rPr>
        <w:t> </w:t>
      </w:r>
      <w:r>
        <w:rPr>
          <w:rFonts w:ascii="宋体" w:hAnsi="宋体" w:cs="宋体" w:eastAsia="宋体" w:hint="default"/>
        </w:rPr>
        <w:t>4</w:t>
      </w:r>
      <w:r>
        <w:rPr>
          <w:rFonts w:ascii="宋体" w:hAnsi="宋体" w:cs="宋体" w:eastAsia="宋体" w:hint="default"/>
          <w:spacing w:val="-69"/>
        </w:rPr>
        <w:t> </w:t>
      </w:r>
      <w:r>
        <w:rPr/>
        <w:t>月</w:t>
      </w:r>
      <w:r>
        <w:rPr>
          <w:spacing w:val="-67"/>
        </w:rPr>
        <w:t> </w:t>
      </w:r>
      <w:r>
        <w:rPr>
          <w:rFonts w:ascii="宋体" w:hAnsi="宋体" w:cs="宋体" w:eastAsia="宋体" w:hint="default"/>
        </w:rPr>
        <w:t>26</w:t>
      </w:r>
      <w:r>
        <w:rPr>
          <w:rFonts w:ascii="宋体" w:hAnsi="宋体" w:cs="宋体" w:eastAsia="宋体" w:hint="default"/>
          <w:spacing w:val="-69"/>
        </w:rPr>
        <w:t> </w:t>
      </w:r>
      <w:r>
        <w:rPr/>
        <w:t>日编制</w:t>
      </w:r>
      <w:r>
        <w:rPr>
          <w:rFonts w:ascii="宋体" w:hAnsi="宋体" w:cs="宋体" w:eastAsia="宋体" w:hint="default"/>
        </w:rPr>
        <w:t> </w:t>
      </w:r>
    </w:p>
    <w:sectPr>
      <w:pgSz w:w="11910" w:h="16840"/>
      <w:pgMar w:header="880" w:footer="975" w:top="1060" w:bottom="1160" w:left="98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宋体">
    <w:altName w:val="宋体"/>
    <w:charset w:val="86"/>
    <w:family w:val="auto"/>
    <w:pitch w:val="variable"/>
  </w:font>
  <w:font w:name="Wingdings">
    <w:altName w:val="Wingdings"/>
    <w:charset w:val="2"/>
    <w:family w:val="auto"/>
    <w:pitch w:val="variable"/>
  </w:font>
  <w:font w:name="等线">
    <w:altName w:val="等线"/>
    <w:charset w:val="86"/>
    <w:family w:val="auto"/>
    <w:pitch w:val="variable"/>
  </w:font>
  <w:font w:name="Calibri">
    <w:altName w:val="Calibri"/>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013752" type="#_x0000_t75" stroked="false">
          <v:imagedata r:id="rId1" o:titl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013680" type="#_x0000_t75" stroked="false">
          <v:imagedata r:id="rId1" o:title=""/>
        </v:shape>
      </w:pict>
    </w:r>
    <w:r>
      <w:rPr/>
      <w:pict>
        <v:shape style="position:absolute;margin-left:527.659973pt;margin-top:782.173889pt;width:13.15pt;height:11pt;mso-position-horizontal-relative:page;mso-position-vertical-relative:page;z-index:-101365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w:t>
                </w:r>
                <w:r>
                  <w:rPr/>
                  <w:fldChar w:fldCharType="end"/>
                </w:r>
                <w:r>
                  <w:rPr>
                    <w:rFonts w:ascii="Times New Roman"/>
                    <w:spacing w:val="1"/>
                    <w:sz w:val="18"/>
                  </w:rPr>
                </w:r>
                <w:r>
                  <w:rPr>
                    <w:rFonts w:ascii="Times New Roman"/>
                    <w:sz w:val="18"/>
                  </w:rPr>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013584" type="#_x0000_t75" stroked="false">
          <v:imagedata r:id="rId1" o:title=""/>
        </v:shape>
      </w:pict>
    </w:r>
    <w:r>
      <w:rPr/>
      <w:pict>
        <v:shape style="position:absolute;margin-left:301.649994pt;margin-top:794.653931pt;width:13.15pt;height:11pt;mso-position-horizontal-relative:page;mso-position-vertical-relative:page;z-index:-101356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79</w:t>
                </w:r>
                <w:r>
                  <w:rPr/>
                  <w:fldChar w:fldCharType="end"/>
                </w:r>
                <w:r>
                  <w:rPr>
                    <w:rFonts w:ascii="Times New Roman"/>
                    <w:spacing w:val="1"/>
                    <w:sz w:val="18"/>
                  </w:rPr>
                </w:r>
                <w:r>
                  <w:rPr>
                    <w:rFonts w:ascii="Times New Roman"/>
                    <w:sz w:val="18"/>
                  </w:rPr>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013536" type="#_x0000_t75" stroked="false">
          <v:imagedata r:id="rId1" o:title=""/>
        </v:shape>
      </w:pict>
    </w:r>
    <w:r>
      <w:rPr/>
      <w:pict>
        <v:shape style="position:absolute;margin-left:300.369995pt;margin-top:794.653931pt;width:15.7pt;height:11pt;mso-position-horizontal-relative:page;mso-position-vertical-relative:page;z-index:-1013512"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013488" type="#_x0000_t75" stroked="false">
          <v:imagedata r:id="rId1" o:title=""/>
        </v:shape>
      </w:pict>
    </w:r>
    <w:r>
      <w:rPr/>
      <w:pict>
        <v:shape style="position:absolute;margin-left:299.369995pt;margin-top:794.653931pt;width:17.7pt;height:11pt;mso-position-horizontal-relative:page;mso-position-vertical-relative:page;z-index:-101346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101</w:t>
                </w:r>
                <w:r>
                  <w:rPr/>
                  <w:fldChar w:fldCharType="end"/>
                </w:r>
                <w:r>
                  <w:rPr>
                    <w:rFonts w:ascii="Times New Roman"/>
                    <w:spacing w:val="1"/>
                    <w:sz w:val="18"/>
                  </w:rPr>
                </w:r>
                <w:r>
                  <w:rPr>
                    <w:rFonts w:ascii="Times New Roman"/>
                    <w:sz w:val="18"/>
                  </w:rPr>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013440" type="#_x0000_t75" stroked="false">
          <v:imagedata r:id="rId1" o:title=""/>
        </v:shape>
      </w:pict>
    </w:r>
    <w:r>
      <w:rPr/>
      <w:pict>
        <v:shape style="position:absolute;margin-left:299.489990pt;margin-top:794.653931pt;width:17.3pt;height:11pt;mso-position-horizontal-relative:page;mso-position-vertical-relative:page;z-index:-101341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110</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013392" type="#_x0000_t75" stroked="false">
          <v:imagedata r:id="rId1" o:title=""/>
        </v:shape>
      </w:pict>
    </w:r>
    <w:r>
      <w:rPr/>
      <w:pict>
        <v:shape style="position:absolute;margin-left:299.369995pt;margin-top:794.653931pt;width:17.7pt;height:11pt;mso-position-horizontal-relative:page;mso-position-vertical-relative:page;z-index:-101336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120</w:t>
                </w:r>
                <w:r>
                  <w:rPr/>
                  <w:fldChar w:fldCharType="end"/>
                </w:r>
                <w:r>
                  <w:rPr>
                    <w:rFonts w:ascii="Times New Roman"/>
                    <w:spacing w:val="1"/>
                    <w:sz w:val="18"/>
                  </w:rPr>
                </w:r>
                <w:r>
                  <w:rPr>
                    <w:rFonts w:ascii="Times New Roman"/>
                    <w:sz w:val="18"/>
                  </w:rPr>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013296" type="#_x0000_t75" stroked="false">
          <v:imagedata r:id="rId1" o:title=""/>
        </v:shape>
      </w:pict>
    </w:r>
    <w:r>
      <w:rPr/>
      <w:pict>
        <v:shape style="position:absolute;margin-left:523.099976pt;margin-top:782.173889pt;width:20.6pt;height:11pt;mso-position-horizontal-relative:page;mso-position-vertical-relative:page;z-index:-1013272" type="#_x0000_t202" filled="false" stroked="false">
          <v:textbox inset="0,0,0,0">
            <w:txbxContent>
              <w:p>
                <w:pPr>
                  <w:spacing w:line="204" w:lineRule="exact" w:before="0"/>
                  <w:ind w:left="97"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143</w:t>
                </w:r>
                <w:r>
                  <w:rPr/>
                  <w:fldChar w:fldCharType="end"/>
                </w:r>
                <w:r>
                  <w:rPr>
                    <w:rFonts w:ascii="Times New Roman"/>
                    <w:spacing w:val="1"/>
                    <w:sz w:val="18"/>
                  </w:rPr>
                </w:r>
                <w:r>
                  <w:rPr>
                    <w:rFonts w:ascii="Times New Roman"/>
                    <w:sz w:val="18"/>
                  </w:rPr>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5.200001pt;margin-top:55.559982pt;width:484.9pt;height:.1pt;mso-position-horizontal-relative:page;mso-position-vertical-relative:page;z-index:-1013728" coordorigin="1104,1111" coordsize="9698,2">
          <v:shape style="position:absolute;left:1104;top:1111;width:9698;height:2" coordorigin="1104,1111" coordsize="9698,0" path="m1104,1111l10802,1111e" filled="false" stroked="true" strokeweight=".72pt" strokecolor="#000000">
            <v:path arrowok="t"/>
          </v:shape>
          <w10:wrap type="none"/>
        </v:group>
      </w:pict>
    </w:r>
    <w:r>
      <w:rPr/>
      <w:pict>
        <v:shapetype id="_x0000_t202" o:spt="202" coordsize="21600,21600" path="m,l,21600r21600,l21600,xe">
          <v:stroke joinstyle="miter"/>
          <v:path gradientshapeok="t" o:connecttype="rect"/>
        </v:shapetype>
        <v:shape style="position:absolute;margin-left:326.049988pt;margin-top:42.985607pt;width:213.75pt;height:11.5pt;mso-position-horizontal-relative:page;mso-position-vertical-relative:page;z-index:-101370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中嘉博创信息技术股份有限公司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年年度报告全文</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55.200001pt;margin-top:57.719982pt;width:484.9pt;height:.1pt;mso-position-horizontal-relative:page;mso-position-vertical-relative:page;z-index:-1013632" coordorigin="1104,1154" coordsize="9698,2">
          <v:shape style="position:absolute;left:1104;top:1154;width:9698;height:2" coordorigin="1104,1154" coordsize="9698,0" path="m1104,1154l10802,1154e" filled="false" stroked="true" strokeweight=".72pt" strokecolor="#000000">
            <v:path arrowok="t"/>
          </v:shape>
          <w10:wrap type="none"/>
        </v:group>
      </w:pict>
    </w:r>
    <w:r>
      <w:rPr/>
      <w:pict>
        <v:shape style="position:absolute;margin-left:317.049988pt;margin-top:45.025608pt;width:222.7pt;height:11.5pt;mso-position-horizontal-relative:page;mso-position-vertical-relative:page;z-index:-101360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中嘉博创信息技术股份有限公司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年度财务报表附注</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9"/>
        <w:szCs w:val="19"/>
      </w:rPr>
    </w:pPr>
    <w:r>
      <w:rPr/>
      <w:pict>
        <v:group style="position:absolute;margin-left:63.720001pt;margin-top:55.559982pt;width:479.3pt;height:.1pt;mso-position-horizontal-relative:page;mso-position-vertical-relative:page;z-index:-1013344" coordorigin="1274,1111" coordsize="9586,2">
          <v:shape style="position:absolute;left:1274;top:1111;width:9586;height:2" coordorigin="1274,1111" coordsize="9586,0" path="m1274,1111l10860,1111e" filled="false" stroked="true" strokeweight=".72pt" strokecolor="#000000">
            <v:path arrowok="t"/>
          </v:shape>
          <w10:wrap type="none"/>
        </v:group>
      </w:pict>
    </w:r>
    <w:r>
      <w:rPr/>
      <w:pict>
        <v:shape style="position:absolute;margin-left:326.049988pt;margin-top:42.985607pt;width:213.75pt;height:11.5pt;mso-position-horizontal-relative:page;mso-position-vertical-relative:page;z-index:-101332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中嘉博创信息技术股份有限公司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年年度报告全文</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BodyText" w:type="paragraph">
    <w:name w:val="Body Text"/>
    <w:basedOn w:val="Normal"/>
    <w:uiPriority w:val="1"/>
    <w:qFormat/>
    <w:pPr>
      <w:ind w:left="152"/>
    </w:pPr>
    <w:rPr>
      <w:rFonts w:ascii="宋体" w:hAnsi="宋体" w:eastAsia="宋体"/>
      <w:sz w:val="21"/>
      <w:szCs w:val="21"/>
    </w:rPr>
  </w:style>
  <w:style w:styleId="Heading1" w:type="paragraph">
    <w:name w:val="Heading 1"/>
    <w:basedOn w:val="Normal"/>
    <w:uiPriority w:val="1"/>
    <w:qFormat/>
    <w:pPr>
      <w:outlineLvl w:val="1"/>
    </w:pPr>
    <w:rPr>
      <w:rFonts w:ascii="宋体" w:hAnsi="宋体" w:eastAsia="宋体"/>
      <w:b/>
      <w:bCs/>
      <w:sz w:val="32"/>
      <w:szCs w:val="32"/>
    </w:rPr>
  </w:style>
  <w:style w:styleId="Heading2" w:type="paragraph">
    <w:name w:val="Heading 2"/>
    <w:basedOn w:val="Normal"/>
    <w:uiPriority w:val="1"/>
    <w:qFormat/>
    <w:pPr>
      <w:spacing w:before="26"/>
      <w:ind w:left="152"/>
      <w:outlineLvl w:val="2"/>
    </w:pPr>
    <w:rPr>
      <w:rFonts w:ascii="宋体" w:hAnsi="宋体" w:eastAsia="宋体"/>
      <w:b/>
      <w:bCs/>
      <w:sz w:val="24"/>
      <w:szCs w:val="24"/>
    </w:rPr>
  </w:style>
  <w:style w:styleId="Heading3" w:type="paragraph">
    <w:name w:val="Heading 3"/>
    <w:basedOn w:val="Normal"/>
    <w:uiPriority w:val="1"/>
    <w:qFormat/>
    <w:pPr>
      <w:spacing w:before="36"/>
      <w:ind w:left="152"/>
      <w:outlineLvl w:val="3"/>
    </w:pPr>
    <w:rPr>
      <w:rFonts w:ascii="宋体" w:hAnsi="宋体" w:eastAsia="宋体"/>
      <w:b/>
      <w:bCs/>
      <w:sz w:val="21"/>
      <w:szCs w:val="21"/>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2.png"/><Relationship Id="rId7" Type="http://schemas.openxmlformats.org/officeDocument/2006/relationships/header" Target="header1.xml"/><Relationship Id="rId8" Type="http://schemas.openxmlformats.org/officeDocument/2006/relationships/footer" Target="footer2.xml"/><Relationship Id="rId9" Type="http://schemas.openxmlformats.org/officeDocument/2006/relationships/hyperlink" Target="http://www.zjbctech.com/" TargetMode="External"/><Relationship Id="rId10" Type="http://schemas.openxmlformats.org/officeDocument/2006/relationships/hyperlink" Target="mailto:ir@zjbctech.com" TargetMode="External"/><Relationship Id="rId11" Type="http://schemas.openxmlformats.org/officeDocument/2006/relationships/hyperlink" Target="mailto:shuhaifeng@zjbctech.com" TargetMode="External"/><Relationship Id="rId12" Type="http://schemas.openxmlformats.org/officeDocument/2006/relationships/hyperlink" Target="mailto:zhanghaiying@zjbctech.com" TargetMode="External"/><Relationship Id="rId13" Type="http://schemas.openxmlformats.org/officeDocument/2006/relationships/hyperlink" Target="http://www.cninfo.com.cn/" TargetMode="External"/><Relationship Id="rId14" Type="http://schemas.openxmlformats.org/officeDocument/2006/relationships/image" Target="media/image3.jpe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hyperlink" Target="http://www.miit.gov.cn/n1146312/n1146904/n1648372/c7696411/content.html" TargetMode="External"/><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jpeg"/><Relationship Id="rId21" Type="http://schemas.openxmlformats.org/officeDocument/2006/relationships/image" Target="media/image9.jpeg"/><Relationship Id="rId22" Type="http://schemas.openxmlformats.org/officeDocument/2006/relationships/image" Target="media/image10.jpeg"/><Relationship Id="rId23" Type="http://schemas.openxmlformats.org/officeDocument/2006/relationships/image" Target="media/image11.jpeg"/><Relationship Id="rId24" Type="http://schemas.openxmlformats.org/officeDocument/2006/relationships/image" Target="media/image12.jpe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hyperlink" Target="https://www.qcc.com/firm_4ceb35c7a32d6cc6ac6f5c7033678a38.html" TargetMode="External"/><Relationship Id="rId29" Type="http://schemas.openxmlformats.org/officeDocument/2006/relationships/hyperlink" Target="http://irm.cninfo.com.cn/ssessgs/S000889/" TargetMode="External"/><Relationship Id="rId30" Type="http://schemas.openxmlformats.org/officeDocument/2006/relationships/image" Target="media/image16.jpe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header" Target="header2.xml"/><Relationship Id="rId42" Type="http://schemas.openxmlformats.org/officeDocument/2006/relationships/footer" Target="footer3.xml"/><Relationship Id="rId43" Type="http://schemas.openxmlformats.org/officeDocument/2006/relationships/footer" Target="footer4.xml"/><Relationship Id="rId44" Type="http://schemas.openxmlformats.org/officeDocument/2006/relationships/footer" Target="footer5.xml"/><Relationship Id="rId45" Type="http://schemas.openxmlformats.org/officeDocument/2006/relationships/footer" Target="footer6.xml"/><Relationship Id="rId46" Type="http://schemas.openxmlformats.org/officeDocument/2006/relationships/footer" Target="footer7.xml"/><Relationship Id="rId47" Type="http://schemas.openxmlformats.org/officeDocument/2006/relationships/header" Target="header3.xml"/><Relationship Id="rId48" Type="http://schemas.openxmlformats.org/officeDocument/2006/relationships/footer" Target="footer8.xml"/><Relationship Id="rId49" Type="http://schemas.openxmlformats.org/officeDocument/2006/relationships/image" Target="media/image1.jpeg"/><Relationship Id="rId50" Type="http://schemas.openxmlformats.org/officeDocument/2006/relationships/header" Target="header4.xml"/><Relationship Id="rId51" Type="http://schemas.openxmlformats.org/officeDocument/2006/relationships/footer" Target="footer9.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1.jpeg"/></Relationships>

</file>

<file path=word/_rels/footer4.xml.rels><?xml version="1.0" encoding="UTF-8" standalone="yes"?>
<Relationships xmlns="http://schemas.openxmlformats.org/package/2006/relationships"><Relationship Id="rId1" Type="http://schemas.openxmlformats.org/officeDocument/2006/relationships/image" Target="media/image1.jpeg"/></Relationships>

</file>

<file path=word/_rels/footer5.xml.rels><?xml version="1.0" encoding="UTF-8" standalone="yes"?>
<Relationships xmlns="http://schemas.openxmlformats.org/package/2006/relationships"><Relationship Id="rId1" Type="http://schemas.openxmlformats.org/officeDocument/2006/relationships/image" Target="media/image1.jpeg"/></Relationships>

</file>

<file path=word/_rels/footer6.xml.rels><?xml version="1.0" encoding="UTF-8" standalone="yes"?>
<Relationships xmlns="http://schemas.openxmlformats.org/package/2006/relationships"><Relationship Id="rId1" Type="http://schemas.openxmlformats.org/officeDocument/2006/relationships/image" Target="media/image1.jpeg"/></Relationships>

</file>

<file path=word/_rels/footer7.xml.rels><?xml version="1.0" encoding="UTF-8" standalone="yes"?>
<Relationships xmlns="http://schemas.openxmlformats.org/package/2006/relationships"><Relationship Id="rId1" Type="http://schemas.openxmlformats.org/officeDocument/2006/relationships/image" Target="media/image1.jpeg"/></Relationships>

</file>

<file path=word/_rels/footer9.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dcterms:created xsi:type="dcterms:W3CDTF">2020-05-19T12:42:29Z</dcterms:created>
  <dcterms:modified xsi:type="dcterms:W3CDTF">2020-05-19T12:42:29Z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2020-04-27T00:00:00Z</vt:filetime>
  </property>
  <property fmtid="{D5CDD505-2E9C-101B-9397-08002B2CF9AE}" pid="3" name="Creator">
    <vt:lpwstr>Microsoft® Word 2016</vt:lpwstr>
  </property>
  <property fmtid="{D5CDD505-2E9C-101B-9397-08002B2CF9AE}" pid="4" name="LastSaved">
    <vt:filetime>2020-05-19T00:00:00Z</vt:filetime>
  </property>
</Properties>
</file>